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D9FF0" w14:textId="77777777" w:rsidR="00A238D1" w:rsidRDefault="009C6FDA" w:rsidP="00582889">
      <w:pPr>
        <w:pStyle w:val="Title"/>
        <w:spacing w:before="0" w:after="0" w:line="240" w:lineRule="auto"/>
        <w:jc w:val="left"/>
        <w:rPr>
          <w:bCs/>
          <w:iCs/>
        </w:rPr>
      </w:pPr>
      <w:bookmarkStart w:id="0" w:name="_GoBack"/>
      <w:bookmarkEnd w:id="0"/>
      <w:r w:rsidRPr="00466924">
        <w:rPr>
          <w:bCs/>
          <w:iCs/>
        </w:rPr>
        <w:t>Smart cities: under-gridding the sustainab</w:t>
      </w:r>
      <w:r w:rsidR="00EC409A" w:rsidRPr="00466924">
        <w:rPr>
          <w:bCs/>
          <w:iCs/>
        </w:rPr>
        <w:t>ILI</w:t>
      </w:r>
      <w:r w:rsidR="00466924" w:rsidRPr="00466924">
        <w:rPr>
          <w:bCs/>
          <w:iCs/>
        </w:rPr>
        <w:t>ty of city-</w:t>
      </w:r>
      <w:r w:rsidRPr="00466924">
        <w:rPr>
          <w:bCs/>
          <w:iCs/>
        </w:rPr>
        <w:t>districts as e</w:t>
      </w:r>
      <w:r w:rsidR="00B73F32" w:rsidRPr="00466924">
        <w:rPr>
          <w:bCs/>
          <w:iCs/>
        </w:rPr>
        <w:t>nergy efficient-low carbon zone</w:t>
      </w:r>
      <w:r w:rsidR="000C4B3F" w:rsidRPr="00466924">
        <w:rPr>
          <w:bCs/>
          <w:iCs/>
        </w:rPr>
        <w:t>s</w:t>
      </w:r>
    </w:p>
    <w:p w14:paraId="629583E0" w14:textId="77777777" w:rsidR="006855DB" w:rsidRDefault="006855DB" w:rsidP="00582889">
      <w:pPr>
        <w:pStyle w:val="Title"/>
        <w:spacing w:before="0" w:after="0" w:line="240" w:lineRule="auto"/>
        <w:jc w:val="left"/>
        <w:rPr>
          <w:bCs/>
          <w:iCs/>
        </w:rPr>
      </w:pPr>
    </w:p>
    <w:p w14:paraId="1CF10703" w14:textId="65A6C160" w:rsidR="006855DB" w:rsidRPr="00466924" w:rsidRDefault="006855DB" w:rsidP="00582889">
      <w:pPr>
        <w:pStyle w:val="Title"/>
        <w:spacing w:before="0" w:after="0" w:line="240" w:lineRule="auto"/>
        <w:jc w:val="left"/>
      </w:pPr>
      <w:r>
        <w:rPr>
          <w:bCs/>
          <w:iCs/>
        </w:rPr>
        <w:t xml:space="preserve">Mark Deakin &amp; Alasdair Reid </w:t>
      </w:r>
    </w:p>
    <w:p w14:paraId="7AFD9C7D" w14:textId="77777777" w:rsidR="00D444F1" w:rsidRPr="00466924" w:rsidRDefault="00D444F1" w:rsidP="00582889">
      <w:pPr>
        <w:spacing w:before="0" w:after="0" w:line="240" w:lineRule="auto"/>
        <w:jc w:val="left"/>
      </w:pPr>
    </w:p>
    <w:p w14:paraId="6E697399" w14:textId="77777777" w:rsidR="001628D3" w:rsidRDefault="008F2018" w:rsidP="00582889">
      <w:pPr>
        <w:pStyle w:val="AbstractHeading"/>
        <w:spacing w:before="0" w:after="0" w:line="240" w:lineRule="auto"/>
        <w:jc w:val="left"/>
        <w:rPr>
          <w:sz w:val="20"/>
        </w:rPr>
      </w:pPr>
      <w:r w:rsidRPr="00466924">
        <w:rPr>
          <w:sz w:val="20"/>
        </w:rPr>
        <w:t>Abstract</w:t>
      </w:r>
    </w:p>
    <w:p w14:paraId="5E84AF17" w14:textId="77777777" w:rsidR="00235F9C" w:rsidRDefault="00235F9C" w:rsidP="00582889">
      <w:pPr>
        <w:pStyle w:val="AbstractHeading"/>
        <w:spacing w:before="0" w:after="0" w:line="240" w:lineRule="auto"/>
        <w:jc w:val="left"/>
        <w:rPr>
          <w:sz w:val="20"/>
        </w:rPr>
      </w:pPr>
    </w:p>
    <w:p w14:paraId="233DDE99" w14:textId="6A9A5787" w:rsidR="00D924B4" w:rsidRPr="00165276" w:rsidRDefault="00D924B4" w:rsidP="00D924B4">
      <w:pPr>
        <w:spacing w:before="0" w:after="0" w:line="240" w:lineRule="auto"/>
        <w:jc w:val="left"/>
      </w:pPr>
      <w:r w:rsidRPr="00165276">
        <w:rPr>
          <w:rFonts w:cs="Arial"/>
        </w:rPr>
        <w:t>This paper reviews the literature on smart cities. Offering a critical synthesis of the material</w:t>
      </w:r>
      <w:r>
        <w:rPr>
          <w:rFonts w:cs="Arial"/>
        </w:rPr>
        <w:t>,</w:t>
      </w:r>
      <w:r w:rsidRPr="00165276">
        <w:rPr>
          <w:rFonts w:cs="Arial"/>
        </w:rPr>
        <w:t xml:space="preserve"> it advances</w:t>
      </w:r>
      <w:r w:rsidRPr="00165276">
        <w:t xml:space="preserve"> a Triple Helix inspired account of smart cities as future internet-based developments. In particular, as future internet</w:t>
      </w:r>
      <w:r>
        <w:t>-</w:t>
      </w:r>
      <w:r w:rsidRPr="00165276">
        <w:t>based</w:t>
      </w:r>
      <w:r>
        <w:t xml:space="preserve"> </w:t>
      </w:r>
      <w:r w:rsidRPr="00165276">
        <w:t>developments covering</w:t>
      </w:r>
      <w:r w:rsidRPr="00942FC6">
        <w:t xml:space="preserve"> the digital infrastructures, data management systems, renewable energies and cloud computing </w:t>
      </w:r>
      <w:r w:rsidRPr="00165276">
        <w:t xml:space="preserve">of a regional innovation in the Internet of Things (IoT). More specifically, as a regional innovation in the IoT that covers the morphology of urban extensions, infill and mass retrofits, which smart cities call for the development of. Focusing on the metrics of mass retrofit proposals, the paper also serves to demonstrate how the urban morphology of such regional innovations matter in the sense they tell us that being aware of the considerable energy savings and </w:t>
      </w:r>
      <w:r w:rsidRPr="00165276">
        <w:rPr>
          <w:rFonts w:cs="Arial"/>
        </w:rPr>
        <w:t>CO</w:t>
      </w:r>
      <w:r w:rsidRPr="00165276">
        <w:rPr>
          <w:rFonts w:cs="Arial"/>
          <w:vertAlign w:val="subscript"/>
        </w:rPr>
        <w:t>2</w:t>
      </w:r>
      <w:r w:rsidRPr="00165276">
        <w:t xml:space="preserve"> reductions, which IoTs offer cities to be smart</w:t>
      </w:r>
      <w:r>
        <w:t>,</w:t>
      </w:r>
      <w:r w:rsidRPr="00165276">
        <w:t xml:space="preserve"> is n</w:t>
      </w:r>
      <w:r w:rsidRPr="00942FC6">
        <w:t xml:space="preserve">ot enough. Not enough, because without knowing whether the costs and benefits under-gridding the sustainability </w:t>
      </w:r>
      <w:r w:rsidRPr="00165276">
        <w:t xml:space="preserve">of city-districts are shared equally, it is impossible to say if the 65% energy saving and 78% reduction in </w:t>
      </w:r>
      <w:r w:rsidRPr="00165276">
        <w:rPr>
          <w:rFonts w:cs="Arial"/>
        </w:rPr>
        <w:t>CO</w:t>
      </w:r>
      <w:r w:rsidRPr="00165276">
        <w:rPr>
          <w:rFonts w:cs="Arial"/>
          <w:vertAlign w:val="subscript"/>
        </w:rPr>
        <w:t>2</w:t>
      </w:r>
      <w:r>
        <w:t xml:space="preserve">, </w:t>
      </w:r>
      <w:r w:rsidRPr="00165276">
        <w:t xml:space="preserve">attributed to the data collection, information processing and smart (micro) grids of mass retrofits is socially just. The paper suggests that in order to verify this, it is necessary for smart cities to first baseline the social-demographic structure of retrofit proposals. Then draw upon the environmental profile this evaluation generates to assess whether the regional innovation creates the wealth needed to under-grid the sustainability of city-districts. </w:t>
      </w:r>
      <w:r w:rsidR="006855DB">
        <w:t>In particular, u</w:t>
      </w:r>
      <w:r w:rsidRPr="00165276">
        <w:t>nder-grid the sustainability of city-districts as the energy efficient-low carbon zones of an inclusive growth strategy seen to be socially just. Seen to be socially just, because the costs and benefits underlying the 1.5</w:t>
      </w:r>
      <w:r w:rsidR="00307A63">
        <w:t xml:space="preserve"> </w:t>
      </w:r>
      <w:r w:rsidRPr="00165276">
        <w:t>hectare ecological footprint that surfaces from this regional innovation are equally appropriated as the proceeds of</w:t>
      </w:r>
      <w:r>
        <w:t xml:space="preserve"> </w:t>
      </w:r>
      <w:r w:rsidRPr="00165276">
        <w:t>a wealth creation, which contributes to the resilience of city-districts as energy efficient-low carbon zones. As energy efficient-low carbon zones, whose inclusive growth strategy also emerges as a post-carbon economy claiming to be climate neutral.</w:t>
      </w:r>
    </w:p>
    <w:p w14:paraId="179153E0" w14:textId="77777777" w:rsidR="00AE134C" w:rsidRPr="00466924" w:rsidRDefault="00AE134C" w:rsidP="00AA28CB">
      <w:pPr>
        <w:spacing w:before="0" w:after="0" w:line="240" w:lineRule="auto"/>
        <w:jc w:val="left"/>
        <w:rPr>
          <w:rFonts w:cs="Arial"/>
        </w:rPr>
      </w:pPr>
    </w:p>
    <w:p w14:paraId="3D4B6602" w14:textId="77777777" w:rsidR="00E37D5A" w:rsidRPr="00466924" w:rsidRDefault="00E37D5A" w:rsidP="00AA28CB">
      <w:pPr>
        <w:spacing w:before="0" w:after="0" w:line="240" w:lineRule="auto"/>
        <w:jc w:val="left"/>
      </w:pPr>
      <w:r w:rsidRPr="00466924">
        <w:t xml:space="preserve">Keywords: </w:t>
      </w:r>
      <w:r w:rsidRPr="00466924">
        <w:rPr>
          <w:rFonts w:cs="Arial"/>
        </w:rPr>
        <w:t xml:space="preserve">smart cities, legacy systems, </w:t>
      </w:r>
      <w:r w:rsidR="000E625E">
        <w:rPr>
          <w:rFonts w:cs="Arial"/>
        </w:rPr>
        <w:t xml:space="preserve">digital infrastructures, data management systems, renewable energies, </w:t>
      </w:r>
      <w:r w:rsidR="0026013D">
        <w:rPr>
          <w:rFonts w:cs="Arial"/>
        </w:rPr>
        <w:t xml:space="preserve">internet of things, </w:t>
      </w:r>
      <w:r w:rsidR="00E043A3" w:rsidRPr="00466924">
        <w:rPr>
          <w:rFonts w:cs="Arial"/>
        </w:rPr>
        <w:t xml:space="preserve">regional innovation, </w:t>
      </w:r>
      <w:r w:rsidRPr="00466924">
        <w:rPr>
          <w:rFonts w:cs="Arial"/>
        </w:rPr>
        <w:t>urban morphology, under-gridding,</w:t>
      </w:r>
      <w:r w:rsidR="000E625E">
        <w:rPr>
          <w:rFonts w:cs="Arial"/>
        </w:rPr>
        <w:t xml:space="preserve"> </w:t>
      </w:r>
      <w:r w:rsidR="00E043A3" w:rsidRPr="00466924">
        <w:rPr>
          <w:rFonts w:cs="Arial"/>
        </w:rPr>
        <w:t>city-districts</w:t>
      </w:r>
      <w:r w:rsidRPr="00466924">
        <w:rPr>
          <w:rFonts w:cs="Arial"/>
        </w:rPr>
        <w:t>, sustainability, mass retrofit, en</w:t>
      </w:r>
      <w:r w:rsidR="006566F4" w:rsidRPr="00466924">
        <w:rPr>
          <w:rFonts w:cs="Arial"/>
        </w:rPr>
        <w:t>ergy efficient-</w:t>
      </w:r>
      <w:r w:rsidRPr="00466924">
        <w:rPr>
          <w:rFonts w:cs="Arial"/>
        </w:rPr>
        <w:t>low carbon zone</w:t>
      </w:r>
      <w:r w:rsidR="0040007A" w:rsidRPr="00466924">
        <w:rPr>
          <w:rFonts w:cs="Arial"/>
        </w:rPr>
        <w:t>s</w:t>
      </w:r>
      <w:r w:rsidRPr="00466924">
        <w:rPr>
          <w:rFonts w:cs="Arial"/>
        </w:rPr>
        <w:t>.</w:t>
      </w:r>
    </w:p>
    <w:p w14:paraId="109525F5" w14:textId="77777777" w:rsidR="001628D3" w:rsidRPr="00466924" w:rsidRDefault="00A238D1" w:rsidP="00AA28CB">
      <w:pPr>
        <w:spacing w:before="0" w:after="0" w:line="240" w:lineRule="auto"/>
        <w:jc w:val="left"/>
      </w:pPr>
      <w:r w:rsidRPr="00466924">
        <w:t xml:space="preserve"> </w:t>
      </w:r>
    </w:p>
    <w:p w14:paraId="44DDE991" w14:textId="77777777" w:rsidR="00626EA1" w:rsidRPr="00466924" w:rsidRDefault="00626EA1" w:rsidP="00F37FED">
      <w:pPr>
        <w:pStyle w:val="ListParagraph"/>
        <w:numPr>
          <w:ilvl w:val="0"/>
          <w:numId w:val="41"/>
        </w:numPr>
        <w:spacing w:before="0" w:after="0" w:line="240" w:lineRule="auto"/>
        <w:ind w:left="284" w:hanging="284"/>
        <w:rPr>
          <w:b/>
        </w:rPr>
      </w:pPr>
      <w:r w:rsidRPr="00466924">
        <w:rPr>
          <w:b/>
        </w:rPr>
        <w:t xml:space="preserve">Introduction </w:t>
      </w:r>
    </w:p>
    <w:p w14:paraId="1056370C" w14:textId="77777777" w:rsidR="002F027D" w:rsidRPr="00466924" w:rsidRDefault="002F027D" w:rsidP="002F027D">
      <w:pPr>
        <w:spacing w:before="0" w:after="0" w:line="240" w:lineRule="auto"/>
        <w:rPr>
          <w:b/>
        </w:rPr>
      </w:pPr>
    </w:p>
    <w:p w14:paraId="568A72E4" w14:textId="77777777" w:rsidR="00BE0B67" w:rsidRPr="00466924" w:rsidRDefault="002F027D" w:rsidP="00D06663">
      <w:pPr>
        <w:spacing w:before="0" w:after="0" w:line="240" w:lineRule="auto"/>
        <w:jc w:val="left"/>
        <w:rPr>
          <w:rFonts w:cs="Arial"/>
        </w:rPr>
      </w:pPr>
      <w:r w:rsidRPr="00466924">
        <w:rPr>
          <w:rFonts w:cs="Arial"/>
        </w:rPr>
        <w:t>This paper shall summari</w:t>
      </w:r>
      <w:r w:rsidR="00D924B4">
        <w:rPr>
          <w:rFonts w:cs="Arial"/>
        </w:rPr>
        <w:t>s</w:t>
      </w:r>
      <w:r w:rsidRPr="00466924">
        <w:rPr>
          <w:rFonts w:cs="Arial"/>
        </w:rPr>
        <w:t xml:space="preserve">e the findings of </w:t>
      </w:r>
      <w:r w:rsidR="00CF7475">
        <w:rPr>
          <w:rFonts w:cs="Arial"/>
        </w:rPr>
        <w:t>a</w:t>
      </w:r>
      <w:r w:rsidRPr="00466924">
        <w:rPr>
          <w:rFonts w:cs="Arial"/>
        </w:rPr>
        <w:t xml:space="preserve"> literature review on smart cities and go on to provide an overview of the cr</w:t>
      </w:r>
      <w:r w:rsidR="00BE0B67" w:rsidRPr="00466924">
        <w:rPr>
          <w:rFonts w:cs="Arial"/>
        </w:rPr>
        <w:t xml:space="preserve">itical insights it offers into the metrics of a </w:t>
      </w:r>
      <w:r w:rsidRPr="00466924">
        <w:rPr>
          <w:rFonts w:cs="Arial"/>
        </w:rPr>
        <w:t xml:space="preserve">future internet-based </w:t>
      </w:r>
      <w:r w:rsidR="00382FDE">
        <w:rPr>
          <w:rFonts w:cs="Arial"/>
        </w:rPr>
        <w:t>development</w:t>
      </w:r>
      <w:r w:rsidR="009A2147" w:rsidRPr="00466924">
        <w:rPr>
          <w:rFonts w:cs="Arial"/>
        </w:rPr>
        <w:t xml:space="preserve"> promoted </w:t>
      </w:r>
      <w:r w:rsidR="00BE0B67" w:rsidRPr="00466924">
        <w:rPr>
          <w:rFonts w:cs="Arial"/>
        </w:rPr>
        <w:t>by Manchester, Amsterdam, Malmo and Barcelona to</w:t>
      </w:r>
      <w:r w:rsidRPr="00466924">
        <w:rPr>
          <w:rFonts w:cs="Arial"/>
        </w:rPr>
        <w:t xml:space="preserve"> under</w:t>
      </w:r>
      <w:r w:rsidR="00BE0B67" w:rsidRPr="00466924">
        <w:rPr>
          <w:rFonts w:cs="Arial"/>
        </w:rPr>
        <w:t>-</w:t>
      </w:r>
      <w:r w:rsidRPr="00466924">
        <w:rPr>
          <w:rFonts w:cs="Arial"/>
        </w:rPr>
        <w:t>grid the sustain</w:t>
      </w:r>
      <w:r w:rsidR="00384CC4" w:rsidRPr="00466924">
        <w:rPr>
          <w:rFonts w:cs="Arial"/>
        </w:rPr>
        <w:t>ability of city-districts</w:t>
      </w:r>
      <w:r w:rsidR="009A2147" w:rsidRPr="00466924">
        <w:rPr>
          <w:rFonts w:cs="Arial"/>
        </w:rPr>
        <w:t>. Th</w:t>
      </w:r>
      <w:r w:rsidR="001E492D">
        <w:rPr>
          <w:rFonts w:cs="Arial"/>
        </w:rPr>
        <w:t xml:space="preserve">at type of sustainable </w:t>
      </w:r>
      <w:r w:rsidR="009A2147" w:rsidRPr="00466924">
        <w:rPr>
          <w:rFonts w:cs="Arial"/>
        </w:rPr>
        <w:t>city-district</w:t>
      </w:r>
      <w:r w:rsidR="001E492D">
        <w:rPr>
          <w:rFonts w:cs="Arial"/>
        </w:rPr>
        <w:t xml:space="preserve">, which </w:t>
      </w:r>
      <w:r w:rsidR="009A2147" w:rsidRPr="00466924">
        <w:rPr>
          <w:rFonts w:cs="Arial"/>
        </w:rPr>
        <w:t>London, Stockholm, Rome, Vienna and Hamburg</w:t>
      </w:r>
      <w:r w:rsidR="001E492D">
        <w:rPr>
          <w:rFonts w:cs="Arial"/>
        </w:rPr>
        <w:t xml:space="preserve"> are also in the process of developing</w:t>
      </w:r>
      <w:r w:rsidR="001E492D" w:rsidRPr="00466924">
        <w:rPr>
          <w:rFonts w:cs="Arial"/>
        </w:rPr>
        <w:t xml:space="preserve"> as energy efficient-low carbon zones</w:t>
      </w:r>
      <w:r w:rsidR="009A2147" w:rsidRPr="00466924">
        <w:rPr>
          <w:rFonts w:cs="Arial"/>
        </w:rPr>
        <w:t>.</w:t>
      </w:r>
      <w:r w:rsidR="00BE0B67" w:rsidRPr="00466924">
        <w:rPr>
          <w:rFonts w:cs="Arial"/>
        </w:rPr>
        <w:t xml:space="preserve"> </w:t>
      </w:r>
    </w:p>
    <w:p w14:paraId="18668320" w14:textId="77777777" w:rsidR="0077633E" w:rsidRPr="00466924" w:rsidRDefault="0077633E" w:rsidP="00D06663">
      <w:pPr>
        <w:spacing w:before="0" w:after="0" w:line="240" w:lineRule="auto"/>
        <w:jc w:val="left"/>
        <w:rPr>
          <w:rFonts w:cs="Arial"/>
        </w:rPr>
      </w:pPr>
    </w:p>
    <w:p w14:paraId="2FC1247D" w14:textId="3E1CC310" w:rsidR="009A2147" w:rsidRPr="00466924" w:rsidRDefault="00384CC4" w:rsidP="00D06663">
      <w:pPr>
        <w:spacing w:before="0" w:after="0" w:line="240" w:lineRule="auto"/>
        <w:jc w:val="left"/>
        <w:rPr>
          <w:rFonts w:cs="Arial"/>
        </w:rPr>
      </w:pPr>
      <w:r w:rsidRPr="00466924">
        <w:rPr>
          <w:rFonts w:cs="Arial"/>
        </w:rPr>
        <w:t xml:space="preserve">Against this backdrop, the paper </w:t>
      </w:r>
      <w:r w:rsidR="0077633E" w:rsidRPr="00466924">
        <w:rPr>
          <w:rFonts w:cs="Arial"/>
        </w:rPr>
        <w:t>goes on to examine</w:t>
      </w:r>
      <w:r w:rsidR="009A2147" w:rsidRPr="00466924">
        <w:t xml:space="preserve"> the </w:t>
      </w:r>
      <w:r w:rsidR="001E492D">
        <w:t xml:space="preserve">digital infrastructures, data management systems and renewable </w:t>
      </w:r>
      <w:r w:rsidR="00B35A0D">
        <w:t>energ</w:t>
      </w:r>
      <w:r w:rsidR="008C1416">
        <w:t>ies</w:t>
      </w:r>
      <w:r w:rsidR="00DA63C1">
        <w:t xml:space="preserve"> </w:t>
      </w:r>
      <w:r w:rsidR="001E492D">
        <w:t>underpinning</w:t>
      </w:r>
      <w:r w:rsidR="0077633E" w:rsidRPr="00466924">
        <w:t xml:space="preserve"> the mass retrofitting of</w:t>
      </w:r>
      <w:r w:rsidR="009A2147" w:rsidRPr="00466924">
        <w:t xml:space="preserve"> Hackbridge (a suburb in the London Borough of Sutton</w:t>
      </w:r>
      <w:r w:rsidR="00E043A3" w:rsidRPr="00466924">
        <w:t>)</w:t>
      </w:r>
      <w:r w:rsidR="008C1416">
        <w:t xml:space="preserve"> as a city-district</w:t>
      </w:r>
      <w:r w:rsidR="00B35A0D">
        <w:t>. I</w:t>
      </w:r>
      <w:r w:rsidR="00E043A3" w:rsidRPr="00466924">
        <w:t xml:space="preserve">n particular, </w:t>
      </w:r>
      <w:r w:rsidR="006842D9">
        <w:t>as the city-district whose digital infrastructures</w:t>
      </w:r>
      <w:r w:rsidR="006855DB">
        <w:t xml:space="preserve"> and </w:t>
      </w:r>
      <w:r w:rsidR="006842D9">
        <w:t xml:space="preserve"> </w:t>
      </w:r>
      <w:r w:rsidR="00DA63C1">
        <w:t xml:space="preserve">data management systems </w:t>
      </w:r>
      <w:r w:rsidR="006842D9">
        <w:t>support future internet-based developments on the grounds</w:t>
      </w:r>
      <w:r w:rsidR="00B30B8F">
        <w:t xml:space="preserve"> the cloud computing and IoT</w:t>
      </w:r>
      <w:r w:rsidR="00DA63C1">
        <w:t xml:space="preserve"> </w:t>
      </w:r>
      <w:r w:rsidR="00B30B8F">
        <w:t xml:space="preserve">they </w:t>
      </w:r>
      <w:r w:rsidR="002D31FB">
        <w:t>found</w:t>
      </w:r>
      <w:r w:rsidR="005977B7">
        <w:t>,</w:t>
      </w:r>
      <w:r w:rsidR="00B30B8F">
        <w:t xml:space="preserve"> constitute the governances </w:t>
      </w:r>
      <w:r w:rsidR="009A2147" w:rsidRPr="00466924">
        <w:t xml:space="preserve">of </w:t>
      </w:r>
      <w:r w:rsidR="00B30B8F">
        <w:t>a</w:t>
      </w:r>
      <w:r w:rsidR="009A2147" w:rsidRPr="00466924">
        <w:t xml:space="preserve"> smart, sustainable and inclusive growth strategy. </w:t>
      </w:r>
      <w:r w:rsidR="002D31FB">
        <w:t>Constitute t</w:t>
      </w:r>
      <w:r w:rsidR="0077633E" w:rsidRPr="00466924">
        <w:t>h</w:t>
      </w:r>
      <w:r w:rsidR="005977B7">
        <w:t>e governances of a</w:t>
      </w:r>
      <w:r w:rsidR="00E043A3" w:rsidRPr="00466924">
        <w:t xml:space="preserve"> growth strategy</w:t>
      </w:r>
      <w:r w:rsidR="002D31FB">
        <w:t xml:space="preserve"> that</w:t>
      </w:r>
      <w:r w:rsidR="00AB0A83">
        <w:t xml:space="preserve"> is</w:t>
      </w:r>
      <w:r w:rsidR="009A2147" w:rsidRPr="00466924">
        <w:t xml:space="preserve"> </w:t>
      </w:r>
      <w:r w:rsidR="0077633E" w:rsidRPr="00466924">
        <w:t xml:space="preserve">not only </w:t>
      </w:r>
      <w:r w:rsidR="00AB0A83">
        <w:t xml:space="preserve">smart in </w:t>
      </w:r>
      <w:r w:rsidR="00B30B8F">
        <w:t xml:space="preserve">getting the </w:t>
      </w:r>
      <w:r w:rsidR="005977B7">
        <w:t xml:space="preserve">cloud computing of </w:t>
      </w:r>
      <w:r w:rsidR="00F665E7">
        <w:t>an I</w:t>
      </w:r>
      <w:r w:rsidR="005977B7">
        <w:t>oT</w:t>
      </w:r>
      <w:r w:rsidR="00B30B8F">
        <w:t xml:space="preserve"> to support future internet-based developments, which </w:t>
      </w:r>
      <w:r w:rsidR="009A2147" w:rsidRPr="00466924">
        <w:t xml:space="preserve">under-grid </w:t>
      </w:r>
      <w:r w:rsidR="001E492D">
        <w:t xml:space="preserve">the sustainability of </w:t>
      </w:r>
      <w:r w:rsidR="008C1416">
        <w:t>city-district</w:t>
      </w:r>
      <w:r w:rsidR="002D31FB">
        <w:t>s</w:t>
      </w:r>
      <w:r w:rsidR="008C1416">
        <w:t xml:space="preserve"> as</w:t>
      </w:r>
      <w:r w:rsidR="009A2147" w:rsidRPr="00466924">
        <w:t xml:space="preserve"> energy efficient-l</w:t>
      </w:r>
      <w:r w:rsidR="00E043A3" w:rsidRPr="00466924">
        <w:t>ow carbon zone</w:t>
      </w:r>
      <w:r w:rsidR="002D31FB">
        <w:t>s</w:t>
      </w:r>
      <w:r w:rsidR="00E043A3" w:rsidRPr="00466924">
        <w:t>, but</w:t>
      </w:r>
      <w:r w:rsidR="0077633E" w:rsidRPr="00466924">
        <w:t xml:space="preserve"> </w:t>
      </w:r>
      <w:r w:rsidR="00E043A3" w:rsidRPr="00466924">
        <w:t xml:space="preserve">that also holds out the prospect of creating wealth </w:t>
      </w:r>
      <w:r w:rsidR="009A2147" w:rsidRPr="00466924">
        <w:t>from a regional in</w:t>
      </w:r>
      <w:r w:rsidR="00E043A3" w:rsidRPr="00466924">
        <w:t xml:space="preserve">novation, which </w:t>
      </w:r>
      <w:r w:rsidR="00C26898">
        <w:t>is</w:t>
      </w:r>
      <w:r w:rsidR="009A2147" w:rsidRPr="00466924">
        <w:t xml:space="preserve"> </w:t>
      </w:r>
      <w:r w:rsidR="004748A2">
        <w:t>inclusive</w:t>
      </w:r>
      <w:r w:rsidR="009A2147" w:rsidRPr="00466924">
        <w:t xml:space="preserve">. </w:t>
      </w:r>
    </w:p>
    <w:p w14:paraId="1FA19C4A" w14:textId="77777777" w:rsidR="002F027D" w:rsidRPr="00466924" w:rsidRDefault="002F027D" w:rsidP="002F027D">
      <w:pPr>
        <w:spacing w:before="0" w:after="0" w:line="240" w:lineRule="auto"/>
        <w:rPr>
          <w:b/>
        </w:rPr>
      </w:pPr>
    </w:p>
    <w:p w14:paraId="15F5844C" w14:textId="77777777" w:rsidR="002F027D" w:rsidRPr="00466924" w:rsidRDefault="002F027D" w:rsidP="002F027D">
      <w:pPr>
        <w:spacing w:before="0" w:after="0" w:line="240" w:lineRule="auto"/>
        <w:rPr>
          <w:b/>
        </w:rPr>
      </w:pPr>
      <w:r w:rsidRPr="00466924">
        <w:rPr>
          <w:b/>
        </w:rPr>
        <w:t>2. Literature review</w:t>
      </w:r>
    </w:p>
    <w:p w14:paraId="06E1210B" w14:textId="77777777" w:rsidR="00AA28CB" w:rsidRPr="00466924" w:rsidRDefault="00AA28CB" w:rsidP="00AA28CB">
      <w:pPr>
        <w:spacing w:before="0" w:after="0" w:line="240" w:lineRule="auto"/>
        <w:rPr>
          <w:b/>
        </w:rPr>
      </w:pPr>
    </w:p>
    <w:p w14:paraId="05BD56C7" w14:textId="77777777" w:rsidR="00626EA1" w:rsidRPr="00466924" w:rsidRDefault="00382FDE" w:rsidP="00AA28CB">
      <w:pPr>
        <w:spacing w:before="0" w:after="0" w:line="240" w:lineRule="auto"/>
      </w:pPr>
      <w:r>
        <w:t>Reporting on the findings of a bibliometric analysis</w:t>
      </w:r>
      <w:r w:rsidR="00626EA1" w:rsidRPr="00466924">
        <w:t>, de Jong et al. (2015:34) state:</w:t>
      </w:r>
    </w:p>
    <w:p w14:paraId="4BB6B11C" w14:textId="77777777" w:rsidR="00040BB3" w:rsidRPr="00466924" w:rsidRDefault="00040BB3" w:rsidP="00AA28CB">
      <w:pPr>
        <w:spacing w:before="0" w:after="0" w:line="240" w:lineRule="auto"/>
      </w:pPr>
    </w:p>
    <w:p w14:paraId="3AB56E71" w14:textId="77777777" w:rsidR="00626EA1" w:rsidRPr="00466924" w:rsidRDefault="00626EA1" w:rsidP="00AA28CB">
      <w:pPr>
        <w:autoSpaceDE w:val="0"/>
        <w:autoSpaceDN w:val="0"/>
        <w:adjustRightInd w:val="0"/>
        <w:spacing w:before="0" w:after="0" w:line="240" w:lineRule="auto"/>
        <w:jc w:val="left"/>
        <w:rPr>
          <w:rFonts w:asciiTheme="majorHAnsi" w:eastAsia="MS Mincho" w:hAnsiTheme="majorHAnsi" w:cstheme="majorHAnsi"/>
          <w:i/>
          <w:lang w:eastAsia="en-GB"/>
        </w:rPr>
      </w:pPr>
      <w:r w:rsidRPr="00466924">
        <w:rPr>
          <w:rFonts w:asciiTheme="majorHAnsi" w:eastAsia="MS Mincho" w:hAnsiTheme="majorHAnsi" w:cstheme="majorHAnsi"/>
          <w:i/>
          <w:lang w:eastAsia="en-GB"/>
        </w:rPr>
        <w:t>“…the category ‘smart city’ has proven particularly popular not only among adopting cities, but also among large engineering firms, because it offers concrete innovation and investment opportunities for physical urban and infrastructure development. It promotes engineering system solutions”.</w:t>
      </w:r>
    </w:p>
    <w:p w14:paraId="5D5AB4C6" w14:textId="77777777" w:rsidR="00762649" w:rsidRPr="00466924" w:rsidRDefault="00762649" w:rsidP="00AA28CB">
      <w:pPr>
        <w:spacing w:before="0" w:after="0" w:line="240" w:lineRule="auto"/>
        <w:jc w:val="left"/>
      </w:pPr>
    </w:p>
    <w:p w14:paraId="7BD5F3F5" w14:textId="77777777" w:rsidR="00175DD3" w:rsidRPr="00466924" w:rsidRDefault="00E043A3" w:rsidP="00AA28CB">
      <w:pPr>
        <w:adjustRightInd w:val="0"/>
        <w:spacing w:before="0" w:after="0" w:line="240" w:lineRule="auto"/>
        <w:jc w:val="left"/>
        <w:rPr>
          <w:rFonts w:cs="Arial"/>
        </w:rPr>
      </w:pPr>
      <w:r w:rsidRPr="00466924">
        <w:rPr>
          <w:rFonts w:cs="Arial"/>
        </w:rPr>
        <w:t>Deakin (2011, 2013, 2014) and</w:t>
      </w:r>
      <w:r w:rsidR="00780C70" w:rsidRPr="00466924">
        <w:rPr>
          <w:rFonts w:cs="Arial"/>
        </w:rPr>
        <w:t xml:space="preserve"> </w:t>
      </w:r>
      <w:r w:rsidR="00EF5DC7" w:rsidRPr="00466924">
        <w:rPr>
          <w:rFonts w:cs="Arial"/>
        </w:rPr>
        <w:t>Deak</w:t>
      </w:r>
      <w:r w:rsidR="001B738F" w:rsidRPr="00466924">
        <w:rPr>
          <w:rFonts w:cs="Arial"/>
        </w:rPr>
        <w:t>in et al. (2012a, 2012b, 2014)</w:t>
      </w:r>
      <w:r w:rsidR="009D7069" w:rsidRPr="00466924">
        <w:rPr>
          <w:rFonts w:cs="Arial"/>
        </w:rPr>
        <w:t xml:space="preserve"> also examine the popularity of the “conc</w:t>
      </w:r>
      <w:r w:rsidR="000E666A" w:rsidRPr="00466924">
        <w:rPr>
          <w:rFonts w:cs="Arial"/>
        </w:rPr>
        <w:t xml:space="preserve">rete innovation and investment </w:t>
      </w:r>
      <w:r w:rsidR="009D7069" w:rsidRPr="00466924">
        <w:rPr>
          <w:rFonts w:cs="Arial"/>
        </w:rPr>
        <w:t>opportunities</w:t>
      </w:r>
      <w:r w:rsidR="00581A8E" w:rsidRPr="00466924">
        <w:rPr>
          <w:rFonts w:cs="Arial"/>
        </w:rPr>
        <w:t>”</w:t>
      </w:r>
      <w:r w:rsidR="009D7069" w:rsidRPr="00466924">
        <w:rPr>
          <w:rFonts w:cs="Arial"/>
        </w:rPr>
        <w:t xml:space="preserve"> smart cities offer in terms of “physical and infrastructural </w:t>
      </w:r>
      <w:r w:rsidR="009D7069" w:rsidRPr="00466924">
        <w:rPr>
          <w:rFonts w:cs="Arial"/>
        </w:rPr>
        <w:lastRenderedPageBreak/>
        <w:t>development”. Here</w:t>
      </w:r>
      <w:r w:rsidR="00581A8E" w:rsidRPr="00466924">
        <w:rPr>
          <w:rFonts w:cs="Arial"/>
        </w:rPr>
        <w:t>,</w:t>
      </w:r>
      <w:r w:rsidR="009D7069" w:rsidRPr="00466924">
        <w:rPr>
          <w:rFonts w:cs="Arial"/>
        </w:rPr>
        <w:t xml:space="preserve"> the analysis progresses </w:t>
      </w:r>
      <w:r w:rsidR="00126573">
        <w:rPr>
          <w:rFonts w:cs="Arial"/>
        </w:rPr>
        <w:t xml:space="preserve">not </w:t>
      </w:r>
      <w:r w:rsidR="009D7069" w:rsidRPr="00466924">
        <w:rPr>
          <w:rFonts w:cs="Arial"/>
        </w:rPr>
        <w:t xml:space="preserve">by way of a </w:t>
      </w:r>
      <w:r w:rsidR="00F23A49">
        <w:rPr>
          <w:rFonts w:cs="Arial"/>
        </w:rPr>
        <w:t xml:space="preserve">bibliometric analysis, but </w:t>
      </w:r>
      <w:r w:rsidR="009D7069" w:rsidRPr="00466924">
        <w:rPr>
          <w:rFonts w:cs="Arial"/>
        </w:rPr>
        <w:t>literature review</w:t>
      </w:r>
      <w:r w:rsidR="00780C70" w:rsidRPr="00466924">
        <w:rPr>
          <w:rFonts w:cs="Arial"/>
        </w:rPr>
        <w:t xml:space="preserve"> </w:t>
      </w:r>
      <w:r w:rsidR="001B738F" w:rsidRPr="00466924">
        <w:rPr>
          <w:rFonts w:cs="Arial"/>
        </w:rPr>
        <w:t xml:space="preserve">and </w:t>
      </w:r>
      <w:r w:rsidR="004B4957">
        <w:rPr>
          <w:rFonts w:cs="Arial"/>
        </w:rPr>
        <w:t xml:space="preserve">critical synthesis of the </w:t>
      </w:r>
      <w:r w:rsidR="00175DD3" w:rsidRPr="00466924">
        <w:rPr>
          <w:rFonts w:cs="Arial"/>
        </w:rPr>
        <w:t>emerging accounts</w:t>
      </w:r>
      <w:r w:rsidR="001B738F" w:rsidRPr="00466924">
        <w:rPr>
          <w:rFonts w:cs="Arial"/>
        </w:rPr>
        <w:t xml:space="preserve"> </w:t>
      </w:r>
      <w:r w:rsidR="00F23A49">
        <w:rPr>
          <w:rFonts w:cs="Arial"/>
        </w:rPr>
        <w:t xml:space="preserve">of smart cities </w:t>
      </w:r>
      <w:r w:rsidR="001B738F" w:rsidRPr="00466924">
        <w:rPr>
          <w:rFonts w:cs="Arial"/>
        </w:rPr>
        <w:t>this captures</w:t>
      </w:r>
      <w:r w:rsidR="00175DD3" w:rsidRPr="00466924">
        <w:rPr>
          <w:rFonts w:cs="Arial"/>
        </w:rPr>
        <w:t>.</w:t>
      </w:r>
      <w:r w:rsidR="00B91540" w:rsidRPr="00466924">
        <w:rPr>
          <w:rFonts w:cs="Arial"/>
        </w:rPr>
        <w:t xml:space="preserve"> In particular, t</w:t>
      </w:r>
      <w:r w:rsidR="00F23A49">
        <w:rPr>
          <w:rFonts w:cs="Arial"/>
        </w:rPr>
        <w:t>hat literature, which accounts</w:t>
      </w:r>
      <w:r w:rsidR="00B91540" w:rsidRPr="00466924">
        <w:rPr>
          <w:rFonts w:cs="Arial"/>
        </w:rPr>
        <w:t xml:space="preserve"> for the development</w:t>
      </w:r>
      <w:r w:rsidR="003B0967">
        <w:rPr>
          <w:rFonts w:cs="Arial"/>
        </w:rPr>
        <w:t xml:space="preserve"> of</w:t>
      </w:r>
      <w:r w:rsidR="00B91540" w:rsidRPr="00466924">
        <w:rPr>
          <w:rFonts w:cs="Arial"/>
        </w:rPr>
        <w:t xml:space="preserve"> </w:t>
      </w:r>
      <w:r w:rsidR="00F63830" w:rsidRPr="00466924">
        <w:rPr>
          <w:rFonts w:cs="Arial"/>
        </w:rPr>
        <w:t xml:space="preserve">smart cities </w:t>
      </w:r>
      <w:r w:rsidR="00B91540" w:rsidRPr="00466924">
        <w:rPr>
          <w:rFonts w:cs="Arial"/>
        </w:rPr>
        <w:t>by way of Ranking Systems and through</w:t>
      </w:r>
      <w:r w:rsidR="00175DD3" w:rsidRPr="00466924">
        <w:rPr>
          <w:rFonts w:cs="Arial"/>
        </w:rPr>
        <w:t xml:space="preserve"> Futur</w:t>
      </w:r>
      <w:r w:rsidR="00B91540" w:rsidRPr="00466924">
        <w:rPr>
          <w:rFonts w:cs="Arial"/>
        </w:rPr>
        <w:t>e Internet and Tri</w:t>
      </w:r>
      <w:r w:rsidR="00F63830" w:rsidRPr="00466924">
        <w:rPr>
          <w:rFonts w:cs="Arial"/>
        </w:rPr>
        <w:t>ple Helix models</w:t>
      </w:r>
      <w:r w:rsidR="0077541F">
        <w:rPr>
          <w:rFonts w:cs="Arial"/>
        </w:rPr>
        <w:t xml:space="preserve"> of </w:t>
      </w:r>
      <w:r w:rsidR="004B4957">
        <w:rPr>
          <w:rFonts w:cs="Arial"/>
        </w:rPr>
        <w:t>them as</w:t>
      </w:r>
      <w:r w:rsidR="0077541F">
        <w:rPr>
          <w:rFonts w:cs="Arial"/>
        </w:rPr>
        <w:t xml:space="preserve"> regional innovations</w:t>
      </w:r>
      <w:r w:rsidR="00175DD3" w:rsidRPr="00466924">
        <w:rPr>
          <w:rFonts w:cs="Arial"/>
        </w:rPr>
        <w:t xml:space="preserve">. </w:t>
      </w:r>
    </w:p>
    <w:p w14:paraId="59FCEAA6" w14:textId="77777777" w:rsidR="00762649" w:rsidRPr="00466924" w:rsidRDefault="00762649" w:rsidP="00AA28CB">
      <w:pPr>
        <w:spacing w:before="0" w:after="0" w:line="240" w:lineRule="auto"/>
        <w:jc w:val="left"/>
      </w:pPr>
    </w:p>
    <w:p w14:paraId="56C2CAD4" w14:textId="2232D33E" w:rsidR="00F16718" w:rsidRDefault="00126573" w:rsidP="0058471C">
      <w:pPr>
        <w:spacing w:before="0" w:after="0" w:line="240" w:lineRule="auto"/>
        <w:jc w:val="left"/>
      </w:pPr>
      <w:r>
        <w:t>This reveals that f</w:t>
      </w:r>
      <w:r w:rsidR="00175DD3" w:rsidRPr="00466924">
        <w:t xml:space="preserve">or Giffinger et al. </w:t>
      </w:r>
      <w:r w:rsidR="00EA733A" w:rsidRPr="00466924">
        <w:t>(</w:t>
      </w:r>
      <w:r w:rsidR="00175DD3" w:rsidRPr="00466924">
        <w:t>2008</w:t>
      </w:r>
      <w:r w:rsidR="00EA733A" w:rsidRPr="00466924">
        <w:t>)</w:t>
      </w:r>
      <w:r w:rsidR="00175DD3" w:rsidRPr="00466924">
        <w:t xml:space="preserve"> </w:t>
      </w:r>
      <w:r w:rsidR="00B91540" w:rsidRPr="00466924">
        <w:t>Ranking Systems</w:t>
      </w:r>
      <w:r w:rsidR="004F0931" w:rsidRPr="00466924">
        <w:t xml:space="preserve"> offer </w:t>
      </w:r>
      <w:r w:rsidR="00175DD3" w:rsidRPr="00466924">
        <w:t>a means</w:t>
      </w:r>
      <w:r w:rsidR="00562D78" w:rsidRPr="00466924">
        <w:t xml:space="preserve"> </w:t>
      </w:r>
      <w:r>
        <w:t xml:space="preserve">by which </w:t>
      </w:r>
      <w:r w:rsidR="00562D78" w:rsidRPr="00466924">
        <w:t xml:space="preserve">cities </w:t>
      </w:r>
      <w:r>
        <w:t>can</w:t>
      </w:r>
      <w:r w:rsidR="00562D78" w:rsidRPr="00466924">
        <w:t xml:space="preserve"> </w:t>
      </w:r>
      <w:r w:rsidR="002B4260" w:rsidRPr="00466924">
        <w:t>“</w:t>
      </w:r>
      <w:r w:rsidR="00562D78" w:rsidRPr="00466924">
        <w:t>out-smart</w:t>
      </w:r>
      <w:r w:rsidR="002B4260" w:rsidRPr="00466924">
        <w:t>”</w:t>
      </w:r>
      <w:r w:rsidR="00B91540" w:rsidRPr="00466924">
        <w:t xml:space="preserve"> one another </w:t>
      </w:r>
      <w:r w:rsidR="00175DD3" w:rsidRPr="00466924">
        <w:t>in</w:t>
      </w:r>
      <w:r w:rsidR="004F0931" w:rsidRPr="00466924">
        <w:t xml:space="preserve"> terms of</w:t>
      </w:r>
      <w:r w:rsidR="00175DD3" w:rsidRPr="00466924">
        <w:t xml:space="preserve"> marketing the </w:t>
      </w:r>
      <w:r w:rsidR="003D6C13" w:rsidRPr="00466924">
        <w:t>innovative qualities</w:t>
      </w:r>
      <w:r w:rsidR="0077541F">
        <w:t xml:space="preserve"> of smart cities</w:t>
      </w:r>
      <w:r w:rsidR="00175DD3" w:rsidRPr="00466924">
        <w:t>. In this</w:t>
      </w:r>
      <w:r w:rsidR="00B91540" w:rsidRPr="00466924">
        <w:t xml:space="preserve"> account</w:t>
      </w:r>
      <w:r w:rsidR="00175DD3" w:rsidRPr="00466924">
        <w:t xml:space="preserve">, standard ranking procedures are recast by prefixing </w:t>
      </w:r>
      <w:r w:rsidR="00B91540" w:rsidRPr="00466924">
        <w:t xml:space="preserve">the </w:t>
      </w:r>
      <w:r w:rsidR="00562D78" w:rsidRPr="00466924">
        <w:t>word</w:t>
      </w:r>
      <w:r w:rsidR="00B91540" w:rsidRPr="00466924">
        <w:t xml:space="preserve"> </w:t>
      </w:r>
      <w:r w:rsidR="00F23A49">
        <w:t>“</w:t>
      </w:r>
      <w:r w:rsidR="00B91540" w:rsidRPr="00466924">
        <w:t>smart</w:t>
      </w:r>
      <w:r w:rsidR="00F23A49">
        <w:t>”</w:t>
      </w:r>
      <w:r w:rsidR="002B2027">
        <w:t xml:space="preserve"> </w:t>
      </w:r>
      <w:r w:rsidR="00B91540" w:rsidRPr="00466924">
        <w:t xml:space="preserve">to </w:t>
      </w:r>
      <w:r w:rsidR="004B4957">
        <w:t>cities</w:t>
      </w:r>
      <w:r w:rsidR="00F23A49">
        <w:t>, which out-perform one another and by</w:t>
      </w:r>
      <w:r w:rsidR="004B4957">
        <w:t xml:space="preserve"> attributing terms</w:t>
      </w:r>
      <w:r w:rsidR="00175DD3" w:rsidRPr="00466924">
        <w:t xml:space="preserve"> </w:t>
      </w:r>
      <w:r w:rsidR="00F23A49">
        <w:t>such as</w:t>
      </w:r>
      <w:r w:rsidR="00175DD3" w:rsidRPr="00466924">
        <w:t xml:space="preserve"> economy, people, governance, mobility, environment</w:t>
      </w:r>
      <w:r w:rsidR="00562D78" w:rsidRPr="00466924">
        <w:t xml:space="preserve"> and </w:t>
      </w:r>
      <w:r>
        <w:t>quality of life</w:t>
      </w:r>
      <w:r w:rsidR="003D6C13" w:rsidRPr="00466924">
        <w:t xml:space="preserve"> to market the innovative qualities</w:t>
      </w:r>
      <w:r w:rsidR="00F23A49">
        <w:t xml:space="preserve"> that constitute</w:t>
      </w:r>
      <w:r w:rsidR="004B4957">
        <w:t xml:space="preserve"> smart cities</w:t>
      </w:r>
      <w:r w:rsidR="00040BB3" w:rsidRPr="00466924">
        <w:t>.</w:t>
      </w:r>
      <w:r w:rsidR="00E34302">
        <w:t xml:space="preserve"> </w:t>
      </w:r>
      <w:r w:rsidR="00175DD3" w:rsidRPr="00466924">
        <w:t xml:space="preserve">Schaffers et al. </w:t>
      </w:r>
      <w:r w:rsidR="00EA733A" w:rsidRPr="00466924">
        <w:t>(</w:t>
      </w:r>
      <w:r w:rsidR="00175DD3" w:rsidRPr="00466924">
        <w:t>2011</w:t>
      </w:r>
      <w:r w:rsidR="00EA733A" w:rsidRPr="00466924">
        <w:t>)</w:t>
      </w:r>
      <w:r w:rsidR="00C93356">
        <w:t xml:space="preserve"> </w:t>
      </w:r>
      <w:r w:rsidR="00780C70" w:rsidRPr="00466924">
        <w:t xml:space="preserve">suggest </w:t>
      </w:r>
      <w:r w:rsidR="00A70093">
        <w:t xml:space="preserve">something to the opposite and claim </w:t>
      </w:r>
      <w:r w:rsidR="00F27644" w:rsidRPr="00466924">
        <w:t xml:space="preserve">the marketing of </w:t>
      </w:r>
      <w:r w:rsidR="00E34302">
        <w:t>these</w:t>
      </w:r>
      <w:r w:rsidR="003D6C13" w:rsidRPr="00466924">
        <w:t xml:space="preserve"> i</w:t>
      </w:r>
      <w:r w:rsidR="00F27644" w:rsidRPr="00466924">
        <w:t>nnovative qualities</w:t>
      </w:r>
      <w:r w:rsidR="00040BB3" w:rsidRPr="00466924">
        <w:t xml:space="preserve"> </w:t>
      </w:r>
      <w:r w:rsidR="00780C70" w:rsidRPr="00466924">
        <w:t>rest</w:t>
      </w:r>
      <w:r w:rsidR="00EC2EA5" w:rsidRPr="00466924">
        <w:t xml:space="preserve"> not </w:t>
      </w:r>
      <w:r w:rsidR="00F27644" w:rsidRPr="00466924">
        <w:t xml:space="preserve">so much </w:t>
      </w:r>
      <w:r w:rsidR="00C93356">
        <w:t>on</w:t>
      </w:r>
      <w:r w:rsidR="00EC2EA5" w:rsidRPr="00466924">
        <w:t xml:space="preserve"> the </w:t>
      </w:r>
      <w:r w:rsidR="003B0967">
        <w:t xml:space="preserve">physical </w:t>
      </w:r>
      <w:r w:rsidR="00EC2EA5" w:rsidRPr="00466924">
        <w:t xml:space="preserve">existence </w:t>
      </w:r>
      <w:r w:rsidR="00A5691A" w:rsidRPr="00466924">
        <w:t xml:space="preserve">of </w:t>
      </w:r>
      <w:r w:rsidR="00E34302">
        <w:t>such</w:t>
      </w:r>
      <w:r w:rsidR="00EC2EA5" w:rsidRPr="00466924">
        <w:t xml:space="preserve"> attributes, but</w:t>
      </w:r>
      <w:r w:rsidR="00780C70" w:rsidRPr="00466924">
        <w:t xml:space="preserve"> </w:t>
      </w:r>
      <w:r w:rsidR="00F27644" w:rsidRPr="00466924">
        <w:t xml:space="preserve">instead </w:t>
      </w:r>
      <w:r w:rsidR="00C93356">
        <w:t>on</w:t>
      </w:r>
      <w:r w:rsidR="00175DD3" w:rsidRPr="00466924">
        <w:t xml:space="preserve"> th</w:t>
      </w:r>
      <w:r w:rsidR="004B4957">
        <w:t>e</w:t>
      </w:r>
      <w:r w:rsidR="00175DD3" w:rsidRPr="00466924">
        <w:t xml:space="preserve"> </w:t>
      </w:r>
      <w:r w:rsidR="008C004F" w:rsidRPr="00466924">
        <w:t>digital</w:t>
      </w:r>
      <w:r w:rsidR="006E6D49" w:rsidRPr="00466924">
        <w:t xml:space="preserve"> infrastructures</w:t>
      </w:r>
      <w:r w:rsidR="002D420E">
        <w:t xml:space="preserve"> that underpin </w:t>
      </w:r>
      <w:r w:rsidR="00DA4594">
        <w:t>smart cities</w:t>
      </w:r>
      <w:r w:rsidR="0077541F">
        <w:t xml:space="preserve"> as Future Internet</w:t>
      </w:r>
      <w:r w:rsidR="002D420E">
        <w:t xml:space="preserve"> developments</w:t>
      </w:r>
      <w:r w:rsidR="00311D53">
        <w:t xml:space="preserve">. </w:t>
      </w:r>
      <w:r w:rsidR="00E34302">
        <w:t xml:space="preserve">Unlike </w:t>
      </w:r>
      <w:r w:rsidR="00C84BBF" w:rsidRPr="00466924">
        <w:t>either Ranking</w:t>
      </w:r>
      <w:r w:rsidR="00A70093">
        <w:t xml:space="preserve"> Systems</w:t>
      </w:r>
      <w:r w:rsidR="00C84BBF" w:rsidRPr="00466924">
        <w:t>, or Future Internet</w:t>
      </w:r>
      <w:r w:rsidR="002F6F03" w:rsidRPr="00466924">
        <w:t xml:space="preserve"> accounts</w:t>
      </w:r>
      <w:r w:rsidR="00CA4CE0" w:rsidRPr="00466924">
        <w:t>, t</w:t>
      </w:r>
      <w:r w:rsidR="002F6F03" w:rsidRPr="00466924">
        <w:t>h</w:t>
      </w:r>
      <w:r w:rsidR="00311D53">
        <w:t xml:space="preserve">e Triple Helix </w:t>
      </w:r>
      <w:r w:rsidR="006E608B" w:rsidRPr="00466924">
        <w:t xml:space="preserve">model </w:t>
      </w:r>
      <w:r w:rsidR="0077541F">
        <w:t xml:space="preserve">of smart cities </w:t>
      </w:r>
      <w:r w:rsidR="006E608B" w:rsidRPr="00466924">
        <w:t>suggests</w:t>
      </w:r>
      <w:r w:rsidR="009457E8">
        <w:t xml:space="preserve"> that</w:t>
      </w:r>
      <w:r w:rsidR="00BB5DB7" w:rsidRPr="00466924">
        <w:t xml:space="preserve"> </w:t>
      </w:r>
      <w:r w:rsidR="00E26730">
        <w:t>it is the</w:t>
      </w:r>
      <w:r w:rsidR="00BB5DB7" w:rsidRPr="00466924">
        <w:t xml:space="preserve"> intellectual capital</w:t>
      </w:r>
      <w:r w:rsidR="009457E8">
        <w:t xml:space="preserve"> of</w:t>
      </w:r>
      <w:r w:rsidR="00E26730">
        <w:t xml:space="preserve"> </w:t>
      </w:r>
      <w:r w:rsidR="00BB5DB7" w:rsidRPr="00466924">
        <w:t>these</w:t>
      </w:r>
      <w:r w:rsidR="008C004F" w:rsidRPr="00466924">
        <w:t xml:space="preserve"> digital infrastructures</w:t>
      </w:r>
      <w:r w:rsidR="009457E8">
        <w:t>, which</w:t>
      </w:r>
      <w:r w:rsidR="00E26730">
        <w:t xml:space="preserve"> </w:t>
      </w:r>
      <w:r w:rsidR="003B0967">
        <w:t>is</w:t>
      </w:r>
      <w:r w:rsidR="00E26730">
        <w:t xml:space="preserve"> smart in </w:t>
      </w:r>
      <w:r w:rsidR="00A10B40" w:rsidRPr="00466924">
        <w:t>exploiting</w:t>
      </w:r>
      <w:r w:rsidR="00B512A9" w:rsidRPr="00466924">
        <w:t xml:space="preserve"> the opportunities</w:t>
      </w:r>
      <w:r w:rsidR="00BF5EFF" w:rsidRPr="00466924">
        <w:t>, which</w:t>
      </w:r>
      <w:r w:rsidR="003B0967">
        <w:t xml:space="preserve"> data </w:t>
      </w:r>
      <w:r w:rsidR="00E9294B">
        <w:t xml:space="preserve">management systems </w:t>
      </w:r>
      <w:r w:rsidR="00E26730">
        <w:t>offer ci</w:t>
      </w:r>
      <w:r w:rsidR="00146F7E">
        <w:t xml:space="preserve">ties to </w:t>
      </w:r>
      <w:r w:rsidR="0077541F">
        <w:t>govern the process of wealth creation</w:t>
      </w:r>
      <w:r w:rsidR="00F16718">
        <w:t xml:space="preserve"> future internet-based </w:t>
      </w:r>
      <w:r w:rsidR="0063762B">
        <w:t>developments</w:t>
      </w:r>
      <w:r w:rsidR="0077541F">
        <w:t xml:space="preserve"> </w:t>
      </w:r>
      <w:r w:rsidR="00F16718">
        <w:t>g</w:t>
      </w:r>
      <w:r w:rsidR="00A70093">
        <w:t>enerate</w:t>
      </w:r>
      <w:r w:rsidR="009457E8">
        <w:t xml:space="preserve">. In particular, </w:t>
      </w:r>
      <w:r w:rsidR="001170A2">
        <w:t>smart in exploiting the opportunities</w:t>
      </w:r>
      <w:r w:rsidR="00992EB3">
        <w:t xml:space="preserve">, which </w:t>
      </w:r>
      <w:r w:rsidR="001170A2">
        <w:t xml:space="preserve">these digital infrastructures and data management systems </w:t>
      </w:r>
      <w:r w:rsidR="00992EB3">
        <w:t>offer cities to create wealth from future internet-based developments that</w:t>
      </w:r>
      <w:r w:rsidR="001170A2">
        <w:t xml:space="preserve"> </w:t>
      </w:r>
      <w:r w:rsidR="00992EB3">
        <w:t xml:space="preserve">generate </w:t>
      </w:r>
      <w:r w:rsidR="00B35A0D">
        <w:t xml:space="preserve">a </w:t>
      </w:r>
      <w:r w:rsidR="00E26730">
        <w:t>r</w:t>
      </w:r>
      <w:r w:rsidR="002D420E">
        <w:t>egional innovation</w:t>
      </w:r>
      <w:r w:rsidR="00730A27">
        <w:t xml:space="preserve"> </w:t>
      </w:r>
      <w:r w:rsidR="00730A27" w:rsidRPr="00466924">
        <w:t>(</w:t>
      </w:r>
      <w:r w:rsidR="00F665E7" w:rsidRPr="00466924">
        <w:t xml:space="preserve">Leydesdorff and Deakin </w:t>
      </w:r>
      <w:r w:rsidR="00DC61CB">
        <w:t>20</w:t>
      </w:r>
      <w:r w:rsidR="00F665E7">
        <w:t xml:space="preserve">11, </w:t>
      </w:r>
      <w:r w:rsidR="00730A27" w:rsidRPr="00466924">
        <w:t>Deakin and Leydesdorff, 2013</w:t>
      </w:r>
      <w:r w:rsidR="00730A27">
        <w:t xml:space="preserve"> and </w:t>
      </w:r>
      <w:r w:rsidR="00730A27" w:rsidRPr="00466924">
        <w:t>Deakin, 2014).</w:t>
      </w:r>
      <w:r w:rsidR="00E26730">
        <w:t xml:space="preserve"> </w:t>
      </w:r>
      <w:r w:rsidR="0058471C" w:rsidRPr="00466924">
        <w:t>C</w:t>
      </w:r>
      <w:r w:rsidR="00786517" w:rsidRPr="00466924">
        <w:t xml:space="preserve">ontrary to what </w:t>
      </w:r>
      <w:r w:rsidR="0077541F">
        <w:t xml:space="preserve">either the </w:t>
      </w:r>
      <w:r w:rsidR="00786517" w:rsidRPr="00466924">
        <w:t>Ranking</w:t>
      </w:r>
      <w:r w:rsidR="00A70093">
        <w:t xml:space="preserve"> </w:t>
      </w:r>
      <w:r w:rsidR="009457E8">
        <w:t>Systems</w:t>
      </w:r>
      <w:r w:rsidR="0077541F">
        <w:t xml:space="preserve"> or</w:t>
      </w:r>
      <w:r w:rsidR="00786517" w:rsidRPr="00466924">
        <w:t xml:space="preserve"> Future Internet accounts</w:t>
      </w:r>
      <w:r w:rsidR="0077541F">
        <w:t xml:space="preserve"> </w:t>
      </w:r>
      <w:r w:rsidR="00471A2D" w:rsidRPr="00466924">
        <w:t>claim</w:t>
      </w:r>
      <w:r w:rsidR="00F16718">
        <w:t>,</w:t>
      </w:r>
      <w:r w:rsidR="00786517" w:rsidRPr="00466924">
        <w:t xml:space="preserve"> </w:t>
      </w:r>
      <w:r w:rsidR="0058471C" w:rsidRPr="00466924">
        <w:t>th</w:t>
      </w:r>
      <w:r w:rsidR="0077541F">
        <w:t>e</w:t>
      </w:r>
      <w:r w:rsidR="0058471C" w:rsidRPr="00466924">
        <w:t xml:space="preserve"> Triple Helix model</w:t>
      </w:r>
      <w:r w:rsidR="00E34302">
        <w:t xml:space="preserve"> </w:t>
      </w:r>
      <w:r w:rsidR="0058471C" w:rsidRPr="00466924">
        <w:t>suggest</w:t>
      </w:r>
      <w:r w:rsidR="00DA4594">
        <w:t>s</w:t>
      </w:r>
      <w:r w:rsidR="0058471C" w:rsidRPr="00466924">
        <w:t xml:space="preserve"> that </w:t>
      </w:r>
      <w:r w:rsidR="00B512A9" w:rsidRPr="00466924">
        <w:t xml:space="preserve">it is </w:t>
      </w:r>
      <w:r w:rsidR="003B0967">
        <w:t xml:space="preserve">the </w:t>
      </w:r>
      <w:r w:rsidR="00B512A9" w:rsidRPr="00466924">
        <w:t xml:space="preserve">reflexive instability of the intellectual capital </w:t>
      </w:r>
      <w:r w:rsidR="003B0967">
        <w:t>tied up</w:t>
      </w:r>
      <w:r w:rsidR="00146F7E">
        <w:t xml:space="preserve"> in the </w:t>
      </w:r>
      <w:r w:rsidR="003B0967">
        <w:t>digital infrastructures, data management system and renewable energies</w:t>
      </w:r>
      <w:r w:rsidR="00146F7E">
        <w:t xml:space="preserve"> of this</w:t>
      </w:r>
      <w:r w:rsidR="002D420E">
        <w:t xml:space="preserve"> regional innovation, </w:t>
      </w:r>
      <w:r w:rsidR="00B512A9" w:rsidRPr="00466924">
        <w:t>which is of particular int</w:t>
      </w:r>
      <w:r w:rsidR="00D20108" w:rsidRPr="00466924">
        <w:t>erest</w:t>
      </w:r>
      <w:r w:rsidR="00E51619">
        <w:t>.</w:t>
      </w:r>
      <w:r w:rsidR="005A6709" w:rsidRPr="00466924">
        <w:t xml:space="preserve"> For</w:t>
      </w:r>
      <w:r w:rsidR="00D20108" w:rsidRPr="00466924">
        <w:t xml:space="preserve"> what </w:t>
      </w:r>
      <w:r w:rsidR="00B35A0D">
        <w:t xml:space="preserve">the intellectual capital of </w:t>
      </w:r>
      <w:r w:rsidR="00786517" w:rsidRPr="00466924">
        <w:t xml:space="preserve">such </w:t>
      </w:r>
      <w:r w:rsidR="00146F7E">
        <w:t xml:space="preserve">digital infrastructures </w:t>
      </w:r>
      <w:r w:rsidR="0050763D" w:rsidRPr="00466924">
        <w:t>offer</w:t>
      </w:r>
      <w:r w:rsidR="00A70093">
        <w:t>s</w:t>
      </w:r>
      <w:r w:rsidR="00B512A9" w:rsidRPr="00466924">
        <w:t xml:space="preserve"> is the pros</w:t>
      </w:r>
      <w:r w:rsidR="00D20108" w:rsidRPr="00466924">
        <w:t xml:space="preserve">pect of cities </w:t>
      </w:r>
      <w:r w:rsidR="00495051" w:rsidRPr="00466924">
        <w:t xml:space="preserve">becoming smart </w:t>
      </w:r>
      <w:r w:rsidR="00F162F1" w:rsidRPr="00466924">
        <w:t>in</w:t>
      </w:r>
      <w:r w:rsidR="00D20108" w:rsidRPr="00466924">
        <w:t xml:space="preserve"> developing</w:t>
      </w:r>
      <w:r w:rsidR="005A6709" w:rsidRPr="00466924">
        <w:t xml:space="preserve"> d</w:t>
      </w:r>
      <w:r w:rsidR="00B74FC9">
        <w:t>ata management systems</w:t>
      </w:r>
      <w:r w:rsidR="00A70093">
        <w:t>, by way of cloud computing and though an IoT</w:t>
      </w:r>
      <w:r w:rsidR="009457E8">
        <w:t>, which</w:t>
      </w:r>
      <w:r w:rsidR="00CA4CE0" w:rsidRPr="00466924">
        <w:t xml:space="preserve"> not only </w:t>
      </w:r>
      <w:r w:rsidR="00CA4FF7" w:rsidRPr="00466924">
        <w:t>stabilise</w:t>
      </w:r>
      <w:r w:rsidR="00A70093">
        <w:t>s</w:t>
      </w:r>
      <w:r w:rsidR="0058471C" w:rsidRPr="00466924">
        <w:t xml:space="preserve"> </w:t>
      </w:r>
      <w:r w:rsidR="008743D2">
        <w:t xml:space="preserve">the </w:t>
      </w:r>
      <w:r w:rsidR="00F16718">
        <w:t>process of wealth creation</w:t>
      </w:r>
      <w:r w:rsidR="008743D2">
        <w:t xml:space="preserve">, </w:t>
      </w:r>
      <w:r w:rsidR="00CA4CE0" w:rsidRPr="00466924">
        <w:t>but</w:t>
      </w:r>
      <w:r w:rsidR="00BA229E" w:rsidRPr="00466924">
        <w:t xml:space="preserve"> </w:t>
      </w:r>
      <w:r w:rsidR="00E51619">
        <w:t xml:space="preserve">that </w:t>
      </w:r>
      <w:r w:rsidR="00CA4CE0" w:rsidRPr="00466924">
        <w:t>also s</w:t>
      </w:r>
      <w:r w:rsidR="00BA229E" w:rsidRPr="00466924">
        <w:t>erve</w:t>
      </w:r>
      <w:r w:rsidR="00A70093">
        <w:t>s</w:t>
      </w:r>
      <w:r w:rsidR="00BA229E" w:rsidRPr="00466924">
        <w:t xml:space="preserve"> to consolidate </w:t>
      </w:r>
      <w:r w:rsidR="007753E5" w:rsidRPr="00466924">
        <w:t>t</w:t>
      </w:r>
      <w:r w:rsidR="008743D2">
        <w:t>his as the renewable energ</w:t>
      </w:r>
      <w:r w:rsidR="00992EB3">
        <w:t>y</w:t>
      </w:r>
      <w:r w:rsidR="008743D2">
        <w:t xml:space="preserve"> of a </w:t>
      </w:r>
      <w:r w:rsidR="00B74FC9">
        <w:t>regional innovation</w:t>
      </w:r>
      <w:r w:rsidR="00BA229E" w:rsidRPr="00466924">
        <w:t>.</w:t>
      </w:r>
      <w:r w:rsidR="0058471C" w:rsidRPr="00466924">
        <w:t xml:space="preserve"> </w:t>
      </w:r>
    </w:p>
    <w:p w14:paraId="09EC0FC5" w14:textId="77777777" w:rsidR="00F16718" w:rsidRPr="00466924" w:rsidRDefault="00F16718" w:rsidP="0058471C">
      <w:pPr>
        <w:spacing w:before="0" w:after="0" w:line="240" w:lineRule="auto"/>
        <w:jc w:val="left"/>
      </w:pPr>
    </w:p>
    <w:p w14:paraId="4025A97F" w14:textId="12DEB3D7" w:rsidR="00A70093" w:rsidRDefault="0070795D" w:rsidP="00AA28CB">
      <w:pPr>
        <w:spacing w:before="0" w:after="0" w:line="240" w:lineRule="auto"/>
        <w:jc w:val="left"/>
      </w:pPr>
      <w:r w:rsidRPr="00466924">
        <w:t xml:space="preserve">This </w:t>
      </w:r>
      <w:r w:rsidR="009A1D14" w:rsidRPr="00466924">
        <w:t xml:space="preserve">is what distinguishes </w:t>
      </w:r>
      <w:r w:rsidR="00B512A9" w:rsidRPr="00466924">
        <w:t>the Ranking</w:t>
      </w:r>
      <w:r w:rsidR="00A70093">
        <w:t xml:space="preserve"> Systems</w:t>
      </w:r>
      <w:r w:rsidR="00B512A9" w:rsidRPr="00466924">
        <w:t>, Future Internet and Triple Helix</w:t>
      </w:r>
      <w:r w:rsidR="009A1D14" w:rsidRPr="00466924">
        <w:t xml:space="preserve"> </w:t>
      </w:r>
      <w:r w:rsidRPr="00466924">
        <w:t>accounts of smart cit</w:t>
      </w:r>
      <w:r w:rsidR="00126573">
        <w:t>ies</w:t>
      </w:r>
      <w:r w:rsidR="009A1D14" w:rsidRPr="00466924">
        <w:t xml:space="preserve"> </w:t>
      </w:r>
      <w:r w:rsidR="00F63830" w:rsidRPr="00466924">
        <w:t>f</w:t>
      </w:r>
      <w:r w:rsidR="00B74FC9">
        <w:t>rom</w:t>
      </w:r>
      <w:r w:rsidR="00F63830" w:rsidRPr="00466924">
        <w:t xml:space="preserve"> one another </w:t>
      </w:r>
      <w:r w:rsidR="009A1D14" w:rsidRPr="00466924">
        <w:t>and</w:t>
      </w:r>
      <w:r w:rsidR="00A70093">
        <w:t xml:space="preserve"> serves to put</w:t>
      </w:r>
      <w:r w:rsidR="00B35A0D">
        <w:t xml:space="preserve"> </w:t>
      </w:r>
      <w:r w:rsidR="009A1D14" w:rsidRPr="00466924">
        <w:t>critical distance between them</w:t>
      </w:r>
      <w:r w:rsidR="00B512A9" w:rsidRPr="00466924">
        <w:t xml:space="preserve">. </w:t>
      </w:r>
      <w:r w:rsidR="00D91EBA" w:rsidRPr="00466924">
        <w:t>For</w:t>
      </w:r>
      <w:r w:rsidRPr="00466924">
        <w:t xml:space="preserve"> w</w:t>
      </w:r>
      <w:r w:rsidR="00B512A9" w:rsidRPr="00466924">
        <w:t xml:space="preserve">hile </w:t>
      </w:r>
      <w:r w:rsidR="00656CB8" w:rsidRPr="00466924">
        <w:t xml:space="preserve">each of them accepts the need </w:t>
      </w:r>
      <w:r w:rsidR="00D60BC1">
        <w:t>f</w:t>
      </w:r>
      <w:r w:rsidR="00120121">
        <w:t>o</w:t>
      </w:r>
      <w:r w:rsidR="00680CC0">
        <w:t>r some form of Ranking</w:t>
      </w:r>
      <w:r w:rsidR="00A70093">
        <w:t xml:space="preserve"> System</w:t>
      </w:r>
      <w:r w:rsidR="00B512A9" w:rsidRPr="00466924">
        <w:t>, the Future Inter</w:t>
      </w:r>
      <w:r w:rsidR="00874486" w:rsidRPr="00466924">
        <w:t>net account is</w:t>
      </w:r>
      <w:r w:rsidRPr="00466924">
        <w:t xml:space="preserve"> </w:t>
      </w:r>
      <w:r w:rsidR="00D91EBA" w:rsidRPr="00466924">
        <w:t>content for universities and industry to</w:t>
      </w:r>
      <w:r w:rsidR="00874486" w:rsidRPr="00466924">
        <w:t xml:space="preserve"> merely</w:t>
      </w:r>
      <w:r w:rsidR="00B512A9" w:rsidRPr="00466924">
        <w:t xml:space="preserve"> part</w:t>
      </w:r>
      <w:r w:rsidRPr="00466924">
        <w:t xml:space="preserve">icipate in </w:t>
      </w:r>
      <w:r w:rsidR="00680CC0">
        <w:t xml:space="preserve">the </w:t>
      </w:r>
      <w:r w:rsidRPr="00466924">
        <w:t>development</w:t>
      </w:r>
      <w:r w:rsidR="00680CC0">
        <w:t xml:space="preserve"> of such attributes</w:t>
      </w:r>
      <w:r w:rsidR="00E34302">
        <w:t>, w</w:t>
      </w:r>
      <w:r w:rsidR="009A1D14" w:rsidRPr="00466924">
        <w:t xml:space="preserve">hereas </w:t>
      </w:r>
      <w:r w:rsidR="001A4BBE" w:rsidRPr="00466924">
        <w:t>the</w:t>
      </w:r>
      <w:r w:rsidRPr="00466924">
        <w:t xml:space="preserve"> Triple Helix model</w:t>
      </w:r>
      <w:r w:rsidR="00495051" w:rsidRPr="00466924">
        <w:t xml:space="preserve"> sees</w:t>
      </w:r>
      <w:r w:rsidR="00D91EBA" w:rsidRPr="00466924">
        <w:t xml:space="preserve"> the</w:t>
      </w:r>
      <w:r w:rsidR="007014F6" w:rsidRPr="00466924">
        <w:t xml:space="preserve"> </w:t>
      </w:r>
      <w:r w:rsidR="007753E5" w:rsidRPr="00466924">
        <w:t>governance of</w:t>
      </w:r>
      <w:r w:rsidR="004E34AC">
        <w:t xml:space="preserve"> </w:t>
      </w:r>
      <w:r w:rsidR="00DA4594">
        <w:t xml:space="preserve">the </w:t>
      </w:r>
      <w:r w:rsidR="005D6BB4">
        <w:t>wealth created from</w:t>
      </w:r>
      <w:r w:rsidR="00F665E7">
        <w:t xml:space="preserve"> </w:t>
      </w:r>
      <w:r w:rsidR="004E34AC">
        <w:t>future internet-based developments</w:t>
      </w:r>
      <w:r w:rsidR="00DA4594">
        <w:t xml:space="preserve"> as </w:t>
      </w:r>
      <w:r w:rsidR="00736FEF">
        <w:t>critical</w:t>
      </w:r>
      <w:r w:rsidR="00535B3E">
        <w:t xml:space="preserve">. </w:t>
      </w:r>
      <w:r w:rsidR="00A70093">
        <w:t>As c</w:t>
      </w:r>
      <w:r w:rsidR="00736FEF">
        <w:t xml:space="preserve">ritical </w:t>
      </w:r>
      <w:r w:rsidR="00DA4594">
        <w:t>in the sense, which</w:t>
      </w:r>
      <w:r w:rsidR="0047544C">
        <w:t xml:space="preserve"> future internet-based</w:t>
      </w:r>
      <w:r w:rsidR="00203717">
        <w:t xml:space="preserve"> development</w:t>
      </w:r>
      <w:r w:rsidR="00036B7E">
        <w:t>s</w:t>
      </w:r>
      <w:r w:rsidR="00203717">
        <w:t xml:space="preserve"> </w:t>
      </w:r>
      <w:r w:rsidR="00535B3E" w:rsidRPr="00DD22CF">
        <w:t>not only underpin</w:t>
      </w:r>
      <w:r w:rsidR="00203717">
        <w:t xml:space="preserve"> </w:t>
      </w:r>
      <w:r w:rsidR="00E9294B" w:rsidRPr="00DD22CF">
        <w:t>digital infrastructures</w:t>
      </w:r>
      <w:r w:rsidR="00535B3E" w:rsidRPr="00DD22CF">
        <w:t>, but</w:t>
      </w:r>
      <w:r w:rsidR="00AA5BA6" w:rsidRPr="00DD22CF">
        <w:t xml:space="preserve"> </w:t>
      </w:r>
      <w:r w:rsidR="00535B3E" w:rsidRPr="00DD22CF">
        <w:t xml:space="preserve">also support </w:t>
      </w:r>
      <w:r w:rsidR="00AA5BA6" w:rsidRPr="00DD22CF">
        <w:t>the</w:t>
      </w:r>
      <w:r w:rsidR="00535B3E" w:rsidRPr="00DD22CF">
        <w:t xml:space="preserve"> </w:t>
      </w:r>
      <w:r w:rsidR="00F63830" w:rsidRPr="00DD22CF">
        <w:t>data management systems</w:t>
      </w:r>
      <w:r w:rsidR="00AA5BA6" w:rsidRPr="00DD22CF">
        <w:t xml:space="preserve">, which </w:t>
      </w:r>
      <w:r w:rsidR="006570B4" w:rsidRPr="00DD22CF">
        <w:t>stabilis</w:t>
      </w:r>
      <w:r w:rsidR="00AA5BA6" w:rsidRPr="00DD22CF">
        <w:t>e</w:t>
      </w:r>
      <w:r w:rsidR="00B65ACE" w:rsidRPr="00DD22CF">
        <w:t xml:space="preserve"> the </w:t>
      </w:r>
      <w:r w:rsidR="007627CC" w:rsidRPr="00DD22CF">
        <w:t>wealth</w:t>
      </w:r>
      <w:r w:rsidR="00AA5BA6" w:rsidRPr="00DD22CF">
        <w:t xml:space="preserve"> </w:t>
      </w:r>
      <w:r w:rsidR="00203717">
        <w:t xml:space="preserve">that is </w:t>
      </w:r>
      <w:r w:rsidR="007627CC" w:rsidRPr="00DD22CF">
        <w:t xml:space="preserve">created </w:t>
      </w:r>
      <w:r w:rsidR="000A5211" w:rsidRPr="00DD22CF">
        <w:t>from</w:t>
      </w:r>
      <w:r w:rsidR="007627CC" w:rsidRPr="00DD22CF">
        <w:t xml:space="preserve"> </w:t>
      </w:r>
      <w:r w:rsidR="00CD544F">
        <w:t xml:space="preserve">the attributes of </w:t>
      </w:r>
      <w:r w:rsidR="001513E8" w:rsidRPr="00DD22CF">
        <w:t>such</w:t>
      </w:r>
      <w:r w:rsidR="00CD544F">
        <w:t xml:space="preserve"> a</w:t>
      </w:r>
      <w:r w:rsidR="007627CC" w:rsidRPr="00DD22CF">
        <w:t xml:space="preserve"> </w:t>
      </w:r>
      <w:r w:rsidR="001A4BBE" w:rsidRPr="00DD22CF">
        <w:t xml:space="preserve">regional </w:t>
      </w:r>
      <w:r w:rsidR="00F63830" w:rsidRPr="00DD22CF">
        <w:t>innovation</w:t>
      </w:r>
      <w:r w:rsidR="001513E8" w:rsidRPr="00DD22CF">
        <w:t>.</w:t>
      </w:r>
      <w:r w:rsidR="001513E8">
        <w:t xml:space="preserve"> In particular, from </w:t>
      </w:r>
      <w:r w:rsidR="00380D09">
        <w:t xml:space="preserve">that </w:t>
      </w:r>
      <w:r w:rsidR="00CD544F">
        <w:t xml:space="preserve">process of </w:t>
      </w:r>
      <w:r w:rsidR="001513E8">
        <w:t>wealth creation</w:t>
      </w:r>
      <w:r w:rsidR="00380D09">
        <w:t xml:space="preserve">, which </w:t>
      </w:r>
      <w:r w:rsidR="00BF5EFF" w:rsidRPr="00466924">
        <w:t>reflect</w:t>
      </w:r>
      <w:r w:rsidR="005D6BB4">
        <w:t>s</w:t>
      </w:r>
      <w:r w:rsidR="00BF5EFF" w:rsidRPr="00466924">
        <w:t xml:space="preserve"> the </w:t>
      </w:r>
      <w:r w:rsidR="001B738F" w:rsidRPr="00466924">
        <w:t>popularity</w:t>
      </w:r>
      <w:r w:rsidR="000E666A" w:rsidRPr="00466924">
        <w:t xml:space="preserve"> of</w:t>
      </w:r>
      <w:r w:rsidR="001B738F" w:rsidRPr="00466924">
        <w:t xml:space="preserve"> </w:t>
      </w:r>
      <w:r w:rsidR="00DE41F9" w:rsidRPr="00466924">
        <w:t xml:space="preserve">the </w:t>
      </w:r>
      <w:r w:rsidR="001B738F" w:rsidRPr="00466924">
        <w:t>engineering solutions</w:t>
      </w:r>
      <w:r w:rsidR="007627CC">
        <w:t xml:space="preserve"> t</w:t>
      </w:r>
      <w:r w:rsidR="00C254EF">
        <w:t>he</w:t>
      </w:r>
      <w:r w:rsidR="001513E8">
        <w:t xml:space="preserve">se regional innovations </w:t>
      </w:r>
      <w:r w:rsidR="00E44DB5">
        <w:t xml:space="preserve">also </w:t>
      </w:r>
      <w:r w:rsidR="00BC4355" w:rsidRPr="00466924">
        <w:t>promote</w:t>
      </w:r>
      <w:r w:rsidR="008743D2">
        <w:t xml:space="preserve"> as renewable energies</w:t>
      </w:r>
      <w:r w:rsidR="00495051" w:rsidRPr="00466924">
        <w:t>.</w:t>
      </w:r>
      <w:r w:rsidR="00D91EBA" w:rsidRPr="00466924">
        <w:t xml:space="preserve"> </w:t>
      </w:r>
    </w:p>
    <w:p w14:paraId="7FE43810" w14:textId="77777777" w:rsidR="00A70093" w:rsidRDefault="00A70093" w:rsidP="00AA28CB">
      <w:pPr>
        <w:spacing w:before="0" w:after="0" w:line="240" w:lineRule="auto"/>
        <w:jc w:val="left"/>
      </w:pPr>
    </w:p>
    <w:p w14:paraId="7147B03A" w14:textId="77777777" w:rsidR="00322D8D" w:rsidRDefault="00A70093" w:rsidP="00AA28CB">
      <w:pPr>
        <w:spacing w:before="0" w:after="0" w:line="240" w:lineRule="auto"/>
        <w:jc w:val="left"/>
      </w:pPr>
      <w:r>
        <w:t>I</w:t>
      </w:r>
      <w:r w:rsidR="00F16718">
        <w:t>n contrast</w:t>
      </w:r>
      <w:r w:rsidR="00911630" w:rsidRPr="00466924">
        <w:t xml:space="preserve"> to what </w:t>
      </w:r>
      <w:r w:rsidR="00581A8E" w:rsidRPr="00466924">
        <w:t>d</w:t>
      </w:r>
      <w:r w:rsidR="00911630" w:rsidRPr="00466924">
        <w:t>e Jong et al</w:t>
      </w:r>
      <w:r w:rsidR="00900D33" w:rsidRPr="00466924">
        <w:t>.</w:t>
      </w:r>
      <w:r w:rsidR="00911630" w:rsidRPr="00466924">
        <w:t xml:space="preserve"> (2015:34) </w:t>
      </w:r>
      <w:r w:rsidR="00DA38B5" w:rsidRPr="00466924">
        <w:t>suggest</w:t>
      </w:r>
      <w:r>
        <w:t>,</w:t>
      </w:r>
      <w:r w:rsidR="00BB7D46" w:rsidRPr="00466924">
        <w:t xml:space="preserve"> </w:t>
      </w:r>
      <w:r w:rsidR="00911630" w:rsidRPr="00466924">
        <w:t>rather than shifting “attention away from environmental</w:t>
      </w:r>
      <w:r w:rsidR="00DA38B5" w:rsidRPr="00466924">
        <w:t xml:space="preserve"> conceptions”</w:t>
      </w:r>
      <w:r w:rsidR="00F63830" w:rsidRPr="00466924">
        <w:t xml:space="preserve">, </w:t>
      </w:r>
      <w:r w:rsidR="000E666A" w:rsidRPr="00466924">
        <w:t>th</w:t>
      </w:r>
      <w:r>
        <w:t>is</w:t>
      </w:r>
      <w:r w:rsidR="000E666A" w:rsidRPr="00466924">
        <w:t xml:space="preserve"> Triple Helix</w:t>
      </w:r>
      <w:r w:rsidR="00736FEF">
        <w:t xml:space="preserve"> inspired</w:t>
      </w:r>
      <w:r w:rsidR="000E666A" w:rsidRPr="00466924">
        <w:t xml:space="preserve"> model</w:t>
      </w:r>
      <w:r w:rsidR="008341C8">
        <w:t xml:space="preserve"> </w:t>
      </w:r>
      <w:r w:rsidR="00736FEF">
        <w:t xml:space="preserve">of </w:t>
      </w:r>
      <w:r w:rsidR="005D6BB4">
        <w:t xml:space="preserve">smart cities as </w:t>
      </w:r>
      <w:r w:rsidR="00736FEF">
        <w:t>future internet-based developments</w:t>
      </w:r>
      <w:r w:rsidR="009457E8">
        <w:t>,</w:t>
      </w:r>
      <w:r w:rsidR="00736FEF">
        <w:t xml:space="preserve"> </w:t>
      </w:r>
      <w:r w:rsidR="00BB7D46" w:rsidRPr="00466924">
        <w:t xml:space="preserve">does just the opposite. </w:t>
      </w:r>
      <w:r w:rsidR="00E44DB5">
        <w:t>J</w:t>
      </w:r>
      <w:r w:rsidR="0082174C">
        <w:t>ust the opposite</w:t>
      </w:r>
      <w:r w:rsidR="00E44DB5">
        <w:t xml:space="preserve"> in the sense that</w:t>
      </w:r>
      <w:r w:rsidR="0082174C">
        <w:t xml:space="preserve"> it</w:t>
      </w:r>
      <w:r w:rsidR="00351129" w:rsidRPr="00466924">
        <w:t xml:space="preserve"> </w:t>
      </w:r>
      <w:r w:rsidR="0047396A" w:rsidRPr="00466924">
        <w:t>offer</w:t>
      </w:r>
      <w:r w:rsidR="007627CC">
        <w:t>s</w:t>
      </w:r>
      <w:r w:rsidR="008341C8">
        <w:t xml:space="preserve"> smart cities</w:t>
      </w:r>
      <w:r w:rsidR="0047396A" w:rsidRPr="00466924">
        <w:t xml:space="preserve"> a</w:t>
      </w:r>
      <w:r w:rsidR="00351129" w:rsidRPr="00466924">
        <w:t xml:space="preserve"> model</w:t>
      </w:r>
      <w:r w:rsidR="00F6726A">
        <w:t xml:space="preserve"> of </w:t>
      </w:r>
      <w:r w:rsidR="007014F6" w:rsidRPr="00466924">
        <w:t>future internet</w:t>
      </w:r>
      <w:r w:rsidR="00203717">
        <w:t>-based</w:t>
      </w:r>
      <w:r w:rsidR="003F50FB">
        <w:t xml:space="preserve"> </w:t>
      </w:r>
      <w:r w:rsidR="001513E8">
        <w:t>development</w:t>
      </w:r>
      <w:r w:rsidR="00203717">
        <w:t>s</w:t>
      </w:r>
      <w:r w:rsidR="003F50FB">
        <w:t>, wh</w:t>
      </w:r>
      <w:r w:rsidR="005D6BB4">
        <w:t xml:space="preserve">ich </w:t>
      </w:r>
      <w:r w:rsidR="003F50FB">
        <w:t>not only underpins the</w:t>
      </w:r>
      <w:r w:rsidR="000A5211">
        <w:t xml:space="preserve"> </w:t>
      </w:r>
      <w:r w:rsidR="00C254EF">
        <w:t>digital infrastructures</w:t>
      </w:r>
      <w:r w:rsidR="001513E8">
        <w:t xml:space="preserve"> they </w:t>
      </w:r>
      <w:r w:rsidR="007E073F">
        <w:t xml:space="preserve">design </w:t>
      </w:r>
      <w:r w:rsidR="003F50FB">
        <w:t xml:space="preserve">but </w:t>
      </w:r>
      <w:r w:rsidR="005D6BB4">
        <w:t xml:space="preserve">that </w:t>
      </w:r>
      <w:r w:rsidR="003F50FB">
        <w:t>also supports the</w:t>
      </w:r>
      <w:r w:rsidR="00DA38B5" w:rsidRPr="00466924">
        <w:t xml:space="preserve"> </w:t>
      </w:r>
      <w:r w:rsidR="00F63830" w:rsidRPr="00466924">
        <w:t>data management systems</w:t>
      </w:r>
      <w:r w:rsidR="007E073F">
        <w:t xml:space="preserve"> they layo</w:t>
      </w:r>
      <w:r w:rsidR="00380D09">
        <w:t>ut</w:t>
      </w:r>
      <w:r w:rsidR="007E073F">
        <w:t xml:space="preserve"> as </w:t>
      </w:r>
      <w:r w:rsidR="00380D09">
        <w:t xml:space="preserve">those </w:t>
      </w:r>
      <w:r w:rsidR="007E073F">
        <w:t>attributes,</w:t>
      </w:r>
      <w:r w:rsidR="003F50FB">
        <w:t xml:space="preserve"> which</w:t>
      </w:r>
      <w:r w:rsidR="008743D2">
        <w:t xml:space="preserve"> </w:t>
      </w:r>
      <w:r w:rsidR="00036809">
        <w:t>crea</w:t>
      </w:r>
      <w:r w:rsidR="00261F65">
        <w:t>t</w:t>
      </w:r>
      <w:r w:rsidR="003F50FB">
        <w:t>e</w:t>
      </w:r>
      <w:r w:rsidR="008743D2">
        <w:t xml:space="preserve"> </w:t>
      </w:r>
      <w:r w:rsidR="00261F65">
        <w:t xml:space="preserve">wealth from </w:t>
      </w:r>
      <w:r w:rsidR="008743D2">
        <w:t xml:space="preserve">the renewable energies </w:t>
      </w:r>
      <w:r w:rsidR="007E073F">
        <w:t xml:space="preserve">of </w:t>
      </w:r>
      <w:r w:rsidR="005D6BB4">
        <w:t xml:space="preserve">a </w:t>
      </w:r>
      <w:r w:rsidR="006205CF">
        <w:t>reg</w:t>
      </w:r>
      <w:r w:rsidR="00845622">
        <w:t>iona</w:t>
      </w:r>
      <w:r w:rsidR="00C254EF">
        <w:t>l innovatio</w:t>
      </w:r>
      <w:r w:rsidR="003F50FB">
        <w:t>n</w:t>
      </w:r>
      <w:r w:rsidR="00120121">
        <w:t>.</w:t>
      </w:r>
      <w:r w:rsidR="003F50FB">
        <w:t xml:space="preserve"> From the renewable energies of a regional innovation</w:t>
      </w:r>
      <w:r w:rsidR="00380D09">
        <w:t xml:space="preserve"> </w:t>
      </w:r>
      <w:r>
        <w:t xml:space="preserve">that is </w:t>
      </w:r>
      <w:r w:rsidR="005D6BB4">
        <w:t>set within the cloud computing of an</w:t>
      </w:r>
      <w:r w:rsidR="00380D09">
        <w:t xml:space="preserve"> IoT</w:t>
      </w:r>
      <w:r w:rsidR="00FE7DCC">
        <w:t xml:space="preserve"> and</w:t>
      </w:r>
      <w:r w:rsidR="005D6BB4">
        <w:t xml:space="preserve"> whose data collection, information processing and smart (micro) grids,</w:t>
      </w:r>
      <w:r w:rsidR="00AA5BA6">
        <w:t xml:space="preserve"> </w:t>
      </w:r>
      <w:r w:rsidR="00F46AE8">
        <w:t>constitute</w:t>
      </w:r>
      <w:r w:rsidR="00DB2DEB">
        <w:t xml:space="preserve"> </w:t>
      </w:r>
      <w:r w:rsidR="00F46AE8">
        <w:t>an urban morphology</w:t>
      </w:r>
      <w:r>
        <w:t>, which is</w:t>
      </w:r>
      <w:r w:rsidR="00F46AE8">
        <w:t xml:space="preserve"> able to</w:t>
      </w:r>
      <w:r w:rsidR="00DB2DEB">
        <w:t xml:space="preserve"> </w:t>
      </w:r>
      <w:r w:rsidR="00CA4FF7" w:rsidRPr="00466924">
        <w:t>stabilise</w:t>
      </w:r>
      <w:r w:rsidR="002B2027">
        <w:t xml:space="preserve"> </w:t>
      </w:r>
      <w:r w:rsidR="00B721AE">
        <w:t>the</w:t>
      </w:r>
      <w:r w:rsidR="0044771A" w:rsidRPr="00466924">
        <w:t xml:space="preserve"> value</w:t>
      </w:r>
      <w:r w:rsidR="00F04605" w:rsidRPr="00466924">
        <w:t xml:space="preserve"> </w:t>
      </w:r>
      <w:r w:rsidR="0082174C">
        <w:t>of</w:t>
      </w:r>
      <w:r w:rsidR="006205CF">
        <w:t xml:space="preserve"> </w:t>
      </w:r>
      <w:r w:rsidR="007916B7">
        <w:t>those</w:t>
      </w:r>
      <w:r w:rsidR="00B65ACE" w:rsidRPr="00466924">
        <w:t xml:space="preserve"> energy</w:t>
      </w:r>
      <w:r w:rsidR="00736FEF">
        <w:t xml:space="preserve"> </w:t>
      </w:r>
      <w:r w:rsidR="00B65ACE" w:rsidRPr="00466924">
        <w:t>saving and carbon reductio</w:t>
      </w:r>
      <w:r w:rsidR="00C13A92">
        <w:t>ns</w:t>
      </w:r>
      <w:r w:rsidR="00120121">
        <w:t xml:space="preserve"> </w:t>
      </w:r>
      <w:r w:rsidR="008743D2">
        <w:t>such</w:t>
      </w:r>
      <w:r w:rsidR="000E2165">
        <w:t xml:space="preserve"> </w:t>
      </w:r>
      <w:r w:rsidR="0044771A" w:rsidRPr="00466924">
        <w:t>environmentally sustainable</w:t>
      </w:r>
      <w:r w:rsidR="00A52881" w:rsidRPr="00466924">
        <w:t xml:space="preserve"> solutions</w:t>
      </w:r>
      <w:r w:rsidR="001460FD" w:rsidRPr="00466924">
        <w:t xml:space="preserve"> </w:t>
      </w:r>
      <w:r w:rsidR="001D3461">
        <w:t>engineer</w:t>
      </w:r>
      <w:r w:rsidR="00261F65">
        <w:t xml:space="preserve"> </w:t>
      </w:r>
      <w:r w:rsidR="00E06854" w:rsidRPr="00466924">
        <w:t>(Hirst et al. 2012).</w:t>
      </w:r>
      <w:r w:rsidR="00322D8D">
        <w:t xml:space="preserve"> </w:t>
      </w:r>
    </w:p>
    <w:p w14:paraId="664088FE" w14:textId="77777777" w:rsidR="00322D8D" w:rsidRPr="00466924" w:rsidRDefault="00322D8D" w:rsidP="00AA28CB">
      <w:pPr>
        <w:spacing w:before="0" w:after="0" w:line="240" w:lineRule="auto"/>
        <w:jc w:val="left"/>
      </w:pPr>
    </w:p>
    <w:p w14:paraId="54D47614" w14:textId="04A5E912" w:rsidR="00EC5B65" w:rsidRDefault="00380D09" w:rsidP="00131619">
      <w:pPr>
        <w:spacing w:before="0" w:after="0" w:line="240" w:lineRule="auto"/>
        <w:jc w:val="left"/>
        <w:rPr>
          <w:color w:val="000000" w:themeColor="text1"/>
        </w:rPr>
      </w:pPr>
      <w:r>
        <w:t xml:space="preserve">This paper shall </w:t>
      </w:r>
      <w:r w:rsidR="00DA38B5" w:rsidRPr="00466924">
        <w:t xml:space="preserve">suggest </w:t>
      </w:r>
      <w:r w:rsidR="00F62C81" w:rsidRPr="00466924">
        <w:t xml:space="preserve">that it is </w:t>
      </w:r>
      <w:r w:rsidR="00581F4C">
        <w:t>the</w:t>
      </w:r>
      <w:r w:rsidR="00BE2A57">
        <w:t xml:space="preserve"> </w:t>
      </w:r>
      <w:r w:rsidR="0023515E">
        <w:t>future internet</w:t>
      </w:r>
      <w:r w:rsidR="00A545F6">
        <w:t>-based</w:t>
      </w:r>
      <w:r w:rsidR="0023515E">
        <w:t xml:space="preserve"> </w:t>
      </w:r>
      <w:r w:rsidR="00845622">
        <w:t>developments</w:t>
      </w:r>
      <w:r w:rsidR="00203717">
        <w:t>,</w:t>
      </w:r>
      <w:r w:rsidR="0087044E">
        <w:t xml:space="preserve"> </w:t>
      </w:r>
      <w:r w:rsidR="00F62C81" w:rsidRPr="00466924">
        <w:t>which in de Jong</w:t>
      </w:r>
      <w:r w:rsidR="00894377">
        <w:t xml:space="preserve"> et al</w:t>
      </w:r>
      <w:r w:rsidR="00F331A4">
        <w:t>’</w:t>
      </w:r>
      <w:r w:rsidR="00894377">
        <w:t>s.</w:t>
      </w:r>
      <w:r w:rsidR="00F62C81" w:rsidRPr="00466924">
        <w:t xml:space="preserve"> (2015:34) words</w:t>
      </w:r>
      <w:r w:rsidR="00A545F6">
        <w:t>,</w:t>
      </w:r>
      <w:r w:rsidR="007B495F" w:rsidRPr="00466924">
        <w:t xml:space="preserve"> </w:t>
      </w:r>
      <w:r w:rsidR="00A23349" w:rsidRPr="00466924">
        <w:t xml:space="preserve">now </w:t>
      </w:r>
      <w:r w:rsidR="00F62C81" w:rsidRPr="00466924">
        <w:t xml:space="preserve">brings </w:t>
      </w:r>
      <w:r w:rsidR="006812B2">
        <w:t xml:space="preserve">the </w:t>
      </w:r>
      <w:r w:rsidR="00581F4C">
        <w:t xml:space="preserve">digital infrastructures of </w:t>
      </w:r>
      <w:r w:rsidR="00F54707">
        <w:t>data management systems</w:t>
      </w:r>
      <w:r w:rsidR="0087044E">
        <w:t xml:space="preserve"> </w:t>
      </w:r>
      <w:r w:rsidR="00F54707">
        <w:t>“</w:t>
      </w:r>
      <w:r w:rsidR="00F62C81" w:rsidRPr="00466924">
        <w:t xml:space="preserve">centre stage”. </w:t>
      </w:r>
      <w:r w:rsidR="006812B2">
        <w:t xml:space="preserve">That is to say, </w:t>
      </w:r>
      <w:r w:rsidR="00581F4C">
        <w:t xml:space="preserve">makes the digital infrastructures of data management systems </w:t>
      </w:r>
      <w:r w:rsidR="00CD7153" w:rsidRPr="002B2027">
        <w:rPr>
          <w:color w:val="000000" w:themeColor="text1"/>
        </w:rPr>
        <w:t>even more marked</w:t>
      </w:r>
      <w:r w:rsidR="00203717">
        <w:rPr>
          <w:color w:val="000000" w:themeColor="text1"/>
        </w:rPr>
        <w:t xml:space="preserve"> </w:t>
      </w:r>
      <w:r w:rsidR="00F62C81" w:rsidRPr="002B2027">
        <w:rPr>
          <w:color w:val="000000" w:themeColor="text1"/>
        </w:rPr>
        <w:t xml:space="preserve">for the simple </w:t>
      </w:r>
      <w:r w:rsidR="00A23349" w:rsidRPr="002B2027">
        <w:rPr>
          <w:color w:val="000000" w:themeColor="text1"/>
        </w:rPr>
        <w:t xml:space="preserve">reason </w:t>
      </w:r>
      <w:r w:rsidR="006812B2">
        <w:rPr>
          <w:color w:val="000000" w:themeColor="text1"/>
        </w:rPr>
        <w:t>it is the attributes of these future internet-based</w:t>
      </w:r>
      <w:r w:rsidR="00DA263B" w:rsidRPr="002B2027">
        <w:rPr>
          <w:rFonts w:asciiTheme="majorHAnsi" w:eastAsia="MS Mincho" w:hAnsiTheme="majorHAnsi" w:cstheme="majorHAnsi"/>
          <w:color w:val="000000" w:themeColor="text1"/>
          <w:lang w:eastAsia="en-GB"/>
        </w:rPr>
        <w:t xml:space="preserve"> </w:t>
      </w:r>
      <w:r w:rsidR="00581F4C">
        <w:rPr>
          <w:rFonts w:asciiTheme="majorHAnsi" w:eastAsia="MS Mincho" w:hAnsiTheme="majorHAnsi" w:cstheme="majorHAnsi"/>
          <w:color w:val="000000" w:themeColor="text1"/>
          <w:lang w:eastAsia="en-GB"/>
        </w:rPr>
        <w:t xml:space="preserve">developments, which </w:t>
      </w:r>
      <w:r w:rsidR="00261F65">
        <w:rPr>
          <w:rFonts w:asciiTheme="majorHAnsi" w:eastAsia="MS Mincho" w:hAnsiTheme="majorHAnsi" w:cstheme="majorHAnsi"/>
          <w:color w:val="000000" w:themeColor="text1"/>
          <w:lang w:eastAsia="en-GB"/>
        </w:rPr>
        <w:t>lie</w:t>
      </w:r>
      <w:r w:rsidR="000E666A" w:rsidRPr="002B2027">
        <w:rPr>
          <w:color w:val="000000" w:themeColor="text1"/>
        </w:rPr>
        <w:t xml:space="preserve"> at the centre of the attempts</w:t>
      </w:r>
      <w:r w:rsidR="00581F4C">
        <w:rPr>
          <w:color w:val="000000" w:themeColor="text1"/>
        </w:rPr>
        <w:t xml:space="preserve"> </w:t>
      </w:r>
      <w:r w:rsidR="00C855D9">
        <w:rPr>
          <w:color w:val="000000" w:themeColor="text1"/>
        </w:rPr>
        <w:t>currently being</w:t>
      </w:r>
      <w:r w:rsidR="00261F65">
        <w:rPr>
          <w:color w:val="000000" w:themeColor="text1"/>
        </w:rPr>
        <w:t xml:space="preserve"> made</w:t>
      </w:r>
      <w:r w:rsidR="00DA7A43" w:rsidRPr="002B2027">
        <w:rPr>
          <w:color w:val="000000" w:themeColor="text1"/>
        </w:rPr>
        <w:t xml:space="preserve"> </w:t>
      </w:r>
      <w:r w:rsidR="008743D2">
        <w:rPr>
          <w:color w:val="000000" w:themeColor="text1"/>
        </w:rPr>
        <w:t>by universities, i</w:t>
      </w:r>
      <w:r w:rsidR="00C855D9">
        <w:rPr>
          <w:color w:val="000000" w:themeColor="text1"/>
        </w:rPr>
        <w:t>ndustry and governments</w:t>
      </w:r>
      <w:r w:rsidR="009457E8">
        <w:rPr>
          <w:color w:val="000000" w:themeColor="text1"/>
        </w:rPr>
        <w:t>,</w:t>
      </w:r>
      <w:r w:rsidR="00C855D9">
        <w:rPr>
          <w:color w:val="000000" w:themeColor="text1"/>
        </w:rPr>
        <w:t xml:space="preserve"> </w:t>
      </w:r>
      <w:r w:rsidR="00131619">
        <w:rPr>
          <w:color w:val="000000" w:themeColor="text1"/>
        </w:rPr>
        <w:t xml:space="preserve">to </w:t>
      </w:r>
      <w:r w:rsidR="00F46AE8">
        <w:rPr>
          <w:color w:val="000000" w:themeColor="text1"/>
        </w:rPr>
        <w:t>recast the models of urban morphology</w:t>
      </w:r>
      <w:r w:rsidR="009457E8">
        <w:rPr>
          <w:color w:val="000000" w:themeColor="text1"/>
        </w:rPr>
        <w:t xml:space="preserve">. Models the likes of </w:t>
      </w:r>
      <w:r w:rsidR="00F46AE8" w:rsidRPr="00466924">
        <w:t xml:space="preserve">Ratti et al. (2005), Salat (2009), </w:t>
      </w:r>
      <w:r w:rsidR="00F46AE8">
        <w:t xml:space="preserve">Bourdic and Salat (2012), and </w:t>
      </w:r>
      <w:r w:rsidR="00F46AE8" w:rsidRPr="00466924">
        <w:t>Bourdic et al. (2012)</w:t>
      </w:r>
      <w:r w:rsidR="00F46AE8">
        <w:rPr>
          <w:color w:val="000000" w:themeColor="text1"/>
        </w:rPr>
        <w:t xml:space="preserve"> </w:t>
      </w:r>
      <w:r w:rsidR="007C30B7">
        <w:rPr>
          <w:color w:val="000000" w:themeColor="text1"/>
        </w:rPr>
        <w:t>offer</w:t>
      </w:r>
      <w:r w:rsidR="00AD52C6">
        <w:rPr>
          <w:color w:val="000000" w:themeColor="text1"/>
        </w:rPr>
        <w:t xml:space="preserve"> and that are currently being</w:t>
      </w:r>
      <w:r w:rsidR="009457E8">
        <w:rPr>
          <w:color w:val="000000" w:themeColor="text1"/>
        </w:rPr>
        <w:t xml:space="preserve"> </w:t>
      </w:r>
      <w:r w:rsidR="00AD52C6">
        <w:rPr>
          <w:color w:val="000000" w:themeColor="text1"/>
        </w:rPr>
        <w:t xml:space="preserve">recast to capture </w:t>
      </w:r>
      <w:r w:rsidR="00A545F6">
        <w:rPr>
          <w:color w:val="000000" w:themeColor="text1"/>
        </w:rPr>
        <w:t xml:space="preserve">the </w:t>
      </w:r>
      <w:r w:rsidR="00F46AE8">
        <w:rPr>
          <w:color w:val="000000" w:themeColor="text1"/>
        </w:rPr>
        <w:t xml:space="preserve">digital infrastructure </w:t>
      </w:r>
      <w:r w:rsidR="00A545F6">
        <w:rPr>
          <w:color w:val="000000" w:themeColor="text1"/>
        </w:rPr>
        <w:t>of a</w:t>
      </w:r>
      <w:r w:rsidR="00F46AE8">
        <w:rPr>
          <w:color w:val="000000" w:themeColor="text1"/>
        </w:rPr>
        <w:t xml:space="preserve"> data management system</w:t>
      </w:r>
      <w:r w:rsidR="00A545F6">
        <w:rPr>
          <w:color w:val="000000" w:themeColor="text1"/>
        </w:rPr>
        <w:t>,</w:t>
      </w:r>
      <w:r w:rsidR="00415730">
        <w:rPr>
          <w:color w:val="000000" w:themeColor="text1"/>
        </w:rPr>
        <w:t xml:space="preserve"> </w:t>
      </w:r>
      <w:r w:rsidR="00AD52C6">
        <w:rPr>
          <w:color w:val="000000" w:themeColor="text1"/>
        </w:rPr>
        <w:t>which are</w:t>
      </w:r>
      <w:r w:rsidR="00A545F6">
        <w:rPr>
          <w:color w:val="000000" w:themeColor="text1"/>
        </w:rPr>
        <w:t xml:space="preserve"> </w:t>
      </w:r>
      <w:r w:rsidR="00F46AE8">
        <w:rPr>
          <w:color w:val="000000" w:themeColor="text1"/>
        </w:rPr>
        <w:t xml:space="preserve">able to </w:t>
      </w:r>
      <w:r w:rsidR="00131619">
        <w:rPr>
          <w:color w:val="000000" w:themeColor="text1"/>
        </w:rPr>
        <w:t>leverag</w:t>
      </w:r>
      <w:r w:rsidR="00F46AE8">
        <w:rPr>
          <w:color w:val="000000" w:themeColor="text1"/>
        </w:rPr>
        <w:t>e</w:t>
      </w:r>
      <w:r w:rsidR="00C855D9">
        <w:rPr>
          <w:color w:val="000000" w:themeColor="text1"/>
        </w:rPr>
        <w:t xml:space="preserve"> renewable energ</w:t>
      </w:r>
      <w:r w:rsidR="00F46AE8">
        <w:rPr>
          <w:color w:val="000000" w:themeColor="text1"/>
        </w:rPr>
        <w:t>ies</w:t>
      </w:r>
      <w:r w:rsidR="00E21072">
        <w:rPr>
          <w:color w:val="000000" w:themeColor="text1"/>
        </w:rPr>
        <w:t xml:space="preserve"> </w:t>
      </w:r>
      <w:r w:rsidR="00131619">
        <w:rPr>
          <w:color w:val="000000" w:themeColor="text1"/>
        </w:rPr>
        <w:t xml:space="preserve">as </w:t>
      </w:r>
      <w:r w:rsidR="00AD52C6">
        <w:rPr>
          <w:color w:val="000000" w:themeColor="text1"/>
        </w:rPr>
        <w:t>a</w:t>
      </w:r>
      <w:r w:rsidR="00EC5B65">
        <w:rPr>
          <w:color w:val="000000" w:themeColor="text1"/>
        </w:rPr>
        <w:t xml:space="preserve"> </w:t>
      </w:r>
      <w:r w:rsidR="00415730">
        <w:rPr>
          <w:color w:val="000000" w:themeColor="text1"/>
        </w:rPr>
        <w:t xml:space="preserve">process of </w:t>
      </w:r>
      <w:r w:rsidR="00131619">
        <w:rPr>
          <w:color w:val="000000" w:themeColor="text1"/>
        </w:rPr>
        <w:t>regional innovation</w:t>
      </w:r>
      <w:r w:rsidR="00AD52C6">
        <w:rPr>
          <w:color w:val="000000" w:themeColor="text1"/>
        </w:rPr>
        <w:t>. As that process of regional innovation</w:t>
      </w:r>
      <w:r w:rsidR="00415730">
        <w:rPr>
          <w:color w:val="000000" w:themeColor="text1"/>
        </w:rPr>
        <w:t xml:space="preserve">, which </w:t>
      </w:r>
      <w:r w:rsidR="00EC5B65">
        <w:rPr>
          <w:color w:val="000000" w:themeColor="text1"/>
        </w:rPr>
        <w:t xml:space="preserve">such environmentally </w:t>
      </w:r>
      <w:r w:rsidR="00BD0B24">
        <w:rPr>
          <w:color w:val="000000" w:themeColor="text1"/>
        </w:rPr>
        <w:t xml:space="preserve">sustainable </w:t>
      </w:r>
      <w:r w:rsidR="00415730">
        <w:rPr>
          <w:color w:val="000000" w:themeColor="text1"/>
        </w:rPr>
        <w:t>solutions</w:t>
      </w:r>
      <w:r w:rsidR="00EC5B65">
        <w:rPr>
          <w:color w:val="000000" w:themeColor="text1"/>
        </w:rPr>
        <w:t xml:space="preserve"> </w:t>
      </w:r>
      <w:r w:rsidR="00BD0B24">
        <w:rPr>
          <w:color w:val="000000" w:themeColor="text1"/>
        </w:rPr>
        <w:t>engineer</w:t>
      </w:r>
      <w:r w:rsidR="00A545F6">
        <w:rPr>
          <w:color w:val="000000" w:themeColor="text1"/>
        </w:rPr>
        <w:t xml:space="preserve"> to</w:t>
      </w:r>
      <w:r w:rsidR="00EC5B65">
        <w:rPr>
          <w:color w:val="000000" w:themeColor="text1"/>
        </w:rPr>
        <w:t xml:space="preserve"> </w:t>
      </w:r>
      <w:r w:rsidR="00DA7A43" w:rsidRPr="002B2027">
        <w:rPr>
          <w:color w:val="000000" w:themeColor="text1"/>
        </w:rPr>
        <w:t>stabilis</w:t>
      </w:r>
      <w:r w:rsidR="00A545F6">
        <w:rPr>
          <w:color w:val="000000" w:themeColor="text1"/>
        </w:rPr>
        <w:t>e</w:t>
      </w:r>
      <w:r w:rsidR="00BD647F" w:rsidRPr="002B2027">
        <w:rPr>
          <w:color w:val="000000" w:themeColor="text1"/>
        </w:rPr>
        <w:t xml:space="preserve"> </w:t>
      </w:r>
      <w:r w:rsidR="007B495F" w:rsidRPr="002B2027">
        <w:rPr>
          <w:color w:val="000000" w:themeColor="text1"/>
        </w:rPr>
        <w:t>wealth</w:t>
      </w:r>
      <w:r w:rsidR="007C30B7">
        <w:rPr>
          <w:color w:val="000000" w:themeColor="text1"/>
        </w:rPr>
        <w:t xml:space="preserve"> creation</w:t>
      </w:r>
      <w:r w:rsidR="004C7EB6">
        <w:rPr>
          <w:color w:val="000000" w:themeColor="text1"/>
        </w:rPr>
        <w:t xml:space="preserve">. </w:t>
      </w:r>
    </w:p>
    <w:p w14:paraId="75C2B621" w14:textId="77777777" w:rsidR="00EC5B65" w:rsidRDefault="00EC5B65" w:rsidP="00131619">
      <w:pPr>
        <w:spacing w:before="0" w:after="0" w:line="240" w:lineRule="auto"/>
        <w:jc w:val="left"/>
        <w:rPr>
          <w:color w:val="000000" w:themeColor="text1"/>
        </w:rPr>
      </w:pPr>
    </w:p>
    <w:p w14:paraId="49D1FA29" w14:textId="77777777" w:rsidR="00BD0B24" w:rsidRDefault="00A23349" w:rsidP="00131619">
      <w:pPr>
        <w:spacing w:before="0" w:after="0" w:line="240" w:lineRule="auto"/>
        <w:jc w:val="left"/>
      </w:pPr>
      <w:r w:rsidRPr="00466924">
        <w:t xml:space="preserve">Keeping this contention </w:t>
      </w:r>
      <w:r w:rsidR="00C937B4" w:rsidRPr="00466924">
        <w:t xml:space="preserve">firmly in mind, </w:t>
      </w:r>
      <w:r w:rsidR="007C30B7">
        <w:t>what follows</w:t>
      </w:r>
      <w:r w:rsidRPr="00466924">
        <w:t xml:space="preserve"> shall account for how th</w:t>
      </w:r>
      <w:r w:rsidR="00F1361E">
        <w:t>e</w:t>
      </w:r>
      <w:r w:rsidR="006812B2">
        <w:t xml:space="preserve"> </w:t>
      </w:r>
      <w:r w:rsidR="00C855D9">
        <w:t xml:space="preserve">digital infrastructures </w:t>
      </w:r>
      <w:r w:rsidR="00027936">
        <w:t>of</w:t>
      </w:r>
      <w:r w:rsidR="00D60BC1">
        <w:t xml:space="preserve"> </w:t>
      </w:r>
      <w:r w:rsidR="00C855D9">
        <w:t>data management systems</w:t>
      </w:r>
      <w:r w:rsidR="00027936">
        <w:t xml:space="preserve"> </w:t>
      </w:r>
      <w:r w:rsidR="00AD52C6">
        <w:t>draw</w:t>
      </w:r>
      <w:r w:rsidR="00CA0553">
        <w:t xml:space="preserve"> upon future internet</w:t>
      </w:r>
      <w:r w:rsidR="00D924B4">
        <w:t>-</w:t>
      </w:r>
      <w:r w:rsidR="00D60BC1">
        <w:t>based developments as</w:t>
      </w:r>
      <w:r w:rsidR="00CA0553">
        <w:t xml:space="preserve"> </w:t>
      </w:r>
      <w:r w:rsidR="00CE167D">
        <w:t>the cloud computing of an IoT</w:t>
      </w:r>
      <w:r w:rsidR="00CA0553">
        <w:t xml:space="preserve"> </w:t>
      </w:r>
      <w:r w:rsidR="00AA5BA6">
        <w:t>able to</w:t>
      </w:r>
      <w:r w:rsidR="004F4952">
        <w:t xml:space="preserve"> </w:t>
      </w:r>
      <w:r w:rsidR="001E3609">
        <w:t>stabilise</w:t>
      </w:r>
      <w:r w:rsidR="004F4952">
        <w:t xml:space="preserve"> the creation of wealth from </w:t>
      </w:r>
      <w:r w:rsidR="00C855D9">
        <w:t>renewable energ</w:t>
      </w:r>
      <w:r w:rsidR="00027936">
        <w:t>ies and be</w:t>
      </w:r>
      <w:r w:rsidR="00F1361E">
        <w:t xml:space="preserve"> that very “thing</w:t>
      </w:r>
      <w:r w:rsidR="00C855D9">
        <w:t xml:space="preserve">”, </w:t>
      </w:r>
      <w:r w:rsidR="00F74F98">
        <w:t xml:space="preserve">which brings </w:t>
      </w:r>
      <w:r w:rsidR="00C855D9">
        <w:t>th</w:t>
      </w:r>
      <w:r w:rsidR="00027936">
        <w:t xml:space="preserve">is </w:t>
      </w:r>
      <w:r w:rsidR="00CA0553">
        <w:t xml:space="preserve">process of </w:t>
      </w:r>
      <w:r w:rsidR="00C855D9">
        <w:t xml:space="preserve">regional innovation </w:t>
      </w:r>
      <w:r w:rsidR="007E073F">
        <w:t>fill circle</w:t>
      </w:r>
      <w:r w:rsidR="00714FFB">
        <w:t>.</w:t>
      </w:r>
      <w:r w:rsidR="00027936">
        <w:t xml:space="preserve"> </w:t>
      </w:r>
      <w:r w:rsidR="00131619">
        <w:t>In that sense</w:t>
      </w:r>
      <w:r w:rsidR="00AD52C6">
        <w:t>,</w:t>
      </w:r>
      <w:r w:rsidR="00131619">
        <w:t xml:space="preserve"> offer an account of smart cities, which does not rely on either </w:t>
      </w:r>
      <w:r w:rsidR="00131619">
        <w:lastRenderedPageBreak/>
        <w:t>the</w:t>
      </w:r>
      <w:r w:rsidR="000116DB">
        <w:t xml:space="preserve"> markets of </w:t>
      </w:r>
      <w:r w:rsidR="007E073F">
        <w:t>Ranking</w:t>
      </w:r>
      <w:r w:rsidR="00637AFA">
        <w:t xml:space="preserve"> </w:t>
      </w:r>
      <w:r w:rsidR="000116DB">
        <w:t>Systems</w:t>
      </w:r>
      <w:r w:rsidR="00637AFA">
        <w:t>,</w:t>
      </w:r>
      <w:r w:rsidR="007E073F">
        <w:t xml:space="preserve"> or </w:t>
      </w:r>
      <w:r w:rsidR="00894377">
        <w:t>a</w:t>
      </w:r>
      <w:r w:rsidR="00EA10B4">
        <w:t xml:space="preserve"> Future Internet</w:t>
      </w:r>
      <w:r w:rsidR="00637AFA">
        <w:t xml:space="preserve"> attribution of them as </w:t>
      </w:r>
      <w:r w:rsidR="00EA10B4">
        <w:t>digital infrastructures</w:t>
      </w:r>
      <w:r w:rsidR="00637AFA">
        <w:t>,</w:t>
      </w:r>
      <w:r w:rsidR="00EA10B4">
        <w:t xml:space="preserve"> but </w:t>
      </w:r>
      <w:r w:rsidR="007B2A5F">
        <w:t xml:space="preserve">the </w:t>
      </w:r>
      <w:r w:rsidR="00EA10B4">
        <w:t>data ma</w:t>
      </w:r>
      <w:r w:rsidR="00637AFA">
        <w:t>nagement sys</w:t>
      </w:r>
      <w:r w:rsidR="007B2A5F">
        <w:t>tem th</w:t>
      </w:r>
      <w:r w:rsidR="001D3461">
        <w:t xml:space="preserve">ese markets attribute to </w:t>
      </w:r>
      <w:r w:rsidR="00FB3462">
        <w:t>future</w:t>
      </w:r>
      <w:r w:rsidR="00894377">
        <w:t xml:space="preserve"> </w:t>
      </w:r>
      <w:r w:rsidR="00FB3462">
        <w:t>internet-based development</w:t>
      </w:r>
      <w:r w:rsidR="00894377">
        <w:t xml:space="preserve">s. In particular, </w:t>
      </w:r>
      <w:r w:rsidR="007C30B7">
        <w:t>which</w:t>
      </w:r>
      <w:r w:rsidR="00BD0B24">
        <w:t xml:space="preserve"> these markets attribute to future internet developments</w:t>
      </w:r>
      <w:r w:rsidR="00894377">
        <w:t xml:space="preserve"> </w:t>
      </w:r>
      <w:r w:rsidR="00BD0B24">
        <w:t xml:space="preserve">as the </w:t>
      </w:r>
      <w:r w:rsidR="00894377">
        <w:t xml:space="preserve">cloud-based computing </w:t>
      </w:r>
      <w:r w:rsidR="00C13A92">
        <w:t>of</w:t>
      </w:r>
      <w:r w:rsidR="00BD0B24">
        <w:t xml:space="preserve"> an</w:t>
      </w:r>
      <w:r w:rsidR="00894377">
        <w:t xml:space="preserve"> IoT</w:t>
      </w:r>
      <w:r w:rsidR="00FB3462">
        <w:t xml:space="preserve"> </w:t>
      </w:r>
      <w:r w:rsidR="00BD0B24">
        <w:t>whose data collection, information processing and smart (micro) grids, constitute an urban morphology</w:t>
      </w:r>
      <w:r w:rsidR="00C13A92">
        <w:t xml:space="preserve"> </w:t>
      </w:r>
      <w:r w:rsidR="007C30B7">
        <w:t xml:space="preserve">that is </w:t>
      </w:r>
      <w:r w:rsidR="00C13A92">
        <w:rPr>
          <w:color w:val="000000" w:themeColor="text1"/>
        </w:rPr>
        <w:t>able to leverage renewable energies as a regional innovation</w:t>
      </w:r>
      <w:r w:rsidR="007C30B7">
        <w:rPr>
          <w:color w:val="000000" w:themeColor="text1"/>
        </w:rPr>
        <w:t>. In particular, as a regional innovation</w:t>
      </w:r>
      <w:r w:rsidR="00C13A92">
        <w:rPr>
          <w:color w:val="000000" w:themeColor="text1"/>
        </w:rPr>
        <w:t xml:space="preserve"> able to</w:t>
      </w:r>
      <w:r w:rsidR="00C13A92" w:rsidRPr="002B2027">
        <w:rPr>
          <w:color w:val="000000" w:themeColor="text1"/>
        </w:rPr>
        <w:t xml:space="preserve"> stabilise the creation of wealth</w:t>
      </w:r>
      <w:r w:rsidR="00C13A92">
        <w:t xml:space="preserve"> from the </w:t>
      </w:r>
      <w:r w:rsidR="00C13A92">
        <w:rPr>
          <w:color w:val="000000" w:themeColor="text1"/>
        </w:rPr>
        <w:t>environmentally sustaina</w:t>
      </w:r>
      <w:r w:rsidR="00AD52C6">
        <w:rPr>
          <w:color w:val="000000" w:themeColor="text1"/>
        </w:rPr>
        <w:t>ble solutions this engineers as</w:t>
      </w:r>
      <w:r w:rsidR="00C13A92">
        <w:rPr>
          <w:color w:val="000000" w:themeColor="text1"/>
        </w:rPr>
        <w:t xml:space="preserve"> </w:t>
      </w:r>
      <w:r w:rsidR="00C13A92">
        <w:t xml:space="preserve">“concrete investment opportunities” (de Jong et al. 2015:34). </w:t>
      </w:r>
    </w:p>
    <w:p w14:paraId="1776DF92" w14:textId="77777777" w:rsidR="00BD0B24" w:rsidRDefault="00BD0B24" w:rsidP="00131619">
      <w:pPr>
        <w:spacing w:before="0" w:after="0" w:line="240" w:lineRule="auto"/>
        <w:jc w:val="left"/>
      </w:pPr>
    </w:p>
    <w:p w14:paraId="466BB45D" w14:textId="77777777" w:rsidR="0072331E" w:rsidRPr="00466924" w:rsidRDefault="00FB3462" w:rsidP="00140CE7">
      <w:pPr>
        <w:spacing w:before="0" w:after="0" w:line="240" w:lineRule="auto"/>
        <w:jc w:val="left"/>
      </w:pPr>
      <w:r>
        <w:t xml:space="preserve">With this in mind, </w:t>
      </w:r>
      <w:r w:rsidR="007C30B7">
        <w:t xml:space="preserve">the rest of this paper </w:t>
      </w:r>
      <w:r>
        <w:t>shall</w:t>
      </w:r>
      <w:r w:rsidR="001D3461">
        <w:t xml:space="preserve"> account</w:t>
      </w:r>
      <w:r>
        <w:t xml:space="preserve"> for smart cities by capturing </w:t>
      </w:r>
      <w:r w:rsidR="00A23349" w:rsidRPr="00466924">
        <w:t xml:space="preserve">the metrics </w:t>
      </w:r>
      <w:r w:rsidR="001D3461">
        <w:t xml:space="preserve">that </w:t>
      </w:r>
      <w:r w:rsidR="00182FE4" w:rsidRPr="00466924">
        <w:t>govern</w:t>
      </w:r>
      <w:r w:rsidR="002D129D" w:rsidRPr="00466924">
        <w:t xml:space="preserve"> </w:t>
      </w:r>
      <w:r w:rsidR="00F74F98">
        <w:t>the intellectual capital of</w:t>
      </w:r>
      <w:r w:rsidR="002C2C3C">
        <w:t xml:space="preserve"> </w:t>
      </w:r>
      <w:r w:rsidR="001D3461" w:rsidRPr="00466924">
        <w:t>future internet</w:t>
      </w:r>
      <w:r w:rsidR="001D3461">
        <w:t>-based</w:t>
      </w:r>
      <w:r w:rsidR="001D3461" w:rsidRPr="00466924">
        <w:t xml:space="preserve"> developments</w:t>
      </w:r>
      <w:r w:rsidR="001D3461">
        <w:t xml:space="preserve"> as markets</w:t>
      </w:r>
      <w:r w:rsidR="00C13A92">
        <w:t xml:space="preserve"> and</w:t>
      </w:r>
      <w:r w:rsidR="00380D09">
        <w:t xml:space="preserve"> </w:t>
      </w:r>
      <w:r w:rsidR="001D3461">
        <w:t xml:space="preserve">which attribute them to the </w:t>
      </w:r>
      <w:r w:rsidR="002C2C3C">
        <w:t>digital infrastructures</w:t>
      </w:r>
      <w:r w:rsidR="001D3461">
        <w:t xml:space="preserve"> of</w:t>
      </w:r>
      <w:r w:rsidR="00D60BC1">
        <w:t xml:space="preserve"> data management systems</w:t>
      </w:r>
      <w:r w:rsidR="0033039E">
        <w:t>. Then go on to report on the</w:t>
      </w:r>
      <w:r w:rsidR="00CA0553">
        <w:t xml:space="preserve"> </w:t>
      </w:r>
      <w:r w:rsidR="001B6DB5">
        <w:t xml:space="preserve">renewable energies </w:t>
      </w:r>
      <w:r w:rsidR="0033039E">
        <w:t xml:space="preserve">that </w:t>
      </w:r>
      <w:r w:rsidR="006606BC">
        <w:t>stab</w:t>
      </w:r>
      <w:r w:rsidR="003273BF">
        <w:t>i</w:t>
      </w:r>
      <w:r w:rsidR="006606BC">
        <w:t xml:space="preserve">lise the creation of wealth from </w:t>
      </w:r>
      <w:r w:rsidR="0033039E">
        <w:t>this</w:t>
      </w:r>
      <w:r w:rsidR="006606BC">
        <w:t xml:space="preserve"> regional innovation</w:t>
      </w:r>
      <w:r w:rsidR="006606BC" w:rsidDel="006606BC">
        <w:t xml:space="preserve"> </w:t>
      </w:r>
      <w:r w:rsidR="0033039E">
        <w:t>a</w:t>
      </w:r>
      <w:r w:rsidR="00851D9C">
        <w:t xml:space="preserve">s the </w:t>
      </w:r>
      <w:r w:rsidR="00EF2093">
        <w:t>cloud</w:t>
      </w:r>
      <w:r w:rsidR="008C1416">
        <w:t xml:space="preserve"> </w:t>
      </w:r>
      <w:r w:rsidR="00EF2093">
        <w:t xml:space="preserve">computing </w:t>
      </w:r>
      <w:r w:rsidR="00851D9C">
        <w:t>of an</w:t>
      </w:r>
      <w:r w:rsidR="00EF2093">
        <w:t xml:space="preserve"> </w:t>
      </w:r>
      <w:r w:rsidR="00EF2093" w:rsidRPr="00466924">
        <w:t>IoT</w:t>
      </w:r>
      <w:r w:rsidR="00AD23FD">
        <w:t xml:space="preserve">, </w:t>
      </w:r>
      <w:r w:rsidR="00851D9C">
        <w:t xml:space="preserve">which </w:t>
      </w:r>
      <w:r w:rsidR="006403A9">
        <w:t xml:space="preserve">allows </w:t>
      </w:r>
      <w:r w:rsidR="00C13A92">
        <w:t xml:space="preserve">the urban morphology of </w:t>
      </w:r>
      <w:r w:rsidR="006403A9">
        <w:t xml:space="preserve">city-districts </w:t>
      </w:r>
      <w:r w:rsidR="00851D9C">
        <w:t xml:space="preserve">to under-grid the sustainability of those </w:t>
      </w:r>
      <w:r w:rsidR="00351129" w:rsidRPr="00466924">
        <w:t>“</w:t>
      </w:r>
      <w:r w:rsidR="00DB74CA">
        <w:t xml:space="preserve">concrete </w:t>
      </w:r>
      <w:r w:rsidR="00351129" w:rsidRPr="00466924">
        <w:t>investment opportunities”</w:t>
      </w:r>
      <w:r w:rsidR="00851D9C">
        <w:t>,</w:t>
      </w:r>
      <w:r w:rsidR="00CA0553">
        <w:t xml:space="preserve"> </w:t>
      </w:r>
      <w:r w:rsidR="002C12A3">
        <w:t>smart cities engineer</w:t>
      </w:r>
      <w:r w:rsidR="003273BF">
        <w:t xml:space="preserve">. </w:t>
      </w:r>
      <w:r w:rsidR="00DB74CA">
        <w:t>Which t</w:t>
      </w:r>
      <w:r w:rsidR="006403A9">
        <w:t>hey engineer</w:t>
      </w:r>
      <w:r w:rsidR="00140CE7">
        <w:t xml:space="preserve"> </w:t>
      </w:r>
      <w:r w:rsidR="006403A9">
        <w:t xml:space="preserve">as city-districts to </w:t>
      </w:r>
      <w:r w:rsidR="0072331E">
        <w:t>u</w:t>
      </w:r>
      <w:r w:rsidR="00CE167D">
        <w:t>nder-</w:t>
      </w:r>
      <w:r w:rsidR="005F7691">
        <w:t>grid the sustainability of</w:t>
      </w:r>
      <w:r w:rsidR="0072331E">
        <w:t xml:space="preserve"> </w:t>
      </w:r>
      <w:r w:rsidR="00CE167D" w:rsidRPr="00466924">
        <w:t>“investment opportunities”</w:t>
      </w:r>
      <w:r w:rsidR="00DB74CA">
        <w:t xml:space="preserve"> as energy efficient-low carbon zones</w:t>
      </w:r>
      <w:r w:rsidR="007C30B7">
        <w:t xml:space="preserve"> able</w:t>
      </w:r>
      <w:r w:rsidR="003C0BB7">
        <w:t xml:space="preserve"> to </w:t>
      </w:r>
      <w:r w:rsidR="006403A9">
        <w:t>stabilis</w:t>
      </w:r>
      <w:r w:rsidR="00DB74CA">
        <w:t>e</w:t>
      </w:r>
      <w:r w:rsidR="006403A9">
        <w:t xml:space="preserve"> </w:t>
      </w:r>
      <w:r w:rsidR="005A028F" w:rsidRPr="00466924">
        <w:t xml:space="preserve">the value of </w:t>
      </w:r>
      <w:r w:rsidR="00DB74CA">
        <w:t>the</w:t>
      </w:r>
      <w:r w:rsidR="00A241A7">
        <w:t xml:space="preserve"> </w:t>
      </w:r>
      <w:r w:rsidR="002C2C3C">
        <w:t>wealth</w:t>
      </w:r>
      <w:r w:rsidR="00A241A7">
        <w:t xml:space="preserve"> </w:t>
      </w:r>
      <w:r w:rsidR="002C2C3C">
        <w:t>created</w:t>
      </w:r>
      <w:r w:rsidR="00A23349" w:rsidRPr="00466924">
        <w:t xml:space="preserve">. </w:t>
      </w:r>
      <w:r w:rsidR="00140CE7">
        <w:t xml:space="preserve">This shall </w:t>
      </w:r>
      <w:r w:rsidR="006403A9">
        <w:t xml:space="preserve">also </w:t>
      </w:r>
      <w:r w:rsidR="00140CE7">
        <w:t>provide the opportunity to extend the</w:t>
      </w:r>
      <w:r w:rsidR="00140CE7" w:rsidRPr="00466924">
        <w:t xml:space="preserve"> principal component-based grid anal</w:t>
      </w:r>
      <w:r w:rsidR="00140CE7">
        <w:t xml:space="preserve">ysis of future internet developments </w:t>
      </w:r>
      <w:r w:rsidR="003C0BB7">
        <w:t>developed by Hirst et al. (2012) and Kourtit et al. (2013)</w:t>
      </w:r>
      <w:r w:rsidR="00AD52C6">
        <w:t>. Extend it</w:t>
      </w:r>
      <w:r w:rsidR="003C0BB7">
        <w:t xml:space="preserve"> </w:t>
      </w:r>
      <w:r w:rsidR="00140CE7" w:rsidRPr="00466924">
        <w:t xml:space="preserve">into this </w:t>
      </w:r>
      <w:r w:rsidR="00C13A92">
        <w:t xml:space="preserve">process of </w:t>
      </w:r>
      <w:r w:rsidR="00140CE7" w:rsidRPr="00466924">
        <w:t xml:space="preserve">regional innovation and demonstrate how the metrics of these </w:t>
      </w:r>
      <w:r w:rsidR="00033F66">
        <w:t xml:space="preserve">digital </w:t>
      </w:r>
      <w:r w:rsidR="00140CE7" w:rsidRPr="00466924">
        <w:t>infrastructures</w:t>
      </w:r>
      <w:r w:rsidR="00033F66">
        <w:t xml:space="preserve">, </w:t>
      </w:r>
      <w:r w:rsidR="00140CE7" w:rsidRPr="00466924">
        <w:t>data management systems</w:t>
      </w:r>
      <w:r w:rsidR="00033F66">
        <w:t xml:space="preserve"> and renewable energies</w:t>
      </w:r>
      <w:r w:rsidR="00DB74CA">
        <w:t>, compute as an IoT</w:t>
      </w:r>
      <w:r w:rsidR="00AD52C6">
        <w:t>,</w:t>
      </w:r>
      <w:r w:rsidR="00DB74CA">
        <w:t xml:space="preserve"> </w:t>
      </w:r>
      <w:r w:rsidR="00AD52C6">
        <w:t>whose</w:t>
      </w:r>
      <w:r w:rsidR="00656CC6">
        <w:t xml:space="preserve"> morphological structure </w:t>
      </w:r>
      <w:r w:rsidR="00AD52C6">
        <w:t xml:space="preserve">is </w:t>
      </w:r>
      <w:r w:rsidR="00DB74CA">
        <w:t xml:space="preserve">able to </w:t>
      </w:r>
      <w:r w:rsidR="00140CE7" w:rsidRPr="00466924">
        <w:t>under-grid the sustainability of city-districts as the energy efficient-low carbon zones of an inclusi</w:t>
      </w:r>
      <w:r w:rsidR="00140CE7">
        <w:t>ve growth</w:t>
      </w:r>
      <w:r w:rsidR="00DB74CA">
        <w:t xml:space="preserve"> strategy</w:t>
      </w:r>
      <w:r w:rsidR="00140CE7">
        <w:t>.</w:t>
      </w:r>
    </w:p>
    <w:p w14:paraId="2CF322D6" w14:textId="77777777" w:rsidR="00637AFA" w:rsidRPr="00466924" w:rsidRDefault="00637AFA" w:rsidP="00AA28CB">
      <w:pPr>
        <w:spacing w:before="0" w:after="0" w:line="240" w:lineRule="auto"/>
        <w:jc w:val="left"/>
      </w:pPr>
    </w:p>
    <w:p w14:paraId="068C376C" w14:textId="77777777" w:rsidR="00B512A9" w:rsidRPr="00466924" w:rsidRDefault="00911630" w:rsidP="00AA28CB">
      <w:pPr>
        <w:pStyle w:val="Heading1"/>
        <w:numPr>
          <w:ilvl w:val="0"/>
          <w:numId w:val="0"/>
        </w:numPr>
        <w:spacing w:before="0" w:after="0" w:line="240" w:lineRule="auto"/>
        <w:jc w:val="left"/>
        <w:rPr>
          <w:sz w:val="20"/>
        </w:rPr>
      </w:pPr>
      <w:r w:rsidRPr="00466924">
        <w:rPr>
          <w:sz w:val="20"/>
        </w:rPr>
        <w:t xml:space="preserve">2. </w:t>
      </w:r>
      <w:r w:rsidR="0072331E">
        <w:rPr>
          <w:sz w:val="20"/>
        </w:rPr>
        <w:t>Capturing the metrics of smart cities</w:t>
      </w:r>
    </w:p>
    <w:p w14:paraId="4C36EF3E" w14:textId="77777777" w:rsidR="00762649" w:rsidRPr="00466924" w:rsidRDefault="00762649" w:rsidP="00AA28CB">
      <w:pPr>
        <w:spacing w:before="0" w:after="0" w:line="240" w:lineRule="auto"/>
        <w:jc w:val="left"/>
      </w:pPr>
    </w:p>
    <w:p w14:paraId="72850286" w14:textId="3B85C223" w:rsidR="004C6ED0" w:rsidRDefault="00B512A9" w:rsidP="00AA28CB">
      <w:pPr>
        <w:spacing w:before="0" w:after="0" w:line="240" w:lineRule="auto"/>
        <w:jc w:val="left"/>
      </w:pPr>
      <w:r w:rsidRPr="00466924">
        <w:t xml:space="preserve">The metrics </w:t>
      </w:r>
      <w:r w:rsidR="00FB3462">
        <w:t xml:space="preserve">governing the intellectual capital of </w:t>
      </w:r>
      <w:r w:rsidRPr="00466924">
        <w:t xml:space="preserve">future-internet based </w:t>
      </w:r>
      <w:r w:rsidR="00DC02DF">
        <w:t>developments</w:t>
      </w:r>
      <w:r w:rsidRPr="00466924">
        <w:t xml:space="preserve"> </w:t>
      </w:r>
      <w:r w:rsidR="00DC02DF">
        <w:t>are</w:t>
      </w:r>
      <w:r w:rsidR="006855DB">
        <w:t xml:space="preserve"> found </w:t>
      </w:r>
      <w:r w:rsidRPr="00466924">
        <w:t xml:space="preserve">in the Triple Helix model </w:t>
      </w:r>
      <w:r w:rsidR="00DB76C2" w:rsidRPr="00466924">
        <w:t>of smart cit</w:t>
      </w:r>
      <w:r w:rsidR="001E3609">
        <w:t>ies</w:t>
      </w:r>
      <w:r w:rsidR="00DB76C2" w:rsidRPr="00466924">
        <w:t xml:space="preserve"> </w:t>
      </w:r>
      <w:r w:rsidRPr="00466924">
        <w:t xml:space="preserve">advanced by Lombardi et al. </w:t>
      </w:r>
      <w:r w:rsidR="00EA733A" w:rsidRPr="00466924">
        <w:t>(</w:t>
      </w:r>
      <w:r w:rsidRPr="00466924">
        <w:t>2012</w:t>
      </w:r>
      <w:r w:rsidR="00EA733A" w:rsidRPr="00466924">
        <w:t>)</w:t>
      </w:r>
      <w:r w:rsidRPr="00466924">
        <w:t xml:space="preserve"> Lombardi and Giordano </w:t>
      </w:r>
      <w:r w:rsidR="00EA733A" w:rsidRPr="00466924">
        <w:t>(</w:t>
      </w:r>
      <w:r w:rsidRPr="00466924">
        <w:t>2012</w:t>
      </w:r>
      <w:r w:rsidR="00EA733A" w:rsidRPr="00466924">
        <w:t>)</w:t>
      </w:r>
      <w:r w:rsidR="003C0BB7">
        <w:t>, Hirst et al. (2012)</w:t>
      </w:r>
      <w:r w:rsidRPr="00466924">
        <w:t xml:space="preserve"> an</w:t>
      </w:r>
      <w:r w:rsidR="00D94F21" w:rsidRPr="00466924">
        <w:t>d</w:t>
      </w:r>
      <w:r w:rsidRPr="00466924">
        <w:t xml:space="preserve"> Kourtit et al. </w:t>
      </w:r>
      <w:r w:rsidR="00EA733A" w:rsidRPr="00466924">
        <w:t>(</w:t>
      </w:r>
      <w:r w:rsidRPr="00466924">
        <w:t>2013</w:t>
      </w:r>
      <w:r w:rsidR="00EA733A" w:rsidRPr="00466924">
        <w:t>)</w:t>
      </w:r>
      <w:r w:rsidRPr="00466924">
        <w:t>. T</w:t>
      </w:r>
      <w:r w:rsidR="00DB76C2" w:rsidRPr="00466924">
        <w:t>his Triple Helix model</w:t>
      </w:r>
      <w:r w:rsidRPr="00466924">
        <w:t xml:space="preserve"> get</w:t>
      </w:r>
      <w:r w:rsidR="00DB76C2" w:rsidRPr="00466924">
        <w:t>s</w:t>
      </w:r>
      <w:r w:rsidRPr="00466924">
        <w:t xml:space="preserve"> beyond the empiricism of</w:t>
      </w:r>
      <w:r w:rsidR="002C12A3">
        <w:t xml:space="preserve"> the</w:t>
      </w:r>
      <w:r w:rsidRPr="00466924">
        <w:t xml:space="preserve"> Ranking</w:t>
      </w:r>
      <w:r w:rsidR="000116DB">
        <w:t xml:space="preserve"> Systems</w:t>
      </w:r>
      <w:r w:rsidR="00EC3CA6">
        <w:t xml:space="preserve"> and </w:t>
      </w:r>
      <w:r w:rsidRPr="00466924">
        <w:t>collaborative logic of Future Internet</w:t>
      </w:r>
      <w:r w:rsidR="005432F3">
        <w:t xml:space="preserve"> accounts</w:t>
      </w:r>
      <w:r w:rsidR="00581F4C">
        <w:t xml:space="preserve"> and </w:t>
      </w:r>
      <w:r w:rsidR="00DB76C2" w:rsidRPr="00466924">
        <w:t>achieves this</w:t>
      </w:r>
      <w:r w:rsidRPr="00466924">
        <w:t xml:space="preserve"> by allowing </w:t>
      </w:r>
      <w:r w:rsidR="00A9656D">
        <w:t xml:space="preserve">the intellectual capital of </w:t>
      </w:r>
      <w:r w:rsidRPr="00466924">
        <w:t>cities</w:t>
      </w:r>
      <w:r w:rsidR="00DB76C2" w:rsidRPr="00466924">
        <w:t>,</w:t>
      </w:r>
      <w:r w:rsidR="00E75596">
        <w:t xml:space="preserve"> to be </w:t>
      </w:r>
      <w:r w:rsidR="002822BC">
        <w:t xml:space="preserve">rendered </w:t>
      </w:r>
      <w:r w:rsidR="004C6ED0">
        <w:t>smart by</w:t>
      </w:r>
      <w:r w:rsidR="00EC3CA6">
        <w:t xml:space="preserve"> </w:t>
      </w:r>
      <w:r w:rsidR="00DB76C2" w:rsidRPr="00466924">
        <w:t>pioneer</w:t>
      </w:r>
      <w:r w:rsidR="00EC3CA6">
        <w:t>ing</w:t>
      </w:r>
      <w:r w:rsidRPr="00466924">
        <w:t xml:space="preserve"> the development of </w:t>
      </w:r>
      <w:r w:rsidR="007014F6" w:rsidRPr="00466924">
        <w:t>f</w:t>
      </w:r>
      <w:r w:rsidRPr="00466924">
        <w:t xml:space="preserve">uture </w:t>
      </w:r>
      <w:r w:rsidR="007014F6" w:rsidRPr="00466924">
        <w:t>i</w:t>
      </w:r>
      <w:r w:rsidRPr="00466924">
        <w:t>nternet-based technologies</w:t>
      </w:r>
      <w:r w:rsidR="002822BC">
        <w:t>.</w:t>
      </w:r>
      <w:r w:rsidR="00033F66">
        <w:t xml:space="preserve"> </w:t>
      </w:r>
      <w:r w:rsidR="000116DB">
        <w:t>In p</w:t>
      </w:r>
      <w:r w:rsidR="00DB76C2" w:rsidRPr="00466924">
        <w:t>ioneer</w:t>
      </w:r>
      <w:r w:rsidR="002822BC">
        <w:t>ing developments</w:t>
      </w:r>
      <w:r w:rsidR="00DB76C2" w:rsidRPr="00466924">
        <w:t xml:space="preserve">, which </w:t>
      </w:r>
      <w:r w:rsidRPr="00466924">
        <w:t xml:space="preserve">Caragliu et al. </w:t>
      </w:r>
      <w:r w:rsidR="00EA733A" w:rsidRPr="00466924">
        <w:t>(</w:t>
      </w:r>
      <w:r w:rsidR="00D94F21" w:rsidRPr="00466924">
        <w:t>2013</w:t>
      </w:r>
      <w:r w:rsidR="00EA733A" w:rsidRPr="00466924">
        <w:t>)</w:t>
      </w:r>
      <w:r w:rsidR="00DB76C2" w:rsidRPr="00466924">
        <w:t xml:space="preserve"> note</w:t>
      </w:r>
      <w:r w:rsidR="004C6ED0">
        <w:t>,</w:t>
      </w:r>
      <w:r w:rsidR="00DB76C2" w:rsidRPr="00466924">
        <w:t xml:space="preserve"> are not only</w:t>
      </w:r>
      <w:r w:rsidRPr="00466924">
        <w:t xml:space="preserve"> successful in su</w:t>
      </w:r>
      <w:r w:rsidR="002221C8" w:rsidRPr="00466924">
        <w:t>pporting</w:t>
      </w:r>
      <w:r w:rsidRPr="00466924">
        <w:t xml:space="preserve"> the types of positive associations</w:t>
      </w:r>
      <w:r w:rsidR="002822BC">
        <w:t xml:space="preserve"> </w:t>
      </w:r>
      <w:r w:rsidR="00D51C5C" w:rsidRPr="00466924">
        <w:t>f</w:t>
      </w:r>
      <w:r w:rsidRPr="00466924">
        <w:t>ut</w:t>
      </w:r>
      <w:r w:rsidR="00DB76C2" w:rsidRPr="00466924">
        <w:t xml:space="preserve">ure </w:t>
      </w:r>
      <w:r w:rsidR="00D51C5C" w:rsidRPr="00466924">
        <w:t>i</w:t>
      </w:r>
      <w:r w:rsidR="00DB76C2" w:rsidRPr="00466924">
        <w:t>nternet</w:t>
      </w:r>
      <w:r w:rsidR="005F7691">
        <w:t>-based</w:t>
      </w:r>
      <w:r w:rsidR="00DB76C2" w:rsidRPr="00466924">
        <w:t xml:space="preserve"> </w:t>
      </w:r>
      <w:r w:rsidR="002822BC">
        <w:t>technologies</w:t>
      </w:r>
      <w:r w:rsidR="002C12A3">
        <w:t xml:space="preserve"> already</w:t>
      </w:r>
      <w:r w:rsidR="00DB76C2" w:rsidRPr="00466924">
        <w:t xml:space="preserve"> have with smart cities, but </w:t>
      </w:r>
      <w:r w:rsidR="002221C8" w:rsidRPr="00466924">
        <w:t xml:space="preserve">that </w:t>
      </w:r>
      <w:r w:rsidRPr="00466924">
        <w:t>deep restr</w:t>
      </w:r>
      <w:r w:rsidR="00DB76C2" w:rsidRPr="00466924">
        <w:t xml:space="preserve">ucturing of the ICT sector, </w:t>
      </w:r>
      <w:r w:rsidR="002221C8" w:rsidRPr="00DD22CF">
        <w:t>which</w:t>
      </w:r>
      <w:r w:rsidR="00DB76C2" w:rsidRPr="00DD22CF">
        <w:t xml:space="preserve"> also </w:t>
      </w:r>
      <w:r w:rsidRPr="00DD22CF">
        <w:t xml:space="preserve">allows </w:t>
      </w:r>
      <w:r w:rsidR="00EC3CA6" w:rsidRPr="00DD22CF">
        <w:t xml:space="preserve">these </w:t>
      </w:r>
      <w:r w:rsidR="000116DB">
        <w:t xml:space="preserve">digital </w:t>
      </w:r>
      <w:r w:rsidR="00EC3CA6" w:rsidRPr="00DD22CF">
        <w:t xml:space="preserve">infrastructures </w:t>
      </w:r>
      <w:r w:rsidRPr="00DD22CF">
        <w:t xml:space="preserve">to include energy, water and waste </w:t>
      </w:r>
      <w:r w:rsidR="000116DB">
        <w:t>as data</w:t>
      </w:r>
      <w:r w:rsidR="001F0D97">
        <w:t xml:space="preserve"> </w:t>
      </w:r>
      <w:r w:rsidR="00EC3CA6" w:rsidRPr="00DD22CF">
        <w:t>management systems</w:t>
      </w:r>
      <w:r w:rsidR="00DE5B3E" w:rsidRPr="00DD22CF">
        <w:t>.</w:t>
      </w:r>
      <w:r w:rsidR="00667365" w:rsidRPr="00DD22CF">
        <w:t xml:space="preserve"> </w:t>
      </w:r>
    </w:p>
    <w:p w14:paraId="73BEC92F" w14:textId="77777777" w:rsidR="004C6ED0" w:rsidRDefault="004C6ED0" w:rsidP="00AA28CB">
      <w:pPr>
        <w:spacing w:before="0" w:after="0" w:line="240" w:lineRule="auto"/>
        <w:jc w:val="left"/>
      </w:pPr>
    </w:p>
    <w:p w14:paraId="79390FAD" w14:textId="77777777" w:rsidR="00B512A9" w:rsidRDefault="00A61F2E" w:rsidP="00AA28CB">
      <w:pPr>
        <w:spacing w:before="0" w:after="0" w:line="240" w:lineRule="auto"/>
        <w:jc w:val="left"/>
      </w:pPr>
      <w:r w:rsidRPr="00DD22CF">
        <w:t>Th</w:t>
      </w:r>
      <w:r w:rsidR="00F378DF" w:rsidRPr="00DD22CF">
        <w:t xml:space="preserve">is </w:t>
      </w:r>
      <w:r w:rsidR="00B512A9" w:rsidRPr="00DD22CF">
        <w:t xml:space="preserve">deep restructuring </w:t>
      </w:r>
      <w:r w:rsidR="00F378DF" w:rsidRPr="00DD22CF">
        <w:t>of</w:t>
      </w:r>
      <w:r w:rsidR="002822BC">
        <w:t xml:space="preserve"> digital</w:t>
      </w:r>
      <w:r w:rsidR="00DA3496" w:rsidRPr="00DD22CF">
        <w:t xml:space="preserve"> </w:t>
      </w:r>
      <w:r w:rsidR="00B512A9" w:rsidRPr="00DD22CF">
        <w:t>infrastructures</w:t>
      </w:r>
      <w:r w:rsidR="005F7691">
        <w:t>,</w:t>
      </w:r>
      <w:r w:rsidR="00667365" w:rsidRPr="00DD22CF">
        <w:t xml:space="preserve"> </w:t>
      </w:r>
      <w:r w:rsidR="00EC3CA6" w:rsidRPr="00DD22CF">
        <w:t xml:space="preserve">as the </w:t>
      </w:r>
      <w:r w:rsidR="002822BC">
        <w:t xml:space="preserve">data </w:t>
      </w:r>
      <w:r w:rsidRPr="00DD22CF">
        <w:t>management</w:t>
      </w:r>
      <w:r w:rsidR="00921639" w:rsidRPr="00DD22CF">
        <w:t xml:space="preserve"> systems</w:t>
      </w:r>
      <w:r w:rsidRPr="00DD22CF">
        <w:t xml:space="preserve"> of </w:t>
      </w:r>
      <w:r w:rsidR="00921639" w:rsidRPr="00DD22CF">
        <w:t xml:space="preserve">a </w:t>
      </w:r>
      <w:r w:rsidRPr="00DD22CF">
        <w:t>regional innovation</w:t>
      </w:r>
      <w:r w:rsidR="005F7691">
        <w:t xml:space="preserve"> in</w:t>
      </w:r>
      <w:r w:rsidR="00B512A9" w:rsidRPr="00DD22CF">
        <w:t xml:space="preserve"> the ICT, energy, water a</w:t>
      </w:r>
      <w:r w:rsidR="00A9647B" w:rsidRPr="00DD22CF">
        <w:t>nd</w:t>
      </w:r>
      <w:r w:rsidR="00B512A9" w:rsidRPr="00DD22CF">
        <w:t xml:space="preserve"> waste </w:t>
      </w:r>
      <w:r w:rsidR="00921639" w:rsidRPr="00DD22CF">
        <w:t>sectors,</w:t>
      </w:r>
      <w:r w:rsidR="00EC3CA6" w:rsidRPr="00DD22CF">
        <w:t xml:space="preserve"> </w:t>
      </w:r>
      <w:r w:rsidR="00B512A9" w:rsidRPr="00DD22CF">
        <w:t xml:space="preserve">is </w:t>
      </w:r>
      <w:r w:rsidR="005F7691">
        <w:t>a development</w:t>
      </w:r>
      <w:r w:rsidR="00B512A9" w:rsidRPr="00DD22CF">
        <w:t xml:space="preserve"> Lombardi et al. </w:t>
      </w:r>
      <w:r w:rsidR="00EA733A" w:rsidRPr="00DD22CF">
        <w:t>(</w:t>
      </w:r>
      <w:r w:rsidR="00B512A9" w:rsidRPr="00DD22CF">
        <w:t>2012</w:t>
      </w:r>
      <w:r w:rsidR="00EA733A" w:rsidRPr="00DD22CF">
        <w:t>)</w:t>
      </w:r>
      <w:r w:rsidR="00667365" w:rsidRPr="00DD22CF">
        <w:t xml:space="preserve"> also </w:t>
      </w:r>
      <w:r w:rsidR="005F7691">
        <w:t>draw attention to</w:t>
      </w:r>
      <w:r w:rsidR="00B512A9" w:rsidRPr="00DD22CF">
        <w:t xml:space="preserve">. It is a matter Hirst et al. </w:t>
      </w:r>
      <w:r w:rsidR="00EA733A" w:rsidRPr="00DD22CF">
        <w:t>(</w:t>
      </w:r>
      <w:r w:rsidR="00B512A9" w:rsidRPr="00DD22CF">
        <w:t>2012</w:t>
      </w:r>
      <w:r w:rsidR="00EA733A" w:rsidRPr="00DD22CF">
        <w:t>)</w:t>
      </w:r>
      <w:r w:rsidR="00667365" w:rsidRPr="00DD22CF">
        <w:t xml:space="preserve"> </w:t>
      </w:r>
      <w:r w:rsidR="00DE7B3D" w:rsidRPr="00DD22CF">
        <w:t xml:space="preserve">and </w:t>
      </w:r>
      <w:r w:rsidR="00AD52C6">
        <w:rPr>
          <w:rFonts w:eastAsiaTheme="minorHAnsi" w:cs="Arial"/>
        </w:rPr>
        <w:t>Lazaroiu and Roscia (2012</w:t>
      </w:r>
      <w:r w:rsidR="004C6ED0">
        <w:rPr>
          <w:rFonts w:eastAsiaTheme="minorHAnsi" w:cs="Arial"/>
        </w:rPr>
        <w:t>)</w:t>
      </w:r>
      <w:r w:rsidR="00667365" w:rsidRPr="00DD22CF">
        <w:t xml:space="preserve"> </w:t>
      </w:r>
      <w:r w:rsidR="005F7691">
        <w:t>highlight</w:t>
      </w:r>
      <w:r w:rsidR="00DE5B3E" w:rsidRPr="00DD22CF">
        <w:t xml:space="preserve"> </w:t>
      </w:r>
      <w:r w:rsidR="004C6ED0">
        <w:t>the growing significance of in relation to</w:t>
      </w:r>
      <w:r w:rsidR="00B512A9" w:rsidRPr="00466924">
        <w:t xml:space="preserve"> the European Commission’s </w:t>
      </w:r>
      <w:r w:rsidR="00EA733A" w:rsidRPr="00466924">
        <w:t>(</w:t>
      </w:r>
      <w:r w:rsidR="00B512A9" w:rsidRPr="00466924">
        <w:t>ECs</w:t>
      </w:r>
      <w:r w:rsidR="00EA733A" w:rsidRPr="00466924">
        <w:t>)</w:t>
      </w:r>
      <w:r w:rsidR="00B512A9" w:rsidRPr="00466924">
        <w:t xml:space="preserve"> </w:t>
      </w:r>
      <w:r w:rsidR="00B512A9" w:rsidRPr="00466924">
        <w:rPr>
          <w:i/>
        </w:rPr>
        <w:t>Smart, Sustainable and Inclusive Growth Strategy</w:t>
      </w:r>
      <w:r w:rsidR="00667365" w:rsidRPr="00466924">
        <w:t xml:space="preserve"> </w:t>
      </w:r>
      <w:r w:rsidR="004C6ED0">
        <w:t xml:space="preserve">and </w:t>
      </w:r>
      <w:r w:rsidR="00667365" w:rsidRPr="00466924">
        <w:t>in terms of how t</w:t>
      </w:r>
      <w:r w:rsidRPr="00466924">
        <w:t>hese regional innovations</w:t>
      </w:r>
      <w:r w:rsidR="00E934EE" w:rsidRPr="00466924">
        <w:t xml:space="preserve"> </w:t>
      </w:r>
      <w:r w:rsidRPr="00466924">
        <w:t>support</w:t>
      </w:r>
      <w:r w:rsidR="00B512A9" w:rsidRPr="00466924">
        <w:t xml:space="preserve"> </w:t>
      </w:r>
      <w:r w:rsidR="00667365" w:rsidRPr="00466924">
        <w:t>the</w:t>
      </w:r>
      <w:r w:rsidR="00B512A9" w:rsidRPr="00466924">
        <w:t xml:space="preserve"> </w:t>
      </w:r>
      <w:r w:rsidR="00B512A9" w:rsidRPr="00466924">
        <w:rPr>
          <w:i/>
        </w:rPr>
        <w:t>Smart Cities and Communities Programme</w:t>
      </w:r>
      <w:r w:rsidR="00585CE0" w:rsidRPr="00466924">
        <w:t>.</w:t>
      </w:r>
      <w:r w:rsidR="00FB20CC" w:rsidRPr="00466924">
        <w:rPr>
          <w:rStyle w:val="FootnoteReference"/>
        </w:rPr>
        <w:footnoteReference w:id="1"/>
      </w:r>
      <w:r w:rsidR="00B512A9" w:rsidRPr="00466924">
        <w:t xml:space="preserve"> </w:t>
      </w:r>
    </w:p>
    <w:p w14:paraId="1D1B4694" w14:textId="77777777" w:rsidR="00F331A4" w:rsidRPr="00466924" w:rsidRDefault="00F331A4" w:rsidP="00F331A4">
      <w:pPr>
        <w:spacing w:before="0" w:after="0" w:line="240" w:lineRule="auto"/>
        <w:jc w:val="left"/>
      </w:pPr>
    </w:p>
    <w:p w14:paraId="3A6F5071" w14:textId="77777777" w:rsidR="00F331A4" w:rsidRDefault="00F331A4" w:rsidP="00F331A4">
      <w:pPr>
        <w:spacing w:before="0" w:after="0" w:line="240" w:lineRule="auto"/>
        <w:jc w:val="left"/>
      </w:pPr>
      <w:r w:rsidRPr="00466924">
        <w:t>Th</w:t>
      </w:r>
      <w:r>
        <w:t>e</w:t>
      </w:r>
      <w:r w:rsidRPr="00466924">
        <w:t xml:space="preserve"> metrics associated with this deep restructuring of the ICT, energy, water and waste </w:t>
      </w:r>
      <w:r>
        <w:t>sectors</w:t>
      </w:r>
      <w:r w:rsidRPr="00466924">
        <w:t xml:space="preserve"> is a matter Hirst et al. (2012) explore further.</w:t>
      </w:r>
      <w:r w:rsidRPr="00466924">
        <w:rPr>
          <w:rStyle w:val="FootnoteReference"/>
        </w:rPr>
        <w:footnoteReference w:id="2"/>
      </w:r>
      <w:r w:rsidRPr="00466924">
        <w:t xml:space="preserve"> They offer a principle component-based analysis as a grid for modelling </w:t>
      </w:r>
      <w:r w:rsidR="007E49DA">
        <w:t xml:space="preserve">the </w:t>
      </w:r>
      <w:r>
        <w:t xml:space="preserve">future internet-based developments of </w:t>
      </w:r>
      <w:r w:rsidRPr="00466924">
        <w:t>smart cit</w:t>
      </w:r>
      <w:r>
        <w:t>ies</w:t>
      </w:r>
      <w:r w:rsidRPr="00466924">
        <w:t xml:space="preserve">. This is set out in Figure 1 and captures the findings of the </w:t>
      </w:r>
      <w:r>
        <w:t>research conducted</w:t>
      </w:r>
      <w:r w:rsidRPr="00466924">
        <w:t xml:space="preserve"> by Hirst et al. (2012) to capture instances </w:t>
      </w:r>
      <w:r>
        <w:t xml:space="preserve">of where future internet-based developments </w:t>
      </w:r>
      <w:r w:rsidRPr="00466924">
        <w:t xml:space="preserve">have been smart in “under-gridding” the </w:t>
      </w:r>
      <w:r w:rsidRPr="001F0D97">
        <w:t>deep restructuring of cities ICT and energy sectors. In particular, in under-grid</w:t>
      </w:r>
      <w:r w:rsidR="007E49DA">
        <w:t>ding the design</w:t>
      </w:r>
      <w:r w:rsidRPr="001F0D97">
        <w:t xml:space="preserve"> of digital infrastructures as the data management syst</w:t>
      </w:r>
      <w:r w:rsidR="007E49DA">
        <w:t>ems of renewable energies that</w:t>
      </w:r>
      <w:r w:rsidRPr="001F0D97">
        <w:t xml:space="preserve"> combine in the cloud computing of an IoT</w:t>
      </w:r>
      <w:r w:rsidR="007E49DA">
        <w:t>, which</w:t>
      </w:r>
      <w:r w:rsidRPr="001F0D97">
        <w:t xml:space="preserve"> is able to support a smart, sustainable and inclusive growth. Figure 1</w:t>
      </w:r>
      <w:r w:rsidRPr="00466924">
        <w:t xml:space="preserve"> also serves to highlight the </w:t>
      </w:r>
      <w:r>
        <w:t>developments</w:t>
      </w:r>
      <w:r w:rsidRPr="00466924">
        <w:t xml:space="preserve"> that underpin the ICTs of these digital infrastructures and which support the data management </w:t>
      </w:r>
      <w:r>
        <w:t xml:space="preserve">systems </w:t>
      </w:r>
      <w:r w:rsidRPr="00466924">
        <w:t xml:space="preserve">of renewable energies in </w:t>
      </w:r>
      <w:r>
        <w:t>the</w:t>
      </w:r>
      <w:r w:rsidR="000116DB">
        <w:t xml:space="preserve"> cloud computing and</w:t>
      </w:r>
      <w:r>
        <w:t xml:space="preserve"> IoT of </w:t>
      </w:r>
      <w:r w:rsidRPr="00466924">
        <w:t>smart buildings. This also reveals the object of this under-gridding to be the sustainable and inclusive growth of city-districts as energy efficient-low carbon zones.</w:t>
      </w:r>
      <w:r>
        <w:t xml:space="preserve"> </w:t>
      </w:r>
      <w:r w:rsidRPr="00466924">
        <w:t xml:space="preserve">Kourtit et al. (2013) report on the performance of </w:t>
      </w:r>
      <w:r>
        <w:t>future internet-based</w:t>
      </w:r>
      <w:r w:rsidRPr="00466924">
        <w:t xml:space="preserve"> developments, as well as the</w:t>
      </w:r>
      <w:r w:rsidR="000116DB">
        <w:t xml:space="preserve"> digital i</w:t>
      </w:r>
      <w:r w:rsidRPr="00466924">
        <w:t xml:space="preserve">nfrastructures and </w:t>
      </w:r>
      <w:r w:rsidR="000116DB">
        <w:t xml:space="preserve">data </w:t>
      </w:r>
      <w:r w:rsidRPr="00466924">
        <w:t>management system</w:t>
      </w:r>
      <w:r>
        <w:t xml:space="preserve"> smart cities engineer</w:t>
      </w:r>
      <w:r w:rsidRPr="00466924">
        <w:t xml:space="preserve"> (see also </w:t>
      </w:r>
      <w:r w:rsidR="00D924B4">
        <w:t>Komninos</w:t>
      </w:r>
      <w:r w:rsidRPr="00466924">
        <w:t xml:space="preserve"> et al. 2013; Komninos, 2014 and Deakin, 2014). </w:t>
      </w:r>
    </w:p>
    <w:p w14:paraId="5B6DCD20" w14:textId="77777777" w:rsidR="00F331A4" w:rsidRDefault="00F331A4" w:rsidP="00AA28CB">
      <w:pPr>
        <w:spacing w:before="0" w:after="0" w:line="240" w:lineRule="auto"/>
        <w:jc w:val="left"/>
      </w:pPr>
    </w:p>
    <w:p w14:paraId="1E6328CE" w14:textId="77777777" w:rsidR="00F331A4" w:rsidRPr="00466924" w:rsidRDefault="00F331A4" w:rsidP="00AA28CB">
      <w:pPr>
        <w:spacing w:before="0" w:after="0" w:line="240" w:lineRule="auto"/>
        <w:jc w:val="left"/>
      </w:pPr>
      <w:r w:rsidRPr="00466924">
        <w:t>What follows shall concentrate on the development of these</w:t>
      </w:r>
      <w:r>
        <w:t xml:space="preserve"> digital</w:t>
      </w:r>
      <w:r w:rsidRPr="00466924">
        <w:t xml:space="preserve"> infrastructures as the </w:t>
      </w:r>
      <w:r>
        <w:t xml:space="preserve">data </w:t>
      </w:r>
      <w:r w:rsidRPr="00466924">
        <w:t xml:space="preserve">management systems of </w:t>
      </w:r>
      <w:r>
        <w:t>renewable energies. That is as the digital</w:t>
      </w:r>
      <w:r w:rsidR="007E49DA">
        <w:t xml:space="preserve"> infrastructures and</w:t>
      </w:r>
      <w:r w:rsidRPr="00466924">
        <w:t xml:space="preserve"> </w:t>
      </w:r>
      <w:r>
        <w:t xml:space="preserve">data </w:t>
      </w:r>
      <w:r w:rsidRPr="00466924">
        <w:t xml:space="preserve">management systems of </w:t>
      </w:r>
      <w:r>
        <w:t xml:space="preserve">renewable energies in the cloud computing of an IoT servicing smart buildings (see Figure 1). </w:t>
      </w:r>
      <w:r w:rsidRPr="00466924">
        <w:t>This i</w:t>
      </w:r>
      <w:r>
        <w:t>dentifies</w:t>
      </w:r>
      <w:r w:rsidRPr="00466924">
        <w:t xml:space="preserve"> the pioneers of Europe’s </w:t>
      </w:r>
      <w:r w:rsidRPr="00466924">
        <w:rPr>
          <w:i/>
        </w:rPr>
        <w:t>Smart, Sustainable and Inclusive Growth Strategy</w:t>
      </w:r>
      <w:r w:rsidRPr="00466924">
        <w:t xml:space="preserve"> to be the cities of Manchester, Amsterdam, Malmo and Barcelona. It also </w:t>
      </w:r>
      <w:r>
        <w:t>illustrates</w:t>
      </w:r>
      <w:r w:rsidRPr="00466924">
        <w:t xml:space="preserve"> how these smart cities have begun to construct sustainable and inclusive growth strategies around regional innovations in the ICT and energy sectors. </w:t>
      </w:r>
      <w:r>
        <w:t xml:space="preserve">This illustration </w:t>
      </w:r>
      <w:r w:rsidRPr="00466924">
        <w:t>also serves to highlight the components of th</w:t>
      </w:r>
      <w:r>
        <w:t>is</w:t>
      </w:r>
      <w:r w:rsidRPr="00466924">
        <w:t xml:space="preserve"> growth strategy. In particular, the digital infrastructure</w:t>
      </w:r>
      <w:r>
        <w:t>s</w:t>
      </w:r>
      <w:r w:rsidRPr="00466924">
        <w:t>, data management</w:t>
      </w:r>
      <w:r>
        <w:t xml:space="preserve"> systems</w:t>
      </w:r>
      <w:r w:rsidRPr="00466924">
        <w:t xml:space="preserve">, renewable energy, smart buildings and smart transport components of this </w:t>
      </w:r>
      <w:r w:rsidR="000116DB">
        <w:t xml:space="preserve">regional </w:t>
      </w:r>
      <w:r w:rsidRPr="00466924">
        <w:t xml:space="preserve">innovation. </w:t>
      </w:r>
    </w:p>
    <w:p w14:paraId="5D213B0E" w14:textId="77777777" w:rsidR="007F6670" w:rsidRPr="00466924" w:rsidRDefault="007F6670" w:rsidP="00AA28CB">
      <w:pPr>
        <w:spacing w:before="0" w:after="0" w:line="240" w:lineRule="auto"/>
        <w:jc w:val="left"/>
      </w:pPr>
      <w:r w:rsidRPr="007F6670">
        <w:rPr>
          <w:noProof/>
          <w:lang w:eastAsia="en-GB"/>
        </w:rPr>
        <w:drawing>
          <wp:inline distT="0" distB="0" distL="0" distR="0" wp14:anchorId="3EB19B1A" wp14:editId="3E9808D1">
            <wp:extent cx="6095999" cy="3343991"/>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344458"/>
                    </a:xfrm>
                    <a:prstGeom prst="rect">
                      <a:avLst/>
                    </a:prstGeom>
                  </pic:spPr>
                </pic:pic>
              </a:graphicData>
            </a:graphic>
          </wp:inline>
        </w:drawing>
      </w:r>
    </w:p>
    <w:p w14:paraId="5EE36838" w14:textId="77777777" w:rsidR="00A23975" w:rsidRPr="00466924" w:rsidRDefault="00A23975" w:rsidP="00AA28CB">
      <w:pPr>
        <w:spacing w:before="0" w:after="0" w:line="240" w:lineRule="auto"/>
        <w:jc w:val="left"/>
      </w:pPr>
    </w:p>
    <w:p w14:paraId="552207E8" w14:textId="77777777" w:rsidR="000B1AFB" w:rsidRPr="00466924" w:rsidRDefault="00B33609" w:rsidP="00E37D5A">
      <w:pPr>
        <w:spacing w:before="0" w:after="0" w:line="240" w:lineRule="auto"/>
        <w:jc w:val="left"/>
        <w:rPr>
          <w:i/>
        </w:rPr>
      </w:pPr>
      <w:r w:rsidRPr="00466924">
        <w:rPr>
          <w:i/>
        </w:rPr>
        <w:t>F</w:t>
      </w:r>
      <w:r w:rsidR="00470D2F" w:rsidRPr="00466924">
        <w:rPr>
          <w:i/>
        </w:rPr>
        <w:t xml:space="preserve">igure 1. A principle component-based grid of smart city developments. </w:t>
      </w:r>
    </w:p>
    <w:p w14:paraId="159627C6" w14:textId="77777777" w:rsidR="00B512A9" w:rsidRPr="00466924" w:rsidRDefault="00470D2F" w:rsidP="00E37D5A">
      <w:pPr>
        <w:spacing w:before="0" w:after="0" w:line="240" w:lineRule="auto"/>
        <w:jc w:val="left"/>
      </w:pPr>
      <w:r w:rsidRPr="00466924">
        <w:rPr>
          <w:i/>
        </w:rPr>
        <w:t>Source: Adapt</w:t>
      </w:r>
      <w:r w:rsidR="00C81A89" w:rsidRPr="00466924">
        <w:rPr>
          <w:i/>
        </w:rPr>
        <w:t xml:space="preserve">ed from </w:t>
      </w:r>
      <w:r w:rsidR="0007653A" w:rsidRPr="00466924">
        <w:rPr>
          <w:i/>
        </w:rPr>
        <w:t>Hirst et al</w:t>
      </w:r>
      <w:r w:rsidR="00900D33" w:rsidRPr="00466924">
        <w:rPr>
          <w:i/>
        </w:rPr>
        <w:t>.</w:t>
      </w:r>
      <w:r w:rsidR="0007653A" w:rsidRPr="00466924">
        <w:t xml:space="preserve"> </w:t>
      </w:r>
      <w:r w:rsidR="00C81A89" w:rsidRPr="00466924">
        <w:rPr>
          <w:i/>
        </w:rPr>
        <w:t>(2012).</w:t>
      </w:r>
      <w:r w:rsidRPr="00466924">
        <w:t xml:space="preserve"> </w:t>
      </w:r>
    </w:p>
    <w:p w14:paraId="3C809E43" w14:textId="77777777" w:rsidR="00FE7DCC" w:rsidRDefault="00FE7DCC" w:rsidP="006B4637">
      <w:pPr>
        <w:spacing w:before="0" w:after="0" w:line="240" w:lineRule="auto"/>
        <w:jc w:val="left"/>
      </w:pPr>
    </w:p>
    <w:p w14:paraId="2D44472F" w14:textId="28B91BEC" w:rsidR="004277D2" w:rsidRDefault="00C2585E" w:rsidP="006B4637">
      <w:pPr>
        <w:spacing w:before="0" w:after="0" w:line="240" w:lineRule="auto"/>
        <w:jc w:val="left"/>
      </w:pPr>
      <w:r>
        <w:t>This</w:t>
      </w:r>
      <w:r w:rsidR="00B7738C" w:rsidRPr="00466924">
        <w:t xml:space="preserve"> </w:t>
      </w:r>
      <w:r w:rsidR="00FE7DCC">
        <w:t>account of smart cities also</w:t>
      </w:r>
      <w:r w:rsidR="00B7738C" w:rsidRPr="00466924">
        <w:t xml:space="preserve"> goes some way to trace the principle legacy systems of </w:t>
      </w:r>
      <w:r>
        <w:t>these future internet-based developments:</w:t>
      </w:r>
      <w:r w:rsidR="00B7738C" w:rsidRPr="00466924">
        <w:t xml:space="preserve"> namely the ICT and energy sectors and the modulation of their growth as a </w:t>
      </w:r>
      <w:r>
        <w:t>“</w:t>
      </w:r>
      <w:r w:rsidR="00B7738C" w:rsidRPr="00466924">
        <w:t>broadband</w:t>
      </w:r>
      <w:r>
        <w:t>”</w:t>
      </w:r>
      <w:r w:rsidR="00B7738C" w:rsidRPr="00466924">
        <w:t xml:space="preserve"> of digital infrastructure, data management, renewable energy, building and transport applications. </w:t>
      </w:r>
      <w:r w:rsidR="0007653A" w:rsidRPr="00466924">
        <w:t>With the ICT sector, attention focuses on the smart gro</w:t>
      </w:r>
      <w:r w:rsidR="004277D2" w:rsidRPr="00466924">
        <w:t>wth of the first two components</w:t>
      </w:r>
      <w:r w:rsidR="0007653A" w:rsidRPr="00466924">
        <w:t xml:space="preserve"> (digital infrastructures and data management</w:t>
      </w:r>
      <w:r w:rsidR="00E75596">
        <w:t xml:space="preserve"> systems</w:t>
      </w:r>
      <w:r w:rsidR="0007653A" w:rsidRPr="00466924">
        <w:t>)</w:t>
      </w:r>
      <w:r w:rsidR="000116DB">
        <w:t xml:space="preserve"> and in</w:t>
      </w:r>
      <w:r w:rsidR="00FE7DCC">
        <w:t xml:space="preserve"> the cloud computing of </w:t>
      </w:r>
      <w:r w:rsidR="000116DB">
        <w:t>an</w:t>
      </w:r>
      <w:r w:rsidR="00FE7DCC">
        <w:t xml:space="preserve"> IoT. </w:t>
      </w:r>
      <w:r w:rsidR="00506553">
        <w:t>I</w:t>
      </w:r>
      <w:r>
        <w:t>n</w:t>
      </w:r>
      <w:r w:rsidR="0007653A" w:rsidRPr="00466924">
        <w:t xml:space="preserve"> the energy sector</w:t>
      </w:r>
      <w:r w:rsidR="00096883">
        <w:t xml:space="preserve">, </w:t>
      </w:r>
      <w:r w:rsidR="00FE7DCC">
        <w:t xml:space="preserve">the </w:t>
      </w:r>
      <w:r w:rsidR="00096883">
        <w:t>emphasis</w:t>
      </w:r>
      <w:r w:rsidR="0007653A" w:rsidRPr="00466924">
        <w:t xml:space="preserve"> is</w:t>
      </w:r>
      <w:r w:rsidR="00096883">
        <w:t xml:space="preserve"> </w:t>
      </w:r>
      <w:r w:rsidR="00F331A4">
        <w:t>on</w:t>
      </w:r>
      <w:r w:rsidR="00FE7DCC">
        <w:t xml:space="preserve"> </w:t>
      </w:r>
      <w:r w:rsidR="0007653A" w:rsidRPr="00466924">
        <w:t>the sustainable and inclusive growth of renewable energ</w:t>
      </w:r>
      <w:r w:rsidR="00E75596">
        <w:t xml:space="preserve">ies </w:t>
      </w:r>
      <w:r w:rsidR="001F0D97">
        <w:t xml:space="preserve">in </w:t>
      </w:r>
      <w:r w:rsidR="0007653A" w:rsidRPr="00466924">
        <w:t>buildings</w:t>
      </w:r>
      <w:r w:rsidR="00E75596">
        <w:t>.</w:t>
      </w:r>
      <w:r w:rsidR="006B4637" w:rsidRPr="00466924">
        <w:t xml:space="preserve"> </w:t>
      </w:r>
    </w:p>
    <w:p w14:paraId="2F6B9D8F" w14:textId="77777777" w:rsidR="00966DF5" w:rsidRDefault="00966DF5" w:rsidP="006B4637">
      <w:pPr>
        <w:spacing w:before="0" w:after="0" w:line="240" w:lineRule="auto"/>
        <w:jc w:val="left"/>
      </w:pPr>
    </w:p>
    <w:p w14:paraId="4E88355D" w14:textId="38A6B21D" w:rsidR="00966DF5" w:rsidRDefault="00966DF5" w:rsidP="00966DF5">
      <w:pPr>
        <w:spacing w:before="0" w:after="0" w:line="240" w:lineRule="auto"/>
        <w:jc w:val="left"/>
        <w:rPr>
          <w:rFonts w:cs="Arial"/>
        </w:rPr>
      </w:pPr>
      <w:r w:rsidRPr="003F4065">
        <w:rPr>
          <w:rFonts w:cs="Arial"/>
        </w:rPr>
        <w:t xml:space="preserve">As </w:t>
      </w:r>
      <w:r>
        <w:rPr>
          <w:rFonts w:cs="Arial"/>
        </w:rPr>
        <w:t>Zhang</w:t>
      </w:r>
      <w:r w:rsidRPr="003F4065">
        <w:rPr>
          <w:rFonts w:cs="Arial"/>
        </w:rPr>
        <w:t xml:space="preserve"> et al. (2013) and </w:t>
      </w:r>
      <w:r>
        <w:rPr>
          <w:rFonts w:cs="Arial"/>
        </w:rPr>
        <w:t>Zhang</w:t>
      </w:r>
      <w:r w:rsidRPr="003F4065">
        <w:rPr>
          <w:rFonts w:cs="Arial"/>
        </w:rPr>
        <w:t xml:space="preserve"> (2016), also note, it is these top-level issues (ICT and energy) that bottom-out in the </w:t>
      </w:r>
      <w:r>
        <w:rPr>
          <w:rFonts w:cs="Arial"/>
        </w:rPr>
        <w:t xml:space="preserve">digital </w:t>
      </w:r>
      <w:r w:rsidRPr="003F4065">
        <w:rPr>
          <w:rFonts w:cs="Arial"/>
        </w:rPr>
        <w:t xml:space="preserve">infrastructures, </w:t>
      </w:r>
      <w:r>
        <w:rPr>
          <w:rFonts w:cs="Arial"/>
        </w:rPr>
        <w:t xml:space="preserve">data </w:t>
      </w:r>
      <w:r w:rsidRPr="003F4065">
        <w:rPr>
          <w:rFonts w:cs="Arial"/>
        </w:rPr>
        <w:t>management systems and renewable</w:t>
      </w:r>
      <w:r>
        <w:rPr>
          <w:rFonts w:cs="Arial"/>
        </w:rPr>
        <w:t xml:space="preserve"> energies </w:t>
      </w:r>
      <w:r w:rsidRPr="003F4065">
        <w:rPr>
          <w:rFonts w:cs="Arial"/>
        </w:rPr>
        <w:t xml:space="preserve">of </w:t>
      </w:r>
      <w:r w:rsidR="007E49DA">
        <w:rPr>
          <w:rFonts w:cs="Arial"/>
        </w:rPr>
        <w:t xml:space="preserve">what they refer to as </w:t>
      </w:r>
      <w:r w:rsidRPr="003F4065">
        <w:rPr>
          <w:rFonts w:cs="Arial"/>
        </w:rPr>
        <w:t xml:space="preserve">sustainable urban development. Here the drivers of smart growth are issues such as high-speed broadband, data collection and storage. Issues to do with </w:t>
      </w:r>
      <w:r>
        <w:rPr>
          <w:rFonts w:cs="Arial"/>
        </w:rPr>
        <w:t xml:space="preserve">the </w:t>
      </w:r>
      <w:r w:rsidRPr="003F4065">
        <w:rPr>
          <w:rFonts w:cs="Arial"/>
        </w:rPr>
        <w:t>c</w:t>
      </w:r>
      <w:r>
        <w:rPr>
          <w:rFonts w:cs="Arial"/>
        </w:rPr>
        <w:t>loud</w:t>
      </w:r>
      <w:r w:rsidRPr="003F4065">
        <w:rPr>
          <w:rFonts w:cs="Arial"/>
        </w:rPr>
        <w:t xml:space="preserve"> computing and </w:t>
      </w:r>
      <w:r>
        <w:rPr>
          <w:rFonts w:cs="Arial"/>
        </w:rPr>
        <w:t xml:space="preserve">an </w:t>
      </w:r>
      <w:r w:rsidRPr="003F4065">
        <w:rPr>
          <w:rFonts w:cs="Arial"/>
        </w:rPr>
        <w:t>IoT, that bottom-out in the energy sector as the smart grids of renewable energies and which are found in the metering of smart buildi</w:t>
      </w:r>
      <w:r w:rsidR="007E49DA">
        <w:rPr>
          <w:rFonts w:cs="Arial"/>
        </w:rPr>
        <w:t xml:space="preserve">ngs. </w:t>
      </w:r>
      <w:r w:rsidRPr="003F4065">
        <w:rPr>
          <w:rFonts w:cs="Arial"/>
        </w:rPr>
        <w:t xml:space="preserve">Figure 1 </w:t>
      </w:r>
      <w:r w:rsidR="007E49DA">
        <w:rPr>
          <w:rFonts w:cs="Arial"/>
        </w:rPr>
        <w:t>shows these issues as those to do with</w:t>
      </w:r>
      <w:r w:rsidRPr="003F4065">
        <w:rPr>
          <w:rFonts w:cs="Arial"/>
        </w:rPr>
        <w:t xml:space="preserve"> combined heat and power, efficient heating and cooling measures. Consequently, what follows shall concentrate on the networking of these </w:t>
      </w:r>
      <w:r>
        <w:rPr>
          <w:rFonts w:cs="Arial"/>
        </w:rPr>
        <w:t xml:space="preserve">digital </w:t>
      </w:r>
      <w:r w:rsidRPr="003F4065">
        <w:rPr>
          <w:rFonts w:cs="Arial"/>
        </w:rPr>
        <w:t xml:space="preserve">infrastructures and </w:t>
      </w:r>
      <w:r>
        <w:rPr>
          <w:rFonts w:cs="Arial"/>
        </w:rPr>
        <w:t xml:space="preserve">data </w:t>
      </w:r>
      <w:r w:rsidR="007E49DA">
        <w:rPr>
          <w:rFonts w:cs="Arial"/>
        </w:rPr>
        <w:t>management systems as</w:t>
      </w:r>
      <w:r w:rsidRPr="003F4065">
        <w:rPr>
          <w:rFonts w:cs="Arial"/>
        </w:rPr>
        <w:t xml:space="preserve"> regional innovations</w:t>
      </w:r>
      <w:r>
        <w:rPr>
          <w:rFonts w:cs="Arial"/>
        </w:rPr>
        <w:t xml:space="preserve"> in the renewable energies</w:t>
      </w:r>
      <w:r w:rsidRPr="003F4065">
        <w:rPr>
          <w:rFonts w:cs="Arial"/>
        </w:rPr>
        <w:t xml:space="preserve"> of city-districts</w:t>
      </w:r>
      <w:r>
        <w:rPr>
          <w:rFonts w:cs="Arial"/>
        </w:rPr>
        <w:t xml:space="preserve">, </w:t>
      </w:r>
      <w:r w:rsidR="00DC02DF">
        <w:rPr>
          <w:rFonts w:cs="Arial"/>
        </w:rPr>
        <w:t xml:space="preserve">which </w:t>
      </w:r>
      <w:r w:rsidR="00DC02DF" w:rsidRPr="00466924">
        <w:rPr>
          <w:rFonts w:cs="Arial"/>
        </w:rPr>
        <w:t>under</w:t>
      </w:r>
      <w:r w:rsidRPr="00466924">
        <w:rPr>
          <w:rFonts w:cs="Arial"/>
        </w:rPr>
        <w:t xml:space="preserve">-grid the sustainability </w:t>
      </w:r>
      <w:r>
        <w:rPr>
          <w:rFonts w:cs="Arial"/>
        </w:rPr>
        <w:t xml:space="preserve">of </w:t>
      </w:r>
      <w:r w:rsidRPr="00466924">
        <w:rPr>
          <w:rFonts w:cs="Arial"/>
        </w:rPr>
        <w:t xml:space="preserve">energy efficient-low carbon zones. </w:t>
      </w:r>
    </w:p>
    <w:p w14:paraId="5A741663" w14:textId="77777777" w:rsidR="00966DF5" w:rsidRDefault="00966DF5" w:rsidP="00966DF5">
      <w:pPr>
        <w:spacing w:before="0" w:after="0" w:line="240" w:lineRule="auto"/>
        <w:jc w:val="left"/>
        <w:rPr>
          <w:rFonts w:cs="Arial"/>
        </w:rPr>
      </w:pPr>
    </w:p>
    <w:p w14:paraId="328BB97E" w14:textId="77777777" w:rsidR="00966DF5" w:rsidRDefault="00966DF5" w:rsidP="00966DF5">
      <w:pPr>
        <w:spacing w:before="0" w:after="0" w:line="240" w:lineRule="auto"/>
        <w:jc w:val="left"/>
      </w:pPr>
      <w:r>
        <w:rPr>
          <w:rFonts w:cs="Arial"/>
        </w:rPr>
        <w:t xml:space="preserve">Those smart cities pioneering </w:t>
      </w:r>
      <w:r w:rsidRPr="00466924">
        <w:rPr>
          <w:rFonts w:cs="Arial"/>
        </w:rPr>
        <w:t>this regional innovation a</w:t>
      </w:r>
      <w:r>
        <w:rPr>
          <w:rFonts w:cs="Arial"/>
        </w:rPr>
        <w:t>re listed in Table 1. This shows</w:t>
      </w:r>
      <w:r w:rsidRPr="00466924">
        <w:rPr>
          <w:rFonts w:cs="Arial"/>
        </w:rPr>
        <w:t xml:space="preserve"> the city-districts of Mitte Altone, Hafen City, Aspern Lakeside, Spina 4+, Via dei Cerchi, </w:t>
      </w:r>
      <w:r>
        <w:rPr>
          <w:rFonts w:cs="Arial"/>
        </w:rPr>
        <w:t xml:space="preserve">the </w:t>
      </w:r>
      <w:r w:rsidRPr="00466924">
        <w:rPr>
          <w:rFonts w:cs="Arial"/>
        </w:rPr>
        <w:t>Royal Sea Port, Vallbona and Hackbridge</w:t>
      </w:r>
      <w:r>
        <w:rPr>
          <w:rFonts w:cs="Arial"/>
        </w:rPr>
        <w:t>, as the pioneers of such regional innovations (see Table 1)</w:t>
      </w:r>
      <w:r w:rsidRPr="00466924">
        <w:rPr>
          <w:rFonts w:cs="Arial"/>
        </w:rPr>
        <w:t>. T</w:t>
      </w:r>
      <w:r>
        <w:rPr>
          <w:rFonts w:cs="Arial"/>
        </w:rPr>
        <w:t>able 1 also illustrates</w:t>
      </w:r>
      <w:r w:rsidRPr="00466924">
        <w:rPr>
          <w:rFonts w:cs="Arial"/>
        </w:rPr>
        <w:t xml:space="preserve"> the tons of CO</w:t>
      </w:r>
      <w:r w:rsidRPr="00466924">
        <w:rPr>
          <w:rFonts w:cs="Arial"/>
          <w:vertAlign w:val="subscript"/>
        </w:rPr>
        <w:t>2</w:t>
      </w:r>
      <w:r w:rsidRPr="00466924">
        <w:rPr>
          <w:rFonts w:cs="Arial"/>
        </w:rPr>
        <w:t xml:space="preserve"> emissions</w:t>
      </w:r>
      <w:r>
        <w:rPr>
          <w:rFonts w:cs="Arial"/>
        </w:rPr>
        <w:t xml:space="preserve"> </w:t>
      </w:r>
      <w:r w:rsidRPr="00466924">
        <w:rPr>
          <w:rFonts w:cs="Arial"/>
        </w:rPr>
        <w:t xml:space="preserve">per capita for these </w:t>
      </w:r>
      <w:r>
        <w:rPr>
          <w:rFonts w:cs="Arial"/>
        </w:rPr>
        <w:t>city-</w:t>
      </w:r>
      <w:r w:rsidRPr="00466924">
        <w:rPr>
          <w:rFonts w:cs="Arial"/>
        </w:rPr>
        <w:t>districts and compares them to the</w:t>
      </w:r>
      <w:r>
        <w:rPr>
          <w:rFonts w:cs="Arial"/>
        </w:rPr>
        <w:t xml:space="preserve"> parent</w:t>
      </w:r>
      <w:r w:rsidRPr="00466924">
        <w:rPr>
          <w:rFonts w:cs="Arial"/>
        </w:rPr>
        <w:t xml:space="preserve"> city and national equivalents. </w:t>
      </w:r>
      <w:r w:rsidRPr="00466924">
        <w:t xml:space="preserve">Figure 2 shows the performance of these city-districts </w:t>
      </w:r>
      <w:r>
        <w:t xml:space="preserve">in terms of </w:t>
      </w:r>
      <w:r w:rsidRPr="00466924">
        <w:t xml:space="preserve">energy savings and </w:t>
      </w:r>
      <w:r>
        <w:t xml:space="preserve">as </w:t>
      </w:r>
      <w:r w:rsidRPr="00466924">
        <w:t>CO</w:t>
      </w:r>
      <w:r w:rsidRPr="00466924">
        <w:rPr>
          <w:vertAlign w:val="subscript"/>
        </w:rPr>
        <w:t>2</w:t>
      </w:r>
      <w:r w:rsidRPr="00466924">
        <w:t xml:space="preserve"> emission</w:t>
      </w:r>
      <w:r>
        <w:t xml:space="preserve"> reductions</w:t>
      </w:r>
      <w:r w:rsidRPr="00466924">
        <w:t xml:space="preserve">. </w:t>
      </w:r>
    </w:p>
    <w:p w14:paraId="3557F555" w14:textId="77777777" w:rsidR="00A76CD5" w:rsidRDefault="00A76CD5" w:rsidP="00966DF5">
      <w:pPr>
        <w:spacing w:before="0" w:after="0" w:line="240" w:lineRule="auto"/>
        <w:jc w:val="left"/>
      </w:pPr>
    </w:p>
    <w:p w14:paraId="0A6BA090" w14:textId="6E0BDF4B" w:rsidR="00A76CD5" w:rsidRPr="00466924" w:rsidRDefault="00A76CD5" w:rsidP="00A76CD5">
      <w:pPr>
        <w:spacing w:before="0" w:after="0" w:line="240" w:lineRule="auto"/>
        <w:jc w:val="left"/>
      </w:pPr>
      <w:r w:rsidRPr="00466924">
        <w:t xml:space="preserve">In classifying the morphology of the city-districts as urban extensions (UE), urban infill (UI) and urban retrofits (UR), the regional innovation they </w:t>
      </w:r>
      <w:r>
        <w:t>uphold the standards of</w:t>
      </w:r>
      <w:r w:rsidRPr="00466924">
        <w:t xml:space="preserve">, forecast savings and reductions in excess of those laid down by the EC. As </w:t>
      </w:r>
      <w:r>
        <w:t xml:space="preserve">the </w:t>
      </w:r>
      <w:r w:rsidRPr="00466924">
        <w:t xml:space="preserve">standard-bearers of sustainable </w:t>
      </w:r>
      <w:r>
        <w:t xml:space="preserve">and inclusive growth and </w:t>
      </w:r>
      <w:r w:rsidRPr="00466924">
        <w:t xml:space="preserve">pioneers of both </w:t>
      </w:r>
      <w:r>
        <w:t xml:space="preserve">the </w:t>
      </w:r>
      <w:r w:rsidRPr="00466924">
        <w:t>energy saving and CO</w:t>
      </w:r>
      <w:r w:rsidRPr="00466924">
        <w:rPr>
          <w:vertAlign w:val="subscript"/>
        </w:rPr>
        <w:t xml:space="preserve">2 </w:t>
      </w:r>
      <w:r w:rsidRPr="00466924">
        <w:t xml:space="preserve">emission </w:t>
      </w:r>
      <w:r>
        <w:t>reductions,</w:t>
      </w:r>
      <w:r w:rsidRPr="00466924">
        <w:t xml:space="preserve"> these city-districts are at the </w:t>
      </w:r>
      <w:r>
        <w:t>forefront of such developments</w:t>
      </w:r>
      <w:r w:rsidRPr="00466924">
        <w:t>. Indeed, they are so advanced</w:t>
      </w:r>
      <w:r>
        <w:t>,</w:t>
      </w:r>
      <w:r w:rsidRPr="00466924">
        <w:t xml:space="preserve"> as to offer the prospect of a smart dividend for the development of sustainable city-districts</w:t>
      </w:r>
      <w:r>
        <w:t xml:space="preserve"> set</w:t>
      </w:r>
      <w:r w:rsidRPr="00466924">
        <w:t xml:space="preserve"> within neighbourhood communities.</w:t>
      </w:r>
    </w:p>
    <w:p w14:paraId="5DFB7041" w14:textId="77777777" w:rsidR="00A76CD5" w:rsidRDefault="00A76CD5" w:rsidP="00966DF5">
      <w:pPr>
        <w:spacing w:before="0" w:after="0" w:line="240" w:lineRule="auto"/>
        <w:jc w:val="left"/>
      </w:pPr>
    </w:p>
    <w:p w14:paraId="120E5372" w14:textId="77777777" w:rsidR="00096883" w:rsidRPr="00466924" w:rsidRDefault="00096883" w:rsidP="00B90E97">
      <w:pPr>
        <w:spacing w:before="0" w:after="0" w:line="240" w:lineRule="auto"/>
        <w:jc w:val="left"/>
      </w:pPr>
    </w:p>
    <w:tbl>
      <w:tblPr>
        <w:tblStyle w:val="LightList-Accent3"/>
        <w:tblW w:w="8500" w:type="dxa"/>
        <w:tblInd w:w="534" w:type="dxa"/>
        <w:tblLook w:val="04A0" w:firstRow="1" w:lastRow="0" w:firstColumn="1" w:lastColumn="0" w:noHBand="0" w:noVBand="1"/>
      </w:tblPr>
      <w:tblGrid>
        <w:gridCol w:w="2835"/>
        <w:gridCol w:w="2129"/>
        <w:gridCol w:w="1557"/>
        <w:gridCol w:w="1979"/>
      </w:tblGrid>
      <w:tr w:rsidR="00C06020" w:rsidRPr="00466924" w14:paraId="55CF1C6D" w14:textId="77777777" w:rsidTr="00C06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AA3EA1F" w14:textId="77777777" w:rsidR="000C7E6C" w:rsidRPr="00466924" w:rsidRDefault="000C7E6C" w:rsidP="001212EB">
            <w:pPr>
              <w:jc w:val="center"/>
              <w:rPr>
                <w:color w:val="auto"/>
              </w:rPr>
            </w:pPr>
          </w:p>
        </w:tc>
        <w:tc>
          <w:tcPr>
            <w:tcW w:w="2129" w:type="dxa"/>
          </w:tcPr>
          <w:p w14:paraId="0D597976" w14:textId="77777777" w:rsidR="000C7E6C" w:rsidRPr="00466924" w:rsidRDefault="002B0F96" w:rsidP="00C06020">
            <w:pPr>
              <w:ind w:left="176"/>
              <w:jc w:val="center"/>
              <w:cnfStyle w:val="100000000000" w:firstRow="1" w:lastRow="0" w:firstColumn="0" w:lastColumn="0" w:oddVBand="0" w:evenVBand="0" w:oddHBand="0" w:evenHBand="0" w:firstRowFirstColumn="0" w:firstRowLastColumn="0" w:lastRowFirstColumn="0" w:lastRowLastColumn="0"/>
              <w:rPr>
                <w:b w:val="0"/>
                <w:color w:val="auto"/>
              </w:rPr>
            </w:pPr>
            <w:r w:rsidRPr="00466924">
              <w:rPr>
                <w:b w:val="0"/>
                <w:color w:val="auto"/>
              </w:rPr>
              <w:t>D</w:t>
            </w:r>
            <w:r w:rsidR="000C7E6C" w:rsidRPr="00466924">
              <w:rPr>
                <w:b w:val="0"/>
                <w:color w:val="auto"/>
              </w:rPr>
              <w:t>istrict</w:t>
            </w:r>
          </w:p>
        </w:tc>
        <w:tc>
          <w:tcPr>
            <w:tcW w:w="1557" w:type="dxa"/>
          </w:tcPr>
          <w:p w14:paraId="3C95614F" w14:textId="77777777" w:rsidR="000C7E6C" w:rsidRPr="00466924" w:rsidRDefault="00394B96" w:rsidP="000C7E6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466924">
              <w:rPr>
                <w:b w:val="0"/>
                <w:color w:val="auto"/>
              </w:rPr>
              <w:t>C</w:t>
            </w:r>
            <w:r w:rsidR="000C7E6C" w:rsidRPr="00466924">
              <w:rPr>
                <w:b w:val="0"/>
                <w:color w:val="auto"/>
              </w:rPr>
              <w:t>ity</w:t>
            </w:r>
          </w:p>
        </w:tc>
        <w:tc>
          <w:tcPr>
            <w:tcW w:w="1979" w:type="dxa"/>
          </w:tcPr>
          <w:p w14:paraId="49C2EB71" w14:textId="77777777" w:rsidR="000C7E6C" w:rsidRPr="00466924" w:rsidRDefault="00F21A26" w:rsidP="000C7E6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466924">
              <w:rPr>
                <w:b w:val="0"/>
                <w:color w:val="auto"/>
              </w:rPr>
              <w:t>N</w:t>
            </w:r>
            <w:r w:rsidR="000C7E6C" w:rsidRPr="00466924">
              <w:rPr>
                <w:b w:val="0"/>
                <w:color w:val="auto"/>
              </w:rPr>
              <w:t>ation</w:t>
            </w:r>
          </w:p>
        </w:tc>
      </w:tr>
      <w:tr w:rsidR="00C06020" w:rsidRPr="00466924" w14:paraId="2B4C3658" w14:textId="77777777" w:rsidTr="00C0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5825B4A" w14:textId="77777777" w:rsidR="000C7E6C" w:rsidRPr="00466924" w:rsidRDefault="000C7E6C" w:rsidP="00C06020">
            <w:pPr>
              <w:jc w:val="left"/>
            </w:pPr>
            <w:r w:rsidRPr="00466924">
              <w:t>Hackbridge</w:t>
            </w:r>
            <w:r w:rsidR="00C06020" w:rsidRPr="00466924">
              <w:t xml:space="preserve">, </w:t>
            </w:r>
            <w:r w:rsidRPr="00466924">
              <w:t>London</w:t>
            </w:r>
          </w:p>
        </w:tc>
        <w:tc>
          <w:tcPr>
            <w:tcW w:w="2129" w:type="dxa"/>
          </w:tcPr>
          <w:p w14:paraId="74F4E99D"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1.2</w:t>
            </w:r>
          </w:p>
        </w:tc>
        <w:tc>
          <w:tcPr>
            <w:tcW w:w="1557" w:type="dxa"/>
          </w:tcPr>
          <w:p w14:paraId="72B33407"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5.8</w:t>
            </w:r>
          </w:p>
        </w:tc>
        <w:tc>
          <w:tcPr>
            <w:tcW w:w="1979" w:type="dxa"/>
          </w:tcPr>
          <w:p w14:paraId="5FDFE475"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8.5</w:t>
            </w:r>
          </w:p>
        </w:tc>
      </w:tr>
      <w:tr w:rsidR="00C06020" w:rsidRPr="00466924" w14:paraId="32A2E479" w14:textId="77777777" w:rsidTr="00C06020">
        <w:tc>
          <w:tcPr>
            <w:cnfStyle w:val="001000000000" w:firstRow="0" w:lastRow="0" w:firstColumn="1" w:lastColumn="0" w:oddVBand="0" w:evenVBand="0" w:oddHBand="0" w:evenHBand="0" w:firstRowFirstColumn="0" w:firstRowLastColumn="0" w:lastRowFirstColumn="0" w:lastRowLastColumn="0"/>
            <w:tcW w:w="2835" w:type="dxa"/>
          </w:tcPr>
          <w:p w14:paraId="25CD9FA4" w14:textId="77777777" w:rsidR="000C7E6C" w:rsidRPr="00466924" w:rsidRDefault="000C7E6C" w:rsidP="00C06020">
            <w:pPr>
              <w:jc w:val="left"/>
            </w:pPr>
            <w:r w:rsidRPr="00466924">
              <w:t>Vallbona</w:t>
            </w:r>
            <w:r w:rsidR="00C06020" w:rsidRPr="00466924">
              <w:t xml:space="preserve">, </w:t>
            </w:r>
            <w:r w:rsidRPr="00466924">
              <w:t>Barcelona</w:t>
            </w:r>
          </w:p>
        </w:tc>
        <w:tc>
          <w:tcPr>
            <w:tcW w:w="2129" w:type="dxa"/>
          </w:tcPr>
          <w:p w14:paraId="5C722FF7"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1.5</w:t>
            </w:r>
          </w:p>
        </w:tc>
        <w:tc>
          <w:tcPr>
            <w:tcW w:w="1557" w:type="dxa"/>
          </w:tcPr>
          <w:p w14:paraId="23A70B52"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2.5</w:t>
            </w:r>
          </w:p>
        </w:tc>
        <w:tc>
          <w:tcPr>
            <w:tcW w:w="1979" w:type="dxa"/>
          </w:tcPr>
          <w:p w14:paraId="5A6A148A"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6.8</w:t>
            </w:r>
          </w:p>
        </w:tc>
      </w:tr>
      <w:tr w:rsidR="00C06020" w:rsidRPr="00466924" w14:paraId="22BB1CEF" w14:textId="77777777" w:rsidTr="00C0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E23D6D7" w14:textId="77777777" w:rsidR="000C7E6C" w:rsidRPr="00466924" w:rsidRDefault="000C7E6C" w:rsidP="00C06020">
            <w:pPr>
              <w:ind w:right="-392"/>
              <w:jc w:val="left"/>
            </w:pPr>
            <w:r w:rsidRPr="00466924">
              <w:t>Royal Sea Port</w:t>
            </w:r>
            <w:r w:rsidR="00C06020" w:rsidRPr="00466924">
              <w:t xml:space="preserve">, </w:t>
            </w:r>
            <w:r w:rsidRPr="00466924">
              <w:t>Stockholm</w:t>
            </w:r>
          </w:p>
        </w:tc>
        <w:tc>
          <w:tcPr>
            <w:tcW w:w="2129" w:type="dxa"/>
          </w:tcPr>
          <w:p w14:paraId="2FF5CAA0"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1.5</w:t>
            </w:r>
          </w:p>
        </w:tc>
        <w:tc>
          <w:tcPr>
            <w:tcW w:w="1557" w:type="dxa"/>
          </w:tcPr>
          <w:p w14:paraId="036B31C6"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3.5</w:t>
            </w:r>
          </w:p>
        </w:tc>
        <w:tc>
          <w:tcPr>
            <w:tcW w:w="1979" w:type="dxa"/>
          </w:tcPr>
          <w:p w14:paraId="42611DA5"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6.9</w:t>
            </w:r>
          </w:p>
        </w:tc>
      </w:tr>
      <w:tr w:rsidR="00C06020" w:rsidRPr="00466924" w14:paraId="44BE49BC" w14:textId="77777777" w:rsidTr="00C06020">
        <w:tc>
          <w:tcPr>
            <w:cnfStyle w:val="001000000000" w:firstRow="0" w:lastRow="0" w:firstColumn="1" w:lastColumn="0" w:oddVBand="0" w:evenVBand="0" w:oddHBand="0" w:evenHBand="0" w:firstRowFirstColumn="0" w:firstRowLastColumn="0" w:lastRowFirstColumn="0" w:lastRowLastColumn="0"/>
            <w:tcW w:w="2835" w:type="dxa"/>
          </w:tcPr>
          <w:p w14:paraId="7F51B611" w14:textId="77777777" w:rsidR="000C7E6C" w:rsidRPr="00466924" w:rsidRDefault="000C7E6C" w:rsidP="00C06020">
            <w:pPr>
              <w:jc w:val="left"/>
            </w:pPr>
            <w:r w:rsidRPr="00466924">
              <w:t>Via dei Cerchi</w:t>
            </w:r>
            <w:r w:rsidR="00C06020" w:rsidRPr="00466924">
              <w:t xml:space="preserve">, </w:t>
            </w:r>
            <w:r w:rsidRPr="00466924">
              <w:t>Rome</w:t>
            </w:r>
          </w:p>
        </w:tc>
        <w:tc>
          <w:tcPr>
            <w:tcW w:w="2129" w:type="dxa"/>
          </w:tcPr>
          <w:p w14:paraId="7CC2A1AF"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2.75</w:t>
            </w:r>
          </w:p>
        </w:tc>
        <w:tc>
          <w:tcPr>
            <w:tcW w:w="1557" w:type="dxa"/>
          </w:tcPr>
          <w:p w14:paraId="51C1ABFC"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3.5</w:t>
            </w:r>
          </w:p>
        </w:tc>
        <w:tc>
          <w:tcPr>
            <w:tcW w:w="1979" w:type="dxa"/>
          </w:tcPr>
          <w:p w14:paraId="0DEFD4AB"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7.2</w:t>
            </w:r>
          </w:p>
        </w:tc>
      </w:tr>
      <w:tr w:rsidR="00C06020" w:rsidRPr="00466924" w14:paraId="5B01EFD4" w14:textId="77777777" w:rsidTr="00C0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1F922E" w14:textId="77777777" w:rsidR="000C7E6C" w:rsidRPr="00466924" w:rsidRDefault="000C7E6C" w:rsidP="00C06020">
            <w:pPr>
              <w:jc w:val="left"/>
            </w:pPr>
            <w:r w:rsidRPr="00466924">
              <w:t>Spina 4+</w:t>
            </w:r>
            <w:r w:rsidR="00C06020" w:rsidRPr="00466924">
              <w:t xml:space="preserve">, </w:t>
            </w:r>
            <w:r w:rsidRPr="00466924">
              <w:t>Turin</w:t>
            </w:r>
          </w:p>
        </w:tc>
        <w:tc>
          <w:tcPr>
            <w:tcW w:w="2129" w:type="dxa"/>
          </w:tcPr>
          <w:p w14:paraId="7D37C33A"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2.75</w:t>
            </w:r>
          </w:p>
        </w:tc>
        <w:tc>
          <w:tcPr>
            <w:tcW w:w="1557" w:type="dxa"/>
          </w:tcPr>
          <w:p w14:paraId="5F498413"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6.0</w:t>
            </w:r>
          </w:p>
        </w:tc>
        <w:tc>
          <w:tcPr>
            <w:tcW w:w="1979" w:type="dxa"/>
          </w:tcPr>
          <w:p w14:paraId="225CBE6C"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7.2</w:t>
            </w:r>
          </w:p>
        </w:tc>
      </w:tr>
      <w:tr w:rsidR="00C06020" w:rsidRPr="00466924" w14:paraId="44ACE19C" w14:textId="77777777" w:rsidTr="00C06020">
        <w:tc>
          <w:tcPr>
            <w:cnfStyle w:val="001000000000" w:firstRow="0" w:lastRow="0" w:firstColumn="1" w:lastColumn="0" w:oddVBand="0" w:evenVBand="0" w:oddHBand="0" w:evenHBand="0" w:firstRowFirstColumn="0" w:firstRowLastColumn="0" w:lastRowFirstColumn="0" w:lastRowLastColumn="0"/>
            <w:tcW w:w="2835" w:type="dxa"/>
          </w:tcPr>
          <w:p w14:paraId="745A7380" w14:textId="77777777" w:rsidR="000C7E6C" w:rsidRPr="00466924" w:rsidRDefault="000C7E6C" w:rsidP="00C06020">
            <w:pPr>
              <w:jc w:val="left"/>
            </w:pPr>
            <w:r w:rsidRPr="00466924">
              <w:t>Aspern Lake Side</w:t>
            </w:r>
            <w:r w:rsidR="00C06020" w:rsidRPr="00466924">
              <w:t xml:space="preserve">, </w:t>
            </w:r>
            <w:r w:rsidRPr="00466924">
              <w:t>Vienna</w:t>
            </w:r>
          </w:p>
        </w:tc>
        <w:tc>
          <w:tcPr>
            <w:tcW w:w="2129" w:type="dxa"/>
          </w:tcPr>
          <w:p w14:paraId="4D0DED63"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(5.0)</w:t>
            </w:r>
          </w:p>
        </w:tc>
        <w:tc>
          <w:tcPr>
            <w:tcW w:w="1557" w:type="dxa"/>
          </w:tcPr>
          <w:p w14:paraId="2A58BA6B"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5.0</w:t>
            </w:r>
          </w:p>
        </w:tc>
        <w:tc>
          <w:tcPr>
            <w:tcW w:w="1979" w:type="dxa"/>
          </w:tcPr>
          <w:p w14:paraId="28F47157"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8.5</w:t>
            </w:r>
          </w:p>
        </w:tc>
      </w:tr>
      <w:tr w:rsidR="00C06020" w:rsidRPr="00466924" w14:paraId="526E8711" w14:textId="77777777" w:rsidTr="00C0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757F0B1" w14:textId="77777777" w:rsidR="000C7E6C" w:rsidRPr="00466924" w:rsidRDefault="000C7E6C" w:rsidP="00C06020">
            <w:pPr>
              <w:jc w:val="left"/>
            </w:pPr>
            <w:r w:rsidRPr="00466924">
              <w:t>Hafen City</w:t>
            </w:r>
            <w:r w:rsidR="00C06020" w:rsidRPr="00466924">
              <w:t xml:space="preserve">, </w:t>
            </w:r>
            <w:r w:rsidRPr="00466924">
              <w:t>Hamburg</w:t>
            </w:r>
          </w:p>
        </w:tc>
        <w:tc>
          <w:tcPr>
            <w:tcW w:w="2129" w:type="dxa"/>
          </w:tcPr>
          <w:p w14:paraId="43B99A08"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5.75</w:t>
            </w:r>
          </w:p>
        </w:tc>
        <w:tc>
          <w:tcPr>
            <w:tcW w:w="1557" w:type="dxa"/>
          </w:tcPr>
          <w:p w14:paraId="4256F5AE"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9.0</w:t>
            </w:r>
          </w:p>
        </w:tc>
        <w:tc>
          <w:tcPr>
            <w:tcW w:w="1979" w:type="dxa"/>
          </w:tcPr>
          <w:p w14:paraId="1D1BE6B6" w14:textId="77777777" w:rsidR="000C7E6C" w:rsidRPr="00466924" w:rsidRDefault="000C7E6C" w:rsidP="000C7E6C">
            <w:pPr>
              <w:jc w:val="center"/>
              <w:cnfStyle w:val="000000100000" w:firstRow="0" w:lastRow="0" w:firstColumn="0" w:lastColumn="0" w:oddVBand="0" w:evenVBand="0" w:oddHBand="1" w:evenHBand="0" w:firstRowFirstColumn="0" w:firstRowLastColumn="0" w:lastRowFirstColumn="0" w:lastRowLastColumn="0"/>
            </w:pPr>
            <w:r w:rsidRPr="00466924">
              <w:t>9.6</w:t>
            </w:r>
          </w:p>
        </w:tc>
      </w:tr>
      <w:tr w:rsidR="00C06020" w:rsidRPr="00466924" w14:paraId="7C541C28" w14:textId="77777777" w:rsidTr="00322D8D">
        <w:trPr>
          <w:trHeight w:val="89"/>
        </w:trPr>
        <w:tc>
          <w:tcPr>
            <w:cnfStyle w:val="001000000000" w:firstRow="0" w:lastRow="0" w:firstColumn="1" w:lastColumn="0" w:oddVBand="0" w:evenVBand="0" w:oddHBand="0" w:evenHBand="0" w:firstRowFirstColumn="0" w:firstRowLastColumn="0" w:lastRowFirstColumn="0" w:lastRowLastColumn="0"/>
            <w:tcW w:w="2835" w:type="dxa"/>
          </w:tcPr>
          <w:p w14:paraId="754084CB" w14:textId="77777777" w:rsidR="000C7E6C" w:rsidRPr="00466924" w:rsidRDefault="000C7E6C" w:rsidP="00C06020">
            <w:pPr>
              <w:jc w:val="left"/>
            </w:pPr>
            <w:r w:rsidRPr="00466924">
              <w:t>Mitte Altone</w:t>
            </w:r>
            <w:r w:rsidR="00C06020" w:rsidRPr="00466924">
              <w:t xml:space="preserve">, </w:t>
            </w:r>
            <w:r w:rsidRPr="00466924">
              <w:t>Hamburg</w:t>
            </w:r>
          </w:p>
        </w:tc>
        <w:tc>
          <w:tcPr>
            <w:tcW w:w="2129" w:type="dxa"/>
          </w:tcPr>
          <w:p w14:paraId="473355FC"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(5.75)</w:t>
            </w:r>
          </w:p>
        </w:tc>
        <w:tc>
          <w:tcPr>
            <w:tcW w:w="1557" w:type="dxa"/>
          </w:tcPr>
          <w:p w14:paraId="1776704D"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9.0</w:t>
            </w:r>
          </w:p>
        </w:tc>
        <w:tc>
          <w:tcPr>
            <w:tcW w:w="1979" w:type="dxa"/>
          </w:tcPr>
          <w:p w14:paraId="35BF05F3" w14:textId="77777777" w:rsidR="000C7E6C" w:rsidRPr="00466924" w:rsidRDefault="000C7E6C" w:rsidP="000C7E6C">
            <w:pPr>
              <w:jc w:val="center"/>
              <w:cnfStyle w:val="000000000000" w:firstRow="0" w:lastRow="0" w:firstColumn="0" w:lastColumn="0" w:oddVBand="0" w:evenVBand="0" w:oddHBand="0" w:evenHBand="0" w:firstRowFirstColumn="0" w:firstRowLastColumn="0" w:lastRowFirstColumn="0" w:lastRowLastColumn="0"/>
            </w:pPr>
            <w:r w:rsidRPr="00466924">
              <w:t>9.6</w:t>
            </w:r>
          </w:p>
        </w:tc>
      </w:tr>
    </w:tbl>
    <w:p w14:paraId="41C9256A" w14:textId="77777777" w:rsidR="009F364C" w:rsidRPr="00466924" w:rsidRDefault="009F364C" w:rsidP="00E37D5A">
      <w:pPr>
        <w:spacing w:before="0" w:after="0" w:line="240" w:lineRule="auto"/>
        <w:jc w:val="left"/>
      </w:pPr>
    </w:p>
    <w:p w14:paraId="5CAD2926" w14:textId="77777777" w:rsidR="000B1AFB" w:rsidRPr="00466924" w:rsidRDefault="00BF4CC1" w:rsidP="00E37D5A">
      <w:pPr>
        <w:spacing w:before="0" w:after="0" w:line="240" w:lineRule="auto"/>
        <w:jc w:val="left"/>
        <w:rPr>
          <w:i/>
        </w:rPr>
      </w:pPr>
      <w:r w:rsidRPr="00466924">
        <w:rPr>
          <w:i/>
        </w:rPr>
        <w:t>Table 1</w:t>
      </w:r>
      <w:r w:rsidR="002114A1" w:rsidRPr="00466924">
        <w:rPr>
          <w:i/>
        </w:rPr>
        <w:t>.</w:t>
      </w:r>
      <w:r w:rsidR="00353993" w:rsidRPr="00466924">
        <w:rPr>
          <w:i/>
        </w:rPr>
        <w:t xml:space="preserve"> </w:t>
      </w:r>
      <w:r w:rsidR="00353993" w:rsidRPr="00466924">
        <w:rPr>
          <w:rFonts w:cs="Arial"/>
          <w:i/>
        </w:rPr>
        <w:t xml:space="preserve">Tons of </w:t>
      </w:r>
      <w:r w:rsidR="00781A5D" w:rsidRPr="00466924">
        <w:rPr>
          <w:rFonts w:cs="Arial"/>
          <w:i/>
        </w:rPr>
        <w:t>CO</w:t>
      </w:r>
      <w:r w:rsidR="00781A5D" w:rsidRPr="00466924">
        <w:rPr>
          <w:rFonts w:cs="Arial"/>
          <w:i/>
          <w:vertAlign w:val="subscript"/>
        </w:rPr>
        <w:t>2</w:t>
      </w:r>
      <w:r w:rsidR="00353993" w:rsidRPr="00466924">
        <w:rPr>
          <w:rFonts w:cs="Arial"/>
          <w:i/>
        </w:rPr>
        <w:t xml:space="preserve"> Emissions</w:t>
      </w:r>
      <w:r w:rsidR="009F255C" w:rsidRPr="00466924">
        <w:rPr>
          <w:rFonts w:cs="Arial"/>
          <w:i/>
        </w:rPr>
        <w:t xml:space="preserve"> per </w:t>
      </w:r>
      <w:r w:rsidR="00353993" w:rsidRPr="00466924">
        <w:rPr>
          <w:rFonts w:cs="Arial"/>
          <w:i/>
        </w:rPr>
        <w:t>Capita.</w:t>
      </w:r>
      <w:r w:rsidR="00353993" w:rsidRPr="00466924">
        <w:rPr>
          <w:i/>
        </w:rPr>
        <w:t xml:space="preserve"> </w:t>
      </w:r>
    </w:p>
    <w:p w14:paraId="7A10883E" w14:textId="77777777" w:rsidR="009F364C" w:rsidRPr="00466924" w:rsidRDefault="00353993" w:rsidP="00E37D5A">
      <w:pPr>
        <w:spacing w:before="0" w:after="0" w:line="240" w:lineRule="auto"/>
        <w:jc w:val="left"/>
        <w:rPr>
          <w:i/>
        </w:rPr>
      </w:pPr>
      <w:r w:rsidRPr="00466924">
        <w:rPr>
          <w:i/>
        </w:rPr>
        <w:t xml:space="preserve">Source: </w:t>
      </w:r>
      <w:r w:rsidR="005B11E4" w:rsidRPr="00466924">
        <w:rPr>
          <w:i/>
        </w:rPr>
        <w:t>Bran</w:t>
      </w:r>
      <w:r w:rsidR="00AC7D97" w:rsidRPr="00466924">
        <w:rPr>
          <w:i/>
        </w:rPr>
        <w:t>d</w:t>
      </w:r>
      <w:r w:rsidR="005B11E4" w:rsidRPr="00466924">
        <w:rPr>
          <w:i/>
        </w:rPr>
        <w:t>t et al. (2014)</w:t>
      </w:r>
      <w:r w:rsidR="002114A1" w:rsidRPr="00466924">
        <w:rPr>
          <w:i/>
        </w:rPr>
        <w:t>.</w:t>
      </w:r>
    </w:p>
    <w:p w14:paraId="6747B2E0" w14:textId="77777777" w:rsidR="009F364C" w:rsidRPr="00466924" w:rsidRDefault="00353993" w:rsidP="00E37D5A">
      <w:pPr>
        <w:spacing w:before="0" w:after="0" w:line="240" w:lineRule="auto"/>
        <w:jc w:val="left"/>
        <w:rPr>
          <w:i/>
        </w:rPr>
      </w:pPr>
      <w:r w:rsidRPr="00466924">
        <w:rPr>
          <w:i/>
        </w:rPr>
        <w:t xml:space="preserve">Note: </w:t>
      </w:r>
      <w:r w:rsidR="002B0F96" w:rsidRPr="00466924">
        <w:rPr>
          <w:i/>
        </w:rPr>
        <w:t xml:space="preserve">the </w:t>
      </w:r>
      <w:r w:rsidR="001212EB" w:rsidRPr="00466924">
        <w:rPr>
          <w:i/>
        </w:rPr>
        <w:t>figu</w:t>
      </w:r>
      <w:r w:rsidR="002B0F96" w:rsidRPr="00466924">
        <w:rPr>
          <w:i/>
        </w:rPr>
        <w:t>res in parentheses are estimates</w:t>
      </w:r>
      <w:r w:rsidR="002114A1" w:rsidRPr="00466924">
        <w:rPr>
          <w:i/>
        </w:rPr>
        <w:t>.</w:t>
      </w:r>
    </w:p>
    <w:p w14:paraId="44A61B0F" w14:textId="77777777" w:rsidR="009F364C" w:rsidRPr="00466924" w:rsidRDefault="009F364C" w:rsidP="00E37D5A">
      <w:pPr>
        <w:spacing w:before="0" w:after="0" w:line="240" w:lineRule="auto"/>
        <w:jc w:val="left"/>
      </w:pPr>
    </w:p>
    <w:p w14:paraId="3368E691" w14:textId="77777777" w:rsidR="0080440D" w:rsidRPr="00466924" w:rsidRDefault="0080440D" w:rsidP="00C06020">
      <w:pPr>
        <w:spacing w:before="0" w:after="0" w:line="240" w:lineRule="auto"/>
        <w:jc w:val="left"/>
      </w:pPr>
    </w:p>
    <w:p w14:paraId="5A621387" w14:textId="77777777" w:rsidR="00AC547B" w:rsidRPr="00466924" w:rsidRDefault="0080440D" w:rsidP="00786AFD">
      <w:pPr>
        <w:spacing w:before="0" w:after="0" w:line="240" w:lineRule="auto"/>
        <w:jc w:val="center"/>
        <w:rPr>
          <w:i/>
        </w:rPr>
      </w:pPr>
      <w:r w:rsidRPr="00466924">
        <w:rPr>
          <w:noProof/>
          <w:lang w:eastAsia="en-GB"/>
        </w:rPr>
        <w:drawing>
          <wp:inline distT="0" distB="0" distL="0" distR="0" wp14:anchorId="699701A1" wp14:editId="6126772C">
            <wp:extent cx="5470525"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296" cy="3120238"/>
                    </a:xfrm>
                    <a:prstGeom prst="rect">
                      <a:avLst/>
                    </a:prstGeom>
                    <a:noFill/>
                  </pic:spPr>
                </pic:pic>
              </a:graphicData>
            </a:graphic>
          </wp:inline>
        </w:drawing>
      </w:r>
    </w:p>
    <w:p w14:paraId="7F940D7D" w14:textId="77777777" w:rsidR="00966DF5" w:rsidRDefault="00966DF5" w:rsidP="00E37D5A">
      <w:pPr>
        <w:spacing w:before="0" w:after="0" w:line="240" w:lineRule="auto"/>
        <w:jc w:val="left"/>
        <w:rPr>
          <w:i/>
        </w:rPr>
      </w:pPr>
    </w:p>
    <w:p w14:paraId="6DD66061" w14:textId="77777777" w:rsidR="000B1AFB" w:rsidRPr="00466924" w:rsidRDefault="00950375" w:rsidP="00E37D5A">
      <w:pPr>
        <w:spacing w:before="0" w:after="0" w:line="240" w:lineRule="auto"/>
        <w:jc w:val="left"/>
        <w:rPr>
          <w:i/>
        </w:rPr>
      </w:pPr>
      <w:r w:rsidRPr="00466924">
        <w:rPr>
          <w:i/>
        </w:rPr>
        <w:t xml:space="preserve">Figure </w:t>
      </w:r>
      <w:r w:rsidR="00A53AB9" w:rsidRPr="00466924">
        <w:rPr>
          <w:i/>
        </w:rPr>
        <w:t>2</w:t>
      </w:r>
      <w:r w:rsidR="00470D2F" w:rsidRPr="00466924">
        <w:rPr>
          <w:i/>
        </w:rPr>
        <w:t>. Performance-based cr</w:t>
      </w:r>
      <w:r w:rsidR="00353993" w:rsidRPr="00466924">
        <w:rPr>
          <w:i/>
        </w:rPr>
        <w:t xml:space="preserve">iteria. </w:t>
      </w:r>
    </w:p>
    <w:p w14:paraId="543C5FB3" w14:textId="77777777" w:rsidR="00B512A9" w:rsidRDefault="00353993" w:rsidP="00E37D5A">
      <w:pPr>
        <w:spacing w:before="0" w:after="0" w:line="240" w:lineRule="auto"/>
        <w:jc w:val="left"/>
        <w:rPr>
          <w:i/>
        </w:rPr>
      </w:pPr>
      <w:r w:rsidRPr="00466924">
        <w:rPr>
          <w:i/>
        </w:rPr>
        <w:t xml:space="preserve">Source: </w:t>
      </w:r>
      <w:r w:rsidR="005B11E4" w:rsidRPr="00466924">
        <w:rPr>
          <w:i/>
        </w:rPr>
        <w:t>Bran</w:t>
      </w:r>
      <w:r w:rsidR="00AC7D97" w:rsidRPr="00466924">
        <w:rPr>
          <w:i/>
        </w:rPr>
        <w:t>d</w:t>
      </w:r>
      <w:r w:rsidR="005B11E4" w:rsidRPr="00466924">
        <w:rPr>
          <w:i/>
        </w:rPr>
        <w:t>t et al. (2014)</w:t>
      </w:r>
      <w:r w:rsidR="002114A1" w:rsidRPr="00466924">
        <w:rPr>
          <w:i/>
        </w:rPr>
        <w:t>.</w:t>
      </w:r>
    </w:p>
    <w:p w14:paraId="2B30369D" w14:textId="77777777" w:rsidR="00966DF5" w:rsidRDefault="00966DF5" w:rsidP="00E37D5A">
      <w:pPr>
        <w:spacing w:before="0" w:after="0" w:line="240" w:lineRule="auto"/>
        <w:jc w:val="left"/>
        <w:rPr>
          <w:i/>
        </w:rPr>
      </w:pPr>
    </w:p>
    <w:p w14:paraId="73ABDDAE" w14:textId="43EEE73C" w:rsidR="0015390E" w:rsidRPr="00DC61CB" w:rsidRDefault="0015390E" w:rsidP="0015390E">
      <w:pPr>
        <w:spacing w:before="0" w:after="0" w:line="240" w:lineRule="auto"/>
        <w:jc w:val="left"/>
      </w:pPr>
      <w:r>
        <w:t>T</w:t>
      </w:r>
      <w:r w:rsidR="00966DF5" w:rsidRPr="00466924">
        <w:t>he remainder of this paper shall address the web-based data collection and information processing applications of that mass retrofit</w:t>
      </w:r>
      <w:r w:rsidR="00966DF5">
        <w:t>,</w:t>
      </w:r>
      <w:r w:rsidR="00966DF5" w:rsidRPr="00466924">
        <w:t xml:space="preserve"> which is underway in Hackbridge (a suburb in the</w:t>
      </w:r>
      <w:r>
        <w:t xml:space="preserve"> London Borough of Sutton). I</w:t>
      </w:r>
      <w:r w:rsidR="00966DF5" w:rsidRPr="00466924">
        <w:t>n particular, the levels of energy saving and CO</w:t>
      </w:r>
      <w:r w:rsidR="00966DF5" w:rsidRPr="00466924">
        <w:rPr>
          <w:vertAlign w:val="subscript"/>
        </w:rPr>
        <w:t xml:space="preserve">2 </w:t>
      </w:r>
      <w:r w:rsidR="00966DF5" w:rsidRPr="00466924">
        <w:t xml:space="preserve">reduction arising from the cloud computing and IoT of the smart, sustainable and inclusive growth strategy this city-district develops. This is because the urban morphology of this city-district not only offers a sustainable and inclusive growth strategy that under-grids an energy efficient-low carbon zone, but prospect of </w:t>
      </w:r>
      <w:r w:rsidR="00966DF5">
        <w:t xml:space="preserve">also </w:t>
      </w:r>
      <w:r w:rsidR="00966DF5" w:rsidRPr="00466924">
        <w:t>creating wealth from a regional innovation</w:t>
      </w:r>
      <w:r w:rsidR="00966DF5">
        <w:t xml:space="preserve"> whose post-carbon economy</w:t>
      </w:r>
      <w:r w:rsidR="00966DF5" w:rsidRPr="00466924">
        <w:t xml:space="preserve"> can claim to be climate neutral. </w:t>
      </w:r>
      <w:r w:rsidRPr="00466924">
        <w:t>That is, a regional innovation, whose process of wealth creation complies not just with the energy saving and CO</w:t>
      </w:r>
      <w:r w:rsidRPr="00466924">
        <w:rPr>
          <w:vertAlign w:val="subscript"/>
        </w:rPr>
        <w:t>2</w:t>
      </w:r>
      <w:r w:rsidRPr="00466924">
        <w:t xml:space="preserve"> reduction targets, which are set by the EC, but level of environmental sustainability</w:t>
      </w:r>
      <w:r>
        <w:t xml:space="preserve"> </w:t>
      </w:r>
      <w:r w:rsidRPr="00466924">
        <w:t>the I</w:t>
      </w:r>
      <w:r w:rsidR="00DC61CB">
        <w:t>PPC (2015)</w:t>
      </w:r>
      <w:r w:rsidRPr="00466924">
        <w:t xml:space="preserve"> define as socially significant because </w:t>
      </w:r>
      <w:r>
        <w:t>the post-carbon economy, which this develops is</w:t>
      </w:r>
      <w:r w:rsidRPr="00466924">
        <w:t xml:space="preserve"> climate neutral</w:t>
      </w:r>
      <w:r w:rsidR="00DC61CB">
        <w:t xml:space="preserve">. </w:t>
      </w:r>
    </w:p>
    <w:p w14:paraId="23644257" w14:textId="77777777" w:rsidR="001437B7" w:rsidRPr="00466924" w:rsidRDefault="001437B7" w:rsidP="001437B7">
      <w:pPr>
        <w:spacing w:before="0" w:after="0" w:line="240" w:lineRule="auto"/>
        <w:jc w:val="left"/>
        <w:sectPr w:rsidR="001437B7" w:rsidRPr="00466924" w:rsidSect="001212EB">
          <w:pgSz w:w="11899" w:h="16838" w:code="9"/>
          <w:pgMar w:top="1418" w:right="1134" w:bottom="1418" w:left="1134" w:header="709" w:footer="709" w:gutter="0"/>
          <w:cols w:space="708"/>
        </w:sectPr>
      </w:pPr>
    </w:p>
    <w:p w14:paraId="5851CD42" w14:textId="77777777" w:rsidR="001437B7" w:rsidRPr="00466924" w:rsidRDefault="001437B7" w:rsidP="001437B7">
      <w:pPr>
        <w:spacing w:before="0" w:after="0" w:line="240" w:lineRule="auto"/>
        <w:jc w:val="left"/>
      </w:pPr>
    </w:p>
    <w:p w14:paraId="553C4C05" w14:textId="77777777" w:rsidR="001437B7" w:rsidRPr="00466924" w:rsidRDefault="00C65B9F" w:rsidP="001437B7">
      <w:pPr>
        <w:spacing w:before="0" w:after="0" w:line="240" w:lineRule="auto"/>
        <w:jc w:val="left"/>
      </w:pPr>
      <w:r w:rsidRPr="00466924">
        <w:rPr>
          <w:noProof/>
          <w:lang w:eastAsia="en-GB"/>
        </w:rPr>
        <w:drawing>
          <wp:anchor distT="0" distB="0" distL="114300" distR="114300" simplePos="0" relativeHeight="251680768" behindDoc="0" locked="0" layoutInCell="1" allowOverlap="1" wp14:anchorId="1BB6AC3A" wp14:editId="49F9ED5C">
            <wp:simplePos x="0" y="0"/>
            <wp:positionH relativeFrom="column">
              <wp:posOffset>179705</wp:posOffset>
            </wp:positionH>
            <wp:positionV relativeFrom="paragraph">
              <wp:posOffset>281940</wp:posOffset>
            </wp:positionV>
            <wp:extent cx="8801100" cy="4912360"/>
            <wp:effectExtent l="0" t="0" r="12700" b="0"/>
            <wp:wrapThrough wrapText="bothSides">
              <wp:wrapPolygon edited="0">
                <wp:start x="0" y="0"/>
                <wp:lineTo x="0" y="21444"/>
                <wp:lineTo x="21569" y="21444"/>
                <wp:lineTo x="215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EW NEW Figure 3.JPG"/>
                    <pic:cNvPicPr/>
                  </pic:nvPicPr>
                  <pic:blipFill>
                    <a:blip r:embed="rId10">
                      <a:extLst>
                        <a:ext uri="{28A0092B-C50C-407E-A947-70E740481C1C}">
                          <a14:useLocalDpi xmlns:a14="http://schemas.microsoft.com/office/drawing/2010/main" val="0"/>
                        </a:ext>
                      </a:extLst>
                    </a:blip>
                    <a:stretch>
                      <a:fillRect/>
                    </a:stretch>
                  </pic:blipFill>
                  <pic:spPr>
                    <a:xfrm>
                      <a:off x="0" y="0"/>
                      <a:ext cx="8801100" cy="4912360"/>
                    </a:xfrm>
                    <a:prstGeom prst="rect">
                      <a:avLst/>
                    </a:prstGeom>
                  </pic:spPr>
                </pic:pic>
              </a:graphicData>
            </a:graphic>
            <wp14:sizeRelH relativeFrom="margin">
              <wp14:pctWidth>0</wp14:pctWidth>
            </wp14:sizeRelH>
            <wp14:sizeRelV relativeFrom="margin">
              <wp14:pctHeight>0</wp14:pctHeight>
            </wp14:sizeRelV>
          </wp:anchor>
        </w:drawing>
      </w:r>
    </w:p>
    <w:p w14:paraId="053D3D01" w14:textId="77777777" w:rsidR="000B1AFB" w:rsidRPr="00466924" w:rsidRDefault="0098184C" w:rsidP="00E37D5A">
      <w:pPr>
        <w:spacing w:before="0" w:after="0" w:line="240" w:lineRule="auto"/>
        <w:jc w:val="left"/>
        <w:rPr>
          <w:i/>
        </w:rPr>
      </w:pPr>
      <w:r w:rsidRPr="00466924">
        <w:rPr>
          <w:i/>
        </w:rPr>
        <w:t xml:space="preserve">Figure </w:t>
      </w:r>
      <w:r w:rsidR="002F34F9">
        <w:rPr>
          <w:i/>
        </w:rPr>
        <w:t>3</w:t>
      </w:r>
      <w:r w:rsidRPr="00466924">
        <w:rPr>
          <w:i/>
        </w:rPr>
        <w:t xml:space="preserve">. Adaptation of the </w:t>
      </w:r>
      <w:r w:rsidR="0080440D" w:rsidRPr="00466924">
        <w:rPr>
          <w:i/>
        </w:rPr>
        <w:t xml:space="preserve">standard </w:t>
      </w:r>
      <w:r w:rsidRPr="00466924">
        <w:rPr>
          <w:i/>
        </w:rPr>
        <w:t xml:space="preserve">morphological model. </w:t>
      </w:r>
    </w:p>
    <w:p w14:paraId="1959F308" w14:textId="77777777" w:rsidR="00A06BE4" w:rsidRPr="00466924" w:rsidRDefault="0098184C" w:rsidP="00E37D5A">
      <w:pPr>
        <w:spacing w:before="0" w:after="0" w:line="240" w:lineRule="auto"/>
        <w:jc w:val="left"/>
        <w:sectPr w:rsidR="00A06BE4" w:rsidRPr="00466924" w:rsidSect="001437B7">
          <w:pgSz w:w="16838" w:h="11899" w:orient="landscape" w:code="9"/>
          <w:pgMar w:top="1134" w:right="1418" w:bottom="1134" w:left="1418" w:header="709" w:footer="709" w:gutter="0"/>
          <w:cols w:space="708"/>
        </w:sectPr>
      </w:pPr>
      <w:r w:rsidRPr="00466924">
        <w:rPr>
          <w:i/>
        </w:rPr>
        <w:t>Source: Deakin et al. (</w:t>
      </w:r>
      <w:r w:rsidR="00C81A89" w:rsidRPr="00466924">
        <w:rPr>
          <w:i/>
        </w:rPr>
        <w:t>2014</w:t>
      </w:r>
      <w:r w:rsidRPr="00466924">
        <w:rPr>
          <w:i/>
        </w:rPr>
        <w:t xml:space="preserve">). </w:t>
      </w:r>
    </w:p>
    <w:p w14:paraId="2ACD3F11" w14:textId="77777777" w:rsidR="00966DF5" w:rsidRDefault="00966DF5" w:rsidP="00546D69">
      <w:pPr>
        <w:spacing w:before="0" w:after="0" w:line="240" w:lineRule="auto"/>
        <w:jc w:val="left"/>
      </w:pPr>
    </w:p>
    <w:p w14:paraId="1EF93BC1" w14:textId="77777777" w:rsidR="00546D69" w:rsidRPr="00466924" w:rsidRDefault="00546D69" w:rsidP="00546D69">
      <w:pPr>
        <w:spacing w:before="0" w:after="0" w:line="240" w:lineRule="auto"/>
        <w:jc w:val="left"/>
      </w:pPr>
      <w:r w:rsidRPr="00466924">
        <w:t>This in turn offers the opportunity</w:t>
      </w:r>
      <w:r w:rsidR="0015390E">
        <w:t xml:space="preserve"> to extend this</w:t>
      </w:r>
      <w:r w:rsidRPr="00466924">
        <w:t xml:space="preserve"> principal component-based grid analysis of smart </w:t>
      </w:r>
      <w:r w:rsidR="0015390E" w:rsidRPr="00466924">
        <w:t>cit</w:t>
      </w:r>
      <w:r w:rsidR="0015390E">
        <w:t>ies</w:t>
      </w:r>
      <w:r w:rsidR="00F913EC">
        <w:t>,</w:t>
      </w:r>
      <w:r>
        <w:t xml:space="preserve"> </w:t>
      </w:r>
      <w:r w:rsidRPr="00466924">
        <w:t>i</w:t>
      </w:r>
      <w:r w:rsidR="0015390E">
        <w:t>nto the urban morphology of</w:t>
      </w:r>
      <w:r w:rsidRPr="00466924">
        <w:t xml:space="preserve"> regional innovation and demonstrate how the metrics of these</w:t>
      </w:r>
      <w:r>
        <w:t xml:space="preserve"> digital</w:t>
      </w:r>
      <w:r w:rsidRPr="00466924">
        <w:t xml:space="preserve"> infrastructures</w:t>
      </w:r>
      <w:r>
        <w:t>,</w:t>
      </w:r>
      <w:r w:rsidRPr="00466924">
        <w:t xml:space="preserve"> data management systems </w:t>
      </w:r>
      <w:r>
        <w:t>and rene</w:t>
      </w:r>
      <w:r w:rsidR="0015390E">
        <w:t>wable energies serve to engineer</w:t>
      </w:r>
      <w:r w:rsidR="00F913EC">
        <w:t xml:space="preserve"> a</w:t>
      </w:r>
      <w:r>
        <w:t xml:space="preserve"> cloud-based IoT</w:t>
      </w:r>
      <w:r w:rsidR="0015390E">
        <w:t xml:space="preserve"> capable of under</w:t>
      </w:r>
      <w:r w:rsidRPr="00466924">
        <w:t>-grid</w:t>
      </w:r>
      <w:r w:rsidR="0015390E">
        <w:t>ding</w:t>
      </w:r>
      <w:r w:rsidRPr="00466924">
        <w:t xml:space="preserve"> the sustainability of city-districts as</w:t>
      </w:r>
      <w:r>
        <w:t xml:space="preserve"> </w:t>
      </w:r>
      <w:r w:rsidRPr="00466924">
        <w:t xml:space="preserve">energy efficient-low carbon zones </w:t>
      </w:r>
      <w:r>
        <w:t>(see Figure 3</w:t>
      </w:r>
      <w:r w:rsidRPr="00466924">
        <w:t>). In particular, a</w:t>
      </w:r>
      <w:r>
        <w:t xml:space="preserve">s the energy efficient-low carbon zones </w:t>
      </w:r>
      <w:r w:rsidRPr="00466924">
        <w:t xml:space="preserve">of an inclusive growth strategy, whose </w:t>
      </w:r>
      <w:r>
        <w:t>savings and reductions</w:t>
      </w:r>
      <w:r w:rsidRPr="00466924">
        <w:t xml:space="preserve"> can claim to not just be energy efficient, or low carbon, but also sufficiently resilient for the built environment to prosper from as a climate neutral adaptation strategy</w:t>
      </w:r>
      <w:r w:rsidR="00F913EC">
        <w:t>.</w:t>
      </w:r>
    </w:p>
    <w:p w14:paraId="5A762704" w14:textId="77777777" w:rsidR="00546D69" w:rsidRDefault="00546D69" w:rsidP="00546D69">
      <w:pPr>
        <w:pStyle w:val="Heading1"/>
        <w:numPr>
          <w:ilvl w:val="0"/>
          <w:numId w:val="0"/>
        </w:numPr>
        <w:spacing w:before="0" w:after="0" w:line="240" w:lineRule="auto"/>
        <w:jc w:val="left"/>
        <w:rPr>
          <w:sz w:val="20"/>
        </w:rPr>
      </w:pPr>
    </w:p>
    <w:p w14:paraId="01C39E5F" w14:textId="77777777" w:rsidR="00D32EC7" w:rsidRPr="00466924" w:rsidRDefault="00D32EC7" w:rsidP="00D32EC7">
      <w:pPr>
        <w:pStyle w:val="Heading1"/>
        <w:numPr>
          <w:ilvl w:val="0"/>
          <w:numId w:val="0"/>
        </w:numPr>
        <w:spacing w:before="0" w:after="0" w:line="240" w:lineRule="auto"/>
        <w:ind w:left="432" w:hanging="432"/>
        <w:jc w:val="left"/>
        <w:rPr>
          <w:sz w:val="20"/>
        </w:rPr>
      </w:pPr>
      <w:r w:rsidRPr="00466924">
        <w:rPr>
          <w:sz w:val="20"/>
        </w:rPr>
        <w:t>3. Extending the Principal Component-based Grid Analysis</w:t>
      </w:r>
    </w:p>
    <w:p w14:paraId="489F54CA" w14:textId="77777777" w:rsidR="00D32EC7" w:rsidRPr="00466924" w:rsidRDefault="00D32EC7" w:rsidP="00D32EC7">
      <w:pPr>
        <w:spacing w:before="0" w:after="0" w:line="240" w:lineRule="auto"/>
        <w:jc w:val="left"/>
      </w:pPr>
    </w:p>
    <w:p w14:paraId="23849EA8" w14:textId="77777777" w:rsidR="00D32EC7" w:rsidRPr="00466924" w:rsidRDefault="00D32EC7" w:rsidP="00D32EC7">
      <w:pPr>
        <w:spacing w:before="0" w:after="0" w:line="240" w:lineRule="auto"/>
        <w:jc w:val="left"/>
      </w:pPr>
      <w:r>
        <w:t>Figure 3</w:t>
      </w:r>
      <w:r w:rsidRPr="00466924">
        <w:t xml:space="preserve"> builds upon the standard morphologic model advanced by Ratti et al. (2005), Salat (2009), </w:t>
      </w:r>
      <w:r>
        <w:t xml:space="preserve">Bourdic and Salat (2012), and </w:t>
      </w:r>
      <w:r w:rsidRPr="00466924">
        <w:t xml:space="preserve">Bourdic et al. (2012). It also illustrates the Digital Elevation Modelling (DEM) underpinning the Lighting and Thermal Method (LTM), adopted to compute the geometry of </w:t>
      </w:r>
      <w:r w:rsidR="00C67EE0">
        <w:t xml:space="preserve">the </w:t>
      </w:r>
      <w:r w:rsidR="0015390E">
        <w:t>urban morphology</w:t>
      </w:r>
      <w:r w:rsidRPr="00466924">
        <w:t xml:space="preserve"> and support this with a 3D context-specific rendering of the material. The next column shows the tools available to indicate, benchmark and baseline the “surface-to-volume ratio” (STVR) and “passive-volume-to-total-volume ratio” (PVTVR) of the blocks, neighbourhoods and city-districts under examination. This in turn draws</w:t>
      </w:r>
      <w:r w:rsidR="0015390E">
        <w:t xml:space="preserve"> attention to the infrastructural</w:t>
      </w:r>
      <w:r w:rsidRPr="00466924">
        <w:t xml:space="preserve"> themes and management issues (energy, CO</w:t>
      </w:r>
      <w:r w:rsidRPr="00466924">
        <w:rPr>
          <w:vertAlign w:val="subscript"/>
        </w:rPr>
        <w:t>2</w:t>
      </w:r>
      <w:r w:rsidRPr="00466924">
        <w:t>, water and mobility)</w:t>
      </w:r>
      <w:r w:rsidR="0015390E">
        <w:t>, associated with</w:t>
      </w:r>
      <w:r w:rsidRPr="00466924">
        <w:t xml:space="preserve"> the power, heating and lighting systems of mass retrofit proposals. </w:t>
      </w:r>
    </w:p>
    <w:p w14:paraId="31C75246" w14:textId="77777777" w:rsidR="00D32EC7" w:rsidRPr="00466924" w:rsidRDefault="00D32EC7" w:rsidP="00810343">
      <w:pPr>
        <w:spacing w:before="0" w:after="0" w:line="240" w:lineRule="auto"/>
        <w:jc w:val="left"/>
        <w:rPr>
          <w:i/>
        </w:rPr>
      </w:pPr>
    </w:p>
    <w:p w14:paraId="46AC0698" w14:textId="77777777" w:rsidR="00810343" w:rsidRDefault="00B90E97" w:rsidP="00810343">
      <w:pPr>
        <w:spacing w:before="0" w:after="0" w:line="240" w:lineRule="auto"/>
        <w:jc w:val="left"/>
        <w:rPr>
          <w:i/>
        </w:rPr>
      </w:pPr>
      <w:r w:rsidRPr="00466924">
        <w:t>The final column highlights the triptych, vis-à-vis the social and environmental sustainability of those who occupy this city-district as energy efficient-low carbon zones.</w:t>
      </w:r>
      <w:r>
        <w:t xml:space="preserve"> </w:t>
      </w:r>
      <w:r w:rsidRPr="00466924">
        <w:t>Under this lies a further level of case study analysis. This draws attention to the diagnosis, action and intervention of urban planners, architects, designers and building contractors</w:t>
      </w:r>
      <w:r w:rsidR="00F913EC">
        <w:t xml:space="preserve"> and </w:t>
      </w:r>
      <w:r w:rsidRPr="00466924">
        <w:t>who</w:t>
      </w:r>
      <w:r w:rsidR="00C67EE0">
        <w:t>se city-districts</w:t>
      </w:r>
      <w:r w:rsidRPr="00466924">
        <w:t xml:space="preserve"> </w:t>
      </w:r>
      <w:r w:rsidR="00C67EE0">
        <w:t xml:space="preserve">under-grid </w:t>
      </w:r>
      <w:r w:rsidRPr="00466924">
        <w:t xml:space="preserve">the sustainability of </w:t>
      </w:r>
      <w:r w:rsidR="00C67EE0">
        <w:t xml:space="preserve">energy efficient-low carbon zones </w:t>
      </w:r>
      <w:r w:rsidRPr="00466924">
        <w:t xml:space="preserve">as part of an inclusive growth strategy. This model systematically integrates renewable energies into the heating and power systems of the retrofit proposal. In particular, it defines how the lighting and thermography of the heating and power systems set the baseline to assess the underperformance of </w:t>
      </w:r>
      <w:r w:rsidR="00810343" w:rsidRPr="00466924">
        <w:t>buildings and evaluate possible improvements to their fabric. This translates into the STVR and PVTVR ratio for the baseline calculations. Such an assessment does not reduce performance to the social-demography of these baselines, but instead extends it onto an environmental profile, which supports the energy consumption and CO</w:t>
      </w:r>
      <w:r w:rsidR="00810343" w:rsidRPr="00466924">
        <w:rPr>
          <w:vertAlign w:val="subscript"/>
        </w:rPr>
        <w:t>2</w:t>
      </w:r>
      <w:r w:rsidR="00810343" w:rsidRPr="00466924">
        <w:t xml:space="preserve"> emissions of those occupying the city-district. This dispenses with mere headcounts and assembles the material necessary to not just collect data, but also process the information</w:t>
      </w:r>
      <w:r w:rsidR="00810343">
        <w:t xml:space="preserve"> </w:t>
      </w:r>
      <w:r w:rsidR="00810343" w:rsidRPr="00466924">
        <w:t>these applications need to assess the status of city-districts as energy efficient-low carbon zones.</w:t>
      </w:r>
    </w:p>
    <w:p w14:paraId="5085D3C7" w14:textId="77777777" w:rsidR="00D96D7C" w:rsidRPr="00466924" w:rsidRDefault="00D96D7C" w:rsidP="000B1AFB">
      <w:pPr>
        <w:spacing w:before="0" w:after="0" w:line="240" w:lineRule="auto"/>
        <w:jc w:val="left"/>
      </w:pPr>
    </w:p>
    <w:tbl>
      <w:tblPr>
        <w:tblStyle w:val="TableGrid"/>
        <w:tblW w:w="0" w:type="auto"/>
        <w:jc w:val="center"/>
        <w:tblLook w:val="04A0" w:firstRow="1" w:lastRow="0" w:firstColumn="1" w:lastColumn="0" w:noHBand="0" w:noVBand="1"/>
      </w:tblPr>
      <w:tblGrid>
        <w:gridCol w:w="5616"/>
      </w:tblGrid>
      <w:tr w:rsidR="00BF4CC1" w:rsidRPr="00466924" w14:paraId="434741C3" w14:textId="77777777" w:rsidTr="00BF4CC1">
        <w:trPr>
          <w:jc w:val="center"/>
        </w:trPr>
        <w:tc>
          <w:tcPr>
            <w:tcW w:w="5616" w:type="dxa"/>
            <w:shd w:val="clear" w:color="auto" w:fill="F2F2F2" w:themeFill="background1" w:themeFillShade="F2"/>
            <w:vAlign w:val="center"/>
          </w:tcPr>
          <w:p w14:paraId="391A5BF9" w14:textId="77777777" w:rsidR="00BF4CC1" w:rsidRPr="00466924" w:rsidRDefault="00BF4CC1" w:rsidP="00582889">
            <w:pPr>
              <w:spacing w:before="0" w:after="0" w:line="240" w:lineRule="auto"/>
              <w:jc w:val="center"/>
              <w:rPr>
                <w:rFonts w:asciiTheme="minorHAnsi" w:hAnsiTheme="minorHAnsi" w:cstheme="minorHAnsi"/>
                <w:b/>
                <w:sz w:val="16"/>
                <w:szCs w:val="16"/>
              </w:rPr>
            </w:pPr>
            <w:r w:rsidRPr="00466924">
              <w:rPr>
                <w:rFonts w:asciiTheme="minorHAnsi" w:hAnsiTheme="minorHAnsi" w:cstheme="minorHAnsi"/>
                <w:b/>
                <w:sz w:val="16"/>
                <w:szCs w:val="16"/>
              </w:rPr>
              <w:t>Stages</w:t>
            </w:r>
          </w:p>
        </w:tc>
      </w:tr>
      <w:tr w:rsidR="00BF4CC1" w:rsidRPr="00466924" w14:paraId="5934C83E" w14:textId="77777777" w:rsidTr="00500B75">
        <w:trPr>
          <w:trHeight w:val="4810"/>
          <w:jc w:val="center"/>
        </w:trPr>
        <w:tc>
          <w:tcPr>
            <w:tcW w:w="5616" w:type="dxa"/>
          </w:tcPr>
          <w:p w14:paraId="1FB2BBAB" w14:textId="77777777" w:rsidR="00BF4CC1" w:rsidRPr="00466924" w:rsidRDefault="00BF4CC1" w:rsidP="00B91540">
            <w:pPr>
              <w:spacing w:before="0" w:after="0" w:line="240" w:lineRule="auto"/>
              <w:jc w:val="left"/>
              <w:rPr>
                <w:rFonts w:asciiTheme="minorHAnsi" w:hAnsiTheme="minorHAnsi" w:cstheme="minorHAnsi"/>
                <w:b/>
                <w:sz w:val="16"/>
                <w:szCs w:val="16"/>
              </w:rPr>
            </w:pPr>
          </w:p>
          <w:p w14:paraId="26D66331" w14:textId="77777777" w:rsidR="00BF4CC1" w:rsidRPr="00466924" w:rsidRDefault="00BF4CC1" w:rsidP="0080274F">
            <w:pPr>
              <w:pStyle w:val="NormalWeb"/>
              <w:spacing w:before="0" w:after="0"/>
              <w:jc w:val="left"/>
              <w:rPr>
                <w:rFonts w:ascii="Arial" w:hAnsi="Arial" w:cs="Arial"/>
                <w:b/>
                <w:bCs/>
                <w:i/>
                <w:iCs/>
                <w:kern w:val="24"/>
                <w:sz w:val="16"/>
                <w:szCs w:val="16"/>
              </w:rPr>
            </w:pPr>
            <w:r w:rsidRPr="00466924">
              <w:rPr>
                <w:rFonts w:ascii="Arial" w:hAnsi="Arial" w:cs="Arial"/>
                <w:b/>
                <w:bCs/>
                <w:i/>
                <w:iCs/>
                <w:kern w:val="24"/>
                <w:sz w:val="16"/>
                <w:szCs w:val="16"/>
              </w:rPr>
              <w:t xml:space="preserve">Stage 1: </w:t>
            </w:r>
            <w:r w:rsidR="0080274F">
              <w:rPr>
                <w:rFonts w:ascii="Arial" w:hAnsi="Arial" w:cs="Arial"/>
                <w:b/>
                <w:bCs/>
                <w:i/>
                <w:iCs/>
                <w:kern w:val="24"/>
                <w:sz w:val="16"/>
                <w:szCs w:val="16"/>
              </w:rPr>
              <w:t>P</w:t>
            </w:r>
            <w:r w:rsidRPr="00466924">
              <w:rPr>
                <w:rFonts w:ascii="Arial" w:hAnsi="Arial" w:cs="Arial"/>
                <w:b/>
                <w:bCs/>
                <w:i/>
                <w:iCs/>
                <w:kern w:val="24"/>
                <w:sz w:val="16"/>
                <w:szCs w:val="16"/>
              </w:rPr>
              <w:t>erformance-related assessment:</w:t>
            </w:r>
          </w:p>
          <w:p w14:paraId="09A82100" w14:textId="77777777" w:rsidR="00BF4CC1" w:rsidRPr="00466924" w:rsidRDefault="00BF4CC1" w:rsidP="0080274F">
            <w:pPr>
              <w:pStyle w:val="NormalWeb"/>
              <w:spacing w:before="0" w:after="0"/>
              <w:ind w:left="576"/>
              <w:jc w:val="left"/>
              <w:rPr>
                <w:rFonts w:ascii="Arial" w:hAnsi="Arial" w:cs="Arial"/>
                <w:i/>
                <w:sz w:val="16"/>
                <w:szCs w:val="16"/>
              </w:rPr>
            </w:pPr>
            <w:r w:rsidRPr="00466924">
              <w:rPr>
                <w:rFonts w:ascii="Arial" w:hAnsi="Arial" w:cs="Arial"/>
                <w:i/>
                <w:iCs/>
                <w:kern w:val="24"/>
                <w:sz w:val="16"/>
                <w:szCs w:val="16"/>
              </w:rPr>
              <w:t xml:space="preserve">Physics of building performance: heat mapping of energy performance and </w:t>
            </w:r>
            <w:r w:rsidR="00781A5D" w:rsidRPr="00466924">
              <w:rPr>
                <w:rFonts w:ascii="Arial" w:hAnsi="Arial" w:cs="Arial"/>
                <w:i/>
                <w:iCs/>
                <w:kern w:val="24"/>
                <w:sz w:val="16"/>
                <w:szCs w:val="16"/>
              </w:rPr>
              <w:t>CO</w:t>
            </w:r>
            <w:r w:rsidR="00781A5D" w:rsidRPr="00466924">
              <w:rPr>
                <w:rFonts w:ascii="Arial" w:hAnsi="Arial" w:cs="Arial"/>
                <w:i/>
                <w:iCs/>
                <w:kern w:val="24"/>
                <w:sz w:val="16"/>
                <w:szCs w:val="16"/>
                <w:vertAlign w:val="subscript"/>
              </w:rPr>
              <w:t>2</w:t>
            </w:r>
            <w:r w:rsidRPr="00466924">
              <w:rPr>
                <w:rFonts w:ascii="Arial" w:hAnsi="Arial" w:cs="Arial"/>
                <w:i/>
                <w:iCs/>
                <w:kern w:val="24"/>
                <w:sz w:val="16"/>
                <w:szCs w:val="16"/>
              </w:rPr>
              <w:t xml:space="preserve"> emissions </w:t>
            </w:r>
          </w:p>
          <w:p w14:paraId="1206BA72" w14:textId="77777777" w:rsidR="00BF4CC1" w:rsidRPr="00466924" w:rsidRDefault="00BF4CC1" w:rsidP="0080274F">
            <w:pPr>
              <w:pStyle w:val="NormalWeb"/>
              <w:spacing w:before="0" w:after="0"/>
              <w:ind w:left="576"/>
              <w:jc w:val="left"/>
              <w:rPr>
                <w:rFonts w:ascii="Arial" w:hAnsi="Arial" w:cs="Arial"/>
                <w:i/>
                <w:sz w:val="16"/>
                <w:szCs w:val="16"/>
              </w:rPr>
            </w:pPr>
            <w:r w:rsidRPr="00466924">
              <w:rPr>
                <w:rFonts w:ascii="Arial" w:hAnsi="Arial" w:cs="Arial"/>
                <w:i/>
                <w:iCs/>
                <w:kern w:val="24"/>
                <w:sz w:val="16"/>
                <w:szCs w:val="16"/>
              </w:rPr>
              <w:t>3-DEM modelling of ecological footprint</w:t>
            </w:r>
          </w:p>
          <w:p w14:paraId="272B58CB" w14:textId="77777777" w:rsidR="00BF4CC1" w:rsidRPr="00466924" w:rsidRDefault="00BF4CC1" w:rsidP="0080274F">
            <w:pPr>
              <w:pStyle w:val="NormalWeb"/>
              <w:spacing w:before="0" w:after="0"/>
              <w:ind w:left="1152" w:hanging="576"/>
              <w:jc w:val="left"/>
              <w:rPr>
                <w:rFonts w:asciiTheme="minorHAnsi" w:hAnsiTheme="minorHAnsi" w:cstheme="minorHAnsi"/>
                <w:i/>
                <w:sz w:val="16"/>
                <w:szCs w:val="16"/>
              </w:rPr>
            </w:pPr>
            <w:r w:rsidRPr="00466924">
              <w:rPr>
                <w:rFonts w:asciiTheme="minorHAnsi" w:hAnsiTheme="minorHAnsi" w:cstheme="minorHAnsi"/>
                <w:i/>
                <w:sz w:val="16"/>
                <w:szCs w:val="16"/>
              </w:rPr>
              <w:t>Environmental</w:t>
            </w:r>
            <w:r w:rsidRPr="00466924">
              <w:rPr>
                <w:rFonts w:asciiTheme="minorHAnsi" w:hAnsiTheme="minorHAnsi" w:cstheme="minorHAnsi"/>
                <w:bCs/>
                <w:i/>
                <w:iCs/>
                <w:kern w:val="24"/>
                <w:sz w:val="16"/>
                <w:szCs w:val="16"/>
                <w14:shadow w14:blurRad="38100" w14:dist="38100" w14:dir="2700000" w14:sx="100000" w14:sy="100000" w14:kx="0" w14:ky="0" w14:algn="tl">
                  <w14:srgbClr w14:val="000000">
                    <w14:alpha w14:val="57000"/>
                  </w14:srgbClr>
                </w14:shadow>
              </w:rPr>
              <w:t xml:space="preserve"> </w:t>
            </w:r>
            <w:r w:rsidRPr="00466924">
              <w:rPr>
                <w:rFonts w:asciiTheme="minorHAnsi" w:hAnsiTheme="minorHAnsi" w:cstheme="minorHAnsi"/>
                <w:i/>
                <w:iCs/>
                <w:kern w:val="24"/>
                <w:sz w:val="16"/>
                <w:szCs w:val="16"/>
              </w:rPr>
              <w:t>profiling of</w:t>
            </w:r>
            <w:r w:rsidR="00E44FA6" w:rsidRPr="00466924">
              <w:rPr>
                <w:rFonts w:asciiTheme="minorHAnsi" w:hAnsiTheme="minorHAnsi" w:cstheme="minorHAnsi"/>
                <w:i/>
                <w:iCs/>
                <w:kern w:val="24"/>
                <w:sz w:val="16"/>
                <w:szCs w:val="16"/>
              </w:rPr>
              <w:t xml:space="preserve"> the</w:t>
            </w:r>
            <w:r w:rsidRPr="00466924">
              <w:rPr>
                <w:rFonts w:asciiTheme="minorHAnsi" w:hAnsiTheme="minorHAnsi" w:cstheme="minorHAnsi"/>
                <w:i/>
                <w:iCs/>
                <w:kern w:val="24"/>
                <w:sz w:val="16"/>
                <w:szCs w:val="16"/>
              </w:rPr>
              <w:t xml:space="preserve"> built form</w:t>
            </w:r>
          </w:p>
          <w:p w14:paraId="44FA321F" w14:textId="77777777" w:rsidR="00BF4CC1" w:rsidRPr="00466924" w:rsidRDefault="00BF4CC1" w:rsidP="0080274F">
            <w:pPr>
              <w:pStyle w:val="NormalWeb"/>
              <w:spacing w:before="0" w:after="0"/>
              <w:ind w:left="576"/>
              <w:jc w:val="left"/>
              <w:rPr>
                <w:rFonts w:asciiTheme="minorHAnsi" w:hAnsiTheme="minorHAnsi" w:cstheme="minorHAnsi"/>
                <w:i/>
                <w:sz w:val="16"/>
                <w:szCs w:val="16"/>
              </w:rPr>
            </w:pPr>
            <w:r w:rsidRPr="00466924">
              <w:rPr>
                <w:rFonts w:asciiTheme="minorHAnsi" w:hAnsiTheme="minorHAnsi" w:cstheme="minorHAnsi"/>
                <w:i/>
                <w:sz w:val="16"/>
                <w:szCs w:val="16"/>
              </w:rPr>
              <w:t>Social-baseline</w:t>
            </w:r>
            <w:r w:rsidRPr="00466924">
              <w:rPr>
                <w:rFonts w:asciiTheme="minorHAnsi" w:hAnsiTheme="minorHAnsi" w:cstheme="minorHAnsi"/>
                <w:bCs/>
                <w:i/>
                <w:iCs/>
                <w:kern w:val="24"/>
                <w:sz w:val="16"/>
                <w:szCs w:val="16"/>
                <w14:shadow w14:blurRad="38100" w14:dist="38100" w14:dir="2700000" w14:sx="100000" w14:sy="100000" w14:kx="0" w14:ky="0" w14:algn="tl">
                  <w14:srgbClr w14:val="000000">
                    <w14:alpha w14:val="57000"/>
                  </w14:srgbClr>
                </w14:shadow>
              </w:rPr>
              <w:t xml:space="preserve"> </w:t>
            </w:r>
            <w:r w:rsidRPr="00466924">
              <w:rPr>
                <w:rFonts w:asciiTheme="minorHAnsi" w:hAnsiTheme="minorHAnsi" w:cstheme="minorHAnsi"/>
                <w:i/>
                <w:iCs/>
                <w:kern w:val="24"/>
                <w:sz w:val="16"/>
                <w:szCs w:val="16"/>
              </w:rPr>
              <w:t xml:space="preserve">of </w:t>
            </w:r>
            <w:r w:rsidR="00E44FA6" w:rsidRPr="00466924">
              <w:rPr>
                <w:rFonts w:asciiTheme="minorHAnsi" w:hAnsiTheme="minorHAnsi" w:cstheme="minorHAnsi"/>
                <w:i/>
                <w:iCs/>
                <w:kern w:val="24"/>
                <w:sz w:val="16"/>
                <w:szCs w:val="16"/>
              </w:rPr>
              <w:t xml:space="preserve">the </w:t>
            </w:r>
            <w:r w:rsidRPr="00466924">
              <w:rPr>
                <w:rFonts w:asciiTheme="minorHAnsi" w:hAnsiTheme="minorHAnsi" w:cstheme="minorHAnsi"/>
                <w:i/>
                <w:iCs/>
                <w:kern w:val="24"/>
                <w:sz w:val="16"/>
                <w:szCs w:val="16"/>
              </w:rPr>
              <w:t>demographic cohort</w:t>
            </w:r>
          </w:p>
          <w:p w14:paraId="4D61A8F3" w14:textId="77777777" w:rsidR="00BF4CC1" w:rsidRPr="00466924" w:rsidRDefault="00BF4CC1" w:rsidP="0080274F">
            <w:pPr>
              <w:pStyle w:val="NormalWeb"/>
              <w:spacing w:before="0" w:after="0"/>
              <w:ind w:left="1152" w:hanging="576"/>
              <w:jc w:val="left"/>
              <w:rPr>
                <w:rFonts w:ascii="Arial" w:hAnsi="Arial" w:cs="Arial"/>
                <w:i/>
                <w:sz w:val="16"/>
                <w:szCs w:val="16"/>
              </w:rPr>
            </w:pPr>
            <w:r w:rsidRPr="00466924">
              <w:rPr>
                <w:rFonts w:ascii="Arial" w:hAnsi="Arial" w:cs="Arial"/>
                <w:i/>
                <w:iCs/>
                <w:kern w:val="24"/>
                <w:sz w:val="16"/>
                <w:szCs w:val="16"/>
              </w:rPr>
              <w:t xml:space="preserve">Transversal analysis of </w:t>
            </w:r>
            <w:r w:rsidR="00E44FA6" w:rsidRPr="00466924">
              <w:rPr>
                <w:rFonts w:ascii="Arial" w:hAnsi="Arial" w:cs="Arial"/>
                <w:i/>
                <w:iCs/>
                <w:kern w:val="24"/>
                <w:sz w:val="16"/>
                <w:szCs w:val="16"/>
              </w:rPr>
              <w:t xml:space="preserve">the </w:t>
            </w:r>
            <w:r w:rsidRPr="00466924">
              <w:rPr>
                <w:rFonts w:ascii="Arial" w:hAnsi="Arial" w:cs="Arial"/>
                <w:i/>
                <w:iCs/>
                <w:kern w:val="24"/>
                <w:sz w:val="16"/>
                <w:szCs w:val="16"/>
              </w:rPr>
              <w:t>building demography</w:t>
            </w:r>
          </w:p>
          <w:p w14:paraId="369B5C60" w14:textId="77777777" w:rsidR="00BF4CC1" w:rsidRPr="00466924" w:rsidRDefault="00BF4CC1" w:rsidP="0080274F">
            <w:pPr>
              <w:pStyle w:val="NormalWeb"/>
              <w:spacing w:before="0" w:after="0"/>
              <w:ind w:left="1152" w:hanging="576"/>
              <w:jc w:val="left"/>
              <w:rPr>
                <w:rFonts w:ascii="Arial" w:hAnsi="Arial" w:cs="Arial"/>
                <w:i/>
                <w:iCs/>
                <w:kern w:val="24"/>
                <w:sz w:val="16"/>
                <w:szCs w:val="16"/>
              </w:rPr>
            </w:pPr>
            <w:r w:rsidRPr="00466924">
              <w:rPr>
                <w:rFonts w:ascii="Arial" w:hAnsi="Arial" w:cs="Arial"/>
                <w:i/>
                <w:iCs/>
                <w:kern w:val="24"/>
                <w:sz w:val="16"/>
                <w:szCs w:val="16"/>
              </w:rPr>
              <w:t>Review of Stage 1 findings</w:t>
            </w:r>
          </w:p>
          <w:p w14:paraId="0133B083" w14:textId="77777777" w:rsidR="00582889" w:rsidRPr="00466924" w:rsidRDefault="00582889" w:rsidP="00582889">
            <w:pPr>
              <w:pStyle w:val="NormalWeb"/>
              <w:spacing w:before="0" w:after="0"/>
              <w:ind w:left="1152" w:hanging="576"/>
              <w:rPr>
                <w:rFonts w:ascii="Arial" w:hAnsi="Arial" w:cs="Arial"/>
                <w:i/>
                <w:sz w:val="16"/>
                <w:szCs w:val="16"/>
              </w:rPr>
            </w:pPr>
          </w:p>
          <w:p w14:paraId="370738B4" w14:textId="77777777" w:rsidR="00BF4CC1" w:rsidRPr="00466924" w:rsidRDefault="00BF4CC1" w:rsidP="0080274F">
            <w:pPr>
              <w:pStyle w:val="NormalWeb"/>
              <w:spacing w:before="0" w:after="0"/>
              <w:ind w:left="576" w:hanging="576"/>
              <w:jc w:val="left"/>
              <w:rPr>
                <w:rFonts w:ascii="Arial" w:hAnsi="Arial" w:cs="Arial"/>
                <w:i/>
                <w:sz w:val="16"/>
                <w:szCs w:val="16"/>
              </w:rPr>
            </w:pPr>
            <w:r w:rsidRPr="00466924">
              <w:rPr>
                <w:rFonts w:ascii="Arial" w:hAnsi="Arial" w:cs="Arial"/>
                <w:b/>
                <w:bCs/>
                <w:i/>
                <w:iCs/>
                <w:kern w:val="24"/>
                <w:sz w:val="16"/>
                <w:szCs w:val="16"/>
              </w:rPr>
              <w:t>Stage 2: Under-griddi</w:t>
            </w:r>
            <w:r w:rsidR="00F90D6E" w:rsidRPr="00466924">
              <w:rPr>
                <w:rFonts w:ascii="Arial" w:hAnsi="Arial" w:cs="Arial"/>
                <w:b/>
                <w:bCs/>
                <w:i/>
                <w:iCs/>
                <w:kern w:val="24"/>
                <w:sz w:val="16"/>
                <w:szCs w:val="16"/>
              </w:rPr>
              <w:t xml:space="preserve">ng the sustainability of energy </w:t>
            </w:r>
            <w:r w:rsidRPr="00466924">
              <w:rPr>
                <w:rFonts w:ascii="Arial" w:hAnsi="Arial" w:cs="Arial"/>
                <w:b/>
                <w:bCs/>
                <w:i/>
                <w:iCs/>
                <w:kern w:val="24"/>
                <w:sz w:val="16"/>
                <w:szCs w:val="16"/>
              </w:rPr>
              <w:t>efficient</w:t>
            </w:r>
            <w:r w:rsidR="008F707E" w:rsidRPr="00466924">
              <w:rPr>
                <w:rFonts w:ascii="Arial" w:hAnsi="Arial" w:cs="Arial"/>
                <w:b/>
                <w:bCs/>
                <w:i/>
                <w:iCs/>
                <w:kern w:val="24"/>
                <w:sz w:val="16"/>
                <w:szCs w:val="16"/>
              </w:rPr>
              <w:t xml:space="preserve"> </w:t>
            </w:r>
            <w:r w:rsidRPr="00466924">
              <w:rPr>
                <w:rFonts w:ascii="Arial" w:hAnsi="Arial" w:cs="Arial"/>
                <w:b/>
                <w:bCs/>
                <w:i/>
                <w:iCs/>
                <w:kern w:val="24"/>
                <w:sz w:val="16"/>
                <w:szCs w:val="16"/>
              </w:rPr>
              <w:t>-</w:t>
            </w:r>
            <w:r w:rsidR="008F707E" w:rsidRPr="00466924">
              <w:rPr>
                <w:rFonts w:ascii="Arial" w:hAnsi="Arial" w:cs="Arial"/>
                <w:b/>
                <w:bCs/>
                <w:i/>
                <w:iCs/>
                <w:kern w:val="24"/>
                <w:sz w:val="16"/>
                <w:szCs w:val="16"/>
              </w:rPr>
              <w:t xml:space="preserve"> </w:t>
            </w:r>
            <w:r w:rsidRPr="00466924">
              <w:rPr>
                <w:rFonts w:ascii="Arial" w:hAnsi="Arial" w:cs="Arial"/>
                <w:b/>
                <w:bCs/>
                <w:i/>
                <w:iCs/>
                <w:kern w:val="24"/>
                <w:sz w:val="16"/>
                <w:szCs w:val="16"/>
              </w:rPr>
              <w:t>low carbon zones:</w:t>
            </w:r>
          </w:p>
          <w:p w14:paraId="2B172430" w14:textId="77777777" w:rsidR="00BF4CC1" w:rsidRPr="00466924" w:rsidRDefault="00BF4CC1" w:rsidP="0080274F">
            <w:pPr>
              <w:pStyle w:val="NormalWeb"/>
              <w:spacing w:before="0" w:after="0"/>
              <w:ind w:left="576"/>
              <w:jc w:val="left"/>
              <w:rPr>
                <w:rFonts w:ascii="Arial" w:hAnsi="Arial" w:cs="Arial"/>
                <w:i/>
                <w:sz w:val="16"/>
                <w:szCs w:val="16"/>
              </w:rPr>
            </w:pPr>
            <w:r w:rsidRPr="00466924">
              <w:rPr>
                <w:rFonts w:ascii="Arial" w:hAnsi="Arial" w:cs="Arial"/>
                <w:i/>
                <w:iCs/>
                <w:kern w:val="24"/>
                <w:sz w:val="16"/>
                <w:szCs w:val="16"/>
              </w:rPr>
              <w:t>District energy network:</w:t>
            </w:r>
          </w:p>
          <w:p w14:paraId="31D41FBA" w14:textId="77777777" w:rsidR="00BF4CC1" w:rsidRPr="00466924" w:rsidRDefault="00BF4CC1" w:rsidP="0080274F">
            <w:pPr>
              <w:pStyle w:val="NormalWeb"/>
              <w:spacing w:before="0" w:after="0"/>
              <w:ind w:left="1002"/>
              <w:jc w:val="left"/>
              <w:rPr>
                <w:rFonts w:ascii="Arial" w:hAnsi="Arial" w:cs="Arial"/>
                <w:i/>
                <w:sz w:val="16"/>
                <w:szCs w:val="16"/>
              </w:rPr>
            </w:pPr>
            <w:r w:rsidRPr="00466924">
              <w:rPr>
                <w:rFonts w:ascii="Arial" w:hAnsi="Arial" w:cs="Arial"/>
                <w:i/>
                <w:iCs/>
                <w:kern w:val="24"/>
                <w:sz w:val="16"/>
                <w:szCs w:val="16"/>
              </w:rPr>
              <w:t xml:space="preserve"> - bio-gas CHP (biomass/arboricultural)</w:t>
            </w:r>
          </w:p>
          <w:p w14:paraId="31D1F7B1" w14:textId="77777777" w:rsidR="00BF4CC1" w:rsidRPr="00466924" w:rsidRDefault="00BF4CC1" w:rsidP="0080274F">
            <w:pPr>
              <w:pStyle w:val="NormalWeb"/>
              <w:spacing w:before="0" w:after="0"/>
              <w:ind w:left="1002"/>
              <w:jc w:val="left"/>
              <w:rPr>
                <w:rFonts w:ascii="Arial" w:hAnsi="Arial" w:cs="Arial"/>
                <w:i/>
                <w:sz w:val="16"/>
                <w:szCs w:val="16"/>
              </w:rPr>
            </w:pPr>
            <w:r w:rsidRPr="00466924">
              <w:rPr>
                <w:rFonts w:ascii="Arial" w:hAnsi="Arial" w:cs="Arial"/>
                <w:i/>
                <w:iCs/>
                <w:kern w:val="24"/>
                <w:sz w:val="16"/>
                <w:szCs w:val="16"/>
              </w:rPr>
              <w:t xml:space="preserve"> - solar energy (poly-voltaic) </w:t>
            </w:r>
          </w:p>
          <w:p w14:paraId="5F1801F6" w14:textId="77777777" w:rsidR="00BF4CC1" w:rsidRPr="00466924" w:rsidRDefault="00BF4CC1" w:rsidP="0080274F">
            <w:pPr>
              <w:pStyle w:val="NormalWeb"/>
              <w:spacing w:before="0" w:after="0"/>
              <w:ind w:left="1002"/>
              <w:jc w:val="left"/>
              <w:rPr>
                <w:rFonts w:ascii="Arial" w:hAnsi="Arial" w:cs="Arial"/>
                <w:i/>
                <w:iCs/>
                <w:kern w:val="24"/>
                <w:sz w:val="16"/>
                <w:szCs w:val="16"/>
              </w:rPr>
            </w:pPr>
            <w:r w:rsidRPr="00466924">
              <w:rPr>
                <w:rFonts w:ascii="Arial" w:hAnsi="Arial" w:cs="Arial"/>
                <w:i/>
                <w:iCs/>
                <w:kern w:val="24"/>
                <w:sz w:val="16"/>
                <w:szCs w:val="16"/>
              </w:rPr>
              <w:t xml:space="preserve"> - wind power</w:t>
            </w:r>
          </w:p>
          <w:p w14:paraId="37103134" w14:textId="77777777" w:rsidR="00582889" w:rsidRPr="00466924" w:rsidRDefault="00582889" w:rsidP="0080274F">
            <w:pPr>
              <w:pStyle w:val="NormalWeb"/>
              <w:spacing w:before="0" w:after="0"/>
              <w:ind w:left="1002"/>
              <w:jc w:val="left"/>
              <w:rPr>
                <w:rFonts w:ascii="Arial" w:hAnsi="Arial" w:cs="Arial"/>
                <w:i/>
                <w:iCs/>
                <w:kern w:val="24"/>
                <w:sz w:val="16"/>
                <w:szCs w:val="16"/>
              </w:rPr>
            </w:pPr>
          </w:p>
          <w:p w14:paraId="033C74E1" w14:textId="77777777" w:rsidR="00BF4CC1" w:rsidRPr="00466924" w:rsidRDefault="00BF4CC1" w:rsidP="0080274F">
            <w:pPr>
              <w:pStyle w:val="NormalWeb"/>
              <w:spacing w:before="0" w:after="0"/>
              <w:jc w:val="left"/>
              <w:rPr>
                <w:rFonts w:ascii="Arial" w:hAnsi="Arial" w:cs="Arial"/>
                <w:b/>
                <w:i/>
                <w:sz w:val="16"/>
                <w:szCs w:val="16"/>
              </w:rPr>
            </w:pPr>
            <w:r w:rsidRPr="00466924">
              <w:rPr>
                <w:rFonts w:ascii="Arial" w:hAnsi="Arial" w:cs="Arial"/>
                <w:b/>
                <w:i/>
                <w:iCs/>
                <w:kern w:val="24"/>
                <w:sz w:val="16"/>
                <w:szCs w:val="16"/>
              </w:rPr>
              <w:t>Stage 3: Smart (micro) Grid:</w:t>
            </w:r>
          </w:p>
          <w:p w14:paraId="415C9F2D" w14:textId="77777777" w:rsidR="00BF4CC1" w:rsidRPr="00466924" w:rsidRDefault="00BF4CC1" w:rsidP="0080274F">
            <w:pPr>
              <w:pStyle w:val="NormalWeb"/>
              <w:spacing w:before="0" w:after="0"/>
              <w:ind w:left="720"/>
              <w:jc w:val="left"/>
              <w:rPr>
                <w:rFonts w:ascii="Arial" w:hAnsi="Arial" w:cs="Arial"/>
                <w:i/>
                <w:sz w:val="16"/>
                <w:szCs w:val="16"/>
              </w:rPr>
            </w:pPr>
            <w:r w:rsidRPr="00466924">
              <w:rPr>
                <w:rFonts w:ascii="Arial" w:hAnsi="Arial" w:cs="Arial"/>
                <w:i/>
                <w:iCs/>
                <w:kern w:val="24"/>
                <w:sz w:val="16"/>
                <w:szCs w:val="16"/>
              </w:rPr>
              <w:t xml:space="preserve">         - ESCO (Energy Services Company)</w:t>
            </w:r>
          </w:p>
          <w:p w14:paraId="1953471C" w14:textId="77777777" w:rsidR="00BF4CC1" w:rsidRPr="00466924" w:rsidRDefault="00BF4CC1" w:rsidP="0080274F">
            <w:pPr>
              <w:pStyle w:val="NormalWeb"/>
              <w:spacing w:before="0" w:after="0"/>
              <w:ind w:left="720"/>
              <w:jc w:val="left"/>
              <w:rPr>
                <w:rFonts w:ascii="Arial" w:hAnsi="Arial" w:cs="Arial"/>
                <w:i/>
                <w:sz w:val="16"/>
                <w:szCs w:val="16"/>
              </w:rPr>
            </w:pPr>
            <w:r w:rsidRPr="00466924">
              <w:rPr>
                <w:rFonts w:ascii="Arial" w:hAnsi="Arial" w:cs="Arial"/>
                <w:i/>
                <w:iCs/>
                <w:kern w:val="24"/>
                <w:sz w:val="16"/>
                <w:szCs w:val="16"/>
              </w:rPr>
              <w:t xml:space="preserve">         - Peak-load management</w:t>
            </w:r>
          </w:p>
          <w:p w14:paraId="2ADBCBC6" w14:textId="77777777" w:rsidR="00BF4CC1" w:rsidRPr="00466924" w:rsidRDefault="00BF4CC1" w:rsidP="0080274F">
            <w:pPr>
              <w:pStyle w:val="NormalWeb"/>
              <w:spacing w:before="0" w:after="0"/>
              <w:ind w:left="720"/>
              <w:jc w:val="left"/>
              <w:rPr>
                <w:rFonts w:ascii="Arial" w:hAnsi="Arial" w:cs="Arial"/>
                <w:i/>
                <w:sz w:val="16"/>
                <w:szCs w:val="16"/>
              </w:rPr>
            </w:pPr>
            <w:r w:rsidRPr="00466924">
              <w:rPr>
                <w:rFonts w:ascii="Arial" w:hAnsi="Arial" w:cs="Arial"/>
                <w:i/>
                <w:iCs/>
                <w:kern w:val="24"/>
                <w:sz w:val="16"/>
                <w:szCs w:val="16"/>
              </w:rPr>
              <w:t xml:space="preserve">         - Dynamic pricing</w:t>
            </w:r>
          </w:p>
          <w:p w14:paraId="4D253329" w14:textId="77777777" w:rsidR="00BF4CC1" w:rsidRPr="00466924" w:rsidRDefault="00BF4CC1" w:rsidP="0080274F">
            <w:pPr>
              <w:pStyle w:val="NormalWeb"/>
              <w:spacing w:before="0" w:after="0"/>
              <w:jc w:val="left"/>
              <w:rPr>
                <w:rFonts w:ascii="Arial" w:hAnsi="Arial" w:cs="Arial"/>
                <w:i/>
                <w:sz w:val="16"/>
                <w:szCs w:val="16"/>
              </w:rPr>
            </w:pPr>
            <w:r w:rsidRPr="00466924">
              <w:rPr>
                <w:rFonts w:ascii="Arial" w:hAnsi="Arial" w:cs="Arial"/>
                <w:i/>
                <w:iCs/>
                <w:kern w:val="24"/>
                <w:sz w:val="16"/>
                <w:szCs w:val="16"/>
              </w:rPr>
              <w:t>Review of Stage 2&amp;3 findings on the transition to a post-carbon economy</w:t>
            </w:r>
          </w:p>
          <w:p w14:paraId="272889A2" w14:textId="77777777" w:rsidR="00BF4CC1" w:rsidRPr="00466924" w:rsidRDefault="00BF4CC1" w:rsidP="00B91540">
            <w:pPr>
              <w:pStyle w:val="ListParagraph"/>
              <w:numPr>
                <w:ilvl w:val="0"/>
                <w:numId w:val="33"/>
              </w:numPr>
              <w:spacing w:before="0" w:after="0" w:line="240" w:lineRule="auto"/>
              <w:ind w:left="0"/>
              <w:jc w:val="left"/>
              <w:rPr>
                <w:rFonts w:asciiTheme="minorHAnsi" w:hAnsiTheme="minorHAnsi" w:cstheme="minorHAnsi"/>
                <w:sz w:val="16"/>
                <w:szCs w:val="16"/>
              </w:rPr>
            </w:pPr>
          </w:p>
        </w:tc>
      </w:tr>
    </w:tbl>
    <w:p w14:paraId="58F2DBCC" w14:textId="77777777" w:rsidR="00BF4CC1" w:rsidRPr="00466924" w:rsidRDefault="00BF4CC1" w:rsidP="00E37D5A">
      <w:pPr>
        <w:spacing w:before="0" w:after="0" w:line="240" w:lineRule="auto"/>
        <w:jc w:val="left"/>
      </w:pPr>
    </w:p>
    <w:p w14:paraId="77E702D0" w14:textId="77777777" w:rsidR="002114A1" w:rsidRPr="00466924" w:rsidRDefault="00BF4CC1" w:rsidP="00E37D5A">
      <w:pPr>
        <w:spacing w:before="0" w:after="0" w:line="240" w:lineRule="auto"/>
        <w:jc w:val="left"/>
        <w:rPr>
          <w:i/>
        </w:rPr>
      </w:pPr>
      <w:r w:rsidRPr="00466924">
        <w:rPr>
          <w:i/>
        </w:rPr>
        <w:t>Table 2</w:t>
      </w:r>
      <w:r w:rsidR="002114A1" w:rsidRPr="00466924">
        <w:rPr>
          <w:i/>
        </w:rPr>
        <w:t>.</w:t>
      </w:r>
      <w:r w:rsidR="00976F7A" w:rsidRPr="00466924">
        <w:rPr>
          <w:i/>
        </w:rPr>
        <w:t xml:space="preserve"> Protocol for under-gridding the sustainability of the mass</w:t>
      </w:r>
      <w:r w:rsidR="00EF5DC7" w:rsidRPr="00466924">
        <w:rPr>
          <w:i/>
        </w:rPr>
        <w:t xml:space="preserve"> </w:t>
      </w:r>
      <w:r w:rsidR="00976F7A" w:rsidRPr="00466924">
        <w:rPr>
          <w:i/>
        </w:rPr>
        <w:t xml:space="preserve">retrofit proposal. </w:t>
      </w:r>
    </w:p>
    <w:p w14:paraId="7463E05E" w14:textId="77777777" w:rsidR="00F5486A" w:rsidRPr="00466924" w:rsidRDefault="00976F7A" w:rsidP="00E37D5A">
      <w:pPr>
        <w:spacing w:before="0" w:after="0" w:line="240" w:lineRule="auto"/>
        <w:jc w:val="left"/>
        <w:rPr>
          <w:i/>
        </w:rPr>
      </w:pPr>
      <w:r w:rsidRPr="00466924">
        <w:rPr>
          <w:i/>
        </w:rPr>
        <w:t xml:space="preserve">Source: Adapted from London Borough of Sutton and Bioregional (2012). </w:t>
      </w:r>
    </w:p>
    <w:p w14:paraId="36A36B43" w14:textId="77777777" w:rsidR="00810343" w:rsidRPr="00466924" w:rsidRDefault="00810343" w:rsidP="00E37D5A">
      <w:pPr>
        <w:spacing w:before="0" w:after="0" w:line="240" w:lineRule="auto"/>
        <w:jc w:val="left"/>
        <w:rPr>
          <w:i/>
        </w:rPr>
      </w:pPr>
    </w:p>
    <w:p w14:paraId="3656BF95" w14:textId="77777777" w:rsidR="00080D78" w:rsidRPr="00466924" w:rsidRDefault="00080D78" w:rsidP="00AA28CB">
      <w:pPr>
        <w:pStyle w:val="Heading1"/>
        <w:numPr>
          <w:ilvl w:val="0"/>
          <w:numId w:val="0"/>
        </w:numPr>
        <w:spacing w:before="0" w:after="0" w:line="240" w:lineRule="auto"/>
        <w:ind w:left="432" w:hanging="432"/>
      </w:pPr>
      <w:r w:rsidRPr="00466924">
        <w:t>4. Under-gridding the Sustainability of a City-District</w:t>
      </w:r>
    </w:p>
    <w:p w14:paraId="39009397" w14:textId="77777777" w:rsidR="00080D78" w:rsidRPr="00466924" w:rsidRDefault="00080D78" w:rsidP="00AA28CB">
      <w:pPr>
        <w:spacing w:before="0" w:after="0" w:line="240" w:lineRule="auto"/>
        <w:jc w:val="left"/>
      </w:pPr>
    </w:p>
    <w:p w14:paraId="662AE73D" w14:textId="77777777" w:rsidR="00A23975" w:rsidRDefault="00080D78" w:rsidP="00A23975">
      <w:pPr>
        <w:spacing w:before="0" w:after="0" w:line="240" w:lineRule="auto"/>
        <w:jc w:val="left"/>
      </w:pPr>
      <w:r w:rsidRPr="00466924">
        <w:t xml:space="preserve">Table </w:t>
      </w:r>
      <w:r w:rsidR="00A87303" w:rsidRPr="00466924">
        <w:t>2</w:t>
      </w:r>
      <w:r w:rsidRPr="00466924">
        <w:t xml:space="preserve"> captures the protocol for under-gridding the sustainability of this</w:t>
      </w:r>
      <w:r w:rsidR="00A963B7" w:rsidRPr="00466924">
        <w:t xml:space="preserve"> city </w:t>
      </w:r>
      <w:r w:rsidRPr="00466924">
        <w:t>district as an energy efficient-low carbon zone. It outlines the key components of this case study in under-griddi</w:t>
      </w:r>
      <w:r w:rsidR="00A963B7" w:rsidRPr="00466924">
        <w:t xml:space="preserve">ng the sustainability of a city </w:t>
      </w:r>
      <w:r w:rsidRPr="00466924">
        <w:t xml:space="preserve">district. </w:t>
      </w:r>
      <w:r w:rsidR="00A23975" w:rsidRPr="00466924">
        <w:t xml:space="preserve">As an exercise, it is unique in representing the environmental profile of the energy efficient-low carbon zone. </w:t>
      </w:r>
    </w:p>
    <w:p w14:paraId="16F5F1C5" w14:textId="77777777" w:rsidR="00810343" w:rsidRDefault="00810343" w:rsidP="00A23975">
      <w:pPr>
        <w:spacing w:before="0" w:after="0" w:line="240" w:lineRule="auto"/>
        <w:jc w:val="left"/>
      </w:pPr>
    </w:p>
    <w:p w14:paraId="7448C78A" w14:textId="77777777" w:rsidR="00810343" w:rsidRPr="00466924" w:rsidRDefault="00810343" w:rsidP="00810343">
      <w:pPr>
        <w:spacing w:before="0" w:after="0" w:line="240" w:lineRule="auto"/>
        <w:jc w:val="left"/>
        <w:rPr>
          <w:rFonts w:cs="Arial"/>
        </w:rPr>
      </w:pPr>
      <w:r w:rsidRPr="00466924">
        <w:rPr>
          <w:rFonts w:cs="Arial"/>
        </w:rPr>
        <w:t>Table 3 illustrates the bottom-line sustainability of this environmental profile in terms of what such a web-based data collection and information-pr</w:t>
      </w:r>
      <w:r w:rsidR="0042706B">
        <w:rPr>
          <w:rFonts w:cs="Arial"/>
        </w:rPr>
        <w:t>ocessing application contribute</w:t>
      </w:r>
      <w:r w:rsidRPr="00466924">
        <w:rPr>
          <w:rFonts w:cs="Arial"/>
        </w:rPr>
        <w:t xml:space="preserve"> to the status of city-districts as energy efficient-low carbon zones. For each of the households within the environmental profile of this energy efficient-low carbon zone, it shows a:</w:t>
      </w:r>
    </w:p>
    <w:p w14:paraId="271BE315" w14:textId="77777777" w:rsidR="00810343" w:rsidRPr="00466924" w:rsidRDefault="00810343" w:rsidP="00810343">
      <w:pPr>
        <w:spacing w:before="0" w:after="0" w:line="240" w:lineRule="auto"/>
        <w:jc w:val="left"/>
        <w:rPr>
          <w:rFonts w:cs="Arial"/>
        </w:rPr>
      </w:pPr>
    </w:p>
    <w:p w14:paraId="73E37079" w14:textId="77777777" w:rsidR="00810343" w:rsidRPr="00466924" w:rsidRDefault="00810343" w:rsidP="00810343">
      <w:pPr>
        <w:pStyle w:val="ListParagraph"/>
        <w:numPr>
          <w:ilvl w:val="0"/>
          <w:numId w:val="30"/>
        </w:numPr>
        <w:spacing w:before="0" w:after="0" w:line="240" w:lineRule="auto"/>
        <w:contextualSpacing w:val="0"/>
        <w:jc w:val="left"/>
        <w:rPr>
          <w:rFonts w:cs="Arial"/>
        </w:rPr>
      </w:pPr>
      <w:r>
        <w:rPr>
          <w:rFonts w:cs="Arial"/>
        </w:rPr>
        <w:t>3-t</w:t>
      </w:r>
      <w:r w:rsidRPr="00466924">
        <w:rPr>
          <w:rFonts w:cs="Arial"/>
        </w:rPr>
        <w:t>on reduction in the levels of CO</w:t>
      </w:r>
      <w:r w:rsidRPr="00466924">
        <w:rPr>
          <w:rFonts w:cs="Arial"/>
          <w:vertAlign w:val="subscript"/>
        </w:rPr>
        <w:t>2</w:t>
      </w:r>
      <w:r w:rsidRPr="00466924">
        <w:rPr>
          <w:rFonts w:cs="Arial"/>
        </w:rPr>
        <w:t xml:space="preserve"> emissions</w:t>
      </w:r>
      <w:r>
        <w:rPr>
          <w:rFonts w:cs="Arial"/>
        </w:rPr>
        <w:t xml:space="preserve">, </w:t>
      </w:r>
      <w:r w:rsidRPr="00466924">
        <w:rPr>
          <w:rFonts w:cs="Arial"/>
        </w:rPr>
        <w:t>gained from the energetics of this smart city development;</w:t>
      </w:r>
    </w:p>
    <w:p w14:paraId="775EB59C" w14:textId="77777777" w:rsidR="00810343" w:rsidRPr="00466924" w:rsidRDefault="00810343" w:rsidP="00810343">
      <w:pPr>
        <w:pStyle w:val="ListParagraph"/>
        <w:numPr>
          <w:ilvl w:val="0"/>
          <w:numId w:val="30"/>
        </w:numPr>
        <w:spacing w:before="0" w:after="0" w:line="240" w:lineRule="auto"/>
        <w:contextualSpacing w:val="0"/>
        <w:jc w:val="left"/>
        <w:rPr>
          <w:rFonts w:cs="Arial"/>
        </w:rPr>
      </w:pPr>
      <w:r w:rsidRPr="00466924">
        <w:rPr>
          <w:rFonts w:cs="Arial"/>
        </w:rPr>
        <w:t xml:space="preserve">further </w:t>
      </w:r>
      <w:r>
        <w:rPr>
          <w:rFonts w:cs="Arial"/>
        </w:rPr>
        <w:t>3</w:t>
      </w:r>
      <w:r w:rsidRPr="00466924">
        <w:rPr>
          <w:rFonts w:cs="Arial"/>
        </w:rPr>
        <w:t>-ton reduction of CO</w:t>
      </w:r>
      <w:r w:rsidRPr="00466924">
        <w:rPr>
          <w:rFonts w:cs="Arial"/>
          <w:vertAlign w:val="subscript"/>
        </w:rPr>
        <w:t xml:space="preserve">2 </w:t>
      </w:r>
      <w:r w:rsidRPr="00466924">
        <w:rPr>
          <w:rFonts w:cs="Arial"/>
        </w:rPr>
        <w:t xml:space="preserve">emission results from the informatics of this under-gridding and as a process of sustainable growth, this produces a total projected emission reduction of </w:t>
      </w:r>
      <w:r>
        <w:rPr>
          <w:rFonts w:cs="Arial"/>
        </w:rPr>
        <w:t>6</w:t>
      </w:r>
      <w:r w:rsidRPr="00466924">
        <w:rPr>
          <w:rFonts w:cs="Arial"/>
        </w:rPr>
        <w:t xml:space="preserve"> tons per annum;</w:t>
      </w:r>
    </w:p>
    <w:p w14:paraId="076A11FE" w14:textId="7BC21A5E" w:rsidR="00810343" w:rsidRPr="00466924" w:rsidRDefault="00810343" w:rsidP="00810343">
      <w:pPr>
        <w:pStyle w:val="ListParagraph"/>
        <w:numPr>
          <w:ilvl w:val="0"/>
          <w:numId w:val="30"/>
        </w:numPr>
        <w:spacing w:before="0" w:after="0" w:line="240" w:lineRule="auto"/>
        <w:contextualSpacing w:val="0"/>
        <w:jc w:val="left"/>
        <w:rPr>
          <w:rFonts w:cs="Arial"/>
        </w:rPr>
      </w:pPr>
      <w:r w:rsidRPr="00466924">
        <w:rPr>
          <w:rFonts w:cs="Arial"/>
        </w:rPr>
        <w:t>78</w:t>
      </w:r>
      <w:r>
        <w:rPr>
          <w:rFonts w:cs="Arial"/>
        </w:rPr>
        <w:t>%</w:t>
      </w:r>
      <w:r w:rsidRPr="00466924">
        <w:rPr>
          <w:rFonts w:cs="Arial"/>
        </w:rPr>
        <w:t xml:space="preserve"> overall reduction in CO</w:t>
      </w:r>
      <w:r w:rsidRPr="00466924">
        <w:rPr>
          <w:rFonts w:cs="Arial"/>
          <w:vertAlign w:val="subscript"/>
        </w:rPr>
        <w:t>2</w:t>
      </w:r>
      <w:r w:rsidRPr="00466924">
        <w:rPr>
          <w:rFonts w:cs="Arial"/>
        </w:rPr>
        <w:t xml:space="preserve"> emissions that meets the IPCC standards of climate neutrality and level of CO</w:t>
      </w:r>
      <w:r w:rsidRPr="00466924">
        <w:rPr>
          <w:rFonts w:cs="Arial"/>
          <w:vertAlign w:val="subscript"/>
        </w:rPr>
        <w:t>2</w:t>
      </w:r>
      <w:r w:rsidRPr="00466924">
        <w:rPr>
          <w:rFonts w:cs="Arial"/>
        </w:rPr>
        <w:t xml:space="preserve"> emissions which brings the ecological footprint for housing in the residential property sector down towards 1.5 hectares of bio-productive land. That share of world productive land, which contributes to the growth of cities that is sustainable in the sense</w:t>
      </w:r>
      <w:r w:rsidR="0042706B">
        <w:rPr>
          <w:rFonts w:cs="Arial"/>
        </w:rPr>
        <w:t>,</w:t>
      </w:r>
      <w:r w:rsidRPr="00466924">
        <w:rPr>
          <w:rFonts w:cs="Arial"/>
        </w:rPr>
        <w:t xml:space="preserve"> which the development of Hackbridge has no adverse impact on </w:t>
      </w:r>
      <w:r>
        <w:rPr>
          <w:rFonts w:cs="Arial"/>
        </w:rPr>
        <w:t xml:space="preserve">the levels of </w:t>
      </w:r>
      <w:r w:rsidRPr="00466924">
        <w:rPr>
          <w:rFonts w:cs="Arial"/>
        </w:rPr>
        <w:t>global warming.</w:t>
      </w:r>
    </w:p>
    <w:p w14:paraId="0B40FB8B" w14:textId="77777777" w:rsidR="00810343" w:rsidRPr="00466924" w:rsidRDefault="00810343" w:rsidP="00810343">
      <w:pPr>
        <w:spacing w:before="0" w:after="0" w:line="240" w:lineRule="auto"/>
        <w:jc w:val="left"/>
        <w:rPr>
          <w:rFonts w:cs="Arial"/>
        </w:rPr>
      </w:pPr>
    </w:p>
    <w:p w14:paraId="56FEB4CC" w14:textId="3F29BC58" w:rsidR="00810343" w:rsidRPr="00466924" w:rsidRDefault="00810343" w:rsidP="00810343">
      <w:pPr>
        <w:spacing w:before="0" w:after="0" w:line="240" w:lineRule="auto"/>
        <w:jc w:val="left"/>
      </w:pPr>
      <w:r w:rsidRPr="00466924">
        <w:rPr>
          <w:rFonts w:cs="Arial"/>
        </w:rPr>
        <w:t>The metrics of this integration (i.e. in the micro-grid of this energy efficient-low carbon zone) also gives rise to the prospect of further CO</w:t>
      </w:r>
      <w:r w:rsidRPr="00466924">
        <w:rPr>
          <w:rFonts w:cs="Arial"/>
          <w:vertAlign w:val="subscript"/>
        </w:rPr>
        <w:t>2</w:t>
      </w:r>
      <w:r w:rsidRPr="00466924">
        <w:rPr>
          <w:rFonts w:cs="Arial"/>
        </w:rPr>
        <w:t xml:space="preserve"> emission reductions, </w:t>
      </w:r>
      <w:r w:rsidR="00146578">
        <w:rPr>
          <w:rFonts w:cs="Arial"/>
        </w:rPr>
        <w:t>vis-à-vis an extra 5%,</w:t>
      </w:r>
      <w:r w:rsidR="00546D69">
        <w:rPr>
          <w:rFonts w:cs="Arial"/>
        </w:rPr>
        <w:t xml:space="preserve"> </w:t>
      </w:r>
      <w:r w:rsidRPr="00466924">
        <w:rPr>
          <w:rFonts w:cs="Arial"/>
        </w:rPr>
        <w:t>but for now the cloud computing of this IoT is not tried-and-tested</w:t>
      </w:r>
      <w:r w:rsidR="00F913EC">
        <w:rPr>
          <w:rFonts w:cs="Arial"/>
        </w:rPr>
        <w:t xml:space="preserve"> </w:t>
      </w:r>
      <w:r w:rsidR="00D924B4">
        <w:rPr>
          <w:rFonts w:cs="Arial"/>
        </w:rPr>
        <w:t>and</w:t>
      </w:r>
      <w:r w:rsidR="00F913EC">
        <w:rPr>
          <w:rFonts w:cs="Arial"/>
        </w:rPr>
        <w:t xml:space="preserve"> as a consequence, </w:t>
      </w:r>
      <w:r w:rsidR="0042706B">
        <w:rPr>
          <w:rFonts w:cs="Arial"/>
        </w:rPr>
        <w:t>cannot</w:t>
      </w:r>
      <w:r w:rsidR="00F913EC">
        <w:rPr>
          <w:rFonts w:cs="Arial"/>
        </w:rPr>
        <w:t xml:space="preserve"> be fully accounted for</w:t>
      </w:r>
      <w:r>
        <w:rPr>
          <w:rFonts w:cs="Arial"/>
        </w:rPr>
        <w:t>.</w:t>
      </w:r>
    </w:p>
    <w:p w14:paraId="046AE3E2" w14:textId="77777777" w:rsidR="003F0B5C" w:rsidRPr="00466924" w:rsidRDefault="003F0B5C" w:rsidP="00AA28CB">
      <w:pPr>
        <w:spacing w:before="0" w:after="0" w:line="240" w:lineRule="auto"/>
        <w:jc w:val="left"/>
      </w:pPr>
    </w:p>
    <w:tbl>
      <w:tblPr>
        <w:tblStyle w:val="TableGrid"/>
        <w:tblW w:w="0" w:type="auto"/>
        <w:tblLook w:val="04A0" w:firstRow="1" w:lastRow="0" w:firstColumn="1" w:lastColumn="0" w:noHBand="0" w:noVBand="1"/>
      </w:tblPr>
      <w:tblGrid>
        <w:gridCol w:w="5616"/>
        <w:gridCol w:w="1335"/>
        <w:gridCol w:w="1335"/>
        <w:gridCol w:w="1335"/>
      </w:tblGrid>
      <w:tr w:rsidR="00420751" w:rsidRPr="00466924" w14:paraId="7405700F" w14:textId="77777777" w:rsidTr="00582889">
        <w:tc>
          <w:tcPr>
            <w:tcW w:w="5616" w:type="dxa"/>
            <w:shd w:val="clear" w:color="auto" w:fill="F2F2F2" w:themeFill="background1" w:themeFillShade="F2"/>
            <w:vAlign w:val="center"/>
          </w:tcPr>
          <w:p w14:paraId="13B50C8D"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23AF4096" w14:textId="77777777" w:rsidR="00080D78" w:rsidRPr="00466924" w:rsidRDefault="00080D78" w:rsidP="00420751">
            <w:pPr>
              <w:spacing w:before="0" w:after="0" w:line="240" w:lineRule="auto"/>
              <w:jc w:val="left"/>
              <w:rPr>
                <w:rFonts w:asciiTheme="minorHAnsi" w:hAnsiTheme="minorHAnsi" w:cstheme="minorHAnsi"/>
                <w:sz w:val="16"/>
                <w:szCs w:val="16"/>
              </w:rPr>
            </w:pPr>
          </w:p>
        </w:tc>
        <w:tc>
          <w:tcPr>
            <w:tcW w:w="1335" w:type="dxa"/>
            <w:shd w:val="clear" w:color="auto" w:fill="F2F2F2" w:themeFill="background1" w:themeFillShade="F2"/>
            <w:vAlign w:val="center"/>
          </w:tcPr>
          <w:p w14:paraId="154D7949" w14:textId="77777777" w:rsidR="00420751" w:rsidRPr="00466924" w:rsidRDefault="00420751" w:rsidP="00582889">
            <w:pPr>
              <w:spacing w:before="0" w:after="0" w:line="240" w:lineRule="auto"/>
              <w:jc w:val="center"/>
              <w:rPr>
                <w:rFonts w:asciiTheme="minorHAnsi" w:hAnsiTheme="minorHAnsi" w:cstheme="minorHAnsi"/>
                <w:b/>
                <w:sz w:val="16"/>
                <w:szCs w:val="16"/>
              </w:rPr>
            </w:pPr>
            <w:r w:rsidRPr="00466924">
              <w:rPr>
                <w:rFonts w:asciiTheme="minorHAnsi" w:hAnsiTheme="minorHAnsi" w:cstheme="minorHAnsi"/>
                <w:b/>
                <w:sz w:val="16"/>
                <w:szCs w:val="16"/>
              </w:rPr>
              <w:t>Cost (£ millions)</w:t>
            </w:r>
          </w:p>
        </w:tc>
        <w:tc>
          <w:tcPr>
            <w:tcW w:w="1335" w:type="dxa"/>
            <w:shd w:val="clear" w:color="auto" w:fill="F2F2F2" w:themeFill="background1" w:themeFillShade="F2"/>
            <w:vAlign w:val="center"/>
          </w:tcPr>
          <w:p w14:paraId="5832A13C" w14:textId="77777777" w:rsidR="00420751" w:rsidRPr="00466924" w:rsidRDefault="00420751" w:rsidP="00582889">
            <w:pPr>
              <w:spacing w:before="0" w:after="0" w:line="240" w:lineRule="auto"/>
              <w:jc w:val="center"/>
              <w:rPr>
                <w:rFonts w:asciiTheme="minorHAnsi" w:hAnsiTheme="minorHAnsi" w:cstheme="minorHAnsi"/>
                <w:b/>
                <w:sz w:val="16"/>
                <w:szCs w:val="16"/>
              </w:rPr>
            </w:pPr>
            <w:r w:rsidRPr="00466924">
              <w:rPr>
                <w:rFonts w:asciiTheme="minorHAnsi" w:hAnsiTheme="minorHAnsi" w:cstheme="minorHAnsi"/>
                <w:b/>
                <w:sz w:val="16"/>
                <w:szCs w:val="16"/>
              </w:rPr>
              <w:t>CO</w:t>
            </w:r>
            <w:r w:rsidRPr="00466924">
              <w:rPr>
                <w:rFonts w:ascii="Cambria Math" w:hAnsi="Cambria Math" w:cs="Cambria Math"/>
                <w:b/>
                <w:sz w:val="16"/>
                <w:szCs w:val="16"/>
              </w:rPr>
              <w:t>₂</w:t>
            </w:r>
            <w:r w:rsidRPr="00466924">
              <w:rPr>
                <w:rFonts w:asciiTheme="minorHAnsi" w:hAnsiTheme="minorHAnsi" w:cstheme="minorHAnsi"/>
                <w:b/>
                <w:sz w:val="16"/>
                <w:szCs w:val="16"/>
              </w:rPr>
              <w:t xml:space="preserve"> tons / savings</w:t>
            </w:r>
          </w:p>
        </w:tc>
        <w:tc>
          <w:tcPr>
            <w:tcW w:w="1335" w:type="dxa"/>
            <w:shd w:val="clear" w:color="auto" w:fill="F2F2F2" w:themeFill="background1" w:themeFillShade="F2"/>
            <w:vAlign w:val="center"/>
          </w:tcPr>
          <w:p w14:paraId="29607216" w14:textId="77777777" w:rsidR="00420751" w:rsidRPr="00466924" w:rsidRDefault="00420751" w:rsidP="00582889">
            <w:pPr>
              <w:spacing w:before="0" w:after="0" w:line="240" w:lineRule="auto"/>
              <w:jc w:val="center"/>
              <w:rPr>
                <w:rFonts w:asciiTheme="minorHAnsi" w:hAnsiTheme="minorHAnsi" w:cstheme="minorHAnsi"/>
                <w:b/>
                <w:sz w:val="16"/>
                <w:szCs w:val="16"/>
              </w:rPr>
            </w:pPr>
            <w:r w:rsidRPr="00466924">
              <w:rPr>
                <w:rFonts w:asciiTheme="minorHAnsi" w:hAnsiTheme="minorHAnsi" w:cstheme="minorHAnsi"/>
                <w:b/>
                <w:sz w:val="16"/>
                <w:szCs w:val="16"/>
              </w:rPr>
              <w:t>% CO</w:t>
            </w:r>
            <w:r w:rsidRPr="00466924">
              <w:rPr>
                <w:rFonts w:ascii="Cambria Math" w:hAnsi="Cambria Math" w:cs="Cambria Math"/>
                <w:b/>
                <w:sz w:val="16"/>
                <w:szCs w:val="16"/>
              </w:rPr>
              <w:t>₂</w:t>
            </w:r>
            <w:r w:rsidRPr="00466924">
              <w:rPr>
                <w:rFonts w:asciiTheme="minorHAnsi" w:hAnsiTheme="minorHAnsi" w:cstheme="minorHAnsi"/>
                <w:b/>
                <w:sz w:val="16"/>
                <w:szCs w:val="16"/>
              </w:rPr>
              <w:t xml:space="preserve"> savings</w:t>
            </w:r>
          </w:p>
        </w:tc>
      </w:tr>
      <w:tr w:rsidR="00420751" w:rsidRPr="00466924" w14:paraId="22924B97" w14:textId="77777777" w:rsidTr="00420751">
        <w:tc>
          <w:tcPr>
            <w:tcW w:w="5616" w:type="dxa"/>
          </w:tcPr>
          <w:p w14:paraId="0FA8E6E3" w14:textId="77777777" w:rsidR="00420751" w:rsidRPr="00466924" w:rsidRDefault="00420751" w:rsidP="00420751">
            <w:pPr>
              <w:spacing w:before="0" w:after="0" w:line="240" w:lineRule="auto"/>
              <w:jc w:val="left"/>
              <w:rPr>
                <w:rFonts w:asciiTheme="minorHAnsi" w:hAnsiTheme="minorHAnsi" w:cstheme="minorHAnsi"/>
                <w:b/>
                <w:sz w:val="16"/>
                <w:szCs w:val="16"/>
              </w:rPr>
            </w:pPr>
          </w:p>
          <w:p w14:paraId="5DAE5A9F" w14:textId="77777777" w:rsidR="00420751" w:rsidRPr="00466924" w:rsidRDefault="00420751" w:rsidP="00420751">
            <w:pPr>
              <w:spacing w:before="0" w:after="0" w:line="240" w:lineRule="auto"/>
              <w:jc w:val="left"/>
              <w:rPr>
                <w:rFonts w:asciiTheme="minorHAnsi" w:hAnsiTheme="minorHAnsi" w:cstheme="minorHAnsi"/>
                <w:b/>
                <w:sz w:val="16"/>
                <w:szCs w:val="16"/>
              </w:rPr>
            </w:pPr>
            <w:r w:rsidRPr="00466924">
              <w:rPr>
                <w:rFonts w:asciiTheme="minorHAnsi" w:hAnsiTheme="minorHAnsi" w:cstheme="minorHAnsi"/>
                <w:b/>
                <w:sz w:val="16"/>
                <w:szCs w:val="16"/>
              </w:rPr>
              <w:t>Stage 1: performance related assessment:</w:t>
            </w:r>
          </w:p>
          <w:p w14:paraId="04D75C88"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Secondary glazing</w:t>
            </w:r>
          </w:p>
          <w:p w14:paraId="55058DEB"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Solid wall insulation (internal/external)</w:t>
            </w:r>
          </w:p>
          <w:p w14:paraId="51225945"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Under floor insulation</w:t>
            </w:r>
          </w:p>
          <w:p w14:paraId="2DC7914C"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Heat exchange ventilation</w:t>
            </w:r>
          </w:p>
          <w:p w14:paraId="5C1DD34B"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Cavity wall insulation</w:t>
            </w:r>
          </w:p>
          <w:p w14:paraId="7F3FD768"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Double glazing / triple glazing</w:t>
            </w:r>
          </w:p>
          <w:p w14:paraId="4F37B7F4"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Boiler replacement</w:t>
            </w:r>
          </w:p>
          <w:p w14:paraId="2798D931"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Solar water heating</w:t>
            </w:r>
          </w:p>
          <w:p w14:paraId="2DD10691" w14:textId="77777777" w:rsidR="00420751" w:rsidRPr="00466924" w:rsidRDefault="00420751" w:rsidP="00420751">
            <w:pPr>
              <w:pStyle w:val="ListParagraph"/>
              <w:numPr>
                <w:ilvl w:val="0"/>
                <w:numId w:val="31"/>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Solar voltaic</w:t>
            </w:r>
          </w:p>
          <w:p w14:paraId="46F5B361" w14:textId="77777777" w:rsidR="00420751" w:rsidRPr="00466924" w:rsidRDefault="00420751" w:rsidP="00420751">
            <w:pPr>
              <w:spacing w:before="0" w:after="0" w:line="240" w:lineRule="auto"/>
              <w:jc w:val="left"/>
              <w:rPr>
                <w:rFonts w:asciiTheme="minorHAnsi" w:hAnsiTheme="minorHAnsi" w:cstheme="minorHAnsi"/>
                <w:b/>
                <w:sz w:val="16"/>
                <w:szCs w:val="16"/>
              </w:rPr>
            </w:pPr>
          </w:p>
          <w:p w14:paraId="5AEF6DBF" w14:textId="77777777" w:rsidR="00D86F20" w:rsidRPr="00466924" w:rsidRDefault="00D86F20" w:rsidP="00420751">
            <w:pPr>
              <w:spacing w:before="0" w:after="0" w:line="240" w:lineRule="auto"/>
              <w:jc w:val="left"/>
              <w:rPr>
                <w:rFonts w:asciiTheme="minorHAnsi" w:hAnsiTheme="minorHAnsi" w:cstheme="minorHAnsi"/>
                <w:b/>
                <w:sz w:val="16"/>
                <w:szCs w:val="16"/>
              </w:rPr>
            </w:pPr>
          </w:p>
          <w:p w14:paraId="2E522C9A" w14:textId="77777777" w:rsidR="00420751" w:rsidRPr="00466924" w:rsidRDefault="00420751" w:rsidP="00420751">
            <w:pPr>
              <w:spacing w:before="0" w:after="0" w:line="240" w:lineRule="auto"/>
              <w:jc w:val="left"/>
              <w:rPr>
                <w:rFonts w:asciiTheme="minorHAnsi" w:hAnsiTheme="minorHAnsi" w:cstheme="minorHAnsi"/>
                <w:b/>
                <w:sz w:val="16"/>
                <w:szCs w:val="16"/>
              </w:rPr>
            </w:pPr>
            <w:r w:rsidRPr="00466924">
              <w:rPr>
                <w:rFonts w:asciiTheme="minorHAnsi" w:hAnsiTheme="minorHAnsi" w:cstheme="minorHAnsi"/>
                <w:b/>
                <w:sz w:val="16"/>
                <w:szCs w:val="16"/>
              </w:rPr>
              <w:t>Stage 2: Under-gridding the sustainability of energy efficient – low carbon zones:</w:t>
            </w:r>
          </w:p>
          <w:p w14:paraId="2185DF39" w14:textId="77777777" w:rsidR="00420751" w:rsidRPr="00466924" w:rsidRDefault="00420751" w:rsidP="00420751">
            <w:pPr>
              <w:pStyle w:val="ListParagraph"/>
              <w:numPr>
                <w:ilvl w:val="0"/>
                <w:numId w:val="32"/>
              </w:numPr>
              <w:spacing w:before="0" w:after="0" w:line="240" w:lineRule="auto"/>
              <w:ind w:left="0"/>
              <w:jc w:val="left"/>
              <w:rPr>
                <w:rFonts w:asciiTheme="minorHAnsi" w:hAnsiTheme="minorHAnsi" w:cstheme="minorHAnsi"/>
                <w:sz w:val="16"/>
                <w:szCs w:val="16"/>
              </w:rPr>
            </w:pPr>
            <w:r w:rsidRPr="00466924">
              <w:rPr>
                <w:rFonts w:asciiTheme="minorHAnsi" w:hAnsiTheme="minorHAnsi" w:cstheme="minorHAnsi"/>
                <w:sz w:val="16"/>
                <w:szCs w:val="16"/>
              </w:rPr>
              <w:t>District energy network</w:t>
            </w:r>
          </w:p>
          <w:p w14:paraId="27D147EE" w14:textId="77777777" w:rsidR="00420751" w:rsidRPr="00466924" w:rsidRDefault="00420751" w:rsidP="00420751">
            <w:pPr>
              <w:pStyle w:val="ListParagraph"/>
              <w:numPr>
                <w:ilvl w:val="1"/>
                <w:numId w:val="32"/>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Bio-gas CHP (biomass/arboricultural)</w:t>
            </w:r>
          </w:p>
          <w:p w14:paraId="22C12E1C" w14:textId="77777777" w:rsidR="00420751" w:rsidRPr="00466924" w:rsidRDefault="00420751" w:rsidP="00420751">
            <w:pPr>
              <w:pStyle w:val="ListParagraph"/>
              <w:numPr>
                <w:ilvl w:val="1"/>
                <w:numId w:val="32"/>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Solar energy (poly-voltaic)</w:t>
            </w:r>
          </w:p>
          <w:p w14:paraId="6812A7EF" w14:textId="77777777" w:rsidR="00420751" w:rsidRPr="00466924" w:rsidRDefault="00420751" w:rsidP="00420751">
            <w:pPr>
              <w:pStyle w:val="ListParagraph"/>
              <w:numPr>
                <w:ilvl w:val="1"/>
                <w:numId w:val="32"/>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Wind power (turbines)</w:t>
            </w:r>
          </w:p>
          <w:p w14:paraId="2EC16BC5"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4D502647" w14:textId="77777777" w:rsidR="00D86F20" w:rsidRPr="00466924" w:rsidRDefault="00D86F20" w:rsidP="00420751">
            <w:pPr>
              <w:spacing w:before="0" w:after="0" w:line="240" w:lineRule="auto"/>
              <w:jc w:val="left"/>
              <w:rPr>
                <w:rFonts w:asciiTheme="minorHAnsi" w:hAnsiTheme="minorHAnsi" w:cstheme="minorHAnsi"/>
                <w:b/>
                <w:sz w:val="16"/>
                <w:szCs w:val="16"/>
              </w:rPr>
            </w:pPr>
          </w:p>
          <w:p w14:paraId="16D95719" w14:textId="77777777" w:rsidR="00D86F20" w:rsidRPr="00466924" w:rsidRDefault="00D86F20" w:rsidP="00420751">
            <w:pPr>
              <w:spacing w:before="0" w:after="0" w:line="240" w:lineRule="auto"/>
              <w:jc w:val="left"/>
              <w:rPr>
                <w:rFonts w:asciiTheme="minorHAnsi" w:hAnsiTheme="minorHAnsi" w:cstheme="minorHAnsi"/>
                <w:b/>
                <w:sz w:val="16"/>
                <w:szCs w:val="16"/>
              </w:rPr>
            </w:pPr>
          </w:p>
          <w:p w14:paraId="2AEF23BD" w14:textId="77777777" w:rsidR="00420751" w:rsidRPr="00466924" w:rsidRDefault="00420751" w:rsidP="00420751">
            <w:pPr>
              <w:spacing w:before="0" w:after="0" w:line="240" w:lineRule="auto"/>
              <w:jc w:val="left"/>
              <w:rPr>
                <w:rFonts w:asciiTheme="minorHAnsi" w:hAnsiTheme="minorHAnsi" w:cstheme="minorHAnsi"/>
                <w:b/>
                <w:sz w:val="16"/>
                <w:szCs w:val="16"/>
              </w:rPr>
            </w:pPr>
            <w:r w:rsidRPr="00466924">
              <w:rPr>
                <w:rFonts w:asciiTheme="minorHAnsi" w:hAnsiTheme="minorHAnsi" w:cstheme="minorHAnsi"/>
                <w:b/>
                <w:sz w:val="16"/>
                <w:szCs w:val="16"/>
              </w:rPr>
              <w:t>Stage 3: Smart (micro) Grid</w:t>
            </w:r>
          </w:p>
          <w:p w14:paraId="333AD257" w14:textId="77777777" w:rsidR="00420751" w:rsidRPr="00466924" w:rsidRDefault="00420751" w:rsidP="00420751">
            <w:pPr>
              <w:pStyle w:val="ListParagraph"/>
              <w:numPr>
                <w:ilvl w:val="0"/>
                <w:numId w:val="33"/>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ESCO (Energy Services Company)</w:t>
            </w:r>
          </w:p>
          <w:p w14:paraId="72A434C9" w14:textId="77777777" w:rsidR="00420751" w:rsidRPr="00466924" w:rsidRDefault="00420751" w:rsidP="00420751">
            <w:pPr>
              <w:pStyle w:val="ListParagraph"/>
              <w:numPr>
                <w:ilvl w:val="0"/>
                <w:numId w:val="33"/>
              </w:numPr>
              <w:spacing w:before="0" w:after="0" w:line="240" w:lineRule="auto"/>
              <w:ind w:left="0"/>
              <w:jc w:val="left"/>
              <w:rPr>
                <w:rFonts w:asciiTheme="minorHAnsi" w:hAnsiTheme="minorHAnsi" w:cstheme="minorHAnsi"/>
                <w:i/>
                <w:sz w:val="16"/>
                <w:szCs w:val="16"/>
              </w:rPr>
            </w:pPr>
            <w:r w:rsidRPr="00466924">
              <w:rPr>
                <w:rFonts w:asciiTheme="minorHAnsi" w:hAnsiTheme="minorHAnsi" w:cstheme="minorHAnsi"/>
                <w:i/>
                <w:sz w:val="16"/>
                <w:szCs w:val="16"/>
              </w:rPr>
              <w:t>Peak load management</w:t>
            </w:r>
          </w:p>
          <w:p w14:paraId="2089F36A" w14:textId="77777777" w:rsidR="00651A6E" w:rsidRPr="00651A6E" w:rsidRDefault="00420751" w:rsidP="00651A6E">
            <w:pPr>
              <w:pStyle w:val="ListParagraph"/>
              <w:numPr>
                <w:ilvl w:val="0"/>
                <w:numId w:val="33"/>
              </w:numPr>
              <w:spacing w:before="0" w:after="0" w:line="240" w:lineRule="auto"/>
              <w:ind w:left="0"/>
              <w:jc w:val="left"/>
              <w:rPr>
                <w:rFonts w:asciiTheme="minorHAnsi" w:hAnsiTheme="minorHAnsi" w:cstheme="minorHAnsi"/>
                <w:sz w:val="16"/>
                <w:szCs w:val="16"/>
              </w:rPr>
            </w:pPr>
            <w:r w:rsidRPr="00466924">
              <w:rPr>
                <w:rFonts w:asciiTheme="minorHAnsi" w:hAnsiTheme="minorHAnsi" w:cstheme="minorHAnsi"/>
                <w:i/>
                <w:sz w:val="16"/>
                <w:szCs w:val="16"/>
              </w:rPr>
              <w:t>Dynamic pricing</w:t>
            </w:r>
            <w:r w:rsidR="00A41815" w:rsidRPr="00466924">
              <w:rPr>
                <w:rFonts w:asciiTheme="minorHAnsi" w:hAnsiTheme="minorHAnsi" w:cstheme="minorHAnsi"/>
                <w:i/>
                <w:sz w:val="16"/>
                <w:szCs w:val="16"/>
              </w:rPr>
              <w:t xml:space="preserve"> using cloud computing</w:t>
            </w:r>
            <w:r w:rsidR="0090612F" w:rsidRPr="00466924">
              <w:rPr>
                <w:rFonts w:asciiTheme="minorHAnsi" w:hAnsiTheme="minorHAnsi" w:cstheme="minorHAnsi"/>
                <w:i/>
                <w:sz w:val="16"/>
                <w:szCs w:val="16"/>
              </w:rPr>
              <w:t xml:space="preserve"> set in the</w:t>
            </w:r>
            <w:r w:rsidR="00A41815" w:rsidRPr="00466924">
              <w:rPr>
                <w:rFonts w:asciiTheme="minorHAnsi" w:hAnsiTheme="minorHAnsi" w:cstheme="minorHAnsi"/>
                <w:i/>
                <w:sz w:val="16"/>
                <w:szCs w:val="16"/>
              </w:rPr>
              <w:t xml:space="preserve"> IoT</w:t>
            </w:r>
          </w:p>
        </w:tc>
        <w:tc>
          <w:tcPr>
            <w:tcW w:w="1335" w:type="dxa"/>
          </w:tcPr>
          <w:p w14:paraId="674BEEAA"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670FE2B2"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6778B8ED"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1D5B5C61"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54F3A784"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226E4839"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7BD5814E"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48CE7BEE"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34753732"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0FD35BEC" w14:textId="77777777" w:rsidR="00420751" w:rsidRPr="00466924" w:rsidRDefault="00420751" w:rsidP="00420751">
            <w:pPr>
              <w:spacing w:before="0" w:after="0" w:line="240" w:lineRule="auto"/>
              <w:jc w:val="left"/>
              <w:rPr>
                <w:rFonts w:asciiTheme="minorHAnsi" w:hAnsiTheme="minorHAnsi" w:cstheme="minorHAnsi"/>
                <w:sz w:val="16"/>
                <w:szCs w:val="16"/>
              </w:rPr>
            </w:pPr>
          </w:p>
          <w:p w14:paraId="3A7A2FA5" w14:textId="77777777" w:rsidR="00D86F20" w:rsidRPr="00466924" w:rsidRDefault="00D86F20" w:rsidP="00420751">
            <w:pPr>
              <w:spacing w:before="0" w:after="0" w:line="240" w:lineRule="auto"/>
              <w:jc w:val="left"/>
              <w:rPr>
                <w:rFonts w:asciiTheme="minorHAnsi" w:hAnsiTheme="minorHAnsi" w:cstheme="minorHAnsi"/>
                <w:sz w:val="16"/>
                <w:szCs w:val="16"/>
              </w:rPr>
            </w:pPr>
          </w:p>
          <w:p w14:paraId="7C82AEA5" w14:textId="77777777" w:rsidR="00D86F20" w:rsidRPr="00466924" w:rsidRDefault="00D86F20" w:rsidP="00420751">
            <w:pPr>
              <w:spacing w:before="0" w:after="0" w:line="240" w:lineRule="auto"/>
              <w:jc w:val="left"/>
              <w:rPr>
                <w:rFonts w:asciiTheme="minorHAnsi" w:hAnsiTheme="minorHAnsi" w:cstheme="minorHAnsi"/>
                <w:sz w:val="16"/>
                <w:szCs w:val="16"/>
              </w:rPr>
            </w:pPr>
          </w:p>
          <w:p w14:paraId="3C72EAC0"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120,000,000</w:t>
            </w:r>
          </w:p>
          <w:p w14:paraId="1FA49680"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082E82AC"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7B57AF9C"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6DF8FD8A"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0423795E"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25,000,000</w:t>
            </w:r>
          </w:p>
          <w:p w14:paraId="5FF3C3B8"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4,000,000</w:t>
            </w:r>
          </w:p>
          <w:p w14:paraId="25A84901" w14:textId="77777777" w:rsidR="00420751" w:rsidRPr="00466924" w:rsidRDefault="00420751" w:rsidP="00E570C4">
            <w:pPr>
              <w:spacing w:before="0" w:after="0" w:line="240" w:lineRule="auto"/>
              <w:jc w:val="center"/>
              <w:rPr>
                <w:rFonts w:asciiTheme="minorHAnsi" w:hAnsiTheme="minorHAnsi" w:cstheme="minorHAnsi"/>
                <w:sz w:val="16"/>
                <w:szCs w:val="16"/>
                <w:u w:val="single"/>
              </w:rPr>
            </w:pPr>
            <w:r w:rsidRPr="00466924">
              <w:rPr>
                <w:rFonts w:asciiTheme="minorHAnsi" w:hAnsiTheme="minorHAnsi" w:cstheme="minorHAnsi"/>
                <w:sz w:val="16"/>
                <w:szCs w:val="16"/>
                <w:u w:val="single"/>
              </w:rPr>
              <w:t>1,000,000</w:t>
            </w:r>
          </w:p>
          <w:p w14:paraId="44057910"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150,000,000</w:t>
            </w:r>
          </w:p>
        </w:tc>
        <w:tc>
          <w:tcPr>
            <w:tcW w:w="1335" w:type="dxa"/>
          </w:tcPr>
          <w:p w14:paraId="21024284"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6EBE8469"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1DEAB4C5"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5025B086"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50F1DF0B"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6A068515"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172C5989"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1B73AD9F"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3FD85FDD"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6AE2767A"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0CE81452"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3E6033C7"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0BAF36A8"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3</w:t>
            </w:r>
          </w:p>
          <w:p w14:paraId="5BD08AF2"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6A6F3D6E"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489484CB"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04B745CD"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05FD8C16"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1</w:t>
            </w:r>
          </w:p>
          <w:p w14:paraId="6AF3EDD3"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1</w:t>
            </w:r>
          </w:p>
          <w:p w14:paraId="2AF79C95"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u w:val="single"/>
              </w:rPr>
            </w:pPr>
            <w:r w:rsidRPr="00466924">
              <w:rPr>
                <w:rFonts w:asciiTheme="minorHAnsi" w:hAnsiTheme="minorHAnsi" w:cstheme="minorHAnsi"/>
                <w:sz w:val="16"/>
                <w:szCs w:val="16"/>
                <w:u w:val="single"/>
              </w:rPr>
              <w:t>1</w:t>
            </w:r>
          </w:p>
          <w:p w14:paraId="783ECD60"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3</w:t>
            </w:r>
          </w:p>
        </w:tc>
        <w:tc>
          <w:tcPr>
            <w:tcW w:w="1335" w:type="dxa"/>
          </w:tcPr>
          <w:p w14:paraId="1C59E67F"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3FEC4B1D"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670A5B1E"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135687F6"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79AA97B8"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208B6641"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1EDEA18F"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5DE8AB89"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420996A3"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04E4CC53"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587F4F36"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270EBA43"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7B0C688A"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50</w:t>
            </w:r>
          </w:p>
          <w:p w14:paraId="26136BEC"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522004E4"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31687599"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0F742F19" w14:textId="77777777" w:rsidR="00D86F20" w:rsidRPr="00466924" w:rsidRDefault="00D86F20" w:rsidP="00E570C4">
            <w:pPr>
              <w:spacing w:before="0" w:after="0" w:line="240" w:lineRule="auto"/>
              <w:jc w:val="center"/>
              <w:rPr>
                <w:rFonts w:asciiTheme="minorHAnsi" w:hAnsiTheme="minorHAnsi" w:cstheme="minorHAnsi"/>
                <w:sz w:val="16"/>
                <w:szCs w:val="16"/>
              </w:rPr>
            </w:pPr>
          </w:p>
          <w:p w14:paraId="773F949E"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20</w:t>
            </w:r>
          </w:p>
          <w:p w14:paraId="5D3556A0"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2</w:t>
            </w:r>
          </w:p>
          <w:p w14:paraId="6249213F"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u w:val="single"/>
              </w:rPr>
            </w:pPr>
            <w:r w:rsidRPr="00466924">
              <w:rPr>
                <w:rFonts w:asciiTheme="minorHAnsi" w:hAnsiTheme="minorHAnsi" w:cstheme="minorHAnsi"/>
                <w:sz w:val="16"/>
                <w:szCs w:val="16"/>
                <w:u w:val="single"/>
              </w:rPr>
              <w:t>6</w:t>
            </w:r>
          </w:p>
          <w:p w14:paraId="2A8D6805" w14:textId="77777777" w:rsidR="00420751" w:rsidRPr="00466924" w:rsidRDefault="00F83F48"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2</w:t>
            </w:r>
            <w:r w:rsidR="00420751" w:rsidRPr="00466924">
              <w:rPr>
                <w:rFonts w:asciiTheme="minorHAnsi" w:hAnsiTheme="minorHAnsi" w:cstheme="minorHAnsi"/>
                <w:sz w:val="16"/>
                <w:szCs w:val="16"/>
              </w:rPr>
              <w:t>8</w:t>
            </w:r>
          </w:p>
          <w:p w14:paraId="0DDC6482" w14:textId="77777777" w:rsidR="00420751" w:rsidRPr="00466924" w:rsidRDefault="00420751" w:rsidP="00E570C4">
            <w:pPr>
              <w:spacing w:before="0" w:after="0" w:line="240" w:lineRule="auto"/>
              <w:jc w:val="center"/>
              <w:rPr>
                <w:rFonts w:asciiTheme="minorHAnsi" w:hAnsiTheme="minorHAnsi" w:cstheme="minorHAnsi"/>
                <w:sz w:val="16"/>
                <w:szCs w:val="16"/>
              </w:rPr>
            </w:pPr>
          </w:p>
          <w:p w14:paraId="5B0876CA" w14:textId="77777777" w:rsidR="00146578" w:rsidRDefault="00146578" w:rsidP="00E570C4">
            <w:pPr>
              <w:spacing w:before="0" w:after="0" w:line="240" w:lineRule="auto"/>
              <w:jc w:val="center"/>
              <w:rPr>
                <w:rFonts w:asciiTheme="minorHAnsi" w:hAnsiTheme="minorHAnsi" w:cstheme="minorHAnsi"/>
                <w:sz w:val="16"/>
                <w:szCs w:val="16"/>
              </w:rPr>
            </w:pPr>
          </w:p>
          <w:p w14:paraId="6EC1F99F" w14:textId="77777777" w:rsidR="00420751" w:rsidRPr="00466924" w:rsidRDefault="00420751" w:rsidP="00E570C4">
            <w:pPr>
              <w:spacing w:before="0" w:after="0" w:line="240" w:lineRule="auto"/>
              <w:jc w:val="center"/>
              <w:rPr>
                <w:rFonts w:asciiTheme="minorHAnsi" w:hAnsiTheme="minorHAnsi" w:cstheme="minorHAnsi"/>
                <w:b/>
                <w:caps/>
                <w:kern w:val="28"/>
                <w:sz w:val="16"/>
                <w:szCs w:val="16"/>
              </w:rPr>
            </w:pPr>
            <w:r w:rsidRPr="00466924">
              <w:rPr>
                <w:rFonts w:asciiTheme="minorHAnsi" w:hAnsiTheme="minorHAnsi" w:cstheme="minorHAnsi"/>
                <w:sz w:val="16"/>
                <w:szCs w:val="16"/>
              </w:rPr>
              <w:t>(5)</w:t>
            </w:r>
          </w:p>
        </w:tc>
      </w:tr>
    </w:tbl>
    <w:p w14:paraId="67856784" w14:textId="77777777" w:rsidR="0005436A" w:rsidRDefault="0005436A" w:rsidP="00D96D7C">
      <w:pPr>
        <w:spacing w:before="0" w:after="0" w:line="240" w:lineRule="auto"/>
        <w:jc w:val="left"/>
        <w:rPr>
          <w:rFonts w:cs="Arial"/>
          <w:i/>
        </w:rPr>
      </w:pPr>
    </w:p>
    <w:p w14:paraId="616A9906" w14:textId="77777777" w:rsidR="00A23975" w:rsidRPr="00466924" w:rsidRDefault="00D96D7C" w:rsidP="00D96D7C">
      <w:pPr>
        <w:spacing w:before="0" w:after="0" w:line="240" w:lineRule="auto"/>
        <w:jc w:val="left"/>
        <w:rPr>
          <w:rFonts w:cs="Arial"/>
          <w:i/>
        </w:rPr>
      </w:pPr>
      <w:r w:rsidRPr="00466924">
        <w:rPr>
          <w:rFonts w:cs="Arial"/>
          <w:i/>
        </w:rPr>
        <w:t>Table 3</w:t>
      </w:r>
      <w:r w:rsidR="002114A1" w:rsidRPr="00466924">
        <w:rPr>
          <w:rFonts w:cs="Arial"/>
          <w:i/>
        </w:rPr>
        <w:t>.</w:t>
      </w:r>
      <w:r w:rsidR="00420751" w:rsidRPr="00466924">
        <w:rPr>
          <w:rFonts w:cs="Arial"/>
          <w:i/>
        </w:rPr>
        <w:t xml:space="preserve"> Measures for baselining the sustainability of growth. Source: Adapted from London Borough of Sutton and Bioregional (2012).</w:t>
      </w:r>
    </w:p>
    <w:p w14:paraId="517D6BB9" w14:textId="77777777" w:rsidR="00F262DC" w:rsidRPr="00466924" w:rsidRDefault="00F262DC" w:rsidP="00A06BE4">
      <w:pPr>
        <w:spacing w:before="0" w:after="0" w:line="240" w:lineRule="auto"/>
        <w:jc w:val="left"/>
        <w:rPr>
          <w:rFonts w:cs="Arial"/>
        </w:rPr>
      </w:pPr>
    </w:p>
    <w:p w14:paraId="539A6B4D" w14:textId="5601CB22" w:rsidR="0054469C" w:rsidRDefault="00D96D7C" w:rsidP="00E37D5A">
      <w:pPr>
        <w:spacing w:before="0" w:after="0" w:line="240" w:lineRule="auto"/>
        <w:jc w:val="left"/>
        <w:rPr>
          <w:rFonts w:cs="Arial"/>
        </w:rPr>
      </w:pPr>
      <w:r w:rsidRPr="00466924">
        <w:rPr>
          <w:rFonts w:cs="Arial"/>
        </w:rPr>
        <w:t>Table 4</w:t>
      </w:r>
      <w:r w:rsidR="00DD2825" w:rsidRPr="00466924">
        <w:rPr>
          <w:rFonts w:cs="Arial"/>
        </w:rPr>
        <w:t xml:space="preserve"> adopts the</w:t>
      </w:r>
      <w:r w:rsidR="00855D82" w:rsidRPr="00466924">
        <w:rPr>
          <w:rFonts w:cs="Arial"/>
        </w:rPr>
        <w:t xml:space="preserve"> measures currently available for smart cit</w:t>
      </w:r>
      <w:r w:rsidR="00787EE3">
        <w:rPr>
          <w:rFonts w:cs="Arial"/>
        </w:rPr>
        <w:t>ies</w:t>
      </w:r>
      <w:r w:rsidR="00855D82" w:rsidRPr="00466924">
        <w:rPr>
          <w:rFonts w:cs="Arial"/>
        </w:rPr>
        <w:t xml:space="preserve"> to baseline the sustainability of </w:t>
      </w:r>
      <w:r w:rsidR="00146578">
        <w:rPr>
          <w:rFonts w:cs="Arial"/>
        </w:rPr>
        <w:t xml:space="preserve">an inclusive </w:t>
      </w:r>
      <w:r w:rsidR="00855D82" w:rsidRPr="00466924">
        <w:rPr>
          <w:rFonts w:cs="Arial"/>
        </w:rPr>
        <w:t xml:space="preserve">growth </w:t>
      </w:r>
      <w:r w:rsidR="00146578">
        <w:rPr>
          <w:rFonts w:cs="Arial"/>
        </w:rPr>
        <w:t xml:space="preserve">strategy </w:t>
      </w:r>
      <w:r w:rsidR="00855D82" w:rsidRPr="00466924">
        <w:rPr>
          <w:rFonts w:cs="Arial"/>
        </w:rPr>
        <w:t xml:space="preserve">founded on </w:t>
      </w:r>
      <w:r w:rsidR="005F5DE8">
        <w:rPr>
          <w:rFonts w:cs="Arial"/>
        </w:rPr>
        <w:t xml:space="preserve">post-carbon </w:t>
      </w:r>
      <w:r w:rsidR="0042706B">
        <w:rPr>
          <w:rFonts w:cs="Arial"/>
        </w:rPr>
        <w:t xml:space="preserve">economy </w:t>
      </w:r>
      <w:r w:rsidR="0042706B" w:rsidRPr="00466924">
        <w:rPr>
          <w:rFonts w:cs="Arial"/>
        </w:rPr>
        <w:t>of</w:t>
      </w:r>
      <w:r w:rsidR="00855D82" w:rsidRPr="00466924">
        <w:rPr>
          <w:rFonts w:cs="Arial"/>
        </w:rPr>
        <w:t xml:space="preserve"> climate neutr</w:t>
      </w:r>
      <w:r w:rsidR="00080D78" w:rsidRPr="00466924">
        <w:rPr>
          <w:rFonts w:cs="Arial"/>
        </w:rPr>
        <w:t>ality</w:t>
      </w:r>
      <w:r w:rsidR="00DD2825" w:rsidRPr="00466924">
        <w:rPr>
          <w:rFonts w:cs="Arial"/>
        </w:rPr>
        <w:t xml:space="preserve">. It shows </w:t>
      </w:r>
      <w:r w:rsidR="00855D82" w:rsidRPr="00466924">
        <w:rPr>
          <w:rFonts w:cs="Arial"/>
        </w:rPr>
        <w:t>the SVTR, PVTVR and empty space valu</w:t>
      </w:r>
      <w:r w:rsidR="000B5EDC" w:rsidRPr="00466924">
        <w:rPr>
          <w:rFonts w:cs="Arial"/>
        </w:rPr>
        <w:t>es</w:t>
      </w:r>
      <w:r w:rsidR="00DD2825" w:rsidRPr="00466924">
        <w:rPr>
          <w:rFonts w:cs="Arial"/>
        </w:rPr>
        <w:t xml:space="preserve"> and </w:t>
      </w:r>
      <w:r w:rsidR="00FE42E1" w:rsidRPr="00466924">
        <w:rPr>
          <w:rFonts w:cs="Arial"/>
        </w:rPr>
        <w:t>illustrates</w:t>
      </w:r>
      <w:r w:rsidR="00855D82" w:rsidRPr="00466924">
        <w:rPr>
          <w:rFonts w:cs="Arial"/>
        </w:rPr>
        <w:t xml:space="preserve"> the mean energy consumption and CO</w:t>
      </w:r>
      <w:r w:rsidR="00855D82" w:rsidRPr="00466924">
        <w:rPr>
          <w:rFonts w:ascii="Cambria Math" w:hAnsi="Cambria Math" w:cs="Cambria Math"/>
        </w:rPr>
        <w:t>₂</w:t>
      </w:r>
      <w:r w:rsidR="00855D82" w:rsidRPr="00466924">
        <w:rPr>
          <w:rFonts w:cs="Arial"/>
        </w:rPr>
        <w:t xml:space="preserve"> emissi</w:t>
      </w:r>
      <w:r w:rsidR="0054469C" w:rsidRPr="00466924">
        <w:rPr>
          <w:rFonts w:cs="Arial"/>
        </w:rPr>
        <w:t>ons for Hackbridge</w:t>
      </w:r>
      <w:r w:rsidR="000B5EDC" w:rsidRPr="00466924">
        <w:rPr>
          <w:rFonts w:cs="Arial"/>
        </w:rPr>
        <w:t>,</w:t>
      </w:r>
      <w:r w:rsidR="00855D82" w:rsidRPr="00466924">
        <w:rPr>
          <w:rFonts w:cs="Arial"/>
        </w:rPr>
        <w:t xml:space="preserve"> c</w:t>
      </w:r>
      <w:r w:rsidR="0054469C" w:rsidRPr="00466924">
        <w:rPr>
          <w:rFonts w:cs="Arial"/>
        </w:rPr>
        <w:t>ompared against London</w:t>
      </w:r>
      <w:r w:rsidR="00D924B4">
        <w:rPr>
          <w:rFonts w:cs="Arial"/>
        </w:rPr>
        <w:t>,</w:t>
      </w:r>
      <w:r w:rsidR="00855D82" w:rsidRPr="00466924">
        <w:rPr>
          <w:rFonts w:cs="Arial"/>
        </w:rPr>
        <w:t xml:space="preserve"> Berl</w:t>
      </w:r>
      <w:r w:rsidR="0054469C" w:rsidRPr="00466924">
        <w:rPr>
          <w:rFonts w:cs="Arial"/>
        </w:rPr>
        <w:t xml:space="preserve">in and Paris. </w:t>
      </w:r>
      <w:r w:rsidR="00855D82" w:rsidRPr="00466924">
        <w:rPr>
          <w:rFonts w:cs="Arial"/>
        </w:rPr>
        <w:t xml:space="preserve">Salat’s (2009) study area (the whole of the Paris metropolitan city-region) covers a much greater area than either the study </w:t>
      </w:r>
      <w:r w:rsidR="00B06E5F" w:rsidRPr="00466924">
        <w:rPr>
          <w:rFonts w:cs="Arial"/>
        </w:rPr>
        <w:t>undertaken by</w:t>
      </w:r>
      <w:r w:rsidR="00855D82" w:rsidRPr="00466924">
        <w:rPr>
          <w:rFonts w:cs="Arial"/>
        </w:rPr>
        <w:t xml:space="preserve"> Ratti et al. (2005), or this</w:t>
      </w:r>
      <w:r w:rsidR="000B5EDC" w:rsidRPr="00466924">
        <w:rPr>
          <w:rFonts w:cs="Arial"/>
        </w:rPr>
        <w:t xml:space="preserve"> paper’s</w:t>
      </w:r>
      <w:r w:rsidR="00855D82" w:rsidRPr="00466924">
        <w:rPr>
          <w:rFonts w:cs="Arial"/>
        </w:rPr>
        <w:t xml:space="preserve"> examination of Hackbridge</w:t>
      </w:r>
      <w:r w:rsidR="00DD2825" w:rsidRPr="00466924">
        <w:rPr>
          <w:rFonts w:cs="Arial"/>
        </w:rPr>
        <w:t xml:space="preserve">. </w:t>
      </w:r>
      <w:r w:rsidR="000B5EDC" w:rsidRPr="00466924">
        <w:rPr>
          <w:rFonts w:cs="Arial"/>
        </w:rPr>
        <w:t>Here</w:t>
      </w:r>
      <w:r w:rsidR="00D924B4">
        <w:rPr>
          <w:rFonts w:cs="Arial"/>
        </w:rPr>
        <w:t>,</w:t>
      </w:r>
      <w:r w:rsidR="000B5EDC" w:rsidRPr="00466924">
        <w:rPr>
          <w:rFonts w:cs="Arial"/>
        </w:rPr>
        <w:t xml:space="preserve"> the</w:t>
      </w:r>
      <w:r w:rsidR="00855D82" w:rsidRPr="00466924">
        <w:rPr>
          <w:rFonts w:cs="Arial"/>
        </w:rPr>
        <w:t xml:space="preserve"> </w:t>
      </w:r>
      <w:r w:rsidR="000B5EDC" w:rsidRPr="00466924">
        <w:rPr>
          <w:rFonts w:cs="Arial"/>
        </w:rPr>
        <w:t xml:space="preserve">mean STVR </w:t>
      </w:r>
      <w:r w:rsidR="00855D82" w:rsidRPr="00466924">
        <w:rPr>
          <w:rFonts w:cs="Arial"/>
        </w:rPr>
        <w:t>is much higher than for the inn</w:t>
      </w:r>
      <w:r w:rsidR="0054469C" w:rsidRPr="00466924">
        <w:rPr>
          <w:rFonts w:cs="Arial"/>
        </w:rPr>
        <w:t>er-city areas of London, Toulouse and Berlin</w:t>
      </w:r>
      <w:r w:rsidR="00855D82" w:rsidRPr="00466924">
        <w:rPr>
          <w:rFonts w:cs="Arial"/>
        </w:rPr>
        <w:t xml:space="preserve">. </w:t>
      </w:r>
      <w:r w:rsidRPr="00466924">
        <w:rPr>
          <w:rFonts w:cs="Arial"/>
        </w:rPr>
        <w:t>Table 5</w:t>
      </w:r>
      <w:r w:rsidR="00A06BE4" w:rsidRPr="00466924">
        <w:rPr>
          <w:rFonts w:cs="Arial"/>
        </w:rPr>
        <w:t xml:space="preserve"> relates the</w:t>
      </w:r>
      <w:r w:rsidR="00733ADA" w:rsidRPr="00466924">
        <w:rPr>
          <w:rFonts w:cs="Arial"/>
        </w:rPr>
        <w:t>se levels of</w:t>
      </w:r>
      <w:r w:rsidR="00A06BE4" w:rsidRPr="00466924">
        <w:rPr>
          <w:rFonts w:cs="Arial"/>
        </w:rPr>
        <w:t xml:space="preserve"> energy consumption and </w:t>
      </w:r>
      <w:r w:rsidR="00733ADA" w:rsidRPr="00466924">
        <w:rPr>
          <w:rFonts w:cs="Arial"/>
        </w:rPr>
        <w:t>rates of</w:t>
      </w:r>
      <w:r w:rsidR="000B5EDC" w:rsidRPr="00466924">
        <w:rPr>
          <w:rFonts w:cs="Arial"/>
        </w:rPr>
        <w:t xml:space="preserve"> </w:t>
      </w:r>
      <w:r w:rsidR="00781A5D" w:rsidRPr="00466924">
        <w:rPr>
          <w:rFonts w:cs="Arial"/>
        </w:rPr>
        <w:t>CO</w:t>
      </w:r>
      <w:r w:rsidR="00781A5D" w:rsidRPr="00466924">
        <w:rPr>
          <w:rFonts w:cs="Arial"/>
          <w:vertAlign w:val="subscript"/>
        </w:rPr>
        <w:t>2</w:t>
      </w:r>
      <w:r w:rsidR="00A06BE4" w:rsidRPr="00466924">
        <w:rPr>
          <w:rFonts w:cs="Arial"/>
        </w:rPr>
        <w:t xml:space="preserve"> emissions to th</w:t>
      </w:r>
      <w:r w:rsidR="00DC61DD" w:rsidRPr="00466924">
        <w:rPr>
          <w:rFonts w:cs="Arial"/>
        </w:rPr>
        <w:t>e STVR and PVTVR ratios</w:t>
      </w:r>
      <w:r w:rsidR="00A963B7" w:rsidRPr="00466924">
        <w:rPr>
          <w:rFonts w:cs="Arial"/>
        </w:rPr>
        <w:t xml:space="preserve"> in Hackbridge</w:t>
      </w:r>
      <w:r w:rsidR="00DC61DD" w:rsidRPr="00466924">
        <w:rPr>
          <w:rFonts w:cs="Arial"/>
        </w:rPr>
        <w:t xml:space="preserve"> </w:t>
      </w:r>
      <w:r w:rsidR="0054469C" w:rsidRPr="00466924">
        <w:rPr>
          <w:rFonts w:cs="Arial"/>
        </w:rPr>
        <w:t>and goes on to cross-</w:t>
      </w:r>
      <w:r w:rsidR="00A06BE4" w:rsidRPr="00466924">
        <w:rPr>
          <w:rFonts w:cs="Arial"/>
        </w:rPr>
        <w:t>reference the</w:t>
      </w:r>
      <w:r w:rsidR="006855DB">
        <w:rPr>
          <w:rFonts w:cs="Arial"/>
        </w:rPr>
        <w:t>m</w:t>
      </w:r>
      <w:r w:rsidR="00A06BE4" w:rsidRPr="00466924">
        <w:rPr>
          <w:rFonts w:cs="Arial"/>
        </w:rPr>
        <w:t xml:space="preserve"> against the structure of tenure found in the</w:t>
      </w:r>
      <w:r w:rsidR="00B73F32" w:rsidRPr="00466924">
        <w:rPr>
          <w:rFonts w:cs="Arial"/>
        </w:rPr>
        <w:t xml:space="preserve"> residential property</w:t>
      </w:r>
      <w:r w:rsidR="00D86F20" w:rsidRPr="00466924">
        <w:rPr>
          <w:rFonts w:cs="Arial"/>
        </w:rPr>
        <w:t xml:space="preserve"> sector, analysed by lower super output area (LSOA)</w:t>
      </w:r>
      <w:r w:rsidR="0054469C" w:rsidRPr="00466924">
        <w:rPr>
          <w:rFonts w:cs="Arial"/>
        </w:rPr>
        <w:t>. Th</w:t>
      </w:r>
      <w:r w:rsidR="00A06BE4" w:rsidRPr="00466924">
        <w:rPr>
          <w:rFonts w:cs="Arial"/>
        </w:rPr>
        <w:t xml:space="preserve">ese figures </w:t>
      </w:r>
      <w:r w:rsidR="00A76CD5">
        <w:rPr>
          <w:rFonts w:cs="Arial"/>
        </w:rPr>
        <w:t>provide the data</w:t>
      </w:r>
      <w:r w:rsidR="0054469C" w:rsidRPr="00466924">
        <w:rPr>
          <w:rFonts w:cs="Arial"/>
        </w:rPr>
        <w:t xml:space="preserve"> </w:t>
      </w:r>
      <w:r w:rsidR="00A06BE4" w:rsidRPr="00466924">
        <w:rPr>
          <w:rFonts w:cs="Arial"/>
        </w:rPr>
        <w:t xml:space="preserve">to calculate the energy savings and </w:t>
      </w:r>
      <w:r w:rsidR="00781A5D" w:rsidRPr="00466924">
        <w:rPr>
          <w:rFonts w:cs="Arial"/>
        </w:rPr>
        <w:t>CO</w:t>
      </w:r>
      <w:r w:rsidR="00781A5D" w:rsidRPr="00466924">
        <w:rPr>
          <w:rFonts w:cs="Arial"/>
          <w:vertAlign w:val="subscript"/>
        </w:rPr>
        <w:t>2</w:t>
      </w:r>
      <w:r w:rsidR="00A06BE4" w:rsidRPr="00466924">
        <w:rPr>
          <w:rFonts w:cs="Arial"/>
        </w:rPr>
        <w:t xml:space="preserve"> </w:t>
      </w:r>
      <w:r w:rsidR="0054469C" w:rsidRPr="00466924">
        <w:rPr>
          <w:rFonts w:cs="Arial"/>
        </w:rPr>
        <w:t>emission reductions for both</w:t>
      </w:r>
      <w:r w:rsidR="00A06BE4" w:rsidRPr="00466924">
        <w:rPr>
          <w:rFonts w:cs="Arial"/>
        </w:rPr>
        <w:t xml:space="preserve"> respective retrofit opti</w:t>
      </w:r>
      <w:r w:rsidR="0054469C" w:rsidRPr="00466924">
        <w:rPr>
          <w:rFonts w:cs="Arial"/>
        </w:rPr>
        <w:t>ons</w:t>
      </w:r>
      <w:r w:rsidR="00A76CD5">
        <w:rPr>
          <w:rFonts w:cs="Arial"/>
        </w:rPr>
        <w:t xml:space="preserve"> and inform on the improvements these generate</w:t>
      </w:r>
      <w:r w:rsidRPr="00466924">
        <w:rPr>
          <w:rFonts w:cs="Arial"/>
        </w:rPr>
        <w:t xml:space="preserve"> (Table 6 and 7</w:t>
      </w:r>
      <w:r w:rsidR="00A06BE4" w:rsidRPr="00466924">
        <w:rPr>
          <w:rFonts w:cs="Arial"/>
        </w:rPr>
        <w:t>).</w:t>
      </w:r>
    </w:p>
    <w:p w14:paraId="661353AB" w14:textId="77777777" w:rsidR="00146578" w:rsidRDefault="00146578" w:rsidP="00E37D5A">
      <w:pPr>
        <w:spacing w:before="0" w:after="0" w:line="240" w:lineRule="auto"/>
        <w:jc w:val="left"/>
        <w:rPr>
          <w:rFonts w:cs="Arial"/>
        </w:rPr>
      </w:pPr>
    </w:p>
    <w:p w14:paraId="0E7DBA24" w14:textId="77777777" w:rsidR="00CE496B" w:rsidRPr="00466924" w:rsidRDefault="00CE496B" w:rsidP="00E37D5A">
      <w:pPr>
        <w:spacing w:before="0" w:after="0" w:line="240" w:lineRule="auto"/>
        <w:jc w:val="left"/>
        <w:rPr>
          <w:rFonts w:cs="Arial"/>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238"/>
        <w:gridCol w:w="1379"/>
        <w:gridCol w:w="1380"/>
        <w:gridCol w:w="1379"/>
        <w:gridCol w:w="1380"/>
      </w:tblGrid>
      <w:tr w:rsidR="00BE151F" w:rsidRPr="00466924" w14:paraId="6D4A714F" w14:textId="77777777" w:rsidTr="002114A1">
        <w:trPr>
          <w:trHeight w:val="90"/>
        </w:trPr>
        <w:tc>
          <w:tcPr>
            <w:tcW w:w="2727" w:type="dxa"/>
            <w:tcBorders>
              <w:top w:val="nil"/>
              <w:left w:val="nil"/>
              <w:bottom w:val="nil"/>
              <w:right w:val="single" w:sz="4" w:space="0" w:color="auto"/>
            </w:tcBorders>
            <w:vAlign w:val="bottom"/>
          </w:tcPr>
          <w:p w14:paraId="085AA397" w14:textId="77777777" w:rsidR="00BE151F" w:rsidRPr="00466924" w:rsidRDefault="00BE151F" w:rsidP="00E37D5A">
            <w:pPr>
              <w:spacing w:before="0" w:after="0" w:line="240" w:lineRule="auto"/>
              <w:jc w:val="left"/>
              <w:rPr>
                <w:rFonts w:eastAsiaTheme="minorHAnsi" w:cs="Arial"/>
                <w:sz w:val="16"/>
                <w:szCs w:val="16"/>
              </w:rPr>
            </w:pPr>
          </w:p>
        </w:tc>
        <w:tc>
          <w:tcPr>
            <w:tcW w:w="3997" w:type="dxa"/>
            <w:gridSpan w:val="3"/>
            <w:tcBorders>
              <w:left w:val="single" w:sz="4" w:space="0" w:color="auto"/>
            </w:tcBorders>
            <w:shd w:val="clear" w:color="auto" w:fill="D9D9D9" w:themeFill="background1" w:themeFillShade="D9"/>
            <w:vAlign w:val="center"/>
          </w:tcPr>
          <w:p w14:paraId="1842874A" w14:textId="77777777" w:rsidR="00BE151F" w:rsidRPr="00466924" w:rsidRDefault="00BE151F" w:rsidP="002114A1">
            <w:pPr>
              <w:spacing w:before="0" w:after="0" w:line="240" w:lineRule="auto"/>
              <w:jc w:val="center"/>
              <w:rPr>
                <w:rFonts w:eastAsiaTheme="minorHAnsi" w:cs="Arial"/>
                <w:b/>
                <w:sz w:val="16"/>
                <w:szCs w:val="16"/>
              </w:rPr>
            </w:pPr>
            <w:r w:rsidRPr="00466924">
              <w:rPr>
                <w:rFonts w:eastAsiaTheme="minorHAnsi" w:cs="Arial"/>
                <w:b/>
                <w:sz w:val="16"/>
                <w:szCs w:val="16"/>
              </w:rPr>
              <w:t>Inner city district neighbourhood</w:t>
            </w:r>
          </w:p>
        </w:tc>
        <w:tc>
          <w:tcPr>
            <w:tcW w:w="1379" w:type="dxa"/>
            <w:shd w:val="clear" w:color="auto" w:fill="D9D9D9" w:themeFill="background1" w:themeFillShade="D9"/>
            <w:vAlign w:val="center"/>
          </w:tcPr>
          <w:p w14:paraId="4B4CD489" w14:textId="77777777" w:rsidR="00BE151F" w:rsidRPr="00466924" w:rsidRDefault="00BE151F" w:rsidP="002114A1">
            <w:pPr>
              <w:spacing w:before="0" w:after="0" w:line="240" w:lineRule="auto"/>
              <w:jc w:val="center"/>
              <w:rPr>
                <w:rFonts w:eastAsiaTheme="minorHAnsi" w:cs="Arial"/>
                <w:b/>
                <w:sz w:val="16"/>
                <w:szCs w:val="16"/>
              </w:rPr>
            </w:pPr>
            <w:r w:rsidRPr="00466924">
              <w:rPr>
                <w:rFonts w:eastAsiaTheme="minorHAnsi" w:cs="Arial"/>
                <w:b/>
                <w:sz w:val="16"/>
                <w:szCs w:val="16"/>
              </w:rPr>
              <w:t>Suburban city district</w:t>
            </w:r>
          </w:p>
        </w:tc>
        <w:tc>
          <w:tcPr>
            <w:tcW w:w="1380" w:type="dxa"/>
            <w:shd w:val="clear" w:color="auto" w:fill="D9D9D9" w:themeFill="background1" w:themeFillShade="D9"/>
            <w:vAlign w:val="center"/>
          </w:tcPr>
          <w:p w14:paraId="5D825D84" w14:textId="77777777" w:rsidR="00BE151F" w:rsidRPr="00466924" w:rsidRDefault="00BE151F" w:rsidP="002114A1">
            <w:pPr>
              <w:spacing w:before="0" w:after="0" w:line="240" w:lineRule="auto"/>
              <w:jc w:val="center"/>
              <w:rPr>
                <w:rFonts w:eastAsiaTheme="minorHAnsi" w:cs="Arial"/>
                <w:b/>
                <w:sz w:val="16"/>
                <w:szCs w:val="16"/>
              </w:rPr>
            </w:pPr>
            <w:r w:rsidRPr="00466924">
              <w:rPr>
                <w:rFonts w:eastAsiaTheme="minorHAnsi" w:cs="Arial"/>
                <w:b/>
                <w:sz w:val="16"/>
                <w:szCs w:val="16"/>
              </w:rPr>
              <w:t>Metropolitan city region</w:t>
            </w:r>
          </w:p>
        </w:tc>
      </w:tr>
      <w:tr w:rsidR="00BE151F" w:rsidRPr="00466924" w14:paraId="7B399C59" w14:textId="77777777" w:rsidTr="002114A1">
        <w:trPr>
          <w:trHeight w:val="90"/>
        </w:trPr>
        <w:tc>
          <w:tcPr>
            <w:tcW w:w="2727" w:type="dxa"/>
            <w:tcBorders>
              <w:top w:val="nil"/>
              <w:left w:val="nil"/>
              <w:bottom w:val="single" w:sz="4" w:space="0" w:color="auto"/>
              <w:right w:val="single" w:sz="4" w:space="0" w:color="auto"/>
            </w:tcBorders>
            <w:vAlign w:val="bottom"/>
          </w:tcPr>
          <w:p w14:paraId="5BE9D42A" w14:textId="77777777" w:rsidR="00BE151F" w:rsidRPr="00466924" w:rsidRDefault="00BE151F" w:rsidP="00E37D5A">
            <w:pPr>
              <w:spacing w:before="0" w:after="0" w:line="240" w:lineRule="auto"/>
              <w:jc w:val="left"/>
              <w:rPr>
                <w:rFonts w:eastAsiaTheme="minorHAnsi" w:cs="Arial"/>
                <w:sz w:val="16"/>
                <w:szCs w:val="16"/>
              </w:rPr>
            </w:pPr>
          </w:p>
        </w:tc>
        <w:tc>
          <w:tcPr>
            <w:tcW w:w="1238" w:type="dxa"/>
            <w:tcBorders>
              <w:left w:val="single" w:sz="4" w:space="0" w:color="auto"/>
            </w:tcBorders>
            <w:shd w:val="clear" w:color="auto" w:fill="D9D9D9" w:themeFill="background1" w:themeFillShade="D9"/>
            <w:vAlign w:val="center"/>
          </w:tcPr>
          <w:p w14:paraId="347D41D3"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London</w:t>
            </w:r>
          </w:p>
        </w:tc>
        <w:tc>
          <w:tcPr>
            <w:tcW w:w="1379" w:type="dxa"/>
            <w:shd w:val="clear" w:color="auto" w:fill="D9D9D9" w:themeFill="background1" w:themeFillShade="D9"/>
            <w:vAlign w:val="center"/>
          </w:tcPr>
          <w:p w14:paraId="44530B14" w14:textId="77777777" w:rsidR="00BE151F" w:rsidRPr="00466924" w:rsidRDefault="00BE151F" w:rsidP="002114A1">
            <w:pPr>
              <w:spacing w:before="0" w:after="0" w:line="240" w:lineRule="auto"/>
              <w:jc w:val="center"/>
              <w:rPr>
                <w:rFonts w:eastAsiaTheme="minorHAnsi" w:cs="Arial"/>
                <w:spacing w:val="-2"/>
                <w:sz w:val="16"/>
                <w:szCs w:val="16"/>
              </w:rPr>
            </w:pPr>
            <w:r w:rsidRPr="00466924">
              <w:rPr>
                <w:rFonts w:eastAsiaTheme="minorHAnsi" w:cs="Arial"/>
                <w:spacing w:val="-2"/>
                <w:sz w:val="16"/>
                <w:szCs w:val="16"/>
              </w:rPr>
              <w:t>Toulouse</w:t>
            </w:r>
          </w:p>
        </w:tc>
        <w:tc>
          <w:tcPr>
            <w:tcW w:w="1380" w:type="dxa"/>
            <w:shd w:val="clear" w:color="auto" w:fill="D9D9D9" w:themeFill="background1" w:themeFillShade="D9"/>
            <w:vAlign w:val="center"/>
          </w:tcPr>
          <w:p w14:paraId="40DCC66C"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Berlin</w:t>
            </w:r>
          </w:p>
        </w:tc>
        <w:tc>
          <w:tcPr>
            <w:tcW w:w="1379" w:type="dxa"/>
            <w:shd w:val="clear" w:color="auto" w:fill="D9D9D9" w:themeFill="background1" w:themeFillShade="D9"/>
            <w:vAlign w:val="center"/>
          </w:tcPr>
          <w:p w14:paraId="70B4F400"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Hackbridge</w:t>
            </w:r>
          </w:p>
        </w:tc>
        <w:tc>
          <w:tcPr>
            <w:tcW w:w="1380" w:type="dxa"/>
            <w:shd w:val="clear" w:color="auto" w:fill="D9D9D9" w:themeFill="background1" w:themeFillShade="D9"/>
            <w:vAlign w:val="center"/>
          </w:tcPr>
          <w:p w14:paraId="69018AE0"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Paris</w:t>
            </w:r>
          </w:p>
        </w:tc>
      </w:tr>
      <w:tr w:rsidR="00BE151F" w:rsidRPr="00466924" w14:paraId="63BC05C0" w14:textId="77777777" w:rsidTr="002114A1">
        <w:trPr>
          <w:trHeight w:val="190"/>
        </w:trPr>
        <w:tc>
          <w:tcPr>
            <w:tcW w:w="2727" w:type="dxa"/>
            <w:tcBorders>
              <w:top w:val="single" w:sz="4" w:space="0" w:color="auto"/>
            </w:tcBorders>
            <w:shd w:val="clear" w:color="auto" w:fill="D9D9D9" w:themeFill="background1" w:themeFillShade="D9"/>
            <w:vAlign w:val="center"/>
          </w:tcPr>
          <w:p w14:paraId="6C2FEE87" w14:textId="77777777" w:rsidR="00BE151F" w:rsidRPr="00466924" w:rsidRDefault="00BE151F" w:rsidP="002114A1">
            <w:pPr>
              <w:tabs>
                <w:tab w:val="left" w:pos="0"/>
              </w:tabs>
              <w:spacing w:before="0" w:after="0" w:line="240" w:lineRule="auto"/>
              <w:jc w:val="left"/>
              <w:rPr>
                <w:rFonts w:eastAsiaTheme="minorHAnsi" w:cs="Arial"/>
                <w:spacing w:val="-2"/>
                <w:sz w:val="16"/>
                <w:szCs w:val="16"/>
              </w:rPr>
            </w:pPr>
            <w:r w:rsidRPr="00466924">
              <w:rPr>
                <w:rFonts w:eastAsiaTheme="minorHAnsi" w:cs="Arial"/>
                <w:spacing w:val="-2"/>
                <w:sz w:val="16"/>
                <w:szCs w:val="16"/>
              </w:rPr>
              <w:t>Dimension of study area (km²)</w:t>
            </w:r>
          </w:p>
        </w:tc>
        <w:tc>
          <w:tcPr>
            <w:tcW w:w="1238" w:type="dxa"/>
            <w:vAlign w:val="center"/>
          </w:tcPr>
          <w:p w14:paraId="05DE95FA"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 0.03</w:t>
            </w:r>
          </w:p>
        </w:tc>
        <w:tc>
          <w:tcPr>
            <w:tcW w:w="1379" w:type="dxa"/>
            <w:vAlign w:val="center"/>
          </w:tcPr>
          <w:p w14:paraId="472C3EB5"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 0.03</w:t>
            </w:r>
          </w:p>
        </w:tc>
        <w:tc>
          <w:tcPr>
            <w:tcW w:w="1380" w:type="dxa"/>
            <w:vAlign w:val="center"/>
          </w:tcPr>
          <w:p w14:paraId="076E8A03"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 0.03</w:t>
            </w:r>
          </w:p>
        </w:tc>
        <w:tc>
          <w:tcPr>
            <w:tcW w:w="1379" w:type="dxa"/>
            <w:vAlign w:val="center"/>
          </w:tcPr>
          <w:p w14:paraId="36B149EA"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 1.7</w:t>
            </w:r>
          </w:p>
        </w:tc>
        <w:tc>
          <w:tcPr>
            <w:tcW w:w="1380" w:type="dxa"/>
            <w:vAlign w:val="center"/>
          </w:tcPr>
          <w:p w14:paraId="4A6D7205"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 105</w:t>
            </w:r>
          </w:p>
        </w:tc>
      </w:tr>
      <w:tr w:rsidR="00BE151F" w:rsidRPr="00466924" w14:paraId="6D7D85CB" w14:textId="77777777" w:rsidTr="002114A1">
        <w:trPr>
          <w:trHeight w:val="190"/>
        </w:trPr>
        <w:tc>
          <w:tcPr>
            <w:tcW w:w="2727" w:type="dxa"/>
            <w:shd w:val="clear" w:color="auto" w:fill="D9D9D9" w:themeFill="background1" w:themeFillShade="D9"/>
            <w:vAlign w:val="center"/>
          </w:tcPr>
          <w:p w14:paraId="3F359215"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Ground floor area (m²)</w:t>
            </w:r>
          </w:p>
        </w:tc>
        <w:tc>
          <w:tcPr>
            <w:tcW w:w="1238" w:type="dxa"/>
            <w:vAlign w:val="center"/>
          </w:tcPr>
          <w:p w14:paraId="053208B9"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89,663</w:t>
            </w:r>
          </w:p>
        </w:tc>
        <w:tc>
          <w:tcPr>
            <w:tcW w:w="1379" w:type="dxa"/>
            <w:vAlign w:val="center"/>
          </w:tcPr>
          <w:p w14:paraId="6B85538E"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64,368</w:t>
            </w:r>
          </w:p>
        </w:tc>
        <w:tc>
          <w:tcPr>
            <w:tcW w:w="1380" w:type="dxa"/>
            <w:vAlign w:val="center"/>
          </w:tcPr>
          <w:p w14:paraId="74E3712F"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55,978</w:t>
            </w:r>
          </w:p>
        </w:tc>
        <w:tc>
          <w:tcPr>
            <w:tcW w:w="1379" w:type="dxa"/>
            <w:vAlign w:val="center"/>
          </w:tcPr>
          <w:p w14:paraId="547A08FE"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91,778</w:t>
            </w:r>
          </w:p>
        </w:tc>
        <w:tc>
          <w:tcPr>
            <w:tcW w:w="1380" w:type="dxa"/>
            <w:vAlign w:val="center"/>
          </w:tcPr>
          <w:p w14:paraId="68B7C7EC"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67,000,000</w:t>
            </w:r>
          </w:p>
        </w:tc>
      </w:tr>
      <w:tr w:rsidR="00BE151F" w:rsidRPr="00466924" w14:paraId="49154ECE" w14:textId="77777777" w:rsidTr="002114A1">
        <w:trPr>
          <w:trHeight w:val="190"/>
        </w:trPr>
        <w:tc>
          <w:tcPr>
            <w:tcW w:w="2727" w:type="dxa"/>
            <w:shd w:val="clear" w:color="auto" w:fill="D9D9D9" w:themeFill="background1" w:themeFillShade="D9"/>
            <w:vAlign w:val="center"/>
          </w:tcPr>
          <w:p w14:paraId="0382AD84"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Un-built Area (m²)</w:t>
            </w:r>
          </w:p>
        </w:tc>
        <w:tc>
          <w:tcPr>
            <w:tcW w:w="1238" w:type="dxa"/>
            <w:vAlign w:val="center"/>
          </w:tcPr>
          <w:p w14:paraId="474762AA"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70,377</w:t>
            </w:r>
          </w:p>
        </w:tc>
        <w:tc>
          <w:tcPr>
            <w:tcW w:w="1379" w:type="dxa"/>
            <w:vAlign w:val="center"/>
          </w:tcPr>
          <w:p w14:paraId="18A0F910"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95,632</w:t>
            </w:r>
          </w:p>
        </w:tc>
        <w:tc>
          <w:tcPr>
            <w:tcW w:w="1380" w:type="dxa"/>
            <w:vAlign w:val="center"/>
          </w:tcPr>
          <w:p w14:paraId="727FA477"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104 022</w:t>
            </w:r>
          </w:p>
        </w:tc>
        <w:tc>
          <w:tcPr>
            <w:tcW w:w="1379" w:type="dxa"/>
            <w:vAlign w:val="center"/>
          </w:tcPr>
          <w:p w14:paraId="25D55847"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481,803</w:t>
            </w:r>
          </w:p>
        </w:tc>
        <w:tc>
          <w:tcPr>
            <w:tcW w:w="1380" w:type="dxa"/>
            <w:vAlign w:val="center"/>
          </w:tcPr>
          <w:p w14:paraId="04A856C4"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38,000,000</w:t>
            </w:r>
          </w:p>
        </w:tc>
      </w:tr>
      <w:tr w:rsidR="00BE151F" w:rsidRPr="00466924" w14:paraId="4D107A79" w14:textId="77777777" w:rsidTr="002114A1">
        <w:trPr>
          <w:trHeight w:val="190"/>
        </w:trPr>
        <w:tc>
          <w:tcPr>
            <w:tcW w:w="2727" w:type="dxa"/>
            <w:shd w:val="clear" w:color="auto" w:fill="D9D9D9" w:themeFill="background1" w:themeFillShade="D9"/>
            <w:vAlign w:val="center"/>
          </w:tcPr>
          <w:p w14:paraId="517D181D"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Built volume (m³)</w:t>
            </w:r>
          </w:p>
        </w:tc>
        <w:tc>
          <w:tcPr>
            <w:tcW w:w="1238" w:type="dxa"/>
            <w:vAlign w:val="center"/>
          </w:tcPr>
          <w:p w14:paraId="47130439"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1,221,499</w:t>
            </w:r>
          </w:p>
        </w:tc>
        <w:tc>
          <w:tcPr>
            <w:tcW w:w="1379" w:type="dxa"/>
            <w:vAlign w:val="center"/>
          </w:tcPr>
          <w:p w14:paraId="3F95E9EE"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966,768</w:t>
            </w:r>
          </w:p>
        </w:tc>
        <w:tc>
          <w:tcPr>
            <w:tcW w:w="1380" w:type="dxa"/>
            <w:vAlign w:val="center"/>
          </w:tcPr>
          <w:p w14:paraId="753C2686"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1,042,199</w:t>
            </w:r>
          </w:p>
        </w:tc>
        <w:tc>
          <w:tcPr>
            <w:tcW w:w="1379" w:type="dxa"/>
            <w:vAlign w:val="center"/>
          </w:tcPr>
          <w:p w14:paraId="1F9EE56F"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616,839</w:t>
            </w:r>
          </w:p>
        </w:tc>
        <w:tc>
          <w:tcPr>
            <w:tcW w:w="1380" w:type="dxa"/>
            <w:vAlign w:val="center"/>
          </w:tcPr>
          <w:p w14:paraId="2DD48574"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580,000,000</w:t>
            </w:r>
          </w:p>
        </w:tc>
      </w:tr>
      <w:tr w:rsidR="00BE151F" w:rsidRPr="00466924" w14:paraId="0C303ADD" w14:textId="77777777" w:rsidTr="002114A1">
        <w:trPr>
          <w:trHeight w:val="190"/>
        </w:trPr>
        <w:tc>
          <w:tcPr>
            <w:tcW w:w="2727" w:type="dxa"/>
            <w:shd w:val="clear" w:color="auto" w:fill="D9D9D9" w:themeFill="background1" w:themeFillShade="D9"/>
            <w:vAlign w:val="center"/>
          </w:tcPr>
          <w:p w14:paraId="0C374ACD"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Vertical surface (m²)</w:t>
            </w:r>
          </w:p>
        </w:tc>
        <w:tc>
          <w:tcPr>
            <w:tcW w:w="1238" w:type="dxa"/>
            <w:vAlign w:val="center"/>
          </w:tcPr>
          <w:p w14:paraId="403D61F4"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174,757</w:t>
            </w:r>
          </w:p>
        </w:tc>
        <w:tc>
          <w:tcPr>
            <w:tcW w:w="1379" w:type="dxa"/>
            <w:vAlign w:val="center"/>
          </w:tcPr>
          <w:p w14:paraId="0DE3B26C"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174,888</w:t>
            </w:r>
          </w:p>
        </w:tc>
        <w:tc>
          <w:tcPr>
            <w:tcW w:w="1380" w:type="dxa"/>
            <w:vAlign w:val="center"/>
          </w:tcPr>
          <w:p w14:paraId="73409879"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119,698</w:t>
            </w:r>
          </w:p>
        </w:tc>
        <w:tc>
          <w:tcPr>
            <w:tcW w:w="1379" w:type="dxa"/>
            <w:vAlign w:val="center"/>
          </w:tcPr>
          <w:p w14:paraId="10263F7D"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209,411</w:t>
            </w:r>
          </w:p>
        </w:tc>
        <w:tc>
          <w:tcPr>
            <w:tcW w:w="1380" w:type="dxa"/>
            <w:vAlign w:val="center"/>
          </w:tcPr>
          <w:p w14:paraId="265E56AF" w14:textId="77777777" w:rsidR="00BE151F" w:rsidRPr="00466924" w:rsidRDefault="00BE151F" w:rsidP="002114A1">
            <w:pPr>
              <w:spacing w:before="0" w:after="0" w:line="240" w:lineRule="auto"/>
              <w:jc w:val="center"/>
              <w:rPr>
                <w:rFonts w:eastAsiaTheme="minorHAnsi" w:cs="Arial"/>
                <w:sz w:val="16"/>
                <w:szCs w:val="16"/>
              </w:rPr>
            </w:pPr>
          </w:p>
        </w:tc>
      </w:tr>
      <w:tr w:rsidR="00BE151F" w:rsidRPr="00466924" w14:paraId="30983F40" w14:textId="77777777" w:rsidTr="002114A1">
        <w:trPr>
          <w:trHeight w:val="190"/>
        </w:trPr>
        <w:tc>
          <w:tcPr>
            <w:tcW w:w="2727" w:type="dxa"/>
            <w:shd w:val="clear" w:color="auto" w:fill="D9D9D9" w:themeFill="background1" w:themeFillShade="D9"/>
            <w:vAlign w:val="center"/>
          </w:tcPr>
          <w:p w14:paraId="314EE81C"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STVR</w:t>
            </w:r>
          </w:p>
        </w:tc>
        <w:tc>
          <w:tcPr>
            <w:tcW w:w="1238" w:type="dxa"/>
            <w:vAlign w:val="center"/>
          </w:tcPr>
          <w:p w14:paraId="3B2B3A03"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0.216</w:t>
            </w:r>
          </w:p>
        </w:tc>
        <w:tc>
          <w:tcPr>
            <w:tcW w:w="1379" w:type="dxa"/>
            <w:vAlign w:val="center"/>
          </w:tcPr>
          <w:p w14:paraId="045D55A4"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0.248</w:t>
            </w:r>
          </w:p>
        </w:tc>
        <w:tc>
          <w:tcPr>
            <w:tcW w:w="1380" w:type="dxa"/>
            <w:vAlign w:val="center"/>
          </w:tcPr>
          <w:p w14:paraId="0BAB322C"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0.169</w:t>
            </w:r>
          </w:p>
        </w:tc>
        <w:tc>
          <w:tcPr>
            <w:tcW w:w="1379" w:type="dxa"/>
            <w:vAlign w:val="center"/>
          </w:tcPr>
          <w:p w14:paraId="41B0814D"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0.488</w:t>
            </w:r>
          </w:p>
        </w:tc>
        <w:tc>
          <w:tcPr>
            <w:tcW w:w="1380" w:type="dxa"/>
            <w:vAlign w:val="center"/>
          </w:tcPr>
          <w:p w14:paraId="2B5D2D1B" w14:textId="77777777" w:rsidR="00BE151F" w:rsidRPr="00466924" w:rsidRDefault="00BE151F" w:rsidP="002114A1">
            <w:pPr>
              <w:spacing w:before="0" w:after="0" w:line="240" w:lineRule="auto"/>
              <w:jc w:val="center"/>
              <w:rPr>
                <w:rFonts w:eastAsiaTheme="minorHAnsi" w:cs="Arial"/>
                <w:sz w:val="16"/>
                <w:szCs w:val="16"/>
              </w:rPr>
            </w:pPr>
          </w:p>
        </w:tc>
      </w:tr>
      <w:tr w:rsidR="00BE151F" w:rsidRPr="00466924" w14:paraId="1345B227" w14:textId="77777777" w:rsidTr="002114A1">
        <w:trPr>
          <w:trHeight w:val="190"/>
        </w:trPr>
        <w:tc>
          <w:tcPr>
            <w:tcW w:w="2727" w:type="dxa"/>
            <w:shd w:val="clear" w:color="auto" w:fill="D9D9D9" w:themeFill="background1" w:themeFillShade="D9"/>
            <w:vAlign w:val="center"/>
          </w:tcPr>
          <w:p w14:paraId="5BBF36F1"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PVTVR (%)</w:t>
            </w:r>
          </w:p>
        </w:tc>
        <w:tc>
          <w:tcPr>
            <w:tcW w:w="1238" w:type="dxa"/>
            <w:vAlign w:val="center"/>
          </w:tcPr>
          <w:p w14:paraId="51AB9A56"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77</w:t>
            </w:r>
          </w:p>
        </w:tc>
        <w:tc>
          <w:tcPr>
            <w:tcW w:w="1379" w:type="dxa"/>
            <w:vAlign w:val="center"/>
          </w:tcPr>
          <w:p w14:paraId="3F4CA677"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84</w:t>
            </w:r>
          </w:p>
        </w:tc>
        <w:tc>
          <w:tcPr>
            <w:tcW w:w="1380" w:type="dxa"/>
            <w:vAlign w:val="center"/>
          </w:tcPr>
          <w:p w14:paraId="7A9AF92C"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61</w:t>
            </w:r>
          </w:p>
        </w:tc>
        <w:tc>
          <w:tcPr>
            <w:tcW w:w="1379" w:type="dxa"/>
            <w:vAlign w:val="center"/>
          </w:tcPr>
          <w:p w14:paraId="2655F3F0"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99</w:t>
            </w:r>
          </w:p>
        </w:tc>
        <w:tc>
          <w:tcPr>
            <w:tcW w:w="1380" w:type="dxa"/>
            <w:vAlign w:val="center"/>
          </w:tcPr>
          <w:p w14:paraId="4A7C07D7"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82</w:t>
            </w:r>
          </w:p>
        </w:tc>
      </w:tr>
      <w:tr w:rsidR="00BE151F" w:rsidRPr="00466924" w14:paraId="7BF89838" w14:textId="77777777" w:rsidTr="002114A1">
        <w:trPr>
          <w:trHeight w:val="190"/>
        </w:trPr>
        <w:tc>
          <w:tcPr>
            <w:tcW w:w="2727" w:type="dxa"/>
            <w:shd w:val="clear" w:color="auto" w:fill="D9D9D9" w:themeFill="background1" w:themeFillShade="D9"/>
            <w:vAlign w:val="center"/>
          </w:tcPr>
          <w:p w14:paraId="73D03CFC"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Un-built area ratio</w:t>
            </w:r>
          </w:p>
        </w:tc>
        <w:tc>
          <w:tcPr>
            <w:tcW w:w="1238" w:type="dxa"/>
            <w:vAlign w:val="center"/>
          </w:tcPr>
          <w:p w14:paraId="16C07FF1"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0.785</w:t>
            </w:r>
          </w:p>
        </w:tc>
        <w:tc>
          <w:tcPr>
            <w:tcW w:w="1379" w:type="dxa"/>
            <w:vAlign w:val="center"/>
          </w:tcPr>
          <w:p w14:paraId="71F905B5"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1.486</w:t>
            </w:r>
          </w:p>
        </w:tc>
        <w:tc>
          <w:tcPr>
            <w:tcW w:w="1380" w:type="dxa"/>
            <w:vAlign w:val="center"/>
          </w:tcPr>
          <w:p w14:paraId="795CE3B1"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1.858</w:t>
            </w:r>
          </w:p>
        </w:tc>
        <w:tc>
          <w:tcPr>
            <w:tcW w:w="1379" w:type="dxa"/>
            <w:vAlign w:val="center"/>
          </w:tcPr>
          <w:p w14:paraId="7B97EFB7"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5.250</w:t>
            </w:r>
          </w:p>
        </w:tc>
        <w:tc>
          <w:tcPr>
            <w:tcW w:w="1380" w:type="dxa"/>
            <w:vAlign w:val="center"/>
          </w:tcPr>
          <w:p w14:paraId="0ED42769"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0.567</w:t>
            </w:r>
          </w:p>
        </w:tc>
      </w:tr>
      <w:tr w:rsidR="00BE151F" w:rsidRPr="00466924" w14:paraId="20AC1F7C" w14:textId="77777777" w:rsidTr="002114A1">
        <w:trPr>
          <w:trHeight w:val="190"/>
        </w:trPr>
        <w:tc>
          <w:tcPr>
            <w:tcW w:w="2727" w:type="dxa"/>
            <w:shd w:val="clear" w:color="auto" w:fill="D9D9D9" w:themeFill="background1" w:themeFillShade="D9"/>
            <w:vAlign w:val="center"/>
          </w:tcPr>
          <w:p w14:paraId="0AF49B93"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Energy consumption (</w:t>
            </w:r>
            <w:r w:rsidRPr="00466924">
              <w:rPr>
                <w:rFonts w:eastAsiaTheme="minorHAnsi" w:cs="Arial"/>
                <w:spacing w:val="-4"/>
                <w:sz w:val="16"/>
                <w:szCs w:val="16"/>
              </w:rPr>
              <w:t>kWh/m²/year)</w:t>
            </w:r>
          </w:p>
        </w:tc>
        <w:tc>
          <w:tcPr>
            <w:tcW w:w="1238" w:type="dxa"/>
            <w:vAlign w:val="center"/>
          </w:tcPr>
          <w:p w14:paraId="65011A5C" w14:textId="77777777" w:rsidR="00BE151F" w:rsidRPr="00466924" w:rsidRDefault="00BE151F" w:rsidP="002114A1">
            <w:pPr>
              <w:spacing w:before="0" w:after="0" w:line="240" w:lineRule="auto"/>
              <w:jc w:val="center"/>
              <w:rPr>
                <w:rFonts w:eastAsiaTheme="minorHAnsi" w:cs="Arial"/>
                <w:sz w:val="16"/>
                <w:szCs w:val="16"/>
              </w:rPr>
            </w:pPr>
          </w:p>
        </w:tc>
        <w:tc>
          <w:tcPr>
            <w:tcW w:w="1379" w:type="dxa"/>
            <w:vAlign w:val="center"/>
          </w:tcPr>
          <w:p w14:paraId="765D31F5" w14:textId="77777777" w:rsidR="00BE151F" w:rsidRPr="00466924" w:rsidRDefault="00BE151F" w:rsidP="002114A1">
            <w:pPr>
              <w:spacing w:before="0" w:after="0" w:line="240" w:lineRule="auto"/>
              <w:jc w:val="center"/>
              <w:rPr>
                <w:rFonts w:eastAsiaTheme="minorHAnsi" w:cs="Arial"/>
                <w:sz w:val="16"/>
                <w:szCs w:val="16"/>
              </w:rPr>
            </w:pPr>
          </w:p>
        </w:tc>
        <w:tc>
          <w:tcPr>
            <w:tcW w:w="1380" w:type="dxa"/>
            <w:vAlign w:val="center"/>
          </w:tcPr>
          <w:p w14:paraId="70526B7A" w14:textId="77777777" w:rsidR="00BE151F" w:rsidRPr="00466924" w:rsidRDefault="00BE151F" w:rsidP="002114A1">
            <w:pPr>
              <w:spacing w:before="0" w:after="0" w:line="240" w:lineRule="auto"/>
              <w:jc w:val="center"/>
              <w:rPr>
                <w:rFonts w:eastAsiaTheme="minorHAnsi" w:cs="Arial"/>
                <w:sz w:val="16"/>
                <w:szCs w:val="16"/>
              </w:rPr>
            </w:pPr>
          </w:p>
        </w:tc>
        <w:tc>
          <w:tcPr>
            <w:tcW w:w="1379" w:type="dxa"/>
            <w:vAlign w:val="center"/>
          </w:tcPr>
          <w:p w14:paraId="24F221AE"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539</w:t>
            </w:r>
          </w:p>
        </w:tc>
        <w:tc>
          <w:tcPr>
            <w:tcW w:w="1380" w:type="dxa"/>
            <w:vAlign w:val="center"/>
          </w:tcPr>
          <w:p w14:paraId="7802DB83"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247</w:t>
            </w:r>
          </w:p>
        </w:tc>
      </w:tr>
      <w:tr w:rsidR="00BE151F" w:rsidRPr="00466924" w14:paraId="5BC61A19" w14:textId="77777777" w:rsidTr="002114A1">
        <w:trPr>
          <w:trHeight w:val="190"/>
        </w:trPr>
        <w:tc>
          <w:tcPr>
            <w:tcW w:w="2727" w:type="dxa"/>
            <w:shd w:val="clear" w:color="auto" w:fill="D9D9D9" w:themeFill="background1" w:themeFillShade="D9"/>
            <w:vAlign w:val="center"/>
          </w:tcPr>
          <w:p w14:paraId="0640AB4C" w14:textId="77777777" w:rsidR="00BE151F" w:rsidRPr="00466924" w:rsidRDefault="00BE151F" w:rsidP="002114A1">
            <w:pPr>
              <w:spacing w:before="0" w:after="0" w:line="240" w:lineRule="auto"/>
              <w:jc w:val="left"/>
              <w:rPr>
                <w:rFonts w:eastAsiaTheme="minorHAnsi" w:cs="Arial"/>
                <w:spacing w:val="-2"/>
                <w:sz w:val="16"/>
                <w:szCs w:val="16"/>
              </w:rPr>
            </w:pPr>
            <w:r w:rsidRPr="00466924">
              <w:rPr>
                <w:rFonts w:eastAsiaTheme="minorHAnsi" w:cs="Arial"/>
                <w:spacing w:val="-2"/>
                <w:sz w:val="16"/>
                <w:szCs w:val="16"/>
              </w:rPr>
              <w:t>CO</w:t>
            </w:r>
            <w:r w:rsidRPr="00466924">
              <w:rPr>
                <w:rFonts w:eastAsiaTheme="minorHAnsi" w:cs="Arial"/>
                <w:spacing w:val="-2"/>
                <w:sz w:val="16"/>
                <w:szCs w:val="16"/>
                <w:vertAlign w:val="subscript"/>
              </w:rPr>
              <w:t>2</w:t>
            </w:r>
            <w:r w:rsidRPr="00466924">
              <w:rPr>
                <w:rFonts w:eastAsiaTheme="minorHAnsi" w:cs="Arial"/>
                <w:spacing w:val="-2"/>
                <w:sz w:val="16"/>
                <w:szCs w:val="16"/>
              </w:rPr>
              <w:t xml:space="preserve"> emission (kg per capita)</w:t>
            </w:r>
          </w:p>
        </w:tc>
        <w:tc>
          <w:tcPr>
            <w:tcW w:w="1238" w:type="dxa"/>
            <w:vAlign w:val="center"/>
          </w:tcPr>
          <w:p w14:paraId="79F82E84" w14:textId="77777777" w:rsidR="00BE151F" w:rsidRPr="00466924" w:rsidRDefault="00BE151F" w:rsidP="002114A1">
            <w:pPr>
              <w:spacing w:before="0" w:after="0" w:line="240" w:lineRule="auto"/>
              <w:jc w:val="center"/>
              <w:rPr>
                <w:rFonts w:eastAsiaTheme="minorHAnsi" w:cs="Arial"/>
                <w:sz w:val="16"/>
                <w:szCs w:val="16"/>
              </w:rPr>
            </w:pPr>
          </w:p>
        </w:tc>
        <w:tc>
          <w:tcPr>
            <w:tcW w:w="1379" w:type="dxa"/>
            <w:vAlign w:val="center"/>
          </w:tcPr>
          <w:p w14:paraId="411D68BA" w14:textId="77777777" w:rsidR="00BE151F" w:rsidRPr="00466924" w:rsidRDefault="00BE151F" w:rsidP="002114A1">
            <w:pPr>
              <w:spacing w:before="0" w:after="0" w:line="240" w:lineRule="auto"/>
              <w:jc w:val="center"/>
              <w:rPr>
                <w:rFonts w:eastAsiaTheme="minorHAnsi" w:cs="Arial"/>
                <w:sz w:val="16"/>
                <w:szCs w:val="16"/>
              </w:rPr>
            </w:pPr>
          </w:p>
        </w:tc>
        <w:tc>
          <w:tcPr>
            <w:tcW w:w="1380" w:type="dxa"/>
            <w:vAlign w:val="center"/>
          </w:tcPr>
          <w:p w14:paraId="20477B44" w14:textId="77777777" w:rsidR="00BE151F" w:rsidRPr="00466924" w:rsidRDefault="00BE151F" w:rsidP="002114A1">
            <w:pPr>
              <w:spacing w:before="0" w:after="0" w:line="240" w:lineRule="auto"/>
              <w:jc w:val="center"/>
              <w:rPr>
                <w:rFonts w:eastAsiaTheme="minorHAnsi" w:cs="Arial"/>
                <w:sz w:val="16"/>
                <w:szCs w:val="16"/>
              </w:rPr>
            </w:pPr>
          </w:p>
        </w:tc>
        <w:tc>
          <w:tcPr>
            <w:tcW w:w="1379" w:type="dxa"/>
            <w:vAlign w:val="center"/>
          </w:tcPr>
          <w:p w14:paraId="7150B56B"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2.796</w:t>
            </w:r>
          </w:p>
        </w:tc>
        <w:tc>
          <w:tcPr>
            <w:tcW w:w="1380" w:type="dxa"/>
            <w:vAlign w:val="center"/>
          </w:tcPr>
          <w:p w14:paraId="404CC248" w14:textId="77777777" w:rsidR="00BE151F" w:rsidRPr="00466924" w:rsidRDefault="00BE151F" w:rsidP="002114A1">
            <w:pPr>
              <w:spacing w:before="0" w:after="0" w:line="240" w:lineRule="auto"/>
              <w:jc w:val="center"/>
              <w:rPr>
                <w:rFonts w:eastAsiaTheme="minorHAnsi" w:cs="Arial"/>
                <w:sz w:val="16"/>
                <w:szCs w:val="16"/>
              </w:rPr>
            </w:pPr>
            <w:r w:rsidRPr="00466924">
              <w:rPr>
                <w:rFonts w:eastAsiaTheme="minorHAnsi" w:cs="Arial"/>
                <w:sz w:val="16"/>
                <w:szCs w:val="16"/>
              </w:rPr>
              <w:t>0.338</w:t>
            </w:r>
          </w:p>
        </w:tc>
      </w:tr>
    </w:tbl>
    <w:p w14:paraId="59E41808" w14:textId="77777777" w:rsidR="002760A1" w:rsidRDefault="00D96D7C" w:rsidP="00E37D5A">
      <w:pPr>
        <w:spacing w:before="0" w:after="0" w:line="240" w:lineRule="auto"/>
        <w:jc w:val="left"/>
        <w:rPr>
          <w:i/>
        </w:rPr>
      </w:pPr>
      <w:r w:rsidRPr="00466924">
        <w:rPr>
          <w:i/>
        </w:rPr>
        <w:t>Table 4</w:t>
      </w:r>
      <w:r w:rsidR="000B1AFB" w:rsidRPr="00466924">
        <w:rPr>
          <w:i/>
        </w:rPr>
        <w:t>.</w:t>
      </w:r>
      <w:r w:rsidR="00BE151F" w:rsidRPr="00466924">
        <w:rPr>
          <w:i/>
        </w:rPr>
        <w:t xml:space="preserve"> STVR and PVTVR ratios for measuring consumption and emissi</w:t>
      </w:r>
      <w:r w:rsidR="00855D82" w:rsidRPr="00466924">
        <w:rPr>
          <w:i/>
        </w:rPr>
        <w:t>ons. Source: Deakin et al.</w:t>
      </w:r>
      <w:r w:rsidR="001579BA" w:rsidRPr="00466924">
        <w:rPr>
          <w:i/>
        </w:rPr>
        <w:t xml:space="preserve"> (</w:t>
      </w:r>
      <w:r w:rsidR="00BE151F" w:rsidRPr="00466924">
        <w:rPr>
          <w:i/>
        </w:rPr>
        <w:t>201</w:t>
      </w:r>
      <w:r w:rsidR="00597603" w:rsidRPr="00466924">
        <w:rPr>
          <w:i/>
        </w:rPr>
        <w:t>4</w:t>
      </w:r>
      <w:r w:rsidR="001579BA" w:rsidRPr="00466924">
        <w:rPr>
          <w:i/>
        </w:rPr>
        <w:t>).</w:t>
      </w:r>
    </w:p>
    <w:p w14:paraId="1E7ADAC7" w14:textId="77777777" w:rsidR="002760A1" w:rsidRPr="00466924" w:rsidRDefault="002760A1" w:rsidP="00E37D5A">
      <w:pPr>
        <w:spacing w:before="0" w:after="0" w:line="240" w:lineRule="auto"/>
        <w:jc w:val="left"/>
        <w:rPr>
          <w:i/>
        </w:rPr>
      </w:pPr>
    </w:p>
    <w:tbl>
      <w:tblPr>
        <w:tblW w:w="9562" w:type="dxa"/>
        <w:tblInd w:w="72" w:type="dxa"/>
        <w:tblLayout w:type="fixed"/>
        <w:tblCellMar>
          <w:left w:w="29" w:type="dxa"/>
          <w:right w:w="29" w:type="dxa"/>
        </w:tblCellMar>
        <w:tblLook w:val="04A0" w:firstRow="1" w:lastRow="0" w:firstColumn="1" w:lastColumn="0" w:noHBand="0" w:noVBand="1"/>
      </w:tblPr>
      <w:tblGrid>
        <w:gridCol w:w="2905"/>
        <w:gridCol w:w="1109"/>
        <w:gridCol w:w="1110"/>
        <w:gridCol w:w="1109"/>
        <w:gridCol w:w="1110"/>
        <w:gridCol w:w="1109"/>
        <w:gridCol w:w="1110"/>
      </w:tblGrid>
      <w:tr w:rsidR="00E75ECF" w:rsidRPr="00466924" w14:paraId="3158911C" w14:textId="77777777" w:rsidTr="002114A1">
        <w:trPr>
          <w:trHeight w:val="109"/>
        </w:trPr>
        <w:tc>
          <w:tcPr>
            <w:tcW w:w="2905" w:type="dxa"/>
            <w:tcBorders>
              <w:bottom w:val="single" w:sz="4" w:space="0" w:color="auto"/>
              <w:right w:val="single" w:sz="4" w:space="0" w:color="auto"/>
            </w:tcBorders>
            <w:shd w:val="clear" w:color="auto" w:fill="auto"/>
          </w:tcPr>
          <w:p w14:paraId="6A27BF09" w14:textId="77777777" w:rsidR="00E75ECF" w:rsidRPr="00466924" w:rsidRDefault="00E75ECF" w:rsidP="00E37D5A">
            <w:pPr>
              <w:spacing w:before="0" w:after="0" w:line="240" w:lineRule="auto"/>
              <w:jc w:val="left"/>
              <w:rPr>
                <w:rFonts w:eastAsiaTheme="minorHAnsi" w:cs="Arial"/>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8A5B2" w14:textId="77777777" w:rsidR="00E75ECF" w:rsidRPr="00466924" w:rsidRDefault="00E75ECF" w:rsidP="002114A1">
            <w:pPr>
              <w:spacing w:before="0" w:after="0" w:line="240" w:lineRule="auto"/>
              <w:jc w:val="center"/>
              <w:rPr>
                <w:rFonts w:eastAsiaTheme="minorHAnsi" w:cs="Arial"/>
                <w:b/>
                <w:spacing w:val="-4"/>
                <w:sz w:val="16"/>
                <w:szCs w:val="16"/>
              </w:rPr>
            </w:pPr>
            <w:r w:rsidRPr="00466924">
              <w:rPr>
                <w:rFonts w:eastAsiaTheme="minorHAnsi" w:cs="Arial"/>
                <w:b/>
                <w:spacing w:val="-4"/>
                <w:sz w:val="16"/>
                <w:szCs w:val="16"/>
              </w:rPr>
              <w:t>LSOA 1</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966F2" w14:textId="77777777" w:rsidR="00E75ECF" w:rsidRPr="00466924" w:rsidRDefault="00E75ECF" w:rsidP="002114A1">
            <w:pPr>
              <w:spacing w:before="0" w:after="0" w:line="240" w:lineRule="auto"/>
              <w:jc w:val="center"/>
              <w:rPr>
                <w:rFonts w:eastAsiaTheme="minorHAnsi" w:cs="Arial"/>
                <w:b/>
                <w:spacing w:val="-4"/>
                <w:sz w:val="16"/>
                <w:szCs w:val="16"/>
              </w:rPr>
            </w:pPr>
            <w:r w:rsidRPr="00466924">
              <w:rPr>
                <w:rFonts w:eastAsiaTheme="minorHAnsi" w:cs="Arial"/>
                <w:b/>
                <w:spacing w:val="-4"/>
                <w:sz w:val="16"/>
                <w:szCs w:val="16"/>
              </w:rPr>
              <w:t>LSOA 2</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F1E1D" w14:textId="77777777" w:rsidR="00E75ECF" w:rsidRPr="00466924" w:rsidRDefault="00E75ECF" w:rsidP="002114A1">
            <w:pPr>
              <w:spacing w:before="0" w:after="0" w:line="240" w:lineRule="auto"/>
              <w:jc w:val="center"/>
              <w:rPr>
                <w:rFonts w:eastAsiaTheme="minorHAnsi" w:cs="Arial"/>
                <w:b/>
                <w:spacing w:val="-4"/>
                <w:sz w:val="16"/>
                <w:szCs w:val="16"/>
              </w:rPr>
            </w:pPr>
            <w:r w:rsidRPr="00466924">
              <w:rPr>
                <w:rFonts w:eastAsiaTheme="minorHAnsi" w:cs="Arial"/>
                <w:b/>
                <w:spacing w:val="-4"/>
                <w:sz w:val="16"/>
                <w:szCs w:val="16"/>
              </w:rPr>
              <w:t>LSOA 3</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33453" w14:textId="77777777" w:rsidR="00E75ECF" w:rsidRPr="00466924" w:rsidRDefault="00E75ECF" w:rsidP="002114A1">
            <w:pPr>
              <w:spacing w:before="0" w:after="0" w:line="240" w:lineRule="auto"/>
              <w:jc w:val="center"/>
              <w:rPr>
                <w:rFonts w:eastAsiaTheme="minorHAnsi" w:cs="Arial"/>
                <w:b/>
                <w:spacing w:val="-4"/>
                <w:sz w:val="16"/>
                <w:szCs w:val="16"/>
              </w:rPr>
            </w:pPr>
            <w:r w:rsidRPr="00466924">
              <w:rPr>
                <w:rFonts w:eastAsiaTheme="minorHAnsi" w:cs="Arial"/>
                <w:b/>
                <w:spacing w:val="-4"/>
                <w:sz w:val="16"/>
                <w:szCs w:val="16"/>
              </w:rPr>
              <w:t>LSOA 4</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B1C4F" w14:textId="77777777" w:rsidR="00E75ECF" w:rsidRPr="00466924" w:rsidRDefault="00E75ECF" w:rsidP="002114A1">
            <w:pPr>
              <w:spacing w:before="0" w:after="0" w:line="240" w:lineRule="auto"/>
              <w:jc w:val="center"/>
              <w:rPr>
                <w:rFonts w:eastAsiaTheme="minorHAnsi" w:cs="Arial"/>
                <w:b/>
                <w:spacing w:val="-4"/>
                <w:sz w:val="16"/>
                <w:szCs w:val="16"/>
              </w:rPr>
            </w:pPr>
            <w:r w:rsidRPr="00466924">
              <w:rPr>
                <w:rFonts w:eastAsiaTheme="minorHAnsi" w:cs="Arial"/>
                <w:b/>
                <w:spacing w:val="-4"/>
                <w:sz w:val="16"/>
                <w:szCs w:val="16"/>
              </w:rPr>
              <w:t>LSOA 5</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9D977" w14:textId="77777777" w:rsidR="00E75ECF" w:rsidRPr="00466924" w:rsidRDefault="00E75ECF" w:rsidP="002114A1">
            <w:pPr>
              <w:spacing w:before="0" w:after="0" w:line="240" w:lineRule="auto"/>
              <w:jc w:val="center"/>
              <w:rPr>
                <w:rFonts w:eastAsiaTheme="minorHAnsi" w:cs="Arial"/>
                <w:b/>
                <w:sz w:val="16"/>
                <w:szCs w:val="16"/>
              </w:rPr>
            </w:pPr>
            <w:r w:rsidRPr="00466924">
              <w:rPr>
                <w:rFonts w:eastAsiaTheme="minorHAnsi" w:cs="Arial"/>
                <w:b/>
                <w:sz w:val="16"/>
                <w:szCs w:val="16"/>
              </w:rPr>
              <w:t>Total</w:t>
            </w:r>
          </w:p>
        </w:tc>
      </w:tr>
      <w:tr w:rsidR="00E75ECF" w:rsidRPr="00466924" w14:paraId="4D8B3491" w14:textId="77777777" w:rsidTr="002114A1">
        <w:trPr>
          <w:trHeight w:val="197"/>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3A1B6"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Energy consumption total (kWh/p.a.)</w:t>
            </w:r>
          </w:p>
        </w:tc>
        <w:tc>
          <w:tcPr>
            <w:tcW w:w="1109" w:type="dxa"/>
            <w:tcBorders>
              <w:top w:val="single" w:sz="4" w:space="0" w:color="auto"/>
              <w:left w:val="single" w:sz="4" w:space="0" w:color="auto"/>
              <w:bottom w:val="single" w:sz="4" w:space="0" w:color="auto"/>
              <w:right w:val="single" w:sz="4" w:space="0" w:color="auto"/>
            </w:tcBorders>
            <w:vAlign w:val="center"/>
          </w:tcPr>
          <w:p w14:paraId="451F81F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6,733,319</w:t>
            </w:r>
          </w:p>
        </w:tc>
        <w:tc>
          <w:tcPr>
            <w:tcW w:w="1110" w:type="dxa"/>
            <w:tcBorders>
              <w:top w:val="single" w:sz="4" w:space="0" w:color="auto"/>
              <w:left w:val="single" w:sz="4" w:space="0" w:color="auto"/>
              <w:bottom w:val="single" w:sz="4" w:space="0" w:color="auto"/>
              <w:right w:val="single" w:sz="4" w:space="0" w:color="auto"/>
            </w:tcBorders>
            <w:vAlign w:val="center"/>
          </w:tcPr>
          <w:p w14:paraId="64CA633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14,644,009</w:t>
            </w:r>
          </w:p>
        </w:tc>
        <w:tc>
          <w:tcPr>
            <w:tcW w:w="1109" w:type="dxa"/>
            <w:tcBorders>
              <w:top w:val="single" w:sz="4" w:space="0" w:color="auto"/>
              <w:left w:val="single" w:sz="4" w:space="0" w:color="auto"/>
              <w:bottom w:val="single" w:sz="4" w:space="0" w:color="auto"/>
              <w:right w:val="single" w:sz="4" w:space="0" w:color="auto"/>
            </w:tcBorders>
            <w:vAlign w:val="center"/>
          </w:tcPr>
          <w:p w14:paraId="434DC199"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5,576,413</w:t>
            </w:r>
          </w:p>
        </w:tc>
        <w:tc>
          <w:tcPr>
            <w:tcW w:w="1110" w:type="dxa"/>
            <w:tcBorders>
              <w:top w:val="single" w:sz="4" w:space="0" w:color="auto"/>
              <w:left w:val="single" w:sz="4" w:space="0" w:color="auto"/>
              <w:bottom w:val="single" w:sz="4" w:space="0" w:color="auto"/>
              <w:right w:val="single" w:sz="4" w:space="0" w:color="auto"/>
            </w:tcBorders>
            <w:vAlign w:val="center"/>
          </w:tcPr>
          <w:p w14:paraId="1908EB64"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13,140,448</w:t>
            </w:r>
          </w:p>
        </w:tc>
        <w:tc>
          <w:tcPr>
            <w:tcW w:w="1109" w:type="dxa"/>
            <w:tcBorders>
              <w:top w:val="single" w:sz="4" w:space="0" w:color="auto"/>
              <w:left w:val="single" w:sz="4" w:space="0" w:color="auto"/>
              <w:bottom w:val="single" w:sz="4" w:space="0" w:color="auto"/>
              <w:right w:val="single" w:sz="4" w:space="0" w:color="auto"/>
            </w:tcBorders>
            <w:vAlign w:val="center"/>
          </w:tcPr>
          <w:p w14:paraId="063B28E2"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8,079,019</w:t>
            </w:r>
          </w:p>
        </w:tc>
        <w:tc>
          <w:tcPr>
            <w:tcW w:w="1110" w:type="dxa"/>
            <w:tcBorders>
              <w:top w:val="single" w:sz="4" w:space="0" w:color="auto"/>
              <w:left w:val="single" w:sz="4" w:space="0" w:color="auto"/>
              <w:bottom w:val="single" w:sz="4" w:space="0" w:color="auto"/>
              <w:right w:val="single" w:sz="4" w:space="0" w:color="auto"/>
            </w:tcBorders>
            <w:vAlign w:val="center"/>
          </w:tcPr>
          <w:p w14:paraId="269C1981"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48,173,208</w:t>
            </w:r>
          </w:p>
        </w:tc>
      </w:tr>
      <w:tr w:rsidR="00E75ECF" w:rsidRPr="00466924" w14:paraId="06B67223" w14:textId="77777777" w:rsidTr="002114A1">
        <w:trPr>
          <w:trHeight w:val="129"/>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C7C2F"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CO</w:t>
            </w:r>
            <w:r w:rsidRPr="00466924">
              <w:rPr>
                <w:rFonts w:eastAsiaTheme="minorHAnsi" w:cs="Arial"/>
                <w:sz w:val="16"/>
                <w:szCs w:val="16"/>
                <w:vertAlign w:val="subscript"/>
              </w:rPr>
              <w:t xml:space="preserve">2 </w:t>
            </w:r>
            <w:r w:rsidRPr="00466924">
              <w:rPr>
                <w:rFonts w:eastAsiaTheme="minorHAnsi" w:cs="Arial"/>
                <w:sz w:val="16"/>
                <w:szCs w:val="16"/>
              </w:rPr>
              <w:t>emission total (kg/p.a.)</w:t>
            </w:r>
          </w:p>
        </w:tc>
        <w:tc>
          <w:tcPr>
            <w:tcW w:w="1109" w:type="dxa"/>
            <w:tcBorders>
              <w:top w:val="single" w:sz="4" w:space="0" w:color="auto"/>
              <w:left w:val="single" w:sz="4" w:space="0" w:color="auto"/>
              <w:bottom w:val="single" w:sz="4" w:space="0" w:color="auto"/>
              <w:right w:val="single" w:sz="4" w:space="0" w:color="auto"/>
            </w:tcBorders>
            <w:vAlign w:val="center"/>
          </w:tcPr>
          <w:p w14:paraId="0CE50B4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1,904,109</w:t>
            </w:r>
          </w:p>
        </w:tc>
        <w:tc>
          <w:tcPr>
            <w:tcW w:w="1110" w:type="dxa"/>
            <w:tcBorders>
              <w:top w:val="single" w:sz="4" w:space="0" w:color="auto"/>
              <w:left w:val="single" w:sz="4" w:space="0" w:color="auto"/>
              <w:bottom w:val="single" w:sz="4" w:space="0" w:color="auto"/>
              <w:right w:val="single" w:sz="4" w:space="0" w:color="auto"/>
            </w:tcBorders>
            <w:vAlign w:val="center"/>
          </w:tcPr>
          <w:p w14:paraId="49EEE53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4,684,583</w:t>
            </w:r>
          </w:p>
        </w:tc>
        <w:tc>
          <w:tcPr>
            <w:tcW w:w="1109" w:type="dxa"/>
            <w:tcBorders>
              <w:top w:val="single" w:sz="4" w:space="0" w:color="auto"/>
              <w:left w:val="single" w:sz="4" w:space="0" w:color="auto"/>
              <w:bottom w:val="single" w:sz="4" w:space="0" w:color="auto"/>
              <w:right w:val="single" w:sz="4" w:space="0" w:color="auto"/>
            </w:tcBorders>
            <w:vAlign w:val="center"/>
          </w:tcPr>
          <w:p w14:paraId="6CDCEFF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1,657,453</w:t>
            </w:r>
          </w:p>
        </w:tc>
        <w:tc>
          <w:tcPr>
            <w:tcW w:w="1110" w:type="dxa"/>
            <w:tcBorders>
              <w:top w:val="single" w:sz="4" w:space="0" w:color="auto"/>
              <w:left w:val="single" w:sz="4" w:space="0" w:color="auto"/>
              <w:bottom w:val="single" w:sz="4" w:space="0" w:color="auto"/>
              <w:right w:val="single" w:sz="4" w:space="0" w:color="auto"/>
            </w:tcBorders>
            <w:vAlign w:val="center"/>
          </w:tcPr>
          <w:p w14:paraId="72EF716F"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4,002,471</w:t>
            </w:r>
          </w:p>
        </w:tc>
        <w:tc>
          <w:tcPr>
            <w:tcW w:w="1109" w:type="dxa"/>
            <w:tcBorders>
              <w:top w:val="single" w:sz="4" w:space="0" w:color="auto"/>
              <w:left w:val="single" w:sz="4" w:space="0" w:color="auto"/>
              <w:bottom w:val="single" w:sz="4" w:space="0" w:color="auto"/>
              <w:right w:val="single" w:sz="4" w:space="0" w:color="auto"/>
            </w:tcBorders>
            <w:vAlign w:val="center"/>
          </w:tcPr>
          <w:p w14:paraId="66DF95E6"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2,176,338</w:t>
            </w:r>
          </w:p>
        </w:tc>
        <w:tc>
          <w:tcPr>
            <w:tcW w:w="1110" w:type="dxa"/>
            <w:tcBorders>
              <w:top w:val="single" w:sz="4" w:space="0" w:color="auto"/>
              <w:left w:val="single" w:sz="4" w:space="0" w:color="auto"/>
              <w:bottom w:val="single" w:sz="4" w:space="0" w:color="auto"/>
              <w:right w:val="single" w:sz="4" w:space="0" w:color="auto"/>
            </w:tcBorders>
            <w:vAlign w:val="center"/>
          </w:tcPr>
          <w:p w14:paraId="2A868C05"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14,424,954</w:t>
            </w:r>
          </w:p>
        </w:tc>
      </w:tr>
      <w:tr w:rsidR="00E75ECF" w:rsidRPr="00466924" w14:paraId="606A52A8" w14:textId="77777777" w:rsidTr="002114A1">
        <w:trPr>
          <w:trHeight w:val="89"/>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565C9"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Households</w:t>
            </w:r>
          </w:p>
        </w:tc>
        <w:tc>
          <w:tcPr>
            <w:tcW w:w="1109" w:type="dxa"/>
            <w:tcBorders>
              <w:top w:val="single" w:sz="4" w:space="0" w:color="auto"/>
              <w:left w:val="single" w:sz="4" w:space="0" w:color="auto"/>
              <w:bottom w:val="single" w:sz="4" w:space="0" w:color="auto"/>
              <w:right w:val="single" w:sz="4" w:space="0" w:color="auto"/>
            </w:tcBorders>
            <w:vAlign w:val="center"/>
          </w:tcPr>
          <w:p w14:paraId="215E84EC"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295</w:t>
            </w:r>
          </w:p>
        </w:tc>
        <w:tc>
          <w:tcPr>
            <w:tcW w:w="1110" w:type="dxa"/>
            <w:tcBorders>
              <w:top w:val="single" w:sz="4" w:space="0" w:color="auto"/>
              <w:left w:val="single" w:sz="4" w:space="0" w:color="auto"/>
              <w:bottom w:val="single" w:sz="4" w:space="0" w:color="auto"/>
              <w:right w:val="single" w:sz="4" w:space="0" w:color="auto"/>
            </w:tcBorders>
            <w:vAlign w:val="center"/>
          </w:tcPr>
          <w:p w14:paraId="421E0E5A"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741</w:t>
            </w:r>
          </w:p>
        </w:tc>
        <w:tc>
          <w:tcPr>
            <w:tcW w:w="1109" w:type="dxa"/>
            <w:tcBorders>
              <w:top w:val="single" w:sz="4" w:space="0" w:color="auto"/>
              <w:left w:val="single" w:sz="4" w:space="0" w:color="auto"/>
              <w:bottom w:val="single" w:sz="4" w:space="0" w:color="auto"/>
              <w:right w:val="single" w:sz="4" w:space="0" w:color="auto"/>
            </w:tcBorders>
            <w:vAlign w:val="center"/>
          </w:tcPr>
          <w:p w14:paraId="16196A84"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321</w:t>
            </w:r>
          </w:p>
        </w:tc>
        <w:tc>
          <w:tcPr>
            <w:tcW w:w="1110" w:type="dxa"/>
            <w:tcBorders>
              <w:top w:val="single" w:sz="4" w:space="0" w:color="auto"/>
              <w:left w:val="single" w:sz="4" w:space="0" w:color="auto"/>
              <w:bottom w:val="single" w:sz="4" w:space="0" w:color="auto"/>
              <w:right w:val="single" w:sz="4" w:space="0" w:color="auto"/>
            </w:tcBorders>
            <w:vAlign w:val="center"/>
          </w:tcPr>
          <w:p w14:paraId="6817F8EE"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601</w:t>
            </w:r>
          </w:p>
        </w:tc>
        <w:tc>
          <w:tcPr>
            <w:tcW w:w="1109" w:type="dxa"/>
            <w:tcBorders>
              <w:top w:val="single" w:sz="4" w:space="0" w:color="auto"/>
              <w:left w:val="single" w:sz="4" w:space="0" w:color="auto"/>
              <w:bottom w:val="single" w:sz="4" w:space="0" w:color="auto"/>
              <w:right w:val="single" w:sz="4" w:space="0" w:color="auto"/>
            </w:tcBorders>
            <w:vAlign w:val="center"/>
          </w:tcPr>
          <w:p w14:paraId="7AB5BE64"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318</w:t>
            </w:r>
          </w:p>
        </w:tc>
        <w:tc>
          <w:tcPr>
            <w:tcW w:w="1110" w:type="dxa"/>
            <w:tcBorders>
              <w:top w:val="single" w:sz="4" w:space="0" w:color="auto"/>
              <w:left w:val="single" w:sz="4" w:space="0" w:color="auto"/>
              <w:bottom w:val="single" w:sz="4" w:space="0" w:color="auto"/>
              <w:right w:val="single" w:sz="4" w:space="0" w:color="auto"/>
            </w:tcBorders>
            <w:vAlign w:val="center"/>
          </w:tcPr>
          <w:p w14:paraId="2955ECCE"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2,276</w:t>
            </w:r>
          </w:p>
        </w:tc>
      </w:tr>
      <w:tr w:rsidR="00E75ECF" w:rsidRPr="00466924" w14:paraId="3F1743C0" w14:textId="77777777" w:rsidTr="002114A1">
        <w:trPr>
          <w:trHeight w:val="178"/>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1DD3B"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 xml:space="preserve">Energy consumption / mean household </w:t>
            </w:r>
          </w:p>
        </w:tc>
        <w:tc>
          <w:tcPr>
            <w:tcW w:w="1109" w:type="dxa"/>
            <w:tcBorders>
              <w:top w:val="single" w:sz="4" w:space="0" w:color="auto"/>
              <w:left w:val="single" w:sz="4" w:space="0" w:color="auto"/>
              <w:bottom w:val="single" w:sz="4" w:space="0" w:color="auto"/>
              <w:right w:val="single" w:sz="4" w:space="0" w:color="auto"/>
            </w:tcBorders>
            <w:vAlign w:val="center"/>
          </w:tcPr>
          <w:p w14:paraId="7EC11757"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22,825</w:t>
            </w:r>
          </w:p>
        </w:tc>
        <w:tc>
          <w:tcPr>
            <w:tcW w:w="1110" w:type="dxa"/>
            <w:tcBorders>
              <w:top w:val="single" w:sz="4" w:space="0" w:color="auto"/>
              <w:left w:val="single" w:sz="4" w:space="0" w:color="auto"/>
              <w:bottom w:val="single" w:sz="4" w:space="0" w:color="auto"/>
              <w:right w:val="single" w:sz="4" w:space="0" w:color="auto"/>
            </w:tcBorders>
            <w:vAlign w:val="center"/>
          </w:tcPr>
          <w:p w14:paraId="50A96EEC"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19,762</w:t>
            </w:r>
          </w:p>
        </w:tc>
        <w:tc>
          <w:tcPr>
            <w:tcW w:w="1109" w:type="dxa"/>
            <w:tcBorders>
              <w:top w:val="single" w:sz="4" w:space="0" w:color="auto"/>
              <w:left w:val="single" w:sz="4" w:space="0" w:color="auto"/>
              <w:bottom w:val="single" w:sz="4" w:space="0" w:color="auto"/>
              <w:right w:val="single" w:sz="4" w:space="0" w:color="auto"/>
            </w:tcBorders>
            <w:vAlign w:val="center"/>
          </w:tcPr>
          <w:p w14:paraId="0F113991"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17,372</w:t>
            </w:r>
          </w:p>
        </w:tc>
        <w:tc>
          <w:tcPr>
            <w:tcW w:w="1110" w:type="dxa"/>
            <w:tcBorders>
              <w:top w:val="single" w:sz="4" w:space="0" w:color="auto"/>
              <w:left w:val="single" w:sz="4" w:space="0" w:color="auto"/>
              <w:bottom w:val="single" w:sz="4" w:space="0" w:color="auto"/>
              <w:right w:val="single" w:sz="4" w:space="0" w:color="auto"/>
            </w:tcBorders>
            <w:vAlign w:val="center"/>
          </w:tcPr>
          <w:p w14:paraId="22DA1D62"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21,864</w:t>
            </w:r>
          </w:p>
        </w:tc>
        <w:tc>
          <w:tcPr>
            <w:tcW w:w="1109" w:type="dxa"/>
            <w:tcBorders>
              <w:top w:val="single" w:sz="4" w:space="0" w:color="auto"/>
              <w:left w:val="single" w:sz="4" w:space="0" w:color="auto"/>
              <w:bottom w:val="single" w:sz="4" w:space="0" w:color="auto"/>
              <w:right w:val="single" w:sz="4" w:space="0" w:color="auto"/>
            </w:tcBorders>
            <w:vAlign w:val="center"/>
          </w:tcPr>
          <w:p w14:paraId="24A60ACD"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25,406</w:t>
            </w:r>
          </w:p>
        </w:tc>
        <w:tc>
          <w:tcPr>
            <w:tcW w:w="1110" w:type="dxa"/>
            <w:tcBorders>
              <w:top w:val="single" w:sz="4" w:space="0" w:color="auto"/>
              <w:left w:val="single" w:sz="4" w:space="0" w:color="auto"/>
              <w:bottom w:val="single" w:sz="4" w:space="0" w:color="auto"/>
              <w:right w:val="single" w:sz="4" w:space="0" w:color="auto"/>
            </w:tcBorders>
            <w:vAlign w:val="center"/>
          </w:tcPr>
          <w:p w14:paraId="10F917EB" w14:textId="77777777" w:rsidR="00E75ECF" w:rsidRPr="00466924" w:rsidRDefault="00E75ECF" w:rsidP="002114A1">
            <w:pPr>
              <w:spacing w:before="0" w:after="0" w:line="240" w:lineRule="auto"/>
              <w:jc w:val="center"/>
              <w:rPr>
                <w:rFonts w:eastAsiaTheme="minorHAnsi" w:cs="Arial"/>
                <w:sz w:val="16"/>
                <w:szCs w:val="16"/>
              </w:rPr>
            </w:pPr>
          </w:p>
        </w:tc>
      </w:tr>
      <w:tr w:rsidR="00E75ECF" w:rsidRPr="00466924" w14:paraId="6C50AA34" w14:textId="77777777" w:rsidTr="002114A1">
        <w:trPr>
          <w:trHeight w:val="123"/>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EEB1F"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CO</w:t>
            </w:r>
            <w:r w:rsidRPr="00466924">
              <w:rPr>
                <w:rFonts w:eastAsiaTheme="minorHAnsi" w:cs="Arial"/>
                <w:sz w:val="16"/>
                <w:szCs w:val="16"/>
                <w:vertAlign w:val="subscript"/>
              </w:rPr>
              <w:t>2</w:t>
            </w:r>
            <w:r w:rsidRPr="00466924">
              <w:rPr>
                <w:rFonts w:eastAsiaTheme="minorHAnsi" w:cs="Arial"/>
                <w:sz w:val="16"/>
                <w:szCs w:val="16"/>
              </w:rPr>
              <w:t xml:space="preserve"> emissions / mean household</w:t>
            </w:r>
          </w:p>
        </w:tc>
        <w:tc>
          <w:tcPr>
            <w:tcW w:w="1109" w:type="dxa"/>
            <w:tcBorders>
              <w:top w:val="single" w:sz="4" w:space="0" w:color="auto"/>
              <w:left w:val="single" w:sz="4" w:space="0" w:color="auto"/>
              <w:bottom w:val="single" w:sz="4" w:space="0" w:color="auto"/>
              <w:right w:val="single" w:sz="4" w:space="0" w:color="auto"/>
            </w:tcBorders>
            <w:vAlign w:val="center"/>
          </w:tcPr>
          <w:p w14:paraId="57DF0450"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6,455</w:t>
            </w:r>
          </w:p>
        </w:tc>
        <w:tc>
          <w:tcPr>
            <w:tcW w:w="1110" w:type="dxa"/>
            <w:tcBorders>
              <w:top w:val="single" w:sz="4" w:space="0" w:color="auto"/>
              <w:left w:val="single" w:sz="4" w:space="0" w:color="auto"/>
              <w:bottom w:val="single" w:sz="4" w:space="0" w:color="auto"/>
              <w:right w:val="single" w:sz="4" w:space="0" w:color="auto"/>
            </w:tcBorders>
            <w:vAlign w:val="center"/>
          </w:tcPr>
          <w:p w14:paraId="21B55B3D"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6,322</w:t>
            </w:r>
          </w:p>
        </w:tc>
        <w:tc>
          <w:tcPr>
            <w:tcW w:w="1109" w:type="dxa"/>
            <w:tcBorders>
              <w:top w:val="single" w:sz="4" w:space="0" w:color="auto"/>
              <w:left w:val="single" w:sz="4" w:space="0" w:color="auto"/>
              <w:bottom w:val="single" w:sz="4" w:space="0" w:color="auto"/>
              <w:right w:val="single" w:sz="4" w:space="0" w:color="auto"/>
            </w:tcBorders>
            <w:vAlign w:val="center"/>
          </w:tcPr>
          <w:p w14:paraId="4579F566"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5,163</w:t>
            </w:r>
          </w:p>
        </w:tc>
        <w:tc>
          <w:tcPr>
            <w:tcW w:w="1110" w:type="dxa"/>
            <w:tcBorders>
              <w:top w:val="single" w:sz="4" w:space="0" w:color="auto"/>
              <w:left w:val="single" w:sz="4" w:space="0" w:color="auto"/>
              <w:bottom w:val="single" w:sz="4" w:space="0" w:color="auto"/>
              <w:right w:val="single" w:sz="4" w:space="0" w:color="auto"/>
            </w:tcBorders>
            <w:vAlign w:val="center"/>
          </w:tcPr>
          <w:p w14:paraId="72C81368"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6,660</w:t>
            </w:r>
          </w:p>
        </w:tc>
        <w:tc>
          <w:tcPr>
            <w:tcW w:w="1109" w:type="dxa"/>
            <w:tcBorders>
              <w:top w:val="single" w:sz="4" w:space="0" w:color="auto"/>
              <w:left w:val="single" w:sz="4" w:space="0" w:color="auto"/>
              <w:bottom w:val="single" w:sz="4" w:space="0" w:color="auto"/>
              <w:right w:val="single" w:sz="4" w:space="0" w:color="auto"/>
            </w:tcBorders>
            <w:vAlign w:val="center"/>
          </w:tcPr>
          <w:p w14:paraId="009D7652"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6,844</w:t>
            </w:r>
          </w:p>
        </w:tc>
        <w:tc>
          <w:tcPr>
            <w:tcW w:w="1110" w:type="dxa"/>
            <w:tcBorders>
              <w:top w:val="single" w:sz="4" w:space="0" w:color="auto"/>
              <w:left w:val="single" w:sz="4" w:space="0" w:color="auto"/>
              <w:bottom w:val="single" w:sz="4" w:space="0" w:color="auto"/>
              <w:right w:val="single" w:sz="4" w:space="0" w:color="auto"/>
            </w:tcBorders>
            <w:vAlign w:val="center"/>
          </w:tcPr>
          <w:p w14:paraId="33D0CCE1" w14:textId="77777777" w:rsidR="00E75ECF" w:rsidRPr="00466924" w:rsidRDefault="00E75ECF" w:rsidP="002114A1">
            <w:pPr>
              <w:spacing w:before="0" w:after="0" w:line="240" w:lineRule="auto"/>
              <w:jc w:val="center"/>
              <w:rPr>
                <w:rFonts w:eastAsiaTheme="minorHAnsi" w:cs="Arial"/>
                <w:sz w:val="16"/>
                <w:szCs w:val="16"/>
              </w:rPr>
            </w:pPr>
          </w:p>
        </w:tc>
      </w:tr>
      <w:tr w:rsidR="00E75ECF" w:rsidRPr="00466924" w14:paraId="64E8D3CD" w14:textId="77777777" w:rsidTr="002114A1">
        <w:trPr>
          <w:trHeight w:val="55"/>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E89C2"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Mean STVR</w:t>
            </w:r>
          </w:p>
        </w:tc>
        <w:tc>
          <w:tcPr>
            <w:tcW w:w="1109" w:type="dxa"/>
            <w:tcBorders>
              <w:top w:val="single" w:sz="4" w:space="0" w:color="auto"/>
              <w:left w:val="single" w:sz="4" w:space="0" w:color="auto"/>
              <w:bottom w:val="single" w:sz="4" w:space="0" w:color="auto"/>
              <w:right w:val="single" w:sz="4" w:space="0" w:color="auto"/>
            </w:tcBorders>
            <w:vAlign w:val="center"/>
          </w:tcPr>
          <w:p w14:paraId="7617B941"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0.59</w:t>
            </w:r>
          </w:p>
        </w:tc>
        <w:tc>
          <w:tcPr>
            <w:tcW w:w="1110" w:type="dxa"/>
            <w:tcBorders>
              <w:top w:val="single" w:sz="4" w:space="0" w:color="auto"/>
              <w:left w:val="single" w:sz="4" w:space="0" w:color="auto"/>
              <w:bottom w:val="single" w:sz="4" w:space="0" w:color="auto"/>
              <w:right w:val="single" w:sz="4" w:space="0" w:color="auto"/>
            </w:tcBorders>
            <w:vAlign w:val="center"/>
          </w:tcPr>
          <w:p w14:paraId="072AF478"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0.53</w:t>
            </w:r>
          </w:p>
        </w:tc>
        <w:tc>
          <w:tcPr>
            <w:tcW w:w="1109" w:type="dxa"/>
            <w:tcBorders>
              <w:top w:val="single" w:sz="4" w:space="0" w:color="auto"/>
              <w:left w:val="single" w:sz="4" w:space="0" w:color="auto"/>
              <w:bottom w:val="single" w:sz="4" w:space="0" w:color="auto"/>
              <w:right w:val="single" w:sz="4" w:space="0" w:color="auto"/>
            </w:tcBorders>
            <w:vAlign w:val="center"/>
          </w:tcPr>
          <w:p w14:paraId="15F14AD5"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0.53</w:t>
            </w:r>
          </w:p>
        </w:tc>
        <w:tc>
          <w:tcPr>
            <w:tcW w:w="1110" w:type="dxa"/>
            <w:tcBorders>
              <w:top w:val="single" w:sz="4" w:space="0" w:color="auto"/>
              <w:left w:val="single" w:sz="4" w:space="0" w:color="auto"/>
              <w:bottom w:val="single" w:sz="4" w:space="0" w:color="auto"/>
              <w:right w:val="single" w:sz="4" w:space="0" w:color="auto"/>
            </w:tcBorders>
            <w:vAlign w:val="center"/>
          </w:tcPr>
          <w:p w14:paraId="64D0796F"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0.55</w:t>
            </w:r>
          </w:p>
        </w:tc>
        <w:tc>
          <w:tcPr>
            <w:tcW w:w="1109" w:type="dxa"/>
            <w:tcBorders>
              <w:top w:val="single" w:sz="4" w:space="0" w:color="auto"/>
              <w:left w:val="single" w:sz="4" w:space="0" w:color="auto"/>
              <w:bottom w:val="single" w:sz="4" w:space="0" w:color="auto"/>
              <w:right w:val="single" w:sz="4" w:space="0" w:color="auto"/>
            </w:tcBorders>
            <w:vAlign w:val="center"/>
          </w:tcPr>
          <w:p w14:paraId="2CCF9009"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0.56</w:t>
            </w:r>
          </w:p>
        </w:tc>
        <w:tc>
          <w:tcPr>
            <w:tcW w:w="1110" w:type="dxa"/>
            <w:tcBorders>
              <w:top w:val="single" w:sz="4" w:space="0" w:color="auto"/>
              <w:left w:val="single" w:sz="4" w:space="0" w:color="auto"/>
              <w:bottom w:val="single" w:sz="4" w:space="0" w:color="auto"/>
              <w:right w:val="single" w:sz="4" w:space="0" w:color="auto"/>
            </w:tcBorders>
            <w:vAlign w:val="center"/>
          </w:tcPr>
          <w:p w14:paraId="31D574A6" w14:textId="77777777" w:rsidR="00E75ECF" w:rsidRPr="00466924" w:rsidRDefault="00E75ECF" w:rsidP="002114A1">
            <w:pPr>
              <w:spacing w:before="0" w:after="0" w:line="240" w:lineRule="auto"/>
              <w:jc w:val="center"/>
              <w:rPr>
                <w:rFonts w:eastAsiaTheme="minorHAnsi" w:cs="Arial"/>
                <w:sz w:val="16"/>
                <w:szCs w:val="16"/>
              </w:rPr>
            </w:pPr>
          </w:p>
        </w:tc>
      </w:tr>
      <w:tr w:rsidR="00E75ECF" w:rsidRPr="00466924" w14:paraId="5A992A82" w14:textId="77777777" w:rsidTr="002114A1">
        <w:trPr>
          <w:trHeight w:val="53"/>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254F6"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Mean PVTVR</w:t>
            </w:r>
          </w:p>
        </w:tc>
        <w:tc>
          <w:tcPr>
            <w:tcW w:w="1109" w:type="dxa"/>
            <w:tcBorders>
              <w:top w:val="single" w:sz="4" w:space="0" w:color="auto"/>
              <w:left w:val="single" w:sz="4" w:space="0" w:color="auto"/>
              <w:bottom w:val="single" w:sz="4" w:space="0" w:color="auto"/>
              <w:right w:val="single" w:sz="4" w:space="0" w:color="auto"/>
            </w:tcBorders>
            <w:vAlign w:val="center"/>
          </w:tcPr>
          <w:p w14:paraId="01523404"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99.96</w:t>
            </w:r>
          </w:p>
        </w:tc>
        <w:tc>
          <w:tcPr>
            <w:tcW w:w="1110" w:type="dxa"/>
            <w:tcBorders>
              <w:top w:val="single" w:sz="4" w:space="0" w:color="auto"/>
              <w:left w:val="single" w:sz="4" w:space="0" w:color="auto"/>
              <w:bottom w:val="single" w:sz="4" w:space="0" w:color="auto"/>
              <w:right w:val="single" w:sz="4" w:space="0" w:color="auto"/>
            </w:tcBorders>
            <w:vAlign w:val="center"/>
          </w:tcPr>
          <w:p w14:paraId="49A23E57"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99.90</w:t>
            </w:r>
          </w:p>
        </w:tc>
        <w:tc>
          <w:tcPr>
            <w:tcW w:w="1109" w:type="dxa"/>
            <w:tcBorders>
              <w:top w:val="single" w:sz="4" w:space="0" w:color="auto"/>
              <w:left w:val="single" w:sz="4" w:space="0" w:color="auto"/>
              <w:bottom w:val="single" w:sz="4" w:space="0" w:color="auto"/>
              <w:right w:val="single" w:sz="4" w:space="0" w:color="auto"/>
            </w:tcBorders>
            <w:vAlign w:val="center"/>
          </w:tcPr>
          <w:p w14:paraId="703E74F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99.99</w:t>
            </w:r>
          </w:p>
        </w:tc>
        <w:tc>
          <w:tcPr>
            <w:tcW w:w="1110" w:type="dxa"/>
            <w:tcBorders>
              <w:top w:val="single" w:sz="4" w:space="0" w:color="auto"/>
              <w:left w:val="single" w:sz="4" w:space="0" w:color="auto"/>
              <w:bottom w:val="single" w:sz="4" w:space="0" w:color="auto"/>
              <w:right w:val="single" w:sz="4" w:space="0" w:color="auto"/>
            </w:tcBorders>
            <w:vAlign w:val="center"/>
          </w:tcPr>
          <w:p w14:paraId="271AC3A3"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99.73</w:t>
            </w:r>
          </w:p>
        </w:tc>
        <w:tc>
          <w:tcPr>
            <w:tcW w:w="1109" w:type="dxa"/>
            <w:tcBorders>
              <w:top w:val="single" w:sz="4" w:space="0" w:color="auto"/>
              <w:left w:val="single" w:sz="4" w:space="0" w:color="auto"/>
              <w:bottom w:val="single" w:sz="4" w:space="0" w:color="auto"/>
              <w:right w:val="single" w:sz="4" w:space="0" w:color="auto"/>
            </w:tcBorders>
            <w:vAlign w:val="center"/>
          </w:tcPr>
          <w:p w14:paraId="48D000D5"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99.81</w:t>
            </w:r>
          </w:p>
        </w:tc>
        <w:tc>
          <w:tcPr>
            <w:tcW w:w="1110" w:type="dxa"/>
            <w:tcBorders>
              <w:top w:val="single" w:sz="4" w:space="0" w:color="auto"/>
              <w:left w:val="single" w:sz="4" w:space="0" w:color="auto"/>
              <w:bottom w:val="single" w:sz="4" w:space="0" w:color="auto"/>
              <w:right w:val="single" w:sz="4" w:space="0" w:color="auto"/>
            </w:tcBorders>
            <w:vAlign w:val="center"/>
          </w:tcPr>
          <w:p w14:paraId="6EBCC331" w14:textId="77777777" w:rsidR="00E75ECF" w:rsidRPr="00466924" w:rsidRDefault="00E75ECF" w:rsidP="002114A1">
            <w:pPr>
              <w:spacing w:before="0" w:after="0" w:line="240" w:lineRule="auto"/>
              <w:jc w:val="center"/>
              <w:rPr>
                <w:rFonts w:eastAsiaTheme="minorHAnsi" w:cs="Arial"/>
                <w:sz w:val="16"/>
                <w:szCs w:val="16"/>
              </w:rPr>
            </w:pPr>
          </w:p>
        </w:tc>
      </w:tr>
      <w:tr w:rsidR="00E75ECF" w:rsidRPr="00466924" w14:paraId="33B2BCD9" w14:textId="77777777" w:rsidTr="002114A1">
        <w:trPr>
          <w:trHeight w:val="53"/>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092DF"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Owner occupied</w:t>
            </w:r>
          </w:p>
        </w:tc>
        <w:tc>
          <w:tcPr>
            <w:tcW w:w="1109" w:type="dxa"/>
            <w:tcBorders>
              <w:top w:val="single" w:sz="4" w:space="0" w:color="auto"/>
              <w:left w:val="single" w:sz="4" w:space="0" w:color="auto"/>
              <w:bottom w:val="single" w:sz="4" w:space="0" w:color="auto"/>
              <w:right w:val="single" w:sz="4" w:space="0" w:color="auto"/>
            </w:tcBorders>
            <w:vAlign w:val="center"/>
          </w:tcPr>
          <w:p w14:paraId="4E0F4017"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150</w:t>
            </w:r>
          </w:p>
        </w:tc>
        <w:tc>
          <w:tcPr>
            <w:tcW w:w="1110" w:type="dxa"/>
            <w:tcBorders>
              <w:top w:val="single" w:sz="4" w:space="0" w:color="auto"/>
              <w:left w:val="single" w:sz="4" w:space="0" w:color="auto"/>
              <w:bottom w:val="single" w:sz="4" w:space="0" w:color="auto"/>
              <w:right w:val="single" w:sz="4" w:space="0" w:color="auto"/>
            </w:tcBorders>
            <w:vAlign w:val="center"/>
          </w:tcPr>
          <w:p w14:paraId="3A1A8C58"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571</w:t>
            </w:r>
          </w:p>
        </w:tc>
        <w:tc>
          <w:tcPr>
            <w:tcW w:w="1109" w:type="dxa"/>
            <w:tcBorders>
              <w:top w:val="single" w:sz="4" w:space="0" w:color="auto"/>
              <w:left w:val="single" w:sz="4" w:space="0" w:color="auto"/>
              <w:bottom w:val="single" w:sz="4" w:space="0" w:color="auto"/>
              <w:right w:val="single" w:sz="4" w:space="0" w:color="auto"/>
            </w:tcBorders>
            <w:vAlign w:val="center"/>
          </w:tcPr>
          <w:p w14:paraId="2786EB94"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250</w:t>
            </w:r>
          </w:p>
        </w:tc>
        <w:tc>
          <w:tcPr>
            <w:tcW w:w="1110" w:type="dxa"/>
            <w:tcBorders>
              <w:top w:val="single" w:sz="4" w:space="0" w:color="auto"/>
              <w:left w:val="single" w:sz="4" w:space="0" w:color="auto"/>
              <w:bottom w:val="single" w:sz="4" w:space="0" w:color="auto"/>
              <w:right w:val="single" w:sz="4" w:space="0" w:color="auto"/>
            </w:tcBorders>
            <w:vAlign w:val="center"/>
          </w:tcPr>
          <w:p w14:paraId="7E085DE9"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427</w:t>
            </w:r>
          </w:p>
        </w:tc>
        <w:tc>
          <w:tcPr>
            <w:tcW w:w="1109" w:type="dxa"/>
            <w:tcBorders>
              <w:top w:val="single" w:sz="4" w:space="0" w:color="auto"/>
              <w:left w:val="single" w:sz="4" w:space="0" w:color="auto"/>
              <w:bottom w:val="single" w:sz="4" w:space="0" w:color="auto"/>
              <w:right w:val="single" w:sz="4" w:space="0" w:color="auto"/>
            </w:tcBorders>
            <w:vAlign w:val="center"/>
          </w:tcPr>
          <w:p w14:paraId="2207A8FC"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235</w:t>
            </w:r>
          </w:p>
        </w:tc>
        <w:tc>
          <w:tcPr>
            <w:tcW w:w="1110" w:type="dxa"/>
            <w:tcBorders>
              <w:top w:val="single" w:sz="4" w:space="0" w:color="auto"/>
              <w:left w:val="single" w:sz="4" w:space="0" w:color="auto"/>
              <w:bottom w:val="single" w:sz="4" w:space="0" w:color="auto"/>
              <w:right w:val="single" w:sz="4" w:space="0" w:color="auto"/>
            </w:tcBorders>
            <w:vAlign w:val="center"/>
          </w:tcPr>
          <w:p w14:paraId="1AEA9069"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1,633</w:t>
            </w:r>
          </w:p>
        </w:tc>
      </w:tr>
      <w:tr w:rsidR="00E75ECF" w:rsidRPr="00466924" w14:paraId="0B43A2CC" w14:textId="77777777" w:rsidTr="002114A1">
        <w:trPr>
          <w:trHeight w:val="53"/>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3AD37"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Social rented</w:t>
            </w:r>
          </w:p>
        </w:tc>
        <w:tc>
          <w:tcPr>
            <w:tcW w:w="1109" w:type="dxa"/>
            <w:tcBorders>
              <w:top w:val="single" w:sz="4" w:space="0" w:color="auto"/>
              <w:left w:val="single" w:sz="4" w:space="0" w:color="auto"/>
              <w:bottom w:val="single" w:sz="4" w:space="0" w:color="auto"/>
              <w:right w:val="single" w:sz="4" w:space="0" w:color="auto"/>
            </w:tcBorders>
            <w:vAlign w:val="center"/>
          </w:tcPr>
          <w:p w14:paraId="071915C3"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107</w:t>
            </w:r>
          </w:p>
        </w:tc>
        <w:tc>
          <w:tcPr>
            <w:tcW w:w="1110" w:type="dxa"/>
            <w:tcBorders>
              <w:top w:val="single" w:sz="4" w:space="0" w:color="auto"/>
              <w:left w:val="single" w:sz="4" w:space="0" w:color="auto"/>
              <w:bottom w:val="single" w:sz="4" w:space="0" w:color="auto"/>
              <w:right w:val="single" w:sz="4" w:space="0" w:color="auto"/>
            </w:tcBorders>
            <w:vAlign w:val="center"/>
          </w:tcPr>
          <w:p w14:paraId="68649A33"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89</w:t>
            </w:r>
          </w:p>
        </w:tc>
        <w:tc>
          <w:tcPr>
            <w:tcW w:w="1109" w:type="dxa"/>
            <w:tcBorders>
              <w:top w:val="single" w:sz="4" w:space="0" w:color="auto"/>
              <w:left w:val="single" w:sz="4" w:space="0" w:color="auto"/>
              <w:bottom w:val="single" w:sz="4" w:space="0" w:color="auto"/>
              <w:right w:val="single" w:sz="4" w:space="0" w:color="auto"/>
            </w:tcBorders>
            <w:vAlign w:val="center"/>
          </w:tcPr>
          <w:p w14:paraId="767C97DA"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31</w:t>
            </w:r>
          </w:p>
        </w:tc>
        <w:tc>
          <w:tcPr>
            <w:tcW w:w="1110" w:type="dxa"/>
            <w:tcBorders>
              <w:top w:val="single" w:sz="4" w:space="0" w:color="auto"/>
              <w:left w:val="single" w:sz="4" w:space="0" w:color="auto"/>
              <w:bottom w:val="single" w:sz="4" w:space="0" w:color="auto"/>
              <w:right w:val="single" w:sz="4" w:space="0" w:color="auto"/>
            </w:tcBorders>
            <w:vAlign w:val="center"/>
          </w:tcPr>
          <w:p w14:paraId="24DA73A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84</w:t>
            </w:r>
          </w:p>
        </w:tc>
        <w:tc>
          <w:tcPr>
            <w:tcW w:w="1109" w:type="dxa"/>
            <w:tcBorders>
              <w:top w:val="single" w:sz="4" w:space="0" w:color="auto"/>
              <w:left w:val="single" w:sz="4" w:space="0" w:color="auto"/>
              <w:bottom w:val="single" w:sz="4" w:space="0" w:color="auto"/>
              <w:right w:val="single" w:sz="4" w:space="0" w:color="auto"/>
            </w:tcBorders>
            <w:vAlign w:val="center"/>
          </w:tcPr>
          <w:p w14:paraId="6B942921"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53</w:t>
            </w:r>
          </w:p>
        </w:tc>
        <w:tc>
          <w:tcPr>
            <w:tcW w:w="1110" w:type="dxa"/>
            <w:tcBorders>
              <w:top w:val="single" w:sz="4" w:space="0" w:color="auto"/>
              <w:left w:val="single" w:sz="4" w:space="0" w:color="auto"/>
              <w:bottom w:val="single" w:sz="4" w:space="0" w:color="auto"/>
              <w:right w:val="single" w:sz="4" w:space="0" w:color="auto"/>
            </w:tcBorders>
            <w:vAlign w:val="center"/>
          </w:tcPr>
          <w:p w14:paraId="2DFAD82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364</w:t>
            </w:r>
          </w:p>
        </w:tc>
      </w:tr>
      <w:tr w:rsidR="00E75ECF" w:rsidRPr="00466924" w14:paraId="7062E1C8" w14:textId="77777777" w:rsidTr="002114A1">
        <w:trPr>
          <w:trHeight w:val="53"/>
        </w:trPr>
        <w:tc>
          <w:tcPr>
            <w:tcW w:w="2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90FED" w14:textId="77777777" w:rsidR="00E75ECF" w:rsidRPr="00466924" w:rsidRDefault="00E75ECF" w:rsidP="00E37D5A">
            <w:pPr>
              <w:spacing w:before="0" w:after="0" w:line="240" w:lineRule="auto"/>
              <w:jc w:val="left"/>
              <w:rPr>
                <w:rFonts w:eastAsiaTheme="minorHAnsi" w:cs="Arial"/>
                <w:sz w:val="16"/>
                <w:szCs w:val="16"/>
              </w:rPr>
            </w:pPr>
            <w:r w:rsidRPr="00466924">
              <w:rPr>
                <w:rFonts w:eastAsiaTheme="minorHAnsi" w:cs="Arial"/>
                <w:sz w:val="16"/>
                <w:szCs w:val="16"/>
              </w:rPr>
              <w:t>Private rented</w:t>
            </w:r>
          </w:p>
        </w:tc>
        <w:tc>
          <w:tcPr>
            <w:tcW w:w="1109" w:type="dxa"/>
            <w:tcBorders>
              <w:top w:val="single" w:sz="4" w:space="0" w:color="auto"/>
              <w:left w:val="single" w:sz="4" w:space="0" w:color="auto"/>
              <w:bottom w:val="single" w:sz="4" w:space="0" w:color="auto"/>
              <w:right w:val="single" w:sz="4" w:space="0" w:color="auto"/>
            </w:tcBorders>
            <w:vAlign w:val="center"/>
          </w:tcPr>
          <w:p w14:paraId="0874CA32"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38</w:t>
            </w:r>
          </w:p>
        </w:tc>
        <w:tc>
          <w:tcPr>
            <w:tcW w:w="1110" w:type="dxa"/>
            <w:tcBorders>
              <w:top w:val="single" w:sz="4" w:space="0" w:color="auto"/>
              <w:left w:val="single" w:sz="4" w:space="0" w:color="auto"/>
              <w:bottom w:val="single" w:sz="4" w:space="0" w:color="auto"/>
              <w:right w:val="single" w:sz="4" w:space="0" w:color="auto"/>
            </w:tcBorders>
            <w:vAlign w:val="center"/>
          </w:tcPr>
          <w:p w14:paraId="037DA481"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81</w:t>
            </w:r>
          </w:p>
        </w:tc>
        <w:tc>
          <w:tcPr>
            <w:tcW w:w="1109" w:type="dxa"/>
            <w:tcBorders>
              <w:top w:val="single" w:sz="4" w:space="0" w:color="auto"/>
              <w:left w:val="single" w:sz="4" w:space="0" w:color="auto"/>
              <w:bottom w:val="single" w:sz="4" w:space="0" w:color="auto"/>
              <w:right w:val="single" w:sz="4" w:space="0" w:color="auto"/>
            </w:tcBorders>
            <w:vAlign w:val="center"/>
          </w:tcPr>
          <w:p w14:paraId="061C8F28"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40</w:t>
            </w:r>
          </w:p>
        </w:tc>
        <w:tc>
          <w:tcPr>
            <w:tcW w:w="1110" w:type="dxa"/>
            <w:tcBorders>
              <w:top w:val="single" w:sz="4" w:space="0" w:color="auto"/>
              <w:left w:val="single" w:sz="4" w:space="0" w:color="auto"/>
              <w:bottom w:val="single" w:sz="4" w:space="0" w:color="auto"/>
              <w:right w:val="single" w:sz="4" w:space="0" w:color="auto"/>
            </w:tcBorders>
            <w:vAlign w:val="center"/>
          </w:tcPr>
          <w:p w14:paraId="10AC9E0B"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90</w:t>
            </w:r>
          </w:p>
        </w:tc>
        <w:tc>
          <w:tcPr>
            <w:tcW w:w="1109" w:type="dxa"/>
            <w:tcBorders>
              <w:top w:val="single" w:sz="4" w:space="0" w:color="auto"/>
              <w:left w:val="single" w:sz="4" w:space="0" w:color="auto"/>
              <w:bottom w:val="single" w:sz="4" w:space="0" w:color="auto"/>
              <w:right w:val="single" w:sz="4" w:space="0" w:color="auto"/>
            </w:tcBorders>
            <w:vAlign w:val="center"/>
          </w:tcPr>
          <w:p w14:paraId="4937BB6D"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30</w:t>
            </w:r>
          </w:p>
        </w:tc>
        <w:tc>
          <w:tcPr>
            <w:tcW w:w="1110" w:type="dxa"/>
            <w:tcBorders>
              <w:top w:val="single" w:sz="4" w:space="0" w:color="auto"/>
              <w:left w:val="single" w:sz="4" w:space="0" w:color="auto"/>
              <w:bottom w:val="single" w:sz="4" w:space="0" w:color="auto"/>
              <w:right w:val="single" w:sz="4" w:space="0" w:color="auto"/>
            </w:tcBorders>
            <w:vAlign w:val="center"/>
          </w:tcPr>
          <w:p w14:paraId="7A1E1D9C" w14:textId="77777777" w:rsidR="00E75ECF" w:rsidRPr="00466924" w:rsidRDefault="00E75ECF" w:rsidP="002114A1">
            <w:pPr>
              <w:spacing w:before="0" w:after="0" w:line="240" w:lineRule="auto"/>
              <w:jc w:val="center"/>
              <w:rPr>
                <w:rFonts w:eastAsiaTheme="minorHAnsi" w:cs="Arial"/>
                <w:sz w:val="16"/>
                <w:szCs w:val="16"/>
              </w:rPr>
            </w:pPr>
            <w:r w:rsidRPr="00466924">
              <w:rPr>
                <w:rFonts w:eastAsiaTheme="minorHAnsi" w:cs="Arial"/>
                <w:sz w:val="16"/>
                <w:szCs w:val="16"/>
              </w:rPr>
              <w:t>279</w:t>
            </w:r>
          </w:p>
        </w:tc>
      </w:tr>
    </w:tbl>
    <w:p w14:paraId="1C7C9617" w14:textId="77777777" w:rsidR="00A743CB" w:rsidRPr="00466924" w:rsidRDefault="00D96D7C" w:rsidP="00E37D5A">
      <w:pPr>
        <w:spacing w:before="0" w:after="0" w:line="240" w:lineRule="auto"/>
        <w:jc w:val="left"/>
        <w:rPr>
          <w:i/>
        </w:rPr>
      </w:pPr>
      <w:r w:rsidRPr="00466924">
        <w:rPr>
          <w:i/>
        </w:rPr>
        <w:t>Table 5</w:t>
      </w:r>
      <w:r w:rsidR="000B1AFB" w:rsidRPr="00466924">
        <w:rPr>
          <w:i/>
        </w:rPr>
        <w:t>.</w:t>
      </w:r>
      <w:r w:rsidR="00C931DB" w:rsidRPr="00466924">
        <w:rPr>
          <w:i/>
        </w:rPr>
        <w:t xml:space="preserve"> Area-based energy consumption and </w:t>
      </w:r>
      <w:r w:rsidR="00781A5D" w:rsidRPr="00466924">
        <w:rPr>
          <w:rFonts w:cs="Arial"/>
        </w:rPr>
        <w:t>CO</w:t>
      </w:r>
      <w:r w:rsidR="00781A5D" w:rsidRPr="00466924">
        <w:rPr>
          <w:rFonts w:cs="Arial"/>
          <w:vertAlign w:val="subscript"/>
        </w:rPr>
        <w:t>2</w:t>
      </w:r>
      <w:r w:rsidR="00C931DB" w:rsidRPr="00466924">
        <w:rPr>
          <w:i/>
        </w:rPr>
        <w:t xml:space="preserve"> emissions. Sourc</w:t>
      </w:r>
      <w:r w:rsidR="00597603" w:rsidRPr="00466924">
        <w:rPr>
          <w:i/>
        </w:rPr>
        <w:t>e: Deakin et al.</w:t>
      </w:r>
      <w:r w:rsidR="001579BA" w:rsidRPr="00466924">
        <w:rPr>
          <w:i/>
        </w:rPr>
        <w:t xml:space="preserve"> (</w:t>
      </w:r>
      <w:r w:rsidR="00597603" w:rsidRPr="00466924">
        <w:rPr>
          <w:i/>
        </w:rPr>
        <w:t>2014</w:t>
      </w:r>
      <w:r w:rsidR="001579BA" w:rsidRPr="00466924">
        <w:rPr>
          <w:i/>
        </w:rPr>
        <w:t>)</w:t>
      </w:r>
      <w:r w:rsidR="00A743CB" w:rsidRPr="00466924">
        <w:rPr>
          <w:i/>
        </w:rPr>
        <w:t>.</w:t>
      </w:r>
    </w:p>
    <w:p w14:paraId="7296C180" w14:textId="77777777" w:rsidR="00466924" w:rsidRPr="00466924" w:rsidRDefault="00466924" w:rsidP="00E37D5A">
      <w:pPr>
        <w:spacing w:before="0" w:after="0" w:line="240" w:lineRule="auto"/>
        <w:jc w:val="left"/>
        <w:rPr>
          <w:i/>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289"/>
        <w:gridCol w:w="1290"/>
        <w:gridCol w:w="1290"/>
        <w:gridCol w:w="1290"/>
        <w:gridCol w:w="1290"/>
      </w:tblGrid>
      <w:tr w:rsidR="00A743CB" w:rsidRPr="00466924" w14:paraId="0C2F2C5F" w14:textId="77777777" w:rsidTr="002114A1">
        <w:trPr>
          <w:trHeight w:val="123"/>
        </w:trPr>
        <w:tc>
          <w:tcPr>
            <w:tcW w:w="3206" w:type="dxa"/>
            <w:tcBorders>
              <w:top w:val="nil"/>
              <w:left w:val="nil"/>
              <w:bottom w:val="single" w:sz="4" w:space="0" w:color="auto"/>
              <w:right w:val="single" w:sz="4" w:space="0" w:color="auto"/>
            </w:tcBorders>
          </w:tcPr>
          <w:p w14:paraId="7EE63CF6" w14:textId="77777777" w:rsidR="00A743CB" w:rsidRPr="00466924" w:rsidRDefault="00A743CB" w:rsidP="00E37D5A">
            <w:pPr>
              <w:spacing w:before="0" w:after="0" w:line="240" w:lineRule="auto"/>
              <w:jc w:val="left"/>
              <w:rPr>
                <w:rFonts w:eastAsiaTheme="minorHAnsi" w:cs="Arial"/>
                <w:b/>
                <w:bCs/>
                <w:sz w:val="16"/>
                <w:szCs w:val="16"/>
              </w:rPr>
            </w:pPr>
          </w:p>
        </w:tc>
        <w:tc>
          <w:tcPr>
            <w:tcW w:w="1289" w:type="dxa"/>
            <w:tcBorders>
              <w:left w:val="single" w:sz="4" w:space="0" w:color="auto"/>
              <w:bottom w:val="single" w:sz="4" w:space="0" w:color="auto"/>
            </w:tcBorders>
            <w:shd w:val="clear" w:color="auto" w:fill="D9D9D9" w:themeFill="background1" w:themeFillShade="D9"/>
            <w:vAlign w:val="center"/>
          </w:tcPr>
          <w:p w14:paraId="61BDA6CC" w14:textId="77777777" w:rsidR="00A743CB" w:rsidRPr="00466924" w:rsidRDefault="00A743CB"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1</w:t>
            </w:r>
          </w:p>
        </w:tc>
        <w:tc>
          <w:tcPr>
            <w:tcW w:w="1290" w:type="dxa"/>
            <w:tcBorders>
              <w:bottom w:val="single" w:sz="4" w:space="0" w:color="auto"/>
            </w:tcBorders>
            <w:shd w:val="clear" w:color="auto" w:fill="D9D9D9" w:themeFill="background1" w:themeFillShade="D9"/>
            <w:vAlign w:val="center"/>
          </w:tcPr>
          <w:p w14:paraId="43B4BCA5" w14:textId="77777777" w:rsidR="00A743CB" w:rsidRPr="00466924" w:rsidRDefault="00A743CB"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2</w:t>
            </w:r>
          </w:p>
        </w:tc>
        <w:tc>
          <w:tcPr>
            <w:tcW w:w="1290" w:type="dxa"/>
            <w:tcBorders>
              <w:bottom w:val="single" w:sz="4" w:space="0" w:color="auto"/>
            </w:tcBorders>
            <w:shd w:val="clear" w:color="auto" w:fill="D9D9D9" w:themeFill="background1" w:themeFillShade="D9"/>
            <w:vAlign w:val="center"/>
          </w:tcPr>
          <w:p w14:paraId="07B5EC4C" w14:textId="77777777" w:rsidR="00A743CB" w:rsidRPr="00466924" w:rsidRDefault="00A743CB"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3</w:t>
            </w:r>
          </w:p>
        </w:tc>
        <w:tc>
          <w:tcPr>
            <w:tcW w:w="1290" w:type="dxa"/>
            <w:tcBorders>
              <w:bottom w:val="single" w:sz="4" w:space="0" w:color="auto"/>
            </w:tcBorders>
            <w:shd w:val="clear" w:color="auto" w:fill="D9D9D9" w:themeFill="background1" w:themeFillShade="D9"/>
            <w:vAlign w:val="center"/>
          </w:tcPr>
          <w:p w14:paraId="6936D7BA" w14:textId="77777777" w:rsidR="00A743CB" w:rsidRPr="00466924" w:rsidRDefault="00A743CB"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4</w:t>
            </w:r>
          </w:p>
        </w:tc>
        <w:tc>
          <w:tcPr>
            <w:tcW w:w="1290" w:type="dxa"/>
            <w:tcBorders>
              <w:bottom w:val="single" w:sz="4" w:space="0" w:color="auto"/>
            </w:tcBorders>
            <w:shd w:val="clear" w:color="auto" w:fill="D9D9D9" w:themeFill="background1" w:themeFillShade="D9"/>
            <w:vAlign w:val="center"/>
          </w:tcPr>
          <w:p w14:paraId="77FEFCA5" w14:textId="77777777" w:rsidR="00A743CB" w:rsidRPr="00466924" w:rsidRDefault="00A743CB"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5</w:t>
            </w:r>
          </w:p>
        </w:tc>
      </w:tr>
      <w:tr w:rsidR="00A743CB" w:rsidRPr="00466924" w14:paraId="0DFAD30E" w14:textId="77777777" w:rsidTr="002114A1">
        <w:trPr>
          <w:trHeight w:val="53"/>
        </w:trPr>
        <w:tc>
          <w:tcPr>
            <w:tcW w:w="3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5F7AE" w14:textId="77777777" w:rsidR="00A743CB" w:rsidRPr="00466924" w:rsidRDefault="00A743CB" w:rsidP="00E37D5A">
            <w:pPr>
              <w:spacing w:before="0" w:after="0" w:line="240" w:lineRule="auto"/>
              <w:jc w:val="left"/>
              <w:rPr>
                <w:rFonts w:eastAsiaTheme="minorHAnsi" w:cs="Arial"/>
                <w:sz w:val="16"/>
                <w:szCs w:val="16"/>
              </w:rPr>
            </w:pPr>
            <w:r w:rsidRPr="00466924">
              <w:rPr>
                <w:rFonts w:eastAsiaTheme="minorHAnsi" w:cs="Arial"/>
                <w:sz w:val="16"/>
                <w:szCs w:val="16"/>
              </w:rPr>
              <w:t>Current energy consumption (kWh/p.a.)</w:t>
            </w:r>
          </w:p>
        </w:tc>
        <w:tc>
          <w:tcPr>
            <w:tcW w:w="1289" w:type="dxa"/>
            <w:tcBorders>
              <w:top w:val="single" w:sz="4" w:space="0" w:color="auto"/>
              <w:left w:val="single" w:sz="4" w:space="0" w:color="auto"/>
              <w:bottom w:val="single" w:sz="4" w:space="0" w:color="auto"/>
              <w:right w:val="single" w:sz="4" w:space="0" w:color="auto"/>
            </w:tcBorders>
            <w:vAlign w:val="center"/>
          </w:tcPr>
          <w:p w14:paraId="2DBB8669"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6,733,319</w:t>
            </w:r>
          </w:p>
        </w:tc>
        <w:tc>
          <w:tcPr>
            <w:tcW w:w="1290" w:type="dxa"/>
            <w:tcBorders>
              <w:top w:val="single" w:sz="4" w:space="0" w:color="auto"/>
              <w:left w:val="single" w:sz="4" w:space="0" w:color="auto"/>
              <w:bottom w:val="single" w:sz="4" w:space="0" w:color="auto"/>
              <w:right w:val="single" w:sz="4" w:space="0" w:color="auto"/>
            </w:tcBorders>
            <w:vAlign w:val="center"/>
          </w:tcPr>
          <w:p w14:paraId="0E202677"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14,644,009</w:t>
            </w:r>
          </w:p>
        </w:tc>
        <w:tc>
          <w:tcPr>
            <w:tcW w:w="1290" w:type="dxa"/>
            <w:tcBorders>
              <w:top w:val="single" w:sz="4" w:space="0" w:color="auto"/>
              <w:left w:val="single" w:sz="4" w:space="0" w:color="auto"/>
              <w:bottom w:val="single" w:sz="4" w:space="0" w:color="auto"/>
              <w:right w:val="single" w:sz="4" w:space="0" w:color="auto"/>
            </w:tcBorders>
            <w:vAlign w:val="center"/>
          </w:tcPr>
          <w:p w14:paraId="02705F2D"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5,576,413</w:t>
            </w:r>
          </w:p>
        </w:tc>
        <w:tc>
          <w:tcPr>
            <w:tcW w:w="1290" w:type="dxa"/>
            <w:tcBorders>
              <w:top w:val="single" w:sz="4" w:space="0" w:color="auto"/>
              <w:left w:val="single" w:sz="4" w:space="0" w:color="auto"/>
              <w:bottom w:val="single" w:sz="4" w:space="0" w:color="auto"/>
              <w:right w:val="single" w:sz="4" w:space="0" w:color="auto"/>
            </w:tcBorders>
            <w:vAlign w:val="center"/>
          </w:tcPr>
          <w:p w14:paraId="2C0000D0"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1,314,048</w:t>
            </w:r>
          </w:p>
        </w:tc>
        <w:tc>
          <w:tcPr>
            <w:tcW w:w="1290" w:type="dxa"/>
            <w:tcBorders>
              <w:top w:val="single" w:sz="4" w:space="0" w:color="auto"/>
              <w:left w:val="single" w:sz="4" w:space="0" w:color="auto"/>
              <w:bottom w:val="single" w:sz="4" w:space="0" w:color="auto"/>
              <w:right w:val="single" w:sz="4" w:space="0" w:color="auto"/>
            </w:tcBorders>
            <w:vAlign w:val="center"/>
          </w:tcPr>
          <w:p w14:paraId="172BFFA3"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8,079,019</w:t>
            </w:r>
          </w:p>
        </w:tc>
      </w:tr>
      <w:tr w:rsidR="00A743CB" w:rsidRPr="00466924" w14:paraId="36A3AB6F" w14:textId="77777777" w:rsidTr="00DA16A1">
        <w:trPr>
          <w:trHeight w:val="53"/>
        </w:trPr>
        <w:tc>
          <w:tcPr>
            <w:tcW w:w="9655" w:type="dxa"/>
            <w:gridSpan w:val="6"/>
            <w:tcBorders>
              <w:top w:val="single" w:sz="4" w:space="0" w:color="auto"/>
              <w:left w:val="nil"/>
              <w:bottom w:val="single" w:sz="4" w:space="0" w:color="auto"/>
              <w:right w:val="nil"/>
            </w:tcBorders>
          </w:tcPr>
          <w:p w14:paraId="6A7F7475" w14:textId="77777777" w:rsidR="00A743CB" w:rsidRPr="00466924" w:rsidRDefault="00A743CB" w:rsidP="00E37D5A">
            <w:pPr>
              <w:spacing w:before="0" w:after="0" w:line="240" w:lineRule="auto"/>
              <w:jc w:val="left"/>
              <w:rPr>
                <w:rFonts w:eastAsiaTheme="minorHAnsi" w:cs="Arial"/>
                <w:bCs/>
                <w:sz w:val="16"/>
                <w:szCs w:val="16"/>
              </w:rPr>
            </w:pPr>
            <w:r w:rsidRPr="00466924">
              <w:rPr>
                <w:rFonts w:eastAsiaTheme="minorHAnsi" w:cs="Arial"/>
                <w:bCs/>
                <w:sz w:val="16"/>
                <w:szCs w:val="16"/>
              </w:rPr>
              <w:t>Retrofit(s):</w:t>
            </w:r>
          </w:p>
        </w:tc>
      </w:tr>
      <w:tr w:rsidR="00A743CB" w:rsidRPr="00466924" w14:paraId="331EB790" w14:textId="77777777" w:rsidTr="002114A1">
        <w:trPr>
          <w:trHeight w:val="120"/>
        </w:trPr>
        <w:tc>
          <w:tcPr>
            <w:tcW w:w="3206" w:type="dxa"/>
            <w:tcBorders>
              <w:top w:val="single" w:sz="4" w:space="0" w:color="auto"/>
            </w:tcBorders>
            <w:shd w:val="clear" w:color="auto" w:fill="D9D9D9" w:themeFill="background1" w:themeFillShade="D9"/>
          </w:tcPr>
          <w:p w14:paraId="3FF48FA0" w14:textId="77777777" w:rsidR="00A743CB" w:rsidRPr="00466924" w:rsidRDefault="00A743CB" w:rsidP="00E37D5A">
            <w:pPr>
              <w:spacing w:before="0" w:after="0" w:line="240" w:lineRule="auto"/>
              <w:jc w:val="left"/>
              <w:rPr>
                <w:rFonts w:eastAsiaTheme="minorHAnsi" w:cs="Arial"/>
                <w:sz w:val="16"/>
                <w:szCs w:val="16"/>
              </w:rPr>
            </w:pPr>
            <w:r w:rsidRPr="00466924">
              <w:rPr>
                <w:rFonts w:eastAsiaTheme="minorHAnsi" w:cs="Arial"/>
                <w:sz w:val="16"/>
                <w:szCs w:val="16"/>
              </w:rPr>
              <w:t>1. Thermal</w:t>
            </w:r>
          </w:p>
        </w:tc>
        <w:tc>
          <w:tcPr>
            <w:tcW w:w="1289" w:type="dxa"/>
            <w:tcBorders>
              <w:top w:val="single" w:sz="4" w:space="0" w:color="auto"/>
            </w:tcBorders>
            <w:vAlign w:val="center"/>
          </w:tcPr>
          <w:p w14:paraId="2436BFD9"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1,357,437</w:t>
            </w:r>
          </w:p>
        </w:tc>
        <w:tc>
          <w:tcPr>
            <w:tcW w:w="1290" w:type="dxa"/>
            <w:tcBorders>
              <w:top w:val="single" w:sz="4" w:space="0" w:color="auto"/>
            </w:tcBorders>
            <w:vAlign w:val="center"/>
          </w:tcPr>
          <w:p w14:paraId="636AAFB0"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2,952,232</w:t>
            </w:r>
          </w:p>
        </w:tc>
        <w:tc>
          <w:tcPr>
            <w:tcW w:w="1290" w:type="dxa"/>
            <w:tcBorders>
              <w:top w:val="single" w:sz="4" w:space="0" w:color="auto"/>
            </w:tcBorders>
            <w:vAlign w:val="center"/>
          </w:tcPr>
          <w:p w14:paraId="0EE2D433"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1,124,205</w:t>
            </w:r>
          </w:p>
        </w:tc>
        <w:tc>
          <w:tcPr>
            <w:tcW w:w="1290" w:type="dxa"/>
            <w:tcBorders>
              <w:top w:val="single" w:sz="4" w:space="0" w:color="auto"/>
            </w:tcBorders>
            <w:vAlign w:val="center"/>
          </w:tcPr>
          <w:p w14:paraId="2EF3532A"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2,649,114</w:t>
            </w:r>
          </w:p>
        </w:tc>
        <w:tc>
          <w:tcPr>
            <w:tcW w:w="1290" w:type="dxa"/>
            <w:tcBorders>
              <w:top w:val="single" w:sz="4" w:space="0" w:color="auto"/>
            </w:tcBorders>
            <w:vAlign w:val="center"/>
          </w:tcPr>
          <w:p w14:paraId="47CA334C"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1,628,730</w:t>
            </w:r>
          </w:p>
        </w:tc>
      </w:tr>
      <w:tr w:rsidR="00A743CB" w:rsidRPr="00466924" w14:paraId="2E5402F5" w14:textId="77777777" w:rsidTr="002114A1">
        <w:trPr>
          <w:trHeight w:val="65"/>
        </w:trPr>
        <w:tc>
          <w:tcPr>
            <w:tcW w:w="3206" w:type="dxa"/>
            <w:shd w:val="clear" w:color="auto" w:fill="D9D9D9" w:themeFill="background1" w:themeFillShade="D9"/>
          </w:tcPr>
          <w:p w14:paraId="3C74D7B2" w14:textId="77777777" w:rsidR="00A743CB" w:rsidRPr="00466924" w:rsidRDefault="00A743CB" w:rsidP="00E37D5A">
            <w:pPr>
              <w:spacing w:before="0" w:after="0" w:line="240" w:lineRule="auto"/>
              <w:jc w:val="left"/>
              <w:rPr>
                <w:rFonts w:eastAsiaTheme="minorHAnsi" w:cs="Arial"/>
                <w:sz w:val="16"/>
                <w:szCs w:val="16"/>
              </w:rPr>
            </w:pPr>
            <w:r w:rsidRPr="00466924">
              <w:rPr>
                <w:rFonts w:eastAsiaTheme="minorHAnsi" w:cs="Arial"/>
                <w:sz w:val="16"/>
                <w:szCs w:val="16"/>
              </w:rPr>
              <w:t>2. Thermal-plus</w:t>
            </w:r>
          </w:p>
        </w:tc>
        <w:tc>
          <w:tcPr>
            <w:tcW w:w="1289" w:type="dxa"/>
            <w:vAlign w:val="center"/>
          </w:tcPr>
          <w:p w14:paraId="69838CF8"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2,413,222</w:t>
            </w:r>
          </w:p>
        </w:tc>
        <w:tc>
          <w:tcPr>
            <w:tcW w:w="1290" w:type="dxa"/>
            <w:vAlign w:val="center"/>
          </w:tcPr>
          <w:p w14:paraId="76C406F8"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5,248,413</w:t>
            </w:r>
          </w:p>
        </w:tc>
        <w:tc>
          <w:tcPr>
            <w:tcW w:w="1290" w:type="dxa"/>
            <w:vAlign w:val="center"/>
          </w:tcPr>
          <w:p w14:paraId="594C421E"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1,998,586</w:t>
            </w:r>
          </w:p>
        </w:tc>
        <w:tc>
          <w:tcPr>
            <w:tcW w:w="1290" w:type="dxa"/>
            <w:vAlign w:val="center"/>
          </w:tcPr>
          <w:p w14:paraId="5D9153A3"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4,709,537</w:t>
            </w:r>
          </w:p>
        </w:tc>
        <w:tc>
          <w:tcPr>
            <w:tcW w:w="1290" w:type="dxa"/>
            <w:vAlign w:val="center"/>
          </w:tcPr>
          <w:p w14:paraId="2B426CC8"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2,895,521</w:t>
            </w:r>
          </w:p>
        </w:tc>
      </w:tr>
      <w:tr w:rsidR="00A743CB" w:rsidRPr="00466924" w14:paraId="066088AB" w14:textId="77777777" w:rsidTr="002114A1">
        <w:trPr>
          <w:trHeight w:val="53"/>
        </w:trPr>
        <w:tc>
          <w:tcPr>
            <w:tcW w:w="3206" w:type="dxa"/>
            <w:shd w:val="clear" w:color="auto" w:fill="D9D9D9" w:themeFill="background1" w:themeFillShade="D9"/>
          </w:tcPr>
          <w:p w14:paraId="680243B9" w14:textId="77777777" w:rsidR="00A743CB" w:rsidRPr="00466924" w:rsidRDefault="00716247" w:rsidP="00E37D5A">
            <w:pPr>
              <w:spacing w:before="0" w:after="0" w:line="240" w:lineRule="auto"/>
              <w:jc w:val="left"/>
              <w:rPr>
                <w:rFonts w:eastAsiaTheme="minorHAnsi" w:cs="Arial"/>
                <w:sz w:val="16"/>
                <w:szCs w:val="16"/>
              </w:rPr>
            </w:pPr>
            <w:r w:rsidRPr="00466924">
              <w:rPr>
                <w:rFonts w:eastAsiaTheme="minorHAnsi" w:cs="Arial"/>
                <w:sz w:val="16"/>
                <w:szCs w:val="16"/>
              </w:rPr>
              <w:t>M</w:t>
            </w:r>
            <w:r w:rsidR="00A743CB" w:rsidRPr="00466924">
              <w:rPr>
                <w:rFonts w:eastAsiaTheme="minorHAnsi" w:cs="Arial"/>
                <w:sz w:val="16"/>
                <w:szCs w:val="16"/>
              </w:rPr>
              <w:t>aximum energy savings</w:t>
            </w:r>
          </w:p>
        </w:tc>
        <w:tc>
          <w:tcPr>
            <w:tcW w:w="1289" w:type="dxa"/>
            <w:vAlign w:val="center"/>
          </w:tcPr>
          <w:p w14:paraId="39ECFE6D"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3,770,659</w:t>
            </w:r>
          </w:p>
        </w:tc>
        <w:tc>
          <w:tcPr>
            <w:tcW w:w="1290" w:type="dxa"/>
            <w:vAlign w:val="center"/>
          </w:tcPr>
          <w:p w14:paraId="53E97CDB"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8,200,645</w:t>
            </w:r>
          </w:p>
        </w:tc>
        <w:tc>
          <w:tcPr>
            <w:tcW w:w="1290" w:type="dxa"/>
            <w:vAlign w:val="center"/>
          </w:tcPr>
          <w:p w14:paraId="3F67AE8E"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3,122,791</w:t>
            </w:r>
          </w:p>
        </w:tc>
        <w:tc>
          <w:tcPr>
            <w:tcW w:w="1290" w:type="dxa"/>
            <w:vAlign w:val="center"/>
          </w:tcPr>
          <w:p w14:paraId="07A064FE"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7,358,651</w:t>
            </w:r>
          </w:p>
        </w:tc>
        <w:tc>
          <w:tcPr>
            <w:tcW w:w="1290" w:type="dxa"/>
            <w:vAlign w:val="center"/>
          </w:tcPr>
          <w:p w14:paraId="2F4F0ADD" w14:textId="77777777" w:rsidR="00A743CB" w:rsidRPr="00466924" w:rsidRDefault="00A743CB" w:rsidP="00D86F20">
            <w:pPr>
              <w:spacing w:before="0" w:after="0" w:line="240" w:lineRule="auto"/>
              <w:jc w:val="center"/>
              <w:rPr>
                <w:rFonts w:eastAsiaTheme="minorHAnsi" w:cs="Arial"/>
                <w:sz w:val="16"/>
                <w:szCs w:val="16"/>
              </w:rPr>
            </w:pPr>
            <w:r w:rsidRPr="00466924">
              <w:rPr>
                <w:rFonts w:eastAsiaTheme="minorHAnsi" w:cs="Arial"/>
                <w:sz w:val="16"/>
                <w:szCs w:val="16"/>
              </w:rPr>
              <w:t>4,524,251</w:t>
            </w:r>
          </w:p>
        </w:tc>
      </w:tr>
    </w:tbl>
    <w:p w14:paraId="4067CD6E" w14:textId="77777777" w:rsidR="00720CA3" w:rsidRPr="00466924" w:rsidRDefault="00D96D7C" w:rsidP="00E37D5A">
      <w:pPr>
        <w:jc w:val="left"/>
        <w:rPr>
          <w:i/>
        </w:rPr>
      </w:pPr>
      <w:r w:rsidRPr="00466924">
        <w:rPr>
          <w:i/>
        </w:rPr>
        <w:t>Table 6</w:t>
      </w:r>
      <w:r w:rsidR="000B1AFB" w:rsidRPr="00466924">
        <w:rPr>
          <w:i/>
        </w:rPr>
        <w:t>.</w:t>
      </w:r>
      <w:r w:rsidRPr="00466924">
        <w:rPr>
          <w:i/>
        </w:rPr>
        <w:t xml:space="preserve"> </w:t>
      </w:r>
      <w:r w:rsidR="00F6273B" w:rsidRPr="00466924">
        <w:rPr>
          <w:i/>
        </w:rPr>
        <w:t>Energy savings across all LSOAs. Sourc</w:t>
      </w:r>
      <w:r w:rsidR="00597603" w:rsidRPr="00466924">
        <w:rPr>
          <w:i/>
        </w:rPr>
        <w:t>e: Deakin et al</w:t>
      </w:r>
      <w:r w:rsidR="001579BA" w:rsidRPr="00466924">
        <w:rPr>
          <w:i/>
        </w:rPr>
        <w:t>.</w:t>
      </w:r>
      <w:r w:rsidR="00597603" w:rsidRPr="00466924">
        <w:rPr>
          <w:i/>
        </w:rPr>
        <w:t xml:space="preserve"> </w:t>
      </w:r>
      <w:r w:rsidR="001579BA" w:rsidRPr="00466924">
        <w:rPr>
          <w:i/>
        </w:rPr>
        <w:t>(</w:t>
      </w:r>
      <w:r w:rsidR="00597603" w:rsidRPr="00466924">
        <w:rPr>
          <w:i/>
        </w:rPr>
        <w:t>2014</w:t>
      </w:r>
      <w:r w:rsidR="001579BA" w:rsidRPr="00466924">
        <w:rPr>
          <w:i/>
        </w:rPr>
        <w:t>)</w:t>
      </w:r>
      <w:r w:rsidR="00597603" w:rsidRPr="00466924">
        <w:rPr>
          <w:i/>
        </w:rPr>
        <w:t>.</w:t>
      </w:r>
    </w:p>
    <w:p w14:paraId="6940CF79" w14:textId="77777777" w:rsidR="002C28B5" w:rsidRPr="00466924" w:rsidRDefault="002C28B5" w:rsidP="00E37D5A">
      <w:pPr>
        <w:spacing w:before="0" w:after="0" w:line="240" w:lineRule="auto"/>
        <w:jc w:val="left"/>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83"/>
        <w:gridCol w:w="1284"/>
        <w:gridCol w:w="1284"/>
        <w:gridCol w:w="1284"/>
        <w:gridCol w:w="1284"/>
      </w:tblGrid>
      <w:tr w:rsidR="009C37FF" w:rsidRPr="00466924" w14:paraId="6BAD7A78" w14:textId="77777777" w:rsidTr="002114A1">
        <w:trPr>
          <w:trHeight w:val="60"/>
        </w:trPr>
        <w:tc>
          <w:tcPr>
            <w:tcW w:w="3261" w:type="dxa"/>
            <w:tcBorders>
              <w:top w:val="nil"/>
              <w:left w:val="nil"/>
              <w:bottom w:val="single" w:sz="4" w:space="0" w:color="auto"/>
              <w:right w:val="single" w:sz="4" w:space="0" w:color="auto"/>
            </w:tcBorders>
            <w:shd w:val="clear" w:color="auto" w:fill="auto"/>
          </w:tcPr>
          <w:p w14:paraId="76643EFA" w14:textId="77777777" w:rsidR="009C37FF" w:rsidRPr="00466924" w:rsidRDefault="009C37FF" w:rsidP="00E37D5A">
            <w:pPr>
              <w:spacing w:before="0" w:after="0" w:line="240" w:lineRule="auto"/>
              <w:jc w:val="left"/>
              <w:rPr>
                <w:rFonts w:eastAsiaTheme="minorHAnsi" w:cs="Arial"/>
                <w:b/>
                <w:bCs/>
                <w:sz w:val="16"/>
                <w:szCs w:val="16"/>
              </w:rPr>
            </w:pPr>
          </w:p>
        </w:tc>
        <w:tc>
          <w:tcPr>
            <w:tcW w:w="1283" w:type="dxa"/>
            <w:tcBorders>
              <w:left w:val="single" w:sz="4" w:space="0" w:color="auto"/>
              <w:bottom w:val="single" w:sz="4" w:space="0" w:color="auto"/>
            </w:tcBorders>
            <w:shd w:val="clear" w:color="auto" w:fill="D9D9D9" w:themeFill="background1" w:themeFillShade="D9"/>
            <w:vAlign w:val="center"/>
          </w:tcPr>
          <w:p w14:paraId="7ED0FDD8" w14:textId="77777777" w:rsidR="009C37FF" w:rsidRPr="00466924" w:rsidRDefault="009C37FF"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1</w:t>
            </w:r>
          </w:p>
        </w:tc>
        <w:tc>
          <w:tcPr>
            <w:tcW w:w="1284" w:type="dxa"/>
            <w:tcBorders>
              <w:bottom w:val="single" w:sz="4" w:space="0" w:color="auto"/>
            </w:tcBorders>
            <w:shd w:val="clear" w:color="auto" w:fill="D9D9D9" w:themeFill="background1" w:themeFillShade="D9"/>
            <w:vAlign w:val="center"/>
          </w:tcPr>
          <w:p w14:paraId="32A73F94" w14:textId="77777777" w:rsidR="009C37FF" w:rsidRPr="00466924" w:rsidRDefault="009C37FF"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2</w:t>
            </w:r>
          </w:p>
        </w:tc>
        <w:tc>
          <w:tcPr>
            <w:tcW w:w="1284" w:type="dxa"/>
            <w:tcBorders>
              <w:bottom w:val="single" w:sz="4" w:space="0" w:color="auto"/>
            </w:tcBorders>
            <w:shd w:val="clear" w:color="auto" w:fill="D9D9D9" w:themeFill="background1" w:themeFillShade="D9"/>
            <w:vAlign w:val="center"/>
          </w:tcPr>
          <w:p w14:paraId="553EF133" w14:textId="77777777" w:rsidR="009C37FF" w:rsidRPr="00466924" w:rsidRDefault="009C37FF"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3</w:t>
            </w:r>
          </w:p>
        </w:tc>
        <w:tc>
          <w:tcPr>
            <w:tcW w:w="1284" w:type="dxa"/>
            <w:tcBorders>
              <w:bottom w:val="single" w:sz="4" w:space="0" w:color="auto"/>
            </w:tcBorders>
            <w:shd w:val="clear" w:color="auto" w:fill="D9D9D9" w:themeFill="background1" w:themeFillShade="D9"/>
            <w:vAlign w:val="center"/>
          </w:tcPr>
          <w:p w14:paraId="6AB80299" w14:textId="77777777" w:rsidR="009C37FF" w:rsidRPr="00466924" w:rsidRDefault="009C37FF"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4</w:t>
            </w:r>
          </w:p>
        </w:tc>
        <w:tc>
          <w:tcPr>
            <w:tcW w:w="1284" w:type="dxa"/>
            <w:tcBorders>
              <w:bottom w:val="single" w:sz="4" w:space="0" w:color="auto"/>
            </w:tcBorders>
            <w:shd w:val="clear" w:color="auto" w:fill="D9D9D9" w:themeFill="background1" w:themeFillShade="D9"/>
            <w:vAlign w:val="center"/>
          </w:tcPr>
          <w:p w14:paraId="304895F4" w14:textId="77777777" w:rsidR="009C37FF" w:rsidRPr="00466924" w:rsidRDefault="009C37FF" w:rsidP="002114A1">
            <w:pPr>
              <w:spacing w:before="0" w:after="0" w:line="240" w:lineRule="auto"/>
              <w:jc w:val="center"/>
              <w:rPr>
                <w:rFonts w:eastAsiaTheme="minorHAnsi" w:cs="Arial"/>
                <w:b/>
                <w:bCs/>
                <w:sz w:val="16"/>
                <w:szCs w:val="16"/>
              </w:rPr>
            </w:pPr>
            <w:r w:rsidRPr="00466924">
              <w:rPr>
                <w:rFonts w:eastAsiaTheme="minorHAnsi" w:cs="Arial"/>
                <w:b/>
                <w:bCs/>
                <w:sz w:val="16"/>
                <w:szCs w:val="16"/>
              </w:rPr>
              <w:t>LSOA 5</w:t>
            </w:r>
          </w:p>
        </w:tc>
      </w:tr>
      <w:tr w:rsidR="009C37FF" w:rsidRPr="00466924" w14:paraId="6DD85839" w14:textId="77777777" w:rsidTr="002114A1">
        <w:trPr>
          <w:trHeight w:val="187"/>
        </w:trPr>
        <w:tc>
          <w:tcPr>
            <w:tcW w:w="3261" w:type="dxa"/>
            <w:tcBorders>
              <w:top w:val="single" w:sz="4" w:space="0" w:color="auto"/>
              <w:bottom w:val="single" w:sz="4" w:space="0" w:color="auto"/>
            </w:tcBorders>
            <w:shd w:val="clear" w:color="auto" w:fill="D9D9D9" w:themeFill="background1" w:themeFillShade="D9"/>
          </w:tcPr>
          <w:p w14:paraId="79403CB6" w14:textId="77777777" w:rsidR="009C37FF" w:rsidRPr="00466924" w:rsidRDefault="009C37FF" w:rsidP="00E37D5A">
            <w:pPr>
              <w:spacing w:before="0" w:after="0" w:line="240" w:lineRule="auto"/>
              <w:jc w:val="left"/>
              <w:rPr>
                <w:rFonts w:eastAsiaTheme="minorHAnsi" w:cs="Arial"/>
                <w:sz w:val="16"/>
                <w:szCs w:val="16"/>
              </w:rPr>
            </w:pPr>
            <w:r w:rsidRPr="00466924">
              <w:rPr>
                <w:rFonts w:eastAsiaTheme="minorHAnsi" w:cs="Arial"/>
                <w:sz w:val="16"/>
                <w:szCs w:val="16"/>
              </w:rPr>
              <w:t>Current CO</w:t>
            </w:r>
            <w:r w:rsidR="00837976" w:rsidRPr="00466924">
              <w:rPr>
                <w:rFonts w:ascii="Cambria Math" w:eastAsiaTheme="minorHAnsi" w:hAnsi="Cambria Math" w:cs="Cambria Math"/>
                <w:sz w:val="16"/>
                <w:szCs w:val="16"/>
              </w:rPr>
              <w:t>₂</w:t>
            </w:r>
            <w:r w:rsidRPr="00466924">
              <w:rPr>
                <w:rFonts w:eastAsiaTheme="minorHAnsi" w:cs="Arial"/>
                <w:sz w:val="16"/>
                <w:szCs w:val="16"/>
              </w:rPr>
              <w:t xml:space="preserve"> emissions (kg/p.a.) </w:t>
            </w:r>
          </w:p>
        </w:tc>
        <w:tc>
          <w:tcPr>
            <w:tcW w:w="1283" w:type="dxa"/>
            <w:tcBorders>
              <w:bottom w:val="single" w:sz="4" w:space="0" w:color="auto"/>
            </w:tcBorders>
            <w:vAlign w:val="center"/>
          </w:tcPr>
          <w:p w14:paraId="3065FA58"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1,904,109</w:t>
            </w:r>
          </w:p>
        </w:tc>
        <w:tc>
          <w:tcPr>
            <w:tcW w:w="1284" w:type="dxa"/>
            <w:tcBorders>
              <w:bottom w:val="single" w:sz="4" w:space="0" w:color="auto"/>
            </w:tcBorders>
            <w:vAlign w:val="center"/>
          </w:tcPr>
          <w:p w14:paraId="5341CEEB"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4,684,583</w:t>
            </w:r>
          </w:p>
        </w:tc>
        <w:tc>
          <w:tcPr>
            <w:tcW w:w="1284" w:type="dxa"/>
            <w:tcBorders>
              <w:bottom w:val="single" w:sz="4" w:space="0" w:color="auto"/>
            </w:tcBorders>
            <w:vAlign w:val="center"/>
          </w:tcPr>
          <w:p w14:paraId="1EABFC1E"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1,657,453</w:t>
            </w:r>
          </w:p>
        </w:tc>
        <w:tc>
          <w:tcPr>
            <w:tcW w:w="1284" w:type="dxa"/>
            <w:tcBorders>
              <w:bottom w:val="single" w:sz="4" w:space="0" w:color="auto"/>
            </w:tcBorders>
            <w:vAlign w:val="center"/>
          </w:tcPr>
          <w:p w14:paraId="46F3D035"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4,002,471</w:t>
            </w:r>
          </w:p>
        </w:tc>
        <w:tc>
          <w:tcPr>
            <w:tcW w:w="1284" w:type="dxa"/>
            <w:tcBorders>
              <w:bottom w:val="single" w:sz="4" w:space="0" w:color="auto"/>
            </w:tcBorders>
            <w:vAlign w:val="center"/>
          </w:tcPr>
          <w:p w14:paraId="12875BC5"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2,176,338</w:t>
            </w:r>
          </w:p>
        </w:tc>
      </w:tr>
      <w:tr w:rsidR="009C37FF" w:rsidRPr="00466924" w14:paraId="4473950B" w14:textId="77777777" w:rsidTr="00DA16A1">
        <w:trPr>
          <w:trHeight w:val="217"/>
        </w:trPr>
        <w:tc>
          <w:tcPr>
            <w:tcW w:w="9680" w:type="dxa"/>
            <w:gridSpan w:val="6"/>
            <w:tcBorders>
              <w:top w:val="nil"/>
              <w:left w:val="nil"/>
              <w:bottom w:val="single" w:sz="4" w:space="0" w:color="auto"/>
              <w:right w:val="nil"/>
            </w:tcBorders>
          </w:tcPr>
          <w:p w14:paraId="1FBD83BC" w14:textId="77777777" w:rsidR="009C37FF" w:rsidRPr="00466924" w:rsidRDefault="009C37FF" w:rsidP="00E37D5A">
            <w:pPr>
              <w:spacing w:before="0" w:after="0" w:line="240" w:lineRule="auto"/>
              <w:jc w:val="left"/>
              <w:rPr>
                <w:rFonts w:eastAsiaTheme="minorHAnsi" w:cs="Arial"/>
                <w:bCs/>
                <w:sz w:val="16"/>
                <w:szCs w:val="16"/>
              </w:rPr>
            </w:pPr>
            <w:r w:rsidRPr="00466924">
              <w:rPr>
                <w:rFonts w:eastAsiaTheme="minorHAnsi" w:cs="Arial"/>
                <w:bCs/>
                <w:sz w:val="16"/>
                <w:szCs w:val="16"/>
              </w:rPr>
              <w:t>Retrofit(s):</w:t>
            </w:r>
          </w:p>
        </w:tc>
      </w:tr>
      <w:tr w:rsidR="009C37FF" w:rsidRPr="00466924" w14:paraId="26CCEA95" w14:textId="77777777" w:rsidTr="002114A1">
        <w:trPr>
          <w:trHeight w:val="217"/>
        </w:trPr>
        <w:tc>
          <w:tcPr>
            <w:tcW w:w="3261" w:type="dxa"/>
            <w:tcBorders>
              <w:top w:val="single" w:sz="4" w:space="0" w:color="auto"/>
            </w:tcBorders>
            <w:shd w:val="clear" w:color="auto" w:fill="D9D9D9" w:themeFill="background1" w:themeFillShade="D9"/>
          </w:tcPr>
          <w:p w14:paraId="2129A75B" w14:textId="77777777" w:rsidR="009C37FF" w:rsidRPr="00466924" w:rsidRDefault="009C37FF" w:rsidP="00E37D5A">
            <w:pPr>
              <w:spacing w:before="0" w:after="0" w:line="240" w:lineRule="auto"/>
              <w:jc w:val="left"/>
              <w:rPr>
                <w:rFonts w:eastAsiaTheme="minorHAnsi" w:cs="Arial"/>
                <w:sz w:val="16"/>
                <w:szCs w:val="16"/>
              </w:rPr>
            </w:pPr>
            <w:r w:rsidRPr="00466924">
              <w:rPr>
                <w:rFonts w:eastAsiaTheme="minorHAnsi" w:cs="Arial"/>
                <w:sz w:val="16"/>
                <w:szCs w:val="16"/>
              </w:rPr>
              <w:t>1. Thermal</w:t>
            </w:r>
          </w:p>
        </w:tc>
        <w:tc>
          <w:tcPr>
            <w:tcW w:w="1283" w:type="dxa"/>
            <w:tcBorders>
              <w:top w:val="single" w:sz="4" w:space="0" w:color="auto"/>
            </w:tcBorders>
            <w:vAlign w:val="center"/>
          </w:tcPr>
          <w:p w14:paraId="56061829"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378,727</w:t>
            </w:r>
          </w:p>
        </w:tc>
        <w:tc>
          <w:tcPr>
            <w:tcW w:w="1284" w:type="dxa"/>
            <w:tcBorders>
              <w:top w:val="single" w:sz="4" w:space="0" w:color="auto"/>
            </w:tcBorders>
            <w:vAlign w:val="center"/>
          </w:tcPr>
          <w:p w14:paraId="42D9CF63"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931,764</w:t>
            </w:r>
          </w:p>
        </w:tc>
        <w:tc>
          <w:tcPr>
            <w:tcW w:w="1284" w:type="dxa"/>
            <w:tcBorders>
              <w:top w:val="single" w:sz="4" w:space="0" w:color="auto"/>
            </w:tcBorders>
            <w:vAlign w:val="center"/>
          </w:tcPr>
          <w:p w14:paraId="38F5D16C"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329,667</w:t>
            </w:r>
          </w:p>
        </w:tc>
        <w:tc>
          <w:tcPr>
            <w:tcW w:w="1284" w:type="dxa"/>
            <w:tcBorders>
              <w:top w:val="single" w:sz="4" w:space="0" w:color="auto"/>
            </w:tcBorders>
            <w:vAlign w:val="center"/>
          </w:tcPr>
          <w:p w14:paraId="496FE883"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796,091</w:t>
            </w:r>
          </w:p>
        </w:tc>
        <w:tc>
          <w:tcPr>
            <w:tcW w:w="1284" w:type="dxa"/>
            <w:tcBorders>
              <w:top w:val="single" w:sz="4" w:space="0" w:color="auto"/>
            </w:tcBorders>
            <w:vAlign w:val="center"/>
          </w:tcPr>
          <w:p w14:paraId="6537BFFB"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432,874</w:t>
            </w:r>
          </w:p>
        </w:tc>
      </w:tr>
      <w:tr w:rsidR="009C37FF" w:rsidRPr="00466924" w14:paraId="058E320F" w14:textId="77777777" w:rsidTr="002114A1">
        <w:trPr>
          <w:trHeight w:val="217"/>
        </w:trPr>
        <w:tc>
          <w:tcPr>
            <w:tcW w:w="3261" w:type="dxa"/>
            <w:shd w:val="clear" w:color="auto" w:fill="D9D9D9" w:themeFill="background1" w:themeFillShade="D9"/>
          </w:tcPr>
          <w:p w14:paraId="1E502D46" w14:textId="77777777" w:rsidR="009C37FF" w:rsidRPr="00466924" w:rsidRDefault="009C37FF" w:rsidP="00E37D5A">
            <w:pPr>
              <w:spacing w:before="0" w:after="0" w:line="240" w:lineRule="auto"/>
              <w:jc w:val="left"/>
              <w:rPr>
                <w:rFonts w:eastAsiaTheme="minorHAnsi" w:cs="Arial"/>
                <w:sz w:val="16"/>
                <w:szCs w:val="16"/>
              </w:rPr>
            </w:pPr>
            <w:r w:rsidRPr="00466924">
              <w:rPr>
                <w:rFonts w:eastAsiaTheme="minorHAnsi" w:cs="Arial"/>
                <w:sz w:val="16"/>
                <w:szCs w:val="16"/>
              </w:rPr>
              <w:t>2. Thermal-plus</w:t>
            </w:r>
          </w:p>
        </w:tc>
        <w:tc>
          <w:tcPr>
            <w:tcW w:w="1283" w:type="dxa"/>
            <w:vAlign w:val="center"/>
          </w:tcPr>
          <w:p w14:paraId="04E5936D"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592,368</w:t>
            </w:r>
          </w:p>
        </w:tc>
        <w:tc>
          <w:tcPr>
            <w:tcW w:w="1284" w:type="dxa"/>
            <w:vAlign w:val="center"/>
          </w:tcPr>
          <w:p w14:paraId="76556A87"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1,457,374</w:t>
            </w:r>
          </w:p>
        </w:tc>
        <w:tc>
          <w:tcPr>
            <w:tcW w:w="1284" w:type="dxa"/>
            <w:vAlign w:val="center"/>
          </w:tcPr>
          <w:p w14:paraId="45E4A425"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515,634</w:t>
            </w:r>
          </w:p>
        </w:tc>
        <w:tc>
          <w:tcPr>
            <w:tcW w:w="1284" w:type="dxa"/>
            <w:vAlign w:val="center"/>
          </w:tcPr>
          <w:p w14:paraId="6F79F6E1"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1,245,169</w:t>
            </w:r>
          </w:p>
        </w:tc>
        <w:tc>
          <w:tcPr>
            <w:tcW w:w="1284" w:type="dxa"/>
            <w:vAlign w:val="center"/>
          </w:tcPr>
          <w:p w14:paraId="350114F8"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677,059</w:t>
            </w:r>
          </w:p>
        </w:tc>
      </w:tr>
      <w:tr w:rsidR="009C37FF" w:rsidRPr="00466924" w14:paraId="576D978A" w14:textId="77777777" w:rsidTr="002114A1">
        <w:trPr>
          <w:trHeight w:val="143"/>
        </w:trPr>
        <w:tc>
          <w:tcPr>
            <w:tcW w:w="3261" w:type="dxa"/>
            <w:shd w:val="clear" w:color="auto" w:fill="D9D9D9" w:themeFill="background1" w:themeFillShade="D9"/>
          </w:tcPr>
          <w:p w14:paraId="3B231343" w14:textId="77777777" w:rsidR="009C37FF" w:rsidRPr="00466924" w:rsidRDefault="009C37FF" w:rsidP="00E37D5A">
            <w:pPr>
              <w:spacing w:before="0" w:after="0" w:line="240" w:lineRule="auto"/>
              <w:jc w:val="left"/>
              <w:rPr>
                <w:rFonts w:eastAsiaTheme="minorHAnsi" w:cs="Arial"/>
                <w:sz w:val="16"/>
                <w:szCs w:val="16"/>
              </w:rPr>
            </w:pPr>
            <w:r w:rsidRPr="00466924">
              <w:rPr>
                <w:rFonts w:eastAsiaTheme="minorHAnsi" w:cs="Arial"/>
                <w:sz w:val="16"/>
                <w:szCs w:val="16"/>
              </w:rPr>
              <w:t>Maximum CO</w:t>
            </w:r>
            <w:r w:rsidR="00837976" w:rsidRPr="00466924">
              <w:rPr>
                <w:rFonts w:ascii="Cambria Math" w:eastAsiaTheme="minorHAnsi" w:hAnsi="Cambria Math" w:cs="Cambria Math"/>
                <w:sz w:val="16"/>
                <w:szCs w:val="16"/>
              </w:rPr>
              <w:t>₂</w:t>
            </w:r>
            <w:r w:rsidRPr="00466924">
              <w:rPr>
                <w:rFonts w:eastAsiaTheme="minorHAnsi" w:cs="Arial"/>
                <w:sz w:val="16"/>
                <w:szCs w:val="16"/>
              </w:rPr>
              <w:t xml:space="preserve"> savings</w:t>
            </w:r>
          </w:p>
        </w:tc>
        <w:tc>
          <w:tcPr>
            <w:tcW w:w="1283" w:type="dxa"/>
            <w:vAlign w:val="center"/>
          </w:tcPr>
          <w:p w14:paraId="4BA6B274"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971,096</w:t>
            </w:r>
          </w:p>
        </w:tc>
        <w:tc>
          <w:tcPr>
            <w:tcW w:w="1284" w:type="dxa"/>
            <w:vAlign w:val="center"/>
          </w:tcPr>
          <w:p w14:paraId="5518E00F"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2,389,137</w:t>
            </w:r>
          </w:p>
        </w:tc>
        <w:tc>
          <w:tcPr>
            <w:tcW w:w="1284" w:type="dxa"/>
            <w:vAlign w:val="center"/>
          </w:tcPr>
          <w:p w14:paraId="36588A13"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845,301</w:t>
            </w:r>
          </w:p>
        </w:tc>
        <w:tc>
          <w:tcPr>
            <w:tcW w:w="1284" w:type="dxa"/>
            <w:vAlign w:val="center"/>
          </w:tcPr>
          <w:p w14:paraId="7DB5C095"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2,041,260</w:t>
            </w:r>
          </w:p>
        </w:tc>
        <w:tc>
          <w:tcPr>
            <w:tcW w:w="1284" w:type="dxa"/>
            <w:vAlign w:val="center"/>
          </w:tcPr>
          <w:p w14:paraId="40AA117C" w14:textId="77777777" w:rsidR="009C37FF" w:rsidRPr="00466924" w:rsidRDefault="009C37FF" w:rsidP="00D86F20">
            <w:pPr>
              <w:spacing w:before="0" w:after="0" w:line="240" w:lineRule="auto"/>
              <w:jc w:val="center"/>
              <w:rPr>
                <w:rFonts w:eastAsiaTheme="minorHAnsi" w:cs="Arial"/>
                <w:sz w:val="16"/>
                <w:szCs w:val="16"/>
              </w:rPr>
            </w:pPr>
            <w:r w:rsidRPr="00466924">
              <w:rPr>
                <w:rFonts w:eastAsiaTheme="minorHAnsi" w:cs="Arial"/>
                <w:sz w:val="16"/>
                <w:szCs w:val="16"/>
              </w:rPr>
              <w:t>1,109,932</w:t>
            </w:r>
          </w:p>
        </w:tc>
      </w:tr>
    </w:tbl>
    <w:p w14:paraId="225B6CA4" w14:textId="77777777" w:rsidR="00B512A9" w:rsidRPr="00466924" w:rsidRDefault="00D96D7C" w:rsidP="00E37D5A">
      <w:pPr>
        <w:spacing w:before="0" w:after="0" w:line="240" w:lineRule="auto"/>
        <w:jc w:val="left"/>
        <w:rPr>
          <w:i/>
        </w:rPr>
      </w:pPr>
      <w:r w:rsidRPr="00466924">
        <w:rPr>
          <w:i/>
        </w:rPr>
        <w:t>Table 7</w:t>
      </w:r>
      <w:r w:rsidR="000B1AFB" w:rsidRPr="00466924">
        <w:rPr>
          <w:i/>
        </w:rPr>
        <w:t>.</w:t>
      </w:r>
      <w:r w:rsidR="00E44FA6" w:rsidRPr="00466924">
        <w:rPr>
          <w:i/>
        </w:rPr>
        <w:t xml:space="preserve"> </w:t>
      </w:r>
      <w:r w:rsidR="00781A5D" w:rsidRPr="00466924">
        <w:rPr>
          <w:rFonts w:cs="Arial"/>
        </w:rPr>
        <w:t>CO</w:t>
      </w:r>
      <w:r w:rsidR="00781A5D" w:rsidRPr="00466924">
        <w:rPr>
          <w:rFonts w:cs="Arial"/>
          <w:vertAlign w:val="subscript"/>
        </w:rPr>
        <w:t>2</w:t>
      </w:r>
      <w:r w:rsidR="00F6273B" w:rsidRPr="00466924">
        <w:rPr>
          <w:i/>
        </w:rPr>
        <w:t xml:space="preserve"> emission reductions across all LSOAs.</w:t>
      </w:r>
      <w:r w:rsidR="005769E1" w:rsidRPr="00466924">
        <w:rPr>
          <w:i/>
        </w:rPr>
        <w:t xml:space="preserve"> Sourc</w:t>
      </w:r>
      <w:r w:rsidR="00597603" w:rsidRPr="00466924">
        <w:rPr>
          <w:i/>
        </w:rPr>
        <w:t>e: Deakin et al.</w:t>
      </w:r>
      <w:r w:rsidR="001579BA" w:rsidRPr="00466924">
        <w:rPr>
          <w:i/>
        </w:rPr>
        <w:t xml:space="preserve"> (</w:t>
      </w:r>
      <w:r w:rsidR="00597603" w:rsidRPr="00466924">
        <w:rPr>
          <w:i/>
        </w:rPr>
        <w:t>2014</w:t>
      </w:r>
      <w:r w:rsidR="001579BA" w:rsidRPr="00466924">
        <w:rPr>
          <w:i/>
        </w:rPr>
        <w:t>)</w:t>
      </w:r>
      <w:r w:rsidR="005769E1" w:rsidRPr="00466924">
        <w:rPr>
          <w:i/>
        </w:rPr>
        <w:t xml:space="preserve">. </w:t>
      </w:r>
    </w:p>
    <w:p w14:paraId="28638B73" w14:textId="77777777" w:rsidR="00BB570D" w:rsidRPr="00466924" w:rsidRDefault="00BB570D" w:rsidP="00E37D5A">
      <w:pPr>
        <w:spacing w:before="0" w:after="0" w:line="240" w:lineRule="auto"/>
        <w:jc w:val="left"/>
        <w:rPr>
          <w:i/>
          <w:sz w:val="18"/>
          <w:szCs w:val="18"/>
        </w:rPr>
      </w:pPr>
    </w:p>
    <w:p w14:paraId="0DE97347" w14:textId="77777777" w:rsidR="0047700D" w:rsidRDefault="0047700D" w:rsidP="00E37D5A">
      <w:pPr>
        <w:spacing w:before="0" w:after="0" w:line="240" w:lineRule="auto"/>
        <w:jc w:val="left"/>
        <w:rPr>
          <w:i/>
          <w:sz w:val="18"/>
          <w:szCs w:val="18"/>
        </w:rPr>
      </w:pPr>
      <w:r>
        <w:rPr>
          <w:i/>
          <w:sz w:val="18"/>
          <w:szCs w:val="18"/>
        </w:rPr>
        <w:t>Notes for Tables 6 &amp; 7.</w:t>
      </w:r>
    </w:p>
    <w:p w14:paraId="4FF81C9F" w14:textId="77777777" w:rsidR="0047700D" w:rsidRDefault="0047700D" w:rsidP="00E37D5A">
      <w:pPr>
        <w:spacing w:before="0" w:after="0" w:line="240" w:lineRule="auto"/>
        <w:jc w:val="left"/>
        <w:rPr>
          <w:i/>
          <w:sz w:val="18"/>
          <w:szCs w:val="18"/>
        </w:rPr>
      </w:pPr>
    </w:p>
    <w:p w14:paraId="7C6ED194" w14:textId="77777777" w:rsidR="00B73F32" w:rsidRDefault="00E44FA6" w:rsidP="00E37D5A">
      <w:pPr>
        <w:spacing w:before="0" w:after="0" w:line="240" w:lineRule="auto"/>
        <w:jc w:val="left"/>
        <w:rPr>
          <w:i/>
          <w:sz w:val="18"/>
          <w:szCs w:val="18"/>
        </w:rPr>
      </w:pPr>
      <w:r w:rsidRPr="00466924">
        <w:rPr>
          <w:i/>
          <w:sz w:val="18"/>
          <w:szCs w:val="18"/>
        </w:rPr>
        <w:t>Neither the thermal, nor thermal-plus retrofit option affect t</w:t>
      </w:r>
      <w:r w:rsidR="001F3D98" w:rsidRPr="00466924">
        <w:rPr>
          <w:i/>
          <w:sz w:val="18"/>
          <w:szCs w:val="18"/>
        </w:rPr>
        <w:t>he STVR and PVTVR values</w:t>
      </w:r>
      <w:r w:rsidRPr="00466924">
        <w:rPr>
          <w:i/>
          <w:sz w:val="18"/>
          <w:szCs w:val="18"/>
        </w:rPr>
        <w:t xml:space="preserve">. This is because </w:t>
      </w:r>
      <w:r w:rsidR="009201D8" w:rsidRPr="00466924">
        <w:rPr>
          <w:i/>
          <w:sz w:val="18"/>
          <w:szCs w:val="18"/>
        </w:rPr>
        <w:t>with mass retrofits, the only change to the urban</w:t>
      </w:r>
      <w:r w:rsidR="001F3D98" w:rsidRPr="00466924">
        <w:rPr>
          <w:i/>
          <w:sz w:val="18"/>
          <w:szCs w:val="18"/>
        </w:rPr>
        <w:t xml:space="preserve"> context is infrastructural. As a result</w:t>
      </w:r>
      <w:r w:rsidR="0042706B">
        <w:rPr>
          <w:i/>
          <w:sz w:val="18"/>
          <w:szCs w:val="18"/>
        </w:rPr>
        <w:t>,</w:t>
      </w:r>
      <w:r w:rsidR="001F3D98" w:rsidRPr="00466924">
        <w:rPr>
          <w:i/>
          <w:sz w:val="18"/>
          <w:szCs w:val="18"/>
        </w:rPr>
        <w:t xml:space="preserve"> </w:t>
      </w:r>
      <w:r w:rsidR="009201D8" w:rsidRPr="00466924">
        <w:rPr>
          <w:i/>
          <w:sz w:val="18"/>
          <w:szCs w:val="18"/>
        </w:rPr>
        <w:t xml:space="preserve">there is no development of the building’s external </w:t>
      </w:r>
      <w:r w:rsidR="0080274F">
        <w:rPr>
          <w:i/>
          <w:sz w:val="18"/>
          <w:szCs w:val="18"/>
        </w:rPr>
        <w:t>envelope</w:t>
      </w:r>
      <w:r w:rsidR="009201D8" w:rsidRPr="00466924">
        <w:rPr>
          <w:i/>
          <w:sz w:val="18"/>
          <w:szCs w:val="18"/>
        </w:rPr>
        <w:t>, only to the thermography of lighting, heating and power</w:t>
      </w:r>
      <w:r w:rsidR="009201D8" w:rsidRPr="00466924">
        <w:rPr>
          <w:sz w:val="18"/>
          <w:szCs w:val="18"/>
        </w:rPr>
        <w:t xml:space="preserve"> </w:t>
      </w:r>
      <w:r w:rsidR="009201D8" w:rsidRPr="00466924">
        <w:rPr>
          <w:i/>
          <w:sz w:val="18"/>
          <w:szCs w:val="18"/>
        </w:rPr>
        <w:t>systems, they integra</w:t>
      </w:r>
      <w:r w:rsidR="00017AD0" w:rsidRPr="00466924">
        <w:rPr>
          <w:i/>
          <w:sz w:val="18"/>
          <w:szCs w:val="18"/>
        </w:rPr>
        <w:t xml:space="preserve">te </w:t>
      </w:r>
      <w:r w:rsidR="001F3D98" w:rsidRPr="00466924">
        <w:rPr>
          <w:i/>
          <w:sz w:val="18"/>
          <w:szCs w:val="18"/>
        </w:rPr>
        <w:t>into the fabric of the buildings and</w:t>
      </w:r>
      <w:r w:rsidR="00017AD0" w:rsidRPr="00466924">
        <w:rPr>
          <w:i/>
          <w:sz w:val="18"/>
          <w:szCs w:val="18"/>
        </w:rPr>
        <w:t xml:space="preserve"> occupants</w:t>
      </w:r>
      <w:r w:rsidR="001F3D98" w:rsidRPr="00466924">
        <w:rPr>
          <w:i/>
          <w:sz w:val="18"/>
          <w:szCs w:val="18"/>
        </w:rPr>
        <w:t xml:space="preserve"> make</w:t>
      </w:r>
      <w:r w:rsidR="00017AD0" w:rsidRPr="00466924">
        <w:rPr>
          <w:i/>
          <w:sz w:val="18"/>
          <w:szCs w:val="18"/>
        </w:rPr>
        <w:t xml:space="preserve"> use</w:t>
      </w:r>
      <w:r w:rsidR="001F3D98" w:rsidRPr="00466924">
        <w:rPr>
          <w:i/>
          <w:sz w:val="18"/>
          <w:szCs w:val="18"/>
        </w:rPr>
        <w:t xml:space="preserve"> of</w:t>
      </w:r>
      <w:r w:rsidR="009201D8" w:rsidRPr="00466924">
        <w:rPr>
          <w:i/>
          <w:sz w:val="18"/>
          <w:szCs w:val="18"/>
        </w:rPr>
        <w:t>.</w:t>
      </w:r>
      <w:r w:rsidR="001F3D98" w:rsidRPr="00466924">
        <w:rPr>
          <w:i/>
          <w:sz w:val="18"/>
          <w:szCs w:val="18"/>
        </w:rPr>
        <w:t xml:space="preserve"> In this morphological structure, </w:t>
      </w:r>
      <w:r w:rsidR="00867A4C" w:rsidRPr="00466924">
        <w:rPr>
          <w:i/>
          <w:sz w:val="18"/>
          <w:szCs w:val="18"/>
        </w:rPr>
        <w:t xml:space="preserve">urban context </w:t>
      </w:r>
      <w:r w:rsidR="00191C6B" w:rsidRPr="00466924">
        <w:rPr>
          <w:i/>
          <w:sz w:val="18"/>
          <w:szCs w:val="18"/>
        </w:rPr>
        <w:t>account</w:t>
      </w:r>
      <w:r w:rsidR="00867A4C" w:rsidRPr="00466924">
        <w:rPr>
          <w:i/>
          <w:sz w:val="18"/>
          <w:szCs w:val="18"/>
        </w:rPr>
        <w:t>s</w:t>
      </w:r>
      <w:r w:rsidR="00191C6B" w:rsidRPr="00466924">
        <w:rPr>
          <w:i/>
          <w:sz w:val="18"/>
          <w:szCs w:val="18"/>
        </w:rPr>
        <w:t xml:space="preserve"> for up to 25% of </w:t>
      </w:r>
      <w:r w:rsidR="00867A4C" w:rsidRPr="00466924">
        <w:rPr>
          <w:i/>
          <w:sz w:val="18"/>
          <w:szCs w:val="18"/>
        </w:rPr>
        <w:t xml:space="preserve">the </w:t>
      </w:r>
      <w:r w:rsidR="00191C6B" w:rsidRPr="00466924">
        <w:rPr>
          <w:i/>
          <w:sz w:val="18"/>
          <w:szCs w:val="18"/>
        </w:rPr>
        <w:t xml:space="preserve">total energy </w:t>
      </w:r>
      <w:r w:rsidR="00867A4C" w:rsidRPr="00466924">
        <w:rPr>
          <w:i/>
          <w:sz w:val="18"/>
          <w:szCs w:val="18"/>
        </w:rPr>
        <w:t xml:space="preserve">consumption and </w:t>
      </w:r>
      <w:r w:rsidR="00781A5D" w:rsidRPr="00466924">
        <w:rPr>
          <w:rFonts w:cs="Arial"/>
          <w:sz w:val="18"/>
          <w:szCs w:val="18"/>
        </w:rPr>
        <w:t>CO</w:t>
      </w:r>
      <w:r w:rsidR="00781A5D" w:rsidRPr="00466924">
        <w:rPr>
          <w:rFonts w:cs="Arial"/>
          <w:sz w:val="18"/>
          <w:szCs w:val="18"/>
          <w:vertAlign w:val="subscript"/>
        </w:rPr>
        <w:t>2</w:t>
      </w:r>
      <w:r w:rsidR="00867A4C" w:rsidRPr="00466924">
        <w:rPr>
          <w:i/>
          <w:sz w:val="18"/>
          <w:szCs w:val="18"/>
        </w:rPr>
        <w:t xml:space="preserve"> emission,</w:t>
      </w:r>
      <w:r w:rsidR="0072265B" w:rsidRPr="00466924">
        <w:rPr>
          <w:i/>
          <w:sz w:val="18"/>
          <w:szCs w:val="18"/>
        </w:rPr>
        <w:t xml:space="preserve"> with mass retrofit proposals, building systems,</w:t>
      </w:r>
      <w:r w:rsidR="00191C6B" w:rsidRPr="00466924">
        <w:rPr>
          <w:i/>
          <w:sz w:val="18"/>
          <w:szCs w:val="18"/>
        </w:rPr>
        <w:t xml:space="preserve"> use and occupation</w:t>
      </w:r>
      <w:r w:rsidR="0072265B" w:rsidRPr="00466924">
        <w:rPr>
          <w:i/>
          <w:sz w:val="18"/>
          <w:szCs w:val="18"/>
        </w:rPr>
        <w:t xml:space="preserve"> account for the remaining 75%</w:t>
      </w:r>
      <w:r w:rsidR="00017AD0" w:rsidRPr="00466924">
        <w:rPr>
          <w:i/>
          <w:sz w:val="18"/>
          <w:szCs w:val="18"/>
        </w:rPr>
        <w:t>. These</w:t>
      </w:r>
      <w:r w:rsidR="00191C6B" w:rsidRPr="00466924">
        <w:rPr>
          <w:i/>
          <w:sz w:val="18"/>
          <w:szCs w:val="18"/>
        </w:rPr>
        <w:t xml:space="preserve"> </w:t>
      </w:r>
      <w:r w:rsidR="00017AD0" w:rsidRPr="00466924">
        <w:rPr>
          <w:i/>
          <w:sz w:val="18"/>
          <w:szCs w:val="18"/>
        </w:rPr>
        <w:t>components not</w:t>
      </w:r>
      <w:r w:rsidR="00E917A6" w:rsidRPr="00466924">
        <w:rPr>
          <w:i/>
          <w:sz w:val="18"/>
          <w:szCs w:val="18"/>
        </w:rPr>
        <w:t xml:space="preserve"> only </w:t>
      </w:r>
      <w:r w:rsidR="00017AD0" w:rsidRPr="00466924">
        <w:rPr>
          <w:i/>
          <w:sz w:val="18"/>
          <w:szCs w:val="18"/>
        </w:rPr>
        <w:t xml:space="preserve">offer </w:t>
      </w:r>
      <w:r w:rsidR="00191C6B" w:rsidRPr="00466924">
        <w:rPr>
          <w:i/>
          <w:sz w:val="18"/>
          <w:szCs w:val="18"/>
        </w:rPr>
        <w:t xml:space="preserve">the greatest </w:t>
      </w:r>
      <w:r w:rsidR="00E917A6" w:rsidRPr="00466924">
        <w:rPr>
          <w:i/>
          <w:sz w:val="18"/>
          <w:szCs w:val="18"/>
        </w:rPr>
        <w:t>levels of</w:t>
      </w:r>
      <w:r w:rsidR="00D86F20" w:rsidRPr="00466924">
        <w:rPr>
          <w:i/>
          <w:sz w:val="18"/>
          <w:szCs w:val="18"/>
        </w:rPr>
        <w:t xml:space="preserve"> energy</w:t>
      </w:r>
      <w:r w:rsidR="00E917A6" w:rsidRPr="00466924">
        <w:rPr>
          <w:i/>
          <w:sz w:val="18"/>
          <w:szCs w:val="18"/>
        </w:rPr>
        <w:t xml:space="preserve"> </w:t>
      </w:r>
      <w:r w:rsidR="00985BF8" w:rsidRPr="00466924">
        <w:rPr>
          <w:i/>
          <w:sz w:val="18"/>
          <w:szCs w:val="18"/>
        </w:rPr>
        <w:t xml:space="preserve">savings, but </w:t>
      </w:r>
      <w:r w:rsidR="00017AD0" w:rsidRPr="00466924">
        <w:rPr>
          <w:i/>
          <w:sz w:val="18"/>
          <w:szCs w:val="18"/>
        </w:rPr>
        <w:t xml:space="preserve">also the </w:t>
      </w:r>
      <w:r w:rsidR="00985BF8" w:rsidRPr="00466924">
        <w:rPr>
          <w:i/>
          <w:sz w:val="18"/>
          <w:szCs w:val="18"/>
        </w:rPr>
        <w:t>highest</w:t>
      </w:r>
      <w:r w:rsidR="00E917A6" w:rsidRPr="00466924">
        <w:rPr>
          <w:i/>
          <w:sz w:val="18"/>
          <w:szCs w:val="18"/>
        </w:rPr>
        <w:t xml:space="preserve"> rates of </w:t>
      </w:r>
      <w:r w:rsidR="00D86F20" w:rsidRPr="00466924">
        <w:rPr>
          <w:i/>
          <w:sz w:val="18"/>
          <w:szCs w:val="18"/>
        </w:rPr>
        <w:t>CO</w:t>
      </w:r>
      <w:r w:rsidR="00D86F20" w:rsidRPr="00466924">
        <w:rPr>
          <w:i/>
          <w:sz w:val="18"/>
          <w:szCs w:val="18"/>
          <w:vertAlign w:val="subscript"/>
        </w:rPr>
        <w:t>2</w:t>
      </w:r>
      <w:r w:rsidR="00D86F20" w:rsidRPr="00466924">
        <w:rPr>
          <w:i/>
          <w:sz w:val="18"/>
          <w:szCs w:val="18"/>
        </w:rPr>
        <w:t xml:space="preserve"> </w:t>
      </w:r>
      <w:r w:rsidR="00E917A6" w:rsidRPr="00466924">
        <w:rPr>
          <w:i/>
          <w:sz w:val="18"/>
          <w:szCs w:val="18"/>
        </w:rPr>
        <w:t>reduction</w:t>
      </w:r>
      <w:r w:rsidR="00191C6B" w:rsidRPr="00466924">
        <w:rPr>
          <w:i/>
          <w:sz w:val="18"/>
          <w:szCs w:val="18"/>
        </w:rPr>
        <w:t xml:space="preserve">. That is </w:t>
      </w:r>
      <w:r w:rsidR="00E917A6" w:rsidRPr="00466924">
        <w:rPr>
          <w:i/>
          <w:sz w:val="18"/>
          <w:szCs w:val="18"/>
        </w:rPr>
        <w:t xml:space="preserve">energy </w:t>
      </w:r>
      <w:r w:rsidR="00191C6B" w:rsidRPr="00466924">
        <w:rPr>
          <w:i/>
          <w:sz w:val="18"/>
          <w:szCs w:val="18"/>
        </w:rPr>
        <w:t xml:space="preserve">efficiency gains, which lower the level of </w:t>
      </w:r>
      <w:r w:rsidR="00781A5D" w:rsidRPr="00466924">
        <w:rPr>
          <w:rFonts w:cs="Arial"/>
          <w:sz w:val="18"/>
          <w:szCs w:val="18"/>
        </w:rPr>
        <w:t>CO</w:t>
      </w:r>
      <w:r w:rsidR="00781A5D" w:rsidRPr="00466924">
        <w:rPr>
          <w:rFonts w:cs="Arial"/>
          <w:sz w:val="18"/>
          <w:szCs w:val="18"/>
          <w:vertAlign w:val="subscript"/>
        </w:rPr>
        <w:t>2</w:t>
      </w:r>
      <w:r w:rsidR="00E917A6" w:rsidRPr="00466924">
        <w:rPr>
          <w:i/>
          <w:sz w:val="18"/>
          <w:szCs w:val="18"/>
        </w:rPr>
        <w:t xml:space="preserve"> </w:t>
      </w:r>
      <w:r w:rsidR="00191C6B" w:rsidRPr="00466924">
        <w:rPr>
          <w:i/>
          <w:sz w:val="18"/>
          <w:szCs w:val="18"/>
        </w:rPr>
        <w:t>emission and i</w:t>
      </w:r>
      <w:r w:rsidR="00017AD0" w:rsidRPr="00466924">
        <w:rPr>
          <w:i/>
          <w:sz w:val="18"/>
          <w:szCs w:val="18"/>
        </w:rPr>
        <w:t>mprove the performance of these zones</w:t>
      </w:r>
      <w:r w:rsidR="00191C6B" w:rsidRPr="00466924">
        <w:rPr>
          <w:i/>
          <w:sz w:val="18"/>
          <w:szCs w:val="18"/>
        </w:rPr>
        <w:t>.</w:t>
      </w:r>
    </w:p>
    <w:p w14:paraId="426B2875" w14:textId="77777777" w:rsidR="00615A78" w:rsidRDefault="00615A78" w:rsidP="00E37D5A">
      <w:pPr>
        <w:spacing w:before="0" w:after="0" w:line="240" w:lineRule="auto"/>
        <w:jc w:val="left"/>
        <w:rPr>
          <w:i/>
          <w:sz w:val="18"/>
          <w:szCs w:val="18"/>
        </w:rPr>
      </w:pPr>
    </w:p>
    <w:p w14:paraId="23FBD690" w14:textId="77777777" w:rsidR="00615A78" w:rsidRDefault="00615A78" w:rsidP="00E37D5A">
      <w:pPr>
        <w:spacing w:before="0" w:after="0" w:line="240" w:lineRule="auto"/>
        <w:jc w:val="left"/>
        <w:rPr>
          <w:i/>
          <w:sz w:val="18"/>
          <w:szCs w:val="18"/>
        </w:rPr>
      </w:pPr>
    </w:p>
    <w:p w14:paraId="0F6325C9" w14:textId="77777777" w:rsidR="00615A78" w:rsidRDefault="00615A78" w:rsidP="00E37D5A">
      <w:pPr>
        <w:spacing w:before="0" w:after="0" w:line="240" w:lineRule="auto"/>
        <w:jc w:val="left"/>
        <w:rPr>
          <w:i/>
          <w:sz w:val="18"/>
          <w:szCs w:val="18"/>
        </w:rPr>
      </w:pPr>
    </w:p>
    <w:p w14:paraId="69AD50D5" w14:textId="77777777" w:rsidR="00615A78" w:rsidRDefault="00615A78" w:rsidP="00E37D5A">
      <w:pPr>
        <w:spacing w:before="0" w:after="0" w:line="240" w:lineRule="auto"/>
        <w:jc w:val="left"/>
        <w:rPr>
          <w:sz w:val="22"/>
          <w:szCs w:val="22"/>
        </w:rPr>
      </w:pPr>
    </w:p>
    <w:p w14:paraId="79D2F709" w14:textId="77777777" w:rsidR="00E11A3D" w:rsidRPr="00466924" w:rsidRDefault="00E11A3D" w:rsidP="00E37D5A">
      <w:pPr>
        <w:spacing w:before="0" w:after="0" w:line="240" w:lineRule="auto"/>
        <w:jc w:val="left"/>
        <w:rPr>
          <w:sz w:val="22"/>
          <w:szCs w:val="22"/>
        </w:rPr>
      </w:pPr>
    </w:p>
    <w:p w14:paraId="3902D9CA" w14:textId="77777777" w:rsidR="0007653A" w:rsidRPr="00466924" w:rsidRDefault="00B73F32" w:rsidP="00E37D5A">
      <w:pPr>
        <w:spacing w:before="0" w:after="0" w:line="240" w:lineRule="auto"/>
        <w:jc w:val="left"/>
        <w:rPr>
          <w:b/>
          <w:sz w:val="22"/>
          <w:szCs w:val="22"/>
        </w:rPr>
      </w:pPr>
      <w:r w:rsidRPr="00466924">
        <w:rPr>
          <w:b/>
          <w:sz w:val="22"/>
          <w:szCs w:val="22"/>
        </w:rPr>
        <w:t>5. The Energy Efficient-</w:t>
      </w:r>
      <w:r w:rsidR="00781A5D" w:rsidRPr="00466924">
        <w:rPr>
          <w:b/>
          <w:sz w:val="22"/>
          <w:szCs w:val="22"/>
        </w:rPr>
        <w:t>L</w:t>
      </w:r>
      <w:r w:rsidRPr="00466924">
        <w:rPr>
          <w:b/>
          <w:sz w:val="22"/>
          <w:szCs w:val="22"/>
        </w:rPr>
        <w:t>ow Carbon Zone</w:t>
      </w:r>
    </w:p>
    <w:p w14:paraId="3D69EF21" w14:textId="77777777" w:rsidR="00B73F32" w:rsidRPr="00466924" w:rsidRDefault="00B73F32" w:rsidP="00E37D5A">
      <w:pPr>
        <w:spacing w:before="0" w:after="0" w:line="240" w:lineRule="auto"/>
        <w:jc w:val="left"/>
      </w:pPr>
    </w:p>
    <w:p w14:paraId="2407892D" w14:textId="77777777" w:rsidR="00A451CD" w:rsidRPr="00466924" w:rsidRDefault="00C60C77" w:rsidP="00E37D5A">
      <w:pPr>
        <w:spacing w:before="0" w:after="0" w:line="240" w:lineRule="auto"/>
        <w:jc w:val="left"/>
      </w:pPr>
      <w:r w:rsidRPr="00466924">
        <w:t xml:space="preserve">As Tables 6 and 7 indicate, the level of energy savings and reduction in the rates of </w:t>
      </w:r>
      <w:r w:rsidR="00781A5D" w:rsidRPr="00466924">
        <w:rPr>
          <w:rFonts w:cs="Arial"/>
        </w:rPr>
        <w:t>CO</w:t>
      </w:r>
      <w:r w:rsidR="00781A5D" w:rsidRPr="00466924">
        <w:rPr>
          <w:rFonts w:cs="Arial"/>
          <w:vertAlign w:val="subscript"/>
        </w:rPr>
        <w:t>2</w:t>
      </w:r>
      <w:r w:rsidRPr="00466924">
        <w:t xml:space="preserve"> emission</w:t>
      </w:r>
      <w:r w:rsidR="00B73F32" w:rsidRPr="00466924">
        <w:t xml:space="preserve"> in this energy efficient-low carbon zone</w:t>
      </w:r>
      <w:r w:rsidRPr="00466924">
        <w:t xml:space="preserve"> are noticeable across all</w:t>
      </w:r>
      <w:r w:rsidR="00D86F20" w:rsidRPr="00466924">
        <w:t xml:space="preserve"> the</w:t>
      </w:r>
      <w:r w:rsidRPr="00466924">
        <w:t xml:space="preserve"> LSOAs. For the thermal option, this type of retrofit results in a 25</w:t>
      </w:r>
      <w:r w:rsidR="009F255C" w:rsidRPr="00466924">
        <w:t>%</w:t>
      </w:r>
      <w:r w:rsidRPr="00466924">
        <w:t xml:space="preserve"> energy saving, whereas with the th</w:t>
      </w:r>
      <w:r w:rsidR="00491D7C">
        <w:t>ermal-plus (heat</w:t>
      </w:r>
      <w:r w:rsidR="004C68AB">
        <w:t xml:space="preserve"> and power) </w:t>
      </w:r>
      <w:r w:rsidRPr="00466924">
        <w:t>option, the savings are as high as 65</w:t>
      </w:r>
      <w:r w:rsidR="009F255C" w:rsidRPr="00466924">
        <w:t>%</w:t>
      </w:r>
      <w:r w:rsidRPr="00466924">
        <w:t xml:space="preserve">. Table 7 shows the thermal retrofit option to reduce the rate of </w:t>
      </w:r>
      <w:r w:rsidR="00781A5D" w:rsidRPr="00466924">
        <w:rPr>
          <w:rFonts w:cs="Arial"/>
        </w:rPr>
        <w:t>CO</w:t>
      </w:r>
      <w:r w:rsidR="00781A5D" w:rsidRPr="00466924">
        <w:rPr>
          <w:rFonts w:cs="Arial"/>
          <w:vertAlign w:val="subscript"/>
        </w:rPr>
        <w:t xml:space="preserve">2 </w:t>
      </w:r>
      <w:r w:rsidRPr="00466924">
        <w:t>emission by 25</w:t>
      </w:r>
      <w:r w:rsidR="009F255C" w:rsidRPr="00466924">
        <w:t>%</w:t>
      </w:r>
      <w:r w:rsidRPr="00466924">
        <w:t xml:space="preserve"> and as much as 50</w:t>
      </w:r>
      <w:r w:rsidR="00524C1A" w:rsidRPr="00466924">
        <w:t>%</w:t>
      </w:r>
      <w:r w:rsidRPr="00466924">
        <w:t xml:space="preserve"> in terms of the thermal-plus option. In terms of tons per household, the thermal and thermal-plus retrofit options have the potential to reduce the emissions from 6 to 4.5 and 3 respectively.</w:t>
      </w:r>
      <w:r w:rsidR="000C52A1" w:rsidRPr="00466924">
        <w:t xml:space="preserve"> </w:t>
      </w:r>
    </w:p>
    <w:p w14:paraId="50264210" w14:textId="77777777" w:rsidR="00A451CD" w:rsidRPr="00466924" w:rsidRDefault="00A451CD" w:rsidP="00E37D5A">
      <w:pPr>
        <w:spacing w:before="0" w:after="0" w:line="240" w:lineRule="auto"/>
        <w:jc w:val="left"/>
      </w:pPr>
    </w:p>
    <w:p w14:paraId="66C13AEC" w14:textId="77777777" w:rsidR="00A451CD" w:rsidRPr="00466924" w:rsidRDefault="00220560" w:rsidP="00E37D5A">
      <w:pPr>
        <w:spacing w:before="0" w:after="0" w:line="240" w:lineRule="auto"/>
        <w:jc w:val="left"/>
      </w:pPr>
      <w:r w:rsidRPr="00466924">
        <w:rPr>
          <w:rFonts w:ascii="Adobe Caslon Pro" w:hAnsi="Adobe Caslon Pro" w:cs="Arial"/>
          <w:noProof/>
          <w:sz w:val="28"/>
          <w:szCs w:val="28"/>
          <w:lang w:eastAsia="en-GB"/>
        </w:rPr>
        <w:drawing>
          <wp:inline distT="0" distB="0" distL="0" distR="0" wp14:anchorId="1413B66B" wp14:editId="5349F219">
            <wp:extent cx="6061589" cy="1336040"/>
            <wp:effectExtent l="0" t="0" r="9525" b="10160"/>
            <wp:docPr id="71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63 + 64.jpg"/>
                    <pic:cNvPicPr/>
                  </pic:nvPicPr>
                  <pic:blipFill rotWithShape="1">
                    <a:blip r:embed="rId11" cstate="print">
                      <a:extLst>
                        <a:ext uri="{28A0092B-C50C-407E-A947-70E740481C1C}">
                          <a14:useLocalDpi xmlns:a14="http://schemas.microsoft.com/office/drawing/2010/main" val="0"/>
                        </a:ext>
                      </a:extLst>
                    </a:blip>
                    <a:srcRect l="2837" t="13737" b="61448"/>
                    <a:stretch/>
                  </pic:blipFill>
                  <pic:spPr bwMode="auto">
                    <a:xfrm>
                      <a:off x="0" y="0"/>
                      <a:ext cx="6113488" cy="134747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DFE6B25" w14:textId="77777777" w:rsidR="00220560" w:rsidRPr="00466924" w:rsidRDefault="00220560" w:rsidP="00E37D5A">
      <w:pPr>
        <w:spacing w:before="0" w:after="0" w:line="240" w:lineRule="auto"/>
        <w:jc w:val="left"/>
      </w:pPr>
    </w:p>
    <w:p w14:paraId="44612423" w14:textId="77777777" w:rsidR="00220560" w:rsidRPr="00466924" w:rsidRDefault="00220560" w:rsidP="00E37D5A">
      <w:pPr>
        <w:spacing w:before="0" w:after="0" w:line="240" w:lineRule="auto"/>
        <w:jc w:val="left"/>
      </w:pPr>
      <w:r w:rsidRPr="00466924">
        <w:rPr>
          <w:rFonts w:ascii="Adobe Caslon Pro" w:hAnsi="Adobe Caslon Pro" w:cs="Arial"/>
          <w:noProof/>
          <w:sz w:val="28"/>
          <w:szCs w:val="28"/>
          <w:lang w:eastAsia="en-GB"/>
        </w:rPr>
        <w:drawing>
          <wp:inline distT="0" distB="0" distL="0" distR="0" wp14:anchorId="56D99102" wp14:editId="739CD117">
            <wp:extent cx="6115650" cy="1171575"/>
            <wp:effectExtent l="0" t="0" r="0" b="0"/>
            <wp:docPr id="71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63 + 64.jpg"/>
                    <pic:cNvPicPr/>
                  </pic:nvPicPr>
                  <pic:blipFill rotWithShape="1">
                    <a:blip r:embed="rId11" cstate="print">
                      <a:extLst>
                        <a:ext uri="{28A0092B-C50C-407E-A947-70E740481C1C}">
                          <a14:useLocalDpi xmlns:a14="http://schemas.microsoft.com/office/drawing/2010/main" val="0"/>
                        </a:ext>
                      </a:extLst>
                    </a:blip>
                    <a:srcRect l="4007" t="46750" b="27991"/>
                    <a:stretch/>
                  </pic:blipFill>
                  <pic:spPr bwMode="auto">
                    <a:xfrm>
                      <a:off x="0" y="0"/>
                      <a:ext cx="6118685" cy="117215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AA7978E" w14:textId="77777777" w:rsidR="0005436A" w:rsidRDefault="0005436A" w:rsidP="00220560">
      <w:pPr>
        <w:spacing w:before="0" w:after="0" w:line="240" w:lineRule="auto"/>
        <w:jc w:val="left"/>
        <w:rPr>
          <w:i/>
        </w:rPr>
      </w:pPr>
    </w:p>
    <w:p w14:paraId="5DB4274F" w14:textId="77777777" w:rsidR="00BB570D" w:rsidRPr="00466924" w:rsidRDefault="002114A1" w:rsidP="00220560">
      <w:pPr>
        <w:spacing w:before="0" w:after="0" w:line="240" w:lineRule="auto"/>
        <w:jc w:val="left"/>
        <w:rPr>
          <w:i/>
        </w:rPr>
      </w:pPr>
      <w:r w:rsidRPr="00466924">
        <w:rPr>
          <w:i/>
        </w:rPr>
        <w:t>Table 8</w:t>
      </w:r>
      <w:r w:rsidR="000B1AFB" w:rsidRPr="00466924">
        <w:rPr>
          <w:i/>
        </w:rPr>
        <w:t>.</w:t>
      </w:r>
      <w:r w:rsidRPr="00466924">
        <w:rPr>
          <w:i/>
        </w:rPr>
        <w:t xml:space="preserve"> Energy consumption, </w:t>
      </w:r>
      <w:r w:rsidR="00781A5D" w:rsidRPr="00466924">
        <w:rPr>
          <w:rFonts w:cs="Arial"/>
        </w:rPr>
        <w:t>CO</w:t>
      </w:r>
      <w:r w:rsidR="00781A5D" w:rsidRPr="00466924">
        <w:rPr>
          <w:rFonts w:cs="Arial"/>
          <w:vertAlign w:val="subscript"/>
        </w:rPr>
        <w:t>2</w:t>
      </w:r>
      <w:r w:rsidRPr="00466924">
        <w:rPr>
          <w:i/>
        </w:rPr>
        <w:t xml:space="preserve"> emissions and the structure of tenure. Source: Deakin et al. (2014)</w:t>
      </w:r>
    </w:p>
    <w:p w14:paraId="6354DE4F" w14:textId="77777777" w:rsidR="002114A1" w:rsidRPr="00466924" w:rsidRDefault="002114A1" w:rsidP="00220560">
      <w:pPr>
        <w:spacing w:before="0" w:after="0" w:line="240" w:lineRule="auto"/>
        <w:jc w:val="left"/>
      </w:pPr>
    </w:p>
    <w:p w14:paraId="49E16A05" w14:textId="77777777" w:rsidR="00220560" w:rsidRPr="00466924" w:rsidRDefault="00220560" w:rsidP="00AA28CB">
      <w:pPr>
        <w:spacing w:before="0" w:after="0" w:line="240" w:lineRule="auto"/>
        <w:jc w:val="left"/>
        <w:rPr>
          <w:i/>
          <w:sz w:val="18"/>
          <w:szCs w:val="18"/>
        </w:rPr>
      </w:pPr>
      <w:r w:rsidRPr="00466924">
        <w:rPr>
          <w:i/>
          <w:sz w:val="18"/>
          <w:szCs w:val="18"/>
        </w:rPr>
        <w:t xml:space="preserve">Notes: LSOA 1 (top); LSOA 5 (bottom). “Type” refers to the housing model applied in the London Borough of Sutton’s (2008) Energy Options Appraisal. “Age” refers to the approximate year of build, as </w:t>
      </w:r>
      <w:r w:rsidR="001F3D98" w:rsidRPr="00466924">
        <w:rPr>
          <w:i/>
          <w:sz w:val="18"/>
          <w:szCs w:val="18"/>
        </w:rPr>
        <w:t xml:space="preserve">designated in the </w:t>
      </w:r>
      <w:r w:rsidR="00253604" w:rsidRPr="00466924">
        <w:rPr>
          <w:i/>
          <w:sz w:val="18"/>
          <w:szCs w:val="18"/>
        </w:rPr>
        <w:t xml:space="preserve">Energy </w:t>
      </w:r>
      <w:r w:rsidR="001F3D98" w:rsidRPr="00466924">
        <w:rPr>
          <w:i/>
          <w:sz w:val="18"/>
          <w:szCs w:val="18"/>
        </w:rPr>
        <w:t>Options</w:t>
      </w:r>
      <w:r w:rsidRPr="00466924">
        <w:rPr>
          <w:i/>
          <w:sz w:val="18"/>
          <w:szCs w:val="18"/>
        </w:rPr>
        <w:t xml:space="preserve"> Appraisal. “HA” refers to the designated localities of similar housing st</w:t>
      </w:r>
      <w:r w:rsidR="001F3D98" w:rsidRPr="00466924">
        <w:rPr>
          <w:i/>
          <w:sz w:val="18"/>
          <w:szCs w:val="18"/>
        </w:rPr>
        <w:t>ock in the Hackbridge Study</w:t>
      </w:r>
      <w:r w:rsidRPr="00466924">
        <w:rPr>
          <w:i/>
          <w:sz w:val="18"/>
          <w:szCs w:val="18"/>
        </w:rPr>
        <w:t>, a</w:t>
      </w:r>
      <w:r w:rsidR="00080D78" w:rsidRPr="00466924">
        <w:rPr>
          <w:i/>
          <w:sz w:val="18"/>
          <w:szCs w:val="18"/>
        </w:rPr>
        <w:t>s detailed in the</w:t>
      </w:r>
      <w:r w:rsidR="00253604" w:rsidRPr="00466924">
        <w:rPr>
          <w:i/>
          <w:sz w:val="18"/>
          <w:szCs w:val="18"/>
        </w:rPr>
        <w:t xml:space="preserve"> Energy Options</w:t>
      </w:r>
      <w:r w:rsidRPr="00466924">
        <w:rPr>
          <w:i/>
          <w:sz w:val="18"/>
          <w:szCs w:val="18"/>
        </w:rPr>
        <w:t xml:space="preserve"> Appraisal. Twenty areas of similar housing stock are used to capture housing stock within the lowest-ranking Lower Super Output Area (EIMD 2007) and the highest-ranking LSOA. Energy and CO</w:t>
      </w:r>
      <w:r w:rsidRPr="00466924">
        <w:rPr>
          <w:i/>
          <w:sz w:val="18"/>
          <w:szCs w:val="18"/>
          <w:vertAlign w:val="subscript"/>
        </w:rPr>
        <w:t>2</w:t>
      </w:r>
      <w:r w:rsidRPr="00466924">
        <w:rPr>
          <w:i/>
          <w:sz w:val="18"/>
          <w:szCs w:val="18"/>
        </w:rPr>
        <w:t xml:space="preserve"> data is from the Energy Options Appraisal. “Tenure” data is taken from the Census 2001 at Output Area level; the HA (areas of similar housing) are smaller than Output Areas therefore exact</w:t>
      </w:r>
      <w:r w:rsidR="001F3D98" w:rsidRPr="00466924">
        <w:rPr>
          <w:i/>
          <w:sz w:val="18"/>
          <w:szCs w:val="18"/>
        </w:rPr>
        <w:t xml:space="preserve"> counts for each area of HA</w:t>
      </w:r>
      <w:r w:rsidRPr="00466924">
        <w:rPr>
          <w:i/>
          <w:sz w:val="18"/>
          <w:szCs w:val="18"/>
        </w:rPr>
        <w:t xml:space="preserve"> cannot be provided. </w:t>
      </w:r>
    </w:p>
    <w:p w14:paraId="67AD1C2E" w14:textId="77777777" w:rsidR="00220560" w:rsidRPr="00466924" w:rsidRDefault="00220560" w:rsidP="00AA28CB">
      <w:pPr>
        <w:spacing w:before="0" w:after="0" w:line="240" w:lineRule="auto"/>
        <w:jc w:val="left"/>
      </w:pPr>
    </w:p>
    <w:p w14:paraId="771EECCB" w14:textId="77777777" w:rsidR="000A228E" w:rsidRPr="00466924" w:rsidRDefault="000A228E" w:rsidP="00AA28CB">
      <w:pPr>
        <w:spacing w:before="0" w:after="0" w:line="240" w:lineRule="auto"/>
        <w:jc w:val="left"/>
      </w:pPr>
      <w:r w:rsidRPr="00466924">
        <w:rPr>
          <w:rFonts w:cs="Arial"/>
        </w:rPr>
        <w:t xml:space="preserve">Table 8 </w:t>
      </w:r>
      <w:r w:rsidR="009B5044" w:rsidRPr="00466924">
        <w:rPr>
          <w:rFonts w:cs="Arial"/>
        </w:rPr>
        <w:t>links</w:t>
      </w:r>
      <w:r w:rsidR="00220560" w:rsidRPr="00466924">
        <w:rPr>
          <w:rFonts w:cs="Arial"/>
        </w:rPr>
        <w:t xml:space="preserve"> levels of energy consumption and </w:t>
      </w:r>
      <w:r w:rsidR="00781A5D" w:rsidRPr="00466924">
        <w:rPr>
          <w:rFonts w:cs="Arial"/>
        </w:rPr>
        <w:t>CO</w:t>
      </w:r>
      <w:r w:rsidR="00781A5D" w:rsidRPr="00466924">
        <w:rPr>
          <w:rFonts w:cs="Arial"/>
          <w:vertAlign w:val="subscript"/>
        </w:rPr>
        <w:t>2</w:t>
      </w:r>
      <w:r w:rsidR="00220560" w:rsidRPr="00466924">
        <w:rPr>
          <w:rFonts w:cs="Arial"/>
        </w:rPr>
        <w:t xml:space="preserve"> emissions to</w:t>
      </w:r>
      <w:r w:rsidR="00397273" w:rsidRPr="00466924">
        <w:rPr>
          <w:rFonts w:cs="Arial"/>
        </w:rPr>
        <w:t xml:space="preserve"> the structure of tenure</w:t>
      </w:r>
      <w:r w:rsidR="00733ADA" w:rsidRPr="00466924">
        <w:rPr>
          <w:rFonts w:cs="Arial"/>
        </w:rPr>
        <w:t xml:space="preserve"> in the residential property sector</w:t>
      </w:r>
      <w:r w:rsidR="00397273" w:rsidRPr="00466924">
        <w:rPr>
          <w:rFonts w:cs="Arial"/>
        </w:rPr>
        <w:t>.</w:t>
      </w:r>
      <w:r w:rsidR="00220560" w:rsidRPr="00466924">
        <w:rPr>
          <w:rFonts w:cs="Arial"/>
        </w:rPr>
        <w:t xml:space="preserve"> Thi</w:t>
      </w:r>
      <w:r w:rsidR="00397273" w:rsidRPr="00466924">
        <w:rPr>
          <w:rFonts w:cs="Arial"/>
        </w:rPr>
        <w:t>s</w:t>
      </w:r>
      <w:r w:rsidR="0054469C" w:rsidRPr="00466924">
        <w:rPr>
          <w:rFonts w:cs="Arial"/>
        </w:rPr>
        <w:t xml:space="preserve"> draws </w:t>
      </w:r>
      <w:r w:rsidR="00220560" w:rsidRPr="00466924">
        <w:rPr>
          <w:rFonts w:cs="Arial"/>
        </w:rPr>
        <w:t>on data profiled from LSOA’s</w:t>
      </w:r>
      <w:r w:rsidR="00397273" w:rsidRPr="00466924">
        <w:rPr>
          <w:rFonts w:cs="Arial"/>
        </w:rPr>
        <w:t xml:space="preserve"> 1 and 5.</w:t>
      </w:r>
      <w:r w:rsidR="001D1205" w:rsidRPr="00466924">
        <w:rPr>
          <w:rFonts w:cs="Arial"/>
        </w:rPr>
        <w:t xml:space="preserve"> These</w:t>
      </w:r>
      <w:r w:rsidR="00F90D6E" w:rsidRPr="00466924">
        <w:rPr>
          <w:rFonts w:cs="Arial"/>
        </w:rPr>
        <w:t xml:space="preserve"> measure</w:t>
      </w:r>
      <w:r w:rsidR="00220560" w:rsidRPr="00466924">
        <w:rPr>
          <w:rFonts w:cs="Arial"/>
        </w:rPr>
        <w:t xml:space="preserve"> the most</w:t>
      </w:r>
      <w:r w:rsidR="00397273" w:rsidRPr="00466924">
        <w:rPr>
          <w:rFonts w:cs="Arial"/>
        </w:rPr>
        <w:t xml:space="preserve"> and least deprived areas. </w:t>
      </w:r>
      <w:r w:rsidR="00E17019" w:rsidRPr="00466924">
        <w:rPr>
          <w:rFonts w:cs="Arial"/>
        </w:rPr>
        <w:t>Area 1 ranks</w:t>
      </w:r>
      <w:r w:rsidR="00220560" w:rsidRPr="00466924">
        <w:rPr>
          <w:rFonts w:cs="Arial"/>
        </w:rPr>
        <w:t xml:space="preserve"> within the 21% most depri</w:t>
      </w:r>
      <w:r w:rsidR="0018176E" w:rsidRPr="00466924">
        <w:rPr>
          <w:rFonts w:cs="Arial"/>
        </w:rPr>
        <w:t>ved areas in England. W</w:t>
      </w:r>
      <w:r w:rsidR="00220560" w:rsidRPr="00466924">
        <w:rPr>
          <w:rFonts w:cs="Arial"/>
        </w:rPr>
        <w:t>hereas Area 5 has a much lower rankin</w:t>
      </w:r>
      <w:r w:rsidR="00E17019" w:rsidRPr="00466924">
        <w:rPr>
          <w:rFonts w:cs="Arial"/>
        </w:rPr>
        <w:t>g, falling</w:t>
      </w:r>
      <w:r w:rsidR="0018176E" w:rsidRPr="00466924">
        <w:rPr>
          <w:rFonts w:cs="Arial"/>
        </w:rPr>
        <w:t xml:space="preserve"> within</w:t>
      </w:r>
      <w:r w:rsidR="0055466E" w:rsidRPr="00466924">
        <w:rPr>
          <w:rFonts w:cs="Arial"/>
        </w:rPr>
        <w:t xml:space="preserve"> the 30% least deprived. Here it is noticeable</w:t>
      </w:r>
      <w:r w:rsidR="00253604" w:rsidRPr="00466924">
        <w:rPr>
          <w:rFonts w:cs="Arial"/>
        </w:rPr>
        <w:t xml:space="preserve"> that</w:t>
      </w:r>
      <w:r w:rsidR="0055466E" w:rsidRPr="00466924">
        <w:rPr>
          <w:rFonts w:cs="Arial"/>
        </w:rPr>
        <w:t xml:space="preserve"> the</w:t>
      </w:r>
      <w:r w:rsidR="00220560" w:rsidRPr="00466924">
        <w:rPr>
          <w:rFonts w:cs="Arial"/>
        </w:rPr>
        <w:t xml:space="preserve"> social-rented </w:t>
      </w:r>
      <w:r w:rsidR="00E17019" w:rsidRPr="00466924">
        <w:rPr>
          <w:rFonts w:cs="Arial"/>
        </w:rPr>
        <w:t>sector is prevalent in Area 1. W</w:t>
      </w:r>
      <w:r w:rsidR="00220560" w:rsidRPr="00466924">
        <w:rPr>
          <w:rFonts w:cs="Arial"/>
        </w:rPr>
        <w:t>hereas in Area 5</w:t>
      </w:r>
      <w:r w:rsidR="00E570C4" w:rsidRPr="00466924">
        <w:rPr>
          <w:rFonts w:cs="Arial"/>
        </w:rPr>
        <w:t xml:space="preserve">, it is </w:t>
      </w:r>
      <w:r w:rsidR="00220560" w:rsidRPr="00466924">
        <w:rPr>
          <w:rFonts w:cs="Arial"/>
        </w:rPr>
        <w:t>the owner-occupied and p</w:t>
      </w:r>
      <w:r w:rsidR="0018176E" w:rsidRPr="00466924">
        <w:rPr>
          <w:rFonts w:cs="Arial"/>
        </w:rPr>
        <w:t xml:space="preserve">rivate-rented sector </w:t>
      </w:r>
      <w:r w:rsidR="0042706B">
        <w:rPr>
          <w:rFonts w:cs="Arial"/>
        </w:rPr>
        <w:t xml:space="preserve">who </w:t>
      </w:r>
      <w:r w:rsidR="0018176E" w:rsidRPr="00466924">
        <w:rPr>
          <w:rFonts w:cs="Arial"/>
        </w:rPr>
        <w:t>dominate</w:t>
      </w:r>
      <w:r w:rsidR="00397273" w:rsidRPr="00466924">
        <w:rPr>
          <w:rFonts w:cs="Arial"/>
        </w:rPr>
        <w:t xml:space="preserve"> the housing market.</w:t>
      </w:r>
      <w:r w:rsidR="00E17019" w:rsidRPr="00466924">
        <w:rPr>
          <w:rFonts w:cs="Arial"/>
        </w:rPr>
        <w:t xml:space="preserve"> This</w:t>
      </w:r>
      <w:r w:rsidR="0018176E" w:rsidRPr="00466924">
        <w:rPr>
          <w:rFonts w:cs="Arial"/>
        </w:rPr>
        <w:t xml:space="preserve"> </w:t>
      </w:r>
      <w:r w:rsidR="00E17019" w:rsidRPr="00466924">
        <w:rPr>
          <w:rFonts w:cs="Arial"/>
        </w:rPr>
        <w:t>shows</w:t>
      </w:r>
      <w:r w:rsidR="0018176E" w:rsidRPr="00466924">
        <w:rPr>
          <w:rFonts w:cs="Arial"/>
        </w:rPr>
        <w:t xml:space="preserve"> which</w:t>
      </w:r>
      <w:r w:rsidR="00E17019" w:rsidRPr="00466924">
        <w:rPr>
          <w:rFonts w:cs="Arial"/>
        </w:rPr>
        <w:t xml:space="preserve"> tenure consumes the lowest or </w:t>
      </w:r>
      <w:r w:rsidR="00524C1A" w:rsidRPr="00466924">
        <w:rPr>
          <w:rFonts w:cs="Arial"/>
        </w:rPr>
        <w:t>highest</w:t>
      </w:r>
      <w:r w:rsidR="00220560" w:rsidRPr="00466924">
        <w:rPr>
          <w:rFonts w:cs="Arial"/>
        </w:rPr>
        <w:t xml:space="preserve"> amount of energy and </w:t>
      </w:r>
      <w:r w:rsidR="0018176E" w:rsidRPr="00466924">
        <w:rPr>
          <w:rFonts w:cs="Arial"/>
        </w:rPr>
        <w:t>relationship</w:t>
      </w:r>
      <w:r w:rsidR="00E17019" w:rsidRPr="00466924">
        <w:rPr>
          <w:rFonts w:cs="Arial"/>
        </w:rPr>
        <w:t xml:space="preserve"> that such levels of consumption have</w:t>
      </w:r>
      <w:r w:rsidR="0018176E" w:rsidRPr="00466924">
        <w:rPr>
          <w:rFonts w:cs="Arial"/>
        </w:rPr>
        <w:t xml:space="preserve"> to </w:t>
      </w:r>
      <w:r w:rsidR="00781A5D" w:rsidRPr="00466924">
        <w:rPr>
          <w:rFonts w:cs="Arial"/>
        </w:rPr>
        <w:t>CO</w:t>
      </w:r>
      <w:r w:rsidR="00781A5D" w:rsidRPr="00466924">
        <w:rPr>
          <w:rFonts w:cs="Arial"/>
          <w:vertAlign w:val="subscript"/>
        </w:rPr>
        <w:t>2</w:t>
      </w:r>
      <w:r w:rsidR="00220560" w:rsidRPr="00466924">
        <w:rPr>
          <w:rFonts w:cs="Arial"/>
        </w:rPr>
        <w:t xml:space="preserve"> emiss</w:t>
      </w:r>
      <w:r w:rsidR="00E17019" w:rsidRPr="00466924">
        <w:rPr>
          <w:rFonts w:cs="Arial"/>
        </w:rPr>
        <w:t>ions across</w:t>
      </w:r>
      <w:r w:rsidR="00397273" w:rsidRPr="00466924">
        <w:rPr>
          <w:rFonts w:cs="Arial"/>
        </w:rPr>
        <w:t xml:space="preserve"> the housing market.</w:t>
      </w:r>
      <w:r w:rsidR="00E17019" w:rsidRPr="00466924">
        <w:rPr>
          <w:rFonts w:cs="Arial"/>
        </w:rPr>
        <w:t xml:space="preserve"> It</w:t>
      </w:r>
      <w:r w:rsidR="0018176E" w:rsidRPr="00466924">
        <w:rPr>
          <w:rFonts w:cs="Arial"/>
        </w:rPr>
        <w:t xml:space="preserve"> illustrates that </w:t>
      </w:r>
      <w:r w:rsidR="0018176E" w:rsidRPr="00466924">
        <w:t>h</w:t>
      </w:r>
      <w:r w:rsidR="00635BAE" w:rsidRPr="00466924">
        <w:t>omes in the social-rente</w:t>
      </w:r>
      <w:r w:rsidR="00976FDC" w:rsidRPr="00466924">
        <w:t>d sector consume less energy and</w:t>
      </w:r>
      <w:r w:rsidR="0018176E" w:rsidRPr="00466924">
        <w:t xml:space="preserve"> emit lower levels of</w:t>
      </w:r>
      <w:r w:rsidR="00635BAE" w:rsidRPr="00466924">
        <w:t xml:space="preserve"> CO</w:t>
      </w:r>
      <w:r w:rsidR="00635BAE" w:rsidRPr="00466924">
        <w:rPr>
          <w:vertAlign w:val="subscript"/>
        </w:rPr>
        <w:t>2</w:t>
      </w:r>
      <w:r w:rsidR="0055466E" w:rsidRPr="00466924">
        <w:t xml:space="preserve"> than other housing in either the owner-occupied or private rent sector,</w:t>
      </w:r>
      <w:r w:rsidR="00E17019" w:rsidRPr="00466924">
        <w:t xml:space="preserve"> </w:t>
      </w:r>
      <w:r w:rsidR="0055466E" w:rsidRPr="00466924">
        <w:t>built between 1890 and 1990</w:t>
      </w:r>
      <w:r w:rsidR="00635BAE" w:rsidRPr="00466924">
        <w:t xml:space="preserve">. </w:t>
      </w:r>
    </w:p>
    <w:p w14:paraId="786F3103" w14:textId="77777777" w:rsidR="00AC547B" w:rsidRPr="00466924" w:rsidRDefault="00AC547B" w:rsidP="00AA28CB">
      <w:pPr>
        <w:spacing w:before="0" w:after="0" w:line="240" w:lineRule="auto"/>
        <w:jc w:val="left"/>
        <w:rPr>
          <w:rFonts w:cs="Arial"/>
        </w:rPr>
      </w:pPr>
    </w:p>
    <w:p w14:paraId="5CB8374D" w14:textId="77777777" w:rsidR="000B5EDC" w:rsidRPr="00466924" w:rsidRDefault="00397273" w:rsidP="00AA28CB">
      <w:pPr>
        <w:widowControl w:val="0"/>
        <w:suppressAutoHyphens/>
        <w:spacing w:before="0" w:after="0" w:line="240" w:lineRule="auto"/>
        <w:jc w:val="left"/>
      </w:pPr>
      <w:r w:rsidRPr="00466924">
        <w:t>If</w:t>
      </w:r>
      <w:r w:rsidR="00635BAE" w:rsidRPr="00466924">
        <w:t xml:space="preserve"> we summarise the potential b</w:t>
      </w:r>
      <w:r w:rsidR="00310D66" w:rsidRPr="00466924">
        <w:t>enefits of the</w:t>
      </w:r>
      <w:r w:rsidR="00EE51CA" w:rsidRPr="00466924">
        <w:t>se</w:t>
      </w:r>
      <w:r w:rsidR="00310D66" w:rsidRPr="00466924">
        <w:t xml:space="preserve"> </w:t>
      </w:r>
      <w:r w:rsidR="00EE51CA" w:rsidRPr="00466924">
        <w:t xml:space="preserve">efficiencies in </w:t>
      </w:r>
      <w:r w:rsidR="00310D66" w:rsidRPr="00466924">
        <w:t>energy</w:t>
      </w:r>
      <w:r w:rsidR="00825DE4" w:rsidRPr="00466924">
        <w:t xml:space="preserve"> consumption</w:t>
      </w:r>
      <w:r w:rsidR="00310D66" w:rsidRPr="00466924">
        <w:t xml:space="preserve"> </w:t>
      </w:r>
      <w:r w:rsidR="00EE51CA" w:rsidRPr="00466924">
        <w:t>and rates of</w:t>
      </w:r>
      <w:r w:rsidR="00825DE4" w:rsidRPr="00466924">
        <w:t xml:space="preserve"> </w:t>
      </w:r>
      <w:r w:rsidR="00781A5D" w:rsidRPr="00466924">
        <w:rPr>
          <w:rFonts w:cs="Arial"/>
        </w:rPr>
        <w:t>CO</w:t>
      </w:r>
      <w:r w:rsidR="00781A5D" w:rsidRPr="00466924">
        <w:rPr>
          <w:rFonts w:cs="Arial"/>
          <w:vertAlign w:val="subscript"/>
        </w:rPr>
        <w:t>2</w:t>
      </w:r>
      <w:r w:rsidR="00825DE4" w:rsidRPr="00466924">
        <w:t xml:space="preserve"> emission</w:t>
      </w:r>
      <w:r w:rsidRPr="00466924">
        <w:t>,</w:t>
      </w:r>
      <w:r w:rsidR="0018176E" w:rsidRPr="00466924">
        <w:t xml:space="preserve"> the significance of</w:t>
      </w:r>
      <w:r w:rsidRPr="00466924">
        <w:t xml:space="preserve"> </w:t>
      </w:r>
      <w:r w:rsidR="00E17019" w:rsidRPr="00466924">
        <w:t>this</w:t>
      </w:r>
      <w:r w:rsidR="00310D66" w:rsidRPr="00466924">
        <w:t xml:space="preserve"> area-based analysis</w:t>
      </w:r>
      <w:r w:rsidR="00E17019" w:rsidRPr="00466924">
        <w:t xml:space="preserve"> </w:t>
      </w:r>
      <w:r w:rsidR="00310D66" w:rsidRPr="00466924">
        <w:t>becomes</w:t>
      </w:r>
      <w:r w:rsidR="00DC61DD" w:rsidRPr="00466924">
        <w:t xml:space="preserve"> clear. </w:t>
      </w:r>
      <w:r w:rsidR="00635BAE" w:rsidRPr="00466924">
        <w:t>For with the existing proposal, housing situated within t</w:t>
      </w:r>
      <w:r w:rsidR="00310D66" w:rsidRPr="00466924">
        <w:t>he social rented sector is</w:t>
      </w:r>
      <w:r w:rsidR="00635BAE" w:rsidRPr="00466924">
        <w:t xml:space="preserve"> excluded from</w:t>
      </w:r>
      <w:r w:rsidR="00310D66" w:rsidRPr="00466924">
        <w:t xml:space="preserve"> the retrofit</w:t>
      </w:r>
      <w:r w:rsidR="00AE76F2" w:rsidRPr="00466924">
        <w:t>,</w:t>
      </w:r>
      <w:r w:rsidR="00310D66" w:rsidRPr="00466924">
        <w:t xml:space="preserve"> because it already commands an</w:t>
      </w:r>
      <w:r w:rsidR="00635BAE" w:rsidRPr="00466924">
        <w:t xml:space="preserve"> energy efficiency and </w:t>
      </w:r>
      <w:r w:rsidR="00781A5D" w:rsidRPr="00466924">
        <w:rPr>
          <w:rFonts w:cs="Arial"/>
        </w:rPr>
        <w:t>CO</w:t>
      </w:r>
      <w:r w:rsidR="00781A5D" w:rsidRPr="00466924">
        <w:rPr>
          <w:rFonts w:cs="Arial"/>
          <w:vertAlign w:val="subscript"/>
        </w:rPr>
        <w:t>2</w:t>
      </w:r>
      <w:r w:rsidR="00635BAE" w:rsidRPr="00466924">
        <w:t xml:space="preserve"> emission </w:t>
      </w:r>
      <w:r w:rsidR="0018176E" w:rsidRPr="00466924">
        <w:t>rating of 75%</w:t>
      </w:r>
      <w:r w:rsidR="00AE76F2" w:rsidRPr="00466924">
        <w:t>. Whereas</w:t>
      </w:r>
      <w:r w:rsidR="00635BAE" w:rsidRPr="00466924">
        <w:t xml:space="preserve"> the retrofit proposals covering the owner-occupied and private rent</w:t>
      </w:r>
      <w:r w:rsidR="006D4973" w:rsidRPr="00466924">
        <w:t>ed sectors</w:t>
      </w:r>
      <w:r w:rsidR="00AE76F2" w:rsidRPr="00466924">
        <w:t xml:space="preserve"> are</w:t>
      </w:r>
      <w:r w:rsidR="00310D66" w:rsidRPr="00466924">
        <w:t xml:space="preserve"> included for the </w:t>
      </w:r>
      <w:r w:rsidR="00AE76F2" w:rsidRPr="00466924">
        <w:t>reason</w:t>
      </w:r>
      <w:r w:rsidR="00253604" w:rsidRPr="00466924">
        <w:t xml:space="preserve"> that</w:t>
      </w:r>
      <w:r w:rsidR="00AE76F2" w:rsidRPr="00466924">
        <w:t xml:space="preserve"> they fall below this threshold</w:t>
      </w:r>
      <w:r w:rsidR="00310D66" w:rsidRPr="00466924">
        <w:t xml:space="preserve"> and </w:t>
      </w:r>
      <w:r w:rsidR="00AE76F2" w:rsidRPr="00466924">
        <w:t>as a result</w:t>
      </w:r>
      <w:r w:rsidR="00310D66" w:rsidRPr="00466924">
        <w:t>, will benefit from</w:t>
      </w:r>
      <w:r w:rsidR="00AE76F2" w:rsidRPr="00466924">
        <w:t xml:space="preserve"> fabric-based</w:t>
      </w:r>
      <w:r w:rsidR="00455916" w:rsidRPr="00466924">
        <w:t xml:space="preserve"> improvements in energy consumption</w:t>
      </w:r>
      <w:r w:rsidR="00310D66" w:rsidRPr="00466924">
        <w:t xml:space="preserve"> and </w:t>
      </w:r>
      <w:r w:rsidR="00781A5D" w:rsidRPr="00466924">
        <w:rPr>
          <w:rFonts w:cs="Arial"/>
        </w:rPr>
        <w:t>CO</w:t>
      </w:r>
      <w:r w:rsidR="00781A5D" w:rsidRPr="00466924">
        <w:rPr>
          <w:rFonts w:cs="Arial"/>
          <w:vertAlign w:val="subscript"/>
        </w:rPr>
        <w:t>2</w:t>
      </w:r>
      <w:r w:rsidR="00310D66" w:rsidRPr="00466924">
        <w:t xml:space="preserve"> emis</w:t>
      </w:r>
      <w:r w:rsidR="00733ADA" w:rsidRPr="00466924">
        <w:t>sion</w:t>
      </w:r>
      <w:r w:rsidR="0018176E" w:rsidRPr="00466924">
        <w:t xml:space="preserve">. </w:t>
      </w:r>
      <w:r w:rsidR="00733ADA" w:rsidRPr="00466924">
        <w:t>While t</w:t>
      </w:r>
      <w:r w:rsidR="00FD2B97" w:rsidRPr="00466924">
        <w:t>his</w:t>
      </w:r>
      <w:r w:rsidR="00635BAE" w:rsidRPr="00466924">
        <w:t xml:space="preserve"> leave</w:t>
      </w:r>
      <w:r w:rsidR="00FD2B97" w:rsidRPr="00466924">
        <w:t>s</w:t>
      </w:r>
      <w:r w:rsidR="00635BAE" w:rsidRPr="00466924">
        <w:t xml:space="preserve"> the occupants of the social-rented se</w:t>
      </w:r>
      <w:r w:rsidR="00AE76F2" w:rsidRPr="00466924">
        <w:t xml:space="preserve">ctor with the status of being </w:t>
      </w:r>
      <w:r w:rsidR="00E914A0" w:rsidRPr="00466924">
        <w:t>best in class</w:t>
      </w:r>
      <w:r w:rsidR="00733ADA" w:rsidRPr="00466924">
        <w:t xml:space="preserve">, it </w:t>
      </w:r>
      <w:r w:rsidR="00CE5C9B" w:rsidRPr="00466924">
        <w:t>not only</w:t>
      </w:r>
      <w:r w:rsidR="00733ADA" w:rsidRPr="00466924">
        <w:t xml:space="preserve"> fails to compensate them for being the “better behaved” occupants </w:t>
      </w:r>
      <w:r w:rsidR="0042706B">
        <w:t>of the housing market. This is because it not only</w:t>
      </w:r>
      <w:r w:rsidR="00CE5C9B" w:rsidRPr="00466924">
        <w:t xml:space="preserve"> </w:t>
      </w:r>
      <w:r w:rsidR="00455916" w:rsidRPr="00466924">
        <w:t>excludes them</w:t>
      </w:r>
      <w:r w:rsidR="00310D66" w:rsidRPr="00466924">
        <w:t xml:space="preserve"> from</w:t>
      </w:r>
      <w:r w:rsidR="00AE76F2" w:rsidRPr="00466924">
        <w:t xml:space="preserve"> </w:t>
      </w:r>
      <w:r w:rsidR="0042706B">
        <w:t>the benefits</w:t>
      </w:r>
      <w:r w:rsidR="00DC61DD" w:rsidRPr="00466924">
        <w:t xml:space="preserve"> of </w:t>
      </w:r>
      <w:r w:rsidR="00AE76F2" w:rsidRPr="00466924">
        <w:t>any improvements to the</w:t>
      </w:r>
      <w:r w:rsidR="00733ADA" w:rsidRPr="00466924">
        <w:t xml:space="preserve"> built fabric</w:t>
      </w:r>
      <w:r w:rsidR="0042706B">
        <w:t>, but</w:t>
      </w:r>
      <w:r w:rsidR="00733ADA" w:rsidRPr="00466924">
        <w:t xml:space="preserve"> respective savings and reductions</w:t>
      </w:r>
      <w:r w:rsidR="0042706B">
        <w:t xml:space="preserve"> that would</w:t>
      </w:r>
      <w:r w:rsidR="00310D66" w:rsidRPr="00466924">
        <w:t xml:space="preserve"> otherwise lift them out of </w:t>
      </w:r>
      <w:r w:rsidR="0042706B">
        <w:t xml:space="preserve">the </w:t>
      </w:r>
      <w:r w:rsidR="00FE42E1" w:rsidRPr="00466924">
        <w:t>fuel poverty</w:t>
      </w:r>
      <w:r w:rsidR="0042706B">
        <w:t>, which they experience</w:t>
      </w:r>
      <w:r w:rsidR="00635BAE" w:rsidRPr="00466924">
        <w:t xml:space="preserve">. </w:t>
      </w:r>
    </w:p>
    <w:p w14:paraId="222E5E84" w14:textId="77777777" w:rsidR="000B5EDC" w:rsidRPr="00466924" w:rsidRDefault="000B5EDC" w:rsidP="00AA28CB">
      <w:pPr>
        <w:widowControl w:val="0"/>
        <w:suppressAutoHyphens/>
        <w:spacing w:before="0" w:after="0" w:line="240" w:lineRule="auto"/>
        <w:jc w:val="left"/>
      </w:pPr>
    </w:p>
    <w:p w14:paraId="67ECA3C0" w14:textId="77777777" w:rsidR="00E914A0" w:rsidRPr="00466924" w:rsidRDefault="00CE5C9B" w:rsidP="00AA28CB">
      <w:pPr>
        <w:widowControl w:val="0"/>
        <w:suppressAutoHyphens/>
        <w:spacing w:before="0" w:after="0" w:line="240" w:lineRule="auto"/>
        <w:jc w:val="left"/>
      </w:pPr>
      <w:r w:rsidRPr="00466924">
        <w:t>The</w:t>
      </w:r>
      <w:r w:rsidR="00D368AF" w:rsidRPr="00466924">
        <w:t xml:space="preserve"> bias</w:t>
      </w:r>
      <w:r w:rsidR="000B5EDC" w:rsidRPr="00466924">
        <w:t xml:space="preserve"> </w:t>
      </w:r>
      <w:r w:rsidR="00455916" w:rsidRPr="00466924">
        <w:t>of this cap</w:t>
      </w:r>
      <w:r w:rsidR="000B5EDC" w:rsidRPr="00466924">
        <w:t xml:space="preserve"> </w:t>
      </w:r>
      <w:r w:rsidR="00D368AF" w:rsidRPr="00466924">
        <w:t>in favour of the own</w:t>
      </w:r>
      <w:r w:rsidR="00FB458E" w:rsidRPr="00466924">
        <w:t>er-occupied s</w:t>
      </w:r>
      <w:r w:rsidR="000B5EDC" w:rsidRPr="00466924">
        <w:t xml:space="preserve">ector and private rented </w:t>
      </w:r>
      <w:r w:rsidR="007F6670" w:rsidRPr="00466924">
        <w:t>tenures</w:t>
      </w:r>
      <w:r w:rsidR="00C418E2" w:rsidRPr="00466924">
        <w:t xml:space="preserve"> </w:t>
      </w:r>
      <w:r w:rsidRPr="00466924">
        <w:t xml:space="preserve">becomes even more </w:t>
      </w:r>
      <w:r w:rsidR="000B5EDC" w:rsidRPr="00466924">
        <w:t xml:space="preserve">noticeable </w:t>
      </w:r>
      <w:r w:rsidR="00787EE3">
        <w:t>in</w:t>
      </w:r>
      <w:r w:rsidR="000B5EDC" w:rsidRPr="00466924">
        <w:t xml:space="preserve"> list</w:t>
      </w:r>
      <w:r w:rsidR="00787EE3">
        <w:t>ing</w:t>
      </w:r>
      <w:r w:rsidR="00D368AF" w:rsidRPr="00466924">
        <w:t xml:space="preserve"> the</w:t>
      </w:r>
      <w:r w:rsidR="00253604" w:rsidRPr="00466924">
        <w:t xml:space="preserve"> potential</w:t>
      </w:r>
      <w:r w:rsidR="00D368AF" w:rsidRPr="00466924">
        <w:t xml:space="preserve"> benefits</w:t>
      </w:r>
      <w:r w:rsidR="00253604" w:rsidRPr="00466924">
        <w:t xml:space="preserve"> </w:t>
      </w:r>
      <w:r w:rsidR="00D368AF" w:rsidRPr="00466924">
        <w:t>occupants of the social</w:t>
      </w:r>
      <w:r w:rsidR="003F0B5C" w:rsidRPr="00466924">
        <w:t xml:space="preserve"> rented sector</w:t>
      </w:r>
      <w:r w:rsidR="0047700D">
        <w:t xml:space="preserve"> cannot </w:t>
      </w:r>
      <w:r w:rsidR="001245B7">
        <w:t>gain access to</w:t>
      </w:r>
      <w:r w:rsidR="00D368AF" w:rsidRPr="00466924">
        <w:t>.</w:t>
      </w:r>
      <w:r w:rsidR="00F21A26" w:rsidRPr="00466924">
        <w:t xml:space="preserve"> </w:t>
      </w:r>
      <w:r w:rsidR="00D368AF" w:rsidRPr="00466924">
        <w:t>This is because for the owner-occupied sector, the mass retrofi</w:t>
      </w:r>
      <w:r w:rsidR="001245B7">
        <w:t>t not only provides the benefit</w:t>
      </w:r>
      <w:r w:rsidR="00D368AF" w:rsidRPr="00466924">
        <w:t xml:space="preserve"> of lower energy bills and compensation for </w:t>
      </w:r>
      <w:r w:rsidR="002F4938" w:rsidRPr="00466924">
        <w:t xml:space="preserve">any </w:t>
      </w:r>
      <w:r w:rsidR="00F21A26" w:rsidRPr="00466924">
        <w:t>surplus</w:t>
      </w:r>
      <w:r w:rsidRPr="00466924">
        <w:t xml:space="preserve"> energy </w:t>
      </w:r>
      <w:r w:rsidR="00D368AF" w:rsidRPr="00466924">
        <w:t>fed back into the grid, but the uplift in asset values resulting</w:t>
      </w:r>
      <w:r w:rsidRPr="00466924">
        <w:t xml:space="preserve"> from the capitali</w:t>
      </w:r>
      <w:r w:rsidR="00791A21">
        <w:t>s</w:t>
      </w:r>
      <w:r w:rsidRPr="00466924">
        <w:t>ation of such revenues as the</w:t>
      </w:r>
      <w:r w:rsidR="00D368AF" w:rsidRPr="00466924">
        <w:t xml:space="preserve"> income streams</w:t>
      </w:r>
      <w:r w:rsidRPr="00466924">
        <w:t xml:space="preserve"> of low-carbon residential properties</w:t>
      </w:r>
      <w:r w:rsidR="00D368AF" w:rsidRPr="00466924">
        <w:t xml:space="preserve">. </w:t>
      </w:r>
    </w:p>
    <w:p w14:paraId="7C52E69F" w14:textId="77777777" w:rsidR="000B5EDC" w:rsidRPr="00466924" w:rsidRDefault="000B5EDC" w:rsidP="00AA28CB">
      <w:pPr>
        <w:spacing w:before="0" w:after="0" w:line="240" w:lineRule="auto"/>
        <w:jc w:val="left"/>
      </w:pPr>
    </w:p>
    <w:p w14:paraId="136654DB" w14:textId="77777777" w:rsidR="00F90D6E" w:rsidRPr="00466924" w:rsidRDefault="00455916" w:rsidP="00AA28CB">
      <w:pPr>
        <w:spacing w:before="0" w:after="0" w:line="240" w:lineRule="auto"/>
        <w:jc w:val="left"/>
      </w:pPr>
      <w:r w:rsidRPr="00466924">
        <w:t xml:space="preserve">The sequencing </w:t>
      </w:r>
      <w:r w:rsidR="00F90D6E" w:rsidRPr="00466924">
        <w:t xml:space="preserve">of the mass retrofit proposal also tends to </w:t>
      </w:r>
      <w:r w:rsidR="00D4280B" w:rsidRPr="00466924">
        <w:t>reinforce</w:t>
      </w:r>
      <w:r w:rsidR="00F90D6E" w:rsidRPr="00466924">
        <w:t xml:space="preserve"> this bias. For </w:t>
      </w:r>
      <w:r w:rsidR="00D4280B" w:rsidRPr="00466924">
        <w:t>here</w:t>
      </w:r>
      <w:r w:rsidR="004800E3">
        <w:t xml:space="preserve"> it</w:t>
      </w:r>
      <w:r w:rsidR="00D4280B" w:rsidRPr="00466924">
        <w:t xml:space="preserve"> is proposed the</w:t>
      </w:r>
      <w:r w:rsidRPr="00466924">
        <w:t xml:space="preserve"> ‘”</w:t>
      </w:r>
      <w:r w:rsidR="0047700D">
        <w:t>l</w:t>
      </w:r>
      <w:r w:rsidRPr="00466924">
        <w:t xml:space="preserve">ow hanging fruit” </w:t>
      </w:r>
      <w:r w:rsidR="00F90D6E" w:rsidRPr="00466924">
        <w:t xml:space="preserve">of the thermal </w:t>
      </w:r>
      <w:r w:rsidR="00883283" w:rsidRPr="00466924">
        <w:t>and thermal-</w:t>
      </w:r>
      <w:r w:rsidR="00D4280B" w:rsidRPr="00466924">
        <w:t>plus</w:t>
      </w:r>
      <w:r w:rsidR="00883283" w:rsidRPr="00466924">
        <w:t xml:space="preserve"> retrofit options</w:t>
      </w:r>
      <w:r w:rsidR="00AE76F2" w:rsidRPr="00466924">
        <w:t>,</w:t>
      </w:r>
      <w:r w:rsidR="00D4280B" w:rsidRPr="00466924">
        <w:t xml:space="preserve"> should for</w:t>
      </w:r>
      <w:r w:rsidR="00F90D6E" w:rsidRPr="00466924">
        <w:t xml:space="preserve">m stage 1, with stage 2 and 3 </w:t>
      </w:r>
      <w:r w:rsidR="00D4280B" w:rsidRPr="00466924">
        <w:t>following o</w:t>
      </w:r>
      <w:r w:rsidR="00F90D6E" w:rsidRPr="00466924">
        <w:t xml:space="preserve">n </w:t>
      </w:r>
      <w:r w:rsidR="00D4280B" w:rsidRPr="00466924">
        <w:t>from</w:t>
      </w:r>
      <w:r w:rsidR="00F90D6E" w:rsidRPr="00466924">
        <w:t xml:space="preserve"> this. This means</w:t>
      </w:r>
      <w:r w:rsidR="00D4280B" w:rsidRPr="00466924">
        <w:t xml:space="preserve"> that in the first instance,</w:t>
      </w:r>
      <w:r w:rsidR="00F90D6E" w:rsidRPr="00466924">
        <w:t xml:space="preserve"> the benefits of the retrofit shall be limited to the owner-occupied and </w:t>
      </w:r>
      <w:r w:rsidR="00D4280B" w:rsidRPr="00466924">
        <w:t>private rented sectors</w:t>
      </w:r>
      <w:r w:rsidR="00F90D6E" w:rsidRPr="00466924">
        <w:t xml:space="preserve"> of the housing market and</w:t>
      </w:r>
      <w:r w:rsidR="00902899" w:rsidRPr="00466924">
        <w:t xml:space="preserve"> will</w:t>
      </w:r>
      <w:r w:rsidR="00F90D6E" w:rsidRPr="00466924">
        <w:t xml:space="preserve"> not extend </w:t>
      </w:r>
      <w:r w:rsidR="00D4280B" w:rsidRPr="00466924">
        <w:t>into</w:t>
      </w:r>
      <w:r w:rsidR="00F90D6E" w:rsidRPr="00466924">
        <w:t xml:space="preserve"> the social sector</w:t>
      </w:r>
      <w:r w:rsidR="00F57AC7" w:rsidRPr="00466924">
        <w:t xml:space="preserve">, </w:t>
      </w:r>
      <w:r w:rsidRPr="00466924">
        <w:t>which shall be un</w:t>
      </w:r>
      <w:r w:rsidR="00883283" w:rsidRPr="00466924">
        <w:t xml:space="preserve">able to access them until </w:t>
      </w:r>
      <w:r w:rsidR="00D4280B" w:rsidRPr="00466924">
        <w:t>c</w:t>
      </w:r>
      <w:r w:rsidR="00E914A0" w:rsidRPr="00466924">
        <w:t>ompletion of stages 2 and 3. This</w:t>
      </w:r>
      <w:r w:rsidR="00883283" w:rsidRPr="00466924">
        <w:t xml:space="preserve"> in turn </w:t>
      </w:r>
      <w:r w:rsidR="00E914A0" w:rsidRPr="00466924">
        <w:t>means that</w:t>
      </w:r>
      <w:r w:rsidR="000A228E" w:rsidRPr="00466924">
        <w:t xml:space="preserve">, </w:t>
      </w:r>
      <w:r w:rsidR="00E914A0" w:rsidRPr="00466924">
        <w:t>for</w:t>
      </w:r>
      <w:r w:rsidR="00D4280B" w:rsidRPr="00466924">
        <w:t xml:space="preserve"> the owner-occupied and private sector</w:t>
      </w:r>
      <w:r w:rsidR="00883283" w:rsidRPr="00466924">
        <w:t xml:space="preserve">, the </w:t>
      </w:r>
      <w:r w:rsidR="00791A21">
        <w:t xml:space="preserve">benefits of the </w:t>
      </w:r>
      <w:r w:rsidR="00883283" w:rsidRPr="00466924">
        <w:t xml:space="preserve">full </w:t>
      </w:r>
      <w:r w:rsidR="00791A21">
        <w:t>78%</w:t>
      </w:r>
      <w:r w:rsidR="00883283" w:rsidRPr="00466924">
        <w:t xml:space="preserve"> </w:t>
      </w:r>
      <w:r w:rsidR="00791A21">
        <w:t xml:space="preserve">reduction in carbon emission may be </w:t>
      </w:r>
      <w:r w:rsidR="00B41419">
        <w:t xml:space="preserve">gained </w:t>
      </w:r>
      <w:r w:rsidR="000A228E" w:rsidRPr="00466924">
        <w:t>over stage</w:t>
      </w:r>
      <w:r w:rsidR="00902899" w:rsidRPr="00466924">
        <w:t xml:space="preserve"> 1 and 2</w:t>
      </w:r>
      <w:r w:rsidR="00133980" w:rsidRPr="00466924">
        <w:t xml:space="preserve"> of the retrofit,</w:t>
      </w:r>
      <w:r w:rsidR="00883283" w:rsidRPr="00466924">
        <w:t xml:space="preserve"> </w:t>
      </w:r>
      <w:r w:rsidR="00B41419">
        <w:t>while the 28% reduction</w:t>
      </w:r>
      <w:r w:rsidR="00D4280B" w:rsidRPr="00466924">
        <w:t xml:space="preserve"> </w:t>
      </w:r>
      <w:r w:rsidR="00B41419">
        <w:t xml:space="preserve">in carbon emissions, which the </w:t>
      </w:r>
      <w:r w:rsidR="00902899" w:rsidRPr="00466924">
        <w:t>social</w:t>
      </w:r>
      <w:r w:rsidR="004D2C9A" w:rsidRPr="00466924">
        <w:t xml:space="preserve"> rented sector</w:t>
      </w:r>
      <w:r w:rsidR="00883283" w:rsidRPr="00466924">
        <w:t xml:space="preserve"> benefit</w:t>
      </w:r>
      <w:r w:rsidR="000A228E" w:rsidRPr="00466924">
        <w:t xml:space="preserve"> from</w:t>
      </w:r>
      <w:r w:rsidRPr="00466924">
        <w:t>,</w:t>
      </w:r>
      <w:r w:rsidR="00902899" w:rsidRPr="00466924">
        <w:t xml:space="preserve"> </w:t>
      </w:r>
      <w:r w:rsidR="0042706B">
        <w:t>cannot</w:t>
      </w:r>
      <w:r w:rsidR="00B41419">
        <w:t xml:space="preserve"> be achieved</w:t>
      </w:r>
      <w:r w:rsidR="00867A4C" w:rsidRPr="00466924">
        <w:t xml:space="preserve"> </w:t>
      </w:r>
      <w:r w:rsidR="004D2C9A" w:rsidRPr="00466924">
        <w:t>until</w:t>
      </w:r>
      <w:r w:rsidR="00E914A0" w:rsidRPr="00466924">
        <w:t xml:space="preserve"> the completion of </w:t>
      </w:r>
      <w:r w:rsidR="00902899" w:rsidRPr="00466924">
        <w:t>stage 2.</w:t>
      </w:r>
    </w:p>
    <w:p w14:paraId="57D20909" w14:textId="77777777" w:rsidR="00AA28CB" w:rsidRPr="00466924" w:rsidRDefault="00AA28CB" w:rsidP="00AA28CB">
      <w:pPr>
        <w:spacing w:before="0" w:after="0" w:line="240" w:lineRule="auto"/>
        <w:jc w:val="left"/>
      </w:pPr>
    </w:p>
    <w:p w14:paraId="2FB16FF1" w14:textId="77777777" w:rsidR="000A228E" w:rsidRPr="00466924" w:rsidRDefault="00721DAE" w:rsidP="00AA28CB">
      <w:pPr>
        <w:spacing w:before="0" w:after="0" w:line="240" w:lineRule="auto"/>
        <w:jc w:val="left"/>
      </w:pPr>
      <w:r w:rsidRPr="00466924">
        <w:t>Exactly how</w:t>
      </w:r>
      <w:r w:rsidR="000A228E" w:rsidRPr="00466924">
        <w:t xml:space="preserve"> </w:t>
      </w:r>
      <w:r w:rsidR="00AE6A31">
        <w:t>the retrofit actions</w:t>
      </w:r>
      <w:r w:rsidR="00146578">
        <w:t xml:space="preserve"> </w:t>
      </w:r>
      <w:r w:rsidR="000A228E" w:rsidRPr="00466924">
        <w:t>planned for s</w:t>
      </w:r>
      <w:r w:rsidR="00253604" w:rsidRPr="00466924">
        <w:t>t</w:t>
      </w:r>
      <w:r w:rsidR="000A228E" w:rsidRPr="00466924">
        <w:t xml:space="preserve">age 2 and </w:t>
      </w:r>
      <w:r w:rsidR="00CE5C9B" w:rsidRPr="00466924">
        <w:t xml:space="preserve">as a stage 3 </w:t>
      </w:r>
      <w:r w:rsidR="000A228E" w:rsidRPr="00466924">
        <w:t>demonstration of what is smart about the ESCO, peak-loading manageme</w:t>
      </w:r>
      <w:r w:rsidR="00CE5C9B" w:rsidRPr="00466924">
        <w:t>nt and dynamic pricing</w:t>
      </w:r>
      <w:r w:rsidR="00B5314E" w:rsidRPr="00466924">
        <w:t xml:space="preserve"> of this cloud computing</w:t>
      </w:r>
      <w:r w:rsidR="0042706B">
        <w:t xml:space="preserve"> and how the IoT</w:t>
      </w:r>
      <w:r w:rsidR="005F5DE8">
        <w:t xml:space="preserve"> </w:t>
      </w:r>
      <w:r w:rsidR="000A228E" w:rsidRPr="00466924">
        <w:t xml:space="preserve">will improve </w:t>
      </w:r>
      <w:r w:rsidR="00133980" w:rsidRPr="00466924">
        <w:t xml:space="preserve">the </w:t>
      </w:r>
      <w:r w:rsidRPr="00466924">
        <w:t>performance</w:t>
      </w:r>
      <w:r w:rsidR="000A228E" w:rsidRPr="00466924">
        <w:t xml:space="preserve"> </w:t>
      </w:r>
      <w:r w:rsidR="00133980" w:rsidRPr="00466924">
        <w:t>of the</w:t>
      </w:r>
      <w:r w:rsidR="00AE6A31">
        <w:t xml:space="preserve"> city-district</w:t>
      </w:r>
      <w:r w:rsidR="005F5DE8">
        <w:t>,</w:t>
      </w:r>
      <w:r w:rsidR="00AE6A31">
        <w:t xml:space="preserve"> </w:t>
      </w:r>
      <w:r w:rsidR="000A228E" w:rsidRPr="00466924">
        <w:t xml:space="preserve">still needs to be </w:t>
      </w:r>
      <w:r w:rsidR="00455916" w:rsidRPr="00466924">
        <w:t xml:space="preserve">fully </w:t>
      </w:r>
      <w:r w:rsidR="000A228E" w:rsidRPr="00466924">
        <w:t>assessed. All that it is cu</w:t>
      </w:r>
      <w:r w:rsidR="00133980" w:rsidRPr="00466924">
        <w:t>rrently possible to say is</w:t>
      </w:r>
      <w:r w:rsidR="000A228E" w:rsidRPr="00466924">
        <w:t xml:space="preserve"> </w:t>
      </w:r>
      <w:r w:rsidR="00A53AB9" w:rsidRPr="00466924">
        <w:t>“</w:t>
      </w:r>
      <w:r w:rsidR="000A228E" w:rsidRPr="00466924">
        <w:t>all things being equal</w:t>
      </w:r>
      <w:r w:rsidR="00A53AB9" w:rsidRPr="00466924">
        <w:t>”</w:t>
      </w:r>
      <w:r w:rsidR="00133980" w:rsidRPr="00466924">
        <w:t>,</w:t>
      </w:r>
      <w:r w:rsidR="00455916" w:rsidRPr="00466924">
        <w:t xml:space="preserve"> the</w:t>
      </w:r>
      <w:r w:rsidR="000A228E" w:rsidRPr="00466924">
        <w:t xml:space="preserve"> projected </w:t>
      </w:r>
      <w:r w:rsidR="00133980" w:rsidRPr="00466924">
        <w:t xml:space="preserve">figure of </w:t>
      </w:r>
      <w:r w:rsidR="00455916" w:rsidRPr="00466924">
        <w:t xml:space="preserve">an extra </w:t>
      </w:r>
      <w:r w:rsidR="00825DE4" w:rsidRPr="00466924">
        <w:t>28</w:t>
      </w:r>
      <w:r w:rsidR="000A228E" w:rsidRPr="00466924">
        <w:t>% savings and</w:t>
      </w:r>
      <w:r w:rsidRPr="00466924">
        <w:t xml:space="preserve"> </w:t>
      </w:r>
      <w:r w:rsidR="00AE04C9" w:rsidRPr="00466924">
        <w:t xml:space="preserve">additional </w:t>
      </w:r>
      <w:r w:rsidR="000A228E" w:rsidRPr="00466924">
        <w:t>reductio</w:t>
      </w:r>
      <w:r w:rsidRPr="00466924">
        <w:t>n</w:t>
      </w:r>
      <w:r w:rsidR="000A228E" w:rsidRPr="00466924">
        <w:t xml:space="preserve"> </w:t>
      </w:r>
      <w:r w:rsidR="00AE04C9" w:rsidRPr="00466924">
        <w:t xml:space="preserve">(forecast to be approximately 5%) </w:t>
      </w:r>
      <w:r w:rsidR="000A228E" w:rsidRPr="00466924">
        <w:t>should bear down</w:t>
      </w:r>
      <w:r w:rsidRPr="00466924">
        <w:t xml:space="preserve"> </w:t>
      </w:r>
      <w:r w:rsidR="00AE04C9" w:rsidRPr="00466924">
        <w:t xml:space="preserve">further </w:t>
      </w:r>
      <w:r w:rsidR="000A228E" w:rsidRPr="00466924">
        <w:t xml:space="preserve">on the levels of energy consumption and rates of </w:t>
      </w:r>
      <w:r w:rsidR="00781A5D" w:rsidRPr="00466924">
        <w:rPr>
          <w:rFonts w:cs="Arial"/>
        </w:rPr>
        <w:t>CO</w:t>
      </w:r>
      <w:r w:rsidR="00781A5D" w:rsidRPr="00466924">
        <w:rPr>
          <w:rFonts w:cs="Arial"/>
          <w:vertAlign w:val="subscript"/>
        </w:rPr>
        <w:t>2</w:t>
      </w:r>
      <w:r w:rsidR="000A228E" w:rsidRPr="00466924">
        <w:t xml:space="preserve"> emission</w:t>
      </w:r>
      <w:r w:rsidR="00825DE4" w:rsidRPr="00466924">
        <w:t xml:space="preserve">. That is, </w:t>
      </w:r>
      <w:r w:rsidR="000A228E" w:rsidRPr="00466924">
        <w:t>improve performance in accordance with the socio-demographic stru</w:t>
      </w:r>
      <w:r w:rsidR="001F3D98" w:rsidRPr="00466924">
        <w:t>cture,</w:t>
      </w:r>
      <w:r w:rsidR="000A228E" w:rsidRPr="00466924">
        <w:t xml:space="preserve"> which </w:t>
      </w:r>
      <w:r w:rsidR="00966DF5">
        <w:t xml:space="preserve">aligns with the </w:t>
      </w:r>
      <w:r w:rsidR="001F3D98" w:rsidRPr="00466924">
        <w:t>environmental profile</w:t>
      </w:r>
      <w:r w:rsidR="00133980" w:rsidRPr="00466924">
        <w:t xml:space="preserve"> of </w:t>
      </w:r>
      <w:r w:rsidR="000A228E" w:rsidRPr="00466924">
        <w:t>this</w:t>
      </w:r>
      <w:r w:rsidR="001F3D98" w:rsidRPr="00466924">
        <w:t xml:space="preserve"> city-</w:t>
      </w:r>
      <w:r w:rsidR="00613546" w:rsidRPr="00466924">
        <w:t>district</w:t>
      </w:r>
      <w:r w:rsidR="00966DF5">
        <w:t xml:space="preserve"> a</w:t>
      </w:r>
      <w:r w:rsidR="00613546" w:rsidRPr="00466924">
        <w:t>nd</w:t>
      </w:r>
      <w:r w:rsidR="00966DF5">
        <w:t xml:space="preserve"> under-grids </w:t>
      </w:r>
      <w:r w:rsidR="00613546" w:rsidRPr="00466924">
        <w:t>the sustainability of the</w:t>
      </w:r>
      <w:r w:rsidR="00AE6A31">
        <w:t xml:space="preserve"> energy efficient-low carbon zones as an</w:t>
      </w:r>
      <w:r w:rsidR="00613546" w:rsidRPr="00466924">
        <w:t xml:space="preserve"> inclusive growth s</w:t>
      </w:r>
      <w:r w:rsidR="00AE6A31">
        <w:t>trategy</w:t>
      </w:r>
      <w:r w:rsidR="000A228E" w:rsidRPr="00466924">
        <w:t xml:space="preserve">. </w:t>
      </w:r>
    </w:p>
    <w:p w14:paraId="452049F1" w14:textId="77777777" w:rsidR="000A228E" w:rsidRPr="00466924" w:rsidRDefault="000A228E" w:rsidP="00AA28CB">
      <w:pPr>
        <w:spacing w:before="0" w:after="0" w:line="240" w:lineRule="auto"/>
        <w:jc w:val="left"/>
      </w:pPr>
    </w:p>
    <w:p w14:paraId="02C170C8" w14:textId="77777777" w:rsidR="00133980" w:rsidRPr="00466924" w:rsidRDefault="00825DE4" w:rsidP="00AA28CB">
      <w:pPr>
        <w:spacing w:before="0" w:after="0" w:line="240" w:lineRule="auto"/>
        <w:jc w:val="left"/>
      </w:pPr>
      <w:r w:rsidRPr="00466924">
        <w:t>Given the environmental profile</w:t>
      </w:r>
      <w:r w:rsidR="00613546" w:rsidRPr="00466924">
        <w:t xml:space="preserve"> of the</w:t>
      </w:r>
      <w:r w:rsidR="000A228E" w:rsidRPr="00466924">
        <w:t xml:space="preserve"> city-district that</w:t>
      </w:r>
      <w:r w:rsidR="00613546" w:rsidRPr="00466924">
        <w:t xml:space="preserve"> currently</w:t>
      </w:r>
      <w:r w:rsidR="00721DAE" w:rsidRPr="00466924">
        <w:t xml:space="preserve"> surfac</w:t>
      </w:r>
      <w:r w:rsidR="00253604" w:rsidRPr="00466924">
        <w:t>es</w:t>
      </w:r>
      <w:r w:rsidR="00721DAE" w:rsidRPr="00466924">
        <w:t xml:space="preserve"> under stage 1</w:t>
      </w:r>
      <w:r w:rsidR="00613546" w:rsidRPr="00466924">
        <w:t xml:space="preserve"> is </w:t>
      </w:r>
      <w:r w:rsidR="00D924B4">
        <w:t>biased</w:t>
      </w:r>
      <w:r w:rsidR="000A228E" w:rsidRPr="00466924">
        <w:t xml:space="preserve"> in over-compensating middle-to-high-income groups for their energy consumption and </w:t>
      </w:r>
      <w:r w:rsidR="00781A5D" w:rsidRPr="00466924">
        <w:rPr>
          <w:rFonts w:cs="Arial"/>
        </w:rPr>
        <w:t>CO</w:t>
      </w:r>
      <w:r w:rsidR="00781A5D" w:rsidRPr="00466924">
        <w:rPr>
          <w:rFonts w:cs="Arial"/>
          <w:vertAlign w:val="subscript"/>
        </w:rPr>
        <w:t>2</w:t>
      </w:r>
      <w:r w:rsidR="000A228E" w:rsidRPr="00466924">
        <w:t xml:space="preserve"> emission, the crosscutting nature of the </w:t>
      </w:r>
      <w:r w:rsidR="00AE6A31">
        <w:t xml:space="preserve">digital </w:t>
      </w:r>
      <w:r w:rsidR="00455916" w:rsidRPr="00466924">
        <w:t>infrastructures</w:t>
      </w:r>
      <w:r w:rsidR="00AE6A31">
        <w:t>,</w:t>
      </w:r>
      <w:r w:rsidR="00455916" w:rsidRPr="00466924">
        <w:t xml:space="preserve"> </w:t>
      </w:r>
      <w:r w:rsidR="00AE6A31">
        <w:t>data</w:t>
      </w:r>
      <w:r w:rsidR="00F331A4">
        <w:t xml:space="preserve"> </w:t>
      </w:r>
      <w:r w:rsidR="00455916" w:rsidRPr="00466924">
        <w:t>management systems</w:t>
      </w:r>
      <w:r w:rsidR="00AE6A31">
        <w:t xml:space="preserve"> and renewable energies</w:t>
      </w:r>
      <w:r w:rsidR="007C30B7">
        <w:t xml:space="preserve"> </w:t>
      </w:r>
      <w:r w:rsidR="000A228E" w:rsidRPr="00466924">
        <w:t>under</w:t>
      </w:r>
      <w:r w:rsidR="005F5DE8">
        <w:t>-gridding</w:t>
      </w:r>
      <w:r w:rsidR="00613546" w:rsidRPr="00466924">
        <w:t xml:space="preserve"> the sustainability</w:t>
      </w:r>
      <w:r w:rsidR="00721DAE" w:rsidRPr="00466924">
        <w:t xml:space="preserve"> of</w:t>
      </w:r>
      <w:r w:rsidR="00613546" w:rsidRPr="00466924">
        <w:t xml:space="preserve"> </w:t>
      </w:r>
      <w:r w:rsidR="000A228E" w:rsidRPr="00466924">
        <w:t>stage 2 and 3</w:t>
      </w:r>
      <w:r w:rsidR="00721DAE" w:rsidRPr="00466924">
        <w:t xml:space="preserve"> </w:t>
      </w:r>
      <w:r w:rsidR="000A228E" w:rsidRPr="00466924">
        <w:t>are significant.</w:t>
      </w:r>
      <w:r w:rsidR="00721DAE" w:rsidRPr="00466924">
        <w:t xml:space="preserve"> This is because t</w:t>
      </w:r>
      <w:r w:rsidR="000A228E" w:rsidRPr="00466924">
        <w:t xml:space="preserve">ogether they provide the means for the energy savings and </w:t>
      </w:r>
      <w:r w:rsidR="00781A5D" w:rsidRPr="00466924">
        <w:rPr>
          <w:rFonts w:cs="Arial"/>
        </w:rPr>
        <w:t>CO</w:t>
      </w:r>
      <w:r w:rsidR="00781A5D" w:rsidRPr="00466924">
        <w:rPr>
          <w:rFonts w:cs="Arial"/>
          <w:vertAlign w:val="subscript"/>
        </w:rPr>
        <w:t>2</w:t>
      </w:r>
      <w:r w:rsidR="000A228E" w:rsidRPr="00466924">
        <w:t xml:space="preserve"> reductions </w:t>
      </w:r>
      <w:r w:rsidR="00A53AB9" w:rsidRPr="00466924">
        <w:t>surfacing</w:t>
      </w:r>
      <w:r w:rsidR="000A228E" w:rsidRPr="00466924">
        <w:t xml:space="preserve"> from this environmental profile</w:t>
      </w:r>
      <w:r w:rsidR="00F9535B">
        <w:t>,</w:t>
      </w:r>
      <w:r w:rsidR="000A228E" w:rsidRPr="00466924">
        <w:t xml:space="preserve"> to</w:t>
      </w:r>
      <w:r w:rsidR="00133980" w:rsidRPr="00466924">
        <w:t xml:space="preserve"> cut across the structure of the housing market and</w:t>
      </w:r>
      <w:r w:rsidR="000A228E" w:rsidRPr="00466924">
        <w:t xml:space="preserve"> be inclusive, vis-à-vis equally accessible by low, middle </w:t>
      </w:r>
      <w:r w:rsidR="00721DAE" w:rsidRPr="00466924">
        <w:t>and high-income groups alike. I</w:t>
      </w:r>
      <w:r w:rsidR="000A228E" w:rsidRPr="00466924">
        <w:t>n</w:t>
      </w:r>
      <w:r w:rsidR="00D370CF" w:rsidRPr="00466924">
        <w:t xml:space="preserve"> this way </w:t>
      </w:r>
      <w:r w:rsidR="00253604" w:rsidRPr="00466924">
        <w:t>(</w:t>
      </w:r>
      <w:r w:rsidR="00D370CF" w:rsidRPr="00466924">
        <w:t xml:space="preserve">i.e. by cutting across the structure of the housing </w:t>
      </w:r>
      <w:r w:rsidR="005F293C" w:rsidRPr="00466924">
        <w:t>market),</w:t>
      </w:r>
      <w:r w:rsidR="00D370CF" w:rsidRPr="00466924">
        <w:t xml:space="preserve"> </w:t>
      </w:r>
      <w:r w:rsidR="00721DAE" w:rsidRPr="00466924">
        <w:t>it is</w:t>
      </w:r>
      <w:r w:rsidRPr="00466924">
        <w:t xml:space="preserve"> </w:t>
      </w:r>
      <w:r w:rsidR="00721DAE" w:rsidRPr="00466924">
        <w:t xml:space="preserve">stages 2 and 3 that </w:t>
      </w:r>
      <w:r w:rsidRPr="00466924">
        <w:t xml:space="preserve">open up the </w:t>
      </w:r>
      <w:r w:rsidR="000A228E" w:rsidRPr="00466924">
        <w:t>spaces</w:t>
      </w:r>
      <w:r w:rsidR="00524C1A" w:rsidRPr="00466924">
        <w:t>,</w:t>
      </w:r>
      <w:r w:rsidR="000A228E" w:rsidRPr="00466924">
        <w:t xml:space="preserve"> which </w:t>
      </w:r>
      <w:r w:rsidR="002D284B" w:rsidRPr="00466924">
        <w:t>provid</w:t>
      </w:r>
      <w:r w:rsidR="00711572" w:rsidRPr="00466924">
        <w:t xml:space="preserve">e the </w:t>
      </w:r>
      <w:r w:rsidR="00455916" w:rsidRPr="00466924">
        <w:t>means</w:t>
      </w:r>
      <w:r w:rsidR="00721DAE" w:rsidRPr="00466924">
        <w:t xml:space="preserve"> </w:t>
      </w:r>
      <w:r w:rsidR="00613546" w:rsidRPr="00466924">
        <w:t>to</w:t>
      </w:r>
      <w:r w:rsidR="002D284B" w:rsidRPr="00466924">
        <w:t xml:space="preserve"> </w:t>
      </w:r>
      <w:r w:rsidR="000A228E" w:rsidRPr="00466924">
        <w:t>redress some of the imbalances</w:t>
      </w:r>
      <w:r w:rsidR="002D284B" w:rsidRPr="00466924">
        <w:t xml:space="preserve"> that </w:t>
      </w:r>
      <w:r w:rsidR="002F4C72">
        <w:t xml:space="preserve">currently </w:t>
      </w:r>
      <w:r w:rsidR="002D284B" w:rsidRPr="00466924">
        <w:t>underlie</w:t>
      </w:r>
      <w:r w:rsidR="000A228E" w:rsidRPr="00466924">
        <w:t xml:space="preserve"> the social-demographic structure </w:t>
      </w:r>
      <w:r w:rsidR="002D284B" w:rsidRPr="00466924">
        <w:t>of the housing market</w:t>
      </w:r>
      <w:r w:rsidR="00D370CF" w:rsidRPr="00466924">
        <w:t>. Something</w:t>
      </w:r>
      <w:r w:rsidR="005E7D0A" w:rsidRPr="00466924">
        <w:t xml:space="preserve"> th</w:t>
      </w:r>
      <w:r w:rsidR="009C5780">
        <w:t>is</w:t>
      </w:r>
      <w:r w:rsidR="00711572" w:rsidRPr="00466924">
        <w:t xml:space="preserve"> </w:t>
      </w:r>
      <w:r w:rsidR="00D370CF" w:rsidRPr="00466924">
        <w:t xml:space="preserve">under-gridding </w:t>
      </w:r>
      <w:r w:rsidR="00711572" w:rsidRPr="00466924">
        <w:t xml:space="preserve">of </w:t>
      </w:r>
      <w:r w:rsidR="00D370CF" w:rsidRPr="00466924">
        <w:t xml:space="preserve">the </w:t>
      </w:r>
      <w:r w:rsidR="00711572" w:rsidRPr="00466924">
        <w:t>sustainability</w:t>
      </w:r>
      <w:r w:rsidR="00D370CF" w:rsidRPr="00466924">
        <w:t xml:space="preserve"> </w:t>
      </w:r>
      <w:r w:rsidR="00711572" w:rsidRPr="00466924">
        <w:t>begins to balance out in</w:t>
      </w:r>
      <w:r w:rsidR="00D370CF" w:rsidRPr="00466924">
        <w:t xml:space="preserve"> the city-di</w:t>
      </w:r>
      <w:r w:rsidR="00711572" w:rsidRPr="00466924">
        <w:t>strict</w:t>
      </w:r>
      <w:r w:rsidR="005E7D0A" w:rsidRPr="00466924">
        <w:t>,</w:t>
      </w:r>
      <w:r w:rsidR="00711572" w:rsidRPr="00466924">
        <w:t xml:space="preserve"> by making </w:t>
      </w:r>
      <w:r w:rsidR="005E7D0A" w:rsidRPr="00466924">
        <w:t>the</w:t>
      </w:r>
      <w:r w:rsidR="00455916" w:rsidRPr="00466924">
        <w:t xml:space="preserve"> benefits</w:t>
      </w:r>
      <w:r w:rsidR="005E7D0A" w:rsidRPr="00466924">
        <w:t xml:space="preserve"> </w:t>
      </w:r>
      <w:r w:rsidR="00AE6A31">
        <w:t xml:space="preserve">of energy efficient-low carbon zones </w:t>
      </w:r>
      <w:r w:rsidR="00711572" w:rsidRPr="00466924">
        <w:t xml:space="preserve">accessible </w:t>
      </w:r>
      <w:r w:rsidR="00B22673">
        <w:t>to</w:t>
      </w:r>
      <w:r w:rsidR="00711572" w:rsidRPr="00466924">
        <w:t xml:space="preserve"> everyone in the h</w:t>
      </w:r>
      <w:r w:rsidR="00D370CF" w:rsidRPr="00466924">
        <w:t>ousin</w:t>
      </w:r>
      <w:r w:rsidR="005E7D0A" w:rsidRPr="00466924">
        <w:t>g market</w:t>
      </w:r>
      <w:r w:rsidR="00D370CF" w:rsidRPr="00466924">
        <w:t xml:space="preserve">. </w:t>
      </w:r>
      <w:r w:rsidR="00AE38E7" w:rsidRPr="00466924">
        <w:t>For only in this way, vis-à-vis</w:t>
      </w:r>
      <w:r w:rsidR="0036708A" w:rsidRPr="00466924">
        <w:t xml:space="preserve"> by</w:t>
      </w:r>
      <w:r w:rsidR="00AE38E7" w:rsidRPr="00466924">
        <w:t xml:space="preserve"> being accessible to everyone</w:t>
      </w:r>
      <w:r w:rsidR="0036708A" w:rsidRPr="00466924">
        <w:t xml:space="preserve"> and shared equally</w:t>
      </w:r>
      <w:r w:rsidR="005E7D0A" w:rsidRPr="00466924">
        <w:t xml:space="preserve"> across</w:t>
      </w:r>
      <w:r w:rsidR="009F5870" w:rsidRPr="00466924">
        <w:t xml:space="preserve"> those in </w:t>
      </w:r>
      <w:r w:rsidR="005E7D0A" w:rsidRPr="00466924">
        <w:t>the housing market</w:t>
      </w:r>
      <w:r w:rsidR="00C90724" w:rsidRPr="00466924">
        <w:t>,</w:t>
      </w:r>
      <w:r w:rsidR="0036708A" w:rsidRPr="00466924">
        <w:t xml:space="preserve"> </w:t>
      </w:r>
      <w:r w:rsidR="005E7D0A" w:rsidRPr="00466924">
        <w:t>can any proposals made to</w:t>
      </w:r>
      <w:r w:rsidR="00AE38E7" w:rsidRPr="00466924">
        <w:t xml:space="preserve"> under-grid the </w:t>
      </w:r>
      <w:r w:rsidR="005E7D0A" w:rsidRPr="00466924">
        <w:t xml:space="preserve">sustainability </w:t>
      </w:r>
      <w:r w:rsidR="0036708A" w:rsidRPr="00466924">
        <w:t>of city-d</w:t>
      </w:r>
      <w:r w:rsidR="005E7D0A" w:rsidRPr="00466924">
        <w:t>istrict</w:t>
      </w:r>
      <w:r w:rsidR="00843EE2" w:rsidRPr="00466924">
        <w:t>s</w:t>
      </w:r>
      <w:r w:rsidR="009C1D1A">
        <w:t xml:space="preserve"> as</w:t>
      </w:r>
      <w:r w:rsidR="00843EE2" w:rsidRPr="00466924">
        <w:t xml:space="preserve"> </w:t>
      </w:r>
      <w:r w:rsidR="00C90724" w:rsidRPr="00466924">
        <w:t>efficient-</w:t>
      </w:r>
      <w:r w:rsidR="00843EE2" w:rsidRPr="00466924">
        <w:t>low carbon zones</w:t>
      </w:r>
      <w:r w:rsidR="009C1D1A" w:rsidRPr="009C1D1A">
        <w:t xml:space="preserve"> </w:t>
      </w:r>
      <w:r w:rsidR="009C1D1A" w:rsidRPr="00466924">
        <w:t>be seen to support an inclusive growth</w:t>
      </w:r>
      <w:r w:rsidR="00843EE2" w:rsidRPr="00466924">
        <w:t xml:space="preserve">. That is to say, </w:t>
      </w:r>
      <w:r w:rsidR="00AE04C9" w:rsidRPr="00466924">
        <w:t xml:space="preserve">support </w:t>
      </w:r>
      <w:r w:rsidR="00B5314E" w:rsidRPr="00466924">
        <w:t>such growth,</w:t>
      </w:r>
      <w:r w:rsidR="00AE04C9" w:rsidRPr="00466924">
        <w:t xml:space="preserve"> </w:t>
      </w:r>
      <w:r w:rsidR="00843EE2" w:rsidRPr="00466924">
        <w:t xml:space="preserve">because the status </w:t>
      </w:r>
      <w:r w:rsidR="00B5314E" w:rsidRPr="00466924">
        <w:t>of the</w:t>
      </w:r>
      <w:r w:rsidR="00843EE2" w:rsidRPr="00466924">
        <w:t xml:space="preserve"> zones</w:t>
      </w:r>
      <w:r w:rsidR="00B5314E" w:rsidRPr="00466924">
        <w:t xml:space="preserve"> this</w:t>
      </w:r>
      <w:r w:rsidR="00843EE2" w:rsidRPr="00466924">
        <w:t xml:space="preserve"> </w:t>
      </w:r>
      <w:r w:rsidR="001E29C9">
        <w:t xml:space="preserve">grid </w:t>
      </w:r>
      <w:r w:rsidR="00B5314E" w:rsidRPr="00466924">
        <w:t>rests on,</w:t>
      </w:r>
      <w:r w:rsidR="00AE38E7" w:rsidRPr="00466924">
        <w:t xml:space="preserve"> </w:t>
      </w:r>
      <w:r w:rsidR="00B5314E" w:rsidRPr="00466924">
        <w:t xml:space="preserve">not only </w:t>
      </w:r>
      <w:r w:rsidR="00455916" w:rsidRPr="00466924">
        <w:t>assemble the means</w:t>
      </w:r>
      <w:r w:rsidR="001E29C9">
        <w:t xml:space="preserve"> under which </w:t>
      </w:r>
      <w:r w:rsidR="00345937" w:rsidRPr="00466924">
        <w:t xml:space="preserve">to </w:t>
      </w:r>
      <w:r w:rsidR="0030014C" w:rsidRPr="00466924">
        <w:t xml:space="preserve">break </w:t>
      </w:r>
      <w:r w:rsidR="009F5870" w:rsidRPr="00466924">
        <w:t xml:space="preserve">with the legacy </w:t>
      </w:r>
      <w:r w:rsidR="0030014C" w:rsidRPr="00466924">
        <w:t xml:space="preserve">of </w:t>
      </w:r>
      <w:r w:rsidR="00A53AB9" w:rsidRPr="00466924">
        <w:t>the past</w:t>
      </w:r>
      <w:r w:rsidR="009C5780">
        <w:t xml:space="preserve">, </w:t>
      </w:r>
      <w:r w:rsidR="00B5314E" w:rsidRPr="00466924">
        <w:t>but</w:t>
      </w:r>
      <w:r w:rsidR="00786AFD">
        <w:t xml:space="preserve"> for the reason </w:t>
      </w:r>
      <w:r w:rsidR="00AF4D48">
        <w:t>they open-up</w:t>
      </w:r>
      <w:r w:rsidR="006369DA" w:rsidRPr="00466924">
        <w:t xml:space="preserve"> the </w:t>
      </w:r>
      <w:r w:rsidR="00A53AB9" w:rsidRPr="00466924">
        <w:t xml:space="preserve">prospect of </w:t>
      </w:r>
      <w:r w:rsidR="009F5870" w:rsidRPr="00466924">
        <w:t>everyone in</w:t>
      </w:r>
      <w:r w:rsidR="0030014C" w:rsidRPr="00466924">
        <w:t xml:space="preserve"> </w:t>
      </w:r>
      <w:r w:rsidR="005F293C" w:rsidRPr="00466924">
        <w:t xml:space="preserve">the </w:t>
      </w:r>
      <w:r w:rsidR="0030014C" w:rsidRPr="00466924">
        <w:t>residential property</w:t>
      </w:r>
      <w:r w:rsidR="002F4C72">
        <w:t xml:space="preserve"> sector</w:t>
      </w:r>
      <w:r w:rsidR="003C0115" w:rsidRPr="00466924">
        <w:t xml:space="preserve"> </w:t>
      </w:r>
      <w:r w:rsidR="00A53AB9" w:rsidRPr="00466924">
        <w:t>prosper</w:t>
      </w:r>
      <w:r w:rsidR="009C5780">
        <w:t>ing</w:t>
      </w:r>
      <w:r w:rsidR="00A53AB9" w:rsidRPr="00466924">
        <w:t xml:space="preserve"> </w:t>
      </w:r>
      <w:r w:rsidR="00455916" w:rsidRPr="00466924">
        <w:t xml:space="preserve">equally </w:t>
      </w:r>
      <w:r w:rsidR="00A53AB9" w:rsidRPr="00466924">
        <w:t>from the future it offers</w:t>
      </w:r>
      <w:r w:rsidR="009C5780">
        <w:t xml:space="preserve"> </w:t>
      </w:r>
      <w:r w:rsidR="000A228E" w:rsidRPr="00466924">
        <w:t>(Deakin et al</w:t>
      </w:r>
      <w:r w:rsidR="00AC547B" w:rsidRPr="00466924">
        <w:t>.</w:t>
      </w:r>
      <w:r w:rsidR="000A228E" w:rsidRPr="00466924">
        <w:t xml:space="preserve"> 201</w:t>
      </w:r>
      <w:r w:rsidR="006369DA" w:rsidRPr="00466924">
        <w:t>4).</w:t>
      </w:r>
    </w:p>
    <w:p w14:paraId="52104E0B" w14:textId="77777777" w:rsidR="005D1C47" w:rsidRPr="00466924" w:rsidRDefault="005D1C47" w:rsidP="00AA28CB">
      <w:pPr>
        <w:spacing w:before="0" w:after="0" w:line="240" w:lineRule="auto"/>
        <w:jc w:val="left"/>
      </w:pPr>
    </w:p>
    <w:p w14:paraId="568EEE57" w14:textId="77777777" w:rsidR="00762649" w:rsidRPr="00466924" w:rsidRDefault="0047392C" w:rsidP="00AA28CB">
      <w:pPr>
        <w:pStyle w:val="Heading1"/>
        <w:numPr>
          <w:ilvl w:val="0"/>
          <w:numId w:val="39"/>
        </w:numPr>
        <w:spacing w:before="0" w:after="0" w:line="240" w:lineRule="auto"/>
        <w:jc w:val="left"/>
      </w:pPr>
      <w:r w:rsidRPr="00466924">
        <w:t>Conclusions</w:t>
      </w:r>
    </w:p>
    <w:p w14:paraId="445A5121" w14:textId="77777777" w:rsidR="00886826" w:rsidRPr="00466924" w:rsidRDefault="00886826" w:rsidP="003E5C16">
      <w:pPr>
        <w:jc w:val="left"/>
      </w:pPr>
    </w:p>
    <w:p w14:paraId="57E72A71" w14:textId="77777777" w:rsidR="005F5DE8" w:rsidRDefault="00886826" w:rsidP="003E5C16">
      <w:pPr>
        <w:jc w:val="left"/>
      </w:pPr>
      <w:r w:rsidRPr="00466924">
        <w:t>The inspirat</w:t>
      </w:r>
      <w:r w:rsidR="007F6670">
        <w:t>ion for this paper is</w:t>
      </w:r>
      <w:r w:rsidRPr="00466924">
        <w:t xml:space="preserve"> the potential</w:t>
      </w:r>
      <w:r w:rsidR="008F4532" w:rsidRPr="00466924">
        <w:t>,</w:t>
      </w:r>
      <w:r w:rsidRPr="00466924">
        <w:t xml:space="preserve"> which</w:t>
      </w:r>
      <w:r w:rsidR="00D14BB7">
        <w:t xml:space="preserve"> the emerging</w:t>
      </w:r>
      <w:r w:rsidRPr="00466924">
        <w:t xml:space="preserve"> literature on </w:t>
      </w:r>
      <w:r w:rsidR="008B575B" w:rsidRPr="00466924">
        <w:t xml:space="preserve">smart cities </w:t>
      </w:r>
      <w:r w:rsidR="008F4532" w:rsidRPr="00466924">
        <w:t>ha</w:t>
      </w:r>
      <w:r w:rsidR="007137BE">
        <w:t>s</w:t>
      </w:r>
      <w:r w:rsidR="008F4532" w:rsidRPr="00466924">
        <w:t xml:space="preserve"> to break with legacies of the </w:t>
      </w:r>
      <w:r w:rsidR="007137BE">
        <w:t xml:space="preserve">Ranking </w:t>
      </w:r>
      <w:r w:rsidR="005F5DE8">
        <w:t xml:space="preserve">System </w:t>
      </w:r>
      <w:r w:rsidR="007137BE">
        <w:t>and Future Internet accounts of such developments</w:t>
      </w:r>
      <w:r w:rsidR="009E7935">
        <w:t xml:space="preserve">. </w:t>
      </w:r>
      <w:r w:rsidR="00714FFB">
        <w:t>B</w:t>
      </w:r>
      <w:r w:rsidR="009E7935">
        <w:t>reak with</w:t>
      </w:r>
      <w:r w:rsidR="005F5DE8">
        <w:t xml:space="preserve"> these</w:t>
      </w:r>
      <w:r w:rsidR="009E7935">
        <w:t xml:space="preserve"> legacies </w:t>
      </w:r>
      <w:r w:rsidR="008F4532" w:rsidRPr="00466924">
        <w:t>and</w:t>
      </w:r>
      <w:r w:rsidR="004B3BF1" w:rsidRPr="00466924">
        <w:t xml:space="preserve"> </w:t>
      </w:r>
      <w:r w:rsidR="009E7935">
        <w:t xml:space="preserve">cast the </w:t>
      </w:r>
      <w:r w:rsidR="00553018">
        <w:t xml:space="preserve">intellectual capital </w:t>
      </w:r>
      <w:r w:rsidR="009E7935">
        <w:t>of smart cities as</w:t>
      </w:r>
      <w:r w:rsidR="008B567B">
        <w:t xml:space="preserve"> </w:t>
      </w:r>
      <w:r w:rsidR="000C113A">
        <w:t>future internet</w:t>
      </w:r>
      <w:r w:rsidR="00265C4B">
        <w:t>-based</w:t>
      </w:r>
      <w:r w:rsidR="000C113A">
        <w:t xml:space="preserve"> developments</w:t>
      </w:r>
      <w:r w:rsidR="00546D69">
        <w:t>. Future internet-based developments</w:t>
      </w:r>
      <w:r w:rsidR="00265C4B">
        <w:t xml:space="preserve"> whose </w:t>
      </w:r>
      <w:r w:rsidR="009E7935">
        <w:t>digital infrastructures</w:t>
      </w:r>
      <w:r w:rsidR="00AF4D48">
        <w:t xml:space="preserve">, </w:t>
      </w:r>
      <w:r w:rsidR="009E7935">
        <w:t>data management system</w:t>
      </w:r>
      <w:r w:rsidR="00D14BB7">
        <w:t>s</w:t>
      </w:r>
      <w:r w:rsidR="008B567B">
        <w:t xml:space="preserve"> </w:t>
      </w:r>
      <w:r w:rsidR="00AF4D48">
        <w:t xml:space="preserve">and renewable energies </w:t>
      </w:r>
      <w:r w:rsidR="009E7935">
        <w:t xml:space="preserve">create wealth </w:t>
      </w:r>
      <w:r w:rsidR="008B567B">
        <w:t xml:space="preserve">from </w:t>
      </w:r>
      <w:r w:rsidR="00AF4D48">
        <w:t>a</w:t>
      </w:r>
      <w:r w:rsidR="000C113A">
        <w:t xml:space="preserve"> </w:t>
      </w:r>
      <w:r w:rsidR="008B575B" w:rsidRPr="00466924">
        <w:t>regional innovation</w:t>
      </w:r>
      <w:r w:rsidR="00AF4D48">
        <w:t xml:space="preserve"> </w:t>
      </w:r>
      <w:r w:rsidR="00546D69">
        <w:t>of a cloud computing</w:t>
      </w:r>
      <w:r w:rsidR="00F9535B">
        <w:t xml:space="preserve"> driven</w:t>
      </w:r>
      <w:r w:rsidR="00AF4D48">
        <w:t xml:space="preserve"> IoT</w:t>
      </w:r>
      <w:r w:rsidR="00E84106">
        <w:t>.</w:t>
      </w:r>
      <w:r w:rsidR="004B3BF1" w:rsidRPr="00466924">
        <w:t xml:space="preserve"> </w:t>
      </w:r>
    </w:p>
    <w:p w14:paraId="5A540784" w14:textId="77777777" w:rsidR="00F37FED" w:rsidRPr="00466924" w:rsidRDefault="00730A27" w:rsidP="003E5C16">
      <w:pPr>
        <w:jc w:val="left"/>
      </w:pPr>
      <w:r>
        <w:t>T</w:t>
      </w:r>
      <w:r w:rsidR="008F4532" w:rsidRPr="00466924">
        <w:t>h</w:t>
      </w:r>
      <w:r w:rsidR="007A4ADD">
        <w:t>is</w:t>
      </w:r>
      <w:r w:rsidR="002F4C72">
        <w:t xml:space="preserve"> </w:t>
      </w:r>
      <w:r w:rsidR="00F1003A">
        <w:t xml:space="preserve">review of the </w:t>
      </w:r>
      <w:r>
        <w:t>literature</w:t>
      </w:r>
      <w:r w:rsidR="00423CE4">
        <w:t xml:space="preserve"> serves to </w:t>
      </w:r>
      <w:r w:rsidR="00265C4B">
        <w:t>overcome the l</w:t>
      </w:r>
      <w:r w:rsidR="00F1003A">
        <w:t xml:space="preserve">imitations of these legacies </w:t>
      </w:r>
      <w:r w:rsidR="00265C4B">
        <w:t xml:space="preserve">by </w:t>
      </w:r>
      <w:r w:rsidR="00423CE4">
        <w:t>captur</w:t>
      </w:r>
      <w:r w:rsidR="00265C4B">
        <w:t xml:space="preserve">ing </w:t>
      </w:r>
      <w:r w:rsidR="00553568">
        <w:t>the metrics of those digital infrastructures, data management systems</w:t>
      </w:r>
      <w:r w:rsidR="00E84106">
        <w:t xml:space="preserve"> and renewable ener</w:t>
      </w:r>
      <w:r w:rsidR="00F1003A">
        <w:t>gies</w:t>
      </w:r>
      <w:r w:rsidR="00D14BB7">
        <w:t xml:space="preserve"> that</w:t>
      </w:r>
      <w:r w:rsidR="00423CE4">
        <w:t xml:space="preserve"> bring the creation of</w:t>
      </w:r>
      <w:r w:rsidR="00553568">
        <w:t xml:space="preserve"> </w:t>
      </w:r>
      <w:r w:rsidR="00CD6904">
        <w:t>wealth</w:t>
      </w:r>
      <w:r w:rsidR="00B41419">
        <w:t xml:space="preserve"> from </w:t>
      </w:r>
      <w:r w:rsidR="00553568">
        <w:t xml:space="preserve">regional innovations </w:t>
      </w:r>
      <w:r w:rsidR="00257A84" w:rsidRPr="00466924">
        <w:t xml:space="preserve">centre stage as </w:t>
      </w:r>
      <w:r w:rsidR="00EF47A2" w:rsidRPr="00466924">
        <w:t xml:space="preserve">the cloud computing and IoT of </w:t>
      </w:r>
      <w:r w:rsidR="00265C4B">
        <w:t xml:space="preserve">smart </w:t>
      </w:r>
      <w:r w:rsidR="00257A84" w:rsidRPr="00466924">
        <w:t>cities</w:t>
      </w:r>
      <w:r w:rsidR="00B41419">
        <w:t xml:space="preserve">. </w:t>
      </w:r>
      <w:r w:rsidR="00552230">
        <w:t>T</w:t>
      </w:r>
      <w:r w:rsidR="00B41419">
        <w:t>h</w:t>
      </w:r>
      <w:r w:rsidR="00D14BB7">
        <w:t>at</w:t>
      </w:r>
      <w:r w:rsidR="00B41419">
        <w:t xml:space="preserve"> cloud computing and IoT</w:t>
      </w:r>
      <w:r w:rsidR="00D14BB7">
        <w:t>, which</w:t>
      </w:r>
      <w:r w:rsidR="00B41419">
        <w:t xml:space="preserve"> </w:t>
      </w:r>
      <w:r w:rsidR="00552230">
        <w:t>is</w:t>
      </w:r>
      <w:r w:rsidR="00257A84" w:rsidRPr="00466924">
        <w:t xml:space="preserve"> smart in</w:t>
      </w:r>
      <w:r w:rsidR="0012318B" w:rsidRPr="00466924">
        <w:t xml:space="preserve"> valuing </w:t>
      </w:r>
      <w:r w:rsidR="006369DA" w:rsidRPr="00466924">
        <w:t xml:space="preserve">the </w:t>
      </w:r>
      <w:r w:rsidR="0012318B" w:rsidRPr="00466924">
        <w:t>environmental sustainability</w:t>
      </w:r>
      <w:r w:rsidR="00A147D9" w:rsidRPr="00466924">
        <w:t xml:space="preserve"> </w:t>
      </w:r>
      <w:r w:rsidR="00EF47A2" w:rsidRPr="00466924">
        <w:t xml:space="preserve">of the energy savings and carbon reductions </w:t>
      </w:r>
      <w:r w:rsidR="004B3BF1" w:rsidRPr="00466924">
        <w:t xml:space="preserve">of </w:t>
      </w:r>
      <w:r w:rsidR="00F1003A">
        <w:t>city-</w:t>
      </w:r>
      <w:r w:rsidR="004B3BF1" w:rsidRPr="00466924">
        <w:t>districts</w:t>
      </w:r>
      <w:r w:rsidR="00B41419">
        <w:t>,</w:t>
      </w:r>
      <w:r w:rsidR="00F1003A">
        <w:t xml:space="preserve"> </w:t>
      </w:r>
      <w:r w:rsidR="00A147D9" w:rsidRPr="00466924">
        <w:t>de Jong et al. (2015)</w:t>
      </w:r>
      <w:r w:rsidR="000E666A" w:rsidRPr="00466924">
        <w:t xml:space="preserve"> indicate ha</w:t>
      </w:r>
      <w:r w:rsidR="00AF4D48">
        <w:t>ve</w:t>
      </w:r>
      <w:r w:rsidR="000E666A" w:rsidRPr="00466924">
        <w:t xml:space="preserve"> </w:t>
      </w:r>
      <w:r w:rsidR="00EF47A2" w:rsidRPr="00466924">
        <w:t xml:space="preserve">until now </w:t>
      </w:r>
      <w:r w:rsidR="00AE04C9" w:rsidRPr="00466924">
        <w:t>tended to be</w:t>
      </w:r>
      <w:r w:rsidR="00257A84" w:rsidRPr="00466924">
        <w:t xml:space="preserve"> ignored</w:t>
      </w:r>
      <w:r w:rsidR="0012318B" w:rsidRPr="00466924">
        <w:t xml:space="preserve">. </w:t>
      </w:r>
      <w:r w:rsidR="006C2226">
        <w:t>Ha</w:t>
      </w:r>
      <w:r w:rsidR="00AF4D48">
        <w:t>ve</w:t>
      </w:r>
      <w:r w:rsidR="006C2226">
        <w:t xml:space="preserve"> t</w:t>
      </w:r>
      <w:r w:rsidR="00924B34" w:rsidRPr="00466924">
        <w:t>ended to be ignored,</w:t>
      </w:r>
      <w:r w:rsidR="004B3BF1" w:rsidRPr="00466924">
        <w:t xml:space="preserve"> because </w:t>
      </w:r>
      <w:r w:rsidR="00F1003A">
        <w:t xml:space="preserve">until now, </w:t>
      </w:r>
      <w:r w:rsidR="004B3BF1" w:rsidRPr="00466924">
        <w:t xml:space="preserve">the intellectual capital of </w:t>
      </w:r>
      <w:r w:rsidR="007A4ADD">
        <w:t xml:space="preserve">smart cities </w:t>
      </w:r>
      <w:r w:rsidR="004B3BF1" w:rsidRPr="00466924">
        <w:t xml:space="preserve">has </w:t>
      </w:r>
      <w:r w:rsidR="00924B34" w:rsidRPr="00466924">
        <w:t>been</w:t>
      </w:r>
      <w:r w:rsidR="004B3BF1" w:rsidRPr="00466924">
        <w:t xml:space="preserve"> divide</w:t>
      </w:r>
      <w:r>
        <w:t>d. D</w:t>
      </w:r>
      <w:r w:rsidR="00F1003A">
        <w:t>i</w:t>
      </w:r>
      <w:r>
        <w:t>vi</w:t>
      </w:r>
      <w:r w:rsidR="00F1003A">
        <w:t>ded</w:t>
      </w:r>
      <w:r w:rsidR="004B3BF1" w:rsidRPr="00466924">
        <w:t xml:space="preserve"> </w:t>
      </w:r>
      <w:r w:rsidR="002F4C72">
        <w:t>a</w:t>
      </w:r>
      <w:r w:rsidR="00265C4B">
        <w:t>s future internet-based develop</w:t>
      </w:r>
      <w:r w:rsidR="00F1003A">
        <w:t>m</w:t>
      </w:r>
      <w:r w:rsidR="00265C4B">
        <w:t>ents</w:t>
      </w:r>
      <w:r w:rsidR="00F1003A">
        <w:t>,</w:t>
      </w:r>
      <w:r w:rsidR="007A2B84">
        <w:t xml:space="preserve"> </w:t>
      </w:r>
      <w:r w:rsidR="004B3BF1" w:rsidRPr="00466924">
        <w:t xml:space="preserve">either </w:t>
      </w:r>
      <w:r w:rsidR="00F1003A">
        <w:t xml:space="preserve">in </w:t>
      </w:r>
      <w:r w:rsidR="004B3BF1" w:rsidRPr="00466924">
        <w:t xml:space="preserve">the </w:t>
      </w:r>
      <w:r w:rsidR="00F37FED" w:rsidRPr="00466924">
        <w:t>digital infrastructures</w:t>
      </w:r>
      <w:r w:rsidR="00F1003A">
        <w:t xml:space="preserve"> of</w:t>
      </w:r>
      <w:r w:rsidR="00F37FED" w:rsidRPr="00466924">
        <w:t xml:space="preserve"> data management</w:t>
      </w:r>
      <w:r w:rsidR="008B575B" w:rsidRPr="00466924">
        <w:t xml:space="preserve"> systems</w:t>
      </w:r>
      <w:r w:rsidR="00F37FED" w:rsidRPr="00466924">
        <w:t xml:space="preserve">, or </w:t>
      </w:r>
      <w:r w:rsidR="00F1003A">
        <w:t>renewable energies</w:t>
      </w:r>
      <w:r w:rsidR="00AF4D48">
        <w:t xml:space="preserve"> of regional innovations</w:t>
      </w:r>
      <w:r w:rsidR="00F1003A">
        <w:t xml:space="preserve">. </w:t>
      </w:r>
    </w:p>
    <w:p w14:paraId="64B14451" w14:textId="77777777" w:rsidR="00AF4D48" w:rsidRDefault="00F37FED" w:rsidP="00E4142E">
      <w:pPr>
        <w:jc w:val="left"/>
      </w:pPr>
      <w:r w:rsidRPr="00466924">
        <w:t>T</w:t>
      </w:r>
      <w:r w:rsidR="00743BAE" w:rsidRPr="00466924">
        <w:t>h</w:t>
      </w:r>
      <w:r w:rsidR="00B46911">
        <w:t xml:space="preserve">e </w:t>
      </w:r>
      <w:r w:rsidR="00743BAE" w:rsidRPr="00466924">
        <w:t>c</w:t>
      </w:r>
      <w:r w:rsidR="003E5C16" w:rsidRPr="00466924">
        <w:t xml:space="preserve">ritical </w:t>
      </w:r>
      <w:r w:rsidR="00743BAE" w:rsidRPr="00466924">
        <w:t>synthesis</w:t>
      </w:r>
      <w:r w:rsidRPr="00466924">
        <w:t xml:space="preserve"> </w:t>
      </w:r>
      <w:r w:rsidR="00B46911">
        <w:t>this paper offers</w:t>
      </w:r>
      <w:r w:rsidR="00D32EC7">
        <w:t xml:space="preserve"> </w:t>
      </w:r>
      <w:r w:rsidR="00354D09">
        <w:t xml:space="preserve">is based on an inter-disciplinary reading of </w:t>
      </w:r>
      <w:r w:rsidR="00546D69">
        <w:t>smart cities</w:t>
      </w:r>
      <w:r w:rsidR="00354D09">
        <w:t xml:space="preserve"> and insights a Triple Helix inspired account of future internet-based developments offers</w:t>
      </w:r>
      <w:r w:rsidR="00354D09" w:rsidRPr="00466924">
        <w:t xml:space="preserve"> into the informatics of </w:t>
      </w:r>
      <w:r w:rsidR="00354D09">
        <w:t>that</w:t>
      </w:r>
      <w:r w:rsidR="00354D09" w:rsidRPr="00466924">
        <w:t xml:space="preserve"> energetic</w:t>
      </w:r>
      <w:r w:rsidR="00354D09">
        <w:t>, which constitute</w:t>
      </w:r>
      <w:r w:rsidR="00354D09" w:rsidRPr="00466924">
        <w:t xml:space="preserve"> </w:t>
      </w:r>
      <w:r w:rsidR="00354D09">
        <w:t>the digital infrastructures, data management systems and renewable energies of a regional</w:t>
      </w:r>
      <w:r w:rsidR="00E4142E">
        <w:t xml:space="preserve"> innovation. In particular, that </w:t>
      </w:r>
      <w:r w:rsidR="00354D09">
        <w:t>regional innovation</w:t>
      </w:r>
      <w:r w:rsidR="00E4142E">
        <w:t>, which covers</w:t>
      </w:r>
      <w:r w:rsidR="00354D09">
        <w:t xml:space="preserve"> the </w:t>
      </w:r>
      <w:r w:rsidR="00546D69">
        <w:t xml:space="preserve">morphological structure </w:t>
      </w:r>
      <w:r w:rsidR="00354D09">
        <w:t xml:space="preserve">of </w:t>
      </w:r>
      <w:r w:rsidR="00546D69">
        <w:t xml:space="preserve">the </w:t>
      </w:r>
      <w:r w:rsidR="00354D09">
        <w:t xml:space="preserve">urban extensions, infill and </w:t>
      </w:r>
      <w:r w:rsidR="00354D09" w:rsidRPr="00466924">
        <w:t>mass retrofit</w:t>
      </w:r>
      <w:r w:rsidR="00354D09">
        <w:t>s smart cities call for</w:t>
      </w:r>
      <w:r w:rsidR="00354D09" w:rsidRPr="00466924">
        <w:t xml:space="preserve">. </w:t>
      </w:r>
    </w:p>
    <w:p w14:paraId="7F96D0CE" w14:textId="77777777" w:rsidR="00354D09" w:rsidRDefault="00354D09" w:rsidP="00E4142E">
      <w:pPr>
        <w:jc w:val="left"/>
        <w:rPr>
          <w:rFonts w:cs="Arial"/>
        </w:rPr>
      </w:pPr>
      <w:r w:rsidRPr="00466924">
        <w:t xml:space="preserve">In going on to focus </w:t>
      </w:r>
      <w:r>
        <w:t>attention on the metrics of the</w:t>
      </w:r>
      <w:r w:rsidRPr="00466924">
        <w:t xml:space="preserve"> mass retrofit</w:t>
      </w:r>
      <w:r>
        <w:t xml:space="preserve"> </w:t>
      </w:r>
      <w:r w:rsidRPr="00466924">
        <w:t>underway in the Lon</w:t>
      </w:r>
      <w:r w:rsidR="00E4142E">
        <w:t xml:space="preserve">don Borough of Sutton, </w:t>
      </w:r>
      <w:r w:rsidR="001872C0">
        <w:t xml:space="preserve">the paper </w:t>
      </w:r>
      <w:r w:rsidRPr="00466924">
        <w:t xml:space="preserve">also serves to demonstrate how </w:t>
      </w:r>
      <w:r>
        <w:t xml:space="preserve">the </w:t>
      </w:r>
      <w:r w:rsidRPr="00466924">
        <w:t xml:space="preserve">urban morphology </w:t>
      </w:r>
      <w:r>
        <w:t xml:space="preserve">of this regional innovation does </w:t>
      </w:r>
      <w:r w:rsidRPr="00466924">
        <w:t>matter</w:t>
      </w:r>
      <w:r>
        <w:t>.</w:t>
      </w:r>
      <w:r w:rsidRPr="00466924">
        <w:t xml:space="preserve"> </w:t>
      </w:r>
      <w:r>
        <w:t>H</w:t>
      </w:r>
      <w:r w:rsidRPr="00466924">
        <w:t xml:space="preserve">ow </w:t>
      </w:r>
      <w:r>
        <w:t xml:space="preserve">the </w:t>
      </w:r>
      <w:r w:rsidRPr="00466924">
        <w:t xml:space="preserve">urban </w:t>
      </w:r>
      <w:r w:rsidRPr="00506553">
        <w:t xml:space="preserve">morphology of this regional innovation does matter for the reason that being aware of the considerable energy savings and </w:t>
      </w:r>
      <w:r w:rsidRPr="00506553">
        <w:rPr>
          <w:rFonts w:cs="Arial"/>
        </w:rPr>
        <w:t>CO</w:t>
      </w:r>
      <w:r w:rsidRPr="00506553">
        <w:rPr>
          <w:rFonts w:cs="Arial"/>
          <w:vertAlign w:val="subscript"/>
        </w:rPr>
        <w:t>2</w:t>
      </w:r>
      <w:r w:rsidRPr="00506553">
        <w:t xml:space="preserve"> reductions, which the cloud computi</w:t>
      </w:r>
      <w:r w:rsidR="00E4142E" w:rsidRPr="00506553">
        <w:t xml:space="preserve">ng of this IoT offer is not enough. </w:t>
      </w:r>
      <w:r w:rsidR="00E4142E" w:rsidRPr="001F0D97">
        <w:t>For</w:t>
      </w:r>
      <w:r w:rsidRPr="001F0D97">
        <w:t xml:space="preserve"> not knowing whether the distribution of costs and benefits</w:t>
      </w:r>
      <w:r w:rsidR="00E4142E" w:rsidRPr="001F0D97">
        <w:t>, which under-grid</w:t>
      </w:r>
      <w:r w:rsidRPr="001F0D97">
        <w:t xml:space="preserve"> the sustainability of city-districts are spread equally</w:t>
      </w:r>
      <w:r w:rsidR="00546D69" w:rsidRPr="001F0D97">
        <w:t>,</w:t>
      </w:r>
      <w:r w:rsidRPr="001F0D97">
        <w:t xml:space="preserve"> means it is </w:t>
      </w:r>
      <w:r w:rsidR="001872C0" w:rsidRPr="001F0D97">
        <w:t>im</w:t>
      </w:r>
      <w:r w:rsidRPr="001F0D97">
        <w:t xml:space="preserve">possible to say </w:t>
      </w:r>
      <w:r w:rsidR="00E4142E" w:rsidRPr="001F0D97">
        <w:t>if th</w:t>
      </w:r>
      <w:r w:rsidR="00C67EE0" w:rsidRPr="001F0D97">
        <w:t xml:space="preserve">e energy efficient-low carbon zones </w:t>
      </w:r>
      <w:r w:rsidR="00546D69" w:rsidRPr="001F0D97">
        <w:t xml:space="preserve">in question </w:t>
      </w:r>
      <w:r w:rsidR="00E4142E" w:rsidRPr="001F0D97">
        <w:t xml:space="preserve">are socially just. </w:t>
      </w:r>
      <w:r w:rsidR="001872C0" w:rsidRPr="001F0D97">
        <w:t>Im</w:t>
      </w:r>
      <w:r w:rsidR="00506553" w:rsidRPr="001F0D97">
        <w:t>p</w:t>
      </w:r>
      <w:r w:rsidR="00157BF8" w:rsidRPr="001F0D97">
        <w:t>ossible to say if they are socially-just, because to verify</w:t>
      </w:r>
      <w:r w:rsidR="00B360D1" w:rsidRPr="001F0D97">
        <w:t xml:space="preserve"> this means,</w:t>
      </w:r>
      <w:r w:rsidRPr="001F0D97">
        <w:t xml:space="preserve"> it is first necessary for the digital infrastructures, data management systems and renewable energies of the cloud computing, which under</w:t>
      </w:r>
      <w:r w:rsidR="00AF4D48" w:rsidRPr="001F0D97">
        <w:t>-grids</w:t>
      </w:r>
      <w:r w:rsidRPr="001F0D97">
        <w:t xml:space="preserve"> the sustainability of th</w:t>
      </w:r>
      <w:r w:rsidR="0081565E" w:rsidRPr="001F0D97">
        <w:t>e</w:t>
      </w:r>
      <w:r w:rsidRPr="001F0D97">
        <w:t xml:space="preserve"> city-district</w:t>
      </w:r>
      <w:r w:rsidR="00E4142E" w:rsidRPr="001F0D97">
        <w:t xml:space="preserve"> as an Io</w:t>
      </w:r>
      <w:r w:rsidR="0081565E" w:rsidRPr="001F0D97">
        <w:t>T</w:t>
      </w:r>
      <w:r w:rsidR="00F9535B">
        <w:t>,</w:t>
      </w:r>
      <w:r w:rsidR="0081565E" w:rsidRPr="001F0D97">
        <w:t xml:space="preserve"> </w:t>
      </w:r>
      <w:r w:rsidRPr="001F0D97">
        <w:t>to baseline the social-demographic structure of the housing market</w:t>
      </w:r>
      <w:r w:rsidRPr="00506553">
        <w:t>. Then draw upon the results of the analysis to assess whether the social baseline of this environmental profile, create the wealth</w:t>
      </w:r>
      <w:r w:rsidRPr="001F0D97">
        <w:t xml:space="preserve"> needed. That wealth</w:t>
      </w:r>
      <w:r w:rsidR="00157BF8" w:rsidRPr="001F0D97">
        <w:t>,</w:t>
      </w:r>
      <w:r w:rsidRPr="001F0D97">
        <w:t xml:space="preserve"> which is needed for any regional innovation to not only under-grid the sustainability of this city-district, but also meet the requirement for the suburban housing market</w:t>
      </w:r>
      <w:r>
        <w:t xml:space="preserve"> in Hackbridge to support th</w:t>
      </w:r>
      <w:r w:rsidR="00D32EC7">
        <w:t>e energy savings and reductions in carbon emissio</w:t>
      </w:r>
      <w:r w:rsidR="00157BF8">
        <w:t>ns</w:t>
      </w:r>
      <w:r w:rsidR="004A085B">
        <w:t xml:space="preserve"> that </w:t>
      </w:r>
      <w:r>
        <w:t>an</w:t>
      </w:r>
      <w:r w:rsidR="00157BF8">
        <w:t>y</w:t>
      </w:r>
      <w:r>
        <w:t xml:space="preserve"> </w:t>
      </w:r>
      <w:r w:rsidRPr="00466924">
        <w:t>energy efficient-low carbon zone</w:t>
      </w:r>
      <w:r w:rsidR="004A085B">
        <w:t>,</w:t>
      </w:r>
      <w:r>
        <w:t xml:space="preserve"> </w:t>
      </w:r>
      <w:r w:rsidR="004A085B">
        <w:t xml:space="preserve">which </w:t>
      </w:r>
      <w:r w:rsidR="00F9535B">
        <w:t>claims to be</w:t>
      </w:r>
      <w:r>
        <w:t xml:space="preserve"> socially</w:t>
      </w:r>
      <w:r w:rsidR="002C6E4F">
        <w:t xml:space="preserve"> </w:t>
      </w:r>
      <w:r>
        <w:t xml:space="preserve">just </w:t>
      </w:r>
      <w:r w:rsidR="00157BF8">
        <w:t>would be expected to</w:t>
      </w:r>
      <w:r>
        <w:t xml:space="preserve"> render</w:t>
      </w:r>
      <w:r w:rsidR="00966DF5">
        <w:t>.</w:t>
      </w:r>
    </w:p>
    <w:p w14:paraId="57D578ED" w14:textId="77777777" w:rsidR="00354D09" w:rsidRDefault="00354D09" w:rsidP="00F37FED">
      <w:pPr>
        <w:spacing w:before="0" w:after="0" w:line="240" w:lineRule="auto"/>
        <w:jc w:val="left"/>
      </w:pPr>
    </w:p>
    <w:p w14:paraId="338D134F" w14:textId="77777777" w:rsidR="005A112D" w:rsidRPr="00466924" w:rsidRDefault="00F9535B" w:rsidP="00F37FED">
      <w:pPr>
        <w:spacing w:before="0" w:after="0" w:line="240" w:lineRule="auto"/>
        <w:jc w:val="left"/>
      </w:pPr>
      <w:r>
        <w:t>This</w:t>
      </w:r>
      <w:r w:rsidR="0018176E" w:rsidRPr="00471F84">
        <w:t xml:space="preserve"> indicate</w:t>
      </w:r>
      <w:r>
        <w:t>s</w:t>
      </w:r>
      <w:r w:rsidR="0042793A" w:rsidRPr="00471F84">
        <w:t xml:space="preserve"> that</w:t>
      </w:r>
      <w:r w:rsidR="00E37DCA" w:rsidRPr="00471F84">
        <w:t xml:space="preserve"> while </w:t>
      </w:r>
      <w:r w:rsidR="0042793A" w:rsidRPr="00471F84">
        <w:t>th</w:t>
      </w:r>
      <w:r w:rsidR="00E84106" w:rsidRPr="00471F84">
        <w:t xml:space="preserve">ose </w:t>
      </w:r>
      <w:r w:rsidR="00D1615E" w:rsidRPr="00471F84">
        <w:t>smart cities</w:t>
      </w:r>
      <w:r>
        <w:t xml:space="preserve"> who</w:t>
      </w:r>
      <w:r w:rsidR="00471F84" w:rsidRPr="00471F84">
        <w:t xml:space="preserve"> </w:t>
      </w:r>
      <w:r w:rsidR="00E84106" w:rsidRPr="00471F84">
        <w:t>pioneer future internet</w:t>
      </w:r>
      <w:r w:rsidR="00CB0986">
        <w:t>-based</w:t>
      </w:r>
      <w:r>
        <w:t xml:space="preserve"> developments</w:t>
      </w:r>
      <w:r w:rsidR="00E84106" w:rsidRPr="00471F84">
        <w:t xml:space="preserve"> </w:t>
      </w:r>
      <w:r w:rsidR="0042793A" w:rsidRPr="00471F84">
        <w:t>do possess the</w:t>
      </w:r>
      <w:r w:rsidR="005A112D" w:rsidRPr="00471F84">
        <w:t xml:space="preserve"> digital infrastructure</w:t>
      </w:r>
      <w:r w:rsidR="0032009B" w:rsidRPr="00471F84">
        <w:t>s</w:t>
      </w:r>
      <w:r w:rsidR="005A112D" w:rsidRPr="00471F84">
        <w:t>, da</w:t>
      </w:r>
      <w:r w:rsidR="004D7349" w:rsidRPr="00471F84">
        <w:t>ta management</w:t>
      </w:r>
      <w:r w:rsidR="0032009B" w:rsidRPr="00471F84">
        <w:t xml:space="preserve"> systems and renewable energies</w:t>
      </w:r>
      <w:r w:rsidR="00827352" w:rsidRPr="00471F84">
        <w:t xml:space="preserve"> </w:t>
      </w:r>
      <w:r w:rsidR="0042793A" w:rsidRPr="00471F84">
        <w:t>needed</w:t>
      </w:r>
      <w:r w:rsidR="00D1615E" w:rsidRPr="00471F84">
        <w:t>,</w:t>
      </w:r>
      <w:r w:rsidR="00E37DCA" w:rsidRPr="00471F84">
        <w:t xml:space="preserve"> the </w:t>
      </w:r>
      <w:r w:rsidR="0032009B" w:rsidRPr="00471F84">
        <w:t xml:space="preserve">industrial ecology of the </w:t>
      </w:r>
      <w:r w:rsidR="00E37DCA" w:rsidRPr="00471F84">
        <w:t>regi</w:t>
      </w:r>
      <w:r w:rsidR="00071169" w:rsidRPr="00471F84">
        <w:t>onal innovation</w:t>
      </w:r>
      <w:r w:rsidR="00AE04C9" w:rsidRPr="00471F84">
        <w:t>, which is</w:t>
      </w:r>
      <w:r w:rsidR="00C4054F" w:rsidRPr="00471F84">
        <w:t xml:space="preserve"> </w:t>
      </w:r>
      <w:r w:rsidR="004D7349" w:rsidRPr="00471F84">
        <w:t xml:space="preserve">currently in place </w:t>
      </w:r>
      <w:r w:rsidR="007A004C" w:rsidRPr="00471F84">
        <w:t>to under-grid the sustainability of city-district</w:t>
      </w:r>
      <w:r w:rsidR="00D1615E" w:rsidRPr="00471F84">
        <w:t>s</w:t>
      </w:r>
      <w:r w:rsidR="00E4142E">
        <w:t xml:space="preserve"> as </w:t>
      </w:r>
      <w:r w:rsidR="001872C0">
        <w:t>the cloud computing of an</w:t>
      </w:r>
      <w:r w:rsidR="00E4142E">
        <w:t xml:space="preserve"> Io</w:t>
      </w:r>
      <w:r w:rsidR="00E4142E" w:rsidRPr="00A94DF9">
        <w:t>T</w:t>
      </w:r>
      <w:r>
        <w:t xml:space="preserve"> is lacking. In that sense, is lacking</w:t>
      </w:r>
      <w:r w:rsidR="003613E4" w:rsidRPr="00471F84">
        <w:t xml:space="preserve"> </w:t>
      </w:r>
      <w:r w:rsidR="005F0723" w:rsidRPr="00471F84">
        <w:t xml:space="preserve">the </w:t>
      </w:r>
      <w:r w:rsidR="00CB6123" w:rsidRPr="00471F84">
        <w:t>levels of energy saving</w:t>
      </w:r>
      <w:r w:rsidR="00F7013F">
        <w:t xml:space="preserve"> </w:t>
      </w:r>
      <w:r w:rsidR="00CB6123" w:rsidRPr="00471F84">
        <w:t xml:space="preserve">and reduction in </w:t>
      </w:r>
      <w:r w:rsidR="00781A5D" w:rsidRPr="00471F84">
        <w:rPr>
          <w:rFonts w:cs="Arial"/>
        </w:rPr>
        <w:t>CO</w:t>
      </w:r>
      <w:r w:rsidR="00781A5D" w:rsidRPr="00471F84">
        <w:rPr>
          <w:rFonts w:cs="Arial"/>
          <w:vertAlign w:val="subscript"/>
        </w:rPr>
        <w:t>2</w:t>
      </w:r>
      <w:r w:rsidR="00CB6123" w:rsidRPr="00471F84">
        <w:t xml:space="preserve"> emission</w:t>
      </w:r>
      <w:r w:rsidR="00CD6904" w:rsidRPr="00471F84">
        <w:t xml:space="preserve"> </w:t>
      </w:r>
      <w:r w:rsidR="0090140A" w:rsidRPr="00471F84">
        <w:t>required</w:t>
      </w:r>
      <w:r>
        <w:t xml:space="preserve"> </w:t>
      </w:r>
      <w:r w:rsidR="00CB6123" w:rsidRPr="00471F84">
        <w:t>for the distribution of co</w:t>
      </w:r>
      <w:r w:rsidR="005F0723" w:rsidRPr="00471F84">
        <w:t xml:space="preserve">sts and benefits </w:t>
      </w:r>
      <w:r>
        <w:t xml:space="preserve">generated </w:t>
      </w:r>
      <w:r w:rsidR="00E21072" w:rsidRPr="00471F84">
        <w:t>from</w:t>
      </w:r>
      <w:r w:rsidR="00423CE4" w:rsidRPr="00471F84">
        <w:t xml:space="preserve"> </w:t>
      </w:r>
      <w:r w:rsidR="00CB6123" w:rsidRPr="00471F84">
        <w:t>such concrete investment opportunities</w:t>
      </w:r>
      <w:r w:rsidR="00471F84" w:rsidRPr="00471F84">
        <w:t xml:space="preserve"> in </w:t>
      </w:r>
      <w:r w:rsidR="001872C0">
        <w:t xml:space="preserve">the development of </w:t>
      </w:r>
      <w:r w:rsidR="00471F84" w:rsidRPr="00471F84">
        <w:t>energy efficient-low carbon zones</w:t>
      </w:r>
      <w:r w:rsidR="00CB6123" w:rsidRPr="00471F84">
        <w:t xml:space="preserve"> to be shared equally</w:t>
      </w:r>
      <w:r w:rsidR="0090140A" w:rsidRPr="00471F84">
        <w:t xml:space="preserve">. That is to say, </w:t>
      </w:r>
      <w:r w:rsidR="00544C1D">
        <w:t xml:space="preserve">to be </w:t>
      </w:r>
      <w:r w:rsidR="0090140A" w:rsidRPr="00471F84">
        <w:t xml:space="preserve">shared equally </w:t>
      </w:r>
      <w:r w:rsidR="00CB6123" w:rsidRPr="00471F84">
        <w:t xml:space="preserve">as </w:t>
      </w:r>
      <w:r w:rsidR="00F02B71" w:rsidRPr="00471F84">
        <w:t xml:space="preserve">a </w:t>
      </w:r>
      <w:r w:rsidR="00CB6123" w:rsidRPr="00471F84">
        <w:t>standard</w:t>
      </w:r>
      <w:r w:rsidR="00F02B71" w:rsidRPr="00471F84">
        <w:t xml:space="preserve"> measure </w:t>
      </w:r>
      <w:r w:rsidR="00CB6123" w:rsidRPr="00471F84">
        <w:t xml:space="preserve">of </w:t>
      </w:r>
      <w:r w:rsidR="0090140A" w:rsidRPr="00471F84">
        <w:t>the wealth created from concrete investment opportunities</w:t>
      </w:r>
      <w:r w:rsidR="00E21072" w:rsidRPr="00471F84">
        <w:t xml:space="preserve"> in the renewable energies of </w:t>
      </w:r>
      <w:r w:rsidR="00615B9E" w:rsidRPr="00471F84">
        <w:t xml:space="preserve">a </w:t>
      </w:r>
      <w:r w:rsidR="00E21072" w:rsidRPr="00471F84">
        <w:t xml:space="preserve">regional innovation, </w:t>
      </w:r>
      <w:r w:rsidR="00934532" w:rsidRPr="00471F84">
        <w:t>which</w:t>
      </w:r>
      <w:r w:rsidR="00E21072" w:rsidRPr="00471F84">
        <w:t xml:space="preserve"> </w:t>
      </w:r>
      <w:r w:rsidR="00615B9E" w:rsidRPr="00471F84">
        <w:t>is</w:t>
      </w:r>
      <w:r w:rsidR="00EF47A2" w:rsidRPr="00471F84">
        <w:t xml:space="preserve"> not only environmentally sustainable</w:t>
      </w:r>
      <w:r w:rsidR="00471F84" w:rsidRPr="00471F84">
        <w:t xml:space="preserve"> in terms of the city-districts </w:t>
      </w:r>
      <w:r>
        <w:t>this IoT</w:t>
      </w:r>
      <w:r w:rsidR="00471F84" w:rsidRPr="00471F84">
        <w:t xml:space="preserve"> under-grids</w:t>
      </w:r>
      <w:r w:rsidR="00157BF8">
        <w:t>, but in relation to the energ</w:t>
      </w:r>
      <w:r w:rsidR="00B360D1">
        <w:t>y efficient-low carbon zone it also</w:t>
      </w:r>
      <w:r w:rsidR="00157BF8">
        <w:t xml:space="preserve"> renders as </w:t>
      </w:r>
      <w:r>
        <w:t>an</w:t>
      </w:r>
      <w:r w:rsidR="00157BF8">
        <w:t xml:space="preserve"> ecological footprint. </w:t>
      </w:r>
      <w:r w:rsidR="00B360D1">
        <w:t xml:space="preserve">In particular, as an ecological footprint, which not only saves energy and reduces carbon emissions, but is also socially just. Is also socially just in </w:t>
      </w:r>
      <w:r w:rsidR="00ED5CD5">
        <w:t>terms of</w:t>
      </w:r>
      <w:r w:rsidR="00D47D28" w:rsidRPr="00DF3957">
        <w:t xml:space="preserve"> </w:t>
      </w:r>
      <w:r w:rsidR="00B360D1">
        <w:t>the</w:t>
      </w:r>
      <w:r w:rsidR="009C5780" w:rsidRPr="00DF3957">
        <w:t xml:space="preserve"> </w:t>
      </w:r>
      <w:r w:rsidR="001872C0">
        <w:t xml:space="preserve">inclusive growth such a </w:t>
      </w:r>
      <w:r w:rsidR="00E21072" w:rsidRPr="00DF3957">
        <w:t>post-carbon econom</w:t>
      </w:r>
      <w:r w:rsidR="00C92C08" w:rsidRPr="00DF3957">
        <w:t>y</w:t>
      </w:r>
      <w:r w:rsidR="00BE0B74">
        <w:t xml:space="preserve"> secures</w:t>
      </w:r>
      <w:r w:rsidR="00B360D1">
        <w:t xml:space="preserve"> as</w:t>
      </w:r>
      <w:r w:rsidR="00BE0B74">
        <w:t xml:space="preserve"> a </w:t>
      </w:r>
      <w:r w:rsidR="0090140A" w:rsidRPr="00DF3957">
        <w:t xml:space="preserve">climate </w:t>
      </w:r>
      <w:r w:rsidR="00934532" w:rsidRPr="00DF3957">
        <w:t>neutral</w:t>
      </w:r>
      <w:r w:rsidR="00BE0B74">
        <w:t xml:space="preserve"> adaptation strategy</w:t>
      </w:r>
      <w:r w:rsidR="00CB6123" w:rsidRPr="00466924">
        <w:t>.</w:t>
      </w:r>
      <w:r w:rsidR="003613E4" w:rsidRPr="00466924">
        <w:t xml:space="preserve"> </w:t>
      </w:r>
    </w:p>
    <w:p w14:paraId="462A972A" w14:textId="77777777" w:rsidR="00C47110" w:rsidRPr="00466924" w:rsidRDefault="00C47110" w:rsidP="00AA28CB">
      <w:pPr>
        <w:autoSpaceDE w:val="0"/>
        <w:autoSpaceDN w:val="0"/>
        <w:adjustRightInd w:val="0"/>
        <w:spacing w:before="0" w:after="0" w:line="240" w:lineRule="auto"/>
        <w:jc w:val="left"/>
        <w:rPr>
          <w:rFonts w:cs="Arial"/>
        </w:rPr>
      </w:pPr>
    </w:p>
    <w:p w14:paraId="6AF5FB73" w14:textId="36C8B450" w:rsidR="00AA28CB" w:rsidRPr="00466924" w:rsidRDefault="00255396" w:rsidP="00AA28CB">
      <w:pPr>
        <w:spacing w:before="0" w:after="0" w:line="240" w:lineRule="auto"/>
        <w:jc w:val="left"/>
        <w:rPr>
          <w:rFonts w:cs="Arial"/>
        </w:rPr>
      </w:pPr>
      <w:r w:rsidRPr="00466924">
        <w:rPr>
          <w:rFonts w:cs="Arial"/>
        </w:rPr>
        <w:t xml:space="preserve">Given </w:t>
      </w:r>
      <w:r w:rsidR="00C92C08">
        <w:rPr>
          <w:rFonts w:cs="Arial"/>
        </w:rPr>
        <w:t xml:space="preserve">that </w:t>
      </w:r>
      <w:r w:rsidR="002F35BE" w:rsidRPr="00466924">
        <w:rPr>
          <w:rFonts w:cs="Arial"/>
        </w:rPr>
        <w:t>cities</w:t>
      </w:r>
      <w:r w:rsidR="004A3029" w:rsidRPr="00466924">
        <w:rPr>
          <w:rFonts w:cs="Arial"/>
        </w:rPr>
        <w:t xml:space="preserve"> </w:t>
      </w:r>
      <w:r w:rsidR="00B46911">
        <w:rPr>
          <w:rFonts w:cs="Arial"/>
        </w:rPr>
        <w:t>around</w:t>
      </w:r>
      <w:r w:rsidR="004A3029" w:rsidRPr="00466924">
        <w:rPr>
          <w:rFonts w:cs="Arial"/>
        </w:rPr>
        <w:t xml:space="preserve"> the world </w:t>
      </w:r>
      <w:r w:rsidR="00B46911">
        <w:rPr>
          <w:rFonts w:cs="Arial"/>
        </w:rPr>
        <w:t xml:space="preserve">all </w:t>
      </w:r>
      <w:r w:rsidR="004A3029" w:rsidRPr="00466924">
        <w:rPr>
          <w:rFonts w:cs="Arial"/>
        </w:rPr>
        <w:t>now</w:t>
      </w:r>
      <w:r w:rsidR="00B46911">
        <w:rPr>
          <w:rFonts w:cs="Arial"/>
        </w:rPr>
        <w:t xml:space="preserve"> share</w:t>
      </w:r>
      <w:r w:rsidR="002F35BE" w:rsidRPr="00466924">
        <w:rPr>
          <w:rFonts w:cs="Arial"/>
        </w:rPr>
        <w:t xml:space="preserve"> th</w:t>
      </w:r>
      <w:r w:rsidR="004A3029" w:rsidRPr="00466924">
        <w:rPr>
          <w:rFonts w:cs="Arial"/>
        </w:rPr>
        <w:t>e</w:t>
      </w:r>
      <w:r w:rsidR="002F35BE" w:rsidRPr="00466924">
        <w:rPr>
          <w:rFonts w:cs="Arial"/>
        </w:rPr>
        <w:t xml:space="preserve"> ambition to</w:t>
      </w:r>
      <w:r w:rsidRPr="00466924">
        <w:rPr>
          <w:rFonts w:cs="Arial"/>
        </w:rPr>
        <w:t xml:space="preserve"> </w:t>
      </w:r>
      <w:r w:rsidR="008F52A5">
        <w:rPr>
          <w:rFonts w:cs="Arial"/>
        </w:rPr>
        <w:t xml:space="preserve">be smart </w:t>
      </w:r>
      <w:r w:rsidR="00CB0986">
        <w:rPr>
          <w:rFonts w:cs="Arial"/>
        </w:rPr>
        <w:t xml:space="preserve">in sustaining </w:t>
      </w:r>
      <w:r w:rsidR="002F35BE" w:rsidRPr="00466924">
        <w:rPr>
          <w:rFonts w:cs="Arial"/>
        </w:rPr>
        <w:t>th</w:t>
      </w:r>
      <w:r w:rsidR="001872C0">
        <w:rPr>
          <w:rFonts w:cs="Arial"/>
        </w:rPr>
        <w:t>e</w:t>
      </w:r>
      <w:r w:rsidR="007F2208" w:rsidRPr="00466924">
        <w:rPr>
          <w:rFonts w:cs="Arial"/>
        </w:rPr>
        <w:t xml:space="preserve"> transition to </w:t>
      </w:r>
      <w:r w:rsidR="00C92C08">
        <w:rPr>
          <w:rFonts w:cs="Arial"/>
        </w:rPr>
        <w:t xml:space="preserve">a post-carbon economy, which is </w:t>
      </w:r>
      <w:r w:rsidR="007F2208" w:rsidRPr="00466924">
        <w:rPr>
          <w:rFonts w:cs="Arial"/>
        </w:rPr>
        <w:t>climate neutral</w:t>
      </w:r>
      <w:r w:rsidR="00FE5B48">
        <w:rPr>
          <w:rFonts w:cs="Arial"/>
        </w:rPr>
        <w:t xml:space="preserve">, </w:t>
      </w:r>
      <w:r w:rsidR="002F35BE" w:rsidRPr="00466924">
        <w:rPr>
          <w:rFonts w:cs="Arial"/>
        </w:rPr>
        <w:t>the authors would suggest t</w:t>
      </w:r>
      <w:r w:rsidR="007A004C" w:rsidRPr="00466924">
        <w:rPr>
          <w:rFonts w:cs="Arial"/>
        </w:rPr>
        <w:t>hese c</w:t>
      </w:r>
      <w:r w:rsidR="0032009B" w:rsidRPr="00466924">
        <w:rPr>
          <w:rFonts w:cs="Arial"/>
        </w:rPr>
        <w:t>ritical i</w:t>
      </w:r>
      <w:r w:rsidR="009C6FDA" w:rsidRPr="00466924">
        <w:rPr>
          <w:rFonts w:cs="Arial"/>
        </w:rPr>
        <w:t xml:space="preserve">nsights </w:t>
      </w:r>
      <w:r w:rsidR="00B46911">
        <w:rPr>
          <w:rFonts w:cs="Arial"/>
        </w:rPr>
        <w:t xml:space="preserve">into the reflexive instability of </w:t>
      </w:r>
      <w:r w:rsidR="00EA5E5A">
        <w:rPr>
          <w:rFonts w:cs="Arial"/>
        </w:rPr>
        <w:t xml:space="preserve">the intellectual capital tied up </w:t>
      </w:r>
      <w:r w:rsidR="00471F84">
        <w:rPr>
          <w:rFonts w:cs="Arial"/>
        </w:rPr>
        <w:t>in smart cities as pioneers of</w:t>
      </w:r>
      <w:r w:rsidR="00EA5E5A">
        <w:rPr>
          <w:rFonts w:cs="Arial"/>
        </w:rPr>
        <w:t xml:space="preserve"> </w:t>
      </w:r>
      <w:r w:rsidR="008F52A5">
        <w:rPr>
          <w:rFonts w:cs="Arial"/>
        </w:rPr>
        <w:t>future internet</w:t>
      </w:r>
      <w:r w:rsidR="00BE0B74">
        <w:rPr>
          <w:rFonts w:cs="Arial"/>
        </w:rPr>
        <w:t>-based</w:t>
      </w:r>
      <w:r w:rsidR="008F52A5">
        <w:rPr>
          <w:rFonts w:cs="Arial"/>
        </w:rPr>
        <w:t xml:space="preserve"> developments</w:t>
      </w:r>
      <w:r w:rsidR="00C92C08">
        <w:rPr>
          <w:rFonts w:cs="Arial"/>
        </w:rPr>
        <w:t xml:space="preserve"> driving this </w:t>
      </w:r>
      <w:r w:rsidR="00AB158E">
        <w:rPr>
          <w:rFonts w:cs="Arial"/>
        </w:rPr>
        <w:t xml:space="preserve">inclusive </w:t>
      </w:r>
      <w:r w:rsidR="001872C0">
        <w:rPr>
          <w:rFonts w:cs="Arial"/>
        </w:rPr>
        <w:t>growth</w:t>
      </w:r>
      <w:r w:rsidR="00AB158E">
        <w:rPr>
          <w:rFonts w:cs="Arial"/>
        </w:rPr>
        <w:t xml:space="preserve"> strategy</w:t>
      </w:r>
      <w:r w:rsidR="001872C0">
        <w:rPr>
          <w:rFonts w:cs="Arial"/>
        </w:rPr>
        <w:t xml:space="preserve"> </w:t>
      </w:r>
      <w:r w:rsidR="00EA5E5A">
        <w:rPr>
          <w:rFonts w:cs="Arial"/>
        </w:rPr>
        <w:t>is</w:t>
      </w:r>
      <w:r w:rsidR="00CA32BA">
        <w:rPr>
          <w:rFonts w:cs="Arial"/>
        </w:rPr>
        <w:t xml:space="preserve"> </w:t>
      </w:r>
      <w:r w:rsidR="00F37FED" w:rsidRPr="00466924">
        <w:rPr>
          <w:rFonts w:cs="Arial"/>
        </w:rPr>
        <w:t>significant</w:t>
      </w:r>
      <w:r w:rsidR="00615B9E">
        <w:rPr>
          <w:rFonts w:cs="Arial"/>
        </w:rPr>
        <w:t>. I</w:t>
      </w:r>
      <w:r w:rsidR="00C32BA5">
        <w:rPr>
          <w:rFonts w:cs="Arial"/>
        </w:rPr>
        <w:t xml:space="preserve">s </w:t>
      </w:r>
      <w:r w:rsidR="00615B9E">
        <w:rPr>
          <w:rFonts w:cs="Arial"/>
        </w:rPr>
        <w:t>significant</w:t>
      </w:r>
      <w:r w:rsidR="00C32BA5">
        <w:rPr>
          <w:rFonts w:cs="Arial"/>
        </w:rPr>
        <w:t>,</w:t>
      </w:r>
      <w:r w:rsidR="00615B9E">
        <w:rPr>
          <w:rFonts w:cs="Arial"/>
        </w:rPr>
        <w:t xml:space="preserve"> </w:t>
      </w:r>
      <w:r w:rsidR="00F37FED" w:rsidRPr="00466924">
        <w:rPr>
          <w:rFonts w:cs="Arial"/>
        </w:rPr>
        <w:t xml:space="preserve">because </w:t>
      </w:r>
      <w:r w:rsidR="004A3029" w:rsidRPr="00466924">
        <w:rPr>
          <w:rFonts w:cs="Arial"/>
        </w:rPr>
        <w:t>the metrics</w:t>
      </w:r>
      <w:r w:rsidR="00CA32BA">
        <w:rPr>
          <w:rFonts w:cs="Arial"/>
        </w:rPr>
        <w:t xml:space="preserve"> </w:t>
      </w:r>
      <w:r w:rsidR="00EA5E5A">
        <w:rPr>
          <w:rFonts w:cs="Arial"/>
        </w:rPr>
        <w:t>of</w:t>
      </w:r>
      <w:r w:rsidR="006937D8">
        <w:rPr>
          <w:rFonts w:cs="Arial"/>
        </w:rPr>
        <w:t xml:space="preserve"> </w:t>
      </w:r>
      <w:r w:rsidR="00FE5B48">
        <w:rPr>
          <w:rFonts w:cs="Arial"/>
        </w:rPr>
        <w:t xml:space="preserve">those </w:t>
      </w:r>
      <w:r w:rsidR="00EA5E5A">
        <w:rPr>
          <w:rFonts w:cs="Arial"/>
        </w:rPr>
        <w:t>future internet</w:t>
      </w:r>
      <w:r w:rsidR="00787EE3">
        <w:rPr>
          <w:rFonts w:cs="Arial"/>
        </w:rPr>
        <w:t>-based</w:t>
      </w:r>
      <w:r w:rsidR="00EA5E5A">
        <w:rPr>
          <w:rFonts w:cs="Arial"/>
        </w:rPr>
        <w:t xml:space="preserve"> developments</w:t>
      </w:r>
      <w:r w:rsidR="007667BE">
        <w:rPr>
          <w:rFonts w:cs="Arial"/>
        </w:rPr>
        <w:t xml:space="preserve"> associated with </w:t>
      </w:r>
      <w:r w:rsidR="00EA5E5A">
        <w:rPr>
          <w:rFonts w:cs="Arial"/>
        </w:rPr>
        <w:t>t</w:t>
      </w:r>
      <w:r w:rsidR="006937D8">
        <w:rPr>
          <w:rFonts w:cs="Arial"/>
        </w:rPr>
        <w:t>he digital infrastructures</w:t>
      </w:r>
      <w:r w:rsidR="00DF3957">
        <w:rPr>
          <w:rFonts w:cs="Arial"/>
        </w:rPr>
        <w:t xml:space="preserve"> </w:t>
      </w:r>
      <w:r w:rsidR="007667BE">
        <w:rPr>
          <w:rFonts w:cs="Arial"/>
        </w:rPr>
        <w:t>of</w:t>
      </w:r>
      <w:r w:rsidR="00DF3957">
        <w:rPr>
          <w:rFonts w:cs="Arial"/>
        </w:rPr>
        <w:t xml:space="preserve"> </w:t>
      </w:r>
      <w:r w:rsidR="006937D8">
        <w:rPr>
          <w:rFonts w:cs="Arial"/>
        </w:rPr>
        <w:t>data manage</w:t>
      </w:r>
      <w:r w:rsidR="00B857AB">
        <w:rPr>
          <w:rFonts w:cs="Arial"/>
        </w:rPr>
        <w:t xml:space="preserve">ment systems </w:t>
      </w:r>
      <w:r w:rsidR="007667BE">
        <w:rPr>
          <w:rFonts w:cs="Arial"/>
        </w:rPr>
        <w:t>and</w:t>
      </w:r>
      <w:r w:rsidR="00DF3957">
        <w:rPr>
          <w:rFonts w:cs="Arial"/>
        </w:rPr>
        <w:t xml:space="preserve"> renewable energies </w:t>
      </w:r>
      <w:r w:rsidR="007667BE">
        <w:rPr>
          <w:rFonts w:cs="Arial"/>
        </w:rPr>
        <w:t>the</w:t>
      </w:r>
      <w:r w:rsidR="009305E8">
        <w:rPr>
          <w:rFonts w:cs="Arial"/>
        </w:rPr>
        <w:t>y</w:t>
      </w:r>
      <w:r w:rsidR="007667BE">
        <w:rPr>
          <w:rFonts w:cs="Arial"/>
        </w:rPr>
        <w:t xml:space="preserve"> </w:t>
      </w:r>
      <w:r w:rsidR="00FE5B48">
        <w:rPr>
          <w:rFonts w:cs="Arial"/>
        </w:rPr>
        <w:t xml:space="preserve">also </w:t>
      </w:r>
      <w:r w:rsidR="007667BE">
        <w:rPr>
          <w:rFonts w:cs="Arial"/>
        </w:rPr>
        <w:t>promote</w:t>
      </w:r>
      <w:r w:rsidR="00BF6E8B">
        <w:rPr>
          <w:rFonts w:cs="Arial"/>
        </w:rPr>
        <w:t xml:space="preserve"> </w:t>
      </w:r>
      <w:r w:rsidR="00A94DF9">
        <w:rPr>
          <w:rFonts w:cs="Arial"/>
        </w:rPr>
        <w:t>as</w:t>
      </w:r>
      <w:r w:rsidR="00BE0B74">
        <w:rPr>
          <w:rFonts w:cs="Arial"/>
        </w:rPr>
        <w:t xml:space="preserve"> a</w:t>
      </w:r>
      <w:r w:rsidR="00BF6E8B">
        <w:rPr>
          <w:rFonts w:cs="Arial"/>
        </w:rPr>
        <w:t>n</w:t>
      </w:r>
      <w:r w:rsidR="00BE0B74">
        <w:rPr>
          <w:rFonts w:cs="Arial"/>
        </w:rPr>
        <w:t xml:space="preserve"> </w:t>
      </w:r>
      <w:r w:rsidR="00A94DF9">
        <w:rPr>
          <w:rFonts w:cs="Arial"/>
        </w:rPr>
        <w:t>IoT</w:t>
      </w:r>
      <w:r w:rsidR="00BF6E8B">
        <w:rPr>
          <w:rFonts w:cs="Arial"/>
        </w:rPr>
        <w:t>,</w:t>
      </w:r>
      <w:r w:rsidR="009305E8">
        <w:rPr>
          <w:rFonts w:cs="Arial"/>
        </w:rPr>
        <w:t xml:space="preserve"> </w:t>
      </w:r>
      <w:r w:rsidR="006937D8">
        <w:rPr>
          <w:rFonts w:cs="Arial"/>
        </w:rPr>
        <w:t>suggest</w:t>
      </w:r>
      <w:r w:rsidR="001872C0">
        <w:rPr>
          <w:rFonts w:cs="Arial"/>
        </w:rPr>
        <w:t xml:space="preserve"> such growth generates</w:t>
      </w:r>
      <w:r w:rsidR="00750717">
        <w:rPr>
          <w:rFonts w:cs="Arial"/>
        </w:rPr>
        <w:t xml:space="preserve"> a</w:t>
      </w:r>
      <w:r w:rsidR="00AB158E">
        <w:rPr>
          <w:rFonts w:cs="Arial"/>
        </w:rPr>
        <w:t>:</w:t>
      </w:r>
    </w:p>
    <w:p w14:paraId="79BC58C5" w14:textId="77777777" w:rsidR="00043E71" w:rsidRPr="00466924" w:rsidRDefault="009C5780" w:rsidP="00AA28CB">
      <w:pPr>
        <w:spacing w:before="0" w:after="0" w:line="240" w:lineRule="auto"/>
        <w:jc w:val="left"/>
        <w:rPr>
          <w:rFonts w:cs="Arial"/>
        </w:rPr>
      </w:pPr>
      <w:r>
        <w:rPr>
          <w:rFonts w:cs="Arial"/>
        </w:rPr>
        <w:t xml:space="preserve"> </w:t>
      </w:r>
    </w:p>
    <w:p w14:paraId="49A67048" w14:textId="77777777" w:rsidR="00C47110" w:rsidRPr="00466924" w:rsidRDefault="00C47110" w:rsidP="00AA28CB">
      <w:pPr>
        <w:pStyle w:val="ListParagraph"/>
        <w:numPr>
          <w:ilvl w:val="0"/>
          <w:numId w:val="36"/>
        </w:numPr>
        <w:spacing w:before="0" w:after="0" w:line="240" w:lineRule="auto"/>
        <w:contextualSpacing w:val="0"/>
        <w:jc w:val="left"/>
        <w:rPr>
          <w:rFonts w:cs="Arial"/>
          <w:bCs/>
          <w:iCs/>
        </w:rPr>
      </w:pPr>
      <w:r w:rsidRPr="00466924">
        <w:rPr>
          <w:rFonts w:cs="Arial"/>
          <w:bCs/>
          <w:iCs/>
        </w:rPr>
        <w:t xml:space="preserve">reduction of 3 tons in the levels of </w:t>
      </w:r>
      <w:r w:rsidR="00781A5D" w:rsidRPr="00466924">
        <w:rPr>
          <w:rFonts w:cs="Arial"/>
        </w:rPr>
        <w:t>CO</w:t>
      </w:r>
      <w:r w:rsidR="00781A5D" w:rsidRPr="00466924">
        <w:rPr>
          <w:rFonts w:cs="Arial"/>
          <w:vertAlign w:val="subscript"/>
        </w:rPr>
        <w:t>2</w:t>
      </w:r>
      <w:r w:rsidRPr="00466924">
        <w:rPr>
          <w:rFonts w:cs="Arial"/>
          <w:bCs/>
          <w:iCs/>
        </w:rPr>
        <w:t xml:space="preserve"> emissio</w:t>
      </w:r>
      <w:r w:rsidR="00750717">
        <w:rPr>
          <w:rFonts w:cs="Arial"/>
          <w:bCs/>
          <w:iCs/>
        </w:rPr>
        <w:t xml:space="preserve">n, </w:t>
      </w:r>
      <w:r w:rsidRPr="00466924">
        <w:rPr>
          <w:rFonts w:cs="Arial"/>
          <w:bCs/>
          <w:iCs/>
        </w:rPr>
        <w:t>gained from the energetics of this</w:t>
      </w:r>
      <w:r w:rsidR="00025259">
        <w:rPr>
          <w:rFonts w:cs="Arial"/>
          <w:bCs/>
          <w:iCs/>
        </w:rPr>
        <w:t xml:space="preserve"> regional innovation</w:t>
      </w:r>
      <w:r w:rsidRPr="00466924">
        <w:rPr>
          <w:rFonts w:cs="Arial"/>
          <w:bCs/>
          <w:iCs/>
        </w:rPr>
        <w:t>;</w:t>
      </w:r>
    </w:p>
    <w:p w14:paraId="112E5798" w14:textId="58823B81" w:rsidR="00C47110" w:rsidRPr="00466924" w:rsidRDefault="00C47110" w:rsidP="00AA28CB">
      <w:pPr>
        <w:pStyle w:val="ListParagraph"/>
        <w:numPr>
          <w:ilvl w:val="0"/>
          <w:numId w:val="36"/>
        </w:numPr>
        <w:spacing w:before="0" w:after="0" w:line="240" w:lineRule="auto"/>
        <w:contextualSpacing w:val="0"/>
        <w:jc w:val="left"/>
        <w:rPr>
          <w:rFonts w:cs="Arial"/>
          <w:bCs/>
          <w:iCs/>
        </w:rPr>
      </w:pPr>
      <w:r w:rsidRPr="00466924">
        <w:rPr>
          <w:rFonts w:cs="Arial"/>
          <w:bCs/>
          <w:iCs/>
        </w:rPr>
        <w:t xml:space="preserve">further 3 tons of </w:t>
      </w:r>
      <w:r w:rsidR="00781A5D" w:rsidRPr="00466924">
        <w:rPr>
          <w:rFonts w:cs="Arial"/>
        </w:rPr>
        <w:t>CO</w:t>
      </w:r>
      <w:r w:rsidR="00781A5D" w:rsidRPr="00466924">
        <w:rPr>
          <w:rFonts w:cs="Arial"/>
          <w:vertAlign w:val="subscript"/>
        </w:rPr>
        <w:t>2</w:t>
      </w:r>
      <w:r w:rsidRPr="00466924">
        <w:rPr>
          <w:rFonts w:cs="Arial"/>
          <w:bCs/>
          <w:iCs/>
        </w:rPr>
        <w:t xml:space="preserve"> emission </w:t>
      </w:r>
      <w:r w:rsidR="001872C0">
        <w:rPr>
          <w:rFonts w:cs="Arial"/>
          <w:bCs/>
          <w:iCs/>
        </w:rPr>
        <w:t>reduction</w:t>
      </w:r>
      <w:r w:rsidRPr="00466924">
        <w:rPr>
          <w:rFonts w:cs="Arial"/>
          <w:bCs/>
          <w:iCs/>
        </w:rPr>
        <w:t xml:space="preserve"> </w:t>
      </w:r>
      <w:r w:rsidR="00750717">
        <w:rPr>
          <w:rFonts w:cs="Arial"/>
          <w:bCs/>
          <w:iCs/>
        </w:rPr>
        <w:t>sourced from</w:t>
      </w:r>
      <w:r w:rsidRPr="00466924">
        <w:rPr>
          <w:rFonts w:cs="Arial"/>
          <w:bCs/>
          <w:iCs/>
        </w:rPr>
        <w:t xml:space="preserve"> the informatics of this under-gridding </w:t>
      </w:r>
      <w:r w:rsidR="00025259">
        <w:rPr>
          <w:rFonts w:cs="Arial"/>
          <w:bCs/>
          <w:iCs/>
        </w:rPr>
        <w:t>and the sustainability of city-districts</w:t>
      </w:r>
      <w:r w:rsidRPr="00466924">
        <w:rPr>
          <w:rFonts w:cs="Arial"/>
          <w:bCs/>
          <w:iCs/>
        </w:rPr>
        <w:t>;</w:t>
      </w:r>
    </w:p>
    <w:p w14:paraId="39E3291A" w14:textId="77777777" w:rsidR="00C47110" w:rsidRPr="00466924" w:rsidRDefault="00A9549C" w:rsidP="00AA28CB">
      <w:pPr>
        <w:pStyle w:val="ListParagraph"/>
        <w:numPr>
          <w:ilvl w:val="0"/>
          <w:numId w:val="36"/>
        </w:numPr>
        <w:spacing w:before="0" w:after="0" w:line="240" w:lineRule="auto"/>
        <w:contextualSpacing w:val="0"/>
        <w:jc w:val="left"/>
        <w:rPr>
          <w:rFonts w:cs="Arial"/>
          <w:bCs/>
          <w:iCs/>
        </w:rPr>
      </w:pPr>
      <w:r>
        <w:rPr>
          <w:rFonts w:cs="Arial"/>
          <w:bCs/>
          <w:iCs/>
        </w:rPr>
        <w:t xml:space="preserve">additional 5% estimated reduction in </w:t>
      </w:r>
      <w:r w:rsidR="00D924B4">
        <w:rPr>
          <w:rFonts w:cs="Arial"/>
          <w:bCs/>
          <w:iCs/>
        </w:rPr>
        <w:t>CO</w:t>
      </w:r>
      <w:r w:rsidRPr="00D924B4">
        <w:rPr>
          <w:rFonts w:cs="Arial"/>
          <w:bCs/>
          <w:iCs/>
          <w:vertAlign w:val="subscript"/>
        </w:rPr>
        <w:t>2</w:t>
      </w:r>
      <w:r>
        <w:rPr>
          <w:rFonts w:cs="Arial"/>
          <w:bCs/>
          <w:iCs/>
        </w:rPr>
        <w:t xml:space="preserve"> emissions from </w:t>
      </w:r>
      <w:r w:rsidR="001B64C0" w:rsidRPr="00466924">
        <w:rPr>
          <w:rFonts w:cs="Arial"/>
          <w:bCs/>
          <w:iCs/>
        </w:rPr>
        <w:t>the micro-grid underlying</w:t>
      </w:r>
      <w:r w:rsidR="00C47110" w:rsidRPr="00466924">
        <w:rPr>
          <w:rFonts w:cs="Arial"/>
          <w:bCs/>
          <w:iCs/>
        </w:rPr>
        <w:t xml:space="preserve"> this energy</w:t>
      </w:r>
      <w:r w:rsidR="006566F4" w:rsidRPr="00466924">
        <w:rPr>
          <w:rFonts w:cs="Arial"/>
          <w:bCs/>
          <w:iCs/>
        </w:rPr>
        <w:t xml:space="preserve"> efficient-</w:t>
      </w:r>
      <w:r w:rsidR="001B64C0" w:rsidRPr="00466924">
        <w:rPr>
          <w:rFonts w:cs="Arial"/>
          <w:bCs/>
          <w:iCs/>
        </w:rPr>
        <w:t>low carbon zone</w:t>
      </w:r>
      <w:r w:rsidR="00C47110" w:rsidRPr="00466924">
        <w:rPr>
          <w:rFonts w:cs="Arial"/>
          <w:bCs/>
          <w:iCs/>
        </w:rPr>
        <w:t xml:space="preserve">; </w:t>
      </w:r>
    </w:p>
    <w:p w14:paraId="5AAC9DD7" w14:textId="17319610" w:rsidR="00C47110" w:rsidRPr="00466924" w:rsidRDefault="00A9549C" w:rsidP="00AA28CB">
      <w:pPr>
        <w:pStyle w:val="ListParagraph"/>
        <w:numPr>
          <w:ilvl w:val="0"/>
          <w:numId w:val="36"/>
        </w:numPr>
        <w:spacing w:before="0" w:after="0" w:line="240" w:lineRule="auto"/>
        <w:contextualSpacing w:val="0"/>
        <w:jc w:val="left"/>
        <w:rPr>
          <w:rFonts w:cs="Arial"/>
          <w:bCs/>
          <w:iCs/>
        </w:rPr>
      </w:pPr>
      <w:r>
        <w:rPr>
          <w:rFonts w:cs="Arial"/>
          <w:bCs/>
          <w:iCs/>
        </w:rPr>
        <w:t>projected</w:t>
      </w:r>
      <w:r w:rsidR="00C47110" w:rsidRPr="00466924">
        <w:rPr>
          <w:rFonts w:cs="Arial"/>
          <w:bCs/>
          <w:iCs/>
        </w:rPr>
        <w:t xml:space="preserve"> 6 tons</w:t>
      </w:r>
      <w:r>
        <w:rPr>
          <w:rFonts w:cs="Arial"/>
          <w:vertAlign w:val="subscript"/>
        </w:rPr>
        <w:t xml:space="preserve"> </w:t>
      </w:r>
      <w:r>
        <w:rPr>
          <w:rFonts w:cs="Arial"/>
          <w:bCs/>
          <w:iCs/>
        </w:rPr>
        <w:t xml:space="preserve">reduction in </w:t>
      </w:r>
      <w:r w:rsidR="00D924B4">
        <w:rPr>
          <w:rFonts w:cs="Arial"/>
          <w:bCs/>
          <w:iCs/>
        </w:rPr>
        <w:t>CO</w:t>
      </w:r>
      <w:r w:rsidRPr="00D924B4">
        <w:rPr>
          <w:rFonts w:cs="Arial"/>
          <w:bCs/>
          <w:iCs/>
          <w:vertAlign w:val="subscript"/>
        </w:rPr>
        <w:t>2</w:t>
      </w:r>
      <w:r>
        <w:rPr>
          <w:rFonts w:cs="Arial"/>
          <w:bCs/>
          <w:iCs/>
        </w:rPr>
        <w:t xml:space="preserve"> emissions</w:t>
      </w:r>
      <w:r w:rsidR="00025259">
        <w:rPr>
          <w:rFonts w:cs="Arial"/>
          <w:bCs/>
          <w:iCs/>
        </w:rPr>
        <w:t xml:space="preserve"> from this inclusive growth strategy</w:t>
      </w:r>
      <w:r w:rsidR="00C47110" w:rsidRPr="00466924">
        <w:rPr>
          <w:rFonts w:cs="Arial"/>
          <w:bCs/>
          <w:iCs/>
        </w:rPr>
        <w:t>;</w:t>
      </w:r>
    </w:p>
    <w:p w14:paraId="2B302151" w14:textId="77777777" w:rsidR="00A9549C" w:rsidRDefault="00C47110" w:rsidP="00AA28CB">
      <w:pPr>
        <w:pStyle w:val="ListParagraph"/>
        <w:numPr>
          <w:ilvl w:val="0"/>
          <w:numId w:val="36"/>
        </w:numPr>
        <w:spacing w:before="0" w:after="0" w:line="240" w:lineRule="auto"/>
        <w:contextualSpacing w:val="0"/>
        <w:jc w:val="left"/>
        <w:rPr>
          <w:rFonts w:cs="Arial"/>
          <w:bCs/>
          <w:iCs/>
        </w:rPr>
      </w:pPr>
      <w:r w:rsidRPr="00466924">
        <w:rPr>
          <w:rFonts w:cs="Arial"/>
          <w:bCs/>
          <w:iCs/>
        </w:rPr>
        <w:t>78% overall reduction</w:t>
      </w:r>
      <w:r w:rsidR="00575AAE">
        <w:rPr>
          <w:rFonts w:cs="Arial"/>
          <w:bCs/>
          <w:iCs/>
        </w:rPr>
        <w:t xml:space="preserve"> in </w:t>
      </w:r>
      <w:r w:rsidR="00D924B4">
        <w:rPr>
          <w:rFonts w:cs="Arial"/>
          <w:bCs/>
          <w:iCs/>
        </w:rPr>
        <w:t>CO</w:t>
      </w:r>
      <w:r w:rsidR="00575AAE" w:rsidRPr="002B2027">
        <w:rPr>
          <w:rFonts w:cs="Arial"/>
          <w:bCs/>
          <w:iCs/>
          <w:vertAlign w:val="subscript"/>
        </w:rPr>
        <w:t>2</w:t>
      </w:r>
      <w:r w:rsidR="001B64C0" w:rsidRPr="00466924">
        <w:rPr>
          <w:rFonts w:cs="Arial"/>
          <w:bCs/>
          <w:iCs/>
        </w:rPr>
        <w:t xml:space="preserve"> </w:t>
      </w:r>
      <w:r w:rsidR="00575AAE">
        <w:rPr>
          <w:rFonts w:cs="Arial"/>
          <w:bCs/>
          <w:iCs/>
        </w:rPr>
        <w:t>emissions,</w:t>
      </w:r>
      <w:r w:rsidR="00E95EEB">
        <w:rPr>
          <w:rFonts w:cs="Arial"/>
          <w:bCs/>
          <w:iCs/>
        </w:rPr>
        <w:t xml:space="preserve"> </w:t>
      </w:r>
      <w:r w:rsidRPr="00466924">
        <w:rPr>
          <w:rFonts w:cs="Arial"/>
          <w:bCs/>
          <w:iCs/>
        </w:rPr>
        <w:t xml:space="preserve">which </w:t>
      </w:r>
      <w:r w:rsidR="00025259" w:rsidRPr="00466924">
        <w:rPr>
          <w:rFonts w:cs="Arial"/>
          <w:bCs/>
          <w:iCs/>
        </w:rPr>
        <w:t xml:space="preserve">equates to an ecological footprint of 1.5 hectares </w:t>
      </w:r>
      <w:r w:rsidR="00025259">
        <w:rPr>
          <w:rFonts w:cs="Arial"/>
          <w:bCs/>
          <w:iCs/>
        </w:rPr>
        <w:t xml:space="preserve">and post-carbon economy that </w:t>
      </w:r>
      <w:r w:rsidRPr="00466924">
        <w:rPr>
          <w:rFonts w:cs="Arial"/>
          <w:bCs/>
          <w:iCs/>
        </w:rPr>
        <w:t xml:space="preserve">meets the IPCC standards of climate </w:t>
      </w:r>
      <w:r w:rsidR="0042793A" w:rsidRPr="00466924">
        <w:rPr>
          <w:rFonts w:cs="Arial"/>
          <w:bCs/>
          <w:iCs/>
        </w:rPr>
        <w:t>neutrality</w:t>
      </w:r>
      <w:r w:rsidR="00A9549C">
        <w:rPr>
          <w:rFonts w:cs="Arial"/>
          <w:bCs/>
          <w:iCs/>
        </w:rPr>
        <w:t>.</w:t>
      </w:r>
    </w:p>
    <w:p w14:paraId="707ADC97" w14:textId="77777777" w:rsidR="0042793A" w:rsidRPr="00A9549C" w:rsidRDefault="0042793A" w:rsidP="00D924B4">
      <w:pPr>
        <w:spacing w:before="0" w:after="0" w:line="240" w:lineRule="auto"/>
        <w:jc w:val="left"/>
        <w:rPr>
          <w:rFonts w:cs="Arial"/>
          <w:bCs/>
          <w:iCs/>
        </w:rPr>
      </w:pPr>
    </w:p>
    <w:p w14:paraId="346D8797" w14:textId="24BFF462" w:rsidR="00C60C77" w:rsidRPr="00750717" w:rsidRDefault="00A9549C" w:rsidP="00D924B4">
      <w:pPr>
        <w:spacing w:before="0" w:after="0" w:line="240" w:lineRule="auto"/>
        <w:jc w:val="left"/>
        <w:rPr>
          <w:rFonts w:cs="Arial"/>
          <w:bCs/>
          <w:iCs/>
        </w:rPr>
      </w:pPr>
      <w:r>
        <w:rPr>
          <w:rFonts w:cs="Arial"/>
          <w:bCs/>
          <w:iCs/>
        </w:rPr>
        <w:t>W</w:t>
      </w:r>
      <w:r w:rsidR="0042793A" w:rsidRPr="00A9549C">
        <w:rPr>
          <w:rFonts w:cs="Arial"/>
          <w:bCs/>
          <w:iCs/>
        </w:rPr>
        <w:t>hile such a</w:t>
      </w:r>
      <w:r w:rsidR="00C47110" w:rsidRPr="00A9549C">
        <w:rPr>
          <w:rFonts w:cs="Arial"/>
          <w:bCs/>
          <w:iCs/>
        </w:rPr>
        <w:t xml:space="preserve"> c</w:t>
      </w:r>
      <w:r w:rsidR="0042793A" w:rsidRPr="00A9549C">
        <w:rPr>
          <w:rFonts w:cs="Arial"/>
          <w:bCs/>
          <w:iCs/>
        </w:rPr>
        <w:t>limate adaptation strategy may generate a</w:t>
      </w:r>
      <w:r w:rsidR="00C47110" w:rsidRPr="00A9549C">
        <w:rPr>
          <w:rFonts w:cs="Arial"/>
          <w:bCs/>
          <w:iCs/>
        </w:rPr>
        <w:t xml:space="preserve"> smart, sustainable and inclusive growth</w:t>
      </w:r>
      <w:r>
        <w:rPr>
          <w:rFonts w:cs="Arial"/>
          <w:bCs/>
          <w:iCs/>
        </w:rPr>
        <w:t xml:space="preserve"> that</w:t>
      </w:r>
      <w:r w:rsidR="0042793A" w:rsidRPr="00A9549C">
        <w:rPr>
          <w:rFonts w:cs="Arial"/>
          <w:bCs/>
          <w:iCs/>
        </w:rPr>
        <w:t xml:space="preserve"> </w:t>
      </w:r>
      <w:r w:rsidR="00C47110" w:rsidRPr="00A9549C">
        <w:rPr>
          <w:rFonts w:cs="Arial"/>
          <w:bCs/>
          <w:iCs/>
        </w:rPr>
        <w:t>has no a</w:t>
      </w:r>
      <w:r w:rsidR="0042793A" w:rsidRPr="00A9549C">
        <w:rPr>
          <w:rFonts w:cs="Arial"/>
          <w:bCs/>
          <w:iCs/>
        </w:rPr>
        <w:t xml:space="preserve">dverse impact on global warming, </w:t>
      </w:r>
      <w:r w:rsidR="00F21A26" w:rsidRPr="00A9549C">
        <w:rPr>
          <w:rFonts w:cs="Arial"/>
          <w:bCs/>
          <w:iCs/>
        </w:rPr>
        <w:t>5</w:t>
      </w:r>
      <w:r w:rsidR="00E3471C" w:rsidRPr="00A9549C">
        <w:rPr>
          <w:rFonts w:cs="Arial"/>
          <w:bCs/>
          <w:iCs/>
        </w:rPr>
        <w:t>0% of the savings and reductions</w:t>
      </w:r>
      <w:r>
        <w:rPr>
          <w:rFonts w:cs="Arial"/>
          <w:bCs/>
          <w:iCs/>
        </w:rPr>
        <w:t>,</w:t>
      </w:r>
      <w:r w:rsidR="00E3471C" w:rsidRPr="00A9549C">
        <w:rPr>
          <w:rFonts w:cs="Arial"/>
          <w:bCs/>
          <w:iCs/>
        </w:rPr>
        <w:t xml:space="preserve"> </w:t>
      </w:r>
      <w:r w:rsidR="003D4A45" w:rsidRPr="00A9549C">
        <w:rPr>
          <w:rFonts w:cs="Arial"/>
          <w:bCs/>
          <w:iCs/>
        </w:rPr>
        <w:t xml:space="preserve">which this </w:t>
      </w:r>
      <w:r w:rsidR="00750717" w:rsidRPr="00A9549C">
        <w:rPr>
          <w:rFonts w:cs="Arial"/>
          <w:bCs/>
          <w:iCs/>
        </w:rPr>
        <w:t>generates,</w:t>
      </w:r>
      <w:r w:rsidR="0042793A" w:rsidRPr="00A9549C">
        <w:rPr>
          <w:rFonts w:cs="Arial"/>
          <w:bCs/>
          <w:iCs/>
        </w:rPr>
        <w:t xml:space="preserve"> </w:t>
      </w:r>
      <w:r w:rsidR="00E3471C" w:rsidRPr="00A9549C">
        <w:rPr>
          <w:rFonts w:cs="Arial"/>
          <w:bCs/>
          <w:iCs/>
        </w:rPr>
        <w:t xml:space="preserve">are not </w:t>
      </w:r>
      <w:r w:rsidR="00BF6E8B">
        <w:rPr>
          <w:rFonts w:cs="Arial"/>
          <w:bCs/>
          <w:iCs/>
        </w:rPr>
        <w:t>even</w:t>
      </w:r>
      <w:r w:rsidR="00E3471C" w:rsidRPr="00A9549C">
        <w:rPr>
          <w:rFonts w:cs="Arial"/>
          <w:bCs/>
          <w:iCs/>
        </w:rPr>
        <w:t xml:space="preserve"> across the structure of tenure in the housing market</w:t>
      </w:r>
      <w:r>
        <w:rPr>
          <w:rFonts w:cs="Arial"/>
          <w:bCs/>
          <w:iCs/>
        </w:rPr>
        <w:t xml:space="preserve">. </w:t>
      </w:r>
      <w:r w:rsidR="00750717">
        <w:rPr>
          <w:rFonts w:cs="Arial"/>
          <w:bCs/>
          <w:iCs/>
        </w:rPr>
        <w:t>This is because</w:t>
      </w:r>
      <w:r>
        <w:rPr>
          <w:rFonts w:cs="Arial"/>
          <w:bCs/>
          <w:iCs/>
        </w:rPr>
        <w:t xml:space="preserve"> </w:t>
      </w:r>
      <w:r w:rsidR="00613679" w:rsidRPr="00A9549C">
        <w:rPr>
          <w:rFonts w:cs="Arial"/>
          <w:bCs/>
          <w:iCs/>
        </w:rPr>
        <w:t>within this structure of tenure it is</w:t>
      </w:r>
      <w:r w:rsidR="003D4A45" w:rsidRPr="00A9549C">
        <w:rPr>
          <w:rFonts w:cs="Arial"/>
          <w:bCs/>
          <w:iCs/>
        </w:rPr>
        <w:t xml:space="preserve"> the social rented sector that is</w:t>
      </w:r>
      <w:r w:rsidR="007D07E8" w:rsidRPr="00A9549C">
        <w:rPr>
          <w:rFonts w:cs="Arial"/>
          <w:bCs/>
          <w:iCs/>
        </w:rPr>
        <w:t xml:space="preserve"> excluded from </w:t>
      </w:r>
      <w:r w:rsidR="003D4A45" w:rsidRPr="00A9549C">
        <w:rPr>
          <w:rFonts w:cs="Arial"/>
          <w:bCs/>
          <w:iCs/>
        </w:rPr>
        <w:t xml:space="preserve">the benefits of </w:t>
      </w:r>
      <w:r w:rsidR="00613679" w:rsidRPr="00A9549C">
        <w:rPr>
          <w:rFonts w:cs="Arial"/>
          <w:bCs/>
          <w:iCs/>
        </w:rPr>
        <w:t>the</w:t>
      </w:r>
      <w:r w:rsidR="00921D25" w:rsidRPr="00A9549C">
        <w:rPr>
          <w:rFonts w:cs="Arial"/>
          <w:bCs/>
          <w:iCs/>
        </w:rPr>
        <w:t xml:space="preserve"> energy saving and </w:t>
      </w:r>
      <w:r w:rsidR="00781A5D" w:rsidRPr="00A9549C">
        <w:rPr>
          <w:rFonts w:cs="Arial"/>
        </w:rPr>
        <w:t>CO</w:t>
      </w:r>
      <w:r w:rsidR="00781A5D" w:rsidRPr="00A9549C">
        <w:rPr>
          <w:rFonts w:cs="Arial"/>
          <w:vertAlign w:val="subscript"/>
        </w:rPr>
        <w:t>2</w:t>
      </w:r>
      <w:r w:rsidR="00921D25" w:rsidRPr="00A9549C">
        <w:rPr>
          <w:rFonts w:cs="Arial"/>
          <w:bCs/>
          <w:iCs/>
        </w:rPr>
        <w:t xml:space="preserve"> emission reductions</w:t>
      </w:r>
      <w:r w:rsidR="00750717">
        <w:rPr>
          <w:rFonts w:cs="Arial"/>
          <w:bCs/>
          <w:iCs/>
        </w:rPr>
        <w:t xml:space="preserve"> in the housing market</w:t>
      </w:r>
      <w:r w:rsidR="00921D25" w:rsidRPr="00A9549C">
        <w:rPr>
          <w:rFonts w:cs="Arial"/>
          <w:bCs/>
          <w:iCs/>
        </w:rPr>
        <w:t xml:space="preserve">, but </w:t>
      </w:r>
      <w:r w:rsidR="00613679" w:rsidRPr="00750717">
        <w:rPr>
          <w:rFonts w:cs="Arial"/>
          <w:bCs/>
          <w:iCs/>
        </w:rPr>
        <w:t>which is</w:t>
      </w:r>
      <w:r w:rsidR="001872C0" w:rsidRPr="00750717">
        <w:rPr>
          <w:rFonts w:cs="Arial"/>
          <w:bCs/>
          <w:iCs/>
        </w:rPr>
        <w:t xml:space="preserve"> still</w:t>
      </w:r>
      <w:r w:rsidR="00613679" w:rsidRPr="00750717">
        <w:rPr>
          <w:rFonts w:cs="Arial"/>
          <w:bCs/>
          <w:iCs/>
        </w:rPr>
        <w:t xml:space="preserve"> </w:t>
      </w:r>
      <w:r w:rsidR="00921D25" w:rsidRPr="00750717">
        <w:rPr>
          <w:rFonts w:cs="Arial"/>
          <w:bCs/>
          <w:iCs/>
        </w:rPr>
        <w:t xml:space="preserve">left </w:t>
      </w:r>
      <w:r w:rsidR="001872C0" w:rsidRPr="00750717">
        <w:rPr>
          <w:rFonts w:cs="Arial"/>
          <w:bCs/>
          <w:iCs/>
        </w:rPr>
        <w:t>to pick up</w:t>
      </w:r>
      <w:r w:rsidR="00921D25" w:rsidRPr="00750717">
        <w:rPr>
          <w:rFonts w:cs="Arial"/>
          <w:bCs/>
          <w:iCs/>
        </w:rPr>
        <w:t xml:space="preserve"> the costs of under-gridding the sustainability</w:t>
      </w:r>
      <w:r w:rsidR="0030014C" w:rsidRPr="00750717">
        <w:rPr>
          <w:rFonts w:cs="Arial"/>
          <w:bCs/>
          <w:iCs/>
        </w:rPr>
        <w:t xml:space="preserve"> </w:t>
      </w:r>
      <w:r w:rsidR="00921D25" w:rsidRPr="00750717">
        <w:rPr>
          <w:rFonts w:cs="Arial"/>
          <w:bCs/>
          <w:iCs/>
        </w:rPr>
        <w:t>of city-districts as</w:t>
      </w:r>
      <w:r w:rsidR="003D4A45" w:rsidRPr="00750717">
        <w:rPr>
          <w:rFonts w:cs="Arial"/>
          <w:bCs/>
          <w:iCs/>
        </w:rPr>
        <w:t xml:space="preserve"> </w:t>
      </w:r>
      <w:r w:rsidR="0030014C" w:rsidRPr="00750717">
        <w:rPr>
          <w:rFonts w:cs="Arial"/>
          <w:bCs/>
          <w:iCs/>
        </w:rPr>
        <w:t xml:space="preserve">the </w:t>
      </w:r>
      <w:r w:rsidR="003D4A45" w:rsidRPr="00750717">
        <w:rPr>
          <w:rFonts w:cs="Arial"/>
          <w:bCs/>
          <w:iCs/>
        </w:rPr>
        <w:t>energy efficient-low carbon zones</w:t>
      </w:r>
      <w:r w:rsidR="0030014C" w:rsidRPr="00750717">
        <w:rPr>
          <w:rFonts w:cs="Arial"/>
          <w:bCs/>
          <w:iCs/>
        </w:rPr>
        <w:t xml:space="preserve"> of the residential property sector</w:t>
      </w:r>
      <w:r>
        <w:rPr>
          <w:rFonts w:cs="Arial"/>
          <w:bCs/>
          <w:iCs/>
        </w:rPr>
        <w:t xml:space="preserve">. </w:t>
      </w:r>
      <w:r w:rsidR="00750717">
        <w:rPr>
          <w:rFonts w:cs="Arial"/>
          <w:bCs/>
          <w:iCs/>
        </w:rPr>
        <w:t>It is also due to</w:t>
      </w:r>
      <w:r w:rsidR="00921D25" w:rsidRPr="00750717">
        <w:rPr>
          <w:rFonts w:cs="Arial"/>
          <w:bCs/>
          <w:iCs/>
        </w:rPr>
        <w:t xml:space="preserve"> the</w:t>
      </w:r>
      <w:r w:rsidR="00C60C77" w:rsidRPr="00750717">
        <w:rPr>
          <w:rFonts w:cs="Arial"/>
          <w:bCs/>
          <w:iCs/>
        </w:rPr>
        <w:t xml:space="preserve"> distribution </w:t>
      </w:r>
      <w:r w:rsidR="00074E06" w:rsidRPr="00750717">
        <w:rPr>
          <w:rFonts w:cs="Arial"/>
          <w:bCs/>
          <w:iCs/>
        </w:rPr>
        <w:t xml:space="preserve">of </w:t>
      </w:r>
      <w:r w:rsidR="003961DB" w:rsidRPr="00750717">
        <w:rPr>
          <w:rFonts w:cs="Arial"/>
          <w:bCs/>
          <w:iCs/>
        </w:rPr>
        <w:t xml:space="preserve">the </w:t>
      </w:r>
      <w:r w:rsidR="002D284B" w:rsidRPr="00750717">
        <w:rPr>
          <w:rFonts w:cs="Arial"/>
          <w:bCs/>
          <w:iCs/>
        </w:rPr>
        <w:t>remaining 2</w:t>
      </w:r>
      <w:r w:rsidR="00074E06" w:rsidRPr="00750717">
        <w:rPr>
          <w:rFonts w:cs="Arial"/>
          <w:bCs/>
          <w:iCs/>
        </w:rPr>
        <w:t>8%</w:t>
      </w:r>
      <w:r w:rsidR="00BC4911" w:rsidRPr="00750717">
        <w:rPr>
          <w:rFonts w:cs="Arial"/>
          <w:bCs/>
          <w:iCs/>
        </w:rPr>
        <w:t xml:space="preserve"> </w:t>
      </w:r>
      <w:r w:rsidR="00921D25" w:rsidRPr="00750717">
        <w:rPr>
          <w:rFonts w:cs="Arial"/>
          <w:bCs/>
          <w:iCs/>
        </w:rPr>
        <w:t xml:space="preserve">of energy savings and </w:t>
      </w:r>
      <w:r w:rsidR="00781A5D" w:rsidRPr="00750717">
        <w:rPr>
          <w:rFonts w:cs="Arial"/>
        </w:rPr>
        <w:t>CO</w:t>
      </w:r>
      <w:r w:rsidR="00781A5D" w:rsidRPr="00750717">
        <w:rPr>
          <w:rFonts w:cs="Arial"/>
          <w:vertAlign w:val="subscript"/>
        </w:rPr>
        <w:t>2</w:t>
      </w:r>
      <w:r w:rsidR="00921D25" w:rsidRPr="00750717">
        <w:rPr>
          <w:rFonts w:cs="Arial"/>
          <w:bCs/>
          <w:iCs/>
        </w:rPr>
        <w:t xml:space="preserve"> reductions</w:t>
      </w:r>
      <w:r w:rsidR="00626EA1" w:rsidRPr="00750717">
        <w:rPr>
          <w:rFonts w:cs="Arial"/>
          <w:bCs/>
          <w:iCs/>
        </w:rPr>
        <w:t>,</w:t>
      </w:r>
      <w:r w:rsidR="00921D25" w:rsidRPr="00750717">
        <w:rPr>
          <w:rFonts w:cs="Arial"/>
          <w:bCs/>
          <w:iCs/>
        </w:rPr>
        <w:t xml:space="preserve"> </w:t>
      </w:r>
      <w:r w:rsidR="00750717">
        <w:rPr>
          <w:rFonts w:cs="Arial"/>
          <w:bCs/>
          <w:iCs/>
        </w:rPr>
        <w:t>still being</w:t>
      </w:r>
      <w:r w:rsidR="00921D25" w:rsidRPr="00750717">
        <w:rPr>
          <w:rFonts w:cs="Arial"/>
          <w:bCs/>
          <w:iCs/>
        </w:rPr>
        <w:t xml:space="preserve"> </w:t>
      </w:r>
      <w:r w:rsidR="00BC4911" w:rsidRPr="00750717">
        <w:rPr>
          <w:rFonts w:cs="Arial"/>
          <w:bCs/>
          <w:iCs/>
        </w:rPr>
        <w:t>skewed</w:t>
      </w:r>
      <w:r w:rsidR="00921D25" w:rsidRPr="00750717">
        <w:rPr>
          <w:rFonts w:cs="Arial"/>
          <w:bCs/>
          <w:iCs/>
        </w:rPr>
        <w:t xml:space="preserve"> </w:t>
      </w:r>
      <w:r w:rsidR="00BC4911" w:rsidRPr="00750717">
        <w:rPr>
          <w:rFonts w:cs="Arial"/>
          <w:bCs/>
          <w:iCs/>
        </w:rPr>
        <w:t>in favour of the owner-occupied and private-rented secto</w:t>
      </w:r>
      <w:r w:rsidR="007C62C5">
        <w:rPr>
          <w:rFonts w:cs="Arial"/>
          <w:bCs/>
          <w:iCs/>
        </w:rPr>
        <w:t>rs, as a result of</w:t>
      </w:r>
      <w:r w:rsidR="00BC4911" w:rsidRPr="00750717">
        <w:rPr>
          <w:rFonts w:cs="Arial"/>
          <w:bCs/>
          <w:iCs/>
        </w:rPr>
        <w:t xml:space="preserve"> the </w:t>
      </w:r>
      <w:r w:rsidR="00074E06" w:rsidRPr="00750717">
        <w:rPr>
          <w:rFonts w:cs="Arial"/>
          <w:bCs/>
          <w:iCs/>
        </w:rPr>
        <w:t>initial</w:t>
      </w:r>
      <w:r w:rsidR="003961DB" w:rsidRPr="00750717">
        <w:rPr>
          <w:rFonts w:cs="Arial"/>
          <w:bCs/>
          <w:iCs/>
        </w:rPr>
        <w:t xml:space="preserve"> </w:t>
      </w:r>
      <w:r w:rsidR="00025259">
        <w:rPr>
          <w:rFonts w:cs="Arial"/>
          <w:bCs/>
          <w:iCs/>
        </w:rPr>
        <w:t>schedule for</w:t>
      </w:r>
      <w:r w:rsidR="00921D25" w:rsidRPr="00750717">
        <w:rPr>
          <w:rFonts w:cs="Arial"/>
          <w:bCs/>
          <w:iCs/>
        </w:rPr>
        <w:t xml:space="preserve"> under-gridding </w:t>
      </w:r>
      <w:r w:rsidR="00025259">
        <w:rPr>
          <w:rFonts w:cs="Arial"/>
          <w:bCs/>
          <w:iCs/>
        </w:rPr>
        <w:t xml:space="preserve">the sustainability of city-districts, </w:t>
      </w:r>
      <w:r w:rsidR="003961DB" w:rsidRPr="00750717">
        <w:rPr>
          <w:rFonts w:cs="Arial"/>
          <w:bCs/>
          <w:iCs/>
        </w:rPr>
        <w:t xml:space="preserve">excluding </w:t>
      </w:r>
      <w:r w:rsidR="00074E06" w:rsidRPr="00750717">
        <w:rPr>
          <w:rFonts w:cs="Arial"/>
          <w:bCs/>
          <w:iCs/>
        </w:rPr>
        <w:t>the social secto</w:t>
      </w:r>
      <w:r w:rsidR="00921D25" w:rsidRPr="00750717">
        <w:rPr>
          <w:rFonts w:cs="Arial"/>
          <w:bCs/>
          <w:iCs/>
        </w:rPr>
        <w:t>r</w:t>
      </w:r>
      <w:r w:rsidR="00080D78" w:rsidRPr="00750717">
        <w:rPr>
          <w:rFonts w:cs="Arial"/>
          <w:bCs/>
          <w:iCs/>
        </w:rPr>
        <w:t xml:space="preserve">. That is from the benefits, </w:t>
      </w:r>
      <w:r w:rsidR="00613679" w:rsidRPr="00750717">
        <w:rPr>
          <w:rFonts w:cs="Arial"/>
          <w:bCs/>
          <w:iCs/>
        </w:rPr>
        <w:t>but not the costs</w:t>
      </w:r>
      <w:r w:rsidR="00080D78" w:rsidRPr="00750717">
        <w:rPr>
          <w:rFonts w:cs="Arial"/>
          <w:bCs/>
          <w:iCs/>
        </w:rPr>
        <w:t xml:space="preserve">, which are </w:t>
      </w:r>
      <w:r w:rsidR="00613679" w:rsidRPr="00750717">
        <w:rPr>
          <w:rFonts w:cs="Arial"/>
          <w:bCs/>
          <w:iCs/>
        </w:rPr>
        <w:t>associated with the design and layout of</w:t>
      </w:r>
      <w:r w:rsidR="00BC4911" w:rsidRPr="00750717">
        <w:rPr>
          <w:rFonts w:cs="Arial"/>
          <w:bCs/>
          <w:iCs/>
        </w:rPr>
        <w:t xml:space="preserve"> </w:t>
      </w:r>
      <w:r w:rsidR="00074E06" w:rsidRPr="00750717">
        <w:rPr>
          <w:rFonts w:cs="Arial"/>
          <w:bCs/>
          <w:iCs/>
        </w:rPr>
        <w:t>energy efficient-low carbon zo</w:t>
      </w:r>
      <w:r w:rsidR="007D07E8" w:rsidRPr="00750717">
        <w:rPr>
          <w:rFonts w:cs="Arial"/>
          <w:bCs/>
          <w:iCs/>
        </w:rPr>
        <w:t>ne</w:t>
      </w:r>
      <w:r w:rsidR="0030014C" w:rsidRPr="00750717">
        <w:rPr>
          <w:rFonts w:cs="Arial"/>
          <w:bCs/>
          <w:iCs/>
        </w:rPr>
        <w:t>s</w:t>
      </w:r>
      <w:r w:rsidR="007D07E8" w:rsidRPr="00750717">
        <w:rPr>
          <w:rFonts w:cs="Arial"/>
          <w:bCs/>
          <w:iCs/>
        </w:rPr>
        <w:t xml:space="preserve"> supported </w:t>
      </w:r>
      <w:r w:rsidR="007C62C5">
        <w:rPr>
          <w:rFonts w:cs="Arial"/>
          <w:bCs/>
          <w:iCs/>
        </w:rPr>
        <w:t>by</w:t>
      </w:r>
      <w:r w:rsidR="00025259">
        <w:rPr>
          <w:rFonts w:cs="Arial"/>
          <w:bCs/>
          <w:iCs/>
        </w:rPr>
        <w:t xml:space="preserve"> the</w:t>
      </w:r>
      <w:r w:rsidR="00613679" w:rsidRPr="00750717">
        <w:rPr>
          <w:rFonts w:cs="Arial"/>
          <w:bCs/>
          <w:iCs/>
        </w:rPr>
        <w:t xml:space="preserve"> </w:t>
      </w:r>
      <w:r w:rsidR="00E06E02" w:rsidRPr="00750717">
        <w:rPr>
          <w:rFonts w:cs="Arial"/>
          <w:bCs/>
          <w:iCs/>
        </w:rPr>
        <w:t xml:space="preserve">web-based </w:t>
      </w:r>
      <w:r w:rsidR="004D1214" w:rsidRPr="00750717">
        <w:rPr>
          <w:rFonts w:cs="Arial"/>
          <w:bCs/>
          <w:iCs/>
        </w:rPr>
        <w:t xml:space="preserve">data </w:t>
      </w:r>
      <w:r w:rsidR="00A61D87" w:rsidRPr="00750717">
        <w:rPr>
          <w:rFonts w:cs="Arial"/>
          <w:bCs/>
          <w:iCs/>
        </w:rPr>
        <w:t>collection</w:t>
      </w:r>
      <w:r w:rsidR="004D1214" w:rsidRPr="00750717">
        <w:rPr>
          <w:rFonts w:cs="Arial"/>
          <w:bCs/>
          <w:iCs/>
        </w:rPr>
        <w:t xml:space="preserve"> and information processing of a </w:t>
      </w:r>
      <w:r w:rsidR="00613679" w:rsidRPr="00750717">
        <w:rPr>
          <w:rFonts w:cs="Arial"/>
          <w:bCs/>
          <w:iCs/>
        </w:rPr>
        <w:t>smart</w:t>
      </w:r>
      <w:r w:rsidR="0096796E" w:rsidRPr="00750717">
        <w:rPr>
          <w:rFonts w:cs="Arial"/>
          <w:bCs/>
          <w:iCs/>
        </w:rPr>
        <w:t xml:space="preserve"> </w:t>
      </w:r>
      <w:r w:rsidR="00613679" w:rsidRPr="00750717">
        <w:rPr>
          <w:rFonts w:cs="Arial"/>
          <w:bCs/>
          <w:iCs/>
        </w:rPr>
        <w:t>(micro)</w:t>
      </w:r>
      <w:r w:rsidR="0036708A" w:rsidRPr="00750717">
        <w:rPr>
          <w:rFonts w:cs="Arial"/>
          <w:bCs/>
          <w:iCs/>
        </w:rPr>
        <w:t xml:space="preserve"> grid</w:t>
      </w:r>
      <w:r w:rsidR="00613679" w:rsidRPr="00750717">
        <w:rPr>
          <w:rFonts w:cs="Arial"/>
          <w:bCs/>
          <w:iCs/>
        </w:rPr>
        <w:t>.</w:t>
      </w:r>
    </w:p>
    <w:p w14:paraId="68F773B6" w14:textId="77777777" w:rsidR="00AA28CB" w:rsidRPr="00466924" w:rsidRDefault="00AA28CB" w:rsidP="00AA28CB">
      <w:pPr>
        <w:spacing w:before="0" w:after="0" w:line="240" w:lineRule="auto"/>
        <w:ind w:left="360"/>
        <w:jc w:val="left"/>
        <w:rPr>
          <w:rFonts w:cs="Arial"/>
          <w:bCs/>
          <w:iCs/>
        </w:rPr>
      </w:pPr>
    </w:p>
    <w:p w14:paraId="781EEE5F" w14:textId="6456A140" w:rsidR="00257A84" w:rsidRPr="00466924" w:rsidRDefault="00AE134C" w:rsidP="00AA28CB">
      <w:pPr>
        <w:pStyle w:val="Tabletext"/>
        <w:spacing w:before="0" w:after="0"/>
        <w:jc w:val="left"/>
        <w:rPr>
          <w:color w:val="auto"/>
        </w:rPr>
      </w:pPr>
      <w:r w:rsidRPr="00466924">
        <w:rPr>
          <w:color w:val="auto"/>
        </w:rPr>
        <w:t>This clearly demonstrates</w:t>
      </w:r>
      <w:r w:rsidR="00613679" w:rsidRPr="00466924">
        <w:rPr>
          <w:color w:val="auto"/>
        </w:rPr>
        <w:t xml:space="preserve"> that contrary</w:t>
      </w:r>
      <w:r w:rsidR="00582FBF" w:rsidRPr="00466924">
        <w:rPr>
          <w:color w:val="auto"/>
        </w:rPr>
        <w:t xml:space="preserve"> to what </w:t>
      </w:r>
      <w:r w:rsidR="00CB6123" w:rsidRPr="00466924">
        <w:rPr>
          <w:color w:val="auto"/>
        </w:rPr>
        <w:t xml:space="preserve">such </w:t>
      </w:r>
      <w:r w:rsidR="00835C65" w:rsidRPr="00466924">
        <w:rPr>
          <w:color w:val="auto"/>
        </w:rPr>
        <w:t>regional innovations</w:t>
      </w:r>
      <w:r w:rsidR="00582FBF" w:rsidRPr="00466924">
        <w:rPr>
          <w:color w:val="auto"/>
        </w:rPr>
        <w:t xml:space="preserve"> </w:t>
      </w:r>
      <w:r w:rsidR="00CB6123" w:rsidRPr="00466924">
        <w:rPr>
          <w:color w:val="auto"/>
        </w:rPr>
        <w:t xml:space="preserve">tend to </w:t>
      </w:r>
      <w:r w:rsidR="00582FBF" w:rsidRPr="00466924">
        <w:rPr>
          <w:color w:val="auto"/>
        </w:rPr>
        <w:t>claim</w:t>
      </w:r>
      <w:r w:rsidR="00CA064D">
        <w:rPr>
          <w:color w:val="auto"/>
        </w:rPr>
        <w:t xml:space="preserve"> about</w:t>
      </w:r>
      <w:r w:rsidR="00AF0AC7" w:rsidRPr="00466924">
        <w:rPr>
          <w:color w:val="auto"/>
        </w:rPr>
        <w:t xml:space="preserve"> the </w:t>
      </w:r>
      <w:r w:rsidR="00FC3385">
        <w:rPr>
          <w:color w:val="auto"/>
        </w:rPr>
        <w:t xml:space="preserve">digital </w:t>
      </w:r>
      <w:r w:rsidR="00AF0AC7" w:rsidRPr="00466924">
        <w:rPr>
          <w:color w:val="auto"/>
        </w:rPr>
        <w:t xml:space="preserve">infrastructures </w:t>
      </w:r>
      <w:r w:rsidR="007667BE">
        <w:rPr>
          <w:color w:val="auto"/>
        </w:rPr>
        <w:t>of</w:t>
      </w:r>
      <w:r w:rsidR="00835C65" w:rsidRPr="00466924">
        <w:rPr>
          <w:color w:val="auto"/>
        </w:rPr>
        <w:t xml:space="preserve"> </w:t>
      </w:r>
      <w:r w:rsidR="00FC3385">
        <w:rPr>
          <w:color w:val="auto"/>
        </w:rPr>
        <w:t xml:space="preserve">data </w:t>
      </w:r>
      <w:r w:rsidR="00835C65" w:rsidRPr="00466924">
        <w:rPr>
          <w:color w:val="auto"/>
        </w:rPr>
        <w:t>management systems</w:t>
      </w:r>
      <w:r w:rsidR="00AB6228">
        <w:rPr>
          <w:color w:val="auto"/>
        </w:rPr>
        <w:t xml:space="preserve">, </w:t>
      </w:r>
      <w:r w:rsidR="00B857AB">
        <w:rPr>
          <w:color w:val="auto"/>
        </w:rPr>
        <w:t>renewable energies</w:t>
      </w:r>
      <w:r w:rsidR="00AB6228">
        <w:rPr>
          <w:color w:val="auto"/>
        </w:rPr>
        <w:t xml:space="preserve"> </w:t>
      </w:r>
      <w:r w:rsidR="00821406" w:rsidRPr="00466924">
        <w:rPr>
          <w:color w:val="auto"/>
        </w:rPr>
        <w:t>do</w:t>
      </w:r>
      <w:r w:rsidR="00A86FED" w:rsidRPr="00466924">
        <w:rPr>
          <w:color w:val="auto"/>
        </w:rPr>
        <w:t xml:space="preserve"> </w:t>
      </w:r>
      <w:r w:rsidRPr="00466924">
        <w:rPr>
          <w:color w:val="auto"/>
        </w:rPr>
        <w:t xml:space="preserve">not </w:t>
      </w:r>
      <w:r w:rsidR="007B384B" w:rsidRPr="00466924">
        <w:rPr>
          <w:color w:val="auto"/>
        </w:rPr>
        <w:t xml:space="preserve">currently </w:t>
      </w:r>
      <w:r w:rsidRPr="00466924">
        <w:rPr>
          <w:color w:val="auto"/>
        </w:rPr>
        <w:t>offer</w:t>
      </w:r>
      <w:r w:rsidR="006C2226">
        <w:rPr>
          <w:color w:val="auto"/>
        </w:rPr>
        <w:t>,</w:t>
      </w:r>
      <w:r w:rsidR="00BA4950">
        <w:rPr>
          <w:color w:val="auto"/>
        </w:rPr>
        <w:t xml:space="preserve"> </w:t>
      </w:r>
      <w:r w:rsidR="00A61D87" w:rsidRPr="00466924">
        <w:rPr>
          <w:color w:val="auto"/>
        </w:rPr>
        <w:t>either the</w:t>
      </w:r>
      <w:r w:rsidR="003613E4" w:rsidRPr="00466924">
        <w:rPr>
          <w:color w:val="auto"/>
        </w:rPr>
        <w:t xml:space="preserve"> </w:t>
      </w:r>
      <w:r w:rsidR="00A61D87" w:rsidRPr="00466924">
        <w:rPr>
          <w:color w:val="auto"/>
        </w:rPr>
        <w:t>data collection, or information processing</w:t>
      </w:r>
      <w:r w:rsidR="00B857AB">
        <w:rPr>
          <w:color w:val="auto"/>
        </w:rPr>
        <w:t xml:space="preserve"> for </w:t>
      </w:r>
      <w:r w:rsidR="00B857AB" w:rsidRPr="00466924">
        <w:rPr>
          <w:color w:val="auto"/>
        </w:rPr>
        <w:t>smart (micro) grids</w:t>
      </w:r>
      <w:r w:rsidR="00A61D87" w:rsidRPr="00466924">
        <w:rPr>
          <w:color w:val="auto"/>
        </w:rPr>
        <w:t xml:space="preserve"> to</w:t>
      </w:r>
      <w:r w:rsidR="00613679" w:rsidRPr="00466924">
        <w:rPr>
          <w:color w:val="auto"/>
        </w:rPr>
        <w:t xml:space="preserve"> baseline</w:t>
      </w:r>
      <w:r w:rsidR="00BA4950">
        <w:rPr>
          <w:color w:val="auto"/>
        </w:rPr>
        <w:t xml:space="preserve"> </w:t>
      </w:r>
      <w:r w:rsidR="00CA064D">
        <w:rPr>
          <w:color w:val="auto"/>
        </w:rPr>
        <w:t>the</w:t>
      </w:r>
      <w:r w:rsidR="00582FBF" w:rsidRPr="00466924">
        <w:rPr>
          <w:color w:val="auto"/>
        </w:rPr>
        <w:t xml:space="preserve"> residential property sector</w:t>
      </w:r>
      <w:r w:rsidR="00BA4950">
        <w:rPr>
          <w:color w:val="auto"/>
        </w:rPr>
        <w:t xml:space="preserve"> </w:t>
      </w:r>
      <w:r w:rsidR="009B103C">
        <w:rPr>
          <w:color w:val="auto"/>
        </w:rPr>
        <w:t xml:space="preserve">as the inclusive growth strategy </w:t>
      </w:r>
      <w:r w:rsidR="00BA4950">
        <w:rPr>
          <w:color w:val="auto"/>
        </w:rPr>
        <w:t xml:space="preserve">of </w:t>
      </w:r>
      <w:r w:rsidR="00BE0B74">
        <w:rPr>
          <w:color w:val="auto"/>
        </w:rPr>
        <w:t xml:space="preserve">a post-carbon economy which is </w:t>
      </w:r>
      <w:r w:rsidR="00BA4950">
        <w:rPr>
          <w:color w:val="auto"/>
        </w:rPr>
        <w:t>climate neutral</w:t>
      </w:r>
      <w:r w:rsidR="00835C65" w:rsidRPr="00466924">
        <w:rPr>
          <w:color w:val="auto"/>
        </w:rPr>
        <w:t xml:space="preserve">. For </w:t>
      </w:r>
      <w:r w:rsidR="00BA4950">
        <w:rPr>
          <w:color w:val="auto"/>
        </w:rPr>
        <w:t>the</w:t>
      </w:r>
      <w:r w:rsidR="00835C65" w:rsidRPr="00466924">
        <w:rPr>
          <w:color w:val="auto"/>
        </w:rPr>
        <w:t xml:space="preserve"> </w:t>
      </w:r>
      <w:r w:rsidR="003349F8" w:rsidRPr="00466924">
        <w:rPr>
          <w:color w:val="auto"/>
        </w:rPr>
        <w:t xml:space="preserve">infrastructures, </w:t>
      </w:r>
      <w:r w:rsidR="00835C65" w:rsidRPr="00466924">
        <w:rPr>
          <w:color w:val="auto"/>
        </w:rPr>
        <w:t>management systems,</w:t>
      </w:r>
      <w:r w:rsidR="00B857AB">
        <w:rPr>
          <w:color w:val="auto"/>
        </w:rPr>
        <w:t xml:space="preserve"> and renewable</w:t>
      </w:r>
      <w:r w:rsidR="00C32BA5">
        <w:rPr>
          <w:color w:val="auto"/>
        </w:rPr>
        <w:t xml:space="preserve"> energies</w:t>
      </w:r>
      <w:r w:rsidR="00B857AB">
        <w:rPr>
          <w:color w:val="auto"/>
        </w:rPr>
        <w:t xml:space="preserve"> </w:t>
      </w:r>
      <w:r w:rsidR="00835C65" w:rsidRPr="00466924">
        <w:rPr>
          <w:color w:val="auto"/>
        </w:rPr>
        <w:t>they currently offer</w:t>
      </w:r>
      <w:r w:rsidR="00A61D87" w:rsidRPr="00466924">
        <w:rPr>
          <w:color w:val="auto"/>
        </w:rPr>
        <w:t xml:space="preserve"> to collect data and process information</w:t>
      </w:r>
      <w:r w:rsidR="00B857AB">
        <w:rPr>
          <w:color w:val="auto"/>
        </w:rPr>
        <w:t xml:space="preserve"> from</w:t>
      </w:r>
      <w:r w:rsidR="00F375C8">
        <w:rPr>
          <w:color w:val="auto"/>
        </w:rPr>
        <w:t xml:space="preserve"> these</w:t>
      </w:r>
      <w:r w:rsidR="00B857AB" w:rsidRPr="00466924">
        <w:rPr>
          <w:color w:val="auto"/>
        </w:rPr>
        <w:t xml:space="preserve"> </w:t>
      </w:r>
      <w:r w:rsidR="00125F4F">
        <w:rPr>
          <w:color w:val="auto"/>
        </w:rPr>
        <w:t xml:space="preserve">smart (micro) </w:t>
      </w:r>
      <w:r w:rsidR="00B857AB" w:rsidRPr="00466924">
        <w:rPr>
          <w:color w:val="auto"/>
        </w:rPr>
        <w:t>grids</w:t>
      </w:r>
      <w:r w:rsidR="00CA064D">
        <w:rPr>
          <w:color w:val="auto"/>
        </w:rPr>
        <w:t>,</w:t>
      </w:r>
      <w:r w:rsidR="00AB54E2" w:rsidRPr="00466924">
        <w:rPr>
          <w:color w:val="auto"/>
        </w:rPr>
        <w:t xml:space="preserve"> </w:t>
      </w:r>
      <w:r w:rsidR="003349F8" w:rsidRPr="00466924">
        <w:rPr>
          <w:color w:val="auto"/>
        </w:rPr>
        <w:t xml:space="preserve">are not </w:t>
      </w:r>
      <w:r w:rsidRPr="00466924">
        <w:rPr>
          <w:color w:val="auto"/>
        </w:rPr>
        <w:t xml:space="preserve">only </w:t>
      </w:r>
      <w:r w:rsidR="00AF0AC7" w:rsidRPr="00466924">
        <w:rPr>
          <w:color w:val="auto"/>
        </w:rPr>
        <w:t xml:space="preserve">socially </w:t>
      </w:r>
      <w:r w:rsidRPr="00466924">
        <w:rPr>
          <w:color w:val="auto"/>
        </w:rPr>
        <w:t xml:space="preserve">divisive, but </w:t>
      </w:r>
      <w:r w:rsidR="00257A84" w:rsidRPr="00466924">
        <w:rPr>
          <w:color w:val="auto"/>
        </w:rPr>
        <w:t xml:space="preserve">also </w:t>
      </w:r>
      <w:r w:rsidRPr="00466924">
        <w:rPr>
          <w:color w:val="auto"/>
        </w:rPr>
        <w:t>out</w:t>
      </w:r>
      <w:r w:rsidR="002601C2" w:rsidRPr="00466924">
        <w:rPr>
          <w:color w:val="auto"/>
        </w:rPr>
        <w:t>-</w:t>
      </w:r>
      <w:r w:rsidRPr="00466924">
        <w:rPr>
          <w:color w:val="auto"/>
        </w:rPr>
        <w:t>of</w:t>
      </w:r>
      <w:r w:rsidR="002601C2" w:rsidRPr="00466924">
        <w:rPr>
          <w:color w:val="auto"/>
        </w:rPr>
        <w:t>-</w:t>
      </w:r>
      <w:r w:rsidRPr="00466924">
        <w:rPr>
          <w:color w:val="auto"/>
        </w:rPr>
        <w:t xml:space="preserve">balance with the </w:t>
      </w:r>
      <w:r w:rsidR="00835C65" w:rsidRPr="00466924">
        <w:rPr>
          <w:color w:val="auto"/>
        </w:rPr>
        <w:t xml:space="preserve">popular </w:t>
      </w:r>
      <w:r w:rsidR="002F4938" w:rsidRPr="00466924">
        <w:rPr>
          <w:color w:val="auto"/>
        </w:rPr>
        <w:t>demand</w:t>
      </w:r>
      <w:r w:rsidR="0096796E" w:rsidRPr="00466924">
        <w:rPr>
          <w:color w:val="auto"/>
        </w:rPr>
        <w:t xml:space="preserve"> for</w:t>
      </w:r>
      <w:r w:rsidR="00F375C8">
        <w:rPr>
          <w:color w:val="auto"/>
        </w:rPr>
        <w:t xml:space="preserve"> </w:t>
      </w:r>
      <w:r w:rsidR="009B103C">
        <w:rPr>
          <w:color w:val="auto"/>
        </w:rPr>
        <w:t>the</w:t>
      </w:r>
      <w:r w:rsidR="009752E5" w:rsidRPr="00466924">
        <w:rPr>
          <w:color w:val="auto"/>
        </w:rPr>
        <w:t xml:space="preserve"> </w:t>
      </w:r>
      <w:r w:rsidR="003349F8" w:rsidRPr="00466924">
        <w:rPr>
          <w:color w:val="auto"/>
        </w:rPr>
        <w:t xml:space="preserve">environmentally </w:t>
      </w:r>
      <w:r w:rsidR="00825DE4" w:rsidRPr="00466924">
        <w:rPr>
          <w:color w:val="auto"/>
        </w:rPr>
        <w:t>sustainab</w:t>
      </w:r>
      <w:r w:rsidR="009B103C">
        <w:rPr>
          <w:color w:val="auto"/>
        </w:rPr>
        <w:t xml:space="preserve">ility </w:t>
      </w:r>
      <w:r w:rsidR="00582FBF" w:rsidRPr="00466924">
        <w:rPr>
          <w:color w:val="auto"/>
        </w:rPr>
        <w:t xml:space="preserve">of </w:t>
      </w:r>
      <w:r w:rsidR="009752E5" w:rsidRPr="00466924">
        <w:rPr>
          <w:color w:val="auto"/>
        </w:rPr>
        <w:t>city-districts</w:t>
      </w:r>
      <w:r w:rsidR="00FC3385">
        <w:rPr>
          <w:color w:val="auto"/>
        </w:rPr>
        <w:t xml:space="preserve"> (as energy efficient-low carbon zones)</w:t>
      </w:r>
      <w:r w:rsidR="005E6CA8" w:rsidRPr="00466924">
        <w:rPr>
          <w:color w:val="auto"/>
        </w:rPr>
        <w:t xml:space="preserve"> </w:t>
      </w:r>
      <w:r w:rsidR="00825DE4" w:rsidRPr="00466924">
        <w:rPr>
          <w:color w:val="auto"/>
        </w:rPr>
        <w:t>to</w:t>
      </w:r>
      <w:r w:rsidR="003349F8" w:rsidRPr="00466924">
        <w:rPr>
          <w:color w:val="auto"/>
        </w:rPr>
        <w:t xml:space="preserve"> be inclusive</w:t>
      </w:r>
      <w:r w:rsidR="00934532" w:rsidRPr="00466924">
        <w:rPr>
          <w:color w:val="auto"/>
        </w:rPr>
        <w:t>. T</w:t>
      </w:r>
      <w:r w:rsidR="00C32BA5">
        <w:rPr>
          <w:color w:val="auto"/>
        </w:rPr>
        <w:t>o be</w:t>
      </w:r>
      <w:r w:rsidR="00934532" w:rsidRPr="00466924">
        <w:rPr>
          <w:color w:val="auto"/>
        </w:rPr>
        <w:t xml:space="preserve"> inclusive</w:t>
      </w:r>
      <w:r w:rsidR="003349F8" w:rsidRPr="00466924">
        <w:rPr>
          <w:color w:val="auto"/>
        </w:rPr>
        <w:t xml:space="preserve"> </w:t>
      </w:r>
      <w:r w:rsidR="00934532" w:rsidRPr="00466924">
        <w:rPr>
          <w:color w:val="auto"/>
        </w:rPr>
        <w:t>in</w:t>
      </w:r>
      <w:r w:rsidR="003349F8" w:rsidRPr="00466924">
        <w:rPr>
          <w:color w:val="auto"/>
        </w:rPr>
        <w:t xml:space="preserve"> granting</w:t>
      </w:r>
      <w:r w:rsidR="005E6CA8" w:rsidRPr="00466924">
        <w:rPr>
          <w:color w:val="auto"/>
        </w:rPr>
        <w:t xml:space="preserve"> th</w:t>
      </w:r>
      <w:r w:rsidR="000E45EB">
        <w:rPr>
          <w:color w:val="auto"/>
        </w:rPr>
        <w:t xml:space="preserve">e members of those </w:t>
      </w:r>
      <w:r w:rsidR="002601C2" w:rsidRPr="00466924">
        <w:rPr>
          <w:color w:val="auto"/>
        </w:rPr>
        <w:t>neighbourho</w:t>
      </w:r>
      <w:r w:rsidR="000E45EB">
        <w:rPr>
          <w:color w:val="auto"/>
        </w:rPr>
        <w:t>od</w:t>
      </w:r>
      <w:r w:rsidR="002601C2" w:rsidRPr="00466924">
        <w:rPr>
          <w:color w:val="auto"/>
        </w:rPr>
        <w:t xml:space="preserve"> </w:t>
      </w:r>
      <w:r w:rsidRPr="00466924">
        <w:rPr>
          <w:color w:val="auto"/>
        </w:rPr>
        <w:t>communities</w:t>
      </w:r>
      <w:r w:rsidR="00934532" w:rsidRPr="00466924">
        <w:rPr>
          <w:color w:val="auto"/>
        </w:rPr>
        <w:t xml:space="preserve"> who</w:t>
      </w:r>
      <w:r w:rsidR="00B625B7" w:rsidRPr="00466924">
        <w:rPr>
          <w:color w:val="auto"/>
        </w:rPr>
        <w:t xml:space="preserve"> make</w:t>
      </w:r>
      <w:r w:rsidR="000C2221" w:rsidRPr="00466924">
        <w:rPr>
          <w:color w:val="auto"/>
        </w:rPr>
        <w:t xml:space="preserve"> a valuable </w:t>
      </w:r>
      <w:r w:rsidR="00AF0AC7" w:rsidRPr="00466924">
        <w:rPr>
          <w:color w:val="auto"/>
        </w:rPr>
        <w:t>co</w:t>
      </w:r>
      <w:r w:rsidR="00257A84" w:rsidRPr="00466924">
        <w:rPr>
          <w:color w:val="auto"/>
        </w:rPr>
        <w:t>ntribution</w:t>
      </w:r>
      <w:r w:rsidR="00A86FED" w:rsidRPr="00466924">
        <w:rPr>
          <w:color w:val="auto"/>
        </w:rPr>
        <w:t xml:space="preserve"> to </w:t>
      </w:r>
      <w:r w:rsidR="009752E5" w:rsidRPr="00466924">
        <w:rPr>
          <w:color w:val="auto"/>
        </w:rPr>
        <w:t>energy efficient</w:t>
      </w:r>
      <w:r w:rsidRPr="00466924">
        <w:rPr>
          <w:color w:val="auto"/>
        </w:rPr>
        <w:t>-</w:t>
      </w:r>
      <w:r w:rsidR="00976FDC" w:rsidRPr="00466924">
        <w:rPr>
          <w:color w:val="auto"/>
        </w:rPr>
        <w:t>low carbon zones</w:t>
      </w:r>
      <w:r w:rsidR="00491D7C">
        <w:rPr>
          <w:color w:val="auto"/>
        </w:rPr>
        <w:t>,</w:t>
      </w:r>
      <w:r w:rsidR="003349F8" w:rsidRPr="00466924">
        <w:rPr>
          <w:color w:val="auto"/>
        </w:rPr>
        <w:t xml:space="preserve"> equal access to the proceeds</w:t>
      </w:r>
      <w:r w:rsidR="00821406" w:rsidRPr="00466924">
        <w:rPr>
          <w:color w:val="auto"/>
        </w:rPr>
        <w:t xml:space="preserve"> </w:t>
      </w:r>
      <w:r w:rsidR="00934532" w:rsidRPr="00466924">
        <w:rPr>
          <w:color w:val="auto"/>
        </w:rPr>
        <w:t>of the wealth</w:t>
      </w:r>
      <w:r w:rsidR="00821406" w:rsidRPr="00466924">
        <w:rPr>
          <w:color w:val="auto"/>
        </w:rPr>
        <w:t xml:space="preserve"> th</w:t>
      </w:r>
      <w:r w:rsidR="00A61D87" w:rsidRPr="00466924">
        <w:rPr>
          <w:color w:val="auto"/>
        </w:rPr>
        <w:t>e</w:t>
      </w:r>
      <w:r w:rsidR="003C69AB" w:rsidRPr="00466924">
        <w:rPr>
          <w:color w:val="auto"/>
        </w:rPr>
        <w:t>y</w:t>
      </w:r>
      <w:r w:rsidR="00835C65" w:rsidRPr="00466924">
        <w:rPr>
          <w:color w:val="auto"/>
        </w:rPr>
        <w:t xml:space="preserve"> create, </w:t>
      </w:r>
      <w:r w:rsidR="00491D7C">
        <w:rPr>
          <w:color w:val="auto"/>
        </w:rPr>
        <w:t xml:space="preserve">but </w:t>
      </w:r>
      <w:r w:rsidR="00BA4950">
        <w:rPr>
          <w:color w:val="auto"/>
        </w:rPr>
        <w:t>the structure of tenure in the housing market does</w:t>
      </w:r>
      <w:r w:rsidR="00F375C8">
        <w:rPr>
          <w:color w:val="auto"/>
        </w:rPr>
        <w:t xml:space="preserve"> not </w:t>
      </w:r>
      <w:r w:rsidR="00AB6228">
        <w:rPr>
          <w:color w:val="auto"/>
        </w:rPr>
        <w:t>legally</w:t>
      </w:r>
      <w:r w:rsidR="00491D7C">
        <w:rPr>
          <w:color w:val="auto"/>
        </w:rPr>
        <w:t xml:space="preserve"> </w:t>
      </w:r>
      <w:r w:rsidR="00F375C8">
        <w:rPr>
          <w:color w:val="auto"/>
        </w:rPr>
        <w:t xml:space="preserve">guarantee </w:t>
      </w:r>
      <w:r w:rsidR="00BA4950">
        <w:rPr>
          <w:color w:val="auto"/>
        </w:rPr>
        <w:t xml:space="preserve">them </w:t>
      </w:r>
      <w:r w:rsidR="00BF6E8B">
        <w:rPr>
          <w:color w:val="auto"/>
        </w:rPr>
        <w:t xml:space="preserve">a right </w:t>
      </w:r>
      <w:r w:rsidR="00CB0986">
        <w:rPr>
          <w:color w:val="auto"/>
        </w:rPr>
        <w:t>to</w:t>
      </w:r>
      <w:r w:rsidR="00BA4950">
        <w:rPr>
          <w:color w:val="auto"/>
        </w:rPr>
        <w:t>. Does n</w:t>
      </w:r>
      <w:r w:rsidR="00F375C8">
        <w:rPr>
          <w:color w:val="auto"/>
        </w:rPr>
        <w:t xml:space="preserve">ot </w:t>
      </w:r>
      <w:r w:rsidR="00AB6228">
        <w:rPr>
          <w:color w:val="auto"/>
        </w:rPr>
        <w:t>legally</w:t>
      </w:r>
      <w:r w:rsidR="00F375C8">
        <w:rPr>
          <w:color w:val="auto"/>
        </w:rPr>
        <w:t xml:space="preserve"> guarantee </w:t>
      </w:r>
      <w:r w:rsidR="00BA4950">
        <w:rPr>
          <w:color w:val="auto"/>
        </w:rPr>
        <w:t xml:space="preserve">them </w:t>
      </w:r>
      <w:r w:rsidR="00BF6E8B">
        <w:rPr>
          <w:color w:val="auto"/>
        </w:rPr>
        <w:t>a right of access</w:t>
      </w:r>
      <w:r w:rsidR="004809BB">
        <w:rPr>
          <w:color w:val="auto"/>
        </w:rPr>
        <w:t xml:space="preserve"> to</w:t>
      </w:r>
      <w:r w:rsidR="00491D7C">
        <w:rPr>
          <w:color w:val="auto"/>
        </w:rPr>
        <w:t xml:space="preserve">, </w:t>
      </w:r>
      <w:r w:rsidR="00BF6E8B" w:rsidRPr="00466924">
        <w:rPr>
          <w:color w:val="auto"/>
        </w:rPr>
        <w:t>but</w:t>
      </w:r>
      <w:r w:rsidR="00491D7C">
        <w:rPr>
          <w:color w:val="auto"/>
        </w:rPr>
        <w:t xml:space="preserve"> </w:t>
      </w:r>
      <w:r w:rsidR="00BA4950">
        <w:rPr>
          <w:color w:val="auto"/>
        </w:rPr>
        <w:t>still</w:t>
      </w:r>
      <w:r w:rsidR="00491D7C">
        <w:rPr>
          <w:color w:val="auto"/>
        </w:rPr>
        <w:t xml:space="preserve"> </w:t>
      </w:r>
      <w:r w:rsidR="00835C65" w:rsidRPr="00466924">
        <w:rPr>
          <w:color w:val="auto"/>
        </w:rPr>
        <w:t>expect</w:t>
      </w:r>
      <w:r w:rsidR="00BA4950">
        <w:rPr>
          <w:color w:val="auto"/>
        </w:rPr>
        <w:t xml:space="preserve">s them </w:t>
      </w:r>
      <w:r w:rsidR="00835C65" w:rsidRPr="00466924">
        <w:rPr>
          <w:color w:val="auto"/>
        </w:rPr>
        <w:t xml:space="preserve">to </w:t>
      </w:r>
      <w:r w:rsidR="00F375C8">
        <w:rPr>
          <w:color w:val="auto"/>
        </w:rPr>
        <w:t>bear</w:t>
      </w:r>
      <w:r w:rsidR="00835C65" w:rsidRPr="00466924">
        <w:rPr>
          <w:color w:val="auto"/>
        </w:rPr>
        <w:t xml:space="preserve"> the cost of</w:t>
      </w:r>
      <w:r w:rsidR="00491D7C">
        <w:rPr>
          <w:color w:val="auto"/>
        </w:rPr>
        <w:t xml:space="preserve"> </w:t>
      </w:r>
      <w:r w:rsidR="0081047A">
        <w:rPr>
          <w:color w:val="auto"/>
        </w:rPr>
        <w:t xml:space="preserve">any such exclusion </w:t>
      </w:r>
      <w:r w:rsidR="00491D7C">
        <w:rPr>
          <w:color w:val="auto"/>
        </w:rPr>
        <w:t xml:space="preserve">as </w:t>
      </w:r>
      <w:r w:rsidR="000941BB">
        <w:rPr>
          <w:color w:val="auto"/>
        </w:rPr>
        <w:t>th</w:t>
      </w:r>
      <w:r w:rsidR="0081047A">
        <w:rPr>
          <w:color w:val="auto"/>
        </w:rPr>
        <w:t>ose</w:t>
      </w:r>
      <w:r w:rsidR="000941BB">
        <w:rPr>
          <w:color w:val="auto"/>
        </w:rPr>
        <w:t xml:space="preserve"> </w:t>
      </w:r>
      <w:r w:rsidR="00491D7C">
        <w:rPr>
          <w:color w:val="auto"/>
        </w:rPr>
        <w:t xml:space="preserve">occupants of the residential </w:t>
      </w:r>
      <w:r w:rsidR="00522E86">
        <w:rPr>
          <w:color w:val="auto"/>
        </w:rPr>
        <w:t xml:space="preserve">property sector </w:t>
      </w:r>
      <w:r w:rsidR="00F375C8">
        <w:rPr>
          <w:color w:val="auto"/>
        </w:rPr>
        <w:t>left in</w:t>
      </w:r>
      <w:r w:rsidR="00522E86">
        <w:rPr>
          <w:color w:val="auto"/>
        </w:rPr>
        <w:t xml:space="preserve"> fuel poverty</w:t>
      </w:r>
      <w:r w:rsidR="00B625B7" w:rsidRPr="00466924">
        <w:rPr>
          <w:color w:val="auto"/>
        </w:rPr>
        <w:t>.</w:t>
      </w:r>
      <w:r w:rsidR="00203F1D" w:rsidRPr="00466924">
        <w:rPr>
          <w:color w:val="auto"/>
        </w:rPr>
        <w:t xml:space="preserve"> </w:t>
      </w:r>
    </w:p>
    <w:p w14:paraId="55ABA9DF" w14:textId="77777777" w:rsidR="00AA28CB" w:rsidRPr="00466924" w:rsidRDefault="00AA28CB" w:rsidP="00AA28CB">
      <w:pPr>
        <w:pStyle w:val="Tabletext"/>
        <w:spacing w:before="0" w:after="0"/>
        <w:jc w:val="left"/>
        <w:rPr>
          <w:color w:val="auto"/>
        </w:rPr>
      </w:pPr>
    </w:p>
    <w:p w14:paraId="35A0B77D" w14:textId="77777777" w:rsidR="004809BB" w:rsidRDefault="00C96333" w:rsidP="00202155">
      <w:pPr>
        <w:pStyle w:val="Tabletext"/>
        <w:spacing w:before="0" w:after="0"/>
        <w:jc w:val="left"/>
        <w:rPr>
          <w:color w:val="800000"/>
        </w:rPr>
      </w:pPr>
      <w:r w:rsidRPr="00466924">
        <w:rPr>
          <w:color w:val="auto"/>
        </w:rPr>
        <w:t xml:space="preserve">If we are to avoid </w:t>
      </w:r>
      <w:r w:rsidR="00F3785D" w:rsidRPr="00466924">
        <w:rPr>
          <w:color w:val="auto"/>
        </w:rPr>
        <w:t xml:space="preserve">the potential such divisions have to </w:t>
      </w:r>
      <w:r w:rsidR="002601C2" w:rsidRPr="00466924">
        <w:rPr>
          <w:color w:val="auto"/>
        </w:rPr>
        <w:t>de-stabi</w:t>
      </w:r>
      <w:r w:rsidR="00F3785D" w:rsidRPr="00466924">
        <w:rPr>
          <w:color w:val="auto"/>
        </w:rPr>
        <w:t xml:space="preserve">lise </w:t>
      </w:r>
      <w:r w:rsidR="006C2226">
        <w:rPr>
          <w:color w:val="auto"/>
        </w:rPr>
        <w:t xml:space="preserve">such a process of </w:t>
      </w:r>
      <w:r w:rsidR="00F3785D" w:rsidRPr="00466924">
        <w:rPr>
          <w:color w:val="auto"/>
        </w:rPr>
        <w:t>regional innovation</w:t>
      </w:r>
      <w:r w:rsidRPr="00466924">
        <w:rPr>
          <w:color w:val="auto"/>
        </w:rPr>
        <w:t xml:space="preserve">, then </w:t>
      </w:r>
      <w:r w:rsidR="00A86FED" w:rsidRPr="00466924">
        <w:rPr>
          <w:color w:val="auto"/>
        </w:rPr>
        <w:t>the struct</w:t>
      </w:r>
      <w:r w:rsidR="00031F3C" w:rsidRPr="00466924">
        <w:rPr>
          <w:color w:val="auto"/>
        </w:rPr>
        <w:t xml:space="preserve">ure of tenure </w:t>
      </w:r>
      <w:r w:rsidR="00522E86">
        <w:rPr>
          <w:color w:val="auto"/>
        </w:rPr>
        <w:t xml:space="preserve">in the housing market </w:t>
      </w:r>
      <w:r w:rsidRPr="00466924">
        <w:rPr>
          <w:color w:val="auto"/>
        </w:rPr>
        <w:t>has to be removed as</w:t>
      </w:r>
      <w:r w:rsidR="00031F3C" w:rsidRPr="00466924">
        <w:rPr>
          <w:color w:val="auto"/>
        </w:rPr>
        <w:t xml:space="preserve"> a basis </w:t>
      </w:r>
      <w:r w:rsidR="00934532" w:rsidRPr="00466924">
        <w:rPr>
          <w:color w:val="auto"/>
        </w:rPr>
        <w:t xml:space="preserve">to govern the </w:t>
      </w:r>
      <w:r w:rsidR="000941BB">
        <w:rPr>
          <w:color w:val="auto"/>
        </w:rPr>
        <w:t xml:space="preserve">distribution of </w:t>
      </w:r>
      <w:r w:rsidR="00934532" w:rsidRPr="00466924">
        <w:rPr>
          <w:color w:val="auto"/>
        </w:rPr>
        <w:t xml:space="preserve">wealth created </w:t>
      </w:r>
      <w:r w:rsidR="00AB6228">
        <w:rPr>
          <w:color w:val="auto"/>
        </w:rPr>
        <w:t>f</w:t>
      </w:r>
      <w:r w:rsidR="00CB0986">
        <w:rPr>
          <w:color w:val="auto"/>
        </w:rPr>
        <w:t>rom</w:t>
      </w:r>
      <w:r w:rsidR="00031F3C" w:rsidRPr="00466924">
        <w:rPr>
          <w:color w:val="auto"/>
        </w:rPr>
        <w:t xml:space="preserve"> mass retrofit</w:t>
      </w:r>
      <w:r w:rsidR="00934532" w:rsidRPr="00466924">
        <w:rPr>
          <w:color w:val="auto"/>
        </w:rPr>
        <w:t xml:space="preserve"> proposals</w:t>
      </w:r>
      <w:r w:rsidR="009C7AC2">
        <w:rPr>
          <w:color w:val="auto"/>
        </w:rPr>
        <w:t>. T</w:t>
      </w:r>
      <w:r w:rsidRPr="00466924">
        <w:rPr>
          <w:color w:val="auto"/>
        </w:rPr>
        <w:t xml:space="preserve">his means </w:t>
      </w:r>
      <w:r w:rsidR="00821406" w:rsidRPr="00466924">
        <w:rPr>
          <w:color w:val="auto"/>
        </w:rPr>
        <w:t>ground</w:t>
      </w:r>
      <w:r w:rsidRPr="00466924">
        <w:rPr>
          <w:color w:val="auto"/>
        </w:rPr>
        <w:t>ing</w:t>
      </w:r>
      <w:r w:rsidR="00E235F3" w:rsidRPr="00466924">
        <w:rPr>
          <w:color w:val="auto"/>
        </w:rPr>
        <w:t xml:space="preserve"> </w:t>
      </w:r>
      <w:r w:rsidR="00BA4950">
        <w:rPr>
          <w:color w:val="auto"/>
        </w:rPr>
        <w:t xml:space="preserve">the </w:t>
      </w:r>
      <w:r w:rsidR="00BE0B74">
        <w:rPr>
          <w:color w:val="auto"/>
        </w:rPr>
        <w:t xml:space="preserve">distribution of wealth created from such a regional innovation, </w:t>
      </w:r>
      <w:r w:rsidR="009C7AC2">
        <w:rPr>
          <w:color w:val="auto"/>
        </w:rPr>
        <w:t>not in the structure</w:t>
      </w:r>
      <w:r w:rsidR="00EE2EFF">
        <w:rPr>
          <w:color w:val="auto"/>
        </w:rPr>
        <w:t>s</w:t>
      </w:r>
      <w:r w:rsidR="009C7AC2">
        <w:rPr>
          <w:color w:val="auto"/>
        </w:rPr>
        <w:t xml:space="preserve"> of tenure, but instead </w:t>
      </w:r>
      <w:r w:rsidR="00F3785D" w:rsidRPr="00466924">
        <w:rPr>
          <w:color w:val="auto"/>
        </w:rPr>
        <w:t xml:space="preserve">in the urban morphology of </w:t>
      </w:r>
      <w:r w:rsidR="00821406" w:rsidRPr="00466924">
        <w:rPr>
          <w:color w:val="auto"/>
        </w:rPr>
        <w:t xml:space="preserve">the </w:t>
      </w:r>
      <w:r w:rsidR="009752E5" w:rsidRPr="00466924">
        <w:rPr>
          <w:color w:val="auto"/>
        </w:rPr>
        <w:t>so</w:t>
      </w:r>
      <w:r w:rsidR="002F4938" w:rsidRPr="00466924">
        <w:rPr>
          <w:color w:val="auto"/>
        </w:rPr>
        <w:t>cio-demographic structure</w:t>
      </w:r>
      <w:r w:rsidR="00516816">
        <w:rPr>
          <w:color w:val="auto"/>
        </w:rPr>
        <w:t xml:space="preserve"> retrofit</w:t>
      </w:r>
      <w:r w:rsidR="00CF41BD">
        <w:rPr>
          <w:color w:val="auto"/>
        </w:rPr>
        <w:t xml:space="preserve"> proposals</w:t>
      </w:r>
      <w:r w:rsidR="00516816">
        <w:rPr>
          <w:color w:val="auto"/>
        </w:rPr>
        <w:t xml:space="preserve"> </w:t>
      </w:r>
      <w:r w:rsidR="00AB158E">
        <w:rPr>
          <w:color w:val="auto"/>
        </w:rPr>
        <w:t>their</w:t>
      </w:r>
      <w:r w:rsidR="009B103C">
        <w:rPr>
          <w:color w:val="auto"/>
        </w:rPr>
        <w:t xml:space="preserve"> inclusive growth </w:t>
      </w:r>
      <w:r w:rsidR="00EE2EFF">
        <w:rPr>
          <w:color w:val="auto"/>
        </w:rPr>
        <w:t xml:space="preserve">either </w:t>
      </w:r>
      <w:r w:rsidR="004809BB">
        <w:rPr>
          <w:color w:val="auto"/>
        </w:rPr>
        <w:t xml:space="preserve">stand </w:t>
      </w:r>
      <w:r w:rsidR="00EE2EFF">
        <w:rPr>
          <w:color w:val="auto"/>
        </w:rPr>
        <w:t xml:space="preserve">or fall </w:t>
      </w:r>
      <w:r w:rsidR="004809BB">
        <w:rPr>
          <w:color w:val="auto"/>
        </w:rPr>
        <w:t>on</w:t>
      </w:r>
      <w:r w:rsidR="00DE4A32">
        <w:rPr>
          <w:color w:val="auto"/>
        </w:rPr>
        <w:t xml:space="preserve">. </w:t>
      </w:r>
      <w:r w:rsidR="00232A08">
        <w:rPr>
          <w:color w:val="auto"/>
        </w:rPr>
        <w:t>I</w:t>
      </w:r>
      <w:r w:rsidR="00DE4A32">
        <w:rPr>
          <w:color w:val="auto"/>
        </w:rPr>
        <w:t xml:space="preserve">n </w:t>
      </w:r>
      <w:r w:rsidR="00232A08">
        <w:rPr>
          <w:color w:val="auto"/>
        </w:rPr>
        <w:t xml:space="preserve">the urban morphology of </w:t>
      </w:r>
      <w:r w:rsidR="00516816">
        <w:rPr>
          <w:color w:val="auto"/>
        </w:rPr>
        <w:t xml:space="preserve">those </w:t>
      </w:r>
      <w:r w:rsidR="00DE4A32">
        <w:rPr>
          <w:color w:val="auto"/>
        </w:rPr>
        <w:t xml:space="preserve">socio-demographic structures, </w:t>
      </w:r>
      <w:r w:rsidR="00582FBF" w:rsidRPr="00466924">
        <w:rPr>
          <w:color w:val="auto"/>
        </w:rPr>
        <w:t xml:space="preserve">which not only </w:t>
      </w:r>
      <w:r w:rsidR="00516816">
        <w:rPr>
          <w:color w:val="auto"/>
        </w:rPr>
        <w:t>baseline the environmental profile of the retrofit</w:t>
      </w:r>
      <w:r w:rsidR="006C2226">
        <w:rPr>
          <w:color w:val="auto"/>
        </w:rPr>
        <w:t xml:space="preserve"> proposal</w:t>
      </w:r>
      <w:r w:rsidR="00516816">
        <w:rPr>
          <w:color w:val="auto"/>
        </w:rPr>
        <w:t xml:space="preserve">, but also </w:t>
      </w:r>
      <w:r w:rsidR="00582FBF" w:rsidRPr="00466924">
        <w:rPr>
          <w:color w:val="auto"/>
        </w:rPr>
        <w:t xml:space="preserve">under-grid the sustainability of </w:t>
      </w:r>
      <w:r w:rsidR="00516816">
        <w:rPr>
          <w:color w:val="auto"/>
        </w:rPr>
        <w:t xml:space="preserve">the very </w:t>
      </w:r>
      <w:r w:rsidR="009752E5" w:rsidRPr="00466924">
        <w:rPr>
          <w:color w:val="auto"/>
        </w:rPr>
        <w:t>city-districts</w:t>
      </w:r>
      <w:r w:rsidR="00516816">
        <w:rPr>
          <w:color w:val="auto"/>
        </w:rPr>
        <w:t xml:space="preserve"> that </w:t>
      </w:r>
      <w:r w:rsidR="00582FBF" w:rsidRPr="00466924">
        <w:rPr>
          <w:color w:val="auto"/>
        </w:rPr>
        <w:t xml:space="preserve">support </w:t>
      </w:r>
      <w:r w:rsidR="00AB6228">
        <w:rPr>
          <w:color w:val="auto"/>
        </w:rPr>
        <w:t xml:space="preserve">the development of </w:t>
      </w:r>
      <w:r w:rsidR="009752E5" w:rsidRPr="00466924">
        <w:rPr>
          <w:color w:val="auto"/>
        </w:rPr>
        <w:t>energy efficient-low carbon zones</w:t>
      </w:r>
      <w:r w:rsidR="00582FBF" w:rsidRPr="00466924">
        <w:rPr>
          <w:color w:val="auto"/>
        </w:rPr>
        <w:t xml:space="preserve"> </w:t>
      </w:r>
      <w:r w:rsidR="00AB6228">
        <w:rPr>
          <w:color w:val="auto"/>
        </w:rPr>
        <w:t>as an inclusive growth</w:t>
      </w:r>
      <w:r w:rsidR="004809BB">
        <w:rPr>
          <w:color w:val="auto"/>
        </w:rPr>
        <w:t xml:space="preserve"> strategy</w:t>
      </w:r>
      <w:r w:rsidR="00080D78" w:rsidRPr="00466924">
        <w:rPr>
          <w:color w:val="auto"/>
        </w:rPr>
        <w:t>.</w:t>
      </w:r>
      <w:r w:rsidR="005E6CA8" w:rsidRPr="00466924">
        <w:rPr>
          <w:color w:val="auto"/>
        </w:rPr>
        <w:t xml:space="preserve"> For it is only</w:t>
      </w:r>
      <w:r w:rsidR="00031F3C" w:rsidRPr="00466924">
        <w:rPr>
          <w:color w:val="auto"/>
        </w:rPr>
        <w:t xml:space="preserve"> in base-lining</w:t>
      </w:r>
      <w:r w:rsidR="005E6CA8" w:rsidRPr="00466924">
        <w:rPr>
          <w:color w:val="auto"/>
        </w:rPr>
        <w:t xml:space="preserve"> </w:t>
      </w:r>
      <w:r w:rsidR="00F3785D" w:rsidRPr="00466924">
        <w:rPr>
          <w:color w:val="auto"/>
        </w:rPr>
        <w:t xml:space="preserve">the urban morphology of </w:t>
      </w:r>
      <w:r w:rsidR="005E6CA8" w:rsidRPr="00466924">
        <w:rPr>
          <w:color w:val="auto"/>
        </w:rPr>
        <w:t>these</w:t>
      </w:r>
      <w:r w:rsidR="002D284B" w:rsidRPr="00466924">
        <w:rPr>
          <w:color w:val="auto"/>
        </w:rPr>
        <w:t xml:space="preserve"> structures, profiles and zones</w:t>
      </w:r>
      <w:r w:rsidR="00080D78" w:rsidRPr="00466924">
        <w:rPr>
          <w:color w:val="auto"/>
        </w:rPr>
        <w:t>,</w:t>
      </w:r>
      <w:r w:rsidR="002D284B" w:rsidRPr="00466924">
        <w:rPr>
          <w:color w:val="auto"/>
        </w:rPr>
        <w:t xml:space="preserve"> </w:t>
      </w:r>
      <w:r w:rsidR="00CB0986">
        <w:rPr>
          <w:color w:val="auto"/>
        </w:rPr>
        <w:t>that</w:t>
      </w:r>
      <w:r w:rsidR="005E6CA8" w:rsidRPr="00466924">
        <w:rPr>
          <w:color w:val="auto"/>
        </w:rPr>
        <w:t xml:space="preserve"> </w:t>
      </w:r>
      <w:r w:rsidR="00031F3C" w:rsidRPr="00466924">
        <w:rPr>
          <w:color w:val="auto"/>
        </w:rPr>
        <w:t xml:space="preserve">it </w:t>
      </w:r>
      <w:r w:rsidR="00CB0986">
        <w:rPr>
          <w:color w:val="auto"/>
        </w:rPr>
        <w:t xml:space="preserve">subsequently </w:t>
      </w:r>
      <w:r w:rsidR="00031F3C" w:rsidRPr="00466924">
        <w:rPr>
          <w:color w:val="auto"/>
        </w:rPr>
        <w:t>becomes possible</w:t>
      </w:r>
      <w:r w:rsidR="00835C65" w:rsidRPr="00466924">
        <w:rPr>
          <w:color w:val="auto"/>
        </w:rPr>
        <w:t xml:space="preserve"> </w:t>
      </w:r>
      <w:r w:rsidR="001808DD">
        <w:rPr>
          <w:color w:val="auto"/>
        </w:rPr>
        <w:t xml:space="preserve">for </w:t>
      </w:r>
      <w:r w:rsidR="000A7220">
        <w:rPr>
          <w:color w:val="auto"/>
        </w:rPr>
        <w:t xml:space="preserve">the process </w:t>
      </w:r>
      <w:r w:rsidR="005F537F">
        <w:rPr>
          <w:color w:val="auto"/>
        </w:rPr>
        <w:t>of</w:t>
      </w:r>
      <w:r w:rsidR="000A7220">
        <w:rPr>
          <w:color w:val="auto"/>
        </w:rPr>
        <w:t xml:space="preserve"> </w:t>
      </w:r>
      <w:r w:rsidR="001808DD">
        <w:rPr>
          <w:color w:val="auto"/>
        </w:rPr>
        <w:t xml:space="preserve">wealth creation </w:t>
      </w:r>
      <w:r w:rsidR="00031F3C" w:rsidRPr="00466924">
        <w:rPr>
          <w:color w:val="auto"/>
        </w:rPr>
        <w:t>to</w:t>
      </w:r>
      <w:r w:rsidR="00447911" w:rsidRPr="00466924">
        <w:rPr>
          <w:color w:val="auto"/>
        </w:rPr>
        <w:t xml:space="preserve"> </w:t>
      </w:r>
      <w:r w:rsidR="00F05890" w:rsidRPr="00466924">
        <w:rPr>
          <w:color w:val="auto"/>
        </w:rPr>
        <w:t>break with the limitations</w:t>
      </w:r>
      <w:r w:rsidR="002D284B" w:rsidRPr="00466924">
        <w:rPr>
          <w:color w:val="auto"/>
        </w:rPr>
        <w:t xml:space="preserve"> o</w:t>
      </w:r>
      <w:r w:rsidR="00821406" w:rsidRPr="00466924">
        <w:rPr>
          <w:color w:val="auto"/>
        </w:rPr>
        <w:t xml:space="preserve">f the </w:t>
      </w:r>
      <w:r w:rsidR="00E25076" w:rsidRPr="00466924">
        <w:rPr>
          <w:color w:val="auto"/>
        </w:rPr>
        <w:t>meta-stabilisations</w:t>
      </w:r>
      <w:r w:rsidR="00516816">
        <w:rPr>
          <w:color w:val="auto"/>
        </w:rPr>
        <w:t>, which</w:t>
      </w:r>
      <w:r w:rsidR="00E25076" w:rsidRPr="00466924">
        <w:rPr>
          <w:color w:val="auto"/>
        </w:rPr>
        <w:t xml:space="preserve"> </w:t>
      </w:r>
      <w:r w:rsidR="00821406" w:rsidRPr="00466924">
        <w:rPr>
          <w:color w:val="auto"/>
        </w:rPr>
        <w:t xml:space="preserve">smart cities </w:t>
      </w:r>
      <w:r w:rsidR="00E25076" w:rsidRPr="00466924">
        <w:rPr>
          <w:color w:val="auto"/>
        </w:rPr>
        <w:t>currently</w:t>
      </w:r>
      <w:r w:rsidR="0081047A">
        <w:rPr>
          <w:color w:val="auto"/>
        </w:rPr>
        <w:t xml:space="preserve"> </w:t>
      </w:r>
      <w:r w:rsidR="006C2226">
        <w:rPr>
          <w:color w:val="auto"/>
        </w:rPr>
        <w:t>market as the attributes of digital infrastructures</w:t>
      </w:r>
      <w:r w:rsidR="00AB158E">
        <w:rPr>
          <w:color w:val="auto"/>
        </w:rPr>
        <w:t>. Break with them</w:t>
      </w:r>
      <w:r w:rsidR="0081047A">
        <w:rPr>
          <w:color w:val="auto"/>
        </w:rPr>
        <w:t xml:space="preserve"> </w:t>
      </w:r>
      <w:r w:rsidR="00F04B4D" w:rsidRPr="00466924">
        <w:rPr>
          <w:color w:val="auto"/>
        </w:rPr>
        <w:t>and</w:t>
      </w:r>
      <w:r w:rsidR="00516816">
        <w:rPr>
          <w:color w:val="auto"/>
        </w:rPr>
        <w:t xml:space="preserve"> </w:t>
      </w:r>
      <w:r w:rsidR="000A7220">
        <w:rPr>
          <w:color w:val="auto"/>
        </w:rPr>
        <w:t>allow</w:t>
      </w:r>
      <w:r w:rsidR="001808DD">
        <w:rPr>
          <w:color w:val="auto"/>
        </w:rPr>
        <w:t xml:space="preserve"> </w:t>
      </w:r>
      <w:r w:rsidR="006C2226">
        <w:rPr>
          <w:color w:val="auto"/>
        </w:rPr>
        <w:t>the data management systems of</w:t>
      </w:r>
      <w:r w:rsidR="00A94DF9">
        <w:rPr>
          <w:color w:val="auto"/>
        </w:rPr>
        <w:t xml:space="preserve"> renewable energies </w:t>
      </w:r>
      <w:r w:rsidR="001808DD">
        <w:rPr>
          <w:color w:val="auto"/>
        </w:rPr>
        <w:t>to</w:t>
      </w:r>
      <w:r w:rsidR="00C32BA5">
        <w:rPr>
          <w:color w:val="auto"/>
        </w:rPr>
        <w:t xml:space="preserve"> </w:t>
      </w:r>
      <w:r w:rsidR="00CF41BD">
        <w:rPr>
          <w:color w:val="auto"/>
        </w:rPr>
        <w:t>under-grid</w:t>
      </w:r>
      <w:r w:rsidR="00F04B4D" w:rsidRPr="00466924">
        <w:rPr>
          <w:color w:val="auto"/>
        </w:rPr>
        <w:t xml:space="preserve"> the </w:t>
      </w:r>
      <w:r w:rsidR="00EF47A2" w:rsidRPr="00466924">
        <w:rPr>
          <w:color w:val="auto"/>
        </w:rPr>
        <w:t>value of th</w:t>
      </w:r>
      <w:r w:rsidR="00EE2EFF">
        <w:rPr>
          <w:color w:val="auto"/>
        </w:rPr>
        <w:t>at</w:t>
      </w:r>
      <w:r w:rsidR="00D7311C" w:rsidRPr="00466924">
        <w:rPr>
          <w:color w:val="auto"/>
        </w:rPr>
        <w:t xml:space="preserve"> sustainability</w:t>
      </w:r>
      <w:r w:rsidR="00AB158E">
        <w:rPr>
          <w:color w:val="auto"/>
        </w:rPr>
        <w:t xml:space="preserve"> on</w:t>
      </w:r>
      <w:r w:rsidR="00EE2EFF">
        <w:rPr>
          <w:color w:val="auto"/>
        </w:rPr>
        <w:t xml:space="preserve"> which </w:t>
      </w:r>
      <w:r w:rsidR="00F04B4D" w:rsidRPr="00466924">
        <w:rPr>
          <w:color w:val="auto"/>
        </w:rPr>
        <w:t>t</w:t>
      </w:r>
      <w:r w:rsidR="00A94DF9">
        <w:rPr>
          <w:color w:val="auto"/>
        </w:rPr>
        <w:t>he</w:t>
      </w:r>
      <w:r w:rsidR="00EE2EFF">
        <w:rPr>
          <w:color w:val="auto"/>
        </w:rPr>
        <w:t xml:space="preserve"> cloud computing of this</w:t>
      </w:r>
      <w:r w:rsidR="00A94DF9">
        <w:rPr>
          <w:color w:val="auto"/>
        </w:rPr>
        <w:t xml:space="preserve"> IoT </w:t>
      </w:r>
      <w:r w:rsidR="00EE2EFF">
        <w:rPr>
          <w:color w:val="auto"/>
        </w:rPr>
        <w:t>stand</w:t>
      </w:r>
      <w:r w:rsidR="00031F3C" w:rsidRPr="00466924">
        <w:rPr>
          <w:color w:val="auto"/>
        </w:rPr>
        <w:t>.</w:t>
      </w:r>
      <w:r w:rsidR="00EF47A2" w:rsidRPr="00E95EEB">
        <w:rPr>
          <w:color w:val="800000"/>
        </w:rPr>
        <w:t xml:space="preserve"> </w:t>
      </w:r>
    </w:p>
    <w:p w14:paraId="71AC0A54" w14:textId="77777777" w:rsidR="004809BB" w:rsidRDefault="004809BB" w:rsidP="00202155">
      <w:pPr>
        <w:pStyle w:val="Tabletext"/>
        <w:spacing w:before="0" w:after="0"/>
        <w:jc w:val="left"/>
        <w:rPr>
          <w:color w:val="800000"/>
        </w:rPr>
      </w:pPr>
    </w:p>
    <w:p w14:paraId="70152323" w14:textId="6A75125A" w:rsidR="00F7013F" w:rsidRDefault="005F2915" w:rsidP="00810343">
      <w:pPr>
        <w:pStyle w:val="Tabletext"/>
        <w:spacing w:before="0" w:after="0"/>
        <w:jc w:val="left"/>
        <w:rPr>
          <w:lang w:val="en-US" w:eastAsia="en-GB"/>
        </w:rPr>
      </w:pPr>
      <w:r w:rsidRPr="004D7FB3">
        <w:rPr>
          <w:color w:val="auto"/>
        </w:rPr>
        <w:t xml:space="preserve">In that sense, </w:t>
      </w:r>
      <w:r w:rsidR="00EE2EFF">
        <w:rPr>
          <w:color w:val="auto"/>
        </w:rPr>
        <w:t>stand as</w:t>
      </w:r>
      <w:r w:rsidR="00D7311C" w:rsidRPr="004D7FB3">
        <w:rPr>
          <w:color w:val="auto"/>
        </w:rPr>
        <w:t xml:space="preserve"> </w:t>
      </w:r>
      <w:r w:rsidR="006849A0" w:rsidRPr="004D7FB3">
        <w:rPr>
          <w:color w:val="auto"/>
        </w:rPr>
        <w:t>critical insight</w:t>
      </w:r>
      <w:r w:rsidR="00582FBF" w:rsidRPr="004D7FB3">
        <w:rPr>
          <w:color w:val="auto"/>
        </w:rPr>
        <w:t>s</w:t>
      </w:r>
      <w:r w:rsidR="00CF41BD">
        <w:rPr>
          <w:color w:val="auto"/>
        </w:rPr>
        <w:t xml:space="preserve"> </w:t>
      </w:r>
      <w:r w:rsidR="00EE2EFF">
        <w:rPr>
          <w:color w:val="auto"/>
        </w:rPr>
        <w:t>into the</w:t>
      </w:r>
      <w:r w:rsidR="002C6E4F">
        <w:rPr>
          <w:color w:val="auto"/>
        </w:rPr>
        <w:t xml:space="preserve"> meta-stabilisations </w:t>
      </w:r>
      <w:r w:rsidR="0081047A" w:rsidRPr="004D7FB3">
        <w:rPr>
          <w:color w:val="auto"/>
        </w:rPr>
        <w:t>future internet</w:t>
      </w:r>
      <w:r w:rsidR="00810343">
        <w:rPr>
          <w:color w:val="auto"/>
        </w:rPr>
        <w:t>-based</w:t>
      </w:r>
      <w:r w:rsidR="0081047A" w:rsidRPr="004D7FB3">
        <w:rPr>
          <w:color w:val="auto"/>
        </w:rPr>
        <w:t xml:space="preserve"> development</w:t>
      </w:r>
      <w:r w:rsidR="005D1826">
        <w:rPr>
          <w:color w:val="auto"/>
        </w:rPr>
        <w:t>s</w:t>
      </w:r>
      <w:r w:rsidR="00516816">
        <w:rPr>
          <w:color w:val="auto"/>
        </w:rPr>
        <w:t xml:space="preserve"> pioneer. Which </w:t>
      </w:r>
      <w:r w:rsidR="00EE2EFF">
        <w:rPr>
          <w:color w:val="auto"/>
        </w:rPr>
        <w:t>they</w:t>
      </w:r>
      <w:r w:rsidR="003F75BC">
        <w:rPr>
          <w:color w:val="auto"/>
        </w:rPr>
        <w:t xml:space="preserve"> pioneer</w:t>
      </w:r>
      <w:r w:rsidR="00CF41BD">
        <w:rPr>
          <w:color w:val="auto"/>
        </w:rPr>
        <w:t xml:space="preserve">, </w:t>
      </w:r>
      <w:r w:rsidR="00C92C08">
        <w:rPr>
          <w:color w:val="auto"/>
        </w:rPr>
        <w:t xml:space="preserve">it might well be added, </w:t>
      </w:r>
      <w:r w:rsidR="00CF41BD">
        <w:rPr>
          <w:color w:val="auto"/>
        </w:rPr>
        <w:t xml:space="preserve">not only </w:t>
      </w:r>
      <w:r w:rsidR="00516816">
        <w:rPr>
          <w:color w:val="auto"/>
        </w:rPr>
        <w:t xml:space="preserve">as the informatics </w:t>
      </w:r>
      <w:r w:rsidR="006C2226">
        <w:rPr>
          <w:color w:val="auto"/>
        </w:rPr>
        <w:t xml:space="preserve">(digital infrastructures and data management systems) </w:t>
      </w:r>
      <w:r w:rsidR="00516816">
        <w:rPr>
          <w:color w:val="auto"/>
        </w:rPr>
        <w:t>of f</w:t>
      </w:r>
      <w:r w:rsidR="003F75BC">
        <w:rPr>
          <w:color w:val="auto"/>
        </w:rPr>
        <w:t>uture internet</w:t>
      </w:r>
      <w:r w:rsidR="00516816">
        <w:rPr>
          <w:color w:val="auto"/>
        </w:rPr>
        <w:t xml:space="preserve"> developments, but</w:t>
      </w:r>
      <w:r w:rsidR="0011686F" w:rsidRPr="004D7FB3">
        <w:rPr>
          <w:color w:val="auto"/>
        </w:rPr>
        <w:t xml:space="preserve"> </w:t>
      </w:r>
      <w:r w:rsidR="00C2349C" w:rsidRPr="00E95EEB">
        <w:rPr>
          <w:color w:val="000000" w:themeColor="text1"/>
        </w:rPr>
        <w:t xml:space="preserve">energetic of </w:t>
      </w:r>
      <w:r w:rsidR="000A7220">
        <w:rPr>
          <w:color w:val="000000" w:themeColor="text1"/>
        </w:rPr>
        <w:t>a</w:t>
      </w:r>
      <w:r w:rsidR="00E95EEB" w:rsidRPr="00E95EEB">
        <w:rPr>
          <w:color w:val="000000" w:themeColor="text1"/>
        </w:rPr>
        <w:t xml:space="preserve"> </w:t>
      </w:r>
      <w:r w:rsidR="003F75BC">
        <w:rPr>
          <w:color w:val="000000" w:themeColor="text1"/>
        </w:rPr>
        <w:t xml:space="preserve">regional innovation whose </w:t>
      </w:r>
      <w:r w:rsidR="006C2226">
        <w:rPr>
          <w:color w:val="000000" w:themeColor="text1"/>
        </w:rPr>
        <w:t xml:space="preserve">creation of wealth </w:t>
      </w:r>
      <w:r w:rsidR="00B22673">
        <w:rPr>
          <w:color w:val="000000" w:themeColor="text1"/>
        </w:rPr>
        <w:t>from</w:t>
      </w:r>
      <w:r w:rsidR="006C2226">
        <w:rPr>
          <w:color w:val="000000" w:themeColor="text1"/>
        </w:rPr>
        <w:t xml:space="preserve"> renewable energies </w:t>
      </w:r>
      <w:r w:rsidR="00934532" w:rsidRPr="00E95EEB">
        <w:rPr>
          <w:color w:val="000000" w:themeColor="text1"/>
        </w:rPr>
        <w:t xml:space="preserve">currently </w:t>
      </w:r>
      <w:r w:rsidR="00C2349C" w:rsidRPr="00E95EEB">
        <w:rPr>
          <w:color w:val="000000" w:themeColor="text1"/>
        </w:rPr>
        <w:t>generates</w:t>
      </w:r>
      <w:r w:rsidR="00E17EAE" w:rsidRPr="00E95EEB">
        <w:rPr>
          <w:color w:val="000000" w:themeColor="text1"/>
        </w:rPr>
        <w:t xml:space="preserve"> inequalities</w:t>
      </w:r>
      <w:r w:rsidR="00AB54E2" w:rsidRPr="00E95EEB">
        <w:rPr>
          <w:color w:val="000000" w:themeColor="text1"/>
        </w:rPr>
        <w:t xml:space="preserve"> </w:t>
      </w:r>
      <w:r w:rsidR="00D67149">
        <w:rPr>
          <w:color w:val="000000" w:themeColor="text1"/>
        </w:rPr>
        <w:t>in</w:t>
      </w:r>
      <w:r w:rsidR="00C2349C" w:rsidRPr="00E95EEB">
        <w:rPr>
          <w:color w:val="000000" w:themeColor="text1"/>
        </w:rPr>
        <w:t xml:space="preserve"> the distribution </w:t>
      </w:r>
      <w:r w:rsidR="00AB54E2" w:rsidRPr="00E95EEB">
        <w:rPr>
          <w:color w:val="000000" w:themeColor="text1"/>
        </w:rPr>
        <w:t>of th</w:t>
      </w:r>
      <w:r w:rsidR="00EE2EFF">
        <w:rPr>
          <w:color w:val="000000" w:themeColor="text1"/>
        </w:rPr>
        <w:t>ose</w:t>
      </w:r>
      <w:r w:rsidR="006849A0" w:rsidRPr="00E95EEB">
        <w:rPr>
          <w:color w:val="000000" w:themeColor="text1"/>
        </w:rPr>
        <w:t xml:space="preserve"> costs an</w:t>
      </w:r>
      <w:r w:rsidR="00E235F3" w:rsidRPr="00E95EEB">
        <w:rPr>
          <w:color w:val="000000" w:themeColor="text1"/>
        </w:rPr>
        <w:t>d benefits</w:t>
      </w:r>
      <w:r w:rsidR="000A7220">
        <w:rPr>
          <w:color w:val="000000" w:themeColor="text1"/>
        </w:rPr>
        <w:t>,</w:t>
      </w:r>
      <w:r w:rsidR="003F75BC">
        <w:rPr>
          <w:color w:val="000000" w:themeColor="text1"/>
        </w:rPr>
        <w:t xml:space="preserve"> that</w:t>
      </w:r>
      <w:r w:rsidR="000A7220">
        <w:rPr>
          <w:color w:val="000000" w:themeColor="text1"/>
        </w:rPr>
        <w:t xml:space="preserve"> </w:t>
      </w:r>
      <w:r w:rsidR="001808DD">
        <w:rPr>
          <w:color w:val="000000" w:themeColor="text1"/>
        </w:rPr>
        <w:t xml:space="preserve">under-grid </w:t>
      </w:r>
      <w:r w:rsidR="00DC61DD" w:rsidRPr="00E95EEB">
        <w:rPr>
          <w:color w:val="000000" w:themeColor="text1"/>
        </w:rPr>
        <w:t>the sustainability</w:t>
      </w:r>
      <w:r w:rsidR="00613679" w:rsidRPr="00E95EEB">
        <w:rPr>
          <w:color w:val="000000" w:themeColor="text1"/>
        </w:rPr>
        <w:t xml:space="preserve"> of </w:t>
      </w:r>
      <w:r w:rsidR="00AA5C95" w:rsidRPr="00E95EEB">
        <w:rPr>
          <w:color w:val="000000" w:themeColor="text1"/>
        </w:rPr>
        <w:t xml:space="preserve">them as </w:t>
      </w:r>
      <w:r w:rsidR="00613679" w:rsidRPr="00E95EEB">
        <w:rPr>
          <w:color w:val="000000" w:themeColor="text1"/>
        </w:rPr>
        <w:t>city-districts</w:t>
      </w:r>
      <w:r w:rsidR="00C2349C" w:rsidRPr="00E95EEB">
        <w:rPr>
          <w:color w:val="000000" w:themeColor="text1"/>
        </w:rPr>
        <w:t xml:space="preserve">. </w:t>
      </w:r>
      <w:r w:rsidR="00CF41BD">
        <w:rPr>
          <w:color w:val="000000" w:themeColor="text1"/>
        </w:rPr>
        <w:t>C</w:t>
      </w:r>
      <w:r w:rsidR="003F75BC">
        <w:rPr>
          <w:color w:val="000000" w:themeColor="text1"/>
        </w:rPr>
        <w:t>o</w:t>
      </w:r>
      <w:r w:rsidR="00516816">
        <w:rPr>
          <w:color w:val="000000" w:themeColor="text1"/>
        </w:rPr>
        <w:t>st</w:t>
      </w:r>
      <w:r w:rsidR="003F75BC">
        <w:rPr>
          <w:color w:val="000000" w:themeColor="text1"/>
        </w:rPr>
        <w:t>s</w:t>
      </w:r>
      <w:r w:rsidR="00516816">
        <w:rPr>
          <w:color w:val="000000" w:themeColor="text1"/>
        </w:rPr>
        <w:t xml:space="preserve"> and benefits </w:t>
      </w:r>
      <w:r w:rsidR="00F05890" w:rsidRPr="00E95EEB">
        <w:rPr>
          <w:color w:val="000000" w:themeColor="text1"/>
        </w:rPr>
        <w:t>that</w:t>
      </w:r>
      <w:r w:rsidR="00C2349C" w:rsidRPr="00E95EEB">
        <w:rPr>
          <w:color w:val="000000" w:themeColor="text1"/>
        </w:rPr>
        <w:t xml:space="preserve"> if</w:t>
      </w:r>
      <w:r w:rsidR="008023FF" w:rsidRPr="00E95EEB">
        <w:rPr>
          <w:color w:val="000000" w:themeColor="text1"/>
        </w:rPr>
        <w:t xml:space="preserve"> left unaccounted for</w:t>
      </w:r>
      <w:r w:rsidR="003613E4" w:rsidRPr="00E95EEB">
        <w:rPr>
          <w:color w:val="000000" w:themeColor="text1"/>
        </w:rPr>
        <w:t xml:space="preserve"> </w:t>
      </w:r>
      <w:r w:rsidR="00E235F3" w:rsidRPr="00E95EEB">
        <w:rPr>
          <w:color w:val="000000" w:themeColor="text1"/>
        </w:rPr>
        <w:t>might</w:t>
      </w:r>
      <w:r w:rsidR="00447911" w:rsidRPr="00E95EEB">
        <w:rPr>
          <w:color w:val="000000" w:themeColor="text1"/>
        </w:rPr>
        <w:t xml:space="preserve"> </w:t>
      </w:r>
      <w:r w:rsidR="003F75BC">
        <w:rPr>
          <w:color w:val="000000" w:themeColor="text1"/>
        </w:rPr>
        <w:t>not only destabilise this regional innovation</w:t>
      </w:r>
      <w:r w:rsidR="00C4613E">
        <w:rPr>
          <w:color w:val="000000" w:themeColor="text1"/>
        </w:rPr>
        <w:t xml:space="preserve"> as a process of wealth creation</w:t>
      </w:r>
      <w:r w:rsidR="003F75BC">
        <w:rPr>
          <w:color w:val="000000" w:themeColor="text1"/>
        </w:rPr>
        <w:t xml:space="preserve">, but also </w:t>
      </w:r>
      <w:r w:rsidR="00447911" w:rsidRPr="00E95EEB">
        <w:rPr>
          <w:color w:val="000000" w:themeColor="text1"/>
        </w:rPr>
        <w:t>undermine</w:t>
      </w:r>
      <w:r w:rsidR="009D5511" w:rsidRPr="00E95EEB">
        <w:rPr>
          <w:color w:val="000000" w:themeColor="text1"/>
        </w:rPr>
        <w:t>, rather than under-grid</w:t>
      </w:r>
      <w:r w:rsidR="003F75BC">
        <w:rPr>
          <w:color w:val="000000" w:themeColor="text1"/>
        </w:rPr>
        <w:t xml:space="preserve"> </w:t>
      </w:r>
      <w:r w:rsidR="00447911" w:rsidRPr="00E95EEB">
        <w:rPr>
          <w:color w:val="000000" w:themeColor="text1"/>
        </w:rPr>
        <w:t xml:space="preserve">the sustainability </w:t>
      </w:r>
      <w:r w:rsidR="00DC61DD" w:rsidRPr="00E95EEB">
        <w:rPr>
          <w:color w:val="000000" w:themeColor="text1"/>
        </w:rPr>
        <w:t>of city-districts</w:t>
      </w:r>
      <w:r w:rsidR="00A41815" w:rsidRPr="00E95EEB">
        <w:rPr>
          <w:color w:val="000000" w:themeColor="text1"/>
        </w:rPr>
        <w:t xml:space="preserve">. </w:t>
      </w:r>
      <w:r w:rsidR="001808DD">
        <w:rPr>
          <w:color w:val="000000" w:themeColor="text1"/>
        </w:rPr>
        <w:t>U</w:t>
      </w:r>
      <w:r w:rsidR="00A41815" w:rsidRPr="00E95EEB">
        <w:rPr>
          <w:color w:val="000000" w:themeColor="text1"/>
        </w:rPr>
        <w:t>ndermine, rather than under-grid the sustainability of city-districts</w:t>
      </w:r>
      <w:r w:rsidR="00810343">
        <w:rPr>
          <w:color w:val="000000" w:themeColor="text1"/>
        </w:rPr>
        <w:t>,</w:t>
      </w:r>
      <w:r w:rsidR="00031F3C" w:rsidRPr="00E95EEB">
        <w:rPr>
          <w:color w:val="000000" w:themeColor="text1"/>
        </w:rPr>
        <w:t xml:space="preserve"> </w:t>
      </w:r>
      <w:r w:rsidR="0011686F">
        <w:rPr>
          <w:color w:val="000000" w:themeColor="text1"/>
        </w:rPr>
        <w:t xml:space="preserve">because the </w:t>
      </w:r>
      <w:r w:rsidR="00F74669">
        <w:rPr>
          <w:color w:val="000000" w:themeColor="text1"/>
        </w:rPr>
        <w:t>savings and reductions</w:t>
      </w:r>
      <w:r w:rsidR="00CF41BD">
        <w:rPr>
          <w:color w:val="000000" w:themeColor="text1"/>
        </w:rPr>
        <w:t>, which</w:t>
      </w:r>
      <w:r w:rsidR="00F74669">
        <w:rPr>
          <w:color w:val="000000" w:themeColor="text1"/>
        </w:rPr>
        <w:t xml:space="preserve"> </w:t>
      </w:r>
      <w:r w:rsidR="0011686F">
        <w:rPr>
          <w:color w:val="000000" w:themeColor="text1"/>
        </w:rPr>
        <w:t xml:space="preserve">energy efficient-low carbon zones </w:t>
      </w:r>
      <w:r w:rsidR="00CF41BD">
        <w:rPr>
          <w:color w:val="000000" w:themeColor="text1"/>
        </w:rPr>
        <w:t xml:space="preserve">generate </w:t>
      </w:r>
      <w:r w:rsidR="00AE04C9" w:rsidRPr="00E95EEB">
        <w:rPr>
          <w:color w:val="000000" w:themeColor="text1"/>
        </w:rPr>
        <w:t>maybe</w:t>
      </w:r>
      <w:r w:rsidR="006F06E7" w:rsidRPr="00E95EEB">
        <w:rPr>
          <w:color w:val="000000" w:themeColor="text1"/>
        </w:rPr>
        <w:t xml:space="preserve"> </w:t>
      </w:r>
      <w:r w:rsidR="0011686F">
        <w:rPr>
          <w:color w:val="000000" w:themeColor="text1"/>
        </w:rPr>
        <w:t>(mis)</w:t>
      </w:r>
      <w:r w:rsidR="006F06E7" w:rsidRPr="00E95EEB">
        <w:rPr>
          <w:color w:val="000000" w:themeColor="text1"/>
        </w:rPr>
        <w:t>appropriated</w:t>
      </w:r>
      <w:r w:rsidR="00031F3C" w:rsidRPr="00E95EEB">
        <w:rPr>
          <w:color w:val="000000" w:themeColor="text1"/>
        </w:rPr>
        <w:t xml:space="preserve"> by members of the community</w:t>
      </w:r>
      <w:r w:rsidR="006F06E7" w:rsidRPr="00E95EEB">
        <w:rPr>
          <w:color w:val="000000" w:themeColor="text1"/>
        </w:rPr>
        <w:t xml:space="preserve"> </w:t>
      </w:r>
      <w:r w:rsidR="00CF41BD">
        <w:rPr>
          <w:color w:val="000000" w:themeColor="text1"/>
        </w:rPr>
        <w:t>that</w:t>
      </w:r>
      <w:r w:rsidR="00A41815" w:rsidRPr="00E95EEB">
        <w:rPr>
          <w:color w:val="000000" w:themeColor="text1"/>
        </w:rPr>
        <w:t xml:space="preserve"> are not</w:t>
      </w:r>
      <w:r w:rsidR="00934532" w:rsidRPr="00E95EEB">
        <w:rPr>
          <w:color w:val="000000" w:themeColor="text1"/>
        </w:rPr>
        <w:t xml:space="preserve"> </w:t>
      </w:r>
      <w:r w:rsidR="00031F3C" w:rsidRPr="00E95EEB">
        <w:rPr>
          <w:color w:val="000000" w:themeColor="text1"/>
        </w:rPr>
        <w:t>abl</w:t>
      </w:r>
      <w:r w:rsidR="0096796E" w:rsidRPr="00E95EEB">
        <w:rPr>
          <w:color w:val="000000" w:themeColor="text1"/>
        </w:rPr>
        <w:t xml:space="preserve">e </w:t>
      </w:r>
      <w:r w:rsidR="00C2349C" w:rsidRPr="00E95EEB">
        <w:rPr>
          <w:color w:val="000000" w:themeColor="text1"/>
        </w:rPr>
        <w:t xml:space="preserve">to legitimate any </w:t>
      </w:r>
      <w:r w:rsidR="00EE2EFF">
        <w:rPr>
          <w:color w:val="000000" w:themeColor="text1"/>
        </w:rPr>
        <w:t xml:space="preserve">socially </w:t>
      </w:r>
      <w:r w:rsidR="004D7FB3">
        <w:rPr>
          <w:color w:val="000000" w:themeColor="text1"/>
        </w:rPr>
        <w:t xml:space="preserve">just </w:t>
      </w:r>
      <w:r w:rsidR="00C2349C" w:rsidRPr="00E95EEB">
        <w:rPr>
          <w:color w:val="000000" w:themeColor="text1"/>
        </w:rPr>
        <w:t xml:space="preserve">claim to </w:t>
      </w:r>
      <w:r w:rsidR="00334054">
        <w:rPr>
          <w:color w:val="000000" w:themeColor="text1"/>
        </w:rPr>
        <w:t>them as the proceeds of an inclusive growth strategy</w:t>
      </w:r>
      <w:r w:rsidR="009F5870" w:rsidRPr="00E95EEB">
        <w:rPr>
          <w:color w:val="000000" w:themeColor="text1"/>
        </w:rPr>
        <w:t>.</w:t>
      </w:r>
      <w:r w:rsidR="00334054">
        <w:rPr>
          <w:color w:val="000000" w:themeColor="text1"/>
        </w:rPr>
        <w:t xml:space="preserve"> </w:t>
      </w:r>
      <w:r w:rsidR="00CF41BD">
        <w:rPr>
          <w:color w:val="000000" w:themeColor="text1"/>
        </w:rPr>
        <w:t>That</w:t>
      </w:r>
      <w:r w:rsidR="00334054">
        <w:rPr>
          <w:color w:val="000000" w:themeColor="text1"/>
        </w:rPr>
        <w:t xml:space="preserve"> inclusive growth strategy</w:t>
      </w:r>
      <w:r w:rsidR="00CF41BD">
        <w:rPr>
          <w:color w:val="000000" w:themeColor="text1"/>
        </w:rPr>
        <w:t xml:space="preserve">, which </w:t>
      </w:r>
      <w:r w:rsidR="001308DE" w:rsidRPr="00E95EEB">
        <w:rPr>
          <w:color w:val="000000" w:themeColor="text1"/>
        </w:rPr>
        <w:t>cities</w:t>
      </w:r>
      <w:r w:rsidR="00CF41BD">
        <w:rPr>
          <w:color w:val="000000" w:themeColor="text1"/>
        </w:rPr>
        <w:t>, nation states</w:t>
      </w:r>
      <w:r w:rsidR="00810343">
        <w:rPr>
          <w:color w:val="000000" w:themeColor="text1"/>
        </w:rPr>
        <w:t>, the</w:t>
      </w:r>
      <w:r w:rsidR="00CF41BD">
        <w:rPr>
          <w:color w:val="000000" w:themeColor="text1"/>
        </w:rPr>
        <w:t xml:space="preserve"> EC</w:t>
      </w:r>
      <w:r w:rsidR="00810343">
        <w:rPr>
          <w:color w:val="000000" w:themeColor="text1"/>
        </w:rPr>
        <w:t xml:space="preserve"> and the I</w:t>
      </w:r>
      <w:r w:rsidR="009B103C">
        <w:rPr>
          <w:color w:val="000000" w:themeColor="text1"/>
        </w:rPr>
        <w:t>PPC</w:t>
      </w:r>
      <w:r w:rsidR="00CF41BD">
        <w:rPr>
          <w:color w:val="000000" w:themeColor="text1"/>
        </w:rPr>
        <w:t xml:space="preserve">, all </w:t>
      </w:r>
      <w:r w:rsidR="00334054">
        <w:rPr>
          <w:color w:val="000000" w:themeColor="text1"/>
        </w:rPr>
        <w:t>do much to</w:t>
      </w:r>
      <w:r w:rsidR="004840ED" w:rsidRPr="00E95EEB">
        <w:rPr>
          <w:color w:val="000000" w:themeColor="text1"/>
        </w:rPr>
        <w:t xml:space="preserve"> popularize</w:t>
      </w:r>
      <w:r w:rsidR="00CF41BD">
        <w:rPr>
          <w:color w:val="000000" w:themeColor="text1"/>
        </w:rPr>
        <w:t xml:space="preserve"> </w:t>
      </w:r>
      <w:r w:rsidR="00334054">
        <w:rPr>
          <w:color w:val="000000" w:themeColor="text1"/>
        </w:rPr>
        <w:t>and</w:t>
      </w:r>
      <w:r w:rsidR="00A41815" w:rsidRPr="00E95EEB">
        <w:rPr>
          <w:color w:val="000000" w:themeColor="text1"/>
        </w:rPr>
        <w:t xml:space="preserve"> </w:t>
      </w:r>
      <w:r w:rsidR="006F06E7" w:rsidRPr="00E95EEB">
        <w:rPr>
          <w:color w:val="000000" w:themeColor="text1"/>
        </w:rPr>
        <w:t xml:space="preserve">the </w:t>
      </w:r>
      <w:r w:rsidR="00981FFF" w:rsidRPr="00E95EEB">
        <w:rPr>
          <w:color w:val="000000" w:themeColor="text1"/>
        </w:rPr>
        <w:t>data coll</w:t>
      </w:r>
      <w:r w:rsidR="00724248" w:rsidRPr="00E95EEB">
        <w:rPr>
          <w:color w:val="000000" w:themeColor="text1"/>
        </w:rPr>
        <w:t>ection, information processing</w:t>
      </w:r>
      <w:r w:rsidR="0011686F">
        <w:rPr>
          <w:color w:val="000000" w:themeColor="text1"/>
        </w:rPr>
        <w:t xml:space="preserve">, </w:t>
      </w:r>
      <w:r w:rsidR="006F06E7" w:rsidRPr="00E95EEB">
        <w:rPr>
          <w:color w:val="000000" w:themeColor="text1"/>
        </w:rPr>
        <w:t xml:space="preserve">cloud computing </w:t>
      </w:r>
      <w:r w:rsidR="0011686F">
        <w:rPr>
          <w:color w:val="000000" w:themeColor="text1"/>
        </w:rPr>
        <w:t>and</w:t>
      </w:r>
      <w:r w:rsidR="00A61D87" w:rsidRPr="00E95EEB">
        <w:rPr>
          <w:color w:val="000000" w:themeColor="text1"/>
        </w:rPr>
        <w:t xml:space="preserve"> IoT</w:t>
      </w:r>
      <w:r w:rsidR="0011686F">
        <w:rPr>
          <w:color w:val="000000" w:themeColor="text1"/>
        </w:rPr>
        <w:t xml:space="preserve"> of smart (micro) grids</w:t>
      </w:r>
      <w:r w:rsidR="004D7FB3">
        <w:rPr>
          <w:color w:val="000000" w:themeColor="text1"/>
        </w:rPr>
        <w:t>,</w:t>
      </w:r>
      <w:r w:rsidR="00C4613E">
        <w:rPr>
          <w:color w:val="000000" w:themeColor="text1"/>
        </w:rPr>
        <w:t xml:space="preserve"> </w:t>
      </w:r>
      <w:r w:rsidR="00A41815" w:rsidRPr="00E95EEB">
        <w:rPr>
          <w:color w:val="000000" w:themeColor="text1"/>
        </w:rPr>
        <w:t>also</w:t>
      </w:r>
      <w:r w:rsidR="00334054">
        <w:rPr>
          <w:color w:val="000000" w:themeColor="text1"/>
        </w:rPr>
        <w:t xml:space="preserve"> </w:t>
      </w:r>
      <w:r w:rsidR="001308DE" w:rsidRPr="00E95EEB">
        <w:rPr>
          <w:color w:val="000000" w:themeColor="text1"/>
        </w:rPr>
        <w:t xml:space="preserve">promote </w:t>
      </w:r>
      <w:r w:rsidR="004840ED" w:rsidRPr="00E95EEB">
        <w:rPr>
          <w:color w:val="000000" w:themeColor="text1"/>
        </w:rPr>
        <w:t>as concrete investment opportunities</w:t>
      </w:r>
      <w:r w:rsidR="003F77FE">
        <w:rPr>
          <w:color w:val="000000" w:themeColor="text1"/>
        </w:rPr>
        <w:t>.</w:t>
      </w:r>
      <w:r w:rsidR="004840ED" w:rsidRPr="00E95EEB">
        <w:rPr>
          <w:color w:val="000000" w:themeColor="text1"/>
        </w:rPr>
        <w:t xml:space="preserve"> Be they on the grounds of their status as engineering solutions</w:t>
      </w:r>
      <w:r w:rsidR="004D7FB3">
        <w:rPr>
          <w:color w:val="000000" w:themeColor="text1"/>
        </w:rPr>
        <w:t xml:space="preserve">, whose </w:t>
      </w:r>
      <w:r w:rsidR="008729EF">
        <w:rPr>
          <w:color w:val="000000" w:themeColor="text1"/>
        </w:rPr>
        <w:t xml:space="preserve">renewable energies bring </w:t>
      </w:r>
      <w:r w:rsidR="00A23F76">
        <w:rPr>
          <w:color w:val="000000" w:themeColor="text1"/>
        </w:rPr>
        <w:t>the built environment to the fore as concrete investment opportunities,</w:t>
      </w:r>
      <w:r w:rsidR="006928A5" w:rsidRPr="00E95EEB">
        <w:rPr>
          <w:color w:val="000000" w:themeColor="text1"/>
        </w:rPr>
        <w:t xml:space="preserve"> or </w:t>
      </w:r>
      <w:r w:rsidR="0035441D">
        <w:t>on the basis of th</w:t>
      </w:r>
      <w:r w:rsidR="004D7FB3">
        <w:t>at</w:t>
      </w:r>
      <w:r w:rsidR="0035441D">
        <w:t xml:space="preserve"> wealth</w:t>
      </w:r>
      <w:r w:rsidR="00A67043">
        <w:t>,</w:t>
      </w:r>
      <w:r w:rsidR="000A7220">
        <w:t xml:space="preserve"> which</w:t>
      </w:r>
      <w:r w:rsidR="00C4613E">
        <w:t xml:space="preserve"> </w:t>
      </w:r>
      <w:r w:rsidR="000A7220">
        <w:t>regional innovations</w:t>
      </w:r>
      <w:r w:rsidR="00A23F76">
        <w:t xml:space="preserve"> </w:t>
      </w:r>
      <w:r w:rsidR="000A7220">
        <w:t xml:space="preserve">create </w:t>
      </w:r>
      <w:r w:rsidR="00C4613E">
        <w:t>to under</w:t>
      </w:r>
      <w:r w:rsidR="00A67043">
        <w:t>-</w:t>
      </w:r>
      <w:r w:rsidR="00C4613E">
        <w:t>grid the</w:t>
      </w:r>
      <w:r w:rsidR="00A67043">
        <w:t xml:space="preserve"> </w:t>
      </w:r>
      <w:r w:rsidR="008729EF">
        <w:t>susta</w:t>
      </w:r>
      <w:r w:rsidR="005F537F">
        <w:t xml:space="preserve">inability </w:t>
      </w:r>
      <w:r w:rsidR="00C4613E">
        <w:t>of city-districts</w:t>
      </w:r>
      <w:r w:rsidR="00A23F76">
        <w:t xml:space="preserve">. To under-grid the sustainability of city-districts </w:t>
      </w:r>
      <w:r w:rsidR="00C4613E">
        <w:t>as the</w:t>
      </w:r>
      <w:r w:rsidR="002C6E4F">
        <w:t xml:space="preserve"> IoT of</w:t>
      </w:r>
      <w:r w:rsidR="00C4613E">
        <w:t xml:space="preserve"> </w:t>
      </w:r>
      <w:r w:rsidR="002C6E4F">
        <w:t xml:space="preserve">an </w:t>
      </w:r>
      <w:r w:rsidR="00C4613E">
        <w:t>energy efficient-low carbon zone</w:t>
      </w:r>
      <w:r w:rsidR="002C6E4F">
        <w:t xml:space="preserve"> whose</w:t>
      </w:r>
      <w:r w:rsidR="005F537F">
        <w:t xml:space="preserve"> </w:t>
      </w:r>
      <w:r w:rsidR="00AB6228">
        <w:t>inclu</w:t>
      </w:r>
      <w:r w:rsidR="005F537F">
        <w:t>sive growth strategy</w:t>
      </w:r>
      <w:r w:rsidR="00334054">
        <w:t xml:space="preserve">, </w:t>
      </w:r>
      <w:r w:rsidR="002C6E4F">
        <w:t xml:space="preserve">is </w:t>
      </w:r>
      <w:r w:rsidR="00827AEB">
        <w:t>also</w:t>
      </w:r>
      <w:r w:rsidR="005F537F">
        <w:t xml:space="preserve"> </w:t>
      </w:r>
      <w:r w:rsidR="004D7FB3">
        <w:t xml:space="preserve">resilient enough </w:t>
      </w:r>
      <w:r w:rsidR="00EE2EFF">
        <w:t xml:space="preserve">for the ecological footprint this generates to </w:t>
      </w:r>
      <w:r w:rsidR="004D7FB3">
        <w:t xml:space="preserve">stabilise </w:t>
      </w:r>
      <w:r w:rsidR="003C0BB7">
        <w:t>the</w:t>
      </w:r>
      <w:r w:rsidR="00DA6B07">
        <w:t xml:space="preserve"> transition </w:t>
      </w:r>
      <w:r w:rsidR="002C6E4F">
        <w:t xml:space="preserve">towards the </w:t>
      </w:r>
      <w:r w:rsidR="0035441D">
        <w:t>post-carbo</w:t>
      </w:r>
      <w:r w:rsidR="00BB7F4A">
        <w:t>n</w:t>
      </w:r>
      <w:r w:rsidR="0035441D">
        <w:t xml:space="preserve"> </w:t>
      </w:r>
      <w:r w:rsidR="00827AEB">
        <w:t xml:space="preserve">economy </w:t>
      </w:r>
      <w:r w:rsidR="002C6E4F">
        <w:t xml:space="preserve">of a </w:t>
      </w:r>
      <w:r w:rsidR="00827AEB">
        <w:t>climate neutra</w:t>
      </w:r>
      <w:r w:rsidR="00DA6B07">
        <w:t>l</w:t>
      </w:r>
      <w:r w:rsidR="002C6E4F">
        <w:t xml:space="preserve"> adaptation</w:t>
      </w:r>
      <w:r w:rsidR="00B90E97">
        <w:t>.</w:t>
      </w:r>
    </w:p>
    <w:p w14:paraId="75F1E1D5" w14:textId="77777777" w:rsidR="00810343" w:rsidRDefault="00810343" w:rsidP="00AB22E3">
      <w:pPr>
        <w:jc w:val="left"/>
        <w:rPr>
          <w:rFonts w:asciiTheme="majorHAnsi" w:eastAsia="MS Mincho" w:hAnsiTheme="majorHAnsi" w:cstheme="majorHAnsi"/>
          <w:b/>
          <w:lang w:val="en-US" w:eastAsia="en-GB"/>
        </w:rPr>
      </w:pPr>
    </w:p>
    <w:p w14:paraId="5B71ACC7" w14:textId="77777777" w:rsidR="00AB22E3" w:rsidRPr="00202155" w:rsidRDefault="00202155" w:rsidP="00AB22E3">
      <w:pPr>
        <w:jc w:val="left"/>
        <w:rPr>
          <w:rFonts w:asciiTheme="majorHAnsi" w:eastAsia="MS Mincho" w:hAnsiTheme="majorHAnsi" w:cstheme="majorHAnsi"/>
          <w:b/>
          <w:lang w:val="en-US" w:eastAsia="en-GB"/>
        </w:rPr>
      </w:pPr>
      <w:r w:rsidRPr="00202155">
        <w:rPr>
          <w:rFonts w:asciiTheme="majorHAnsi" w:eastAsia="MS Mincho" w:hAnsiTheme="majorHAnsi" w:cstheme="majorHAnsi"/>
          <w:b/>
          <w:lang w:val="en-US" w:eastAsia="en-GB"/>
        </w:rPr>
        <w:t>References</w:t>
      </w:r>
    </w:p>
    <w:p w14:paraId="32FE26A2" w14:textId="77777777" w:rsidR="00202155" w:rsidRPr="00AB22E3" w:rsidRDefault="00202155" w:rsidP="00AB22E3">
      <w:pPr>
        <w:jc w:val="left"/>
        <w:rPr>
          <w:rFonts w:asciiTheme="majorHAnsi" w:eastAsia="MS Mincho" w:hAnsiTheme="majorHAnsi" w:cstheme="majorHAnsi"/>
          <w:lang w:val="en-US" w:eastAsia="en-GB"/>
        </w:rPr>
      </w:pPr>
    </w:p>
    <w:p w14:paraId="5B1CF49C" w14:textId="77777777" w:rsidR="00AB22E3" w:rsidRDefault="00AB22E3" w:rsidP="00AB22E3">
      <w:pPr>
        <w:spacing w:before="0" w:after="0" w:line="240" w:lineRule="auto"/>
        <w:jc w:val="left"/>
      </w:pPr>
      <w:r w:rsidRPr="00EF2B77">
        <w:t>Bourdic, L. and Salat, S. (2012) Building Energy Models and Assessment Systems at the District and City Scales. Building Research a</w:t>
      </w:r>
      <w:r>
        <w:t>nd Information, vol. 40, no. 4: 518-526.</w:t>
      </w:r>
    </w:p>
    <w:p w14:paraId="00E0E3C3" w14:textId="77777777" w:rsidR="00543FBD" w:rsidRDefault="00543FBD" w:rsidP="00B92276">
      <w:pPr>
        <w:jc w:val="left"/>
        <w:rPr>
          <w:rFonts w:asciiTheme="majorHAnsi" w:hAnsiTheme="majorHAnsi" w:cstheme="majorHAnsi"/>
        </w:rPr>
      </w:pPr>
    </w:p>
    <w:p w14:paraId="4E8E5035" w14:textId="77777777" w:rsidR="00543FBD" w:rsidRPr="00466924" w:rsidRDefault="00543FBD" w:rsidP="00543FBD">
      <w:pPr>
        <w:spacing w:before="0" w:after="0" w:line="240" w:lineRule="auto"/>
        <w:jc w:val="left"/>
      </w:pPr>
      <w:r w:rsidRPr="00466924">
        <w:t>Bourdic, L., Salat, S. and Nowacki, C. (2012) Assessing Cities: A New System of Cross-Scale Spatial Indicators. Building Research and Information, vol. 40, no. 5: 592-605.</w:t>
      </w:r>
    </w:p>
    <w:p w14:paraId="44A7ED14" w14:textId="77777777" w:rsidR="00543FBD" w:rsidRPr="00466924" w:rsidRDefault="00543FBD" w:rsidP="00543FBD">
      <w:pPr>
        <w:spacing w:before="0" w:after="0" w:line="240" w:lineRule="auto"/>
        <w:jc w:val="left"/>
      </w:pPr>
    </w:p>
    <w:p w14:paraId="793EE5D0" w14:textId="77777777" w:rsidR="00543FBD" w:rsidRPr="00EA5E5A" w:rsidRDefault="003A5670" w:rsidP="00543FBD">
      <w:pPr>
        <w:spacing w:before="0" w:after="0" w:line="240" w:lineRule="auto"/>
        <w:jc w:val="left"/>
        <w:rPr>
          <w:rFonts w:cs="Arial"/>
        </w:rPr>
      </w:pPr>
      <w:hyperlink r:id="rId12" w:history="1">
        <w:r w:rsidR="00543FBD" w:rsidRPr="00466924">
          <w:rPr>
            <w:rFonts w:eastAsia="MS Mincho" w:cs="Arial"/>
            <w:lang w:val="en-US" w:eastAsia="en-GB"/>
          </w:rPr>
          <w:t>Brandt</w:t>
        </w:r>
      </w:hyperlink>
      <w:r w:rsidR="00543FBD" w:rsidRPr="00466924">
        <w:rPr>
          <w:rFonts w:eastAsia="MS Mincho" w:cs="Arial"/>
          <w:bCs/>
          <w:lang w:val="en-US" w:eastAsia="en-GB"/>
        </w:rPr>
        <w:t>, N.,</w:t>
      </w:r>
      <w:hyperlink r:id="rId13" w:history="1">
        <w:r w:rsidR="00543FBD" w:rsidRPr="00466924">
          <w:rPr>
            <w:rFonts w:eastAsia="MS Mincho" w:cs="Arial"/>
            <w:lang w:val="en-US" w:eastAsia="en-GB"/>
          </w:rPr>
          <w:t xml:space="preserve"> Campbell</w:t>
        </w:r>
      </w:hyperlink>
      <w:r w:rsidR="00543FBD" w:rsidRPr="00466924">
        <w:rPr>
          <w:rFonts w:eastAsia="MS Mincho" w:cs="Arial"/>
          <w:lang w:val="en-US" w:eastAsia="en-GB"/>
        </w:rPr>
        <w:t>, F,</w:t>
      </w:r>
      <w:r w:rsidR="00543FBD">
        <w:rPr>
          <w:rFonts w:eastAsia="MS Mincho" w:cs="Arial"/>
          <w:lang w:val="en-US" w:eastAsia="en-GB"/>
        </w:rPr>
        <w:t xml:space="preserve"> </w:t>
      </w:r>
      <w:r w:rsidR="00543FBD" w:rsidRPr="00466924">
        <w:rPr>
          <w:rFonts w:eastAsia="MS Mincho" w:cs="Arial"/>
          <w:lang w:val="en-US" w:eastAsia="en-GB"/>
        </w:rPr>
        <w:t>Deakin, M.,</w:t>
      </w:r>
      <w:hyperlink r:id="rId14" w:history="1">
        <w:r w:rsidR="00543FBD" w:rsidRPr="00466924">
          <w:rPr>
            <w:rFonts w:eastAsia="MS Mincho" w:cs="Arial"/>
            <w:lang w:val="en-US" w:eastAsia="en-GB"/>
          </w:rPr>
          <w:t xml:space="preserve"> Johansson</w:t>
        </w:r>
      </w:hyperlink>
      <w:r w:rsidR="00543FBD" w:rsidRPr="00466924">
        <w:rPr>
          <w:rFonts w:eastAsia="MS Mincho" w:cs="Arial"/>
          <w:lang w:val="en-US" w:eastAsia="en-GB"/>
        </w:rPr>
        <w:t>, S.,</w:t>
      </w:r>
      <w:hyperlink r:id="rId15" w:history="1">
        <w:r w:rsidR="00543FBD" w:rsidRPr="00466924">
          <w:rPr>
            <w:rFonts w:eastAsia="MS Mincho" w:cs="Arial"/>
            <w:lang w:val="en-US" w:eastAsia="en-GB"/>
          </w:rPr>
          <w:t xml:space="preserve"> Malmström</w:t>
        </w:r>
      </w:hyperlink>
      <w:r w:rsidR="00543FBD" w:rsidRPr="00466924">
        <w:rPr>
          <w:rFonts w:eastAsia="MS Mincho" w:cs="Arial"/>
          <w:lang w:val="en-US" w:eastAsia="en-GB"/>
        </w:rPr>
        <w:t>, M.,</w:t>
      </w:r>
      <w:hyperlink r:id="rId16" w:history="1">
        <w:r w:rsidR="00543FBD" w:rsidRPr="00466924">
          <w:rPr>
            <w:rFonts w:eastAsia="MS Mincho" w:cs="Arial"/>
            <w:lang w:val="en-US" w:eastAsia="en-GB"/>
          </w:rPr>
          <w:t xml:space="preserve"> Mulder</w:t>
        </w:r>
      </w:hyperlink>
      <w:r w:rsidR="00543FBD" w:rsidRPr="00466924">
        <w:rPr>
          <w:rFonts w:eastAsia="MS Mincho" w:cs="Arial"/>
          <w:lang w:val="en-US" w:eastAsia="en-GB"/>
        </w:rPr>
        <w:t xml:space="preserve">, K., </w:t>
      </w:r>
      <w:hyperlink r:id="rId17" w:history="1">
        <w:r w:rsidR="00543FBD" w:rsidRPr="00466924">
          <w:rPr>
            <w:rFonts w:eastAsia="MS Mincho" w:cs="Arial"/>
            <w:lang w:val="en-US" w:eastAsia="en-GB"/>
          </w:rPr>
          <w:t>Pesch</w:t>
        </w:r>
      </w:hyperlink>
      <w:r w:rsidR="00543FBD" w:rsidRPr="00466924">
        <w:rPr>
          <w:rFonts w:eastAsia="MS Mincho" w:cs="Arial"/>
          <w:lang w:val="en-US" w:eastAsia="en-GB"/>
        </w:rPr>
        <w:t>, U,</w:t>
      </w:r>
      <w:hyperlink r:id="rId18" w:history="1">
        <w:r w:rsidR="00543FBD" w:rsidRPr="00466924">
          <w:rPr>
            <w:rFonts w:eastAsia="MS Mincho" w:cs="Arial"/>
            <w:lang w:val="en-US" w:eastAsia="en-GB"/>
          </w:rPr>
          <w:t xml:space="preserve"> Tatarchenko</w:t>
        </w:r>
      </w:hyperlink>
      <w:r w:rsidR="00543FBD" w:rsidRPr="00466924">
        <w:rPr>
          <w:rFonts w:eastAsia="MS Mincho" w:cs="Arial"/>
          <w:lang w:val="en-US" w:eastAsia="en-GB"/>
        </w:rPr>
        <w:t xml:space="preserve">, O. and </w:t>
      </w:r>
      <w:hyperlink r:id="rId19" w:history="1">
        <w:r w:rsidR="00543FBD" w:rsidRPr="00EA5E5A">
          <w:rPr>
            <w:rFonts w:eastAsia="MS Mincho" w:cs="Arial"/>
            <w:lang w:val="en-US" w:eastAsia="en-GB"/>
          </w:rPr>
          <w:t>Årman</w:t>
        </w:r>
      </w:hyperlink>
      <w:r w:rsidR="00543FBD" w:rsidRPr="00EA5E5A">
        <w:rPr>
          <w:rFonts w:eastAsia="MS Mincho" w:cs="Arial"/>
          <w:lang w:val="en-US" w:eastAsia="en-GB"/>
        </w:rPr>
        <w:t xml:space="preserve">, L. </w:t>
      </w:r>
      <w:r w:rsidR="00543FBD" w:rsidRPr="00EA5E5A">
        <w:rPr>
          <w:rFonts w:cs="Arial"/>
        </w:rPr>
        <w:t>(2014)</w:t>
      </w:r>
      <w:r w:rsidR="00543FBD" w:rsidRPr="00EA5E5A">
        <w:rPr>
          <w:rFonts w:eastAsia="MS Mincho" w:cs="Arial"/>
          <w:bCs/>
          <w:lang w:val="en-US" w:eastAsia="en-GB"/>
        </w:rPr>
        <w:t xml:space="preserve"> Technical Report: </w:t>
      </w:r>
      <w:hyperlink r:id="rId20" w:history="1">
        <w:r w:rsidR="00543FBD" w:rsidRPr="00EA5E5A">
          <w:rPr>
            <w:rFonts w:eastAsia="MS Mincho" w:cs="Arial"/>
            <w:bCs/>
            <w:lang w:val="en-US" w:eastAsia="en-GB"/>
          </w:rPr>
          <w:t>European Cities Moving Towards Climate Neutrality Participation, Indicators and Benchmarking</w:t>
        </w:r>
      </w:hyperlink>
      <w:r w:rsidR="00543FBD" w:rsidRPr="00EA5E5A">
        <w:rPr>
          <w:rFonts w:eastAsia="MS Mincho" w:cs="Arial"/>
          <w:bCs/>
          <w:lang w:val="en-US" w:eastAsia="en-GB"/>
        </w:rPr>
        <w:t>, KTH, Stockholm.</w:t>
      </w:r>
    </w:p>
    <w:p w14:paraId="7D035CB0" w14:textId="77777777" w:rsidR="00543FBD" w:rsidRPr="00EA5E5A" w:rsidRDefault="00543FBD" w:rsidP="00543FBD">
      <w:pPr>
        <w:spacing w:before="0" w:after="0" w:line="240" w:lineRule="auto"/>
        <w:jc w:val="left"/>
        <w:rPr>
          <w:lang w:val="en"/>
        </w:rPr>
      </w:pPr>
    </w:p>
    <w:p w14:paraId="0507BD28" w14:textId="77777777" w:rsidR="00543FBD" w:rsidRPr="00EA5E5A" w:rsidRDefault="00543FBD" w:rsidP="00543FBD">
      <w:pPr>
        <w:spacing w:before="0" w:after="0" w:line="240" w:lineRule="auto"/>
        <w:jc w:val="left"/>
        <w:rPr>
          <w:lang w:val="en"/>
        </w:rPr>
      </w:pPr>
      <w:r w:rsidRPr="00EA5E5A">
        <w:rPr>
          <w:lang w:val="en"/>
        </w:rPr>
        <w:t>Caragliu, A., Del Bo, C. and Nijkamp, P. (2013) Smart Cities in Europe. In: Deakin, M. (ed) Smart cities: governing, modelling and analysing the transition. Routledge, Oxon.</w:t>
      </w:r>
    </w:p>
    <w:p w14:paraId="14F06CB1" w14:textId="77777777" w:rsidR="00543FBD" w:rsidRPr="00EA5E5A" w:rsidRDefault="00543FBD" w:rsidP="00543FBD">
      <w:pPr>
        <w:spacing w:before="0" w:after="0" w:line="240" w:lineRule="auto"/>
        <w:jc w:val="left"/>
        <w:rPr>
          <w:lang w:val="en"/>
        </w:rPr>
      </w:pPr>
    </w:p>
    <w:p w14:paraId="66868EE0" w14:textId="77777777" w:rsidR="00543FBD" w:rsidRPr="00466924" w:rsidRDefault="00543FBD" w:rsidP="00543FBD">
      <w:pPr>
        <w:spacing w:before="0" w:after="0" w:line="240" w:lineRule="auto"/>
        <w:jc w:val="left"/>
      </w:pPr>
      <w:r w:rsidRPr="00EA5E5A">
        <w:rPr>
          <w:lang w:val="en"/>
        </w:rPr>
        <w:t>de Jong, M.,</w:t>
      </w:r>
      <w:r w:rsidRPr="00FD7B25">
        <w:rPr>
          <w:color w:val="FF0000"/>
          <w:lang w:val="en"/>
        </w:rPr>
        <w:t xml:space="preserve"> </w:t>
      </w:r>
      <w:r w:rsidRPr="00466924">
        <w:rPr>
          <w:lang w:val="en"/>
        </w:rPr>
        <w:t>Joss, S., Schaven, D., Zhan, C. and Weijnen, M. (2015)</w:t>
      </w:r>
      <w:r w:rsidRPr="00466924">
        <w:rPr>
          <w:rFonts w:eastAsia="MS Mincho" w:cs="Arial"/>
          <w:sz w:val="26"/>
          <w:szCs w:val="26"/>
          <w:lang w:val="en-US" w:eastAsia="en-GB"/>
        </w:rPr>
        <w:t xml:space="preserve"> </w:t>
      </w:r>
      <w:r w:rsidRPr="00466924">
        <w:rPr>
          <w:rFonts w:eastAsia="MS Mincho" w:cs="Arial"/>
          <w:lang w:val="en-US" w:eastAsia="en-GB"/>
        </w:rPr>
        <w:t xml:space="preserve">Sustainable–smart–resilient–low carbon–eco–knowledge cities; making sense of a multitude of concepts promoting sustainable urbanization. </w:t>
      </w:r>
      <w:r w:rsidRPr="00466924">
        <w:rPr>
          <w:rFonts w:eastAsia="MS Mincho" w:cs="Arial"/>
          <w:iCs/>
          <w:lang w:val="en-US" w:eastAsia="en-GB"/>
        </w:rPr>
        <w:t>Journal of Cleaner production</w:t>
      </w:r>
      <w:r w:rsidRPr="00466924">
        <w:rPr>
          <w:rFonts w:eastAsia="MS Mincho" w:cs="Arial"/>
          <w:lang w:val="en-US" w:eastAsia="en-GB"/>
        </w:rPr>
        <w:t>, vol.</w:t>
      </w:r>
      <w:r w:rsidRPr="00466924">
        <w:rPr>
          <w:rFonts w:eastAsia="MS Mincho" w:cs="Arial"/>
          <w:iCs/>
          <w:lang w:val="en-US" w:eastAsia="en-GB"/>
        </w:rPr>
        <w:t xml:space="preserve"> 109: </w:t>
      </w:r>
      <w:r w:rsidRPr="00466924">
        <w:rPr>
          <w:rFonts w:eastAsia="MS Mincho" w:cs="Arial"/>
          <w:lang w:val="en-US" w:eastAsia="en-GB"/>
        </w:rPr>
        <w:t>25-38.</w:t>
      </w:r>
    </w:p>
    <w:p w14:paraId="532419A4" w14:textId="77777777" w:rsidR="00543FBD" w:rsidRPr="00466924" w:rsidRDefault="00543FBD" w:rsidP="00543FBD">
      <w:pPr>
        <w:spacing w:before="0" w:after="0" w:line="240" w:lineRule="auto"/>
        <w:jc w:val="left"/>
      </w:pPr>
    </w:p>
    <w:p w14:paraId="2AF8827E" w14:textId="77777777" w:rsidR="00543FBD" w:rsidRPr="00466924" w:rsidRDefault="00543FBD" w:rsidP="00543FBD">
      <w:pPr>
        <w:spacing w:before="0" w:after="0" w:line="240" w:lineRule="auto"/>
        <w:jc w:val="left"/>
      </w:pPr>
      <w:r w:rsidRPr="00466924">
        <w:t>Deakin, M. (2011) The Embedded Intelligence of Smart Cities, International Journal of Intelligent Buildings, vol. 3, no. 2: 189-187.</w:t>
      </w:r>
    </w:p>
    <w:p w14:paraId="1AB2F46B" w14:textId="77777777" w:rsidR="00543FBD" w:rsidRPr="00466924" w:rsidRDefault="00543FBD" w:rsidP="00543FBD">
      <w:pPr>
        <w:spacing w:before="0" w:after="0" w:line="240" w:lineRule="auto"/>
        <w:jc w:val="left"/>
      </w:pPr>
    </w:p>
    <w:p w14:paraId="5E575BC6" w14:textId="77777777" w:rsidR="00543FBD" w:rsidRPr="00466924" w:rsidRDefault="00543FBD" w:rsidP="00543FBD">
      <w:pPr>
        <w:spacing w:before="0" w:after="0" w:line="240" w:lineRule="auto"/>
        <w:jc w:val="left"/>
      </w:pPr>
      <w:r w:rsidRPr="00466924">
        <w:t>Deakin, M., Campbell, F. and Reid, A. (2012a) The Mass-retrofitting of an Energy Efficient Low - Carbon Zone: Base-lining the Urban Regeneration Strategy, Vision, Master-plan and Redevelopment Scheme, Energy Policy, vol. 45: 187-200.</w:t>
      </w:r>
    </w:p>
    <w:p w14:paraId="5868AFE4" w14:textId="77777777" w:rsidR="00543FBD" w:rsidRPr="00466924" w:rsidRDefault="00543FBD" w:rsidP="00543FBD">
      <w:pPr>
        <w:spacing w:before="0" w:after="0" w:line="240" w:lineRule="auto"/>
        <w:jc w:val="left"/>
      </w:pPr>
    </w:p>
    <w:p w14:paraId="4330AC6C" w14:textId="77777777" w:rsidR="00543FBD" w:rsidRPr="00466924" w:rsidRDefault="00543FBD" w:rsidP="00543FBD">
      <w:pPr>
        <w:spacing w:before="0" w:after="0" w:line="240" w:lineRule="auto"/>
        <w:jc w:val="left"/>
      </w:pPr>
      <w:r w:rsidRPr="00466924">
        <w:t>Deakin, M., Campbell, F. and Reid, A. (2012b) The Mass-retrofitting of an Energy Efficient Low - Carbon Zone, Energy, vol. 65, no. 4:197-208.</w:t>
      </w:r>
    </w:p>
    <w:p w14:paraId="3D5388F8" w14:textId="77777777" w:rsidR="00543FBD" w:rsidRPr="00466924" w:rsidRDefault="00543FBD" w:rsidP="00543FBD">
      <w:pPr>
        <w:spacing w:before="0" w:after="0" w:line="240" w:lineRule="auto"/>
        <w:jc w:val="left"/>
      </w:pPr>
    </w:p>
    <w:p w14:paraId="48BA74D9" w14:textId="77777777" w:rsidR="00543FBD" w:rsidRPr="00466924" w:rsidRDefault="00543FBD" w:rsidP="00543FBD">
      <w:pPr>
        <w:spacing w:before="0" w:after="0" w:line="240" w:lineRule="auto"/>
        <w:jc w:val="left"/>
      </w:pPr>
      <w:r w:rsidRPr="00466924">
        <w:t>Deakin, M. and Leydesdorff, L</w:t>
      </w:r>
      <w:r>
        <w:t>.</w:t>
      </w:r>
      <w:r w:rsidRPr="00466924">
        <w:t xml:space="preserve"> (2013) The Triple Helix of Smart Cities: A Neo-evolutionist Perspective, in </w:t>
      </w:r>
    </w:p>
    <w:p w14:paraId="3421921B" w14:textId="77777777" w:rsidR="00543FBD" w:rsidRPr="00466924" w:rsidRDefault="00543FBD" w:rsidP="00543FBD">
      <w:pPr>
        <w:spacing w:before="0" w:after="0" w:line="240" w:lineRule="auto"/>
        <w:jc w:val="left"/>
      </w:pPr>
      <w:r w:rsidRPr="00466924">
        <w:t>Deakin, M. (ed.) Smart Cities: Governing, Modelling and Analysing the Transition, Oxford, Routledge.</w:t>
      </w:r>
    </w:p>
    <w:p w14:paraId="06EEF785" w14:textId="77777777" w:rsidR="00543FBD" w:rsidRPr="00466924" w:rsidRDefault="00543FBD" w:rsidP="00543FBD">
      <w:pPr>
        <w:spacing w:before="0" w:after="0" w:line="240" w:lineRule="auto"/>
        <w:jc w:val="left"/>
      </w:pPr>
    </w:p>
    <w:p w14:paraId="189A5766" w14:textId="77777777" w:rsidR="00543FBD" w:rsidRPr="00466924" w:rsidRDefault="00543FBD" w:rsidP="00543FBD">
      <w:pPr>
        <w:spacing w:before="0" w:after="0" w:line="240" w:lineRule="auto"/>
        <w:jc w:val="left"/>
      </w:pPr>
      <w:r w:rsidRPr="00466924">
        <w:t>Deakin, M. (ed.) (2013) Smart Cities: Governing, Modelling and Analysing the Transition, Oxford, Routledge.</w:t>
      </w:r>
    </w:p>
    <w:p w14:paraId="7417B2BA" w14:textId="77777777" w:rsidR="00543FBD" w:rsidRPr="00466924" w:rsidRDefault="00543FBD" w:rsidP="00543FBD">
      <w:pPr>
        <w:spacing w:before="0" w:after="0" w:line="240" w:lineRule="auto"/>
        <w:jc w:val="left"/>
      </w:pPr>
    </w:p>
    <w:p w14:paraId="4C307F22" w14:textId="77777777" w:rsidR="00543FBD" w:rsidRPr="00466924" w:rsidRDefault="00543FBD" w:rsidP="00543FBD">
      <w:pPr>
        <w:spacing w:before="0" w:after="0" w:line="240" w:lineRule="auto"/>
        <w:jc w:val="left"/>
      </w:pPr>
      <w:r w:rsidRPr="00466924">
        <w:t>Deakin, M. (2014) Smart Cities: the State-of-the-Art and Governance Challenge. Triple Helix, vol. 1, no. 1: 1-17.</w:t>
      </w:r>
    </w:p>
    <w:p w14:paraId="7B8A150A" w14:textId="77777777" w:rsidR="00543FBD" w:rsidRPr="00466924" w:rsidRDefault="00543FBD" w:rsidP="00543FBD">
      <w:pPr>
        <w:spacing w:before="0" w:after="0" w:line="240" w:lineRule="auto"/>
        <w:jc w:val="left"/>
      </w:pPr>
    </w:p>
    <w:p w14:paraId="7B560ABA" w14:textId="77777777" w:rsidR="00543FBD" w:rsidRPr="00466924" w:rsidRDefault="00543FBD" w:rsidP="00543FBD">
      <w:pPr>
        <w:spacing w:before="0" w:after="0" w:line="240" w:lineRule="auto"/>
        <w:jc w:val="left"/>
      </w:pPr>
      <w:r w:rsidRPr="00466924">
        <w:t>Deakin, M., Campbell, F., Reid, A. and Orsinger, J. (2014) The Mass-Retrofitting of an Energy Efficient – Low Carbon Zone, New York, Springer.</w:t>
      </w:r>
    </w:p>
    <w:p w14:paraId="2EE68991" w14:textId="77777777" w:rsidR="00543FBD" w:rsidRPr="00466924" w:rsidRDefault="00543FBD" w:rsidP="00543FBD">
      <w:pPr>
        <w:spacing w:before="0" w:after="0" w:line="240" w:lineRule="auto"/>
        <w:jc w:val="left"/>
      </w:pPr>
    </w:p>
    <w:p w14:paraId="5D384D3A" w14:textId="77777777" w:rsidR="00543FBD" w:rsidRPr="00466924" w:rsidRDefault="00543FBD" w:rsidP="00543FBD">
      <w:pPr>
        <w:spacing w:before="0" w:after="0" w:line="240" w:lineRule="auto"/>
        <w:jc w:val="left"/>
      </w:pPr>
      <w:r w:rsidRPr="00466924">
        <w:t>Giffinger, R., Kramar, H. and Haindl, G. (2008) The Role of Rankings in Growing City Competition. XI EURA Conference, Milan.</w:t>
      </w:r>
    </w:p>
    <w:p w14:paraId="53F783D5" w14:textId="77777777" w:rsidR="00543FBD" w:rsidRPr="00466924" w:rsidRDefault="00543FBD" w:rsidP="00543FBD">
      <w:pPr>
        <w:spacing w:before="0" w:after="0" w:line="240" w:lineRule="auto"/>
        <w:jc w:val="left"/>
      </w:pPr>
    </w:p>
    <w:p w14:paraId="59897372" w14:textId="77777777" w:rsidR="00543FBD" w:rsidRDefault="00543FBD" w:rsidP="00543FBD">
      <w:pPr>
        <w:spacing w:before="0" w:after="0" w:line="240" w:lineRule="auto"/>
        <w:jc w:val="left"/>
      </w:pPr>
      <w:r w:rsidRPr="00466924">
        <w:t>Hirst, P., Hummerstone, E., Webb, S., Karlsson, A. K., Blin, A. S., Duff, M., Jordanou, M. and Deakin, M. (2012). JESSICA for Smart and Sustainable Cities, European Investmen</w:t>
      </w:r>
      <w:r>
        <w:t>t Bank</w:t>
      </w:r>
      <w:r w:rsidRPr="00466924">
        <w:t>, Luxemburg.</w:t>
      </w:r>
    </w:p>
    <w:p w14:paraId="091EB9EE" w14:textId="77777777" w:rsidR="00A8035E" w:rsidRDefault="00A8035E" w:rsidP="00543FBD">
      <w:pPr>
        <w:spacing w:before="0" w:after="0" w:line="240" w:lineRule="auto"/>
        <w:jc w:val="left"/>
      </w:pPr>
    </w:p>
    <w:p w14:paraId="7ACF86F2" w14:textId="77777777" w:rsidR="00A8035E" w:rsidRPr="00A8035E" w:rsidRDefault="00A8035E" w:rsidP="00543FBD">
      <w:pPr>
        <w:spacing w:before="0" w:after="0" w:line="240" w:lineRule="auto"/>
        <w:jc w:val="left"/>
      </w:pPr>
      <w:r w:rsidRPr="00A8035E">
        <w:rPr>
          <w:rFonts w:cs="Arial"/>
        </w:rPr>
        <w:t>Intergovern</w:t>
      </w:r>
      <w:r>
        <w:rPr>
          <w:rFonts w:cs="Arial"/>
        </w:rPr>
        <w:t>mental Panel on Climate Change (2015)</w:t>
      </w:r>
      <w:r w:rsidRPr="00A8035E">
        <w:rPr>
          <w:rFonts w:cs="Arial"/>
        </w:rPr>
        <w:t xml:space="preserve"> </w:t>
      </w:r>
      <w:r>
        <w:rPr>
          <w:rFonts w:cs="Arial"/>
          <w:iCs/>
        </w:rPr>
        <w:t>Climate Change 2014: Mitigation of Climate C</w:t>
      </w:r>
      <w:r w:rsidRPr="00A8035E">
        <w:rPr>
          <w:rFonts w:cs="Arial"/>
          <w:iCs/>
        </w:rPr>
        <w:t>hange</w:t>
      </w:r>
      <w:r w:rsidRPr="00A8035E">
        <w:rPr>
          <w:rFonts w:cs="Arial"/>
        </w:rPr>
        <w:t xml:space="preserve"> (Vol. 3). Cambridge University Press.</w:t>
      </w:r>
    </w:p>
    <w:p w14:paraId="0678E78E" w14:textId="77777777" w:rsidR="00543FBD" w:rsidRPr="00466924" w:rsidRDefault="00543FBD" w:rsidP="00543FBD">
      <w:pPr>
        <w:spacing w:before="0" w:after="0" w:line="240" w:lineRule="auto"/>
        <w:jc w:val="left"/>
      </w:pPr>
    </w:p>
    <w:p w14:paraId="6757ECF4" w14:textId="77777777" w:rsidR="00543FBD" w:rsidRPr="00466924" w:rsidRDefault="00543FBD" w:rsidP="00543FBD">
      <w:pPr>
        <w:spacing w:before="0" w:after="0" w:line="240" w:lineRule="auto"/>
        <w:jc w:val="left"/>
      </w:pPr>
      <w:r w:rsidRPr="00466924">
        <w:t>Komninos, N., Pallot, M. and Schaffers, H. (2013) Special Issue on Smart Cities and the Future Internet in Europe. Journal of the Knowledge Economy, vol. 13, no. 2: 119-134.</w:t>
      </w:r>
    </w:p>
    <w:p w14:paraId="332A3996" w14:textId="77777777" w:rsidR="00543FBD" w:rsidRPr="00466924" w:rsidRDefault="00543FBD" w:rsidP="00543FBD">
      <w:pPr>
        <w:spacing w:before="0" w:after="0" w:line="240" w:lineRule="auto"/>
        <w:jc w:val="left"/>
      </w:pPr>
    </w:p>
    <w:p w14:paraId="75F00D60" w14:textId="77777777" w:rsidR="00543FBD" w:rsidRPr="00466924" w:rsidRDefault="00543FBD" w:rsidP="00543FBD">
      <w:pPr>
        <w:spacing w:before="0" w:after="0" w:line="240" w:lineRule="auto"/>
        <w:jc w:val="left"/>
      </w:pPr>
      <w:r w:rsidRPr="00466924">
        <w:t>Komninos, N. (2014) The Age of Intelligent Cities, Oxford: Routledge.</w:t>
      </w:r>
    </w:p>
    <w:p w14:paraId="153E0C92" w14:textId="77777777" w:rsidR="00543FBD" w:rsidRPr="00466924" w:rsidRDefault="00543FBD" w:rsidP="00543FBD">
      <w:pPr>
        <w:spacing w:before="0" w:after="0" w:line="240" w:lineRule="auto"/>
        <w:jc w:val="left"/>
      </w:pPr>
    </w:p>
    <w:p w14:paraId="0874F7B6" w14:textId="77777777" w:rsidR="00543FBD" w:rsidRDefault="00543FBD" w:rsidP="00543FBD">
      <w:pPr>
        <w:spacing w:before="0" w:after="0" w:line="240" w:lineRule="auto"/>
        <w:jc w:val="left"/>
      </w:pPr>
      <w:r w:rsidRPr="00466924">
        <w:t>Kourtit, K., Deakin, M., Caragliu, A., Del Bo, C., Nijkamp, P., Lombardi, P. and Giordano, S. (2013) An advanced triple helix network framework for smart city performance, In: Deakin, M. (ed.) Smart Cities: Governing, Modelling and Analysing the Transition, Oxford, Routledge.</w:t>
      </w:r>
    </w:p>
    <w:p w14:paraId="0A4FBD37" w14:textId="77777777" w:rsidR="00817826" w:rsidRPr="00466924" w:rsidRDefault="00817826" w:rsidP="00543FBD">
      <w:pPr>
        <w:spacing w:before="0" w:after="0" w:line="240" w:lineRule="auto"/>
        <w:jc w:val="left"/>
      </w:pPr>
    </w:p>
    <w:p w14:paraId="301A8E05" w14:textId="77777777" w:rsidR="00817826" w:rsidRPr="006B540E" w:rsidRDefault="00817826" w:rsidP="00EA28A8">
      <w:pPr>
        <w:tabs>
          <w:tab w:val="left" w:pos="709"/>
        </w:tabs>
        <w:spacing w:before="0" w:after="0" w:line="240" w:lineRule="auto"/>
        <w:rPr>
          <w:rFonts w:cs="Arial"/>
        </w:rPr>
      </w:pPr>
      <w:r w:rsidRPr="006B540E">
        <w:rPr>
          <w:rFonts w:eastAsiaTheme="minorHAnsi" w:cs="Arial"/>
          <w:color w:val="1A1A1A"/>
        </w:rPr>
        <w:t xml:space="preserve">Lazaroiu, G.C. and Roscia, M., </w:t>
      </w:r>
      <w:r>
        <w:rPr>
          <w:rFonts w:eastAsiaTheme="minorHAnsi" w:cs="Arial"/>
          <w:color w:val="1A1A1A"/>
        </w:rPr>
        <w:t>(2012)</w:t>
      </w:r>
      <w:r w:rsidRPr="006B540E">
        <w:rPr>
          <w:rFonts w:eastAsiaTheme="minorHAnsi" w:cs="Arial"/>
          <w:color w:val="1A1A1A"/>
        </w:rPr>
        <w:t xml:space="preserve"> Definition methodology for the smart cities model. </w:t>
      </w:r>
      <w:r w:rsidRPr="00EA28A8">
        <w:rPr>
          <w:rFonts w:eastAsiaTheme="minorHAnsi" w:cs="Arial"/>
          <w:iCs/>
          <w:color w:val="1A1A1A"/>
        </w:rPr>
        <w:t>Energy</w:t>
      </w:r>
      <w:r w:rsidRPr="006B540E">
        <w:rPr>
          <w:rFonts w:eastAsiaTheme="minorHAnsi" w:cs="Arial"/>
          <w:color w:val="1A1A1A"/>
        </w:rPr>
        <w:t>,</w:t>
      </w:r>
      <w:r>
        <w:rPr>
          <w:rFonts w:eastAsiaTheme="minorHAnsi" w:cs="Arial"/>
          <w:color w:val="1A1A1A"/>
        </w:rPr>
        <w:t xml:space="preserve"> vol. 47, no 2: </w:t>
      </w:r>
      <w:r w:rsidRPr="006B540E">
        <w:rPr>
          <w:rFonts w:eastAsiaTheme="minorHAnsi" w:cs="Arial"/>
          <w:color w:val="1A1A1A"/>
        </w:rPr>
        <w:t>326-332.</w:t>
      </w:r>
    </w:p>
    <w:p w14:paraId="05C721A6" w14:textId="77777777" w:rsidR="00543FBD" w:rsidRPr="00466924" w:rsidRDefault="00543FBD" w:rsidP="00EA28A8">
      <w:pPr>
        <w:spacing w:before="0" w:after="0" w:line="240" w:lineRule="auto"/>
        <w:jc w:val="left"/>
      </w:pPr>
    </w:p>
    <w:p w14:paraId="436289E3" w14:textId="77777777" w:rsidR="00543FBD" w:rsidRPr="00466924" w:rsidRDefault="00543FBD">
      <w:pPr>
        <w:spacing w:before="0" w:after="0" w:line="240" w:lineRule="auto"/>
        <w:jc w:val="left"/>
      </w:pPr>
      <w:r w:rsidRPr="00466924">
        <w:t>Leydesdorff, L. and Deakin, M. (2011) The Triple Helix of Smart Cities: A Neo-evolutionist Perspective. Journal of Urban Technology, vol. 18, no. 2: 53-63.</w:t>
      </w:r>
    </w:p>
    <w:p w14:paraId="3650A63A" w14:textId="77777777" w:rsidR="00543FBD" w:rsidRPr="00466924" w:rsidRDefault="00543FBD" w:rsidP="00543FBD">
      <w:pPr>
        <w:spacing w:before="0" w:after="0" w:line="240" w:lineRule="auto"/>
        <w:jc w:val="left"/>
      </w:pPr>
    </w:p>
    <w:p w14:paraId="4F05D3F7" w14:textId="77777777" w:rsidR="00543FBD" w:rsidRPr="00466924" w:rsidRDefault="00543FBD" w:rsidP="00543FBD">
      <w:pPr>
        <w:spacing w:before="0" w:after="0" w:line="240" w:lineRule="auto"/>
        <w:jc w:val="left"/>
      </w:pPr>
      <w:r w:rsidRPr="00466924">
        <w:t>Lombardi, P. and Giordano, S. (2012) Evaluating the European Smart Cities Visions of the Future. International Journal of the Analytic Hierarchy Process, vol. 4, no. 1: 27-40.</w:t>
      </w:r>
    </w:p>
    <w:p w14:paraId="2DA17CDA" w14:textId="77777777" w:rsidR="00543FBD" w:rsidRPr="00466924" w:rsidRDefault="00543FBD" w:rsidP="00543FBD">
      <w:pPr>
        <w:spacing w:before="0" w:after="0" w:line="240" w:lineRule="auto"/>
        <w:jc w:val="left"/>
      </w:pPr>
    </w:p>
    <w:p w14:paraId="273F9409" w14:textId="77777777" w:rsidR="00543FBD" w:rsidRPr="00466924" w:rsidRDefault="00543FBD" w:rsidP="00543FBD">
      <w:pPr>
        <w:spacing w:before="0" w:after="0" w:line="240" w:lineRule="auto"/>
        <w:jc w:val="left"/>
      </w:pPr>
      <w:r w:rsidRPr="00466924">
        <w:t>Lombardi, P., Giordano, S., Farouh. H.</w:t>
      </w:r>
      <w:r>
        <w:t>,</w:t>
      </w:r>
      <w:r w:rsidRPr="00466924">
        <w:t xml:space="preserve"> and Yousef, W. (2012) Modelling the Smart City Performance. Innovation, The European Journal of Social Science Research, vol. 25, no. 2: 137-150.</w:t>
      </w:r>
    </w:p>
    <w:p w14:paraId="4D1ED2C5" w14:textId="77777777" w:rsidR="00543FBD" w:rsidRPr="00466924" w:rsidRDefault="00543FBD" w:rsidP="00543FBD">
      <w:pPr>
        <w:spacing w:before="0" w:after="0" w:line="240" w:lineRule="auto"/>
        <w:jc w:val="left"/>
      </w:pPr>
    </w:p>
    <w:p w14:paraId="32889D91" w14:textId="77777777" w:rsidR="00543FBD" w:rsidRPr="00466924" w:rsidRDefault="00543FBD" w:rsidP="00543FBD">
      <w:pPr>
        <w:spacing w:before="0" w:after="0" w:line="240" w:lineRule="auto"/>
        <w:jc w:val="left"/>
        <w:rPr>
          <w:rStyle w:val="Hyperlink"/>
          <w:color w:val="auto"/>
        </w:rPr>
      </w:pPr>
      <w:r w:rsidRPr="00466924">
        <w:t xml:space="preserve">London Borough of Sutton and Bioregional (2012) Hackbridge – a Zero Carbon Suburb. Available at: </w:t>
      </w:r>
      <w:hyperlink r:id="rId21" w:history="1">
        <w:r w:rsidRPr="00466924">
          <w:rPr>
            <w:rStyle w:val="Hyperlink"/>
            <w:color w:val="auto"/>
          </w:rPr>
          <w:t>http://www.bioregional.com/files/publications/Hackbridge-an-area-based-strategy-for-zero-carbon-buildings-may2012.pdf</w:t>
        </w:r>
      </w:hyperlink>
    </w:p>
    <w:p w14:paraId="3E11A0E3" w14:textId="77777777" w:rsidR="00543FBD" w:rsidRPr="00466924" w:rsidRDefault="00543FBD" w:rsidP="00543FBD">
      <w:pPr>
        <w:spacing w:before="0" w:after="0" w:line="240" w:lineRule="auto"/>
        <w:jc w:val="left"/>
        <w:rPr>
          <w:rFonts w:cs="Arial"/>
        </w:rPr>
      </w:pPr>
    </w:p>
    <w:p w14:paraId="4555FCCE" w14:textId="77777777" w:rsidR="00543FBD" w:rsidRDefault="00543FBD" w:rsidP="00543FBD">
      <w:pPr>
        <w:spacing w:before="0" w:after="0" w:line="240" w:lineRule="auto"/>
        <w:jc w:val="left"/>
        <w:rPr>
          <w:rStyle w:val="Hyperlink"/>
          <w:rFonts w:cs="Arial"/>
          <w:color w:val="auto"/>
        </w:rPr>
      </w:pPr>
      <w:r w:rsidRPr="00466924">
        <w:rPr>
          <w:rFonts w:cs="Arial"/>
        </w:rPr>
        <w:t xml:space="preserve">London Borough of Sutton (2008) Energy Options Appraisal for Domestic Buildings in Hackbridge. Produced by Parity Projects. Available at: </w:t>
      </w:r>
      <w:hyperlink r:id="rId22" w:history="1">
        <w:r w:rsidRPr="00466924">
          <w:rPr>
            <w:rStyle w:val="Hyperlink"/>
            <w:rFonts w:cs="Arial"/>
            <w:color w:val="auto"/>
          </w:rPr>
          <w:t>http://www.sutton.gov.uk/CHttpHandler.ashx?id=5173&amp;p=0</w:t>
        </w:r>
      </w:hyperlink>
    </w:p>
    <w:p w14:paraId="0ED04A99" w14:textId="77777777" w:rsidR="00543FBD" w:rsidRPr="00466924" w:rsidRDefault="00543FBD" w:rsidP="00543FBD">
      <w:pPr>
        <w:spacing w:before="0" w:after="0" w:line="240" w:lineRule="auto"/>
        <w:jc w:val="left"/>
      </w:pPr>
    </w:p>
    <w:p w14:paraId="67CA884D" w14:textId="77777777" w:rsidR="00543FBD" w:rsidRPr="00466924" w:rsidRDefault="00543FBD" w:rsidP="00543FBD">
      <w:pPr>
        <w:spacing w:before="0" w:after="0" w:line="240" w:lineRule="auto"/>
        <w:jc w:val="left"/>
      </w:pPr>
      <w:r w:rsidRPr="00466924">
        <w:t>Ratti, C., Baker, N. and Steemers, K. (2005) Energy Consumption and Urban Texture. Energy and Buildings, vol. 37, no. 7: 726-776.</w:t>
      </w:r>
    </w:p>
    <w:p w14:paraId="5FDBDF11" w14:textId="77777777" w:rsidR="00543FBD" w:rsidRPr="00466924" w:rsidRDefault="00543FBD" w:rsidP="00543FBD">
      <w:pPr>
        <w:spacing w:before="0" w:after="0" w:line="240" w:lineRule="auto"/>
        <w:jc w:val="left"/>
      </w:pPr>
    </w:p>
    <w:p w14:paraId="11097B00" w14:textId="77777777" w:rsidR="00543FBD" w:rsidRPr="00466924" w:rsidRDefault="00543FBD" w:rsidP="00543FBD">
      <w:pPr>
        <w:spacing w:before="0" w:after="0" w:line="240" w:lineRule="auto"/>
        <w:jc w:val="left"/>
      </w:pPr>
      <w:r w:rsidRPr="00466924">
        <w:t>Salat, S. (2009) Energy Loads, CO</w:t>
      </w:r>
      <w:r w:rsidRPr="00466924">
        <w:rPr>
          <w:rFonts w:ascii="Cambria Math" w:hAnsi="Cambria Math"/>
        </w:rPr>
        <w:t>₂</w:t>
      </w:r>
      <w:r w:rsidRPr="00466924">
        <w:t xml:space="preserve"> Emissions and Building Stocks: Morphologies, Typologies, Energy Systems and Behaviour, Building Research and Information, vol. 37, nos. 5–7: 589-609.</w:t>
      </w:r>
    </w:p>
    <w:p w14:paraId="33C07116" w14:textId="77777777" w:rsidR="00543FBD" w:rsidRPr="00466924" w:rsidRDefault="00543FBD" w:rsidP="00543FBD">
      <w:pPr>
        <w:spacing w:before="0" w:after="0" w:line="240" w:lineRule="auto"/>
        <w:jc w:val="left"/>
        <w:rPr>
          <w:rFonts w:eastAsiaTheme="minorHAnsi"/>
          <w:bCs/>
        </w:rPr>
      </w:pPr>
    </w:p>
    <w:p w14:paraId="78BF3AC5" w14:textId="77777777" w:rsidR="00543FBD" w:rsidRDefault="00543FBD" w:rsidP="00543FBD">
      <w:pPr>
        <w:spacing w:before="0" w:after="0" w:line="240" w:lineRule="auto"/>
        <w:jc w:val="left"/>
        <w:rPr>
          <w:rFonts w:eastAsiaTheme="minorHAnsi"/>
          <w:bCs/>
        </w:rPr>
      </w:pPr>
      <w:r w:rsidRPr="00466924">
        <w:rPr>
          <w:rFonts w:eastAsiaTheme="minorHAnsi"/>
          <w:bCs/>
        </w:rPr>
        <w:t xml:space="preserve">Schaffers, H., Komninos, N., Pallot, M., Trousse, B., Nilsson, M. and Oliveira, A. (2011) Smart Cities and the Future Internet: Towards Cooperation Frameworks for Open Innovation, in Domingue, J. et al. (eds.) </w:t>
      </w:r>
      <w:r w:rsidRPr="00466924">
        <w:rPr>
          <w:rFonts w:cs="Arial"/>
          <w:bCs/>
        </w:rPr>
        <w:t xml:space="preserve">The Future Internet: Future Internet Assembly 2011 - Achievements and Technological Promises, </w:t>
      </w:r>
      <w:r w:rsidRPr="00466924">
        <w:rPr>
          <w:rFonts w:eastAsiaTheme="minorHAnsi"/>
          <w:bCs/>
        </w:rPr>
        <w:t>LNCS.</w:t>
      </w:r>
    </w:p>
    <w:p w14:paraId="5B3E9957" w14:textId="77777777" w:rsidR="003072CB" w:rsidRDefault="003072CB" w:rsidP="00543FBD">
      <w:pPr>
        <w:spacing w:before="0" w:after="0" w:line="240" w:lineRule="auto"/>
        <w:jc w:val="left"/>
        <w:rPr>
          <w:rFonts w:eastAsiaTheme="minorHAnsi"/>
          <w:bCs/>
        </w:rPr>
      </w:pPr>
    </w:p>
    <w:p w14:paraId="1D99AEB5" w14:textId="77777777" w:rsidR="00543FBD" w:rsidRDefault="00543FBD" w:rsidP="00543FBD">
      <w:pPr>
        <w:spacing w:before="0" w:after="0" w:line="240" w:lineRule="auto"/>
        <w:jc w:val="left"/>
        <w:rPr>
          <w:rFonts w:asciiTheme="majorHAnsi" w:eastAsia="MS Mincho" w:hAnsiTheme="majorHAnsi" w:cstheme="majorHAnsi"/>
          <w:lang w:val="en-US" w:eastAsia="en-GB"/>
        </w:rPr>
      </w:pPr>
      <w:r w:rsidRPr="00466924">
        <w:rPr>
          <w:rFonts w:asciiTheme="majorHAnsi" w:eastAsia="MS Mincho" w:hAnsiTheme="majorHAnsi" w:cstheme="majorHAnsi"/>
          <w:lang w:val="en-US" w:eastAsia="en-GB"/>
        </w:rPr>
        <w:t xml:space="preserve">Zhang, X., Shen, G. Q., Feng, J., </w:t>
      </w:r>
      <w:r>
        <w:rPr>
          <w:rFonts w:asciiTheme="majorHAnsi" w:eastAsia="MS Mincho" w:hAnsiTheme="majorHAnsi" w:cstheme="majorHAnsi"/>
          <w:lang w:val="en-US" w:eastAsia="en-GB"/>
        </w:rPr>
        <w:t>and</w:t>
      </w:r>
      <w:r w:rsidRPr="00466924">
        <w:rPr>
          <w:rFonts w:asciiTheme="majorHAnsi" w:eastAsia="MS Mincho" w:hAnsiTheme="majorHAnsi" w:cstheme="majorHAnsi"/>
          <w:lang w:val="en-US" w:eastAsia="en-GB"/>
        </w:rPr>
        <w:t xml:space="preserve"> Wu, Y. (2013). Delivering a low-carbon community in China: Technology vs. strategy? Habitat international, </w:t>
      </w:r>
      <w:r>
        <w:rPr>
          <w:rFonts w:asciiTheme="majorHAnsi" w:eastAsia="MS Mincho" w:hAnsiTheme="majorHAnsi" w:cstheme="majorHAnsi"/>
          <w:lang w:val="en-US" w:eastAsia="en-GB"/>
        </w:rPr>
        <w:t xml:space="preserve">vol. </w:t>
      </w:r>
      <w:r w:rsidRPr="00466924">
        <w:rPr>
          <w:rFonts w:asciiTheme="majorHAnsi" w:eastAsia="MS Mincho" w:hAnsiTheme="majorHAnsi" w:cstheme="majorHAnsi"/>
          <w:lang w:val="en-US" w:eastAsia="en-GB"/>
        </w:rPr>
        <w:t>37, 130-137.</w:t>
      </w:r>
    </w:p>
    <w:p w14:paraId="2BD02448" w14:textId="77777777" w:rsidR="00543FBD" w:rsidRPr="00466924" w:rsidRDefault="00543FBD" w:rsidP="00543FBD">
      <w:pPr>
        <w:spacing w:before="0" w:after="0" w:line="240" w:lineRule="auto"/>
        <w:jc w:val="left"/>
        <w:rPr>
          <w:rFonts w:asciiTheme="majorHAnsi" w:hAnsiTheme="majorHAnsi" w:cstheme="majorHAnsi"/>
        </w:rPr>
      </w:pPr>
    </w:p>
    <w:p w14:paraId="6B0C9F6B" w14:textId="77777777" w:rsidR="00543FBD" w:rsidRPr="00466924" w:rsidRDefault="00543FBD" w:rsidP="00543FBD">
      <w:pPr>
        <w:spacing w:before="0" w:after="0" w:line="240" w:lineRule="auto"/>
        <w:jc w:val="left"/>
        <w:rPr>
          <w:rFonts w:asciiTheme="majorHAnsi" w:hAnsiTheme="majorHAnsi" w:cstheme="majorHAnsi"/>
        </w:rPr>
      </w:pPr>
      <w:r w:rsidRPr="00466924">
        <w:rPr>
          <w:rFonts w:asciiTheme="majorHAnsi" w:eastAsia="MS Mincho" w:hAnsiTheme="majorHAnsi" w:cstheme="majorHAnsi"/>
          <w:lang w:val="en-US" w:eastAsia="en-GB"/>
        </w:rPr>
        <w:t>Zhang, X. (2016). Sustainable urbanization: a bi-dimensional matrix model. Journal of Cleaner Production</w:t>
      </w:r>
      <w:r>
        <w:rPr>
          <w:rFonts w:asciiTheme="majorHAnsi" w:eastAsia="MS Mincho" w:hAnsiTheme="majorHAnsi" w:cstheme="majorHAnsi"/>
          <w:lang w:val="en-US" w:eastAsia="en-GB"/>
        </w:rPr>
        <w:t xml:space="preserve">, vol. </w:t>
      </w:r>
      <w:r w:rsidRPr="00466924">
        <w:rPr>
          <w:rFonts w:asciiTheme="majorHAnsi" w:eastAsia="MS Mincho" w:hAnsiTheme="majorHAnsi" w:cstheme="majorHAnsi"/>
          <w:lang w:val="en-US" w:eastAsia="en-GB"/>
        </w:rPr>
        <w:t>134, 425-433.</w:t>
      </w:r>
    </w:p>
    <w:p w14:paraId="5E4CADBA" w14:textId="77777777" w:rsidR="00543FBD" w:rsidRPr="00466924" w:rsidRDefault="00543FBD" w:rsidP="00B92276">
      <w:pPr>
        <w:jc w:val="left"/>
        <w:rPr>
          <w:rFonts w:asciiTheme="majorHAnsi" w:hAnsiTheme="majorHAnsi" w:cstheme="majorHAnsi"/>
        </w:rPr>
      </w:pPr>
    </w:p>
    <w:sectPr w:rsidR="00543FBD" w:rsidRPr="00466924" w:rsidSect="004C7634">
      <w:pgSz w:w="11899" w:h="16838" w:code="9"/>
      <w:pgMar w:top="1418"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CB40" w14:textId="77777777" w:rsidR="00675A21" w:rsidRDefault="00675A21" w:rsidP="008F2018">
      <w:r>
        <w:separator/>
      </w:r>
    </w:p>
  </w:endnote>
  <w:endnote w:type="continuationSeparator" w:id="0">
    <w:p w14:paraId="4A8CB3EA" w14:textId="77777777" w:rsidR="00675A21" w:rsidRDefault="00675A21" w:rsidP="008F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Times-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F37C" w14:textId="77777777" w:rsidR="00675A21" w:rsidRDefault="00675A21" w:rsidP="008F2018">
      <w:r>
        <w:separator/>
      </w:r>
    </w:p>
  </w:footnote>
  <w:footnote w:type="continuationSeparator" w:id="0">
    <w:p w14:paraId="1A62A7CE" w14:textId="77777777" w:rsidR="00675A21" w:rsidRDefault="00675A21" w:rsidP="008F2018">
      <w:r>
        <w:continuationSeparator/>
      </w:r>
    </w:p>
  </w:footnote>
  <w:footnote w:id="1">
    <w:p w14:paraId="59C8EAC1" w14:textId="77777777" w:rsidR="006211F6" w:rsidRPr="003E6F3B" w:rsidRDefault="006211F6">
      <w:pPr>
        <w:pStyle w:val="FootnoteText"/>
        <w:rPr>
          <w:rFonts w:asciiTheme="minorHAnsi" w:hAnsiTheme="minorHAnsi" w:cstheme="minorHAnsi"/>
          <w:sz w:val="16"/>
          <w:szCs w:val="16"/>
          <w:lang w:val="en-GB"/>
        </w:rPr>
      </w:pPr>
      <w:r w:rsidRPr="003E6F3B">
        <w:rPr>
          <w:rStyle w:val="FootnoteReference"/>
          <w:rFonts w:asciiTheme="minorHAnsi" w:hAnsiTheme="minorHAnsi" w:cstheme="minorHAnsi"/>
          <w:sz w:val="16"/>
          <w:szCs w:val="16"/>
        </w:rPr>
        <w:footnoteRef/>
      </w:r>
      <w:r w:rsidRPr="003E6F3B">
        <w:rPr>
          <w:rFonts w:asciiTheme="minorHAnsi" w:hAnsiTheme="minorHAnsi" w:cstheme="minorHAnsi"/>
          <w:sz w:val="16"/>
          <w:szCs w:val="16"/>
        </w:rPr>
        <w:t xml:space="preserve"> </w:t>
      </w:r>
      <w:hyperlink r:id="rId1" w:history="1">
        <w:r w:rsidRPr="003E6F3B">
          <w:rPr>
            <w:rStyle w:val="Hyperlink"/>
            <w:rFonts w:asciiTheme="minorHAnsi" w:hAnsiTheme="minorHAnsi" w:cstheme="minorHAnsi"/>
            <w:sz w:val="16"/>
            <w:szCs w:val="16"/>
          </w:rPr>
          <w:t>http://eu-smartcities.eu/content/fp7-smart-cities-and-communities-call-proposals-now-open</w:t>
        </w:r>
      </w:hyperlink>
    </w:p>
  </w:footnote>
  <w:footnote w:id="2">
    <w:p w14:paraId="0BE2C5C8" w14:textId="77777777" w:rsidR="006211F6" w:rsidRPr="003C0D8C" w:rsidRDefault="006211F6" w:rsidP="00F331A4">
      <w:pPr>
        <w:pStyle w:val="FootnoteText"/>
        <w:rPr>
          <w:lang w:val="en-GB"/>
        </w:rPr>
      </w:pPr>
      <w:r w:rsidRPr="003E6F3B">
        <w:rPr>
          <w:rStyle w:val="FootnoteReference"/>
          <w:rFonts w:asciiTheme="minorHAnsi" w:hAnsiTheme="minorHAnsi" w:cstheme="minorHAnsi"/>
          <w:sz w:val="16"/>
          <w:szCs w:val="16"/>
        </w:rPr>
        <w:footnoteRef/>
      </w:r>
      <w:r w:rsidRPr="003E6F3B">
        <w:rPr>
          <w:rFonts w:asciiTheme="minorHAnsi" w:hAnsiTheme="minorHAnsi" w:cstheme="minorHAnsi"/>
          <w:sz w:val="16"/>
          <w:szCs w:val="16"/>
        </w:rPr>
        <w:t xml:space="preserve"> </w:t>
      </w:r>
      <w:hyperlink r:id="rId2" w:history="1">
        <w:r w:rsidRPr="003E6F3B">
          <w:rPr>
            <w:rStyle w:val="Hyperlink"/>
            <w:rFonts w:asciiTheme="minorHAnsi" w:hAnsiTheme="minorHAnsi" w:cstheme="minorHAnsi"/>
            <w:sz w:val="16"/>
            <w:szCs w:val="16"/>
          </w:rPr>
          <w:t>http://ec.europa.eu/research/regions/index_en.cfm?pg=smart_specialisation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24D6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8E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748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244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6A6E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D244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E83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782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0E2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4C4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5C03"/>
    <w:multiLevelType w:val="hybridMultilevel"/>
    <w:tmpl w:val="A7B0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A0177"/>
    <w:multiLevelType w:val="hybridMultilevel"/>
    <w:tmpl w:val="DCDA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21050"/>
    <w:multiLevelType w:val="multilevel"/>
    <w:tmpl w:val="CADE593A"/>
    <w:lvl w:ilvl="0">
      <w:start w:val="2"/>
      <w:numFmt w:val="decimal"/>
      <w:lvlText w:val="%1.4.1"/>
      <w:lvlJc w:val="left"/>
      <w:pPr>
        <w:tabs>
          <w:tab w:val="num" w:pos="525"/>
        </w:tabs>
        <w:ind w:left="525" w:hanging="525"/>
      </w:pPr>
      <w:rPr>
        <w:rFonts w:hint="default"/>
        <w:color w:val="auto"/>
      </w:rPr>
    </w:lvl>
    <w:lvl w:ilvl="1">
      <w:start w:val="1"/>
      <w:numFmt w:val="decimal"/>
      <w:lvlText w:val="%1-%2"/>
      <w:lvlJc w:val="left"/>
      <w:pPr>
        <w:tabs>
          <w:tab w:val="num" w:pos="965"/>
        </w:tabs>
        <w:ind w:left="965" w:hanging="525"/>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13" w15:restartNumberingAfterBreak="0">
    <w:nsid w:val="12952130"/>
    <w:multiLevelType w:val="multilevel"/>
    <w:tmpl w:val="C8C0E65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14EE32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E92120"/>
    <w:multiLevelType w:val="hybridMultilevel"/>
    <w:tmpl w:val="F4CE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96A1A"/>
    <w:multiLevelType w:val="multilevel"/>
    <w:tmpl w:val="2DFCAC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C213743"/>
    <w:multiLevelType w:val="hybridMultilevel"/>
    <w:tmpl w:val="66DC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66328"/>
    <w:multiLevelType w:val="hybridMultilevel"/>
    <w:tmpl w:val="819A7586"/>
    <w:lvl w:ilvl="0" w:tplc="DA8E1500">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FD0498"/>
    <w:multiLevelType w:val="multilevel"/>
    <w:tmpl w:val="8256ADD0"/>
    <w:lvl w:ilvl="0">
      <w:start w:val="1"/>
      <w:numFmt w:val="decimal"/>
      <w:lvlText w:val="%1"/>
      <w:lvlJc w:val="left"/>
      <w:pPr>
        <w:tabs>
          <w:tab w:val="num" w:pos="630"/>
        </w:tabs>
        <w:ind w:left="630" w:hanging="630"/>
      </w:pPr>
      <w:rPr>
        <w:rFonts w:hint="default"/>
        <w:color w:val="auto"/>
      </w:rPr>
    </w:lvl>
    <w:lvl w:ilvl="1">
      <w:start w:val="1"/>
      <w:numFmt w:val="decimal"/>
      <w:lvlText w:val="%1-%2"/>
      <w:lvlJc w:val="left"/>
      <w:pPr>
        <w:tabs>
          <w:tab w:val="num" w:pos="1050"/>
        </w:tabs>
        <w:ind w:left="1050" w:hanging="63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35F96083"/>
    <w:multiLevelType w:val="hybridMultilevel"/>
    <w:tmpl w:val="55087FC6"/>
    <w:lvl w:ilvl="0" w:tplc="895ABC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534D2"/>
    <w:multiLevelType w:val="multilevel"/>
    <w:tmpl w:val="BEA2F05A"/>
    <w:lvl w:ilvl="0">
      <w:start w:val="1"/>
      <w:numFmt w:val="decimal"/>
      <w:lvlText w:val="%1"/>
      <w:lvlJc w:val="left"/>
      <w:pPr>
        <w:tabs>
          <w:tab w:val="num" w:pos="525"/>
        </w:tabs>
        <w:ind w:left="525" w:hanging="525"/>
      </w:pPr>
      <w:rPr>
        <w:rFonts w:hint="default"/>
        <w:color w:val="auto"/>
      </w:rPr>
    </w:lvl>
    <w:lvl w:ilvl="1">
      <w:start w:val="1"/>
      <w:numFmt w:val="decimal"/>
      <w:lvlText w:val="%1-%2"/>
      <w:lvlJc w:val="left"/>
      <w:pPr>
        <w:tabs>
          <w:tab w:val="num" w:pos="965"/>
        </w:tabs>
        <w:ind w:left="965" w:hanging="525"/>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22" w15:restartNumberingAfterBreak="0">
    <w:nsid w:val="3F6C6049"/>
    <w:multiLevelType w:val="multilevel"/>
    <w:tmpl w:val="006A2E02"/>
    <w:lvl w:ilvl="0">
      <w:start w:val="2"/>
      <w:numFmt w:val="decimal"/>
      <w:lvlText w:val="%1"/>
      <w:lvlJc w:val="left"/>
      <w:pPr>
        <w:tabs>
          <w:tab w:val="num" w:pos="525"/>
        </w:tabs>
        <w:ind w:left="525" w:hanging="525"/>
      </w:pPr>
      <w:rPr>
        <w:rFonts w:hint="default"/>
        <w:color w:val="auto"/>
      </w:rPr>
    </w:lvl>
    <w:lvl w:ilvl="1">
      <w:start w:val="1"/>
      <w:numFmt w:val="decimal"/>
      <w:lvlText w:val="%1-%2"/>
      <w:lvlJc w:val="left"/>
      <w:pPr>
        <w:tabs>
          <w:tab w:val="num" w:pos="965"/>
        </w:tabs>
        <w:ind w:left="965" w:hanging="525"/>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23" w15:restartNumberingAfterBreak="0">
    <w:nsid w:val="436E1EC7"/>
    <w:multiLevelType w:val="multilevel"/>
    <w:tmpl w:val="64CEA168"/>
    <w:lvl w:ilvl="0">
      <w:start w:val="1"/>
      <w:numFmt w:val="decimal"/>
      <w:lvlText w:val="%1"/>
      <w:lvlJc w:val="left"/>
      <w:pPr>
        <w:tabs>
          <w:tab w:val="num" w:pos="630"/>
        </w:tabs>
        <w:ind w:left="630" w:hanging="630"/>
      </w:pPr>
      <w:rPr>
        <w:rFonts w:hint="default"/>
        <w:color w:val="auto"/>
      </w:rPr>
    </w:lvl>
    <w:lvl w:ilvl="1">
      <w:start w:val="1"/>
      <w:numFmt w:val="decimal"/>
      <w:lvlText w:val="%1-%2"/>
      <w:lvlJc w:val="left"/>
      <w:pPr>
        <w:tabs>
          <w:tab w:val="num" w:pos="1050"/>
        </w:tabs>
        <w:ind w:left="1050" w:hanging="63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24" w15:restartNumberingAfterBreak="0">
    <w:nsid w:val="44E54AEF"/>
    <w:multiLevelType w:val="hybridMultilevel"/>
    <w:tmpl w:val="A28C3D74"/>
    <w:lvl w:ilvl="0" w:tplc="08090001">
      <w:start w:val="1"/>
      <w:numFmt w:val="bullet"/>
      <w:lvlText w:val=""/>
      <w:lvlJc w:val="left"/>
      <w:pPr>
        <w:ind w:left="720" w:hanging="360"/>
      </w:pPr>
      <w:rPr>
        <w:rFonts w:ascii="Symbol" w:hAnsi="Symbol" w:hint="default"/>
      </w:rPr>
    </w:lvl>
    <w:lvl w:ilvl="1" w:tplc="DA8E1500">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8461B"/>
    <w:multiLevelType w:val="hybridMultilevel"/>
    <w:tmpl w:val="7C8A34B2"/>
    <w:lvl w:ilvl="0" w:tplc="59602B40">
      <w:start w:val="3"/>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62224F"/>
    <w:multiLevelType w:val="multilevel"/>
    <w:tmpl w:val="173815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0145449"/>
    <w:multiLevelType w:val="hybridMultilevel"/>
    <w:tmpl w:val="8530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C0274"/>
    <w:multiLevelType w:val="multilevel"/>
    <w:tmpl w:val="BEA2F05A"/>
    <w:lvl w:ilvl="0">
      <w:start w:val="1"/>
      <w:numFmt w:val="decimal"/>
      <w:lvlText w:val="%1"/>
      <w:lvlJc w:val="left"/>
      <w:pPr>
        <w:tabs>
          <w:tab w:val="num" w:pos="525"/>
        </w:tabs>
        <w:ind w:left="525" w:hanging="525"/>
      </w:pPr>
      <w:rPr>
        <w:rFonts w:hint="default"/>
        <w:color w:val="auto"/>
      </w:rPr>
    </w:lvl>
    <w:lvl w:ilvl="1">
      <w:start w:val="1"/>
      <w:numFmt w:val="decimal"/>
      <w:lvlText w:val="%1-%2"/>
      <w:lvlJc w:val="left"/>
      <w:pPr>
        <w:tabs>
          <w:tab w:val="num" w:pos="965"/>
        </w:tabs>
        <w:ind w:left="965" w:hanging="525"/>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29" w15:restartNumberingAfterBreak="0">
    <w:nsid w:val="534C41F4"/>
    <w:multiLevelType w:val="multilevel"/>
    <w:tmpl w:val="F14CBA6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ascii="Arial" w:hAnsi="Arial" w:hint="default"/>
        <w:b/>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A996415"/>
    <w:multiLevelType w:val="multilevel"/>
    <w:tmpl w:val="F6A0199C"/>
    <w:lvl w:ilvl="0">
      <w:start w:val="1"/>
      <w:numFmt w:val="decimal"/>
      <w:lvlText w:val="%1"/>
      <w:lvlJc w:val="left"/>
      <w:pPr>
        <w:tabs>
          <w:tab w:val="num" w:pos="630"/>
        </w:tabs>
        <w:ind w:left="630" w:hanging="630"/>
      </w:pPr>
      <w:rPr>
        <w:rFonts w:hint="default"/>
        <w:color w:val="auto"/>
      </w:rPr>
    </w:lvl>
    <w:lvl w:ilvl="1">
      <w:start w:val="1"/>
      <w:numFmt w:val="decimal"/>
      <w:lvlText w:val="%1-%2"/>
      <w:lvlJc w:val="left"/>
      <w:pPr>
        <w:tabs>
          <w:tab w:val="num" w:pos="1050"/>
        </w:tabs>
        <w:ind w:left="1050" w:hanging="63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1" w15:restartNumberingAfterBreak="0">
    <w:nsid w:val="5BDF446C"/>
    <w:multiLevelType w:val="hybridMultilevel"/>
    <w:tmpl w:val="5192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D7902"/>
    <w:multiLevelType w:val="multilevel"/>
    <w:tmpl w:val="E22EAF2E"/>
    <w:lvl w:ilvl="0">
      <w:start w:val="2"/>
      <w:numFmt w:val="decimal"/>
      <w:lvlText w:val="%1"/>
      <w:lvlJc w:val="left"/>
      <w:pPr>
        <w:tabs>
          <w:tab w:val="num" w:pos="630"/>
        </w:tabs>
        <w:ind w:left="630" w:hanging="630"/>
      </w:pPr>
      <w:rPr>
        <w:rFonts w:hint="default"/>
        <w:color w:val="auto"/>
      </w:rPr>
    </w:lvl>
    <w:lvl w:ilvl="1">
      <w:start w:val="1"/>
      <w:numFmt w:val="decimal"/>
      <w:lvlText w:val="%1-%2"/>
      <w:lvlJc w:val="left"/>
      <w:pPr>
        <w:tabs>
          <w:tab w:val="num" w:pos="1050"/>
        </w:tabs>
        <w:ind w:left="1050" w:hanging="63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3" w15:restartNumberingAfterBreak="0">
    <w:nsid w:val="60AF56F3"/>
    <w:multiLevelType w:val="multilevel"/>
    <w:tmpl w:val="64CEA168"/>
    <w:lvl w:ilvl="0">
      <w:start w:val="1"/>
      <w:numFmt w:val="decimal"/>
      <w:lvlText w:val="%1"/>
      <w:lvlJc w:val="left"/>
      <w:pPr>
        <w:tabs>
          <w:tab w:val="num" w:pos="630"/>
        </w:tabs>
        <w:ind w:left="630" w:hanging="630"/>
      </w:pPr>
      <w:rPr>
        <w:rFonts w:hint="default"/>
        <w:color w:val="auto"/>
      </w:rPr>
    </w:lvl>
    <w:lvl w:ilvl="1">
      <w:start w:val="1"/>
      <w:numFmt w:val="decimal"/>
      <w:lvlText w:val="%1-%2"/>
      <w:lvlJc w:val="left"/>
      <w:pPr>
        <w:tabs>
          <w:tab w:val="num" w:pos="1050"/>
        </w:tabs>
        <w:ind w:left="1050" w:hanging="63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4" w15:restartNumberingAfterBreak="0">
    <w:nsid w:val="624F2CF7"/>
    <w:multiLevelType w:val="multilevel"/>
    <w:tmpl w:val="CB76EEE0"/>
    <w:lvl w:ilvl="0">
      <w:start w:val="1"/>
      <w:numFmt w:val="decimal"/>
      <w:lvlText w:val="%1)"/>
      <w:lvlJc w:val="left"/>
      <w:pPr>
        <w:tabs>
          <w:tab w:val="num" w:pos="360"/>
        </w:tabs>
        <w:ind w:left="360" w:hanging="36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3D524FA"/>
    <w:multiLevelType w:val="hybridMultilevel"/>
    <w:tmpl w:val="59AA4352"/>
    <w:lvl w:ilvl="0" w:tplc="F490F6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B6B19"/>
    <w:multiLevelType w:val="multilevel"/>
    <w:tmpl w:val="D264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A20FDF"/>
    <w:multiLevelType w:val="multilevel"/>
    <w:tmpl w:val="87182E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FFC5678"/>
    <w:multiLevelType w:val="multilevel"/>
    <w:tmpl w:val="704A5B66"/>
    <w:lvl w:ilvl="0">
      <w:start w:val="2"/>
      <w:numFmt w:val="decimal"/>
      <w:lvlText w:val="%1.4.1"/>
      <w:lvlJc w:val="left"/>
      <w:pPr>
        <w:tabs>
          <w:tab w:val="num" w:pos="630"/>
        </w:tabs>
        <w:ind w:left="630" w:hanging="630"/>
      </w:pPr>
      <w:rPr>
        <w:rFonts w:hint="default"/>
        <w:color w:val="auto"/>
      </w:rPr>
    </w:lvl>
    <w:lvl w:ilvl="1">
      <w:start w:val="1"/>
      <w:numFmt w:val="decimal"/>
      <w:lvlText w:val="%1-%2"/>
      <w:lvlJc w:val="left"/>
      <w:pPr>
        <w:tabs>
          <w:tab w:val="num" w:pos="1050"/>
        </w:tabs>
        <w:ind w:left="1050" w:hanging="63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9" w15:restartNumberingAfterBreak="0">
    <w:nsid w:val="7C2310E4"/>
    <w:multiLevelType w:val="multilevel"/>
    <w:tmpl w:val="60DA05C0"/>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29"/>
  </w:num>
  <w:num w:numId="2">
    <w:abstractNumId w:val="16"/>
  </w:num>
  <w:num w:numId="3">
    <w:abstractNumId w:val="37"/>
  </w:num>
  <w:num w:numId="4">
    <w:abstractNumId w:val="21"/>
  </w:num>
  <w:num w:numId="5">
    <w:abstractNumId w:val="34"/>
  </w:num>
  <w:num w:numId="6">
    <w:abstractNumId w:val="22"/>
  </w:num>
  <w:num w:numId="7">
    <w:abstractNumId w:val="12"/>
  </w:num>
  <w:num w:numId="8">
    <w:abstractNumId w:val="32"/>
  </w:num>
  <w:num w:numId="9">
    <w:abstractNumId w:val="38"/>
  </w:num>
  <w:num w:numId="10">
    <w:abstractNumId w:val="23"/>
  </w:num>
  <w:num w:numId="11">
    <w:abstractNumId w:val="33"/>
  </w:num>
  <w:num w:numId="12">
    <w:abstractNumId w:val="30"/>
  </w:num>
  <w:num w:numId="13">
    <w:abstractNumId w:val="19"/>
  </w:num>
  <w:num w:numId="14">
    <w:abstractNumId w:val="28"/>
  </w:num>
  <w:num w:numId="15">
    <w:abstractNumId w:val="25"/>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6"/>
  </w:num>
  <w:num w:numId="27">
    <w:abstractNumId w:val="14"/>
  </w:num>
  <w:num w:numId="28">
    <w:abstractNumId w:val="17"/>
  </w:num>
  <w:num w:numId="29">
    <w:abstractNumId w:val="27"/>
  </w:num>
  <w:num w:numId="30">
    <w:abstractNumId w:val="15"/>
  </w:num>
  <w:num w:numId="31">
    <w:abstractNumId w:val="11"/>
  </w:num>
  <w:num w:numId="32">
    <w:abstractNumId w:val="24"/>
  </w:num>
  <w:num w:numId="33">
    <w:abstractNumId w:val="20"/>
  </w:num>
  <w:num w:numId="34">
    <w:abstractNumId w:val="18"/>
  </w:num>
  <w:num w:numId="35">
    <w:abstractNumId w:val="36"/>
  </w:num>
  <w:num w:numId="36">
    <w:abstractNumId w:val="13"/>
  </w:num>
  <w:num w:numId="37">
    <w:abstractNumId w:val="39"/>
  </w:num>
  <w:num w:numId="38">
    <w:abstractNumId w:val="35"/>
  </w:num>
  <w:num w:numId="39">
    <w:abstractNumId w:val="26"/>
    <w:lvlOverride w:ilvl="0">
      <w:startOverride w:val="6"/>
    </w:lvlOverride>
  </w:num>
  <w:num w:numId="40">
    <w:abstractNumId w:val="1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D1"/>
    <w:rsid w:val="0000004F"/>
    <w:rsid w:val="00002D67"/>
    <w:rsid w:val="00005E2F"/>
    <w:rsid w:val="0000682A"/>
    <w:rsid w:val="000116DB"/>
    <w:rsid w:val="00011D82"/>
    <w:rsid w:val="00012A23"/>
    <w:rsid w:val="00013EB3"/>
    <w:rsid w:val="00017AD0"/>
    <w:rsid w:val="000210B0"/>
    <w:rsid w:val="000211FF"/>
    <w:rsid w:val="000212F8"/>
    <w:rsid w:val="000219B9"/>
    <w:rsid w:val="00025259"/>
    <w:rsid w:val="00027936"/>
    <w:rsid w:val="00027E8F"/>
    <w:rsid w:val="00031F3C"/>
    <w:rsid w:val="00033F66"/>
    <w:rsid w:val="00036809"/>
    <w:rsid w:val="00036B7E"/>
    <w:rsid w:val="00040BB3"/>
    <w:rsid w:val="00042011"/>
    <w:rsid w:val="00043E71"/>
    <w:rsid w:val="000466F2"/>
    <w:rsid w:val="0005436A"/>
    <w:rsid w:val="00055368"/>
    <w:rsid w:val="00065FC9"/>
    <w:rsid w:val="00066AA1"/>
    <w:rsid w:val="0006732D"/>
    <w:rsid w:val="0007082F"/>
    <w:rsid w:val="00071169"/>
    <w:rsid w:val="00073FA4"/>
    <w:rsid w:val="00074132"/>
    <w:rsid w:val="00074E06"/>
    <w:rsid w:val="0007653A"/>
    <w:rsid w:val="00080D78"/>
    <w:rsid w:val="00080F81"/>
    <w:rsid w:val="00085BC2"/>
    <w:rsid w:val="00085D55"/>
    <w:rsid w:val="000941BB"/>
    <w:rsid w:val="00096382"/>
    <w:rsid w:val="00096883"/>
    <w:rsid w:val="000A05F9"/>
    <w:rsid w:val="000A07D8"/>
    <w:rsid w:val="000A1873"/>
    <w:rsid w:val="000A228E"/>
    <w:rsid w:val="000A334B"/>
    <w:rsid w:val="000A4496"/>
    <w:rsid w:val="000A5211"/>
    <w:rsid w:val="000A54D5"/>
    <w:rsid w:val="000A5D0D"/>
    <w:rsid w:val="000A7220"/>
    <w:rsid w:val="000B0D82"/>
    <w:rsid w:val="000B1AFB"/>
    <w:rsid w:val="000B4839"/>
    <w:rsid w:val="000B5EDC"/>
    <w:rsid w:val="000B65ED"/>
    <w:rsid w:val="000B7F55"/>
    <w:rsid w:val="000C113A"/>
    <w:rsid w:val="000C2221"/>
    <w:rsid w:val="000C3232"/>
    <w:rsid w:val="000C3EBC"/>
    <w:rsid w:val="000C440F"/>
    <w:rsid w:val="000C4B3F"/>
    <w:rsid w:val="000C5109"/>
    <w:rsid w:val="000C52A1"/>
    <w:rsid w:val="000C5EFC"/>
    <w:rsid w:val="000C7E6C"/>
    <w:rsid w:val="000D1EE8"/>
    <w:rsid w:val="000D2F85"/>
    <w:rsid w:val="000D7227"/>
    <w:rsid w:val="000E2165"/>
    <w:rsid w:val="000E45EB"/>
    <w:rsid w:val="000E625E"/>
    <w:rsid w:val="000E666A"/>
    <w:rsid w:val="000E77DD"/>
    <w:rsid w:val="000F01E4"/>
    <w:rsid w:val="000F135D"/>
    <w:rsid w:val="000F4E74"/>
    <w:rsid w:val="000F54A6"/>
    <w:rsid w:val="00101981"/>
    <w:rsid w:val="00110294"/>
    <w:rsid w:val="001102F4"/>
    <w:rsid w:val="00115643"/>
    <w:rsid w:val="0011686F"/>
    <w:rsid w:val="001170A2"/>
    <w:rsid w:val="00120018"/>
    <w:rsid w:val="00120055"/>
    <w:rsid w:val="00120121"/>
    <w:rsid w:val="001211DA"/>
    <w:rsid w:val="001212EB"/>
    <w:rsid w:val="00122CB3"/>
    <w:rsid w:val="0012318B"/>
    <w:rsid w:val="0012450E"/>
    <w:rsid w:val="001245B7"/>
    <w:rsid w:val="00125F4F"/>
    <w:rsid w:val="00126573"/>
    <w:rsid w:val="00127265"/>
    <w:rsid w:val="001308DE"/>
    <w:rsid w:val="00131619"/>
    <w:rsid w:val="00132F14"/>
    <w:rsid w:val="00133980"/>
    <w:rsid w:val="00140BDB"/>
    <w:rsid w:val="00140CE7"/>
    <w:rsid w:val="00141AA5"/>
    <w:rsid w:val="001437B7"/>
    <w:rsid w:val="00143BBE"/>
    <w:rsid w:val="001440BC"/>
    <w:rsid w:val="00144B35"/>
    <w:rsid w:val="00145751"/>
    <w:rsid w:val="001460FD"/>
    <w:rsid w:val="00146578"/>
    <w:rsid w:val="00146C2D"/>
    <w:rsid w:val="00146F7E"/>
    <w:rsid w:val="00147B9E"/>
    <w:rsid w:val="001512D2"/>
    <w:rsid w:val="001513E8"/>
    <w:rsid w:val="0015390E"/>
    <w:rsid w:val="001579BA"/>
    <w:rsid w:val="00157BF8"/>
    <w:rsid w:val="001628D3"/>
    <w:rsid w:val="00165AB8"/>
    <w:rsid w:val="001735EF"/>
    <w:rsid w:val="00175DD3"/>
    <w:rsid w:val="00175F7F"/>
    <w:rsid w:val="0017645F"/>
    <w:rsid w:val="001767B9"/>
    <w:rsid w:val="001808DD"/>
    <w:rsid w:val="00180D8C"/>
    <w:rsid w:val="0018176E"/>
    <w:rsid w:val="001823E3"/>
    <w:rsid w:val="001826A1"/>
    <w:rsid w:val="00182FE4"/>
    <w:rsid w:val="00184A12"/>
    <w:rsid w:val="0018538B"/>
    <w:rsid w:val="001872C0"/>
    <w:rsid w:val="00187BE8"/>
    <w:rsid w:val="00190C3F"/>
    <w:rsid w:val="00191C6B"/>
    <w:rsid w:val="001A4A5E"/>
    <w:rsid w:val="001A4BBE"/>
    <w:rsid w:val="001A7FEC"/>
    <w:rsid w:val="001B64C0"/>
    <w:rsid w:val="001B6DB5"/>
    <w:rsid w:val="001B738F"/>
    <w:rsid w:val="001C0E7D"/>
    <w:rsid w:val="001D1205"/>
    <w:rsid w:val="001D157F"/>
    <w:rsid w:val="001D3461"/>
    <w:rsid w:val="001E29C9"/>
    <w:rsid w:val="001E2CA7"/>
    <w:rsid w:val="001E3609"/>
    <w:rsid w:val="001E492D"/>
    <w:rsid w:val="001E6CB7"/>
    <w:rsid w:val="001E79E3"/>
    <w:rsid w:val="001F0D97"/>
    <w:rsid w:val="001F1A09"/>
    <w:rsid w:val="001F363B"/>
    <w:rsid w:val="001F3D98"/>
    <w:rsid w:val="00200734"/>
    <w:rsid w:val="00202155"/>
    <w:rsid w:val="00203717"/>
    <w:rsid w:val="00203F1D"/>
    <w:rsid w:val="00211054"/>
    <w:rsid w:val="002114A1"/>
    <w:rsid w:val="002137A6"/>
    <w:rsid w:val="00215722"/>
    <w:rsid w:val="00215D7E"/>
    <w:rsid w:val="00220560"/>
    <w:rsid w:val="00221370"/>
    <w:rsid w:val="002221C8"/>
    <w:rsid w:val="00223579"/>
    <w:rsid w:val="00223C7F"/>
    <w:rsid w:val="00224867"/>
    <w:rsid w:val="00231FF3"/>
    <w:rsid w:val="00232298"/>
    <w:rsid w:val="00232A08"/>
    <w:rsid w:val="0023515E"/>
    <w:rsid w:val="00235F9C"/>
    <w:rsid w:val="00245A7E"/>
    <w:rsid w:val="002466C6"/>
    <w:rsid w:val="00253604"/>
    <w:rsid w:val="00255396"/>
    <w:rsid w:val="00256CAF"/>
    <w:rsid w:val="00257A84"/>
    <w:rsid w:val="0026013D"/>
    <w:rsid w:val="002601C2"/>
    <w:rsid w:val="00261F65"/>
    <w:rsid w:val="00262AB4"/>
    <w:rsid w:val="00265C4B"/>
    <w:rsid w:val="002760A1"/>
    <w:rsid w:val="002771FB"/>
    <w:rsid w:val="002772ED"/>
    <w:rsid w:val="002822BC"/>
    <w:rsid w:val="00283B07"/>
    <w:rsid w:val="002879AF"/>
    <w:rsid w:val="002A0C71"/>
    <w:rsid w:val="002A1CAC"/>
    <w:rsid w:val="002A25FB"/>
    <w:rsid w:val="002B0F96"/>
    <w:rsid w:val="002B2027"/>
    <w:rsid w:val="002B4260"/>
    <w:rsid w:val="002C12A3"/>
    <w:rsid w:val="002C274F"/>
    <w:rsid w:val="002C287E"/>
    <w:rsid w:val="002C28B5"/>
    <w:rsid w:val="002C2C3C"/>
    <w:rsid w:val="002C67BC"/>
    <w:rsid w:val="002C6E4F"/>
    <w:rsid w:val="002D129D"/>
    <w:rsid w:val="002D284B"/>
    <w:rsid w:val="002D2B4B"/>
    <w:rsid w:val="002D31FB"/>
    <w:rsid w:val="002D420E"/>
    <w:rsid w:val="002D451A"/>
    <w:rsid w:val="002D4A6C"/>
    <w:rsid w:val="002D4F13"/>
    <w:rsid w:val="002D79FB"/>
    <w:rsid w:val="002E3D6A"/>
    <w:rsid w:val="002E5558"/>
    <w:rsid w:val="002F027D"/>
    <w:rsid w:val="002F34F9"/>
    <w:rsid w:val="002F35BE"/>
    <w:rsid w:val="002F37CB"/>
    <w:rsid w:val="002F4938"/>
    <w:rsid w:val="002F4C72"/>
    <w:rsid w:val="002F6F03"/>
    <w:rsid w:val="0030014C"/>
    <w:rsid w:val="003001B3"/>
    <w:rsid w:val="00304693"/>
    <w:rsid w:val="00306FD3"/>
    <w:rsid w:val="003072CB"/>
    <w:rsid w:val="00307A63"/>
    <w:rsid w:val="00310D66"/>
    <w:rsid w:val="00311D53"/>
    <w:rsid w:val="00314EED"/>
    <w:rsid w:val="0032009B"/>
    <w:rsid w:val="003210B4"/>
    <w:rsid w:val="0032249A"/>
    <w:rsid w:val="00322D8D"/>
    <w:rsid w:val="0032533C"/>
    <w:rsid w:val="003273BF"/>
    <w:rsid w:val="0033039E"/>
    <w:rsid w:val="00334054"/>
    <w:rsid w:val="003349F8"/>
    <w:rsid w:val="003350A8"/>
    <w:rsid w:val="00335CAA"/>
    <w:rsid w:val="0034129F"/>
    <w:rsid w:val="00344577"/>
    <w:rsid w:val="00345937"/>
    <w:rsid w:val="00345BFF"/>
    <w:rsid w:val="00351129"/>
    <w:rsid w:val="00353993"/>
    <w:rsid w:val="0035441D"/>
    <w:rsid w:val="00354D09"/>
    <w:rsid w:val="00356BD8"/>
    <w:rsid w:val="003613E4"/>
    <w:rsid w:val="00361521"/>
    <w:rsid w:val="00361ED5"/>
    <w:rsid w:val="0036708A"/>
    <w:rsid w:val="00370014"/>
    <w:rsid w:val="00375D3B"/>
    <w:rsid w:val="00377CC8"/>
    <w:rsid w:val="00380590"/>
    <w:rsid w:val="00380D09"/>
    <w:rsid w:val="00382FDE"/>
    <w:rsid w:val="00384CC4"/>
    <w:rsid w:val="00385B39"/>
    <w:rsid w:val="00387844"/>
    <w:rsid w:val="0039056F"/>
    <w:rsid w:val="00394B96"/>
    <w:rsid w:val="003961DB"/>
    <w:rsid w:val="00397273"/>
    <w:rsid w:val="003A1F03"/>
    <w:rsid w:val="003A553E"/>
    <w:rsid w:val="003A5670"/>
    <w:rsid w:val="003B0967"/>
    <w:rsid w:val="003B591D"/>
    <w:rsid w:val="003B5F1C"/>
    <w:rsid w:val="003B644D"/>
    <w:rsid w:val="003B6B4D"/>
    <w:rsid w:val="003C0115"/>
    <w:rsid w:val="003C0BB7"/>
    <w:rsid w:val="003C0D8C"/>
    <w:rsid w:val="003C1790"/>
    <w:rsid w:val="003C69AB"/>
    <w:rsid w:val="003D08C0"/>
    <w:rsid w:val="003D3D2E"/>
    <w:rsid w:val="003D4A45"/>
    <w:rsid w:val="003D5A07"/>
    <w:rsid w:val="003D61CA"/>
    <w:rsid w:val="003D6C13"/>
    <w:rsid w:val="003E5C16"/>
    <w:rsid w:val="003E6F3B"/>
    <w:rsid w:val="003F003D"/>
    <w:rsid w:val="003F0B5C"/>
    <w:rsid w:val="003F355F"/>
    <w:rsid w:val="003F3AC5"/>
    <w:rsid w:val="003F4065"/>
    <w:rsid w:val="003F4BE3"/>
    <w:rsid w:val="003F50FB"/>
    <w:rsid w:val="003F75BC"/>
    <w:rsid w:val="003F77FE"/>
    <w:rsid w:val="0040007A"/>
    <w:rsid w:val="00411302"/>
    <w:rsid w:val="00413856"/>
    <w:rsid w:val="00415730"/>
    <w:rsid w:val="00420751"/>
    <w:rsid w:val="00420E5B"/>
    <w:rsid w:val="00423CE4"/>
    <w:rsid w:val="004240BD"/>
    <w:rsid w:val="00424179"/>
    <w:rsid w:val="0042706B"/>
    <w:rsid w:val="004277D2"/>
    <w:rsid w:val="0042793A"/>
    <w:rsid w:val="0043379A"/>
    <w:rsid w:val="00441F1C"/>
    <w:rsid w:val="0044771A"/>
    <w:rsid w:val="00447911"/>
    <w:rsid w:val="00447E93"/>
    <w:rsid w:val="0045531F"/>
    <w:rsid w:val="00455916"/>
    <w:rsid w:val="00456C32"/>
    <w:rsid w:val="00462801"/>
    <w:rsid w:val="00465083"/>
    <w:rsid w:val="00466924"/>
    <w:rsid w:val="0046742C"/>
    <w:rsid w:val="00470D2F"/>
    <w:rsid w:val="00471A2D"/>
    <w:rsid w:val="00471F84"/>
    <w:rsid w:val="00473780"/>
    <w:rsid w:val="0047392C"/>
    <w:rsid w:val="0047396A"/>
    <w:rsid w:val="004748A2"/>
    <w:rsid w:val="0047544C"/>
    <w:rsid w:val="0047700D"/>
    <w:rsid w:val="00477552"/>
    <w:rsid w:val="004800E3"/>
    <w:rsid w:val="004809BB"/>
    <w:rsid w:val="00483089"/>
    <w:rsid w:val="004840ED"/>
    <w:rsid w:val="00485952"/>
    <w:rsid w:val="00491589"/>
    <w:rsid w:val="00491D7C"/>
    <w:rsid w:val="0049275C"/>
    <w:rsid w:val="00495051"/>
    <w:rsid w:val="004A085B"/>
    <w:rsid w:val="004A3029"/>
    <w:rsid w:val="004A7B00"/>
    <w:rsid w:val="004B060A"/>
    <w:rsid w:val="004B0973"/>
    <w:rsid w:val="004B0CE2"/>
    <w:rsid w:val="004B3BF1"/>
    <w:rsid w:val="004B4957"/>
    <w:rsid w:val="004B644C"/>
    <w:rsid w:val="004B77DB"/>
    <w:rsid w:val="004C0F0E"/>
    <w:rsid w:val="004C1A65"/>
    <w:rsid w:val="004C68AB"/>
    <w:rsid w:val="004C6ED0"/>
    <w:rsid w:val="004C7634"/>
    <w:rsid w:val="004C7EB6"/>
    <w:rsid w:val="004D1214"/>
    <w:rsid w:val="004D2C9A"/>
    <w:rsid w:val="004D4B5D"/>
    <w:rsid w:val="004D5CF4"/>
    <w:rsid w:val="004D7349"/>
    <w:rsid w:val="004D7FB3"/>
    <w:rsid w:val="004E34AC"/>
    <w:rsid w:val="004F0931"/>
    <w:rsid w:val="004F4952"/>
    <w:rsid w:val="004F4C1C"/>
    <w:rsid w:val="00500B75"/>
    <w:rsid w:val="00506553"/>
    <w:rsid w:val="00506B2C"/>
    <w:rsid w:val="0050763D"/>
    <w:rsid w:val="005076D3"/>
    <w:rsid w:val="00516816"/>
    <w:rsid w:val="00522E86"/>
    <w:rsid w:val="00524C1A"/>
    <w:rsid w:val="00530FC3"/>
    <w:rsid w:val="005329E6"/>
    <w:rsid w:val="00535B3E"/>
    <w:rsid w:val="005401FE"/>
    <w:rsid w:val="005432F3"/>
    <w:rsid w:val="00543FBD"/>
    <w:rsid w:val="0054469C"/>
    <w:rsid w:val="00544C1D"/>
    <w:rsid w:val="00545E14"/>
    <w:rsid w:val="00546D69"/>
    <w:rsid w:val="00552230"/>
    <w:rsid w:val="00552D04"/>
    <w:rsid w:val="00553018"/>
    <w:rsid w:val="00553568"/>
    <w:rsid w:val="0055466E"/>
    <w:rsid w:val="00562D78"/>
    <w:rsid w:val="00563B47"/>
    <w:rsid w:val="00570500"/>
    <w:rsid w:val="00571AA8"/>
    <w:rsid w:val="005720B8"/>
    <w:rsid w:val="0057483D"/>
    <w:rsid w:val="00575AAE"/>
    <w:rsid w:val="005769E1"/>
    <w:rsid w:val="00576E17"/>
    <w:rsid w:val="00576E6A"/>
    <w:rsid w:val="00581A8E"/>
    <w:rsid w:val="00581F4C"/>
    <w:rsid w:val="00582889"/>
    <w:rsid w:val="00582FBF"/>
    <w:rsid w:val="0058471C"/>
    <w:rsid w:val="0058552D"/>
    <w:rsid w:val="00585CE0"/>
    <w:rsid w:val="0059550E"/>
    <w:rsid w:val="00597603"/>
    <w:rsid w:val="005977B7"/>
    <w:rsid w:val="005A028F"/>
    <w:rsid w:val="005A112D"/>
    <w:rsid w:val="005A23E9"/>
    <w:rsid w:val="005A519E"/>
    <w:rsid w:val="005A6392"/>
    <w:rsid w:val="005A6709"/>
    <w:rsid w:val="005A6AED"/>
    <w:rsid w:val="005A7FBC"/>
    <w:rsid w:val="005B11E4"/>
    <w:rsid w:val="005B2EF8"/>
    <w:rsid w:val="005B3442"/>
    <w:rsid w:val="005B549E"/>
    <w:rsid w:val="005B7CE1"/>
    <w:rsid w:val="005D1826"/>
    <w:rsid w:val="005D1C47"/>
    <w:rsid w:val="005D2B63"/>
    <w:rsid w:val="005D323A"/>
    <w:rsid w:val="005D3FDF"/>
    <w:rsid w:val="005D6BB4"/>
    <w:rsid w:val="005E02DE"/>
    <w:rsid w:val="005E6CA8"/>
    <w:rsid w:val="005E7601"/>
    <w:rsid w:val="005E7D0A"/>
    <w:rsid w:val="005F0723"/>
    <w:rsid w:val="005F1E51"/>
    <w:rsid w:val="005F2915"/>
    <w:rsid w:val="005F293C"/>
    <w:rsid w:val="005F537F"/>
    <w:rsid w:val="005F5DE8"/>
    <w:rsid w:val="005F7691"/>
    <w:rsid w:val="00606DD6"/>
    <w:rsid w:val="00606E2A"/>
    <w:rsid w:val="006100B7"/>
    <w:rsid w:val="00613546"/>
    <w:rsid w:val="00613679"/>
    <w:rsid w:val="00614294"/>
    <w:rsid w:val="00615A78"/>
    <w:rsid w:val="00615B9E"/>
    <w:rsid w:val="006205CF"/>
    <w:rsid w:val="006211E2"/>
    <w:rsid w:val="006211F6"/>
    <w:rsid w:val="0062362F"/>
    <w:rsid w:val="00626EA1"/>
    <w:rsid w:val="006309F7"/>
    <w:rsid w:val="00631E51"/>
    <w:rsid w:val="00635BAE"/>
    <w:rsid w:val="006369DA"/>
    <w:rsid w:val="0063762B"/>
    <w:rsid w:val="00637AFA"/>
    <w:rsid w:val="006403A9"/>
    <w:rsid w:val="00641E71"/>
    <w:rsid w:val="00651A6E"/>
    <w:rsid w:val="006566F4"/>
    <w:rsid w:val="00656CB8"/>
    <w:rsid w:val="00656CC6"/>
    <w:rsid w:val="006570B4"/>
    <w:rsid w:val="006606BC"/>
    <w:rsid w:val="00664A66"/>
    <w:rsid w:val="00667365"/>
    <w:rsid w:val="0067185D"/>
    <w:rsid w:val="00675A21"/>
    <w:rsid w:val="00680433"/>
    <w:rsid w:val="00680CC0"/>
    <w:rsid w:val="006812B2"/>
    <w:rsid w:val="00681D67"/>
    <w:rsid w:val="00683D0E"/>
    <w:rsid w:val="006842D9"/>
    <w:rsid w:val="006849A0"/>
    <w:rsid w:val="006855DB"/>
    <w:rsid w:val="00685F1B"/>
    <w:rsid w:val="00687E67"/>
    <w:rsid w:val="0069077E"/>
    <w:rsid w:val="006928A5"/>
    <w:rsid w:val="006937D8"/>
    <w:rsid w:val="006952DB"/>
    <w:rsid w:val="006A37AA"/>
    <w:rsid w:val="006A5590"/>
    <w:rsid w:val="006A6400"/>
    <w:rsid w:val="006A7468"/>
    <w:rsid w:val="006B0769"/>
    <w:rsid w:val="006B0B79"/>
    <w:rsid w:val="006B25E4"/>
    <w:rsid w:val="006B2826"/>
    <w:rsid w:val="006B2B13"/>
    <w:rsid w:val="006B4637"/>
    <w:rsid w:val="006B67DA"/>
    <w:rsid w:val="006C2226"/>
    <w:rsid w:val="006D4973"/>
    <w:rsid w:val="006D4C36"/>
    <w:rsid w:val="006D51DF"/>
    <w:rsid w:val="006D5A8A"/>
    <w:rsid w:val="006D6EDF"/>
    <w:rsid w:val="006D6F59"/>
    <w:rsid w:val="006E608B"/>
    <w:rsid w:val="006E63F1"/>
    <w:rsid w:val="006E6D49"/>
    <w:rsid w:val="006E737B"/>
    <w:rsid w:val="006F06E7"/>
    <w:rsid w:val="006F4BB0"/>
    <w:rsid w:val="006F60C8"/>
    <w:rsid w:val="006F7413"/>
    <w:rsid w:val="007014F6"/>
    <w:rsid w:val="00701F3C"/>
    <w:rsid w:val="0070204B"/>
    <w:rsid w:val="00703E9B"/>
    <w:rsid w:val="00706240"/>
    <w:rsid w:val="0070795D"/>
    <w:rsid w:val="00711572"/>
    <w:rsid w:val="007129CF"/>
    <w:rsid w:val="007134C2"/>
    <w:rsid w:val="007137BE"/>
    <w:rsid w:val="00714FFB"/>
    <w:rsid w:val="00716247"/>
    <w:rsid w:val="00716C9C"/>
    <w:rsid w:val="00717B92"/>
    <w:rsid w:val="007209CC"/>
    <w:rsid w:val="00720CA3"/>
    <w:rsid w:val="00721DAE"/>
    <w:rsid w:val="0072265B"/>
    <w:rsid w:val="0072331E"/>
    <w:rsid w:val="00724248"/>
    <w:rsid w:val="0072436A"/>
    <w:rsid w:val="00724CA2"/>
    <w:rsid w:val="0073063D"/>
    <w:rsid w:val="00730A27"/>
    <w:rsid w:val="00733ADA"/>
    <w:rsid w:val="0073429E"/>
    <w:rsid w:val="007351A9"/>
    <w:rsid w:val="00736FEF"/>
    <w:rsid w:val="00741BF1"/>
    <w:rsid w:val="00743BAE"/>
    <w:rsid w:val="0074534C"/>
    <w:rsid w:val="00750717"/>
    <w:rsid w:val="00754DBF"/>
    <w:rsid w:val="007557A3"/>
    <w:rsid w:val="007572B8"/>
    <w:rsid w:val="00757D86"/>
    <w:rsid w:val="007625FD"/>
    <w:rsid w:val="00762649"/>
    <w:rsid w:val="007627CC"/>
    <w:rsid w:val="0076380C"/>
    <w:rsid w:val="00766430"/>
    <w:rsid w:val="007667BE"/>
    <w:rsid w:val="007706BA"/>
    <w:rsid w:val="00770DFB"/>
    <w:rsid w:val="007753E5"/>
    <w:rsid w:val="0077541F"/>
    <w:rsid w:val="0077633E"/>
    <w:rsid w:val="007766AD"/>
    <w:rsid w:val="007806B1"/>
    <w:rsid w:val="00780860"/>
    <w:rsid w:val="00780BF8"/>
    <w:rsid w:val="00780C70"/>
    <w:rsid w:val="00781A5D"/>
    <w:rsid w:val="007825C3"/>
    <w:rsid w:val="0078364A"/>
    <w:rsid w:val="00785F8E"/>
    <w:rsid w:val="00786517"/>
    <w:rsid w:val="00786AFD"/>
    <w:rsid w:val="00787A4F"/>
    <w:rsid w:val="00787EE3"/>
    <w:rsid w:val="007916B7"/>
    <w:rsid w:val="00791A21"/>
    <w:rsid w:val="00795A8A"/>
    <w:rsid w:val="007A004C"/>
    <w:rsid w:val="007A045D"/>
    <w:rsid w:val="007A2B84"/>
    <w:rsid w:val="007A4ADD"/>
    <w:rsid w:val="007B2A5F"/>
    <w:rsid w:val="007B384B"/>
    <w:rsid w:val="007B495F"/>
    <w:rsid w:val="007C3034"/>
    <w:rsid w:val="007C30B7"/>
    <w:rsid w:val="007C4F5D"/>
    <w:rsid w:val="007C54CA"/>
    <w:rsid w:val="007C5CEA"/>
    <w:rsid w:val="007C62C5"/>
    <w:rsid w:val="007C6383"/>
    <w:rsid w:val="007D0597"/>
    <w:rsid w:val="007D07E8"/>
    <w:rsid w:val="007D399F"/>
    <w:rsid w:val="007D412D"/>
    <w:rsid w:val="007D471A"/>
    <w:rsid w:val="007D51F6"/>
    <w:rsid w:val="007D6879"/>
    <w:rsid w:val="007E073F"/>
    <w:rsid w:val="007E49DA"/>
    <w:rsid w:val="007E63D0"/>
    <w:rsid w:val="007E6AA8"/>
    <w:rsid w:val="007F17C0"/>
    <w:rsid w:val="007F2208"/>
    <w:rsid w:val="007F3402"/>
    <w:rsid w:val="007F3D34"/>
    <w:rsid w:val="007F6670"/>
    <w:rsid w:val="007F71E0"/>
    <w:rsid w:val="008023FF"/>
    <w:rsid w:val="0080274F"/>
    <w:rsid w:val="0080440D"/>
    <w:rsid w:val="00806478"/>
    <w:rsid w:val="00810343"/>
    <w:rsid w:val="0081047A"/>
    <w:rsid w:val="00811C79"/>
    <w:rsid w:val="0081565E"/>
    <w:rsid w:val="008174F0"/>
    <w:rsid w:val="00817826"/>
    <w:rsid w:val="00821360"/>
    <w:rsid w:val="00821406"/>
    <w:rsid w:val="0082174C"/>
    <w:rsid w:val="00825DBB"/>
    <w:rsid w:val="00825DE4"/>
    <w:rsid w:val="00827352"/>
    <w:rsid w:val="00827AEB"/>
    <w:rsid w:val="00827F96"/>
    <w:rsid w:val="00833320"/>
    <w:rsid w:val="008341C8"/>
    <w:rsid w:val="00835C65"/>
    <w:rsid w:val="00837976"/>
    <w:rsid w:val="00841002"/>
    <w:rsid w:val="00843EE2"/>
    <w:rsid w:val="00845408"/>
    <w:rsid w:val="00845622"/>
    <w:rsid w:val="00845AB2"/>
    <w:rsid w:val="00851B93"/>
    <w:rsid w:val="00851D9C"/>
    <w:rsid w:val="00852F13"/>
    <w:rsid w:val="00855B02"/>
    <w:rsid w:val="00855D82"/>
    <w:rsid w:val="00857789"/>
    <w:rsid w:val="00860412"/>
    <w:rsid w:val="00861B60"/>
    <w:rsid w:val="00866CB9"/>
    <w:rsid w:val="00867A4C"/>
    <w:rsid w:val="0087044E"/>
    <w:rsid w:val="00870479"/>
    <w:rsid w:val="00871A15"/>
    <w:rsid w:val="008729EF"/>
    <w:rsid w:val="008743D2"/>
    <w:rsid w:val="00874486"/>
    <w:rsid w:val="00874808"/>
    <w:rsid w:val="00874F01"/>
    <w:rsid w:val="008752CE"/>
    <w:rsid w:val="00883283"/>
    <w:rsid w:val="00885599"/>
    <w:rsid w:val="00886826"/>
    <w:rsid w:val="00891CC8"/>
    <w:rsid w:val="00893E2E"/>
    <w:rsid w:val="00894377"/>
    <w:rsid w:val="008A312C"/>
    <w:rsid w:val="008B434E"/>
    <w:rsid w:val="008B567B"/>
    <w:rsid w:val="008B575B"/>
    <w:rsid w:val="008B6DC6"/>
    <w:rsid w:val="008C004F"/>
    <w:rsid w:val="008C127D"/>
    <w:rsid w:val="008C1416"/>
    <w:rsid w:val="008C76CA"/>
    <w:rsid w:val="008C7F08"/>
    <w:rsid w:val="008D4DF6"/>
    <w:rsid w:val="008F2018"/>
    <w:rsid w:val="008F4532"/>
    <w:rsid w:val="008F52A5"/>
    <w:rsid w:val="008F707E"/>
    <w:rsid w:val="00900D33"/>
    <w:rsid w:val="0090140A"/>
    <w:rsid w:val="00902899"/>
    <w:rsid w:val="0090612F"/>
    <w:rsid w:val="00911630"/>
    <w:rsid w:val="0091278A"/>
    <w:rsid w:val="009156C3"/>
    <w:rsid w:val="009201D8"/>
    <w:rsid w:val="00921639"/>
    <w:rsid w:val="00921D25"/>
    <w:rsid w:val="0092252F"/>
    <w:rsid w:val="00924B34"/>
    <w:rsid w:val="00926FB0"/>
    <w:rsid w:val="009305E8"/>
    <w:rsid w:val="00934532"/>
    <w:rsid w:val="00940E04"/>
    <w:rsid w:val="00941A9A"/>
    <w:rsid w:val="009457E8"/>
    <w:rsid w:val="00950375"/>
    <w:rsid w:val="00951965"/>
    <w:rsid w:val="00966DF5"/>
    <w:rsid w:val="0096796E"/>
    <w:rsid w:val="00971005"/>
    <w:rsid w:val="009752E5"/>
    <w:rsid w:val="00976F7A"/>
    <w:rsid w:val="00976FDC"/>
    <w:rsid w:val="0098184C"/>
    <w:rsid w:val="00981FFF"/>
    <w:rsid w:val="009840F4"/>
    <w:rsid w:val="00985BF8"/>
    <w:rsid w:val="00992EB3"/>
    <w:rsid w:val="00994140"/>
    <w:rsid w:val="00994772"/>
    <w:rsid w:val="009A17A1"/>
    <w:rsid w:val="009A1D14"/>
    <w:rsid w:val="009A2147"/>
    <w:rsid w:val="009A22F5"/>
    <w:rsid w:val="009A3D92"/>
    <w:rsid w:val="009A5D99"/>
    <w:rsid w:val="009B103C"/>
    <w:rsid w:val="009B4780"/>
    <w:rsid w:val="009B5044"/>
    <w:rsid w:val="009B5A30"/>
    <w:rsid w:val="009B65B8"/>
    <w:rsid w:val="009C1D1A"/>
    <w:rsid w:val="009C37FF"/>
    <w:rsid w:val="009C5780"/>
    <w:rsid w:val="009C5F4B"/>
    <w:rsid w:val="009C6FDA"/>
    <w:rsid w:val="009C7049"/>
    <w:rsid w:val="009C7AC2"/>
    <w:rsid w:val="009D02D0"/>
    <w:rsid w:val="009D5511"/>
    <w:rsid w:val="009D5850"/>
    <w:rsid w:val="009D7069"/>
    <w:rsid w:val="009E0D2E"/>
    <w:rsid w:val="009E2908"/>
    <w:rsid w:val="009E77D3"/>
    <w:rsid w:val="009E7935"/>
    <w:rsid w:val="009F165B"/>
    <w:rsid w:val="009F255C"/>
    <w:rsid w:val="009F364C"/>
    <w:rsid w:val="009F5870"/>
    <w:rsid w:val="009F71B2"/>
    <w:rsid w:val="00A060D0"/>
    <w:rsid w:val="00A06BE4"/>
    <w:rsid w:val="00A10B40"/>
    <w:rsid w:val="00A1335F"/>
    <w:rsid w:val="00A147D9"/>
    <w:rsid w:val="00A151BD"/>
    <w:rsid w:val="00A15744"/>
    <w:rsid w:val="00A16FB2"/>
    <w:rsid w:val="00A23349"/>
    <w:rsid w:val="00A238D1"/>
    <w:rsid w:val="00A23975"/>
    <w:rsid w:val="00A23F76"/>
    <w:rsid w:val="00A241A7"/>
    <w:rsid w:val="00A243CB"/>
    <w:rsid w:val="00A26C26"/>
    <w:rsid w:val="00A30148"/>
    <w:rsid w:val="00A35DF8"/>
    <w:rsid w:val="00A36368"/>
    <w:rsid w:val="00A41815"/>
    <w:rsid w:val="00A41E26"/>
    <w:rsid w:val="00A451CD"/>
    <w:rsid w:val="00A52881"/>
    <w:rsid w:val="00A52DF7"/>
    <w:rsid w:val="00A53AB9"/>
    <w:rsid w:val="00A545F6"/>
    <w:rsid w:val="00A5691A"/>
    <w:rsid w:val="00A5789D"/>
    <w:rsid w:val="00A61A77"/>
    <w:rsid w:val="00A61D87"/>
    <w:rsid w:val="00A61F2E"/>
    <w:rsid w:val="00A67043"/>
    <w:rsid w:val="00A70093"/>
    <w:rsid w:val="00A743CB"/>
    <w:rsid w:val="00A76CD5"/>
    <w:rsid w:val="00A8035E"/>
    <w:rsid w:val="00A810EA"/>
    <w:rsid w:val="00A86FED"/>
    <w:rsid w:val="00A87303"/>
    <w:rsid w:val="00A87766"/>
    <w:rsid w:val="00A87CA5"/>
    <w:rsid w:val="00A92CCE"/>
    <w:rsid w:val="00A94DF9"/>
    <w:rsid w:val="00A9549C"/>
    <w:rsid w:val="00A963B7"/>
    <w:rsid w:val="00A9647B"/>
    <w:rsid w:val="00A9656D"/>
    <w:rsid w:val="00A96C80"/>
    <w:rsid w:val="00AA0CFD"/>
    <w:rsid w:val="00AA28CB"/>
    <w:rsid w:val="00AA394F"/>
    <w:rsid w:val="00AA429B"/>
    <w:rsid w:val="00AA5BA6"/>
    <w:rsid w:val="00AA5C95"/>
    <w:rsid w:val="00AB0991"/>
    <w:rsid w:val="00AB0A83"/>
    <w:rsid w:val="00AB158E"/>
    <w:rsid w:val="00AB22E3"/>
    <w:rsid w:val="00AB22FD"/>
    <w:rsid w:val="00AB4B24"/>
    <w:rsid w:val="00AB54E2"/>
    <w:rsid w:val="00AB6228"/>
    <w:rsid w:val="00AC22F3"/>
    <w:rsid w:val="00AC547B"/>
    <w:rsid w:val="00AC7D97"/>
    <w:rsid w:val="00AD23FD"/>
    <w:rsid w:val="00AD52C6"/>
    <w:rsid w:val="00AD60F3"/>
    <w:rsid w:val="00AD709D"/>
    <w:rsid w:val="00AE04C9"/>
    <w:rsid w:val="00AE0633"/>
    <w:rsid w:val="00AE0A59"/>
    <w:rsid w:val="00AE134C"/>
    <w:rsid w:val="00AE24DD"/>
    <w:rsid w:val="00AE38E7"/>
    <w:rsid w:val="00AE6A31"/>
    <w:rsid w:val="00AE76F2"/>
    <w:rsid w:val="00AF0AC7"/>
    <w:rsid w:val="00AF3029"/>
    <w:rsid w:val="00AF4D48"/>
    <w:rsid w:val="00B018C8"/>
    <w:rsid w:val="00B0441B"/>
    <w:rsid w:val="00B046B6"/>
    <w:rsid w:val="00B06E5F"/>
    <w:rsid w:val="00B12718"/>
    <w:rsid w:val="00B130B7"/>
    <w:rsid w:val="00B225C8"/>
    <w:rsid w:val="00B22673"/>
    <w:rsid w:val="00B22DBA"/>
    <w:rsid w:val="00B301EC"/>
    <w:rsid w:val="00B30326"/>
    <w:rsid w:val="00B30B8F"/>
    <w:rsid w:val="00B31393"/>
    <w:rsid w:val="00B33609"/>
    <w:rsid w:val="00B35A0D"/>
    <w:rsid w:val="00B360D1"/>
    <w:rsid w:val="00B37A45"/>
    <w:rsid w:val="00B41419"/>
    <w:rsid w:val="00B417DF"/>
    <w:rsid w:val="00B4335B"/>
    <w:rsid w:val="00B46911"/>
    <w:rsid w:val="00B46920"/>
    <w:rsid w:val="00B50AC0"/>
    <w:rsid w:val="00B512A9"/>
    <w:rsid w:val="00B5145A"/>
    <w:rsid w:val="00B52CBA"/>
    <w:rsid w:val="00B5314E"/>
    <w:rsid w:val="00B53AAF"/>
    <w:rsid w:val="00B54533"/>
    <w:rsid w:val="00B54F25"/>
    <w:rsid w:val="00B550A3"/>
    <w:rsid w:val="00B55B77"/>
    <w:rsid w:val="00B625B7"/>
    <w:rsid w:val="00B62B8F"/>
    <w:rsid w:val="00B63125"/>
    <w:rsid w:val="00B65ACE"/>
    <w:rsid w:val="00B721AE"/>
    <w:rsid w:val="00B73F32"/>
    <w:rsid w:val="00B74FC9"/>
    <w:rsid w:val="00B76BE2"/>
    <w:rsid w:val="00B7738C"/>
    <w:rsid w:val="00B823AF"/>
    <w:rsid w:val="00B84C9F"/>
    <w:rsid w:val="00B857AB"/>
    <w:rsid w:val="00B875E6"/>
    <w:rsid w:val="00B90418"/>
    <w:rsid w:val="00B90E97"/>
    <w:rsid w:val="00B91540"/>
    <w:rsid w:val="00B92276"/>
    <w:rsid w:val="00B929E8"/>
    <w:rsid w:val="00BA229E"/>
    <w:rsid w:val="00BA4950"/>
    <w:rsid w:val="00BB4EEC"/>
    <w:rsid w:val="00BB570D"/>
    <w:rsid w:val="00BB5AEF"/>
    <w:rsid w:val="00BB5DB7"/>
    <w:rsid w:val="00BB7D46"/>
    <w:rsid w:val="00BB7F4A"/>
    <w:rsid w:val="00BC0EA1"/>
    <w:rsid w:val="00BC3BDB"/>
    <w:rsid w:val="00BC3EEF"/>
    <w:rsid w:val="00BC4355"/>
    <w:rsid w:val="00BC4911"/>
    <w:rsid w:val="00BD0B24"/>
    <w:rsid w:val="00BD1142"/>
    <w:rsid w:val="00BD15B0"/>
    <w:rsid w:val="00BD647F"/>
    <w:rsid w:val="00BD7BA4"/>
    <w:rsid w:val="00BE0B67"/>
    <w:rsid w:val="00BE0B74"/>
    <w:rsid w:val="00BE151F"/>
    <w:rsid w:val="00BE2A57"/>
    <w:rsid w:val="00BF1F7F"/>
    <w:rsid w:val="00BF4CC1"/>
    <w:rsid w:val="00BF51EB"/>
    <w:rsid w:val="00BF5C8D"/>
    <w:rsid w:val="00BF5EFF"/>
    <w:rsid w:val="00BF6E8B"/>
    <w:rsid w:val="00C02069"/>
    <w:rsid w:val="00C03FFB"/>
    <w:rsid w:val="00C06020"/>
    <w:rsid w:val="00C12159"/>
    <w:rsid w:val="00C132DF"/>
    <w:rsid w:val="00C13A92"/>
    <w:rsid w:val="00C1663D"/>
    <w:rsid w:val="00C17F49"/>
    <w:rsid w:val="00C2349C"/>
    <w:rsid w:val="00C2369A"/>
    <w:rsid w:val="00C2401C"/>
    <w:rsid w:val="00C24AFB"/>
    <w:rsid w:val="00C24DF4"/>
    <w:rsid w:val="00C254EF"/>
    <w:rsid w:val="00C2585E"/>
    <w:rsid w:val="00C2688D"/>
    <w:rsid w:val="00C26898"/>
    <w:rsid w:val="00C32BA5"/>
    <w:rsid w:val="00C402BC"/>
    <w:rsid w:val="00C4054F"/>
    <w:rsid w:val="00C418E2"/>
    <w:rsid w:val="00C4613E"/>
    <w:rsid w:val="00C46215"/>
    <w:rsid w:val="00C47110"/>
    <w:rsid w:val="00C47F5F"/>
    <w:rsid w:val="00C52149"/>
    <w:rsid w:val="00C52B13"/>
    <w:rsid w:val="00C536ED"/>
    <w:rsid w:val="00C54A18"/>
    <w:rsid w:val="00C553E5"/>
    <w:rsid w:val="00C60C77"/>
    <w:rsid w:val="00C646BE"/>
    <w:rsid w:val="00C65B9F"/>
    <w:rsid w:val="00C67EE0"/>
    <w:rsid w:val="00C75C10"/>
    <w:rsid w:val="00C8014C"/>
    <w:rsid w:val="00C81A89"/>
    <w:rsid w:val="00C833FD"/>
    <w:rsid w:val="00C83661"/>
    <w:rsid w:val="00C84BBF"/>
    <w:rsid w:val="00C85069"/>
    <w:rsid w:val="00C852C2"/>
    <w:rsid w:val="00C855D9"/>
    <w:rsid w:val="00C90282"/>
    <w:rsid w:val="00C90724"/>
    <w:rsid w:val="00C913C8"/>
    <w:rsid w:val="00C91414"/>
    <w:rsid w:val="00C91854"/>
    <w:rsid w:val="00C91F5D"/>
    <w:rsid w:val="00C92A38"/>
    <w:rsid w:val="00C92C08"/>
    <w:rsid w:val="00C931DB"/>
    <w:rsid w:val="00C93356"/>
    <w:rsid w:val="00C937B4"/>
    <w:rsid w:val="00C96333"/>
    <w:rsid w:val="00C971CC"/>
    <w:rsid w:val="00CA0553"/>
    <w:rsid w:val="00CA064D"/>
    <w:rsid w:val="00CA25FC"/>
    <w:rsid w:val="00CA32BA"/>
    <w:rsid w:val="00CA4CE0"/>
    <w:rsid w:val="00CA4FF7"/>
    <w:rsid w:val="00CB0986"/>
    <w:rsid w:val="00CB6123"/>
    <w:rsid w:val="00CB721D"/>
    <w:rsid w:val="00CC0086"/>
    <w:rsid w:val="00CC54D4"/>
    <w:rsid w:val="00CD0EDC"/>
    <w:rsid w:val="00CD15E8"/>
    <w:rsid w:val="00CD36A1"/>
    <w:rsid w:val="00CD544F"/>
    <w:rsid w:val="00CD6139"/>
    <w:rsid w:val="00CD6904"/>
    <w:rsid w:val="00CD7153"/>
    <w:rsid w:val="00CE167D"/>
    <w:rsid w:val="00CE3D3D"/>
    <w:rsid w:val="00CE496B"/>
    <w:rsid w:val="00CE5C9B"/>
    <w:rsid w:val="00CF41BD"/>
    <w:rsid w:val="00CF5E5E"/>
    <w:rsid w:val="00CF7475"/>
    <w:rsid w:val="00D00D8F"/>
    <w:rsid w:val="00D06663"/>
    <w:rsid w:val="00D10B33"/>
    <w:rsid w:val="00D14BB7"/>
    <w:rsid w:val="00D1615E"/>
    <w:rsid w:val="00D17A60"/>
    <w:rsid w:val="00D20108"/>
    <w:rsid w:val="00D224FE"/>
    <w:rsid w:val="00D22D7E"/>
    <w:rsid w:val="00D22FD6"/>
    <w:rsid w:val="00D27A11"/>
    <w:rsid w:val="00D31934"/>
    <w:rsid w:val="00D32EC7"/>
    <w:rsid w:val="00D368AF"/>
    <w:rsid w:val="00D370CF"/>
    <w:rsid w:val="00D375CE"/>
    <w:rsid w:val="00D37B4B"/>
    <w:rsid w:val="00D4280B"/>
    <w:rsid w:val="00D42FBA"/>
    <w:rsid w:val="00D437CA"/>
    <w:rsid w:val="00D444F1"/>
    <w:rsid w:val="00D461D5"/>
    <w:rsid w:val="00D47D28"/>
    <w:rsid w:val="00D51C5C"/>
    <w:rsid w:val="00D60BC1"/>
    <w:rsid w:val="00D61B93"/>
    <w:rsid w:val="00D61DCF"/>
    <w:rsid w:val="00D6345C"/>
    <w:rsid w:val="00D67149"/>
    <w:rsid w:val="00D7086E"/>
    <w:rsid w:val="00D70AF1"/>
    <w:rsid w:val="00D70D73"/>
    <w:rsid w:val="00D70F22"/>
    <w:rsid w:val="00D7311C"/>
    <w:rsid w:val="00D74C8C"/>
    <w:rsid w:val="00D75913"/>
    <w:rsid w:val="00D82EEF"/>
    <w:rsid w:val="00D84092"/>
    <w:rsid w:val="00D86F20"/>
    <w:rsid w:val="00D91B48"/>
    <w:rsid w:val="00D91EBA"/>
    <w:rsid w:val="00D924B4"/>
    <w:rsid w:val="00D929DC"/>
    <w:rsid w:val="00D94F21"/>
    <w:rsid w:val="00D95D2D"/>
    <w:rsid w:val="00D96D7C"/>
    <w:rsid w:val="00DA14AC"/>
    <w:rsid w:val="00DA16A1"/>
    <w:rsid w:val="00DA263B"/>
    <w:rsid w:val="00DA3496"/>
    <w:rsid w:val="00DA38B5"/>
    <w:rsid w:val="00DA4594"/>
    <w:rsid w:val="00DA63C1"/>
    <w:rsid w:val="00DA6B07"/>
    <w:rsid w:val="00DA7A43"/>
    <w:rsid w:val="00DB2DEB"/>
    <w:rsid w:val="00DB3820"/>
    <w:rsid w:val="00DB4499"/>
    <w:rsid w:val="00DB62EF"/>
    <w:rsid w:val="00DB6B18"/>
    <w:rsid w:val="00DB7057"/>
    <w:rsid w:val="00DB74CA"/>
    <w:rsid w:val="00DB76C2"/>
    <w:rsid w:val="00DC02DF"/>
    <w:rsid w:val="00DC0B23"/>
    <w:rsid w:val="00DC45E1"/>
    <w:rsid w:val="00DC61CB"/>
    <w:rsid w:val="00DC61DD"/>
    <w:rsid w:val="00DD22CF"/>
    <w:rsid w:val="00DD2674"/>
    <w:rsid w:val="00DD2825"/>
    <w:rsid w:val="00DE41F9"/>
    <w:rsid w:val="00DE45A1"/>
    <w:rsid w:val="00DE4A32"/>
    <w:rsid w:val="00DE5B3E"/>
    <w:rsid w:val="00DE7B3D"/>
    <w:rsid w:val="00DF0ADE"/>
    <w:rsid w:val="00DF3957"/>
    <w:rsid w:val="00E024CD"/>
    <w:rsid w:val="00E03656"/>
    <w:rsid w:val="00E043A3"/>
    <w:rsid w:val="00E04FB6"/>
    <w:rsid w:val="00E06854"/>
    <w:rsid w:val="00E06E02"/>
    <w:rsid w:val="00E114F7"/>
    <w:rsid w:val="00E11A3D"/>
    <w:rsid w:val="00E12D0E"/>
    <w:rsid w:val="00E17019"/>
    <w:rsid w:val="00E17EAE"/>
    <w:rsid w:val="00E21072"/>
    <w:rsid w:val="00E222D6"/>
    <w:rsid w:val="00E235F3"/>
    <w:rsid w:val="00E25076"/>
    <w:rsid w:val="00E264E8"/>
    <w:rsid w:val="00E26730"/>
    <w:rsid w:val="00E278C2"/>
    <w:rsid w:val="00E34302"/>
    <w:rsid w:val="00E3471C"/>
    <w:rsid w:val="00E37771"/>
    <w:rsid w:val="00E37D5A"/>
    <w:rsid w:val="00E37DCA"/>
    <w:rsid w:val="00E4142E"/>
    <w:rsid w:val="00E44DB5"/>
    <w:rsid w:val="00E44FA6"/>
    <w:rsid w:val="00E45FE2"/>
    <w:rsid w:val="00E50C08"/>
    <w:rsid w:val="00E51619"/>
    <w:rsid w:val="00E52705"/>
    <w:rsid w:val="00E570C4"/>
    <w:rsid w:val="00E70AB0"/>
    <w:rsid w:val="00E75596"/>
    <w:rsid w:val="00E75ECF"/>
    <w:rsid w:val="00E77634"/>
    <w:rsid w:val="00E84106"/>
    <w:rsid w:val="00E86A42"/>
    <w:rsid w:val="00E914A0"/>
    <w:rsid w:val="00E91671"/>
    <w:rsid w:val="00E917A6"/>
    <w:rsid w:val="00E9294B"/>
    <w:rsid w:val="00E934EE"/>
    <w:rsid w:val="00E954E7"/>
    <w:rsid w:val="00E95EEB"/>
    <w:rsid w:val="00E97EF5"/>
    <w:rsid w:val="00EA10B4"/>
    <w:rsid w:val="00EA237D"/>
    <w:rsid w:val="00EA24AB"/>
    <w:rsid w:val="00EA28A8"/>
    <w:rsid w:val="00EA391C"/>
    <w:rsid w:val="00EA5E5A"/>
    <w:rsid w:val="00EA60EE"/>
    <w:rsid w:val="00EA733A"/>
    <w:rsid w:val="00EB5E43"/>
    <w:rsid w:val="00EC2EA5"/>
    <w:rsid w:val="00EC37CE"/>
    <w:rsid w:val="00EC3CA6"/>
    <w:rsid w:val="00EC409A"/>
    <w:rsid w:val="00EC5B65"/>
    <w:rsid w:val="00ED0354"/>
    <w:rsid w:val="00ED5CD5"/>
    <w:rsid w:val="00EE2EFF"/>
    <w:rsid w:val="00EE3386"/>
    <w:rsid w:val="00EE51CA"/>
    <w:rsid w:val="00EE540E"/>
    <w:rsid w:val="00EE7651"/>
    <w:rsid w:val="00EF2093"/>
    <w:rsid w:val="00EF26BA"/>
    <w:rsid w:val="00EF2B77"/>
    <w:rsid w:val="00EF47A2"/>
    <w:rsid w:val="00EF5DC7"/>
    <w:rsid w:val="00EF639A"/>
    <w:rsid w:val="00F01602"/>
    <w:rsid w:val="00F02B71"/>
    <w:rsid w:val="00F04605"/>
    <w:rsid w:val="00F04B4D"/>
    <w:rsid w:val="00F05890"/>
    <w:rsid w:val="00F06D80"/>
    <w:rsid w:val="00F07EBE"/>
    <w:rsid w:val="00F1003A"/>
    <w:rsid w:val="00F115FC"/>
    <w:rsid w:val="00F11D34"/>
    <w:rsid w:val="00F12E14"/>
    <w:rsid w:val="00F1361E"/>
    <w:rsid w:val="00F162F1"/>
    <w:rsid w:val="00F16718"/>
    <w:rsid w:val="00F172BB"/>
    <w:rsid w:val="00F17E40"/>
    <w:rsid w:val="00F21A26"/>
    <w:rsid w:val="00F23A49"/>
    <w:rsid w:val="00F25F77"/>
    <w:rsid w:val="00F262DC"/>
    <w:rsid w:val="00F2630A"/>
    <w:rsid w:val="00F27644"/>
    <w:rsid w:val="00F3157B"/>
    <w:rsid w:val="00F31967"/>
    <w:rsid w:val="00F331A4"/>
    <w:rsid w:val="00F375C8"/>
    <w:rsid w:val="00F3785D"/>
    <w:rsid w:val="00F378DF"/>
    <w:rsid w:val="00F37FED"/>
    <w:rsid w:val="00F4263C"/>
    <w:rsid w:val="00F43CD5"/>
    <w:rsid w:val="00F4420C"/>
    <w:rsid w:val="00F446C0"/>
    <w:rsid w:val="00F44713"/>
    <w:rsid w:val="00F46807"/>
    <w:rsid w:val="00F4689F"/>
    <w:rsid w:val="00F46AE8"/>
    <w:rsid w:val="00F52353"/>
    <w:rsid w:val="00F54198"/>
    <w:rsid w:val="00F54707"/>
    <w:rsid w:val="00F5486A"/>
    <w:rsid w:val="00F5577E"/>
    <w:rsid w:val="00F55858"/>
    <w:rsid w:val="00F57AC7"/>
    <w:rsid w:val="00F61F14"/>
    <w:rsid w:val="00F6273B"/>
    <w:rsid w:val="00F62C81"/>
    <w:rsid w:val="00F63830"/>
    <w:rsid w:val="00F64317"/>
    <w:rsid w:val="00F65D8D"/>
    <w:rsid w:val="00F665E7"/>
    <w:rsid w:val="00F6726A"/>
    <w:rsid w:val="00F7013F"/>
    <w:rsid w:val="00F72764"/>
    <w:rsid w:val="00F72D11"/>
    <w:rsid w:val="00F73EFE"/>
    <w:rsid w:val="00F74669"/>
    <w:rsid w:val="00F74F98"/>
    <w:rsid w:val="00F76B0D"/>
    <w:rsid w:val="00F80B0C"/>
    <w:rsid w:val="00F83F48"/>
    <w:rsid w:val="00F876AE"/>
    <w:rsid w:val="00F90C9E"/>
    <w:rsid w:val="00F90D6E"/>
    <w:rsid w:val="00F913EC"/>
    <w:rsid w:val="00F9535B"/>
    <w:rsid w:val="00FA34D1"/>
    <w:rsid w:val="00FA4C6C"/>
    <w:rsid w:val="00FA4C7C"/>
    <w:rsid w:val="00FB1D48"/>
    <w:rsid w:val="00FB20CC"/>
    <w:rsid w:val="00FB3462"/>
    <w:rsid w:val="00FB458E"/>
    <w:rsid w:val="00FC3385"/>
    <w:rsid w:val="00FD0CBE"/>
    <w:rsid w:val="00FD2B97"/>
    <w:rsid w:val="00FD314B"/>
    <w:rsid w:val="00FD403F"/>
    <w:rsid w:val="00FD7314"/>
    <w:rsid w:val="00FE206C"/>
    <w:rsid w:val="00FE2465"/>
    <w:rsid w:val="00FE42E1"/>
    <w:rsid w:val="00FE5B48"/>
    <w:rsid w:val="00FE60A8"/>
    <w:rsid w:val="00FE7DCC"/>
    <w:rsid w:val="00FF00F9"/>
    <w:rsid w:val="00FF2F43"/>
    <w:rsid w:val="00FF49AC"/>
    <w:rsid w:val="00FF58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48AD7D"/>
  <w15:docId w15:val="{961997BC-EB79-417A-9FE6-10406436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C646BE"/>
    <w:pPr>
      <w:spacing w:before="20" w:after="100" w:line="220" w:lineRule="exact"/>
      <w:jc w:val="both"/>
    </w:pPr>
    <w:rPr>
      <w:rFonts w:ascii="Arial" w:eastAsia="Times" w:hAnsi="Arial"/>
      <w:lang w:eastAsia="ja-JP"/>
    </w:rPr>
  </w:style>
  <w:style w:type="paragraph" w:styleId="Heading1">
    <w:name w:val="heading 1"/>
    <w:aliases w:val="Title 1"/>
    <w:basedOn w:val="Normal"/>
    <w:next w:val="Normal"/>
    <w:qFormat/>
    <w:rsid w:val="00C646BE"/>
    <w:pPr>
      <w:keepNext/>
      <w:keepLines/>
      <w:numPr>
        <w:numId w:val="26"/>
      </w:numPr>
      <w:spacing w:before="200"/>
      <w:outlineLvl w:val="0"/>
    </w:pPr>
    <w:rPr>
      <w:b/>
      <w:kern w:val="32"/>
      <w:sz w:val="22"/>
    </w:rPr>
  </w:style>
  <w:style w:type="paragraph" w:styleId="Heading2">
    <w:name w:val="heading 2"/>
    <w:aliases w:val="Title 2"/>
    <w:basedOn w:val="Normal"/>
    <w:next w:val="Normal"/>
    <w:qFormat/>
    <w:pPr>
      <w:keepNext/>
      <w:keepLines/>
      <w:numPr>
        <w:ilvl w:val="1"/>
        <w:numId w:val="26"/>
      </w:numPr>
      <w:spacing w:before="200"/>
      <w:outlineLvl w:val="1"/>
    </w:pPr>
    <w:rPr>
      <w:b/>
    </w:rPr>
  </w:style>
  <w:style w:type="paragraph" w:styleId="Heading3">
    <w:name w:val="heading 3"/>
    <w:aliases w:val="Title 3"/>
    <w:basedOn w:val="Normal"/>
    <w:next w:val="Normal"/>
    <w:qFormat/>
    <w:rsid w:val="00C646BE"/>
    <w:pPr>
      <w:keepNext/>
      <w:keepLines/>
      <w:numPr>
        <w:ilvl w:val="2"/>
        <w:numId w:val="26"/>
      </w:numPr>
      <w:spacing w:before="200"/>
      <w:outlineLvl w:val="2"/>
    </w:pPr>
    <w:rPr>
      <w:b/>
      <w:color w:val="000000"/>
    </w:rPr>
  </w:style>
  <w:style w:type="paragraph" w:styleId="Heading4">
    <w:name w:val="heading 4"/>
    <w:basedOn w:val="Normal"/>
    <w:next w:val="Normal"/>
    <w:pPr>
      <w:keepNext/>
      <w:numPr>
        <w:ilvl w:val="3"/>
        <w:numId w:val="26"/>
      </w:numPr>
      <w:spacing w:before="240" w:after="60"/>
      <w:outlineLvl w:val="3"/>
    </w:pPr>
    <w:rPr>
      <w:b/>
      <w:sz w:val="28"/>
    </w:rPr>
  </w:style>
  <w:style w:type="paragraph" w:styleId="Heading5">
    <w:name w:val="heading 5"/>
    <w:basedOn w:val="Normal"/>
    <w:next w:val="Normal"/>
    <w:pPr>
      <w:numPr>
        <w:ilvl w:val="4"/>
        <w:numId w:val="26"/>
      </w:numPr>
      <w:spacing w:before="240" w:after="60"/>
      <w:outlineLvl w:val="4"/>
    </w:pPr>
    <w:rPr>
      <w:b/>
      <w:i/>
      <w:sz w:val="26"/>
    </w:rPr>
  </w:style>
  <w:style w:type="paragraph" w:styleId="Heading6">
    <w:name w:val="heading 6"/>
    <w:basedOn w:val="Normal"/>
    <w:next w:val="Normal"/>
    <w:pPr>
      <w:numPr>
        <w:ilvl w:val="5"/>
        <w:numId w:val="26"/>
      </w:numPr>
      <w:spacing w:before="240" w:after="60"/>
      <w:outlineLvl w:val="5"/>
    </w:pPr>
    <w:rPr>
      <w:b/>
      <w:sz w:val="22"/>
    </w:rPr>
  </w:style>
  <w:style w:type="paragraph" w:styleId="Heading7">
    <w:name w:val="heading 7"/>
    <w:basedOn w:val="Normal"/>
    <w:next w:val="Normal"/>
    <w:pPr>
      <w:numPr>
        <w:ilvl w:val="6"/>
        <w:numId w:val="26"/>
      </w:numPr>
      <w:spacing w:before="240" w:after="60"/>
      <w:outlineLvl w:val="6"/>
    </w:pPr>
  </w:style>
  <w:style w:type="paragraph" w:styleId="Heading8">
    <w:name w:val="heading 8"/>
    <w:basedOn w:val="Normal"/>
    <w:next w:val="Normal"/>
    <w:pPr>
      <w:numPr>
        <w:ilvl w:val="7"/>
        <w:numId w:val="26"/>
      </w:numPr>
      <w:spacing w:before="240" w:after="60"/>
      <w:outlineLvl w:val="7"/>
    </w:pPr>
    <w:rPr>
      <w:i/>
    </w:rPr>
  </w:style>
  <w:style w:type="paragraph" w:styleId="Heading9">
    <w:name w:val="heading 9"/>
    <w:basedOn w:val="Normal"/>
    <w:next w:val="Normal"/>
    <w:pPr>
      <w:numPr>
        <w:ilvl w:val="8"/>
        <w:numId w:val="26"/>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outlineLvl w:val="0"/>
    </w:pPr>
    <w:rPr>
      <w:b/>
      <w:caps/>
      <w:kern w:val="28"/>
      <w:sz w:val="22"/>
    </w:rPr>
  </w:style>
  <w:style w:type="paragraph" w:customStyle="1" w:styleId="Tablenumber">
    <w:name w:val="Table number"/>
    <w:basedOn w:val="Caption"/>
    <w:pPr>
      <w:overflowPunct w:val="0"/>
      <w:autoSpaceDE w:val="0"/>
      <w:autoSpaceDN w:val="0"/>
      <w:adjustRightInd w:val="0"/>
      <w:spacing w:before="200" w:line="200" w:lineRule="atLeast"/>
      <w:ind w:left="0" w:firstLine="0"/>
      <w:jc w:val="center"/>
      <w:textAlignment w:val="baseline"/>
    </w:pPr>
    <w:rPr>
      <w:rFonts w:eastAsia="MS Mincho"/>
      <w:i w:val="0"/>
      <w:color w:val="000000"/>
      <w:lang w:val="en-AU"/>
    </w:rPr>
  </w:style>
  <w:style w:type="paragraph" w:customStyle="1" w:styleId="Author">
    <w:name w:val="Author"/>
    <w:basedOn w:val="Normal"/>
    <w:rsid w:val="00C646BE"/>
    <w:pPr>
      <w:jc w:val="center"/>
    </w:pPr>
    <w:rPr>
      <w:color w:val="000000"/>
    </w:rPr>
  </w:style>
  <w:style w:type="paragraph" w:styleId="Caption">
    <w:name w:val="caption"/>
    <w:basedOn w:val="Normal"/>
    <w:next w:val="Normal"/>
    <w:qFormat/>
    <w:pPr>
      <w:ind w:left="994" w:hanging="994"/>
    </w:pPr>
    <w:rPr>
      <w:i/>
    </w:rPr>
  </w:style>
  <w:style w:type="paragraph" w:customStyle="1" w:styleId="AbstractHeading">
    <w:name w:val="Abstract Heading"/>
    <w:basedOn w:val="Heading1"/>
    <w:pPr>
      <w:numPr>
        <w:numId w:val="0"/>
      </w:numPr>
    </w:pPr>
  </w:style>
  <w:style w:type="paragraph" w:customStyle="1" w:styleId="Equation">
    <w:name w:val="Equation"/>
    <w:basedOn w:val="Normal"/>
    <w:rsid w:val="00C646BE"/>
    <w:pPr>
      <w:widowControl w:val="0"/>
      <w:tabs>
        <w:tab w:val="right" w:pos="9469"/>
      </w:tabs>
      <w:suppressAutoHyphens/>
      <w:spacing w:before="300" w:after="300" w:line="240" w:lineRule="exact"/>
    </w:pPr>
    <w:rPr>
      <w:kern w:val="20"/>
    </w:rPr>
  </w:style>
  <w:style w:type="paragraph" w:customStyle="1" w:styleId="Affiliation">
    <w:name w:val="Affiliation"/>
    <w:basedOn w:val="Author"/>
    <w:rsid w:val="00C646BE"/>
    <w:pPr>
      <w:ind w:left="180" w:hanging="180"/>
    </w:pPr>
  </w:style>
  <w:style w:type="paragraph" w:customStyle="1" w:styleId="Tabletext">
    <w:name w:val="Table text"/>
    <w:basedOn w:val="Normal"/>
    <w:pPr>
      <w:spacing w:line="240" w:lineRule="atLeast"/>
    </w:pPr>
    <w:rPr>
      <w:color w:val="000000"/>
    </w:rPr>
  </w:style>
  <w:style w:type="paragraph" w:styleId="NoSpacing">
    <w:name w:val="No Spacing"/>
    <w:uiPriority w:val="1"/>
    <w:qFormat/>
    <w:rsid w:val="00E50C08"/>
    <w:pPr>
      <w:jc w:val="both"/>
    </w:pPr>
    <w:rPr>
      <w:rFonts w:ascii="Arial" w:eastAsia="Times" w:hAnsi="Arial"/>
      <w:lang w:eastAsia="ja-JP"/>
    </w:rPr>
  </w:style>
  <w:style w:type="paragraph" w:styleId="BalloonText">
    <w:name w:val="Balloon Text"/>
    <w:basedOn w:val="Normal"/>
    <w:link w:val="BalloonTextChar"/>
    <w:rsid w:val="00175D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75DD3"/>
    <w:rPr>
      <w:rFonts w:ascii="Segoe UI" w:eastAsia="Times" w:hAnsi="Segoe UI" w:cs="Segoe UI"/>
      <w:sz w:val="18"/>
      <w:szCs w:val="18"/>
      <w:lang w:eastAsia="ja-JP"/>
    </w:rPr>
  </w:style>
  <w:style w:type="paragraph" w:styleId="NormalWeb">
    <w:name w:val="Normal (Web)"/>
    <w:basedOn w:val="Normal"/>
    <w:rsid w:val="00175DD3"/>
    <w:rPr>
      <w:rFonts w:ascii="Times New Roman" w:hAnsi="Times New Roman"/>
      <w:sz w:val="24"/>
      <w:szCs w:val="24"/>
    </w:rPr>
  </w:style>
  <w:style w:type="character" w:styleId="Hyperlink">
    <w:name w:val="Hyperlink"/>
    <w:basedOn w:val="DefaultParagraphFont"/>
    <w:uiPriority w:val="99"/>
    <w:rsid w:val="00175DD3"/>
    <w:rPr>
      <w:color w:val="0563C1" w:themeColor="hyperlink"/>
      <w:u w:val="single"/>
    </w:rPr>
  </w:style>
  <w:style w:type="paragraph" w:styleId="FootnoteText">
    <w:name w:val="footnote text"/>
    <w:aliases w:val="Schriftart: 9 pt,Schriftart: 10 pt,Schriftart: 8 pt,WB-Fußnotentext Char Char,WB-Fußnotentext Char,Footnote,Footnote text,Footnote text Carattere,Footnote text Carattere Carattere Carattere,Footnote text Carattere Carattere"/>
    <w:basedOn w:val="Normal"/>
    <w:link w:val="FootnoteTextChar"/>
    <w:rsid w:val="00175DD3"/>
    <w:pPr>
      <w:spacing w:before="0" w:after="0" w:line="240" w:lineRule="auto"/>
      <w:jc w:val="left"/>
    </w:pPr>
    <w:rPr>
      <w:rFonts w:ascii="Times New Roman" w:eastAsia="Times New Roman" w:hAnsi="Times New Roman"/>
      <w:lang w:val="en-US" w:eastAsia="en-US"/>
    </w:rPr>
  </w:style>
  <w:style w:type="character" w:customStyle="1" w:styleId="FootnoteTextChar">
    <w:name w:val="Footnote Text Char"/>
    <w:aliases w:val="Schriftart: 9 pt Char,Schriftart: 10 pt Char,Schriftart: 8 pt Char,WB-Fußnotentext Char Char Char,WB-Fußnotentext Char Char1,Footnote Char,Footnote text Char,Footnote text Carattere Char,Footnote text Carattere Carattere Char"/>
    <w:basedOn w:val="DefaultParagraphFont"/>
    <w:link w:val="FootnoteText"/>
    <w:uiPriority w:val="99"/>
    <w:rsid w:val="00175DD3"/>
    <w:rPr>
      <w:rFonts w:ascii="Times New Roman" w:eastAsia="Times New Roman" w:hAnsi="Times New Roman"/>
      <w:lang w:val="en-US" w:eastAsia="en-US"/>
    </w:rPr>
  </w:style>
  <w:style w:type="character" w:styleId="FootnoteReference">
    <w:name w:val="footnote reference"/>
    <w:basedOn w:val="DefaultParagraphFont"/>
    <w:uiPriority w:val="99"/>
    <w:rsid w:val="00175DD3"/>
    <w:rPr>
      <w:vertAlign w:val="superscript"/>
    </w:rPr>
  </w:style>
  <w:style w:type="paragraph" w:styleId="ListParagraph">
    <w:name w:val="List Paragraph"/>
    <w:basedOn w:val="Normal"/>
    <w:uiPriority w:val="99"/>
    <w:qFormat/>
    <w:rsid w:val="00175DD3"/>
    <w:pPr>
      <w:ind w:left="720"/>
      <w:contextualSpacing/>
    </w:pPr>
  </w:style>
  <w:style w:type="paragraph" w:styleId="EndnoteText">
    <w:name w:val="endnote text"/>
    <w:basedOn w:val="Normal"/>
    <w:link w:val="EndnoteTextChar"/>
    <w:rsid w:val="00B512A9"/>
    <w:pPr>
      <w:spacing w:before="0" w:after="0" w:line="240" w:lineRule="auto"/>
    </w:pPr>
  </w:style>
  <w:style w:type="character" w:customStyle="1" w:styleId="EndnoteTextChar">
    <w:name w:val="Endnote Text Char"/>
    <w:basedOn w:val="DefaultParagraphFont"/>
    <w:link w:val="EndnoteText"/>
    <w:rsid w:val="00B512A9"/>
    <w:rPr>
      <w:rFonts w:ascii="Arial" w:eastAsia="Times" w:hAnsi="Arial"/>
      <w:lang w:eastAsia="ja-JP"/>
    </w:rPr>
  </w:style>
  <w:style w:type="character" w:styleId="EndnoteReference">
    <w:name w:val="endnote reference"/>
    <w:basedOn w:val="DefaultParagraphFont"/>
    <w:uiPriority w:val="99"/>
    <w:qFormat/>
    <w:rsid w:val="00B512A9"/>
    <w:rPr>
      <w:vertAlign w:val="superscript"/>
    </w:rPr>
  </w:style>
  <w:style w:type="paragraph" w:customStyle="1" w:styleId="ECSSRBooksBodyText">
    <w:name w:val="ECSSR Books Body Text"/>
    <w:basedOn w:val="Normal"/>
    <w:link w:val="ECSSRBooksBodyTextChar"/>
    <w:qFormat/>
    <w:rsid w:val="005769E1"/>
    <w:pPr>
      <w:spacing w:before="0" w:after="0" w:line="204" w:lineRule="auto"/>
      <w:ind w:firstLine="357"/>
    </w:pPr>
    <w:rPr>
      <w:rFonts w:ascii="Adobe Caslon Pro" w:eastAsia="Calibri" w:hAnsi="Adobe Caslon Pro" w:cs="Times-Roman"/>
      <w:color w:val="000000"/>
      <w:sz w:val="22"/>
      <w:szCs w:val="22"/>
      <w:lang w:val="en-US" w:eastAsia="en-US" w:bidi="ar-AE"/>
    </w:rPr>
  </w:style>
  <w:style w:type="character" w:customStyle="1" w:styleId="ECSSRBooksBodyTextChar">
    <w:name w:val="ECSSR Books Body Text Char"/>
    <w:basedOn w:val="DefaultParagraphFont"/>
    <w:link w:val="ECSSRBooksBodyText"/>
    <w:rsid w:val="005769E1"/>
    <w:rPr>
      <w:rFonts w:ascii="Adobe Caslon Pro" w:eastAsia="Calibri" w:hAnsi="Adobe Caslon Pro" w:cs="Times-Roman"/>
      <w:color w:val="000000"/>
      <w:sz w:val="22"/>
      <w:szCs w:val="22"/>
      <w:lang w:val="en-US" w:eastAsia="en-US" w:bidi="ar-AE"/>
    </w:rPr>
  </w:style>
  <w:style w:type="paragraph" w:customStyle="1" w:styleId="ECSSRBooksFigureHeading">
    <w:name w:val="ECSSR Books Figure Heading"/>
    <w:basedOn w:val="Normal"/>
    <w:next w:val="ECSSRBooksBodyText"/>
    <w:qFormat/>
    <w:rsid w:val="005769E1"/>
    <w:pPr>
      <w:spacing w:before="120" w:after="0" w:line="204" w:lineRule="auto"/>
      <w:jc w:val="center"/>
    </w:pPr>
    <w:rPr>
      <w:rFonts w:ascii="Adobe Caslon Pro" w:eastAsia="Times New Roman" w:hAnsi="Adobe Caslon Pro"/>
      <w:b/>
      <w:bCs/>
      <w:sz w:val="22"/>
      <w:szCs w:val="22"/>
      <w:lang w:val="en-US" w:eastAsia="en-US" w:bidi="fa-IR"/>
    </w:rPr>
  </w:style>
  <w:style w:type="table" w:styleId="TableGrid">
    <w:name w:val="Table Grid"/>
    <w:basedOn w:val="TableNormal"/>
    <w:uiPriority w:val="59"/>
    <w:rsid w:val="00EA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A429B"/>
    <w:rPr>
      <w:color w:val="954F72" w:themeColor="followedHyperlink"/>
      <w:u w:val="single"/>
    </w:rPr>
  </w:style>
  <w:style w:type="character" w:styleId="CommentReference">
    <w:name w:val="annotation reference"/>
    <w:basedOn w:val="DefaultParagraphFont"/>
    <w:rsid w:val="00DF0ADE"/>
    <w:rPr>
      <w:sz w:val="16"/>
      <w:szCs w:val="16"/>
    </w:rPr>
  </w:style>
  <w:style w:type="paragraph" w:styleId="CommentText">
    <w:name w:val="annotation text"/>
    <w:basedOn w:val="Normal"/>
    <w:link w:val="CommentTextChar"/>
    <w:rsid w:val="00DF0ADE"/>
    <w:pPr>
      <w:spacing w:line="240" w:lineRule="auto"/>
    </w:pPr>
  </w:style>
  <w:style w:type="character" w:customStyle="1" w:styleId="CommentTextChar">
    <w:name w:val="Comment Text Char"/>
    <w:basedOn w:val="DefaultParagraphFont"/>
    <w:link w:val="CommentText"/>
    <w:rsid w:val="00DF0ADE"/>
    <w:rPr>
      <w:rFonts w:ascii="Arial" w:eastAsia="Times" w:hAnsi="Arial"/>
      <w:lang w:eastAsia="ja-JP"/>
    </w:rPr>
  </w:style>
  <w:style w:type="paragraph" w:styleId="CommentSubject">
    <w:name w:val="annotation subject"/>
    <w:basedOn w:val="CommentText"/>
    <w:next w:val="CommentText"/>
    <w:link w:val="CommentSubjectChar"/>
    <w:rsid w:val="00DF0ADE"/>
    <w:rPr>
      <w:b/>
      <w:bCs/>
    </w:rPr>
  </w:style>
  <w:style w:type="character" w:customStyle="1" w:styleId="CommentSubjectChar">
    <w:name w:val="Comment Subject Char"/>
    <w:basedOn w:val="CommentTextChar"/>
    <w:link w:val="CommentSubject"/>
    <w:rsid w:val="00DF0ADE"/>
    <w:rPr>
      <w:rFonts w:ascii="Arial" w:eastAsia="Times" w:hAnsi="Arial"/>
      <w:b/>
      <w:bCs/>
      <w:lang w:eastAsia="ja-JP"/>
    </w:rPr>
  </w:style>
  <w:style w:type="character" w:customStyle="1" w:styleId="ECSSRBooksTypesetBibliographyChar">
    <w:name w:val="ECSSR Books Typeset Bibliography Char"/>
    <w:basedOn w:val="DefaultParagraphFont"/>
    <w:link w:val="ECSSRBooksTypesetBibliography"/>
    <w:locked/>
    <w:rsid w:val="00597603"/>
    <w:rPr>
      <w:rFonts w:ascii="Adobe Caslon Pro" w:hAnsi="Adobe Caslon Pro"/>
      <w:sz w:val="22"/>
      <w:szCs w:val="22"/>
    </w:rPr>
  </w:style>
  <w:style w:type="paragraph" w:customStyle="1" w:styleId="ECSSRBooksTypesetBibliography">
    <w:name w:val="ECSSR Books Typeset Bibliography"/>
    <w:basedOn w:val="EndnoteText"/>
    <w:link w:val="ECSSRBooksTypesetBibliographyChar"/>
    <w:qFormat/>
    <w:rsid w:val="00597603"/>
    <w:pPr>
      <w:overflowPunct w:val="0"/>
      <w:autoSpaceDE w:val="0"/>
      <w:autoSpaceDN w:val="0"/>
      <w:adjustRightInd w:val="0"/>
      <w:spacing w:before="160" w:line="204" w:lineRule="auto"/>
      <w:ind w:left="340" w:hanging="340"/>
    </w:pPr>
    <w:rPr>
      <w:rFonts w:ascii="Adobe Caslon Pro" w:eastAsia="MS Mincho" w:hAnsi="Adobe Caslon Pro"/>
      <w:sz w:val="22"/>
      <w:szCs w:val="22"/>
      <w:lang w:eastAsia="en-GB"/>
    </w:rPr>
  </w:style>
  <w:style w:type="character" w:customStyle="1" w:styleId="occurrence">
    <w:name w:val="occurrence"/>
    <w:basedOn w:val="DefaultParagraphFont"/>
    <w:rsid w:val="00940E04"/>
  </w:style>
  <w:style w:type="paragraph" w:customStyle="1" w:styleId="ECSSRBooksFigureNotes">
    <w:name w:val="ECSSR Books Figure Notes"/>
    <w:basedOn w:val="Normal"/>
    <w:next w:val="Normal"/>
    <w:autoRedefine/>
    <w:qFormat/>
    <w:rsid w:val="00950375"/>
    <w:pPr>
      <w:overflowPunct w:val="0"/>
      <w:autoSpaceDE w:val="0"/>
      <w:autoSpaceDN w:val="0"/>
      <w:adjustRightInd w:val="0"/>
      <w:spacing w:before="60" w:after="60" w:line="168" w:lineRule="auto"/>
      <w:ind w:right="7"/>
      <w:textAlignment w:val="baseline"/>
    </w:pPr>
    <w:rPr>
      <w:rFonts w:ascii="Adobe Caslon Pro" w:eastAsia="Calibri" w:hAnsi="Adobe Caslon Pro"/>
      <w:i/>
      <w:spacing w:val="-3"/>
      <w:sz w:val="18"/>
      <w:szCs w:val="18"/>
      <w:lang w:val="en-US" w:eastAsia="en-US" w:bidi="ar-EG"/>
    </w:rPr>
  </w:style>
  <w:style w:type="table" w:styleId="LightList-Accent3">
    <w:name w:val="Light List Accent 3"/>
    <w:basedOn w:val="TableNormal"/>
    <w:uiPriority w:val="61"/>
    <w:rsid w:val="001212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283">
      <w:bodyDiv w:val="1"/>
      <w:marLeft w:val="0"/>
      <w:marRight w:val="0"/>
      <w:marTop w:val="0"/>
      <w:marBottom w:val="0"/>
      <w:divBdr>
        <w:top w:val="none" w:sz="0" w:space="0" w:color="auto"/>
        <w:left w:val="none" w:sz="0" w:space="0" w:color="auto"/>
        <w:bottom w:val="none" w:sz="0" w:space="0" w:color="auto"/>
        <w:right w:val="none" w:sz="0" w:space="0" w:color="auto"/>
      </w:divBdr>
      <w:divsChild>
        <w:div w:id="602959397">
          <w:marLeft w:val="0"/>
          <w:marRight w:val="0"/>
          <w:marTop w:val="0"/>
          <w:marBottom w:val="0"/>
          <w:divBdr>
            <w:top w:val="none" w:sz="0" w:space="0" w:color="auto"/>
            <w:left w:val="none" w:sz="0" w:space="0" w:color="auto"/>
            <w:bottom w:val="none" w:sz="0" w:space="0" w:color="auto"/>
            <w:right w:val="none" w:sz="0" w:space="0" w:color="auto"/>
          </w:divBdr>
          <w:divsChild>
            <w:div w:id="1096514006">
              <w:marLeft w:val="0"/>
              <w:marRight w:val="0"/>
              <w:marTop w:val="0"/>
              <w:marBottom w:val="0"/>
              <w:divBdr>
                <w:top w:val="none" w:sz="0" w:space="0" w:color="auto"/>
                <w:left w:val="none" w:sz="0" w:space="0" w:color="auto"/>
                <w:bottom w:val="none" w:sz="0" w:space="0" w:color="auto"/>
                <w:right w:val="none" w:sz="0" w:space="0" w:color="auto"/>
              </w:divBdr>
              <w:divsChild>
                <w:div w:id="257250071">
                  <w:marLeft w:val="0"/>
                  <w:marRight w:val="0"/>
                  <w:marTop w:val="0"/>
                  <w:marBottom w:val="0"/>
                  <w:divBdr>
                    <w:top w:val="none" w:sz="0" w:space="0" w:color="auto"/>
                    <w:left w:val="none" w:sz="0" w:space="0" w:color="auto"/>
                    <w:bottom w:val="none" w:sz="0" w:space="0" w:color="auto"/>
                    <w:right w:val="none" w:sz="0" w:space="0" w:color="auto"/>
                  </w:divBdr>
                  <w:divsChild>
                    <w:div w:id="1769692917">
                      <w:marLeft w:val="0"/>
                      <w:marRight w:val="0"/>
                      <w:marTop w:val="0"/>
                      <w:marBottom w:val="0"/>
                      <w:divBdr>
                        <w:top w:val="none" w:sz="0" w:space="0" w:color="auto"/>
                        <w:left w:val="none" w:sz="0" w:space="0" w:color="auto"/>
                        <w:bottom w:val="none" w:sz="0" w:space="0" w:color="auto"/>
                        <w:right w:val="none" w:sz="0" w:space="0" w:color="auto"/>
                      </w:divBdr>
                    </w:div>
                    <w:div w:id="1848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researcher/2045603969_Fiona_Cambell" TargetMode="External"/><Relationship Id="rId18" Type="http://schemas.openxmlformats.org/officeDocument/2006/relationships/hyperlink" Target="https://www.researchgate.net/profile/Olena_Tatarchenko" TargetMode="External"/><Relationship Id="rId3" Type="http://schemas.openxmlformats.org/officeDocument/2006/relationships/styles" Target="styles.xml"/><Relationship Id="rId21" Type="http://schemas.openxmlformats.org/officeDocument/2006/relationships/hyperlink" Target="http://www.bioregional.com/files/publications/Hackbridge-an-area-based-strategy-for-zero-carbon-buildings-may2012.pdf" TargetMode="External"/><Relationship Id="rId7" Type="http://schemas.openxmlformats.org/officeDocument/2006/relationships/endnotes" Target="endnotes.xml"/><Relationship Id="rId12" Type="http://schemas.openxmlformats.org/officeDocument/2006/relationships/hyperlink" Target="https://www.researchgate.net/profile/Nils_Brandt" TargetMode="External"/><Relationship Id="rId17" Type="http://schemas.openxmlformats.org/officeDocument/2006/relationships/hyperlink" Target="https://www.researchgate.net/profile/Udo_Pesch" TargetMode="External"/><Relationship Id="rId2" Type="http://schemas.openxmlformats.org/officeDocument/2006/relationships/numbering" Target="numbering.xml"/><Relationship Id="rId16" Type="http://schemas.openxmlformats.org/officeDocument/2006/relationships/hyperlink" Target="https://www.researchgate.net/profile/Karel_Mulder" TargetMode="External"/><Relationship Id="rId20" Type="http://schemas.openxmlformats.org/officeDocument/2006/relationships/hyperlink" Target="https://www.researchgate.net/publication/266137403_European_Cities_Moving_Towards_Climate_Neutrality_Participation_Indicators_and_Benchmarking?ev=prf_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profile/Maria_Malmstroem"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www.researchgate.net/researcher/2054849724_Louise_Arm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earchgate.net/profile/Stefan_Johansson7" TargetMode="External"/><Relationship Id="rId22" Type="http://schemas.openxmlformats.org/officeDocument/2006/relationships/hyperlink" Target="http://www.sutton.gov.uk/CHttpHandler.ashx?id=5173&amp;p=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regions/index_en.cfm?pg=smart_specialisation" TargetMode="External"/><Relationship Id="rId1" Type="http://schemas.openxmlformats.org/officeDocument/2006/relationships/hyperlink" Target="http://eu-smartcities.eu/content/fp7-smart-cities-and-communities-call-proposals-now-op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A12D-1FC9-478E-A9BA-A5934D5D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8252</Words>
  <Characters>47872</Characters>
  <Application>Microsoft Office Word</Application>
  <DocSecurity>4</DocSecurity>
  <Lines>398</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Template</vt:lpstr>
      <vt:lpstr>Template</vt:lpstr>
    </vt:vector>
  </TitlesOfParts>
  <Manager/>
  <Company/>
  <LinksUpToDate>false</LinksUpToDate>
  <CharactersWithSpaces>56012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SBE16Torino</dc:creator>
  <cp:keywords/>
  <dc:description/>
  <cp:lastModifiedBy>Gibson, Lyn</cp:lastModifiedBy>
  <cp:revision>2</cp:revision>
  <cp:lastPrinted>2016-10-18T12:49:00Z</cp:lastPrinted>
  <dcterms:created xsi:type="dcterms:W3CDTF">2017-03-06T11:49:00Z</dcterms:created>
  <dcterms:modified xsi:type="dcterms:W3CDTF">2017-03-06T11:49:00Z</dcterms:modified>
  <cp:category/>
</cp:coreProperties>
</file>