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5EE8B" w14:textId="77777777" w:rsidR="003E0C76" w:rsidRDefault="003E0C76" w:rsidP="000133A6">
      <w:bookmarkStart w:id="0" w:name="_GoBack"/>
      <w:bookmarkEnd w:id="0"/>
    </w:p>
    <w:p w14:paraId="630D344B" w14:textId="77777777" w:rsidR="000133A6" w:rsidRDefault="000133A6" w:rsidP="000133A6">
      <w:pPr>
        <w:jc w:val="center"/>
        <w:rPr>
          <w:b/>
          <w:sz w:val="32"/>
          <w:szCs w:val="32"/>
        </w:rPr>
      </w:pPr>
    </w:p>
    <w:p w14:paraId="0C9C0D5F" w14:textId="77777777" w:rsidR="003E0C76" w:rsidRPr="00AE6B5F" w:rsidRDefault="00DA73A2" w:rsidP="000133A6">
      <w:pPr>
        <w:jc w:val="center"/>
        <w:rPr>
          <w:b/>
          <w:sz w:val="28"/>
          <w:szCs w:val="32"/>
        </w:rPr>
      </w:pPr>
      <w:r w:rsidRPr="00AE6B5F">
        <w:rPr>
          <w:b/>
          <w:sz w:val="28"/>
          <w:szCs w:val="32"/>
        </w:rPr>
        <w:t>Social cognition</w:t>
      </w:r>
      <w:r w:rsidR="003E0C76" w:rsidRPr="00AE6B5F">
        <w:rPr>
          <w:b/>
          <w:sz w:val="28"/>
          <w:szCs w:val="32"/>
        </w:rPr>
        <w:t xml:space="preserve"> and paranoia in </w:t>
      </w:r>
      <w:r w:rsidR="008A4B83" w:rsidRPr="00AE6B5F">
        <w:rPr>
          <w:b/>
          <w:sz w:val="28"/>
          <w:szCs w:val="32"/>
        </w:rPr>
        <w:t>forensic inpatients</w:t>
      </w:r>
      <w:r w:rsidR="003E0C76" w:rsidRPr="00AE6B5F">
        <w:rPr>
          <w:b/>
          <w:sz w:val="28"/>
          <w:szCs w:val="32"/>
        </w:rPr>
        <w:t xml:space="preserve"> </w:t>
      </w:r>
      <w:r w:rsidR="00971802" w:rsidRPr="00AE6B5F">
        <w:rPr>
          <w:b/>
          <w:sz w:val="28"/>
          <w:szCs w:val="32"/>
        </w:rPr>
        <w:t>with schizophrenia: A cross-sectional study</w:t>
      </w:r>
    </w:p>
    <w:p w14:paraId="59B9AD1B" w14:textId="77777777" w:rsidR="003E0C76" w:rsidRPr="00AE6B5F" w:rsidRDefault="003E0C76" w:rsidP="000133A6">
      <w:pPr>
        <w:jc w:val="center"/>
        <w:rPr>
          <w:i/>
          <w:sz w:val="32"/>
          <w:szCs w:val="32"/>
        </w:rPr>
      </w:pPr>
    </w:p>
    <w:p w14:paraId="4332DC78" w14:textId="77777777" w:rsidR="000133A6" w:rsidRPr="00AE6B5F" w:rsidRDefault="000133A6" w:rsidP="000133A6">
      <w:pPr>
        <w:jc w:val="center"/>
        <w:rPr>
          <w:szCs w:val="32"/>
        </w:rPr>
      </w:pPr>
    </w:p>
    <w:p w14:paraId="1140C482" w14:textId="77777777" w:rsidR="000133A6" w:rsidRPr="00AE6B5F" w:rsidRDefault="00367295" w:rsidP="000133A6">
      <w:pPr>
        <w:jc w:val="center"/>
        <w:rPr>
          <w:szCs w:val="32"/>
        </w:rPr>
      </w:pPr>
      <w:r w:rsidRPr="00AE6B5F">
        <w:rPr>
          <w:szCs w:val="32"/>
        </w:rPr>
        <w:t>Running Head: Social cognition and</w:t>
      </w:r>
      <w:r w:rsidR="000133A6" w:rsidRPr="00AE6B5F">
        <w:rPr>
          <w:szCs w:val="32"/>
        </w:rPr>
        <w:t xml:space="preserve"> paranoia </w:t>
      </w:r>
      <w:r w:rsidRPr="00AE6B5F">
        <w:rPr>
          <w:szCs w:val="32"/>
        </w:rPr>
        <w:t xml:space="preserve">in </w:t>
      </w:r>
      <w:r w:rsidR="008A4B83" w:rsidRPr="00AE6B5F">
        <w:rPr>
          <w:szCs w:val="32"/>
        </w:rPr>
        <w:t>forensic patients</w:t>
      </w:r>
    </w:p>
    <w:p w14:paraId="7CBF6BB1" w14:textId="77777777" w:rsidR="000133A6" w:rsidRPr="00AE6B5F" w:rsidRDefault="000133A6" w:rsidP="000133A6">
      <w:pPr>
        <w:jc w:val="center"/>
        <w:rPr>
          <w:i/>
          <w:sz w:val="28"/>
          <w:szCs w:val="32"/>
        </w:rPr>
      </w:pPr>
    </w:p>
    <w:p w14:paraId="5693558B" w14:textId="77777777" w:rsidR="000133A6" w:rsidRPr="00AE6B5F" w:rsidRDefault="000133A6" w:rsidP="000133A6">
      <w:pPr>
        <w:jc w:val="center"/>
      </w:pPr>
    </w:p>
    <w:p w14:paraId="6D45933B" w14:textId="77777777" w:rsidR="00971802" w:rsidRPr="00AE6B5F" w:rsidRDefault="003E0C76" w:rsidP="000133A6">
      <w:pPr>
        <w:jc w:val="center"/>
      </w:pPr>
      <w:r w:rsidRPr="00AE6B5F">
        <w:t>Helen Bratton</w:t>
      </w:r>
      <w:r w:rsidRPr="00AE6B5F">
        <w:rPr>
          <w:rStyle w:val="FootnoteReference"/>
          <w:rFonts w:eastAsia="Calibri"/>
        </w:rPr>
        <w:t>1</w:t>
      </w:r>
      <w:r w:rsidR="00971802" w:rsidRPr="00AE6B5F">
        <w:t>*</w:t>
      </w:r>
    </w:p>
    <w:p w14:paraId="212E2131" w14:textId="77777777" w:rsidR="00971802" w:rsidRPr="00AE6B5F" w:rsidRDefault="003E0C76" w:rsidP="000133A6">
      <w:pPr>
        <w:jc w:val="center"/>
      </w:pPr>
      <w:r w:rsidRPr="00AE6B5F">
        <w:t>Suzanne O’Rourke</w:t>
      </w:r>
      <w:r w:rsidR="00367295" w:rsidRPr="00AE6B5F">
        <w:rPr>
          <w:rStyle w:val="FootnoteReference"/>
          <w:rFonts w:eastAsia="Calibri"/>
        </w:rPr>
        <w:t>3</w:t>
      </w:r>
    </w:p>
    <w:p w14:paraId="01BC17DE" w14:textId="77777777" w:rsidR="00971802" w:rsidRPr="00AE6B5F" w:rsidRDefault="003E0C76" w:rsidP="000133A6">
      <w:pPr>
        <w:jc w:val="center"/>
      </w:pPr>
      <w:r w:rsidRPr="00AE6B5F">
        <w:t>Louise Tansey</w:t>
      </w:r>
      <w:r w:rsidR="00367295" w:rsidRPr="00AE6B5F">
        <w:rPr>
          <w:vertAlign w:val="superscript"/>
        </w:rPr>
        <w:t>2</w:t>
      </w:r>
    </w:p>
    <w:p w14:paraId="27EC4291" w14:textId="77777777" w:rsidR="003E0C76" w:rsidRPr="00AE6B5F" w:rsidRDefault="003E0C76" w:rsidP="000133A6">
      <w:pPr>
        <w:jc w:val="center"/>
      </w:pPr>
      <w:r w:rsidRPr="00AE6B5F">
        <w:t>Paul Hutton</w:t>
      </w:r>
      <w:r w:rsidR="00367295" w:rsidRPr="00AE6B5F">
        <w:rPr>
          <w:vertAlign w:val="superscript"/>
        </w:rPr>
        <w:t>3</w:t>
      </w:r>
    </w:p>
    <w:p w14:paraId="2DC280E2" w14:textId="77777777" w:rsidR="003E0C76" w:rsidRPr="00AE6B5F" w:rsidRDefault="003E0C76" w:rsidP="000133A6"/>
    <w:p w14:paraId="19D71E2B" w14:textId="77777777" w:rsidR="00367295" w:rsidRPr="00AE6B5F" w:rsidRDefault="00367295" w:rsidP="00367295">
      <w:pPr>
        <w:pStyle w:val="FootnoteText"/>
        <w:rPr>
          <w:sz w:val="24"/>
        </w:rPr>
      </w:pPr>
    </w:p>
    <w:p w14:paraId="6CAD16B5" w14:textId="77777777" w:rsidR="00367295" w:rsidRPr="00AE6B5F" w:rsidRDefault="00367295" w:rsidP="00367295">
      <w:pPr>
        <w:pStyle w:val="FootnoteText"/>
        <w:rPr>
          <w:sz w:val="24"/>
        </w:rPr>
      </w:pPr>
    </w:p>
    <w:p w14:paraId="474D1BB5" w14:textId="77777777" w:rsidR="00367295" w:rsidRPr="00AE6B5F" w:rsidRDefault="00367295" w:rsidP="00367295">
      <w:pPr>
        <w:pStyle w:val="FootnoteText"/>
        <w:rPr>
          <w:sz w:val="24"/>
        </w:rPr>
      </w:pPr>
      <w:r w:rsidRPr="00AE6B5F">
        <w:rPr>
          <w:sz w:val="24"/>
          <w:vertAlign w:val="superscript"/>
        </w:rPr>
        <w:t>1</w:t>
      </w:r>
      <w:r w:rsidRPr="00AE6B5F">
        <w:rPr>
          <w:sz w:val="24"/>
        </w:rPr>
        <w:t xml:space="preserve">Forensic Clinical Psychology </w:t>
      </w:r>
    </w:p>
    <w:p w14:paraId="742CD5A1" w14:textId="77777777" w:rsidR="00367295" w:rsidRPr="00AE6B5F" w:rsidRDefault="00367295" w:rsidP="00367295">
      <w:pPr>
        <w:pStyle w:val="FootnoteText"/>
        <w:rPr>
          <w:sz w:val="24"/>
        </w:rPr>
      </w:pPr>
      <w:r w:rsidRPr="00AE6B5F">
        <w:rPr>
          <w:sz w:val="24"/>
        </w:rPr>
        <w:t>Forensic Community Mental Health Service</w:t>
      </w:r>
    </w:p>
    <w:p w14:paraId="770C6A63" w14:textId="77777777" w:rsidR="00367295" w:rsidRPr="00AE6B5F" w:rsidRDefault="00367295" w:rsidP="00367295">
      <w:pPr>
        <w:pStyle w:val="FootnoteText"/>
        <w:rPr>
          <w:sz w:val="24"/>
        </w:rPr>
      </w:pPr>
      <w:r w:rsidRPr="00AE6B5F">
        <w:rPr>
          <w:sz w:val="24"/>
        </w:rPr>
        <w:t>Ward 17 Falkirk Community Hospital</w:t>
      </w:r>
    </w:p>
    <w:p w14:paraId="325A3D32" w14:textId="77777777" w:rsidR="00367295" w:rsidRPr="00AE6B5F" w:rsidRDefault="00367295" w:rsidP="00367295">
      <w:pPr>
        <w:pStyle w:val="FootnoteText"/>
        <w:rPr>
          <w:sz w:val="24"/>
        </w:rPr>
      </w:pPr>
      <w:r w:rsidRPr="00AE6B5F">
        <w:rPr>
          <w:sz w:val="24"/>
        </w:rPr>
        <w:t>Westburn Avenue</w:t>
      </w:r>
    </w:p>
    <w:p w14:paraId="4AEA69ED" w14:textId="77777777" w:rsidR="00367295" w:rsidRPr="00AE6B5F" w:rsidRDefault="00367295" w:rsidP="00367295">
      <w:pPr>
        <w:pStyle w:val="FootnoteText"/>
        <w:rPr>
          <w:sz w:val="24"/>
        </w:rPr>
      </w:pPr>
      <w:r w:rsidRPr="00AE6B5F">
        <w:rPr>
          <w:sz w:val="24"/>
        </w:rPr>
        <w:t>Falkirk</w:t>
      </w:r>
    </w:p>
    <w:p w14:paraId="1DEE7CDF" w14:textId="77777777" w:rsidR="00971802" w:rsidRPr="00AE6B5F" w:rsidRDefault="00367295" w:rsidP="00367295">
      <w:pPr>
        <w:pStyle w:val="FootnoteText"/>
        <w:rPr>
          <w:sz w:val="24"/>
        </w:rPr>
      </w:pPr>
      <w:r w:rsidRPr="00AE6B5F">
        <w:rPr>
          <w:sz w:val="24"/>
        </w:rPr>
        <w:t>FK1 5SU</w:t>
      </w:r>
    </w:p>
    <w:p w14:paraId="61392D55" w14:textId="77777777" w:rsidR="00367295" w:rsidRPr="00AE6B5F" w:rsidRDefault="00367295" w:rsidP="000133A6">
      <w:pPr>
        <w:pStyle w:val="FootnoteText"/>
        <w:rPr>
          <w:sz w:val="24"/>
          <w:vertAlign w:val="superscript"/>
        </w:rPr>
      </w:pPr>
    </w:p>
    <w:p w14:paraId="698D0A2A" w14:textId="77777777" w:rsidR="000133A6" w:rsidRPr="00AE6B5F" w:rsidRDefault="00367295" w:rsidP="000133A6">
      <w:pPr>
        <w:pStyle w:val="FootnoteText"/>
        <w:rPr>
          <w:sz w:val="24"/>
        </w:rPr>
      </w:pPr>
      <w:r w:rsidRPr="00AE6B5F">
        <w:rPr>
          <w:sz w:val="24"/>
          <w:vertAlign w:val="superscript"/>
        </w:rPr>
        <w:t>2</w:t>
      </w:r>
      <w:r w:rsidR="000133A6" w:rsidRPr="00AE6B5F">
        <w:rPr>
          <w:sz w:val="24"/>
        </w:rPr>
        <w:t>The Orchard Clinic</w:t>
      </w:r>
    </w:p>
    <w:p w14:paraId="62CBE9DD" w14:textId="77777777" w:rsidR="000133A6" w:rsidRPr="00AE6B5F" w:rsidRDefault="000133A6" w:rsidP="000133A6">
      <w:pPr>
        <w:pStyle w:val="FootnoteText"/>
        <w:rPr>
          <w:sz w:val="24"/>
        </w:rPr>
      </w:pPr>
      <w:r w:rsidRPr="00AE6B5F">
        <w:rPr>
          <w:sz w:val="24"/>
        </w:rPr>
        <w:t>NHS Lothian</w:t>
      </w:r>
    </w:p>
    <w:p w14:paraId="43D79FBF" w14:textId="77777777" w:rsidR="000133A6" w:rsidRPr="00AE6B5F" w:rsidRDefault="003E0C76" w:rsidP="000133A6">
      <w:pPr>
        <w:pStyle w:val="FootnoteText"/>
        <w:rPr>
          <w:sz w:val="24"/>
        </w:rPr>
      </w:pPr>
      <w:r w:rsidRPr="00AE6B5F">
        <w:rPr>
          <w:sz w:val="24"/>
        </w:rPr>
        <w:t>Edinburgh</w:t>
      </w:r>
    </w:p>
    <w:p w14:paraId="421841C5" w14:textId="77777777" w:rsidR="000133A6" w:rsidRPr="00AE6B5F" w:rsidRDefault="000133A6" w:rsidP="000133A6">
      <w:pPr>
        <w:pStyle w:val="FootnoteText"/>
        <w:rPr>
          <w:rStyle w:val="FootnoteReference"/>
          <w:rFonts w:eastAsia="Calibri"/>
          <w:sz w:val="24"/>
          <w:vertAlign w:val="baseline"/>
        </w:rPr>
      </w:pPr>
    </w:p>
    <w:p w14:paraId="37A0052C" w14:textId="77777777" w:rsidR="000133A6" w:rsidRPr="00AE6B5F" w:rsidRDefault="00367295" w:rsidP="000133A6">
      <w:pPr>
        <w:pStyle w:val="FootnoteText"/>
        <w:rPr>
          <w:sz w:val="24"/>
        </w:rPr>
      </w:pPr>
      <w:r w:rsidRPr="00AE6B5F">
        <w:rPr>
          <w:rStyle w:val="FootnoteReference"/>
          <w:rFonts w:eastAsia="Calibri"/>
          <w:sz w:val="24"/>
        </w:rPr>
        <w:t>3</w:t>
      </w:r>
      <w:r w:rsidR="000133A6" w:rsidRPr="00AE6B5F">
        <w:rPr>
          <w:sz w:val="24"/>
        </w:rPr>
        <w:t>Department of Clinical and Health Psychology</w:t>
      </w:r>
    </w:p>
    <w:p w14:paraId="10F34453" w14:textId="77777777" w:rsidR="000133A6" w:rsidRPr="00AE6B5F" w:rsidRDefault="003E0C76" w:rsidP="000133A6">
      <w:pPr>
        <w:pStyle w:val="FootnoteText"/>
        <w:rPr>
          <w:sz w:val="24"/>
        </w:rPr>
      </w:pPr>
      <w:r w:rsidRPr="00AE6B5F">
        <w:rPr>
          <w:sz w:val="24"/>
        </w:rPr>
        <w:t>The Schoo</w:t>
      </w:r>
      <w:r w:rsidR="000133A6" w:rsidRPr="00AE6B5F">
        <w:rPr>
          <w:sz w:val="24"/>
        </w:rPr>
        <w:t>l of Health in Social Science</w:t>
      </w:r>
    </w:p>
    <w:p w14:paraId="5F90E7BC" w14:textId="77777777" w:rsidR="000133A6" w:rsidRPr="00AE6B5F" w:rsidRDefault="000133A6" w:rsidP="000133A6">
      <w:pPr>
        <w:pStyle w:val="FootnoteText"/>
        <w:rPr>
          <w:sz w:val="24"/>
        </w:rPr>
      </w:pPr>
      <w:r w:rsidRPr="00AE6B5F">
        <w:rPr>
          <w:sz w:val="24"/>
        </w:rPr>
        <w:t>University of Edinburgh</w:t>
      </w:r>
    </w:p>
    <w:p w14:paraId="5517115B" w14:textId="77777777" w:rsidR="000133A6" w:rsidRPr="00AE6B5F" w:rsidRDefault="000133A6" w:rsidP="000133A6">
      <w:pPr>
        <w:pStyle w:val="FootnoteText"/>
        <w:rPr>
          <w:sz w:val="24"/>
        </w:rPr>
      </w:pPr>
    </w:p>
    <w:p w14:paraId="7101A5C6" w14:textId="77777777" w:rsidR="003E0C76" w:rsidRPr="00AE6B5F" w:rsidRDefault="003E0C76" w:rsidP="000133A6">
      <w:pPr>
        <w:pStyle w:val="FootnoteText"/>
        <w:rPr>
          <w:sz w:val="24"/>
        </w:rPr>
      </w:pPr>
      <w:r w:rsidRPr="00AE6B5F">
        <w:rPr>
          <w:sz w:val="24"/>
        </w:rPr>
        <w:t>*</w:t>
      </w:r>
      <w:r w:rsidR="000133A6" w:rsidRPr="00AE6B5F">
        <w:rPr>
          <w:sz w:val="24"/>
        </w:rPr>
        <w:t>Corresponding author:</w:t>
      </w:r>
      <w:r w:rsidRPr="00AE6B5F">
        <w:rPr>
          <w:sz w:val="24"/>
        </w:rPr>
        <w:t xml:space="preserve"> Helen.Bratton@nhs.net.</w:t>
      </w:r>
    </w:p>
    <w:p w14:paraId="67419556" w14:textId="77777777" w:rsidR="003E0C76" w:rsidRPr="00AE6B5F" w:rsidRDefault="003E0C76" w:rsidP="000133A6">
      <w:pPr>
        <w:pStyle w:val="FootnoteText"/>
        <w:rPr>
          <w:sz w:val="18"/>
        </w:rPr>
      </w:pPr>
    </w:p>
    <w:p w14:paraId="5A0B008C" w14:textId="77777777" w:rsidR="003E0C76" w:rsidRPr="00AE6B5F" w:rsidRDefault="003E0C76" w:rsidP="000133A6">
      <w:pPr>
        <w:rPr>
          <w:b/>
        </w:rPr>
      </w:pPr>
      <w:r w:rsidRPr="00AE6B5F">
        <w:rPr>
          <w:b/>
        </w:rPr>
        <w:br w:type="page"/>
      </w:r>
    </w:p>
    <w:p w14:paraId="7320E1CF" w14:textId="77777777" w:rsidR="003E0C76" w:rsidRPr="00AE6B5F" w:rsidRDefault="003E0C76" w:rsidP="000133A6">
      <w:pPr>
        <w:jc w:val="both"/>
        <w:rPr>
          <w:b/>
        </w:rPr>
      </w:pPr>
      <w:r w:rsidRPr="00AE6B5F">
        <w:rPr>
          <w:b/>
        </w:rPr>
        <w:lastRenderedPageBreak/>
        <w:t xml:space="preserve">Abstract </w:t>
      </w:r>
    </w:p>
    <w:p w14:paraId="4F83B211" w14:textId="77777777" w:rsidR="003E0C76" w:rsidRPr="00AE6B5F" w:rsidRDefault="003E0C76" w:rsidP="000133A6">
      <w:pPr>
        <w:jc w:val="both"/>
        <w:rPr>
          <w:b/>
        </w:rPr>
      </w:pPr>
    </w:p>
    <w:p w14:paraId="0A53175D" w14:textId="77777777" w:rsidR="00B84222" w:rsidRPr="00AE6B5F" w:rsidRDefault="00B84222" w:rsidP="00FA7424">
      <w:pPr>
        <w:jc w:val="both"/>
        <w:rPr>
          <w:i/>
        </w:rPr>
      </w:pPr>
      <w:r w:rsidRPr="00AE6B5F">
        <w:rPr>
          <w:i/>
        </w:rPr>
        <w:t>Background</w:t>
      </w:r>
      <w:r w:rsidR="00404583" w:rsidRPr="00AE6B5F">
        <w:rPr>
          <w:i/>
        </w:rPr>
        <w:t xml:space="preserve">: </w:t>
      </w:r>
    </w:p>
    <w:p w14:paraId="30B3EE74" w14:textId="77777777" w:rsidR="003E0C76" w:rsidRPr="00AE6B5F" w:rsidRDefault="00404583" w:rsidP="00FA7424">
      <w:pPr>
        <w:jc w:val="both"/>
      </w:pPr>
      <w:r w:rsidRPr="00AE6B5F">
        <w:t>People diagnosed with</w:t>
      </w:r>
      <w:r w:rsidR="003E0C76" w:rsidRPr="00AE6B5F">
        <w:t xml:space="preserve"> schizophrenia </w:t>
      </w:r>
      <w:r w:rsidRPr="00AE6B5F">
        <w:t>have difficulties in emotion recognition and theory of mind,</w:t>
      </w:r>
      <w:r w:rsidR="003E0C76" w:rsidRPr="00AE6B5F">
        <w:t xml:space="preserve"> </w:t>
      </w:r>
      <w:r w:rsidRPr="00AE6B5F">
        <w:t>and th</w:t>
      </w:r>
      <w:r w:rsidR="000D69CB" w:rsidRPr="00AE6B5F">
        <w:t>ese</w:t>
      </w:r>
      <w:r w:rsidRPr="00AE6B5F">
        <w:t xml:space="preserve"> may </w:t>
      </w:r>
      <w:r w:rsidR="003E0C76" w:rsidRPr="00AE6B5F">
        <w:t xml:space="preserve">contribute to paranoia. </w:t>
      </w:r>
      <w:r w:rsidRPr="00AE6B5F">
        <w:t>The aim of this</w:t>
      </w:r>
      <w:r w:rsidR="00DA73A2" w:rsidRPr="00AE6B5F">
        <w:t xml:space="preserve"> study was</w:t>
      </w:r>
      <w:r w:rsidRPr="00AE6B5F">
        <w:t xml:space="preserve"> to determine whether this relationship is evident in patients residing in a secure forensic setting.</w:t>
      </w:r>
    </w:p>
    <w:p w14:paraId="01CF9D4E" w14:textId="77777777" w:rsidR="00404583" w:rsidRPr="00AE6B5F" w:rsidRDefault="00404583" w:rsidP="00FA7424">
      <w:pPr>
        <w:jc w:val="both"/>
      </w:pPr>
    </w:p>
    <w:p w14:paraId="14D25F8D" w14:textId="77777777" w:rsidR="00B84222" w:rsidRPr="00AE6B5F" w:rsidRDefault="00B84222" w:rsidP="00FA7424">
      <w:pPr>
        <w:jc w:val="both"/>
        <w:rPr>
          <w:i/>
        </w:rPr>
      </w:pPr>
      <w:r w:rsidRPr="00AE6B5F">
        <w:rPr>
          <w:i/>
        </w:rPr>
        <w:t>Method</w:t>
      </w:r>
      <w:r w:rsidR="003E0C76" w:rsidRPr="00AE6B5F">
        <w:rPr>
          <w:i/>
        </w:rPr>
        <w:t>:</w:t>
      </w:r>
    </w:p>
    <w:p w14:paraId="65A87020" w14:textId="77777777" w:rsidR="003E0C76" w:rsidRPr="00AE6B5F" w:rsidRDefault="003E0C76" w:rsidP="00FA7424">
      <w:pPr>
        <w:jc w:val="both"/>
      </w:pPr>
      <w:r w:rsidRPr="00AE6B5F">
        <w:t xml:space="preserve">Twenty-seven male participants with a diagnosis of schizophrenia </w:t>
      </w:r>
      <w:r w:rsidR="00404583" w:rsidRPr="00AE6B5F">
        <w:t>and a history of offending</w:t>
      </w:r>
      <w:r w:rsidR="00DA73A2" w:rsidRPr="00AE6B5F">
        <w:t xml:space="preserve"> behaviour</w:t>
      </w:r>
      <w:r w:rsidR="00404583" w:rsidRPr="00AE6B5F">
        <w:t xml:space="preserve"> </w:t>
      </w:r>
      <w:r w:rsidRPr="00AE6B5F">
        <w:t xml:space="preserve">were assessed using The Awareness of Social Inference Test (TASIT), The Ambiguous Intentions Hostility Questionnaire (AIHQ) and The Green et al. Paranoid Thought Scales (G-PTS). Individuals were recruited from two medium secure and </w:t>
      </w:r>
      <w:r w:rsidR="00400FAF" w:rsidRPr="00AE6B5F">
        <w:t>one</w:t>
      </w:r>
      <w:r w:rsidR="00404583" w:rsidRPr="00AE6B5F">
        <w:t xml:space="preserve"> high secure forensic hospital in Scotland.</w:t>
      </w:r>
      <w:r w:rsidRPr="00AE6B5F">
        <w:t xml:space="preserve">  </w:t>
      </w:r>
    </w:p>
    <w:p w14:paraId="09E26C8C" w14:textId="77777777" w:rsidR="003E0C76" w:rsidRPr="00AE6B5F" w:rsidRDefault="003E0C76" w:rsidP="00FA7424">
      <w:pPr>
        <w:jc w:val="both"/>
      </w:pPr>
    </w:p>
    <w:p w14:paraId="4E6AE012" w14:textId="77777777" w:rsidR="00B84222" w:rsidRPr="00AE6B5F" w:rsidRDefault="00B84222" w:rsidP="00FA7424">
      <w:pPr>
        <w:jc w:val="both"/>
        <w:rPr>
          <w:i/>
        </w:rPr>
      </w:pPr>
      <w:r w:rsidRPr="00AE6B5F">
        <w:rPr>
          <w:i/>
        </w:rPr>
        <w:t>Results:</w:t>
      </w:r>
    </w:p>
    <w:p w14:paraId="7522E8A1" w14:textId="77777777" w:rsidR="003E0C76" w:rsidRPr="00AE6B5F" w:rsidRDefault="003E0C76" w:rsidP="00FA7424">
      <w:pPr>
        <w:jc w:val="both"/>
      </w:pPr>
      <w:r w:rsidRPr="00AE6B5F">
        <w:t xml:space="preserve">Correlation, logistic and multiple regression analyses did not find that emotion recognition and theory of mind were associated with indices of paranoid thinking. </w:t>
      </w:r>
    </w:p>
    <w:p w14:paraId="57435D60" w14:textId="77777777" w:rsidR="003E0C76" w:rsidRPr="00AE6B5F" w:rsidRDefault="003E0C76" w:rsidP="00FA7424">
      <w:pPr>
        <w:jc w:val="both"/>
      </w:pPr>
    </w:p>
    <w:p w14:paraId="4E621380" w14:textId="77777777" w:rsidR="00B84222" w:rsidRPr="00AE6B5F" w:rsidRDefault="003E0C76" w:rsidP="00FA7424">
      <w:pPr>
        <w:jc w:val="both"/>
        <w:rPr>
          <w:i/>
        </w:rPr>
      </w:pPr>
      <w:r w:rsidRPr="00AE6B5F">
        <w:rPr>
          <w:i/>
        </w:rPr>
        <w:t>Conclusion</w:t>
      </w:r>
      <w:r w:rsidR="00B84222" w:rsidRPr="00AE6B5F">
        <w:rPr>
          <w:i/>
        </w:rPr>
        <w:t>:</w:t>
      </w:r>
    </w:p>
    <w:p w14:paraId="2392F75C" w14:textId="77777777" w:rsidR="003E0C76" w:rsidRPr="00AE6B5F" w:rsidRDefault="003E0C76" w:rsidP="00FA7424">
      <w:pPr>
        <w:jc w:val="both"/>
      </w:pPr>
      <w:r w:rsidRPr="00AE6B5F">
        <w:t xml:space="preserve">Social cognition did not appear to be related to indices of paranoia in this forensic sample. Although participants reported low levels of paranoia overall, the results are consistent with recent conclusions that theory of mind impairments are not specifically linked to paranoia in </w:t>
      </w:r>
      <w:r w:rsidR="00DA73A2" w:rsidRPr="00AE6B5F">
        <w:t>people diagnosed with schizophrenia</w:t>
      </w:r>
      <w:r w:rsidRPr="00AE6B5F">
        <w:t>.</w:t>
      </w:r>
    </w:p>
    <w:p w14:paraId="58284070" w14:textId="77777777" w:rsidR="003E0C76" w:rsidRPr="00AE6B5F" w:rsidRDefault="003E0C76" w:rsidP="000133A6"/>
    <w:p w14:paraId="1B3CF57C" w14:textId="77777777" w:rsidR="003E0C76" w:rsidRPr="00AE6B5F" w:rsidRDefault="003E0C76" w:rsidP="000133A6"/>
    <w:p w14:paraId="0CA26600" w14:textId="77777777" w:rsidR="003E0C76" w:rsidRPr="00AE6B5F" w:rsidRDefault="003E0C76" w:rsidP="000133A6"/>
    <w:p w14:paraId="4D2FBA35" w14:textId="77777777" w:rsidR="003E0C76" w:rsidRPr="00AE6B5F" w:rsidRDefault="003E0C76" w:rsidP="000133A6">
      <w:r w:rsidRPr="00AE6B5F">
        <w:rPr>
          <w:i/>
        </w:rPr>
        <w:t>Keywords:</w:t>
      </w:r>
      <w:r w:rsidR="00B84222" w:rsidRPr="00AE6B5F">
        <w:rPr>
          <w:i/>
        </w:rPr>
        <w:t xml:space="preserve"> </w:t>
      </w:r>
      <w:r w:rsidRPr="00AE6B5F">
        <w:t>Paranoia, hostile attribution bias, emotion recognition, theory of mind, social cognition, mentally disordered offenders.</w:t>
      </w:r>
    </w:p>
    <w:p w14:paraId="3B07638A" w14:textId="77777777" w:rsidR="003E0C76" w:rsidRPr="00AE6B5F" w:rsidRDefault="003E0C76" w:rsidP="000133A6">
      <w:pPr>
        <w:jc w:val="both"/>
      </w:pPr>
    </w:p>
    <w:p w14:paraId="25826845" w14:textId="3E0228B9" w:rsidR="003E0C76" w:rsidRPr="00AE6B5F" w:rsidRDefault="003E0C76" w:rsidP="000133A6">
      <w:pPr>
        <w:jc w:val="both"/>
      </w:pPr>
      <w:r w:rsidRPr="00AE6B5F">
        <w:t xml:space="preserve">Word Count:  </w:t>
      </w:r>
      <w:r w:rsidR="00452FFD" w:rsidRPr="00AE6B5F">
        <w:t>4544</w:t>
      </w:r>
    </w:p>
    <w:p w14:paraId="16E6EF51" w14:textId="77777777" w:rsidR="003E0C76" w:rsidRPr="00AE6B5F" w:rsidRDefault="003E0C76" w:rsidP="000133A6">
      <w:pPr>
        <w:jc w:val="both"/>
        <w:rPr>
          <w:b/>
        </w:rPr>
      </w:pPr>
    </w:p>
    <w:p w14:paraId="3477BE82" w14:textId="77777777" w:rsidR="003E0C76" w:rsidRPr="00AE6B5F" w:rsidRDefault="003E0C76" w:rsidP="000133A6">
      <w:pPr>
        <w:rPr>
          <w:b/>
        </w:rPr>
      </w:pPr>
      <w:r w:rsidRPr="00AE6B5F">
        <w:rPr>
          <w:b/>
        </w:rPr>
        <w:br w:type="page"/>
      </w:r>
    </w:p>
    <w:p w14:paraId="70D45106" w14:textId="77777777" w:rsidR="003E0C76" w:rsidRPr="00AE6B5F" w:rsidRDefault="003E0C76" w:rsidP="00B84222">
      <w:pPr>
        <w:pStyle w:val="ListParagraph"/>
        <w:numPr>
          <w:ilvl w:val="0"/>
          <w:numId w:val="24"/>
        </w:numPr>
        <w:jc w:val="both"/>
      </w:pPr>
      <w:r w:rsidRPr="00AE6B5F">
        <w:rPr>
          <w:b/>
        </w:rPr>
        <w:lastRenderedPageBreak/>
        <w:t>Introduction</w:t>
      </w:r>
    </w:p>
    <w:p w14:paraId="1C353E2E" w14:textId="77777777" w:rsidR="003E0C76" w:rsidRPr="00AE6B5F" w:rsidRDefault="003E0C76" w:rsidP="000133A6">
      <w:pPr>
        <w:jc w:val="both"/>
      </w:pPr>
    </w:p>
    <w:p w14:paraId="7D924090" w14:textId="77777777" w:rsidR="00526C21" w:rsidRPr="00AE6B5F" w:rsidRDefault="003E0C76" w:rsidP="00346574">
      <w:pPr>
        <w:jc w:val="both"/>
      </w:pPr>
      <w:r w:rsidRPr="00AE6B5F">
        <w:t xml:space="preserve">People with a diagnosis of schizophrenia </w:t>
      </w:r>
      <w:r w:rsidR="00643529" w:rsidRPr="00AE6B5F">
        <w:t xml:space="preserve">are thought to have impairments in various domains of </w:t>
      </w:r>
      <w:r w:rsidRPr="00AE6B5F">
        <w:t>social cognition</w:t>
      </w:r>
      <w:r w:rsidR="008A4B83" w:rsidRPr="00AE6B5F">
        <w:t xml:space="preserve"> (Sprong </w:t>
      </w:r>
      <w:r w:rsidR="008A4B83" w:rsidRPr="00AE6B5F">
        <w:rPr>
          <w:i/>
        </w:rPr>
        <w:t>et al</w:t>
      </w:r>
      <w:r w:rsidR="008A4B83" w:rsidRPr="00AE6B5F">
        <w:t>, 2007)</w:t>
      </w:r>
      <w:r w:rsidR="00643529" w:rsidRPr="00AE6B5F">
        <w:t xml:space="preserve">, including their ability to </w:t>
      </w:r>
      <w:r w:rsidR="009C03C8" w:rsidRPr="00AE6B5F">
        <w:t xml:space="preserve">accurately </w:t>
      </w:r>
      <w:r w:rsidR="001A6242" w:rsidRPr="00AE6B5F">
        <w:t xml:space="preserve">perceive and </w:t>
      </w:r>
      <w:r w:rsidR="00643529" w:rsidRPr="00AE6B5F">
        <w:t xml:space="preserve">recognise </w:t>
      </w:r>
      <w:r w:rsidRPr="00AE6B5F">
        <w:t>emotion</w:t>
      </w:r>
      <w:r w:rsidR="00643529" w:rsidRPr="00AE6B5F">
        <w:t>s</w:t>
      </w:r>
      <w:r w:rsidRPr="00AE6B5F">
        <w:t xml:space="preserve"> </w:t>
      </w:r>
      <w:r w:rsidR="007E558B" w:rsidRPr="00AE6B5F">
        <w:t>(‘emotion</w:t>
      </w:r>
      <w:r w:rsidR="004C5829" w:rsidRPr="00AE6B5F">
        <w:t xml:space="preserve"> recognition</w:t>
      </w:r>
      <w:r w:rsidR="007E558B" w:rsidRPr="00AE6B5F">
        <w:t xml:space="preserve">’) </w:t>
      </w:r>
      <w:r w:rsidRPr="00AE6B5F">
        <w:t>and</w:t>
      </w:r>
      <w:r w:rsidR="005D0662" w:rsidRPr="00AE6B5F">
        <w:t xml:space="preserve"> </w:t>
      </w:r>
      <w:r w:rsidRPr="00AE6B5F">
        <w:t>draw inferences about the thoughts, feelings and intentions of others</w:t>
      </w:r>
      <w:r w:rsidR="005D0662" w:rsidRPr="00AE6B5F">
        <w:t xml:space="preserve"> – so-called ‘Theory of Mind’ skills</w:t>
      </w:r>
      <w:r w:rsidR="007E558B" w:rsidRPr="00AE6B5F">
        <w:t xml:space="preserve"> (Frith, 1992; Zalla </w:t>
      </w:r>
      <w:r w:rsidR="007E558B" w:rsidRPr="00AE6B5F">
        <w:rPr>
          <w:i/>
          <w:iCs/>
        </w:rPr>
        <w:t>et al</w:t>
      </w:r>
      <w:r w:rsidR="007E558B" w:rsidRPr="00AE6B5F">
        <w:rPr>
          <w:iCs/>
        </w:rPr>
        <w:t>.,</w:t>
      </w:r>
      <w:r w:rsidR="007E558B" w:rsidRPr="00AE6B5F">
        <w:t xml:space="preserve"> 2006</w:t>
      </w:r>
      <w:r w:rsidR="009C03C8" w:rsidRPr="00AE6B5F">
        <w:t xml:space="preserve">; </w:t>
      </w:r>
      <w:r w:rsidR="007E558B" w:rsidRPr="00AE6B5F">
        <w:t xml:space="preserve">Craig </w:t>
      </w:r>
      <w:r w:rsidR="007E558B" w:rsidRPr="00AE6B5F">
        <w:rPr>
          <w:i/>
          <w:iCs/>
        </w:rPr>
        <w:t>et al</w:t>
      </w:r>
      <w:r w:rsidR="007E558B" w:rsidRPr="00AE6B5F">
        <w:rPr>
          <w:iCs/>
        </w:rPr>
        <w:t>.,</w:t>
      </w:r>
      <w:r w:rsidR="007E558B" w:rsidRPr="00AE6B5F">
        <w:t xml:space="preserve"> 2004</w:t>
      </w:r>
      <w:r w:rsidR="009C03C8" w:rsidRPr="00AE6B5F">
        <w:t xml:space="preserve">; </w:t>
      </w:r>
      <w:r w:rsidR="007E558B" w:rsidRPr="00AE6B5F">
        <w:t xml:space="preserve">Herold </w:t>
      </w:r>
      <w:r w:rsidR="007E558B" w:rsidRPr="00AE6B5F">
        <w:rPr>
          <w:i/>
          <w:iCs/>
        </w:rPr>
        <w:t>et al</w:t>
      </w:r>
      <w:r w:rsidR="007E558B" w:rsidRPr="00AE6B5F">
        <w:rPr>
          <w:iCs/>
        </w:rPr>
        <w:t>.,</w:t>
      </w:r>
      <w:r w:rsidR="007E558B" w:rsidRPr="00AE6B5F">
        <w:t xml:space="preserve"> 2002).</w:t>
      </w:r>
      <w:r w:rsidR="009C03C8" w:rsidRPr="00AE6B5F">
        <w:t xml:space="preserve"> </w:t>
      </w:r>
      <w:r w:rsidR="008B3C8A" w:rsidRPr="00AE6B5F">
        <w:t>M</w:t>
      </w:r>
      <w:r w:rsidR="009C03C8" w:rsidRPr="00AE6B5F">
        <w:t xml:space="preserve">eta-analyses have found that the average scores of people with schizophrenia on tests of emotion recognition and ToM ability are between one half and one standard deviation below that of non-clinical participants (Kohler et al., 2009; Sprong </w:t>
      </w:r>
      <w:r w:rsidR="009C03C8" w:rsidRPr="00AE6B5F">
        <w:rPr>
          <w:i/>
          <w:iCs/>
        </w:rPr>
        <w:t>et al</w:t>
      </w:r>
      <w:r w:rsidR="009C03C8" w:rsidRPr="00AE6B5F">
        <w:rPr>
          <w:iCs/>
        </w:rPr>
        <w:t>.</w:t>
      </w:r>
      <w:r w:rsidR="009C03C8" w:rsidRPr="00AE6B5F">
        <w:t xml:space="preserve">, 2007). </w:t>
      </w:r>
      <w:r w:rsidR="008B3C8A" w:rsidRPr="00AE6B5F">
        <w:t>Such i</w:t>
      </w:r>
      <w:r w:rsidRPr="00AE6B5F">
        <w:t>mpairments</w:t>
      </w:r>
      <w:r w:rsidR="009C03C8" w:rsidRPr="00AE6B5F">
        <w:t xml:space="preserve"> are</w:t>
      </w:r>
      <w:r w:rsidR="00526C21" w:rsidRPr="00AE6B5F">
        <w:t xml:space="preserve"> thought</w:t>
      </w:r>
      <w:r w:rsidR="009C03C8" w:rsidRPr="00AE6B5F">
        <w:t xml:space="preserve"> to have a negative effect on </w:t>
      </w:r>
      <w:r w:rsidRPr="00AE6B5F">
        <w:t>interpersonal and social interactions</w:t>
      </w:r>
      <w:r w:rsidR="009C03C8" w:rsidRPr="00AE6B5F">
        <w:t>, and may have</w:t>
      </w:r>
      <w:r w:rsidRPr="00AE6B5F">
        <w:t xml:space="preserve"> wide ranging consequences during the acute and recovery stages of schizophrenia (Couture </w:t>
      </w:r>
      <w:r w:rsidRPr="00AE6B5F">
        <w:rPr>
          <w:i/>
        </w:rPr>
        <w:t>et al</w:t>
      </w:r>
      <w:r w:rsidRPr="00AE6B5F">
        <w:t xml:space="preserve">. 2006). </w:t>
      </w:r>
    </w:p>
    <w:p w14:paraId="2B90C614" w14:textId="77777777" w:rsidR="00526C21" w:rsidRPr="00AE6B5F" w:rsidRDefault="00526C21" w:rsidP="00346574">
      <w:pPr>
        <w:jc w:val="both"/>
      </w:pPr>
    </w:p>
    <w:p w14:paraId="04D5D778" w14:textId="218A7998" w:rsidR="00526C21" w:rsidRPr="00AE6B5F" w:rsidRDefault="00080EC0" w:rsidP="00346574">
      <w:pPr>
        <w:jc w:val="both"/>
      </w:pPr>
      <w:r w:rsidRPr="00AE6B5F">
        <w:t xml:space="preserve">Patients with schizophrenia who have engaged in violent offending present </w:t>
      </w:r>
      <w:r w:rsidR="005C03C7" w:rsidRPr="00AE6B5F">
        <w:t>forensic mental health</w:t>
      </w:r>
      <w:r w:rsidR="00526C21" w:rsidRPr="00AE6B5F">
        <w:t>care</w:t>
      </w:r>
      <w:r w:rsidR="005C03C7" w:rsidRPr="00AE6B5F">
        <w:t xml:space="preserve"> services </w:t>
      </w:r>
      <w:r w:rsidRPr="00AE6B5F">
        <w:t>with particular challenges in relation to rehabilitation and recovery.</w:t>
      </w:r>
      <w:r w:rsidR="005C03C7" w:rsidRPr="00AE6B5F">
        <w:t xml:space="preserve"> In this</w:t>
      </w:r>
      <w:r w:rsidR="003E0C76" w:rsidRPr="00AE6B5F">
        <w:t xml:space="preserve"> population</w:t>
      </w:r>
      <w:r w:rsidR="009C03C8" w:rsidRPr="00AE6B5F">
        <w:t>,</w:t>
      </w:r>
      <w:r w:rsidR="003E0C76" w:rsidRPr="00AE6B5F">
        <w:t xml:space="preserve"> </w:t>
      </w:r>
      <w:r w:rsidR="005D0662" w:rsidRPr="00AE6B5F">
        <w:t xml:space="preserve">impairments </w:t>
      </w:r>
      <w:r w:rsidR="003E0C76" w:rsidRPr="00AE6B5F">
        <w:t>in social cognition may represent an unmet need which could be implicated in aggressive be</w:t>
      </w:r>
      <w:r w:rsidR="00346574" w:rsidRPr="00AE6B5F">
        <w:t xml:space="preserve">haviour, future risk management, </w:t>
      </w:r>
      <w:r w:rsidR="003E0C76" w:rsidRPr="00AE6B5F">
        <w:t>interpersonal relationships w</w:t>
      </w:r>
      <w:r w:rsidR="008A4B83" w:rsidRPr="00AE6B5F">
        <w:t>ith staff and peers</w:t>
      </w:r>
      <w:r w:rsidR="00346574" w:rsidRPr="00AE6B5F">
        <w:t xml:space="preserve">, and </w:t>
      </w:r>
      <w:r w:rsidR="001A6242" w:rsidRPr="00AE6B5F">
        <w:t>increased</w:t>
      </w:r>
      <w:r w:rsidR="00526C21" w:rsidRPr="00AE6B5F">
        <w:t xml:space="preserve"> paranoia and persecutory delusions</w:t>
      </w:r>
      <w:r w:rsidR="008A4B83" w:rsidRPr="00AE6B5F">
        <w:t xml:space="preserve"> (Murphy, </w:t>
      </w:r>
      <w:r w:rsidR="003E0C76" w:rsidRPr="00AE6B5F">
        <w:t>2007</w:t>
      </w:r>
      <w:r w:rsidR="008A4B83" w:rsidRPr="00AE6B5F">
        <w:t xml:space="preserve">; Salvatore </w:t>
      </w:r>
      <w:r w:rsidR="008A4B83" w:rsidRPr="00AE6B5F">
        <w:rPr>
          <w:i/>
        </w:rPr>
        <w:t xml:space="preserve">et al. </w:t>
      </w:r>
      <w:r w:rsidR="008A4B83" w:rsidRPr="00AE6B5F">
        <w:t xml:space="preserve">2012; </w:t>
      </w:r>
      <w:r w:rsidR="003E0C76" w:rsidRPr="00AE6B5F">
        <w:t xml:space="preserve">Waldheter </w:t>
      </w:r>
      <w:r w:rsidR="003E0C76" w:rsidRPr="00AE6B5F">
        <w:rPr>
          <w:i/>
        </w:rPr>
        <w:t>et al</w:t>
      </w:r>
      <w:r w:rsidR="003E0C76" w:rsidRPr="00AE6B5F">
        <w:t>. 2005)</w:t>
      </w:r>
      <w:r w:rsidR="008A4B83" w:rsidRPr="00AE6B5F">
        <w:t>.</w:t>
      </w:r>
      <w:r w:rsidR="003E0C76" w:rsidRPr="00AE6B5F">
        <w:rPr>
          <w:color w:val="FF00FF"/>
        </w:rPr>
        <w:t xml:space="preserve"> </w:t>
      </w:r>
      <w:r w:rsidR="00526C21" w:rsidRPr="00AE6B5F">
        <w:t>Indeed, persecutory</w:t>
      </w:r>
      <w:r w:rsidR="008B3C8A" w:rsidRPr="00AE6B5F">
        <w:t xml:space="preserve"> delusions</w:t>
      </w:r>
      <w:r w:rsidR="009C03C8" w:rsidRPr="00AE6B5F">
        <w:t xml:space="preserve"> </w:t>
      </w:r>
      <w:r w:rsidR="008B3C8A" w:rsidRPr="00AE6B5F">
        <w:t xml:space="preserve">are one </w:t>
      </w:r>
      <w:r w:rsidR="009C03C8" w:rsidRPr="00AE6B5F">
        <w:t>of the most frequently observed positiv</w:t>
      </w:r>
      <w:r w:rsidR="005C03C7" w:rsidRPr="00AE6B5F">
        <w:t xml:space="preserve">e symptoms of schizophrenia. Although </w:t>
      </w:r>
      <w:r w:rsidR="0003477D" w:rsidRPr="00AE6B5F">
        <w:t>some authors have considered</w:t>
      </w:r>
      <w:r w:rsidR="00526C21" w:rsidRPr="00AE6B5F">
        <w:t xml:space="preserve"> how they</w:t>
      </w:r>
      <w:r w:rsidR="0003477D" w:rsidRPr="00AE6B5F">
        <w:t xml:space="preserve"> might be associated </w:t>
      </w:r>
      <w:r w:rsidR="009C03C8" w:rsidRPr="00AE6B5F">
        <w:t>with an increased risk of committing a violent offence (</w:t>
      </w:r>
      <w:r w:rsidR="0003477D" w:rsidRPr="00AE6B5F">
        <w:t xml:space="preserve">e.g., </w:t>
      </w:r>
      <w:r w:rsidR="009C03C8" w:rsidRPr="00AE6B5F">
        <w:t>Bentall and Taylor, 2006</w:t>
      </w:r>
      <w:r w:rsidR="005C03C7" w:rsidRPr="00AE6B5F">
        <w:t>)</w:t>
      </w:r>
      <w:r w:rsidR="0003477D" w:rsidRPr="00AE6B5F">
        <w:t>, a recent meta-analysis found that the empirical evidence remains surprisingly sparse and equivocal (Witt, van Dorn &amp; Fazel, 2013)</w:t>
      </w:r>
      <w:r w:rsidR="009C03C8" w:rsidRPr="00AE6B5F">
        <w:t xml:space="preserve">. </w:t>
      </w:r>
    </w:p>
    <w:p w14:paraId="2D6045D1" w14:textId="77777777" w:rsidR="00526C21" w:rsidRPr="00AE6B5F" w:rsidRDefault="00526C21" w:rsidP="00346574">
      <w:pPr>
        <w:jc w:val="both"/>
      </w:pPr>
    </w:p>
    <w:p w14:paraId="38C5C322" w14:textId="5BC338C7" w:rsidR="009C03C8" w:rsidRPr="00AE6B5F" w:rsidRDefault="0003477D" w:rsidP="00346574">
      <w:pPr>
        <w:jc w:val="both"/>
      </w:pPr>
      <w:r w:rsidRPr="00AE6B5F">
        <w:t>Of course p</w:t>
      </w:r>
      <w:r w:rsidR="001A6242" w:rsidRPr="00AE6B5F">
        <w:t xml:space="preserve">aranoia </w:t>
      </w:r>
      <w:r w:rsidR="009C03C8" w:rsidRPr="00AE6B5F">
        <w:t xml:space="preserve">is not confined to mental illness and is also present in the general population to varying degrees (Freeman, 2007). </w:t>
      </w:r>
      <w:r w:rsidR="001A6242" w:rsidRPr="00AE6B5F">
        <w:t xml:space="preserve">It can be </w:t>
      </w:r>
      <w:r w:rsidR="009C03C8" w:rsidRPr="00AE6B5F">
        <w:t>thought of as di</w:t>
      </w:r>
      <w:r w:rsidR="001A6242" w:rsidRPr="00AE6B5F">
        <w:t>mensional in nature, ranging</w:t>
      </w:r>
      <w:r w:rsidR="009C03C8" w:rsidRPr="00AE6B5F">
        <w:t xml:space="preserve"> from frequently occurring </w:t>
      </w:r>
      <w:r w:rsidR="001A6242" w:rsidRPr="00AE6B5F">
        <w:t xml:space="preserve">yet easily dismissed </w:t>
      </w:r>
      <w:r w:rsidR="009C03C8" w:rsidRPr="00AE6B5F">
        <w:t xml:space="preserve">thoughts to firmly held crystallized persecutory delusions (Couture, Penn &amp; Roberts, 2006; Savla </w:t>
      </w:r>
      <w:r w:rsidR="009C03C8" w:rsidRPr="00AE6B5F">
        <w:rPr>
          <w:i/>
        </w:rPr>
        <w:t xml:space="preserve">et al, </w:t>
      </w:r>
      <w:r w:rsidR="009C03C8" w:rsidRPr="00AE6B5F">
        <w:t xml:space="preserve">2012; Freeman &amp; Garety, 2014). </w:t>
      </w:r>
      <w:r w:rsidR="001A6242" w:rsidRPr="00AE6B5F">
        <w:t>As</w:t>
      </w:r>
      <w:r w:rsidR="00526C21" w:rsidRPr="00AE6B5F">
        <w:t xml:space="preserve"> with other appraisals, paranoid</w:t>
      </w:r>
      <w:r w:rsidR="001A6242" w:rsidRPr="00AE6B5F">
        <w:t xml:space="preserve"> </w:t>
      </w:r>
      <w:r w:rsidR="00526C21" w:rsidRPr="00AE6B5F">
        <w:t>appraisals represent</w:t>
      </w:r>
      <w:r w:rsidR="001A6242" w:rsidRPr="00AE6B5F">
        <w:t xml:space="preserve"> an </w:t>
      </w:r>
      <w:r w:rsidR="008B3C8A" w:rsidRPr="00AE6B5F">
        <w:t xml:space="preserve">individual’s </w:t>
      </w:r>
      <w:r w:rsidR="001A6242" w:rsidRPr="00AE6B5F">
        <w:t xml:space="preserve">attempt to make sense of </w:t>
      </w:r>
      <w:r w:rsidR="008B3C8A" w:rsidRPr="00AE6B5F">
        <w:t xml:space="preserve">their </w:t>
      </w:r>
      <w:r w:rsidR="001A6242" w:rsidRPr="00AE6B5F">
        <w:t xml:space="preserve">experiences, a process that is influenced by pre-existing beliefs, developmental and life experiences, as well as counterproductive behavioural responses (Morrison, 2001), which may include avoidance, hypervigilance and, in some cases, acts of hostility and aggression. </w:t>
      </w:r>
      <w:r w:rsidR="009C03C8" w:rsidRPr="00AE6B5F">
        <w:t xml:space="preserve">Although making judgements about the hostile intentions of others can be an adaptive strategy for threat avoidance (Salvatore </w:t>
      </w:r>
      <w:r w:rsidR="009C03C8" w:rsidRPr="00AE6B5F">
        <w:rPr>
          <w:i/>
        </w:rPr>
        <w:t>et al</w:t>
      </w:r>
      <w:r w:rsidR="009C03C8" w:rsidRPr="00AE6B5F">
        <w:t xml:space="preserve">. 2012), it has also been linked to increased rates of aggression (Combs </w:t>
      </w:r>
      <w:r w:rsidR="009C03C8" w:rsidRPr="00AE6B5F">
        <w:rPr>
          <w:i/>
        </w:rPr>
        <w:t>et al.</w:t>
      </w:r>
      <w:r w:rsidR="009C03C8" w:rsidRPr="00AE6B5F">
        <w:t xml:space="preserve"> 2009; Coid et al., 2016). </w:t>
      </w:r>
    </w:p>
    <w:p w14:paraId="15DBBA48" w14:textId="77777777" w:rsidR="009C03C8" w:rsidRPr="00AE6B5F" w:rsidRDefault="009C03C8" w:rsidP="00346574">
      <w:pPr>
        <w:jc w:val="both"/>
      </w:pPr>
    </w:p>
    <w:p w14:paraId="29862836" w14:textId="3AACA0B0" w:rsidR="00346574" w:rsidRPr="00AE6B5F" w:rsidRDefault="001A6242" w:rsidP="00346574">
      <w:pPr>
        <w:jc w:val="both"/>
      </w:pPr>
      <w:r w:rsidRPr="00AE6B5F">
        <w:t>Although related, p</w:t>
      </w:r>
      <w:r w:rsidR="00CD7F59" w:rsidRPr="00AE6B5F">
        <w:t xml:space="preserve">aranoia and aggression in schizophrenia may involve different patterns of strengths and impairments in social cognition. For example, whereas </w:t>
      </w:r>
      <w:r w:rsidR="00346574" w:rsidRPr="00AE6B5F">
        <w:t xml:space="preserve">Harrington </w:t>
      </w:r>
      <w:r w:rsidR="00346574" w:rsidRPr="00AE6B5F">
        <w:rPr>
          <w:i/>
        </w:rPr>
        <w:t>et al</w:t>
      </w:r>
      <w:r w:rsidR="00346574" w:rsidRPr="00AE6B5F">
        <w:t xml:space="preserve">. (2005) found evidence of a </w:t>
      </w:r>
      <w:r w:rsidR="00417EB1" w:rsidRPr="00AE6B5F">
        <w:t xml:space="preserve">specific </w:t>
      </w:r>
      <w:r w:rsidR="00346574" w:rsidRPr="00AE6B5F">
        <w:t>relationship between ToM</w:t>
      </w:r>
      <w:r w:rsidR="00417EB1" w:rsidRPr="00AE6B5F">
        <w:t xml:space="preserve"> difficulties</w:t>
      </w:r>
      <w:r w:rsidR="00346574" w:rsidRPr="00AE6B5F">
        <w:t xml:space="preserve"> and symptoms of paranoia</w:t>
      </w:r>
      <w:r w:rsidR="00CD7F59" w:rsidRPr="00AE6B5F">
        <w:t xml:space="preserve">, </w:t>
      </w:r>
      <w:r w:rsidR="00417EB1" w:rsidRPr="00AE6B5F">
        <w:t xml:space="preserve">Abu-Akel and Abushua’leh (2004) found that </w:t>
      </w:r>
      <w:r w:rsidR="00417EB1" w:rsidRPr="00AE6B5F">
        <w:rPr>
          <w:i/>
        </w:rPr>
        <w:t>better</w:t>
      </w:r>
      <w:r w:rsidR="00417EB1" w:rsidRPr="00AE6B5F">
        <w:t xml:space="preserve"> ToM skills</w:t>
      </w:r>
      <w:r w:rsidR="00CD7F59" w:rsidRPr="00AE6B5F">
        <w:t>, albeit in the context of poorer empathy,</w:t>
      </w:r>
      <w:r w:rsidR="00417EB1" w:rsidRPr="00AE6B5F">
        <w:t xml:space="preserve"> were associated with greater </w:t>
      </w:r>
      <w:r w:rsidR="00CD7F59" w:rsidRPr="00AE6B5F">
        <w:t xml:space="preserve">hostility and </w:t>
      </w:r>
      <w:r w:rsidR="00417EB1" w:rsidRPr="00AE6B5F">
        <w:t xml:space="preserve">violence in schizophrenia. </w:t>
      </w:r>
      <w:r w:rsidR="00CD7F59" w:rsidRPr="00AE6B5F">
        <w:t xml:space="preserve">Another study </w:t>
      </w:r>
      <w:r w:rsidR="00417EB1" w:rsidRPr="00AE6B5F">
        <w:t xml:space="preserve">found </w:t>
      </w:r>
      <w:r w:rsidR="00CD7F59" w:rsidRPr="00AE6B5F">
        <w:t xml:space="preserve">reduced </w:t>
      </w:r>
      <w:r w:rsidR="00417EB1" w:rsidRPr="00AE6B5F">
        <w:t>ToM</w:t>
      </w:r>
      <w:r w:rsidR="00CD7F59" w:rsidRPr="00AE6B5F">
        <w:t xml:space="preserve"> impairments</w:t>
      </w:r>
      <w:r w:rsidR="00417EB1" w:rsidRPr="00AE6B5F">
        <w:t xml:space="preserve"> in patients with schizophrenia</w:t>
      </w:r>
      <w:r w:rsidR="00CD7F59" w:rsidRPr="00AE6B5F">
        <w:t xml:space="preserve"> who ha</w:t>
      </w:r>
      <w:r w:rsidR="00AA2CBF" w:rsidRPr="00AE6B5F">
        <w:t>d</w:t>
      </w:r>
      <w:r w:rsidR="00CD7F59" w:rsidRPr="00AE6B5F">
        <w:t xml:space="preserve"> committed offences, in comparison to those who ha</w:t>
      </w:r>
      <w:r w:rsidR="008B3C8A" w:rsidRPr="00AE6B5F">
        <w:t>d</w:t>
      </w:r>
      <w:r w:rsidR="00CD7F59" w:rsidRPr="00AE6B5F">
        <w:t xml:space="preserve"> not</w:t>
      </w:r>
      <w:r w:rsidR="00417EB1" w:rsidRPr="00AE6B5F">
        <w:t>, although both groups displayed</w:t>
      </w:r>
      <w:r w:rsidR="00CD7F59" w:rsidRPr="00AE6B5F">
        <w:t xml:space="preserve"> impairments</w:t>
      </w:r>
      <w:r w:rsidR="00417EB1" w:rsidRPr="00AE6B5F">
        <w:t xml:space="preserve"> when compared to a non-clinical population (Majorek </w:t>
      </w:r>
      <w:r w:rsidR="00417EB1" w:rsidRPr="00AE6B5F">
        <w:rPr>
          <w:i/>
        </w:rPr>
        <w:t>et al</w:t>
      </w:r>
      <w:r w:rsidR="00417EB1" w:rsidRPr="00AE6B5F">
        <w:t>.,</w:t>
      </w:r>
      <w:r w:rsidR="00417EB1" w:rsidRPr="00AE6B5F">
        <w:rPr>
          <w:i/>
        </w:rPr>
        <w:t xml:space="preserve"> </w:t>
      </w:r>
      <w:r w:rsidR="00417EB1" w:rsidRPr="00AE6B5F">
        <w:t xml:space="preserve">2009). </w:t>
      </w:r>
      <w:r w:rsidR="007E558B" w:rsidRPr="00AE6B5F">
        <w:t>Indeed, w</w:t>
      </w:r>
      <w:r w:rsidR="00CD7F59" w:rsidRPr="00AE6B5F">
        <w:t xml:space="preserve">hether ToM is actually associated with paranoia remains unclear. </w:t>
      </w:r>
      <w:r w:rsidR="007E558B" w:rsidRPr="00AE6B5F">
        <w:t>For</w:t>
      </w:r>
      <w:r w:rsidR="008B3C8A" w:rsidRPr="00AE6B5F">
        <w:t xml:space="preserve"> instance</w:t>
      </w:r>
      <w:r w:rsidR="007E558B" w:rsidRPr="00AE6B5F">
        <w:t xml:space="preserve">, </w:t>
      </w:r>
      <w:r w:rsidR="00346574" w:rsidRPr="00AE6B5F">
        <w:t xml:space="preserve">Grieg </w:t>
      </w:r>
      <w:r w:rsidR="00346574" w:rsidRPr="00AE6B5F">
        <w:rPr>
          <w:i/>
        </w:rPr>
        <w:t>et al</w:t>
      </w:r>
      <w:r w:rsidR="00346574" w:rsidRPr="00AE6B5F">
        <w:t>. (2004) reported that greater ToM</w:t>
      </w:r>
      <w:r w:rsidR="007E558B" w:rsidRPr="00AE6B5F">
        <w:t xml:space="preserve"> difficulties</w:t>
      </w:r>
      <w:r w:rsidR="00346574" w:rsidRPr="00AE6B5F">
        <w:t xml:space="preserve"> were related to symptoms of thought disorder and disorganisation,</w:t>
      </w:r>
      <w:r w:rsidR="007E558B" w:rsidRPr="00AE6B5F">
        <w:t xml:space="preserve"> but</w:t>
      </w:r>
      <w:r w:rsidR="00417EB1" w:rsidRPr="00AE6B5F">
        <w:t xml:space="preserve"> </w:t>
      </w:r>
      <w:r w:rsidR="00346574" w:rsidRPr="00AE6B5F">
        <w:t>not</w:t>
      </w:r>
      <w:r w:rsidR="00417EB1" w:rsidRPr="00AE6B5F">
        <w:t xml:space="preserve"> paranoia</w:t>
      </w:r>
      <w:r w:rsidR="00346574" w:rsidRPr="00AE6B5F">
        <w:t xml:space="preserve"> or persecutory delusions</w:t>
      </w:r>
      <w:r w:rsidR="00417EB1" w:rsidRPr="00AE6B5F">
        <w:t xml:space="preserve"> specifically</w:t>
      </w:r>
      <w:r w:rsidR="00346574" w:rsidRPr="00AE6B5F">
        <w:t xml:space="preserve">. A recent review concluded </w:t>
      </w:r>
      <w:r w:rsidR="007E558B" w:rsidRPr="00AE6B5F">
        <w:t>that although ToM difficulties</w:t>
      </w:r>
      <w:r w:rsidR="00346574" w:rsidRPr="00AE6B5F">
        <w:t xml:space="preserve"> are consistently fou</w:t>
      </w:r>
      <w:r w:rsidR="00417EB1" w:rsidRPr="00AE6B5F">
        <w:t xml:space="preserve">nd in people with schizophrenia, </w:t>
      </w:r>
      <w:r w:rsidR="00346574" w:rsidRPr="00AE6B5F">
        <w:t xml:space="preserve">the association with negative and disorganisation symptoms </w:t>
      </w:r>
      <w:r w:rsidR="00417EB1" w:rsidRPr="00AE6B5F">
        <w:t>is stronger than that</w:t>
      </w:r>
      <w:r w:rsidR="00346574" w:rsidRPr="00AE6B5F">
        <w:t xml:space="preserve"> </w:t>
      </w:r>
      <w:r w:rsidR="00417EB1" w:rsidRPr="00AE6B5F">
        <w:t xml:space="preserve">with </w:t>
      </w:r>
      <w:r w:rsidR="00346574" w:rsidRPr="00AE6B5F">
        <w:t>persecutory delusions (Garety &amp; Freeman, 2013).</w:t>
      </w:r>
    </w:p>
    <w:p w14:paraId="0B9D62D9" w14:textId="77777777" w:rsidR="004C5829" w:rsidRPr="00AE6B5F" w:rsidRDefault="004C5829" w:rsidP="00346574">
      <w:pPr>
        <w:jc w:val="both"/>
      </w:pPr>
    </w:p>
    <w:p w14:paraId="59A52E5F" w14:textId="77777777" w:rsidR="00D743B5" w:rsidRPr="00AE6B5F" w:rsidRDefault="00DB26CD" w:rsidP="00346574">
      <w:pPr>
        <w:jc w:val="both"/>
      </w:pPr>
      <w:r w:rsidRPr="00AE6B5F">
        <w:t>The</w:t>
      </w:r>
      <w:r w:rsidR="003C16F0" w:rsidRPr="00AE6B5F">
        <w:t xml:space="preserve"> precise relationship </w:t>
      </w:r>
      <w:r w:rsidRPr="00AE6B5F">
        <w:t xml:space="preserve">between </w:t>
      </w:r>
      <w:r w:rsidR="00BB0654" w:rsidRPr="00AE6B5F">
        <w:t xml:space="preserve">paranoia </w:t>
      </w:r>
      <w:r w:rsidRPr="00AE6B5F">
        <w:t xml:space="preserve">and emotion recognition in people with schizophrenia also </w:t>
      </w:r>
      <w:r w:rsidR="00BB0654" w:rsidRPr="00AE6B5F">
        <w:t>remains unclear.</w:t>
      </w:r>
      <w:r w:rsidRPr="00AE6B5F">
        <w:t xml:space="preserve"> Although a recent meta-analysis found</w:t>
      </w:r>
      <w:r w:rsidR="00BE2A18" w:rsidRPr="00AE6B5F">
        <w:t xml:space="preserve"> that</w:t>
      </w:r>
      <w:r w:rsidRPr="00AE6B5F">
        <w:t xml:space="preserve"> emotion recognition </w:t>
      </w:r>
      <w:r w:rsidR="00BE2A18" w:rsidRPr="00AE6B5F">
        <w:t xml:space="preserve">impairments </w:t>
      </w:r>
      <w:r w:rsidRPr="00AE6B5F">
        <w:t xml:space="preserve">are moderately associated with </w:t>
      </w:r>
      <w:r w:rsidR="00BE2A18" w:rsidRPr="00AE6B5F">
        <w:t xml:space="preserve">symptoms such as </w:t>
      </w:r>
      <w:r w:rsidRPr="00AE6B5F">
        <w:t xml:space="preserve">hallucinations and delusions (Ventura et al, 2013), </w:t>
      </w:r>
      <w:r w:rsidR="00BE2A18" w:rsidRPr="00AE6B5F">
        <w:t xml:space="preserve">other </w:t>
      </w:r>
      <w:r w:rsidR="006B6EB9" w:rsidRPr="00AE6B5F">
        <w:t xml:space="preserve">studies </w:t>
      </w:r>
      <w:r w:rsidRPr="00AE6B5F">
        <w:t>have reported either</w:t>
      </w:r>
      <w:r w:rsidR="006B6EB9" w:rsidRPr="00AE6B5F">
        <w:t xml:space="preserve"> a negative relationship</w:t>
      </w:r>
      <w:r w:rsidR="003C16F0" w:rsidRPr="00AE6B5F">
        <w:t xml:space="preserve"> </w:t>
      </w:r>
      <w:r w:rsidRPr="00AE6B5F">
        <w:t xml:space="preserve">with paranoia </w:t>
      </w:r>
      <w:r w:rsidR="003C16F0" w:rsidRPr="00AE6B5F">
        <w:t>(e.g., Williams et al., 2007)</w:t>
      </w:r>
      <w:r w:rsidR="006B6EB9" w:rsidRPr="00AE6B5F">
        <w:t>, a positive relationship (</w:t>
      </w:r>
      <w:r w:rsidR="003C16F0" w:rsidRPr="00AE6B5F">
        <w:t xml:space="preserve">e.g., Chan et al., 2008), </w:t>
      </w:r>
      <w:r w:rsidR="006B6EB9" w:rsidRPr="00AE6B5F">
        <w:t>and</w:t>
      </w:r>
      <w:r w:rsidRPr="00AE6B5F">
        <w:t xml:space="preserve"> or</w:t>
      </w:r>
      <w:r w:rsidR="006B6EB9" w:rsidRPr="00AE6B5F">
        <w:t xml:space="preserve"> no relationship at all (</w:t>
      </w:r>
      <w:r w:rsidR="003C16F0" w:rsidRPr="00AE6B5F">
        <w:t xml:space="preserve">e.g., </w:t>
      </w:r>
      <w:r w:rsidR="006B6EB9" w:rsidRPr="00AE6B5F">
        <w:t>Pinkham et al., 2016)</w:t>
      </w:r>
      <w:r w:rsidR="003C16F0" w:rsidRPr="00AE6B5F">
        <w:t xml:space="preserve">. </w:t>
      </w:r>
      <w:r w:rsidR="00BE2A18" w:rsidRPr="00AE6B5F">
        <w:t>Pinkham et al (2016) concluded that while paranoia is not associated with an impaired capacity to recognise emotions</w:t>
      </w:r>
      <w:r w:rsidR="002826CB" w:rsidRPr="00AE6B5F">
        <w:t xml:space="preserve"> per se</w:t>
      </w:r>
      <w:r w:rsidR="00BE2A18" w:rsidRPr="00AE6B5F">
        <w:t>, it is associated with an increased</w:t>
      </w:r>
      <w:r w:rsidR="00D35617" w:rsidRPr="00AE6B5F">
        <w:t xml:space="preserve"> bias</w:t>
      </w:r>
      <w:r w:rsidR="00BE2A18" w:rsidRPr="00AE6B5F">
        <w:t xml:space="preserve"> to infer hostility or anger in others</w:t>
      </w:r>
      <w:r w:rsidR="002826CB" w:rsidRPr="00AE6B5F">
        <w:t xml:space="preserve">. </w:t>
      </w:r>
      <w:r w:rsidR="007220C2" w:rsidRPr="00AE6B5F">
        <w:t xml:space="preserve">Although </w:t>
      </w:r>
      <w:r w:rsidR="002826CB" w:rsidRPr="00AE6B5F">
        <w:t xml:space="preserve">Frommann and colleagues (2013) found that </w:t>
      </w:r>
      <w:r w:rsidR="007220C2" w:rsidRPr="00AE6B5F">
        <w:t xml:space="preserve">violent </w:t>
      </w:r>
      <w:r w:rsidR="002826CB" w:rsidRPr="00AE6B5F">
        <w:t xml:space="preserve">patients with psychosis were less likely than non-violent patients to accurately recognise either neutral or fearful facial </w:t>
      </w:r>
      <w:r w:rsidR="007220C2" w:rsidRPr="00AE6B5F">
        <w:t xml:space="preserve">expressions, whether </w:t>
      </w:r>
      <w:r w:rsidR="00B8360A" w:rsidRPr="00AE6B5F">
        <w:t>these</w:t>
      </w:r>
      <w:r w:rsidR="00BE2A18" w:rsidRPr="00AE6B5F">
        <w:t xml:space="preserve"> impairments also contribute to paranoia</w:t>
      </w:r>
      <w:r w:rsidR="00346574" w:rsidRPr="00AE6B5F">
        <w:t xml:space="preserve"> </w:t>
      </w:r>
      <w:r w:rsidR="00D35617" w:rsidRPr="00AE6B5F">
        <w:t>in this forensic group of patients</w:t>
      </w:r>
      <w:r w:rsidR="007220C2" w:rsidRPr="00AE6B5F">
        <w:t xml:space="preserve"> </w:t>
      </w:r>
      <w:r w:rsidR="003077FE" w:rsidRPr="00AE6B5F">
        <w:t>has not been investigated</w:t>
      </w:r>
      <w:r w:rsidR="00346574" w:rsidRPr="00AE6B5F">
        <w:t xml:space="preserve">. </w:t>
      </w:r>
      <w:r w:rsidR="00131A33" w:rsidRPr="00AE6B5F">
        <w:t xml:space="preserve"> Given both social cognition and paranoia are linked to poorer outcomes and acts of aggression (Couture </w:t>
      </w:r>
      <w:r w:rsidR="00131A33" w:rsidRPr="00AE6B5F">
        <w:rPr>
          <w:i/>
        </w:rPr>
        <w:t>et al</w:t>
      </w:r>
      <w:r w:rsidR="00131A33" w:rsidRPr="00AE6B5F">
        <w:t xml:space="preserve">. 2006, Waldheter </w:t>
      </w:r>
      <w:r w:rsidR="00131A33" w:rsidRPr="00AE6B5F">
        <w:rPr>
          <w:i/>
        </w:rPr>
        <w:t>et al</w:t>
      </w:r>
      <w:r w:rsidR="00131A33" w:rsidRPr="00AE6B5F">
        <w:t xml:space="preserve">. 2005), this is a surprising omission. </w:t>
      </w:r>
      <w:r w:rsidR="00D743B5" w:rsidRPr="00AE6B5F">
        <w:t>T</w:t>
      </w:r>
      <w:r w:rsidR="00D35617" w:rsidRPr="00AE6B5F">
        <w:t>hese patients</w:t>
      </w:r>
      <w:r w:rsidR="00796F4F" w:rsidRPr="00AE6B5F">
        <w:t xml:space="preserve"> have</w:t>
      </w:r>
      <w:r w:rsidR="00365AC9" w:rsidRPr="00AE6B5F">
        <w:t xml:space="preserve"> a number o</w:t>
      </w:r>
      <w:r w:rsidR="00D743B5" w:rsidRPr="00AE6B5F">
        <w:t xml:space="preserve">f characteristics, such as </w:t>
      </w:r>
      <w:r w:rsidR="00131A33" w:rsidRPr="00AE6B5F">
        <w:t>increased substance m</w:t>
      </w:r>
      <w:r w:rsidR="00D743B5" w:rsidRPr="00AE6B5F">
        <w:t xml:space="preserve">isuse, aggression, anger and </w:t>
      </w:r>
      <w:r w:rsidR="00131A33" w:rsidRPr="00AE6B5F">
        <w:t>symptoms of personality disorder</w:t>
      </w:r>
      <w:r w:rsidR="00D743B5" w:rsidRPr="00AE6B5F">
        <w:t xml:space="preserve"> (Ogloff et al., 2015), </w:t>
      </w:r>
      <w:r w:rsidR="00365AC9" w:rsidRPr="00AE6B5F">
        <w:t>that</w:t>
      </w:r>
      <w:r w:rsidR="007220C2" w:rsidRPr="00AE6B5F">
        <w:t xml:space="preserve"> </w:t>
      </w:r>
      <w:r w:rsidR="00D35617" w:rsidRPr="00AE6B5F">
        <w:t xml:space="preserve">make it unclear whether </w:t>
      </w:r>
      <w:r w:rsidR="009E4D95" w:rsidRPr="00AE6B5F">
        <w:t>findings obtained from a non-forensic population</w:t>
      </w:r>
      <w:r w:rsidR="00D35617" w:rsidRPr="00AE6B5F">
        <w:t xml:space="preserve"> </w:t>
      </w:r>
      <w:r w:rsidR="00A25193" w:rsidRPr="00AE6B5F">
        <w:t>can be easily applied</w:t>
      </w:r>
      <w:r w:rsidR="00D35617" w:rsidRPr="00AE6B5F">
        <w:t xml:space="preserve"> to them</w:t>
      </w:r>
      <w:r w:rsidR="00A25193" w:rsidRPr="00AE6B5F">
        <w:t xml:space="preserve">. </w:t>
      </w:r>
    </w:p>
    <w:p w14:paraId="290B47EB" w14:textId="77777777" w:rsidR="00D743B5" w:rsidRPr="00AE6B5F" w:rsidRDefault="00D743B5" w:rsidP="00346574">
      <w:pPr>
        <w:jc w:val="both"/>
      </w:pPr>
    </w:p>
    <w:p w14:paraId="07B71936" w14:textId="76EF4C5D" w:rsidR="00346574" w:rsidRPr="00AE6B5F" w:rsidRDefault="00A25193" w:rsidP="00346574">
      <w:pPr>
        <w:jc w:val="both"/>
      </w:pPr>
      <w:r w:rsidRPr="00AE6B5F">
        <w:t>T</w:t>
      </w:r>
      <w:r w:rsidR="00131A33" w:rsidRPr="00AE6B5F">
        <w:t>he</w:t>
      </w:r>
      <w:r w:rsidR="00346574" w:rsidRPr="00AE6B5F">
        <w:t xml:space="preserve"> </w:t>
      </w:r>
      <w:r w:rsidR="00131A33" w:rsidRPr="00AE6B5F">
        <w:t xml:space="preserve">aim of the current study was to </w:t>
      </w:r>
      <w:r w:rsidRPr="00AE6B5F">
        <w:t xml:space="preserve">address this gap, and </w:t>
      </w:r>
      <w:r w:rsidR="00131A33" w:rsidRPr="00AE6B5F">
        <w:t xml:space="preserve">determine </w:t>
      </w:r>
      <w:r w:rsidRPr="00AE6B5F">
        <w:t>whether reduced social cognitive functioning</w:t>
      </w:r>
      <w:r w:rsidR="00131A33" w:rsidRPr="00AE6B5F">
        <w:t xml:space="preserve"> </w:t>
      </w:r>
      <w:r w:rsidRPr="00AE6B5F">
        <w:t xml:space="preserve">is associated with increased </w:t>
      </w:r>
      <w:r w:rsidR="00131A33" w:rsidRPr="00AE6B5F">
        <w:t xml:space="preserve">paranoia in people with psychosis who </w:t>
      </w:r>
      <w:r w:rsidR="00D743B5" w:rsidRPr="00AE6B5F">
        <w:t>have</w:t>
      </w:r>
      <w:r w:rsidR="00131A33" w:rsidRPr="00AE6B5F">
        <w:t xml:space="preserve"> a history of violent offending and </w:t>
      </w:r>
      <w:r w:rsidR="00D743B5" w:rsidRPr="00AE6B5F">
        <w:t xml:space="preserve">are </w:t>
      </w:r>
      <w:r w:rsidR="00131A33" w:rsidRPr="00AE6B5F">
        <w:t xml:space="preserve">receiving inpatient care for schizophrenia in a secure forensic setting. We set out to </w:t>
      </w:r>
      <w:r w:rsidR="008B3C8A" w:rsidRPr="00AE6B5F">
        <w:t xml:space="preserve">test the </w:t>
      </w:r>
      <w:r w:rsidR="00131A33" w:rsidRPr="00AE6B5F">
        <w:t xml:space="preserve">specific </w:t>
      </w:r>
      <w:r w:rsidR="008B3C8A" w:rsidRPr="00AE6B5F">
        <w:t xml:space="preserve">hypotheses that </w:t>
      </w:r>
      <w:r w:rsidR="00346574" w:rsidRPr="00AE6B5F">
        <w:t>emotion recognition and theory of mind skills account for a significant portion of variance in indices of paranoia</w:t>
      </w:r>
      <w:r w:rsidR="00AA2CBF" w:rsidRPr="00AE6B5F">
        <w:t xml:space="preserve"> in </w:t>
      </w:r>
      <w:r w:rsidR="00131A33" w:rsidRPr="00AE6B5F">
        <w:t>this group</w:t>
      </w:r>
      <w:r w:rsidR="00346574" w:rsidRPr="00AE6B5F">
        <w:t xml:space="preserve">, </w:t>
      </w:r>
      <w:r w:rsidR="000858A5" w:rsidRPr="00AE6B5F">
        <w:t xml:space="preserve">as assessed by </w:t>
      </w:r>
      <w:r w:rsidR="00346574" w:rsidRPr="00AE6B5F">
        <w:t xml:space="preserve">self-reported paranoid thoughts and / or a hostile or blaming attributional bias. </w:t>
      </w:r>
    </w:p>
    <w:p w14:paraId="3BDE7E79" w14:textId="77777777" w:rsidR="006E49F0" w:rsidRPr="00AE6B5F" w:rsidRDefault="006E49F0" w:rsidP="006E49F0">
      <w:pPr>
        <w:pStyle w:val="ListParagraph"/>
        <w:ind w:left="360"/>
        <w:jc w:val="both"/>
        <w:rPr>
          <w:b/>
        </w:rPr>
      </w:pPr>
    </w:p>
    <w:p w14:paraId="6A6530FC" w14:textId="3F0848D2" w:rsidR="00E12191" w:rsidRPr="00AE6B5F" w:rsidRDefault="003E0C76" w:rsidP="00E12191">
      <w:pPr>
        <w:pStyle w:val="ListParagraph"/>
        <w:numPr>
          <w:ilvl w:val="0"/>
          <w:numId w:val="24"/>
        </w:numPr>
        <w:jc w:val="both"/>
        <w:rPr>
          <w:b/>
        </w:rPr>
      </w:pPr>
      <w:r w:rsidRPr="00AE6B5F">
        <w:rPr>
          <w:b/>
        </w:rPr>
        <w:t>Methods</w:t>
      </w:r>
    </w:p>
    <w:p w14:paraId="47151F4B" w14:textId="77777777" w:rsidR="003E0C76" w:rsidRPr="00AE6B5F" w:rsidRDefault="003E0C76" w:rsidP="000133A6">
      <w:pPr>
        <w:jc w:val="both"/>
        <w:rPr>
          <w:b/>
          <w:i/>
        </w:rPr>
      </w:pPr>
    </w:p>
    <w:p w14:paraId="105E61BB" w14:textId="77777777" w:rsidR="003E0C76" w:rsidRPr="00AE6B5F" w:rsidRDefault="003E0C76" w:rsidP="00E12191">
      <w:pPr>
        <w:pStyle w:val="ListParagraph"/>
        <w:numPr>
          <w:ilvl w:val="1"/>
          <w:numId w:val="24"/>
        </w:numPr>
        <w:jc w:val="both"/>
        <w:rPr>
          <w:i/>
        </w:rPr>
      </w:pPr>
      <w:r w:rsidRPr="00AE6B5F">
        <w:rPr>
          <w:i/>
        </w:rPr>
        <w:t>Ethical Approval</w:t>
      </w:r>
    </w:p>
    <w:p w14:paraId="0FD8027A" w14:textId="77777777" w:rsidR="00CA7569" w:rsidRPr="00AE6B5F" w:rsidRDefault="00CA7569" w:rsidP="000133A6">
      <w:pPr>
        <w:jc w:val="both"/>
      </w:pPr>
    </w:p>
    <w:p w14:paraId="6CE3B6FE" w14:textId="77777777" w:rsidR="003E0C76" w:rsidRPr="00AE6B5F" w:rsidRDefault="003E0C76" w:rsidP="000133A6">
      <w:pPr>
        <w:jc w:val="both"/>
      </w:pPr>
      <w:r w:rsidRPr="00AE6B5F">
        <w:t xml:space="preserve">This study was given a favourable opinion by </w:t>
      </w:r>
      <w:r w:rsidR="00AA2CBF" w:rsidRPr="00AE6B5F">
        <w:t xml:space="preserve">NHS Scotland’s </w:t>
      </w:r>
      <w:r w:rsidRPr="00AE6B5F">
        <w:t>South East Scotland Research Ethics Committee.</w:t>
      </w:r>
    </w:p>
    <w:p w14:paraId="76F022B6" w14:textId="77777777" w:rsidR="003E0C76" w:rsidRPr="00AE6B5F" w:rsidRDefault="003E0C76" w:rsidP="000133A6">
      <w:pPr>
        <w:jc w:val="both"/>
        <w:rPr>
          <w:i/>
        </w:rPr>
      </w:pPr>
    </w:p>
    <w:p w14:paraId="75708471" w14:textId="77777777" w:rsidR="003E0C76" w:rsidRPr="00AE6B5F" w:rsidRDefault="003E0C76" w:rsidP="00E12191">
      <w:pPr>
        <w:pStyle w:val="ListParagraph"/>
        <w:numPr>
          <w:ilvl w:val="1"/>
          <w:numId w:val="24"/>
        </w:numPr>
        <w:jc w:val="both"/>
        <w:rPr>
          <w:i/>
        </w:rPr>
      </w:pPr>
      <w:r w:rsidRPr="00AE6B5F">
        <w:rPr>
          <w:i/>
        </w:rPr>
        <w:t>Design</w:t>
      </w:r>
    </w:p>
    <w:p w14:paraId="7895EBA4" w14:textId="77777777" w:rsidR="00CA7569" w:rsidRPr="00AE6B5F" w:rsidRDefault="00CA7569" w:rsidP="000133A6">
      <w:pPr>
        <w:jc w:val="both"/>
      </w:pPr>
    </w:p>
    <w:p w14:paraId="2A7DF7E1" w14:textId="77777777" w:rsidR="003E0C76" w:rsidRPr="00AE6B5F" w:rsidRDefault="003E0C76" w:rsidP="000133A6">
      <w:pPr>
        <w:jc w:val="both"/>
      </w:pPr>
      <w:r w:rsidRPr="00AE6B5F">
        <w:t xml:space="preserve">A within-group cross-sectional design was used to examine whether there was a relationship between social cognition and </w:t>
      </w:r>
      <w:r w:rsidR="00B94739" w:rsidRPr="00AE6B5F">
        <w:t>indices</w:t>
      </w:r>
      <w:r w:rsidR="008B3C8A" w:rsidRPr="00AE6B5F">
        <w:t xml:space="preserve"> of paranoia</w:t>
      </w:r>
      <w:r w:rsidRPr="00AE6B5F">
        <w:t>.</w:t>
      </w:r>
      <w:r w:rsidR="008B3C8A" w:rsidRPr="00AE6B5F">
        <w:t xml:space="preserve"> Self-report and observer-rated measures were used.</w:t>
      </w:r>
    </w:p>
    <w:p w14:paraId="3D9B2B9C" w14:textId="77777777" w:rsidR="003E0C76" w:rsidRPr="00AE6B5F" w:rsidRDefault="003E0C76" w:rsidP="000133A6">
      <w:pPr>
        <w:jc w:val="both"/>
      </w:pPr>
    </w:p>
    <w:p w14:paraId="04E4D458" w14:textId="77777777" w:rsidR="003E0C76" w:rsidRPr="00AE6B5F" w:rsidRDefault="003E0C76" w:rsidP="00E12191">
      <w:pPr>
        <w:pStyle w:val="ListParagraph"/>
        <w:numPr>
          <w:ilvl w:val="1"/>
          <w:numId w:val="24"/>
        </w:numPr>
        <w:jc w:val="both"/>
        <w:rPr>
          <w:i/>
        </w:rPr>
      </w:pPr>
      <w:r w:rsidRPr="00AE6B5F">
        <w:rPr>
          <w:i/>
        </w:rPr>
        <w:t>Participants</w:t>
      </w:r>
    </w:p>
    <w:p w14:paraId="59B2F12F" w14:textId="77777777" w:rsidR="00CA7569" w:rsidRPr="00AE6B5F" w:rsidRDefault="00CA7569" w:rsidP="000133A6">
      <w:pPr>
        <w:jc w:val="both"/>
      </w:pPr>
    </w:p>
    <w:p w14:paraId="40DB8146" w14:textId="77777777" w:rsidR="009C638C" w:rsidRPr="00AE6B5F" w:rsidRDefault="009C638C" w:rsidP="000133A6">
      <w:pPr>
        <w:jc w:val="both"/>
      </w:pPr>
      <w:r w:rsidRPr="00AE6B5F">
        <w:t xml:space="preserve">Participants were recruited from one high, and two medium secure forensic hospitals in Scotland which provide multi-disciplinary care for mentally ill offenders.  In addition to psychotropic medications all patients are also offered a range of interventions to help them manage their mental health and desist from offending guided by the Scottish Governments Forensic Matrix which provides information on evidence based interventions and a range of treatment protocols (Forensic Network, 2011). </w:t>
      </w:r>
    </w:p>
    <w:p w14:paraId="3FFB352B" w14:textId="77777777" w:rsidR="009C638C" w:rsidRPr="00AE6B5F" w:rsidRDefault="009C638C" w:rsidP="000133A6">
      <w:pPr>
        <w:jc w:val="both"/>
      </w:pPr>
    </w:p>
    <w:p w14:paraId="23338B30" w14:textId="77777777" w:rsidR="003E0C76" w:rsidRPr="00AE6B5F" w:rsidRDefault="003E0C76" w:rsidP="000133A6">
      <w:pPr>
        <w:jc w:val="both"/>
      </w:pPr>
      <w:r w:rsidRPr="00AE6B5F">
        <w:t xml:space="preserve">Participants were </w:t>
      </w:r>
      <w:r w:rsidR="008B3C8A" w:rsidRPr="00AE6B5F">
        <w:t>able to take part if they were</w:t>
      </w:r>
      <w:r w:rsidRPr="00AE6B5F">
        <w:t xml:space="preserve"> male, detained under the Mental Health Act (Care and Treatment) (Scotland) Act 2003 in a secure setting, </w:t>
      </w:r>
      <w:r w:rsidR="008B3C8A" w:rsidRPr="00AE6B5F">
        <w:t xml:space="preserve">had </w:t>
      </w:r>
      <w:r w:rsidRPr="00AE6B5F">
        <w:t xml:space="preserve">a diagnosis of schizophrenia or schizoaffective disorder, aged 18-64 and able to provide informed consent.  </w:t>
      </w:r>
      <w:r w:rsidR="00B94739" w:rsidRPr="00AE6B5F">
        <w:t>P</w:t>
      </w:r>
      <w:r w:rsidRPr="00AE6B5F">
        <w:t xml:space="preserve">articipants </w:t>
      </w:r>
      <w:r w:rsidR="00B94739" w:rsidRPr="00AE6B5F">
        <w:t xml:space="preserve">were excluded if they had </w:t>
      </w:r>
      <w:r w:rsidRPr="00AE6B5F">
        <w:t>a history of traumatic brain injury resulting in loss of consciousness and requiring inpatient hospital care, a diagnosis of Autistic Spectrum Disorder</w:t>
      </w:r>
      <w:r w:rsidR="008B3C8A" w:rsidRPr="00AE6B5F">
        <w:t xml:space="preserve">, </w:t>
      </w:r>
      <w:r w:rsidRPr="00AE6B5F">
        <w:t>Schizoid Personality Disorder or Learning Disability.</w:t>
      </w:r>
    </w:p>
    <w:p w14:paraId="4F5DEB61" w14:textId="43EC5F30" w:rsidR="003E0C76" w:rsidRPr="00AE6B5F" w:rsidRDefault="003E0C76" w:rsidP="000133A6">
      <w:pPr>
        <w:jc w:val="both"/>
      </w:pPr>
    </w:p>
    <w:p w14:paraId="611BD675" w14:textId="77777777" w:rsidR="003E0C76" w:rsidRPr="00AE6B5F" w:rsidRDefault="003E0C76" w:rsidP="00E12191">
      <w:pPr>
        <w:pStyle w:val="ListParagraph"/>
        <w:numPr>
          <w:ilvl w:val="1"/>
          <w:numId w:val="24"/>
        </w:numPr>
        <w:jc w:val="both"/>
        <w:rPr>
          <w:i/>
        </w:rPr>
      </w:pPr>
      <w:r w:rsidRPr="00AE6B5F">
        <w:rPr>
          <w:i/>
        </w:rPr>
        <w:t>Sample size</w:t>
      </w:r>
    </w:p>
    <w:p w14:paraId="03FF27C4" w14:textId="77777777" w:rsidR="00CA7569" w:rsidRPr="00AE6B5F" w:rsidRDefault="00CA7569" w:rsidP="000133A6">
      <w:pPr>
        <w:jc w:val="both"/>
      </w:pPr>
    </w:p>
    <w:p w14:paraId="6EA534D6" w14:textId="77777777" w:rsidR="003E0C76" w:rsidRPr="00AE6B5F" w:rsidRDefault="003E0C76" w:rsidP="000133A6">
      <w:pPr>
        <w:jc w:val="both"/>
      </w:pPr>
      <w:r w:rsidRPr="00AE6B5F">
        <w:t>Calculations carried out using G*Power 3.1.6 (Faul, Erdfelder, Lang &amp; Bucher, 2007) suggested that for multiple regression with three predictor variables it was necessary to recruit 33 participants to detect a medium effect size (</w:t>
      </w:r>
      <w:r w:rsidRPr="00AE6B5F">
        <w:rPr>
          <w:rFonts w:ascii="Symbol" w:hAnsi="Symbol"/>
        </w:rPr>
        <w:t></w:t>
      </w:r>
      <w:r w:rsidRPr="00AE6B5F">
        <w:rPr>
          <w:rFonts w:ascii="Symbol" w:hAnsi="Symbol"/>
        </w:rPr>
        <w:t></w:t>
      </w:r>
      <w:r w:rsidRPr="00AE6B5F">
        <w:t xml:space="preserve">0.3) with statistical power of 0.8 and an alpha level of 0.05.  </w:t>
      </w:r>
    </w:p>
    <w:p w14:paraId="52E8DD24" w14:textId="77777777" w:rsidR="003E0C76" w:rsidRPr="00AE6B5F" w:rsidRDefault="003E0C76" w:rsidP="000133A6">
      <w:pPr>
        <w:jc w:val="both"/>
        <w:rPr>
          <w:b/>
          <w:i/>
        </w:rPr>
      </w:pPr>
    </w:p>
    <w:p w14:paraId="4A78A164" w14:textId="77777777" w:rsidR="003E0C76" w:rsidRPr="00AE6B5F" w:rsidRDefault="003E0C76" w:rsidP="00E12191">
      <w:pPr>
        <w:pStyle w:val="ListParagraph"/>
        <w:numPr>
          <w:ilvl w:val="1"/>
          <w:numId w:val="24"/>
        </w:numPr>
        <w:jc w:val="both"/>
        <w:rPr>
          <w:i/>
        </w:rPr>
      </w:pPr>
      <w:r w:rsidRPr="00AE6B5F">
        <w:rPr>
          <w:i/>
        </w:rPr>
        <w:t>Procedure</w:t>
      </w:r>
    </w:p>
    <w:p w14:paraId="10D46813" w14:textId="77777777" w:rsidR="00CA7569" w:rsidRPr="00AE6B5F" w:rsidRDefault="00CA7569" w:rsidP="000133A6">
      <w:pPr>
        <w:jc w:val="both"/>
      </w:pPr>
    </w:p>
    <w:p w14:paraId="60C30021" w14:textId="0275AA80" w:rsidR="003E0C76" w:rsidRPr="00AE6B5F" w:rsidRDefault="003E0C76" w:rsidP="000133A6">
      <w:pPr>
        <w:jc w:val="both"/>
      </w:pPr>
      <w:r w:rsidRPr="00AE6B5F">
        <w:t>At each research site Responsible Medical Officers were asked to identify patients who met the inclusion and exclusion criteria and had capacity to consent. A member of the patient’s usual care team approached the patient to give them a participant information sheet.</w:t>
      </w:r>
      <w:r w:rsidR="000D69CB" w:rsidRPr="00AE6B5F">
        <w:t xml:space="preserve"> </w:t>
      </w:r>
      <w:r w:rsidRPr="00AE6B5F">
        <w:t xml:space="preserve">If the individual met the criteria and wished to proceed </w:t>
      </w:r>
      <w:r w:rsidR="000D69CB" w:rsidRPr="00AE6B5F">
        <w:t xml:space="preserve">then </w:t>
      </w:r>
      <w:r w:rsidRPr="00AE6B5F">
        <w:t xml:space="preserve">informed consent was taken by the researcher.  Participants then completed the measures in one or two sessions totalling one to two hours in duration. </w:t>
      </w:r>
      <w:r w:rsidR="00A02D98" w:rsidRPr="00AE6B5F">
        <w:t>As low levels of literacy are common in this population, measures which required a written response were read to the participants if necessary</w:t>
      </w:r>
      <w:r w:rsidRPr="00AE6B5F">
        <w:t xml:space="preserve">. </w:t>
      </w:r>
      <w:r w:rsidR="00BE33CE" w:rsidRPr="00AE6B5F">
        <w:t>All measures were administered in the same or similar order.</w:t>
      </w:r>
    </w:p>
    <w:p w14:paraId="4E0EC220" w14:textId="77777777" w:rsidR="0023355B" w:rsidRPr="00AE6B5F" w:rsidRDefault="0023355B" w:rsidP="000133A6">
      <w:pPr>
        <w:jc w:val="both"/>
        <w:rPr>
          <w:i/>
        </w:rPr>
      </w:pPr>
    </w:p>
    <w:p w14:paraId="33E8DC03" w14:textId="77777777" w:rsidR="003E0C76" w:rsidRPr="00AE6B5F" w:rsidRDefault="003E0C76" w:rsidP="00E12191">
      <w:pPr>
        <w:pStyle w:val="ListParagraph"/>
        <w:numPr>
          <w:ilvl w:val="1"/>
          <w:numId w:val="24"/>
        </w:numPr>
        <w:jc w:val="both"/>
        <w:rPr>
          <w:i/>
        </w:rPr>
      </w:pPr>
      <w:r w:rsidRPr="00AE6B5F">
        <w:rPr>
          <w:i/>
        </w:rPr>
        <w:t>Measures</w:t>
      </w:r>
    </w:p>
    <w:p w14:paraId="074D39C2" w14:textId="3EF9973D" w:rsidR="00E12191" w:rsidRPr="00AE6B5F" w:rsidRDefault="00E12191" w:rsidP="000133A6">
      <w:pPr>
        <w:jc w:val="both"/>
        <w:rPr>
          <w:i/>
        </w:rPr>
      </w:pPr>
    </w:p>
    <w:p w14:paraId="755616D0" w14:textId="77777777" w:rsidR="0023355B" w:rsidRPr="00AE6B5F" w:rsidRDefault="0023355B" w:rsidP="0023355B">
      <w:pPr>
        <w:jc w:val="both"/>
        <w:rPr>
          <w:i/>
        </w:rPr>
      </w:pPr>
      <w:r w:rsidRPr="00AE6B5F">
        <w:t>The following measures were administered:</w:t>
      </w:r>
    </w:p>
    <w:p w14:paraId="49D24AD2" w14:textId="04E84363" w:rsidR="0023355B" w:rsidRPr="00AE6B5F" w:rsidRDefault="0023355B" w:rsidP="000133A6">
      <w:pPr>
        <w:jc w:val="both"/>
        <w:rPr>
          <w:i/>
        </w:rPr>
      </w:pPr>
    </w:p>
    <w:p w14:paraId="38AD72B6" w14:textId="77777777" w:rsidR="003E0C76" w:rsidRPr="00AE6B5F" w:rsidRDefault="003E0C76" w:rsidP="00E12191">
      <w:pPr>
        <w:pStyle w:val="ListParagraph"/>
        <w:numPr>
          <w:ilvl w:val="2"/>
          <w:numId w:val="24"/>
        </w:numPr>
        <w:jc w:val="both"/>
        <w:rPr>
          <w:i/>
        </w:rPr>
      </w:pPr>
      <w:r w:rsidRPr="00AE6B5F">
        <w:rPr>
          <w:i/>
        </w:rPr>
        <w:t>The Awareness of Social Inference Test</w:t>
      </w:r>
    </w:p>
    <w:p w14:paraId="71168289" w14:textId="77777777" w:rsidR="00CA7569" w:rsidRPr="00AE6B5F" w:rsidRDefault="00CA7569" w:rsidP="000133A6">
      <w:pPr>
        <w:jc w:val="both"/>
      </w:pPr>
    </w:p>
    <w:p w14:paraId="079ABA7C" w14:textId="77777777" w:rsidR="003E0C76" w:rsidRPr="00AE6B5F" w:rsidRDefault="003E0C76" w:rsidP="000133A6">
      <w:pPr>
        <w:jc w:val="both"/>
      </w:pPr>
      <w:r w:rsidRPr="00AE6B5F">
        <w:t xml:space="preserve">The Awareness of Social Inference Test (TASIT) (McDonald </w:t>
      </w:r>
      <w:r w:rsidRPr="00AE6B5F">
        <w:rPr>
          <w:i/>
        </w:rPr>
        <w:t>et al</w:t>
      </w:r>
      <w:r w:rsidRPr="00AE6B5F">
        <w:t xml:space="preserve">. 2006) is an ecologically valid tool which measures emotion recognition and theory of mind through the use of video vignettes of everyday social interactions.  </w:t>
      </w:r>
    </w:p>
    <w:p w14:paraId="55F0CC23" w14:textId="77777777" w:rsidR="000D69CB" w:rsidRPr="00AE6B5F" w:rsidRDefault="000D69CB" w:rsidP="000133A6">
      <w:pPr>
        <w:jc w:val="both"/>
      </w:pPr>
    </w:p>
    <w:p w14:paraId="11D4312F" w14:textId="77777777" w:rsidR="003E0C76" w:rsidRPr="00AE6B5F" w:rsidRDefault="003E0C76" w:rsidP="000133A6">
      <w:pPr>
        <w:pStyle w:val="ListParagraph"/>
        <w:numPr>
          <w:ilvl w:val="0"/>
          <w:numId w:val="23"/>
        </w:numPr>
        <w:jc w:val="both"/>
        <w:rPr>
          <w:szCs w:val="24"/>
        </w:rPr>
      </w:pPr>
      <w:r w:rsidRPr="00AE6B5F">
        <w:rPr>
          <w:szCs w:val="24"/>
        </w:rPr>
        <w:t xml:space="preserve">Part 1: The Emotion Evaluation Test assesses emotion recognition and is comprised of 28 vignettes portraying seven emotions; happy, sad, surprised, angry, revolted, fear or neutral. Participants </w:t>
      </w:r>
      <w:r w:rsidR="001E0BA7" w:rsidRPr="00AE6B5F">
        <w:rPr>
          <w:szCs w:val="24"/>
        </w:rPr>
        <w:t xml:space="preserve">choose </w:t>
      </w:r>
      <w:r w:rsidRPr="00AE6B5F">
        <w:rPr>
          <w:szCs w:val="24"/>
        </w:rPr>
        <w:t xml:space="preserve">the emotions they feel best represent that of the actor in the vignette. </w:t>
      </w:r>
    </w:p>
    <w:p w14:paraId="146FA315" w14:textId="77777777" w:rsidR="003E0C76" w:rsidRPr="00AE6B5F" w:rsidRDefault="003E0C76" w:rsidP="000133A6">
      <w:pPr>
        <w:pStyle w:val="ListParagraph"/>
        <w:numPr>
          <w:ilvl w:val="0"/>
          <w:numId w:val="23"/>
        </w:numPr>
        <w:jc w:val="both"/>
        <w:rPr>
          <w:szCs w:val="24"/>
        </w:rPr>
      </w:pPr>
      <w:r w:rsidRPr="00AE6B5F">
        <w:rPr>
          <w:szCs w:val="24"/>
        </w:rPr>
        <w:t xml:space="preserve">Part 2 (TASIT 2): </w:t>
      </w:r>
      <w:r w:rsidR="001E0BA7" w:rsidRPr="00AE6B5F">
        <w:rPr>
          <w:szCs w:val="24"/>
        </w:rPr>
        <w:t xml:space="preserve">The </w:t>
      </w:r>
      <w:r w:rsidRPr="00AE6B5F">
        <w:rPr>
          <w:szCs w:val="24"/>
        </w:rPr>
        <w:t>Social Inference</w:t>
      </w:r>
      <w:r w:rsidR="001E0BA7" w:rsidRPr="00AE6B5F">
        <w:rPr>
          <w:szCs w:val="24"/>
        </w:rPr>
        <w:t xml:space="preserve"> Test - </w:t>
      </w:r>
      <w:r w:rsidRPr="00AE6B5F">
        <w:rPr>
          <w:szCs w:val="24"/>
        </w:rPr>
        <w:t xml:space="preserve">Minimal measures understanding of social inference </w:t>
      </w:r>
      <w:r w:rsidR="001E0BA7" w:rsidRPr="00AE6B5F">
        <w:rPr>
          <w:szCs w:val="24"/>
        </w:rPr>
        <w:t xml:space="preserve">using </w:t>
      </w:r>
      <w:r w:rsidRPr="00AE6B5F">
        <w:rPr>
          <w:szCs w:val="24"/>
        </w:rPr>
        <w:t>sincere, sarcastic and paradoxical sarcasm exchanges in 15 vignettes. No additional cues or information are provided to the viewer to help in their interpretation.</w:t>
      </w:r>
    </w:p>
    <w:p w14:paraId="19D0094A" w14:textId="77777777" w:rsidR="001E0BA7" w:rsidRPr="00AE6B5F" w:rsidRDefault="003E0C76" w:rsidP="000133A6">
      <w:pPr>
        <w:pStyle w:val="ListParagraph"/>
        <w:numPr>
          <w:ilvl w:val="0"/>
          <w:numId w:val="23"/>
        </w:numPr>
        <w:jc w:val="both"/>
        <w:rPr>
          <w:szCs w:val="24"/>
        </w:rPr>
      </w:pPr>
      <w:r w:rsidRPr="00AE6B5F">
        <w:rPr>
          <w:szCs w:val="24"/>
        </w:rPr>
        <w:t xml:space="preserve">Part 3 (TASIT 3): </w:t>
      </w:r>
      <w:r w:rsidR="001E0BA7" w:rsidRPr="00AE6B5F">
        <w:rPr>
          <w:szCs w:val="24"/>
        </w:rPr>
        <w:t xml:space="preserve">The </w:t>
      </w:r>
      <w:r w:rsidRPr="00AE6B5F">
        <w:rPr>
          <w:szCs w:val="24"/>
        </w:rPr>
        <w:t xml:space="preserve">Social Inference </w:t>
      </w:r>
      <w:r w:rsidR="001E0BA7" w:rsidRPr="00AE6B5F">
        <w:rPr>
          <w:szCs w:val="24"/>
        </w:rPr>
        <w:t xml:space="preserve">Test - </w:t>
      </w:r>
      <w:r w:rsidRPr="00AE6B5F">
        <w:rPr>
          <w:szCs w:val="24"/>
        </w:rPr>
        <w:t>Enriched comprises 16 vignettes to measure a participant's ability to use contextual cues to</w:t>
      </w:r>
      <w:r w:rsidR="001E0BA7" w:rsidRPr="00AE6B5F">
        <w:rPr>
          <w:szCs w:val="24"/>
        </w:rPr>
        <w:t xml:space="preserve"> distinguish</w:t>
      </w:r>
      <w:r w:rsidRPr="00AE6B5F">
        <w:rPr>
          <w:szCs w:val="24"/>
        </w:rPr>
        <w:t xml:space="preserve"> a lie from sarcasm. The viewer is provided with additional information which reveals the actors true intentions by means of a visual cue or prologue. </w:t>
      </w:r>
    </w:p>
    <w:p w14:paraId="5D01193F" w14:textId="77777777" w:rsidR="001E0BA7" w:rsidRPr="00AE6B5F" w:rsidRDefault="001E0BA7" w:rsidP="00FA7424">
      <w:pPr>
        <w:jc w:val="both"/>
      </w:pPr>
    </w:p>
    <w:p w14:paraId="0E327D07" w14:textId="77777777" w:rsidR="003E0C76" w:rsidRPr="00AE6B5F" w:rsidRDefault="003E0C76" w:rsidP="000133A6">
      <w:pPr>
        <w:jc w:val="both"/>
      </w:pPr>
      <w:r w:rsidRPr="00AE6B5F">
        <w:t>Following parts 2 &amp; 3 participants answer four questions about what the person was doing to the other person; what they were trying to say, what they were thinking and what they were feeling with a ‘yes’, ‘no’ or ‘don’t know’ response.</w:t>
      </w:r>
      <w:r w:rsidR="001E0BA7" w:rsidRPr="00AE6B5F">
        <w:t xml:space="preserve"> </w:t>
      </w:r>
      <w:r w:rsidRPr="00AE6B5F">
        <w:t xml:space="preserve">Reliability estimates for the TASIT range from 0.62 – 0.83 for alternate forms and 0.74 – 0.88 for test re-test (McDonald </w:t>
      </w:r>
      <w:r w:rsidRPr="00AE6B5F">
        <w:rPr>
          <w:i/>
        </w:rPr>
        <w:t>et al</w:t>
      </w:r>
      <w:r w:rsidRPr="00AE6B5F">
        <w:t xml:space="preserve">., 2006). Construct validity </w:t>
      </w:r>
      <w:r w:rsidR="000D69CB" w:rsidRPr="00AE6B5F">
        <w:t xml:space="preserve">has been </w:t>
      </w:r>
      <w:r w:rsidRPr="00AE6B5F">
        <w:t>demonstrated</w:t>
      </w:r>
      <w:r w:rsidR="001E0BA7" w:rsidRPr="00AE6B5F">
        <w:t xml:space="preserve"> by</w:t>
      </w:r>
      <w:r w:rsidRPr="00AE6B5F">
        <w:t xml:space="preserve"> high correlation</w:t>
      </w:r>
      <w:r w:rsidR="001E0BA7" w:rsidRPr="00AE6B5F">
        <w:t>s</w:t>
      </w:r>
      <w:r w:rsidRPr="00AE6B5F">
        <w:t xml:space="preserve"> (</w:t>
      </w:r>
      <w:r w:rsidRPr="00AE6B5F">
        <w:rPr>
          <w:i/>
        </w:rPr>
        <w:t>p</w:t>
      </w:r>
      <w:r w:rsidRPr="00AE6B5F">
        <w:t xml:space="preserve">=.37-.70) between all parts of the TASIT and the Ekman and Freisen series of faces (Ekman &amp; Freisen, 1976). The TASIT has been used in samples with schizotypy (Jahshan &amp; Sergi, 2007) and schizophrenia (Kern </w:t>
      </w:r>
      <w:r w:rsidRPr="00AE6B5F">
        <w:rPr>
          <w:i/>
        </w:rPr>
        <w:t>et al</w:t>
      </w:r>
      <w:r w:rsidRPr="00AE6B5F">
        <w:t xml:space="preserve">., 2009 and Kosmidis </w:t>
      </w:r>
      <w:r w:rsidRPr="00AE6B5F">
        <w:rPr>
          <w:i/>
        </w:rPr>
        <w:t>et al.,</w:t>
      </w:r>
      <w:r w:rsidRPr="00AE6B5F">
        <w:t xml:space="preserve"> 2008).  </w:t>
      </w:r>
    </w:p>
    <w:p w14:paraId="41F321AD" w14:textId="77777777" w:rsidR="003E0C76" w:rsidRPr="00AE6B5F" w:rsidRDefault="003E0C76" w:rsidP="000133A6">
      <w:pPr>
        <w:jc w:val="both"/>
        <w:rPr>
          <w:i/>
        </w:rPr>
      </w:pPr>
    </w:p>
    <w:p w14:paraId="275FC32A" w14:textId="77777777" w:rsidR="003E0C76" w:rsidRPr="00AE6B5F" w:rsidRDefault="003E0C76" w:rsidP="00E12191">
      <w:pPr>
        <w:pStyle w:val="ListParagraph"/>
        <w:numPr>
          <w:ilvl w:val="2"/>
          <w:numId w:val="24"/>
        </w:numPr>
        <w:jc w:val="both"/>
        <w:rPr>
          <w:i/>
        </w:rPr>
      </w:pPr>
      <w:r w:rsidRPr="00AE6B5F">
        <w:rPr>
          <w:i/>
        </w:rPr>
        <w:t>The Ambiguous Intentions Hostility Questionnaire</w:t>
      </w:r>
    </w:p>
    <w:p w14:paraId="1FCEE984" w14:textId="77777777" w:rsidR="00CA7569" w:rsidRPr="00AE6B5F" w:rsidRDefault="00CA7569" w:rsidP="000133A6">
      <w:pPr>
        <w:jc w:val="both"/>
      </w:pPr>
    </w:p>
    <w:p w14:paraId="5FE13CD3" w14:textId="77777777" w:rsidR="003E0C76" w:rsidRPr="00AE6B5F" w:rsidRDefault="003E0C76" w:rsidP="000133A6">
      <w:pPr>
        <w:jc w:val="both"/>
      </w:pPr>
      <w:r w:rsidRPr="00AE6B5F">
        <w:t xml:space="preserve">The Ambiguous Intentions Hostility Questionnaire (AIHQ) (Combs </w:t>
      </w:r>
      <w:r w:rsidRPr="00AE6B5F">
        <w:rPr>
          <w:i/>
        </w:rPr>
        <w:t>et al</w:t>
      </w:r>
      <w:r w:rsidRPr="00AE6B5F">
        <w:t xml:space="preserve">., 2007) measures hostility, blame and aggression in ambiguous situations where social cues are not clear. The measure has been used in recent research with a similar population (An </w:t>
      </w:r>
      <w:r w:rsidRPr="00AE6B5F">
        <w:rPr>
          <w:i/>
        </w:rPr>
        <w:t>et al</w:t>
      </w:r>
      <w:r w:rsidRPr="00AE6B5F">
        <w:t xml:space="preserve">., 2010 and Waldheter </w:t>
      </w:r>
      <w:r w:rsidRPr="00AE6B5F">
        <w:rPr>
          <w:i/>
        </w:rPr>
        <w:t>et al</w:t>
      </w:r>
      <w:r w:rsidRPr="00AE6B5F">
        <w:t>., 2005). The AIHQ is a 15</w:t>
      </w:r>
      <w:r w:rsidR="001E0BA7" w:rsidRPr="00AE6B5F">
        <w:t>-</w:t>
      </w:r>
      <w:r w:rsidRPr="00AE6B5F">
        <w:t xml:space="preserve">item vignette questionnaire </w:t>
      </w:r>
      <w:r w:rsidR="001E0BA7" w:rsidRPr="00AE6B5F">
        <w:t xml:space="preserve">where </w:t>
      </w:r>
      <w:r w:rsidRPr="00AE6B5F">
        <w:t xml:space="preserve">participants rate ambiguous, intentional or accidental scenarios. The first question requires participants to describe why the person in the vignette may have acted in that way towards them. Their answer is scored by the rater on a hostility index providing a hostility bias score. Scenarios are then rated, by the participant, on a Likert scale for perceived intentionality, from 1-‘definitely no’ to 6-‘definitely yes’; how angry it would make them, from 1 – ‘not at all’ to 5 – ‘very angry’ and how much they apportioned blame to the other person, from 1 – ‘not at all’ to ‘very much’. The scores for intention, anger and blame are collapsed into a single score of blame bias.  The participant notes how they would respond to the situation and the answer is then scored for aggressive bias. For each group of scenarios </w:t>
      </w:r>
      <w:r w:rsidR="001E0BA7" w:rsidRPr="00AE6B5F">
        <w:t>[</w:t>
      </w:r>
      <w:r w:rsidRPr="00AE6B5F">
        <w:t>intentional (5), ambiguous (5) and accidental (5)</w:t>
      </w:r>
      <w:r w:rsidR="001E0BA7" w:rsidRPr="00AE6B5F">
        <w:t>]</w:t>
      </w:r>
      <w:r w:rsidRPr="00AE6B5F">
        <w:t xml:space="preserve"> the participant has a hostility, blame and aggression bias score. Both hostility and blame scores for ambiguous situations have individually demonstrated a strong relationship with measures of paranoia (Combs </w:t>
      </w:r>
      <w:r w:rsidRPr="00AE6B5F">
        <w:rPr>
          <w:i/>
        </w:rPr>
        <w:t>et al</w:t>
      </w:r>
      <w:r w:rsidRPr="00AE6B5F">
        <w:t xml:space="preserve">. 2007). These scores were therefore used as an additional </w:t>
      </w:r>
      <w:r w:rsidR="001E0BA7" w:rsidRPr="00AE6B5F">
        <w:t xml:space="preserve">index </w:t>
      </w:r>
      <w:r w:rsidRPr="00AE6B5F">
        <w:t>of paranoi</w:t>
      </w:r>
      <w:r w:rsidR="001E0BA7" w:rsidRPr="00AE6B5F">
        <w:t>a</w:t>
      </w:r>
      <w:r w:rsidRPr="00AE6B5F">
        <w:t xml:space="preserve">. The AIHQ has demonstrated good levels of internal consistency (alpha = .84 -.86) and inter-rater reliability (intra-class correlation range: .97-.99) in a sample of 322 undergraduate students (Combs </w:t>
      </w:r>
      <w:r w:rsidRPr="00AE6B5F">
        <w:rPr>
          <w:i/>
        </w:rPr>
        <w:t>et al</w:t>
      </w:r>
      <w:r w:rsidRPr="00AE6B5F">
        <w:t xml:space="preserve">., 2007). Two researchers independently rated a selection (25%) of the completed questionnaires.  Inter-rater agreement was </w:t>
      </w:r>
      <w:r w:rsidR="001E0BA7" w:rsidRPr="00AE6B5F">
        <w:t>high</w:t>
      </w:r>
      <w:r w:rsidRPr="00AE6B5F">
        <w:t xml:space="preserve"> (Cohen’s Kappa, 0.97).  </w:t>
      </w:r>
    </w:p>
    <w:p w14:paraId="5EE75C9E" w14:textId="77777777" w:rsidR="003E0C76" w:rsidRPr="00AE6B5F" w:rsidRDefault="003E0C76" w:rsidP="000133A6">
      <w:pPr>
        <w:jc w:val="both"/>
        <w:rPr>
          <w:i/>
        </w:rPr>
      </w:pPr>
    </w:p>
    <w:p w14:paraId="6CD8FDCD" w14:textId="77777777" w:rsidR="003E0C76" w:rsidRPr="00AE6B5F" w:rsidRDefault="003E0C76" w:rsidP="00E12191">
      <w:pPr>
        <w:pStyle w:val="ListParagraph"/>
        <w:numPr>
          <w:ilvl w:val="2"/>
          <w:numId w:val="24"/>
        </w:numPr>
        <w:jc w:val="both"/>
        <w:rPr>
          <w:i/>
        </w:rPr>
      </w:pPr>
      <w:r w:rsidRPr="00AE6B5F">
        <w:rPr>
          <w:i/>
        </w:rPr>
        <w:t>The Green et al. Paranoid Thought Scales</w:t>
      </w:r>
    </w:p>
    <w:p w14:paraId="5B8D8A98" w14:textId="77777777" w:rsidR="00CA7569" w:rsidRPr="00AE6B5F" w:rsidRDefault="00CA7569" w:rsidP="000133A6">
      <w:pPr>
        <w:jc w:val="both"/>
      </w:pPr>
    </w:p>
    <w:p w14:paraId="600AE36D" w14:textId="77777777" w:rsidR="003E0C76" w:rsidRPr="00AE6B5F" w:rsidRDefault="003E0C76" w:rsidP="000133A6">
      <w:pPr>
        <w:jc w:val="both"/>
      </w:pPr>
      <w:r w:rsidRPr="00AE6B5F">
        <w:t xml:space="preserve">The Green </w:t>
      </w:r>
      <w:r w:rsidRPr="00AE6B5F">
        <w:rPr>
          <w:i/>
        </w:rPr>
        <w:t>et al</w:t>
      </w:r>
      <w:r w:rsidRPr="00AE6B5F">
        <w:t xml:space="preserve">. Paranoid Thought Scales (G-PTS) (Green </w:t>
      </w:r>
      <w:r w:rsidRPr="00AE6B5F">
        <w:rPr>
          <w:i/>
        </w:rPr>
        <w:t>et al</w:t>
      </w:r>
      <w:r w:rsidRPr="00AE6B5F">
        <w:t xml:space="preserve">., 2008) was used to measure paranoid thoughts within the sample.  The scale was developed to </w:t>
      </w:r>
      <w:r w:rsidR="001E0BA7" w:rsidRPr="00AE6B5F">
        <w:t xml:space="preserve">assess the full continuum of </w:t>
      </w:r>
      <w:r w:rsidRPr="00AE6B5F">
        <w:t>paranoi</w:t>
      </w:r>
      <w:r w:rsidR="001E0BA7" w:rsidRPr="00AE6B5F">
        <w:t>a, from</w:t>
      </w:r>
      <w:r w:rsidRPr="00AE6B5F">
        <w:t xml:space="preserve"> non-clinical </w:t>
      </w:r>
      <w:r w:rsidR="001E0BA7" w:rsidRPr="00AE6B5F">
        <w:t xml:space="preserve">ideation </w:t>
      </w:r>
      <w:r w:rsidRPr="00AE6B5F">
        <w:t>to</w:t>
      </w:r>
      <w:r w:rsidR="001E0BA7" w:rsidRPr="00AE6B5F">
        <w:t xml:space="preserve"> delusional</w:t>
      </w:r>
      <w:r w:rsidRPr="00AE6B5F">
        <w:t xml:space="preserve"> levels of paranoia</w:t>
      </w:r>
      <w:r w:rsidR="001E0BA7" w:rsidRPr="00AE6B5F">
        <w:t xml:space="preserve"> as seen in clinical practice</w:t>
      </w:r>
      <w:r w:rsidRPr="00AE6B5F">
        <w:t>.  The measure is comprised of two 16-item scales assessing social reference relevant to paranoia</w:t>
      </w:r>
      <w:r w:rsidR="008B3C8A" w:rsidRPr="00AE6B5F">
        <w:t>, and paranoia</w:t>
      </w:r>
      <w:r w:rsidRPr="00AE6B5F">
        <w:t>.</w:t>
      </w:r>
      <w:r w:rsidR="002244B6" w:rsidRPr="00AE6B5F">
        <w:t xml:space="preserve"> </w:t>
      </w:r>
      <w:r w:rsidRPr="00AE6B5F">
        <w:t>The second scale, part B</w:t>
      </w:r>
      <w:r w:rsidR="008B3C8A" w:rsidRPr="00AE6B5F">
        <w:t>,</w:t>
      </w:r>
      <w:r w:rsidRPr="00AE6B5F">
        <w:t xml:space="preserve"> focuses on ideas of persecution and is comprised of four subscales of conviction, pre-occupation, distress and paranoid thought</w:t>
      </w:r>
      <w:r w:rsidR="001E0BA7" w:rsidRPr="00AE6B5F">
        <w:t>s</w:t>
      </w:r>
      <w:r w:rsidRPr="00AE6B5F">
        <w:t>. The scale can be used as two separate scales or together. Part B was selected for use in this study as it</w:t>
      </w:r>
      <w:r w:rsidR="001E0BA7" w:rsidRPr="00AE6B5F">
        <w:t xml:space="preserve"> measures</w:t>
      </w:r>
      <w:r w:rsidRPr="00AE6B5F">
        <w:t xml:space="preserve"> </w:t>
      </w:r>
      <w:r w:rsidR="001E0BA7" w:rsidRPr="00AE6B5F">
        <w:t>attributions of intended</w:t>
      </w:r>
      <w:r w:rsidRPr="00AE6B5F">
        <w:t xml:space="preserve"> </w:t>
      </w:r>
      <w:r w:rsidR="001E0BA7" w:rsidRPr="00AE6B5F">
        <w:t>harm which are central to</w:t>
      </w:r>
      <w:r w:rsidRPr="00AE6B5F">
        <w:t xml:space="preserve"> paranoia</w:t>
      </w:r>
      <w:r w:rsidR="001E0BA7" w:rsidRPr="00AE6B5F">
        <w:t xml:space="preserve"> (Freeman, 2007)</w:t>
      </w:r>
      <w:r w:rsidRPr="00AE6B5F">
        <w:t xml:space="preserve">.  The self-report scale was read out to participants if required, each question is answered on a Likert scale from 'not at all' to 'totally'.  The scale displayed good internal consistency (Cronbach’s </w:t>
      </w:r>
      <w:r w:rsidRPr="00AE6B5F">
        <w:rPr>
          <w:i/>
        </w:rPr>
        <w:t xml:space="preserve">a </w:t>
      </w:r>
      <w:r w:rsidRPr="00AE6B5F">
        <w:t>= .70 - .95) and test-retest reliability (intra-class correlation .81) on a sample of 353 university staff and students and 50 individuals with a current persecutory delusion</w:t>
      </w:r>
      <w:r w:rsidRPr="00AE6B5F">
        <w:rPr>
          <w:color w:val="FF0000"/>
        </w:rPr>
        <w:t xml:space="preserve"> </w:t>
      </w:r>
      <w:r w:rsidRPr="00AE6B5F">
        <w:t xml:space="preserve">(Green </w:t>
      </w:r>
      <w:r w:rsidRPr="00AE6B5F">
        <w:rPr>
          <w:i/>
        </w:rPr>
        <w:t>et al</w:t>
      </w:r>
      <w:r w:rsidRPr="00AE6B5F">
        <w:t>., 2008).</w:t>
      </w:r>
    </w:p>
    <w:p w14:paraId="1CC3B041" w14:textId="77777777" w:rsidR="003E0C76" w:rsidRPr="00AE6B5F" w:rsidRDefault="003E0C76" w:rsidP="000133A6">
      <w:pPr>
        <w:jc w:val="both"/>
        <w:rPr>
          <w:b/>
          <w:i/>
        </w:rPr>
      </w:pPr>
    </w:p>
    <w:p w14:paraId="1A4D776C" w14:textId="77777777" w:rsidR="003E0C76" w:rsidRPr="00AE6B5F" w:rsidRDefault="003E0C76" w:rsidP="00E12191">
      <w:pPr>
        <w:pStyle w:val="ListParagraph"/>
        <w:numPr>
          <w:ilvl w:val="1"/>
          <w:numId w:val="24"/>
        </w:numPr>
        <w:jc w:val="both"/>
        <w:rPr>
          <w:i/>
        </w:rPr>
      </w:pPr>
      <w:r w:rsidRPr="00AE6B5F">
        <w:rPr>
          <w:i/>
        </w:rPr>
        <w:t xml:space="preserve">Data Analysis </w:t>
      </w:r>
    </w:p>
    <w:p w14:paraId="28EB1A7D" w14:textId="77777777" w:rsidR="00CA7569" w:rsidRPr="00AE6B5F" w:rsidRDefault="00CA7569" w:rsidP="000133A6">
      <w:pPr>
        <w:jc w:val="both"/>
      </w:pPr>
    </w:p>
    <w:p w14:paraId="5E640659" w14:textId="2C990FE8" w:rsidR="003E0C76" w:rsidRPr="00AE6B5F" w:rsidRDefault="003E0C76" w:rsidP="000133A6">
      <w:pPr>
        <w:jc w:val="both"/>
      </w:pPr>
      <w:r w:rsidRPr="00AE6B5F">
        <w:t xml:space="preserve">Data were analysed using SPSS </w:t>
      </w:r>
      <w:r w:rsidR="002244B6" w:rsidRPr="00AE6B5F">
        <w:t xml:space="preserve">Version </w:t>
      </w:r>
      <w:r w:rsidRPr="00AE6B5F">
        <w:t>22.</w:t>
      </w:r>
      <w:r w:rsidR="001E0BA7" w:rsidRPr="00AE6B5F">
        <w:t xml:space="preserve"> </w:t>
      </w:r>
      <w:r w:rsidRPr="00AE6B5F">
        <w:t>All variables were checked for normality through visual inspection of the data, the Kolmogorov-Smirnov test, skewness and kurtosis tests. Variables which did not meet the assumption of normality were analysed using non-parametric statistical tests. Correlations between variables were calculated, and logistic and boot-strapped linear regression were used to examine the study hypotheses. Regression analysis were conducted using the enter method.  Emotion recognition was entered into the first block and theory of mind (</w:t>
      </w:r>
      <w:r w:rsidR="001E0BA7" w:rsidRPr="00AE6B5F">
        <w:t xml:space="preserve">parts </w:t>
      </w:r>
      <w:r w:rsidRPr="00AE6B5F">
        <w:t>2</w:t>
      </w:r>
      <w:r w:rsidR="001E0BA7" w:rsidRPr="00AE6B5F">
        <w:t xml:space="preserve"> and </w:t>
      </w:r>
      <w:r w:rsidRPr="00AE6B5F">
        <w:t>3) into the second block in all regression analyses. Standardised effect sizes (Cohen's d) and their associated 95% confidence intervals were also computed for differences in social cognition between participants reporting no paranoia and participants reporting at least subclinical paranoia.</w:t>
      </w:r>
      <w:r w:rsidR="000B6D33" w:rsidRPr="00AE6B5F">
        <w:t xml:space="preserve"> No participant data were excluded; all data from all consenting participants was included in each analysis. </w:t>
      </w:r>
    </w:p>
    <w:p w14:paraId="3E547579" w14:textId="77777777" w:rsidR="003E0C76" w:rsidRPr="00AE6B5F" w:rsidRDefault="003E0C76" w:rsidP="000133A6">
      <w:pPr>
        <w:jc w:val="both"/>
      </w:pPr>
    </w:p>
    <w:p w14:paraId="492B8770" w14:textId="77777777" w:rsidR="003E0C76" w:rsidRPr="00AE6B5F" w:rsidRDefault="003E0C76" w:rsidP="00E12191">
      <w:pPr>
        <w:pStyle w:val="ListParagraph"/>
        <w:numPr>
          <w:ilvl w:val="0"/>
          <w:numId w:val="24"/>
        </w:numPr>
        <w:jc w:val="both"/>
        <w:rPr>
          <w:b/>
        </w:rPr>
      </w:pPr>
      <w:r w:rsidRPr="00AE6B5F">
        <w:rPr>
          <w:b/>
        </w:rPr>
        <w:t>Results</w:t>
      </w:r>
    </w:p>
    <w:p w14:paraId="25F79D6B" w14:textId="77777777" w:rsidR="003E0C76" w:rsidRPr="00AE6B5F" w:rsidRDefault="003E0C76" w:rsidP="000133A6">
      <w:pPr>
        <w:jc w:val="both"/>
      </w:pPr>
    </w:p>
    <w:p w14:paraId="275EE186" w14:textId="77777777" w:rsidR="003E0C76" w:rsidRPr="00AE6B5F" w:rsidRDefault="003E0C76" w:rsidP="00E12191">
      <w:pPr>
        <w:pStyle w:val="ListParagraph"/>
        <w:numPr>
          <w:ilvl w:val="1"/>
          <w:numId w:val="24"/>
        </w:numPr>
        <w:jc w:val="both"/>
        <w:rPr>
          <w:i/>
        </w:rPr>
      </w:pPr>
      <w:r w:rsidRPr="00AE6B5F">
        <w:rPr>
          <w:i/>
        </w:rPr>
        <w:t>Sample characteristics</w:t>
      </w:r>
    </w:p>
    <w:p w14:paraId="7DFE8860" w14:textId="77777777" w:rsidR="00CA7569" w:rsidRPr="00AE6B5F" w:rsidRDefault="00CA7569" w:rsidP="000133A6">
      <w:pPr>
        <w:jc w:val="both"/>
      </w:pPr>
    </w:p>
    <w:p w14:paraId="28C2BBA5" w14:textId="3D94CFF7" w:rsidR="003E0C76" w:rsidRPr="00AE6B5F" w:rsidRDefault="003E0C76" w:rsidP="000133A6">
      <w:pPr>
        <w:jc w:val="both"/>
        <w:rPr>
          <w:b/>
        </w:rPr>
      </w:pPr>
      <w:r w:rsidRPr="00AE6B5F">
        <w:t xml:space="preserve">As shown in Table 1, </w:t>
      </w:r>
      <w:r w:rsidR="00A64216" w:rsidRPr="00AE6B5F">
        <w:t xml:space="preserve">we recruited 27 participants (mean age 37.6 years, SD 11.16; range 22-55). Sixteen were recruited from a high-security hospital and 11 were recruited from two medium-secure units. </w:t>
      </w:r>
      <w:r w:rsidRPr="00AE6B5F">
        <w:t>All participants were male</w:t>
      </w:r>
      <w:r w:rsidR="001E0BA7" w:rsidRPr="00AE6B5F">
        <w:t xml:space="preserve">, all </w:t>
      </w:r>
      <w:r w:rsidRPr="00AE6B5F">
        <w:t xml:space="preserve">had a diagnosis of </w:t>
      </w:r>
      <w:r w:rsidR="00BE33CE" w:rsidRPr="00AE6B5F">
        <w:t xml:space="preserve">paranoid </w:t>
      </w:r>
      <w:r w:rsidRPr="00AE6B5F">
        <w:t>schizophrenia</w:t>
      </w:r>
      <w:r w:rsidR="001E0BA7" w:rsidRPr="00AE6B5F">
        <w:t xml:space="preserve"> and </w:t>
      </w:r>
      <w:r w:rsidR="000858A5" w:rsidRPr="00AE6B5F">
        <w:t xml:space="preserve">all had </w:t>
      </w:r>
      <w:r w:rsidR="001E0BA7" w:rsidRPr="00AE6B5F">
        <w:t>a history of offending</w:t>
      </w:r>
      <w:r w:rsidRPr="00AE6B5F">
        <w:t>. The mean length of time since initial diagnosis of schizophrenia was 10.81 years (SD 5.88; range 1-24 years). Prior to admission, the majority (78%, N=21) had used alcohol or drugs. A history of violence prior to the index offence was present in 70% (N=19) of the sample, and the most common index offence in the sample was culpable homicide (48%, N=13).</w:t>
      </w:r>
      <w:r w:rsidRPr="00AE6B5F">
        <w:rPr>
          <w:b/>
        </w:rPr>
        <w:t xml:space="preserve"> </w:t>
      </w:r>
    </w:p>
    <w:p w14:paraId="51A56AA7" w14:textId="77777777" w:rsidR="003E0C76" w:rsidRPr="00AE6B5F" w:rsidRDefault="003E0C76" w:rsidP="000133A6">
      <w:pPr>
        <w:jc w:val="both"/>
        <w:rPr>
          <w:b/>
        </w:rPr>
      </w:pPr>
    </w:p>
    <w:p w14:paraId="51F96DF8" w14:textId="5C4D34B7" w:rsidR="003E0C76" w:rsidRPr="00AE6B5F" w:rsidRDefault="003E0C76" w:rsidP="000133A6">
      <w:pPr>
        <w:jc w:val="both"/>
      </w:pPr>
      <w:r w:rsidRPr="00AE6B5F">
        <w:t xml:space="preserve">Table 1 also provides mean social cognition and paranoia scores for the sample. </w:t>
      </w:r>
      <w:r w:rsidR="000858A5" w:rsidRPr="00AE6B5F">
        <w:t xml:space="preserve">The </w:t>
      </w:r>
      <w:r w:rsidRPr="00AE6B5F">
        <w:t xml:space="preserve">total possible score for </w:t>
      </w:r>
      <w:r w:rsidR="000858A5" w:rsidRPr="00AE6B5F">
        <w:t>P</w:t>
      </w:r>
      <w:r w:rsidRPr="00AE6B5F">
        <w:t xml:space="preserve">art 1 </w:t>
      </w:r>
      <w:r w:rsidR="000858A5" w:rsidRPr="00AE6B5F">
        <w:t xml:space="preserve">of the TASIT (emotion recognition) </w:t>
      </w:r>
      <w:r w:rsidRPr="00AE6B5F">
        <w:t xml:space="preserve">is 28.  In this sample the mean score was 20.26 (SD = 4.53). </w:t>
      </w:r>
      <w:r w:rsidR="000858A5" w:rsidRPr="00AE6B5F">
        <w:t>This is</w:t>
      </w:r>
      <w:r w:rsidRPr="00AE6B5F">
        <w:t xml:space="preserve"> equivalent to the lower 5% of </w:t>
      </w:r>
      <w:r w:rsidR="000858A5" w:rsidRPr="00AE6B5F">
        <w:t xml:space="preserve">a </w:t>
      </w:r>
      <w:r w:rsidRPr="00AE6B5F">
        <w:t xml:space="preserve">university undergraduate normative sample, indicating abnormally low scores (McDonald </w:t>
      </w:r>
      <w:r w:rsidRPr="00AE6B5F">
        <w:rPr>
          <w:i/>
        </w:rPr>
        <w:t>et al</w:t>
      </w:r>
      <w:r w:rsidRPr="00AE6B5F">
        <w:t>., 2002). Part 2 tests the ability of participant</w:t>
      </w:r>
      <w:r w:rsidR="000858A5" w:rsidRPr="00AE6B5F">
        <w:t>s</w:t>
      </w:r>
      <w:r w:rsidRPr="00AE6B5F">
        <w:t xml:space="preserve"> to determine the actor’s intention and meaning in sincere and sarcastic exchanges</w:t>
      </w:r>
      <w:r w:rsidR="000858A5" w:rsidRPr="00AE6B5F">
        <w:t>. T</w:t>
      </w:r>
      <w:r w:rsidRPr="00AE6B5F">
        <w:t>he total possible score is 60 and the mean score in the sample was 42.30 (SD = 10.60).  Part 3</w:t>
      </w:r>
      <w:r w:rsidR="000858A5" w:rsidRPr="00AE6B5F">
        <w:t xml:space="preserve"> assesses the ability to distinguish </w:t>
      </w:r>
      <w:r w:rsidRPr="00AE6B5F">
        <w:t xml:space="preserve">lies </w:t>
      </w:r>
      <w:r w:rsidR="000858A5" w:rsidRPr="00AE6B5F">
        <w:t>and</w:t>
      </w:r>
      <w:r w:rsidRPr="00AE6B5F">
        <w:t xml:space="preserve"> sarcas</w:t>
      </w:r>
      <w:r w:rsidR="000858A5" w:rsidRPr="00AE6B5F">
        <w:t>m</w:t>
      </w:r>
      <w:r w:rsidRPr="00AE6B5F">
        <w:t xml:space="preserve">; the total possible score is 64 and the mean score for this sample was 44.19 (SD = 14.02). Performance on the measure of theory of mind parts 2 and 3 was also in the lower 5% of the university sample. In Sparks </w:t>
      </w:r>
      <w:r w:rsidRPr="00AE6B5F">
        <w:rPr>
          <w:i/>
        </w:rPr>
        <w:t>et al.</w:t>
      </w:r>
      <w:r w:rsidRPr="00AE6B5F">
        <w:t xml:space="preserve"> (2010) a sample of outpatients with a diagnosis of schizophrenia performed at a similar level to this sample in all three parts of the TASIT.</w:t>
      </w:r>
      <w:r w:rsidR="00BE33CE" w:rsidRPr="00AE6B5F">
        <w:t xml:space="preserve"> Only the GPTS paranoid thoughts scale and TASIT Part 3 data did not satisfy the criterion of being normally distributed.</w:t>
      </w:r>
    </w:p>
    <w:p w14:paraId="68FCB31C" w14:textId="77777777" w:rsidR="00E12191" w:rsidRPr="00AE6B5F" w:rsidRDefault="00E12191" w:rsidP="000133A6">
      <w:pPr>
        <w:jc w:val="both"/>
      </w:pPr>
    </w:p>
    <w:p w14:paraId="41702837" w14:textId="77777777" w:rsidR="003E0C76" w:rsidRPr="00AE6B5F" w:rsidRDefault="003E0C76" w:rsidP="000133A6">
      <w:pPr>
        <w:jc w:val="both"/>
      </w:pPr>
      <w:r w:rsidRPr="00AE6B5F">
        <w:t xml:space="preserve">In Green </w:t>
      </w:r>
      <w:r w:rsidRPr="00AE6B5F">
        <w:rPr>
          <w:i/>
        </w:rPr>
        <w:t>et al</w:t>
      </w:r>
      <w:r w:rsidRPr="00AE6B5F">
        <w:t xml:space="preserve">. (2008), the mean GPTS paranoia score for a non-clinical sample was 22.1 (SD = 9.2) and 55.4 (SD = 15.7) for people with persecutory delusions, whereas in this study it was 26.11 (SD 14.02). Noting that the minimum score on the GPTS scale is 16 and that levels of paranoia in the current sample were similar to the non-clinical sample used in Green </w:t>
      </w:r>
      <w:r w:rsidRPr="00AE6B5F">
        <w:rPr>
          <w:i/>
        </w:rPr>
        <w:t>et al</w:t>
      </w:r>
      <w:r w:rsidRPr="00AE6B5F">
        <w:t>. (2008), it would seem the current sample reported low levels of paranoia. This is supported by consideration of AIHQ scores, which were lower in this group than in a study of 322 undergraduate students, where a mean hostile attributional bias score of 2.5 (0.68) and a mean blaming attributional bias of 3.0 (0.67) was reported</w:t>
      </w:r>
      <w:r w:rsidR="000858A5" w:rsidRPr="00AE6B5F">
        <w:t xml:space="preserve"> (Combs </w:t>
      </w:r>
      <w:r w:rsidR="000858A5" w:rsidRPr="00AE6B5F">
        <w:rPr>
          <w:i/>
        </w:rPr>
        <w:t>et al</w:t>
      </w:r>
      <w:r w:rsidR="000858A5" w:rsidRPr="00AE6B5F">
        <w:t>., 2007)</w:t>
      </w:r>
      <w:r w:rsidRPr="00AE6B5F">
        <w:t xml:space="preserve">. </w:t>
      </w:r>
    </w:p>
    <w:p w14:paraId="06C3A72B" w14:textId="77777777" w:rsidR="003E0C76" w:rsidRPr="00AE6B5F" w:rsidRDefault="003E0C76" w:rsidP="000133A6">
      <w:pPr>
        <w:jc w:val="both"/>
        <w:rPr>
          <w:b/>
        </w:rPr>
      </w:pPr>
    </w:p>
    <w:p w14:paraId="1AF0C04A" w14:textId="77777777" w:rsidR="003E0C76" w:rsidRPr="00AE6B5F" w:rsidRDefault="003E0C76" w:rsidP="00E12191">
      <w:pPr>
        <w:pStyle w:val="ListParagraph"/>
        <w:numPr>
          <w:ilvl w:val="1"/>
          <w:numId w:val="24"/>
        </w:numPr>
        <w:jc w:val="both"/>
        <w:rPr>
          <w:i/>
        </w:rPr>
      </w:pPr>
      <w:r w:rsidRPr="00AE6B5F">
        <w:rPr>
          <w:i/>
        </w:rPr>
        <w:t>Are emotion recognition and theory of mind skills associated with paranoia?</w:t>
      </w:r>
    </w:p>
    <w:p w14:paraId="210D9C0B" w14:textId="77777777" w:rsidR="00CA7569" w:rsidRPr="00AE6B5F" w:rsidRDefault="00CA7569" w:rsidP="000133A6">
      <w:pPr>
        <w:jc w:val="both"/>
      </w:pPr>
    </w:p>
    <w:p w14:paraId="22281E93" w14:textId="77777777" w:rsidR="003E0C76" w:rsidRPr="00AE6B5F" w:rsidRDefault="003E0C76" w:rsidP="000133A6">
      <w:pPr>
        <w:jc w:val="both"/>
        <w:rPr>
          <w:b/>
        </w:rPr>
      </w:pPr>
      <w:r w:rsidRPr="00AE6B5F">
        <w:t>Correlations between the variables are reported in Table 2.</w:t>
      </w:r>
      <w:r w:rsidRPr="00AE6B5F">
        <w:rPr>
          <w:b/>
        </w:rPr>
        <w:t xml:space="preserve"> </w:t>
      </w:r>
      <w:r w:rsidRPr="00AE6B5F">
        <w:t xml:space="preserve">Contrary to the study hypothesis, no significant correlations were evident between the social cognition and paranoia variables. Unexpectedly there was also no correlation between GPTS and AIHQ scores, or between emotion recognition and theory of mind scores. Correlations between AIHQ subscales were large and significant, as were correlations between the TASIT subscales. </w:t>
      </w:r>
    </w:p>
    <w:p w14:paraId="7829B94D" w14:textId="77777777" w:rsidR="003E0C76" w:rsidRPr="00AE6B5F" w:rsidRDefault="003E0C76" w:rsidP="000133A6">
      <w:pPr>
        <w:jc w:val="both"/>
        <w:rPr>
          <w:b/>
        </w:rPr>
      </w:pPr>
    </w:p>
    <w:p w14:paraId="73B6BF3F" w14:textId="77777777" w:rsidR="003E0C76" w:rsidRPr="00AE6B5F" w:rsidRDefault="003E0C76" w:rsidP="00E12191">
      <w:pPr>
        <w:pStyle w:val="ListParagraph"/>
        <w:numPr>
          <w:ilvl w:val="1"/>
          <w:numId w:val="24"/>
        </w:numPr>
        <w:jc w:val="both"/>
        <w:rPr>
          <w:i/>
        </w:rPr>
      </w:pPr>
      <w:r w:rsidRPr="00AE6B5F">
        <w:rPr>
          <w:i/>
        </w:rPr>
        <w:t>Do emotion recognition and theory of mind skills predict presence of at least subclinical paranoid thoughts?</w:t>
      </w:r>
    </w:p>
    <w:p w14:paraId="44D3D2E4" w14:textId="77777777" w:rsidR="00CA7569" w:rsidRPr="00AE6B5F" w:rsidRDefault="00CA7569" w:rsidP="000133A6">
      <w:pPr>
        <w:jc w:val="both"/>
      </w:pPr>
    </w:p>
    <w:p w14:paraId="0D4E4A2D" w14:textId="77777777" w:rsidR="003E0C76" w:rsidRPr="00AE6B5F" w:rsidRDefault="003E0C76" w:rsidP="000133A6">
      <w:pPr>
        <w:jc w:val="both"/>
      </w:pPr>
      <w:r w:rsidRPr="00AE6B5F">
        <w:t xml:space="preserve">Two thirds of the sample scored zero (i.e., a score of 16) or close to zero on the GPTS. The data was therefore dichotomised into (a) absent or very low paranoid thoughts (group 0; N=18) and (b) at least subclinical paranoid thoughts (group 1; N=9), and analysed using logistic regression (see Table 4). Subclinical paranoia was defined here as a score of at least 31 on the GPTS, which is equivalent to 1 standard deviation above the mean score reported by Green </w:t>
      </w:r>
      <w:r w:rsidRPr="00AE6B5F">
        <w:rPr>
          <w:i/>
        </w:rPr>
        <w:t>et al</w:t>
      </w:r>
      <w:r w:rsidRPr="00AE6B5F">
        <w:t xml:space="preserve"> for their non-clinical sample (mean 22.1, SD 9.2). </w:t>
      </w:r>
    </w:p>
    <w:p w14:paraId="0F804F8E" w14:textId="77777777" w:rsidR="00CA7569" w:rsidRPr="00AE6B5F" w:rsidRDefault="00CA7569" w:rsidP="000133A6">
      <w:pPr>
        <w:jc w:val="both"/>
      </w:pPr>
    </w:p>
    <w:p w14:paraId="4878BEB2" w14:textId="77777777" w:rsidR="003E0C76" w:rsidRPr="00AE6B5F" w:rsidRDefault="003E0C76" w:rsidP="000133A6">
      <w:pPr>
        <w:jc w:val="both"/>
      </w:pPr>
      <w:r w:rsidRPr="00AE6B5F">
        <w:t>The data satisfie</w:t>
      </w:r>
      <w:r w:rsidR="000858A5" w:rsidRPr="00AE6B5F">
        <w:t>d</w:t>
      </w:r>
      <w:r w:rsidRPr="00AE6B5F">
        <w:t xml:space="preserve"> the assumptions of logistic regression</w:t>
      </w:r>
      <w:r w:rsidR="000858A5" w:rsidRPr="00AE6B5F">
        <w:t xml:space="preserve">; </w:t>
      </w:r>
      <w:r w:rsidRPr="00AE6B5F">
        <w:t xml:space="preserve">there </w:t>
      </w:r>
      <w:r w:rsidR="000858A5" w:rsidRPr="00AE6B5F">
        <w:t>was</w:t>
      </w:r>
      <w:r w:rsidRPr="00AE6B5F">
        <w:t xml:space="preserve"> no evidence of mult</w:t>
      </w:r>
      <w:r w:rsidR="002244B6" w:rsidRPr="00AE6B5F">
        <w:t>i</w:t>
      </w:r>
      <w:r w:rsidRPr="00AE6B5F">
        <w:t xml:space="preserve">collinearity, tolerance values </w:t>
      </w:r>
      <w:r w:rsidR="000858A5" w:rsidRPr="00AE6B5F">
        <w:t>we</w:t>
      </w:r>
      <w:r w:rsidRPr="00AE6B5F">
        <w:t xml:space="preserve">re over 0.1 and VIF </w:t>
      </w:r>
      <w:r w:rsidR="000858A5" w:rsidRPr="00AE6B5F">
        <w:t xml:space="preserve">was </w:t>
      </w:r>
      <w:r w:rsidRPr="00AE6B5F">
        <w:t xml:space="preserve">less than 10. The Hosmer and Lemeshow statistic </w:t>
      </w:r>
      <w:r w:rsidR="000858A5" w:rsidRPr="00AE6B5F">
        <w:t>wa</w:t>
      </w:r>
      <w:r w:rsidRPr="00AE6B5F">
        <w:t>s not significant (</w:t>
      </w:r>
      <w:r w:rsidRPr="00AE6B5F">
        <w:rPr>
          <w:i/>
        </w:rPr>
        <w:t>p</w:t>
      </w:r>
      <w:r w:rsidRPr="00AE6B5F">
        <w:t xml:space="preserve">=.280) indicating linearity between the continuous predictors and the logit of the outcome variable. Emotion recognition did not make a significant contribution to the prediction of paranoia status, β=-.000, </w:t>
      </w:r>
      <w:r w:rsidRPr="00AE6B5F">
        <w:rPr>
          <w:i/>
        </w:rPr>
        <w:t>p</w:t>
      </w:r>
      <w:r w:rsidRPr="00AE6B5F">
        <w:t xml:space="preserve">=.998. The addition of theory of mind, as measured by the TASIT 2 &amp; 3, did not significantly change the model and neither variable predicted paranoia, β=-.028, </w:t>
      </w:r>
      <w:r w:rsidRPr="00AE6B5F">
        <w:rPr>
          <w:i/>
        </w:rPr>
        <w:t>p</w:t>
      </w:r>
      <w:r w:rsidRPr="00AE6B5F">
        <w:t xml:space="preserve">=.585 and β=.014, </w:t>
      </w:r>
      <w:r w:rsidRPr="00AE6B5F">
        <w:rPr>
          <w:i/>
        </w:rPr>
        <w:t>p</w:t>
      </w:r>
      <w:r w:rsidRPr="00AE6B5F">
        <w:t xml:space="preserve">=.869. The Chi-squared statistic was non-significant indicating that adding social cognition variables to the model had no effect on the fit, χ2= 8.64, </w:t>
      </w:r>
      <w:r w:rsidRPr="00AE6B5F">
        <w:rPr>
          <w:i/>
        </w:rPr>
        <w:t>p</w:t>
      </w:r>
      <w:r w:rsidRPr="00AE6B5F">
        <w:t xml:space="preserve">=.280. Effect sizes for group differences on these variables were all negligible in magnitude and / or non-significant (see Table 3) </w:t>
      </w:r>
    </w:p>
    <w:p w14:paraId="3C76DF0C" w14:textId="77777777" w:rsidR="003E0C76" w:rsidRPr="00AE6B5F" w:rsidRDefault="003E0C76" w:rsidP="000133A6"/>
    <w:p w14:paraId="3757AA19" w14:textId="77777777" w:rsidR="003E0C76" w:rsidRPr="00AE6B5F" w:rsidRDefault="003E0C76" w:rsidP="000133A6">
      <w:pPr>
        <w:jc w:val="both"/>
      </w:pPr>
      <w:r w:rsidRPr="00AE6B5F">
        <w:t xml:space="preserve">An additional logistic regression was carried out, but this time defining subclinical paranoia as a score of 31+ on the GPTS and/or a score of 3+ on the AIHQ hostile attribution subscale and/or a score of 3+ on the AIHQ blaming attribution subscale (see Table 6). There were therefore 15 participants in the non-paranoid group, with the rest (N=12) demonstrating at least subclinical paranoia on at least one of these outcomes. </w:t>
      </w:r>
    </w:p>
    <w:p w14:paraId="392559A6" w14:textId="77777777" w:rsidR="003E0C76" w:rsidRPr="00AE6B5F" w:rsidRDefault="003E0C76" w:rsidP="000133A6">
      <w:pPr>
        <w:jc w:val="both"/>
      </w:pPr>
    </w:p>
    <w:p w14:paraId="68ED039A" w14:textId="77777777" w:rsidR="003E0C76" w:rsidRPr="00AE6B5F" w:rsidRDefault="003E0C76" w:rsidP="000133A6">
      <w:pPr>
        <w:jc w:val="both"/>
      </w:pPr>
      <w:r w:rsidRPr="00AE6B5F">
        <w:t xml:space="preserve">The data </w:t>
      </w:r>
      <w:r w:rsidR="000858A5" w:rsidRPr="00AE6B5F">
        <w:t xml:space="preserve">again </w:t>
      </w:r>
      <w:r w:rsidRPr="00AE6B5F">
        <w:t>satisfie</w:t>
      </w:r>
      <w:r w:rsidR="000858A5" w:rsidRPr="00AE6B5F">
        <w:t>d</w:t>
      </w:r>
      <w:r w:rsidRPr="00AE6B5F">
        <w:t xml:space="preserve"> the assumptions of logistic regression</w:t>
      </w:r>
      <w:r w:rsidR="000858A5" w:rsidRPr="00AE6B5F">
        <w:t xml:space="preserve">, with </w:t>
      </w:r>
      <w:r w:rsidRPr="00AE6B5F">
        <w:t xml:space="preserve">no evidence of </w:t>
      </w:r>
      <w:r w:rsidR="007940A7" w:rsidRPr="00AE6B5F">
        <w:t>multicollinearity</w:t>
      </w:r>
      <w:r w:rsidRPr="00AE6B5F">
        <w:t xml:space="preserve">, tolerance values </w:t>
      </w:r>
      <w:r w:rsidR="000858A5" w:rsidRPr="00AE6B5F">
        <w:t xml:space="preserve">of </w:t>
      </w:r>
      <w:r w:rsidRPr="00AE6B5F">
        <w:t xml:space="preserve">over 0.1 and VIF less than 10. The Hosmer and Lemeshow statistic </w:t>
      </w:r>
      <w:r w:rsidR="000858A5" w:rsidRPr="00AE6B5F">
        <w:t>was</w:t>
      </w:r>
      <w:r w:rsidRPr="00AE6B5F">
        <w:t xml:space="preserve"> not significant (</w:t>
      </w:r>
      <w:r w:rsidRPr="00AE6B5F">
        <w:rPr>
          <w:i/>
        </w:rPr>
        <w:t>p</w:t>
      </w:r>
      <w:r w:rsidRPr="00AE6B5F">
        <w:t xml:space="preserve">=.508). Emotion recognition did not make a significant contribution to the prediction of paranoia status, β=-.064, </w:t>
      </w:r>
      <w:r w:rsidRPr="00AE6B5F">
        <w:rPr>
          <w:i/>
        </w:rPr>
        <w:t>p</w:t>
      </w:r>
      <w:r w:rsidRPr="00AE6B5F">
        <w:t xml:space="preserve">=.538. The addition of theory of mind, as measured by the TASIT 2 </w:t>
      </w:r>
      <w:r w:rsidR="002244B6" w:rsidRPr="00AE6B5F">
        <w:t>and</w:t>
      </w:r>
      <w:r w:rsidRPr="00AE6B5F">
        <w:t xml:space="preserve"> 3, did not significantly change the model and neither variable predicted paranoia, β=-.103, </w:t>
      </w:r>
      <w:r w:rsidRPr="00AE6B5F">
        <w:rPr>
          <w:i/>
        </w:rPr>
        <w:t>p</w:t>
      </w:r>
      <w:r w:rsidRPr="00AE6B5F">
        <w:t xml:space="preserve">=.084 and β=.068, </w:t>
      </w:r>
      <w:r w:rsidRPr="00AE6B5F">
        <w:rPr>
          <w:i/>
        </w:rPr>
        <w:t>p</w:t>
      </w:r>
      <w:r w:rsidRPr="00AE6B5F">
        <w:t xml:space="preserve">=.355. The Chi-squared statistic was non-significant indicating that adding social cognition variables to the model had no effect on the fit, χ2= 4.135, </w:t>
      </w:r>
      <w:r w:rsidRPr="00AE6B5F">
        <w:rPr>
          <w:i/>
        </w:rPr>
        <w:t>p</w:t>
      </w:r>
      <w:r w:rsidRPr="00AE6B5F">
        <w:t xml:space="preserve">=.247. Group differences were small and non-significant for emotion recognition and one of the theory of mind tasks (TASIT 3), but a moderate to large difference which approached statistical significance was observed for the other (TASIT 2; </w:t>
      </w:r>
      <w:r w:rsidRPr="00AE6B5F">
        <w:rPr>
          <w:i/>
        </w:rPr>
        <w:t>p</w:t>
      </w:r>
      <w:r w:rsidRPr="00AE6B5F">
        <w:t xml:space="preserve">=.09). See Tables 5 and 6. </w:t>
      </w:r>
    </w:p>
    <w:p w14:paraId="67B02407" w14:textId="77777777" w:rsidR="003E0C76" w:rsidRPr="00AE6B5F" w:rsidRDefault="003E0C76" w:rsidP="000133A6"/>
    <w:p w14:paraId="6B630EC3" w14:textId="77777777" w:rsidR="003E0C76" w:rsidRPr="00AE6B5F" w:rsidRDefault="003E0C76" w:rsidP="00CA7569">
      <w:pPr>
        <w:pStyle w:val="ListParagraph"/>
        <w:numPr>
          <w:ilvl w:val="1"/>
          <w:numId w:val="24"/>
        </w:numPr>
        <w:jc w:val="both"/>
        <w:rPr>
          <w:i/>
        </w:rPr>
      </w:pPr>
      <w:r w:rsidRPr="00AE6B5F">
        <w:rPr>
          <w:i/>
        </w:rPr>
        <w:t>Do emotion recognition and theory of mind skills predict increased hostile or blaming attributional biases?</w:t>
      </w:r>
    </w:p>
    <w:p w14:paraId="523A3019" w14:textId="77777777" w:rsidR="003E0C76" w:rsidRPr="00AE6B5F" w:rsidRDefault="003E0C76" w:rsidP="000133A6">
      <w:pPr>
        <w:jc w:val="both"/>
        <w:rPr>
          <w:i/>
        </w:rPr>
      </w:pPr>
    </w:p>
    <w:p w14:paraId="1D54003B" w14:textId="77777777" w:rsidR="003E0C76" w:rsidRPr="00AE6B5F" w:rsidRDefault="003E0C76" w:rsidP="000133A6">
      <w:pPr>
        <w:jc w:val="both"/>
      </w:pPr>
      <w:r w:rsidRPr="00AE6B5F">
        <w:t xml:space="preserve">Two bootstrapped linear regressions were conducted with AIHQ hostile attribution bias and AIHQ blaming bias as the continuous outcome variables and emotion recognition and theory of mind as predictor variables. </w:t>
      </w:r>
    </w:p>
    <w:p w14:paraId="3A99A669" w14:textId="77777777" w:rsidR="003E0C76" w:rsidRPr="00AE6B5F" w:rsidRDefault="003E0C76" w:rsidP="000133A6">
      <w:pPr>
        <w:jc w:val="both"/>
      </w:pPr>
    </w:p>
    <w:p w14:paraId="3391CEDB" w14:textId="77777777" w:rsidR="003E0C76" w:rsidRPr="00AE6B5F" w:rsidRDefault="00846E91" w:rsidP="000133A6">
      <w:pPr>
        <w:jc w:val="both"/>
      </w:pPr>
      <w:r w:rsidRPr="00AE6B5F">
        <w:t>The data in</w:t>
      </w:r>
      <w:r w:rsidR="003E0C76" w:rsidRPr="00AE6B5F">
        <w:t xml:space="preserve"> </w:t>
      </w:r>
      <w:r w:rsidRPr="00AE6B5F">
        <w:t>both</w:t>
      </w:r>
      <w:r w:rsidR="003E0C76" w:rsidRPr="00AE6B5F">
        <w:t xml:space="preserve"> linear regression model</w:t>
      </w:r>
      <w:r w:rsidRPr="00AE6B5F">
        <w:t>s</w:t>
      </w:r>
      <w:r w:rsidR="003E0C76" w:rsidRPr="00AE6B5F">
        <w:t xml:space="preserve"> satisfied the assumptions of linear regression except for homoscedasticity (see Table</w:t>
      </w:r>
      <w:r w:rsidRPr="00AE6B5F">
        <w:t>s</w:t>
      </w:r>
      <w:r w:rsidR="003E0C76" w:rsidRPr="00AE6B5F">
        <w:t xml:space="preserve"> 7</w:t>
      </w:r>
      <w:r w:rsidRPr="00AE6B5F">
        <w:t xml:space="preserve"> and 8</w:t>
      </w:r>
      <w:r w:rsidR="003E0C76" w:rsidRPr="00AE6B5F">
        <w:t xml:space="preserve">). There was evidence of heteroscedasticity in the visual plots, therefore bootstrapping was applied </w:t>
      </w:r>
      <w:r w:rsidRPr="00AE6B5F">
        <w:t>in each case</w:t>
      </w:r>
      <w:r w:rsidR="003E0C76" w:rsidRPr="00AE6B5F">
        <w:t xml:space="preserve">. Emotion recognition did not make a significant contribution </w:t>
      </w:r>
      <w:r w:rsidR="000858A5" w:rsidRPr="00AE6B5F">
        <w:t xml:space="preserve">to the prediction of hostile </w:t>
      </w:r>
      <w:r w:rsidRPr="00AE6B5F">
        <w:t>attributional bias (</w:t>
      </w:r>
      <w:r w:rsidR="003E0C76" w:rsidRPr="00AE6B5F">
        <w:t xml:space="preserve">β=-.006, </w:t>
      </w:r>
      <w:r w:rsidR="003E0C76" w:rsidRPr="00AE6B5F">
        <w:rPr>
          <w:i/>
        </w:rPr>
        <w:t>p</w:t>
      </w:r>
      <w:r w:rsidR="003E0C76" w:rsidRPr="00AE6B5F">
        <w:t>=.760</w:t>
      </w:r>
      <w:r w:rsidRPr="00AE6B5F">
        <w:t>)</w:t>
      </w:r>
      <w:r w:rsidR="003E0C76" w:rsidRPr="00AE6B5F">
        <w:t>. Model 1 accounted for 0.1% (R</w:t>
      </w:r>
      <w:r w:rsidR="003E0C76" w:rsidRPr="00AE6B5F">
        <w:rPr>
          <w:vertAlign w:val="superscript"/>
        </w:rPr>
        <w:t>2</w:t>
      </w:r>
      <w:r w:rsidR="003E0C76" w:rsidRPr="00AE6B5F">
        <w:t xml:space="preserve"> = .001) of the variance in hostile attribution bias. The addition of theory of mind, as measured by the TASIT 2 &amp; 3, did not significantly change the model and neither variable predicted paranoia, β=-.039, </w:t>
      </w:r>
      <w:r w:rsidR="003E0C76" w:rsidRPr="00AE6B5F">
        <w:rPr>
          <w:i/>
        </w:rPr>
        <w:t>p</w:t>
      </w:r>
      <w:r w:rsidR="003E0C76" w:rsidRPr="00AE6B5F">
        <w:t xml:space="preserve">=.129 and β=.037, </w:t>
      </w:r>
      <w:r w:rsidR="003E0C76" w:rsidRPr="00AE6B5F">
        <w:rPr>
          <w:i/>
        </w:rPr>
        <w:t>p</w:t>
      </w:r>
      <w:r w:rsidR="003E0C76" w:rsidRPr="00AE6B5F">
        <w:t>=.158. The addition of TASIT 2 &amp; 3 resulted in an additional 20% (^R</w:t>
      </w:r>
      <w:r w:rsidR="003E0C76" w:rsidRPr="00AE6B5F">
        <w:rPr>
          <w:vertAlign w:val="superscript"/>
        </w:rPr>
        <w:t xml:space="preserve">2 </w:t>
      </w:r>
      <w:r w:rsidR="003E0C76" w:rsidRPr="00AE6B5F">
        <w:t>=</w:t>
      </w:r>
      <w:r w:rsidR="003E0C76" w:rsidRPr="00AE6B5F">
        <w:rPr>
          <w:vertAlign w:val="superscript"/>
        </w:rPr>
        <w:t xml:space="preserve"> </w:t>
      </w:r>
      <w:r w:rsidR="003E0C76" w:rsidRPr="00AE6B5F">
        <w:t xml:space="preserve">.201, </w:t>
      </w:r>
      <w:r w:rsidR="003E0C76" w:rsidRPr="00AE6B5F">
        <w:rPr>
          <w:i/>
        </w:rPr>
        <w:t>p</w:t>
      </w:r>
      <w:r w:rsidR="003E0C76" w:rsidRPr="00AE6B5F">
        <w:t>=.076) of the variance in hostile attribution bias. The overall model account</w:t>
      </w:r>
      <w:r w:rsidRPr="00AE6B5F">
        <w:t>ed</w:t>
      </w:r>
      <w:r w:rsidR="003E0C76" w:rsidRPr="00AE6B5F">
        <w:t xml:space="preserve"> for 20% of the variance in hostile attribution bias. </w:t>
      </w:r>
    </w:p>
    <w:p w14:paraId="7BB970AF" w14:textId="77777777" w:rsidR="003E0C76" w:rsidRPr="00AE6B5F" w:rsidRDefault="003E0C76" w:rsidP="000133A6">
      <w:pPr>
        <w:jc w:val="both"/>
      </w:pPr>
    </w:p>
    <w:p w14:paraId="1424F492" w14:textId="77777777" w:rsidR="003E0C76" w:rsidRPr="00AE6B5F" w:rsidRDefault="003E0C76" w:rsidP="000133A6">
      <w:pPr>
        <w:jc w:val="both"/>
      </w:pPr>
      <w:r w:rsidRPr="00AE6B5F">
        <w:t xml:space="preserve">Emotion recognition </w:t>
      </w:r>
      <w:r w:rsidR="00846E91" w:rsidRPr="00AE6B5F">
        <w:t>also failed to make</w:t>
      </w:r>
      <w:r w:rsidRPr="00AE6B5F">
        <w:t xml:space="preserve"> a significant contribution to the prediction of </w:t>
      </w:r>
      <w:r w:rsidR="00846E91" w:rsidRPr="00AE6B5F">
        <w:t>blaming attributional bias</w:t>
      </w:r>
      <w:r w:rsidRPr="00AE6B5F">
        <w:t xml:space="preserve">, β=-.021, </w:t>
      </w:r>
      <w:r w:rsidRPr="00AE6B5F">
        <w:rPr>
          <w:i/>
        </w:rPr>
        <w:t>p</w:t>
      </w:r>
      <w:r w:rsidRPr="00AE6B5F">
        <w:t>=.582</w:t>
      </w:r>
      <w:r w:rsidR="00846E91" w:rsidRPr="00AE6B5F">
        <w:t xml:space="preserve">, </w:t>
      </w:r>
      <w:r w:rsidRPr="00AE6B5F">
        <w:t>account</w:t>
      </w:r>
      <w:r w:rsidR="00846E91" w:rsidRPr="00AE6B5F">
        <w:t>ing</w:t>
      </w:r>
      <w:r w:rsidRPr="00AE6B5F">
        <w:t xml:space="preserve"> for 1.1% (R</w:t>
      </w:r>
      <w:r w:rsidRPr="00AE6B5F">
        <w:rPr>
          <w:vertAlign w:val="superscript"/>
        </w:rPr>
        <w:t>2</w:t>
      </w:r>
      <w:r w:rsidRPr="00AE6B5F">
        <w:t xml:space="preserve"> = .011) of the variance. The addition of theory of mind, as measured by the TASIT 2 &amp; 3, did not significantly change the model and neither variable predicted paranoia, β=-.035, </w:t>
      </w:r>
      <w:r w:rsidRPr="00AE6B5F">
        <w:rPr>
          <w:i/>
        </w:rPr>
        <w:t>p</w:t>
      </w:r>
      <w:r w:rsidRPr="00AE6B5F">
        <w:t xml:space="preserve">=.292 and β=.019, </w:t>
      </w:r>
      <w:r w:rsidRPr="00AE6B5F">
        <w:rPr>
          <w:i/>
        </w:rPr>
        <w:t>p</w:t>
      </w:r>
      <w:r w:rsidRPr="00AE6B5F">
        <w:t>=.647. The addition of TASIT 2 &amp; 3 resulted in an additional 11% (^R</w:t>
      </w:r>
      <w:r w:rsidRPr="00AE6B5F">
        <w:rPr>
          <w:vertAlign w:val="superscript"/>
        </w:rPr>
        <w:t xml:space="preserve">2 </w:t>
      </w:r>
      <w:r w:rsidRPr="00AE6B5F">
        <w:t>=</w:t>
      </w:r>
      <w:r w:rsidRPr="00AE6B5F">
        <w:rPr>
          <w:vertAlign w:val="superscript"/>
        </w:rPr>
        <w:t xml:space="preserve"> </w:t>
      </w:r>
      <w:r w:rsidRPr="00AE6B5F">
        <w:t xml:space="preserve">.107, </w:t>
      </w:r>
      <w:r w:rsidRPr="00AE6B5F">
        <w:rPr>
          <w:i/>
        </w:rPr>
        <w:t>p</w:t>
      </w:r>
      <w:r w:rsidRPr="00AE6B5F">
        <w:t>=.268) of the variance. The overall model account</w:t>
      </w:r>
      <w:r w:rsidR="00846E91" w:rsidRPr="00AE6B5F">
        <w:t xml:space="preserve">ed </w:t>
      </w:r>
      <w:r w:rsidRPr="00AE6B5F">
        <w:t>for 12% of the variance</w:t>
      </w:r>
      <w:r w:rsidR="00846E91" w:rsidRPr="00AE6B5F">
        <w:t xml:space="preserve"> in blaming attributional bias</w:t>
      </w:r>
      <w:r w:rsidRPr="00AE6B5F">
        <w:t xml:space="preserve">. </w:t>
      </w:r>
    </w:p>
    <w:p w14:paraId="68C7366A" w14:textId="77777777" w:rsidR="003E0C76" w:rsidRPr="00AE6B5F" w:rsidRDefault="003E0C76" w:rsidP="000133A6">
      <w:pPr>
        <w:jc w:val="both"/>
      </w:pPr>
    </w:p>
    <w:p w14:paraId="3D7F753F" w14:textId="77777777" w:rsidR="003E0C76" w:rsidRPr="00AE6B5F" w:rsidRDefault="003E0C76" w:rsidP="00CA7569">
      <w:pPr>
        <w:pStyle w:val="ListParagraph"/>
        <w:numPr>
          <w:ilvl w:val="0"/>
          <w:numId w:val="24"/>
        </w:numPr>
        <w:jc w:val="both"/>
        <w:rPr>
          <w:b/>
        </w:rPr>
      </w:pPr>
      <w:r w:rsidRPr="00AE6B5F">
        <w:rPr>
          <w:b/>
        </w:rPr>
        <w:t>Discussion</w:t>
      </w:r>
    </w:p>
    <w:p w14:paraId="5DC1CB93" w14:textId="77777777" w:rsidR="003E0C76" w:rsidRPr="00AE6B5F" w:rsidRDefault="003E0C76" w:rsidP="000133A6">
      <w:pPr>
        <w:jc w:val="both"/>
      </w:pPr>
    </w:p>
    <w:p w14:paraId="6EABB080" w14:textId="77777777" w:rsidR="00597812" w:rsidRPr="00AE6B5F" w:rsidRDefault="00597BD0">
      <w:pPr>
        <w:jc w:val="both"/>
      </w:pPr>
      <w:r w:rsidRPr="00AE6B5F">
        <w:t xml:space="preserve">Building on previous research (Frith &amp; Corcoran 1996, Sprong </w:t>
      </w:r>
      <w:r w:rsidRPr="00AE6B5F">
        <w:rPr>
          <w:i/>
        </w:rPr>
        <w:t>et al.,</w:t>
      </w:r>
      <w:r w:rsidRPr="00AE6B5F">
        <w:t xml:space="preserve"> 2007, Randall </w:t>
      </w:r>
      <w:r w:rsidRPr="00AE6B5F">
        <w:rPr>
          <w:i/>
        </w:rPr>
        <w:t>et al.,</w:t>
      </w:r>
      <w:r w:rsidRPr="00AE6B5F">
        <w:t xml:space="preserve"> 2003, Craig </w:t>
      </w:r>
      <w:r w:rsidRPr="00AE6B5F">
        <w:rPr>
          <w:i/>
        </w:rPr>
        <w:t>et al.,</w:t>
      </w:r>
      <w:r w:rsidRPr="00AE6B5F">
        <w:t xml:space="preserve"> 2004, Harrington </w:t>
      </w:r>
      <w:r w:rsidRPr="00AE6B5F">
        <w:rPr>
          <w:i/>
        </w:rPr>
        <w:t>et al.,</w:t>
      </w:r>
      <w:r w:rsidRPr="00AE6B5F">
        <w:t xml:space="preserve"> 2005, Mehl </w:t>
      </w:r>
      <w:r w:rsidRPr="00AE6B5F">
        <w:rPr>
          <w:i/>
        </w:rPr>
        <w:t>et al.,</w:t>
      </w:r>
      <w:r w:rsidRPr="00AE6B5F">
        <w:t xml:space="preserve"> 2010), t</w:t>
      </w:r>
      <w:r w:rsidR="003E0C76" w:rsidRPr="00AE6B5F">
        <w:t xml:space="preserve">he purpose of this study was to examine </w:t>
      </w:r>
      <w:r w:rsidR="00A51F49" w:rsidRPr="00AE6B5F">
        <w:t xml:space="preserve">if difficulties in </w:t>
      </w:r>
      <w:r w:rsidR="003E0C76" w:rsidRPr="00AE6B5F">
        <w:t>emotion recognition and theory of mind account for a significant p</w:t>
      </w:r>
      <w:r w:rsidR="00846E91" w:rsidRPr="00AE6B5F">
        <w:t>rop</w:t>
      </w:r>
      <w:r w:rsidR="003E0C76" w:rsidRPr="00AE6B5F">
        <w:t>ortion of variance in indices of paranoia</w:t>
      </w:r>
      <w:r w:rsidRPr="00AE6B5F">
        <w:t xml:space="preserve"> in schizophrenia</w:t>
      </w:r>
      <w:r w:rsidR="00653A93" w:rsidRPr="00AE6B5F">
        <w:t>.</w:t>
      </w:r>
      <w:r w:rsidRPr="00AE6B5F">
        <w:t xml:space="preserve"> Unlike previous studies, our participants were all forensic patients who had committed an offence (culpable homicide in almost half the sample), and were currently receiving secure inpatient care.</w:t>
      </w:r>
      <w:r w:rsidR="002244B6" w:rsidRPr="00AE6B5F">
        <w:t xml:space="preserve"> U</w:t>
      </w:r>
      <w:r w:rsidRPr="00AE6B5F">
        <w:t>nderstanding the causes of paranoia in this group is essential for both effective rehabilitation</w:t>
      </w:r>
      <w:r w:rsidR="00653A93" w:rsidRPr="00AE6B5F">
        <w:t xml:space="preserve"> </w:t>
      </w:r>
      <w:r w:rsidRPr="00AE6B5F">
        <w:t>and</w:t>
      </w:r>
      <w:r w:rsidR="00653A93" w:rsidRPr="00AE6B5F">
        <w:t xml:space="preserve"> the</w:t>
      </w:r>
      <w:r w:rsidRPr="00AE6B5F">
        <w:t xml:space="preserve"> assessment and management of future risk.</w:t>
      </w:r>
      <w:r w:rsidR="00597812" w:rsidRPr="00AE6B5F">
        <w:t xml:space="preserve"> </w:t>
      </w:r>
      <w:r w:rsidR="00A51F49" w:rsidRPr="00AE6B5F">
        <w:t>Although c</w:t>
      </w:r>
      <w:r w:rsidRPr="00AE6B5F">
        <w:t>ontrary to</w:t>
      </w:r>
      <w:r w:rsidR="00597812" w:rsidRPr="00AE6B5F">
        <w:t xml:space="preserve"> what we </w:t>
      </w:r>
      <w:r w:rsidR="0063027D" w:rsidRPr="00AE6B5F">
        <w:t>predicted</w:t>
      </w:r>
      <w:r w:rsidRPr="00AE6B5F">
        <w:t xml:space="preserve">, our </w:t>
      </w:r>
      <w:r w:rsidR="00653A93" w:rsidRPr="00AE6B5F">
        <w:t>results</w:t>
      </w:r>
      <w:r w:rsidRPr="00AE6B5F">
        <w:t xml:space="preserve"> </w:t>
      </w:r>
      <w:r w:rsidR="00AE1DC2" w:rsidRPr="00AE6B5F">
        <w:t xml:space="preserve">were </w:t>
      </w:r>
      <w:r w:rsidR="00653A93" w:rsidRPr="00AE6B5F">
        <w:t xml:space="preserve">consistent with </w:t>
      </w:r>
      <w:r w:rsidR="00BE5902" w:rsidRPr="00AE6B5F">
        <w:t>Garety and</w:t>
      </w:r>
      <w:r w:rsidR="0063027D" w:rsidRPr="00AE6B5F">
        <w:t xml:space="preserve"> </w:t>
      </w:r>
      <w:r w:rsidR="00BE5902" w:rsidRPr="00AE6B5F">
        <w:t xml:space="preserve">Freeman’s </w:t>
      </w:r>
      <w:r w:rsidR="0063027D" w:rsidRPr="00AE6B5F">
        <w:t xml:space="preserve">recent conclusion (2014) </w:t>
      </w:r>
      <w:r w:rsidR="00F94C6A" w:rsidRPr="00AE6B5F">
        <w:t xml:space="preserve">that </w:t>
      </w:r>
      <w:r w:rsidRPr="00AE6B5F">
        <w:t>theory of</w:t>
      </w:r>
      <w:r w:rsidR="00653A93" w:rsidRPr="00AE6B5F">
        <w:t xml:space="preserve"> </w:t>
      </w:r>
      <w:r w:rsidR="00597812" w:rsidRPr="00AE6B5F">
        <w:t>mind and emotion recognition</w:t>
      </w:r>
      <w:r w:rsidR="003E0C76" w:rsidRPr="00AE6B5F">
        <w:t xml:space="preserve"> </w:t>
      </w:r>
      <w:r w:rsidRPr="00AE6B5F">
        <w:t>are unlikely to play a clinically significant role in</w:t>
      </w:r>
      <w:r w:rsidR="0063027D" w:rsidRPr="00AE6B5F">
        <w:t xml:space="preserve"> paranoia and persecutory delusions</w:t>
      </w:r>
      <w:r w:rsidR="00F94C6A" w:rsidRPr="00AE6B5F">
        <w:t>.</w:t>
      </w:r>
    </w:p>
    <w:p w14:paraId="4B9F0022" w14:textId="77777777" w:rsidR="00D14923" w:rsidRPr="00AE6B5F" w:rsidRDefault="00D14923">
      <w:pPr>
        <w:jc w:val="both"/>
      </w:pPr>
    </w:p>
    <w:p w14:paraId="2DD4E5E7" w14:textId="77777777" w:rsidR="00AE1DC2" w:rsidRPr="00AE6B5F" w:rsidRDefault="00F94C6A">
      <w:pPr>
        <w:jc w:val="both"/>
      </w:pPr>
      <w:r w:rsidRPr="00AE6B5F">
        <w:t>T</w:t>
      </w:r>
      <w:r w:rsidR="00926D71" w:rsidRPr="00AE6B5F">
        <w:t xml:space="preserve">here is </w:t>
      </w:r>
      <w:r w:rsidRPr="00AE6B5F">
        <w:t xml:space="preserve">of course </w:t>
      </w:r>
      <w:r w:rsidR="00C96C8F" w:rsidRPr="00AE6B5F">
        <w:t xml:space="preserve">clear </w:t>
      </w:r>
      <w:r w:rsidR="00926D71" w:rsidRPr="00AE6B5F">
        <w:t>evidence that</w:t>
      </w:r>
      <w:r w:rsidR="00A51F49" w:rsidRPr="00AE6B5F">
        <w:t xml:space="preserve"> </w:t>
      </w:r>
      <w:r w:rsidR="009132B5" w:rsidRPr="00AE6B5F">
        <w:t xml:space="preserve">both </w:t>
      </w:r>
      <w:r w:rsidRPr="00AE6B5F">
        <w:t xml:space="preserve">these social cognition domains </w:t>
      </w:r>
      <w:r w:rsidR="009132B5" w:rsidRPr="00AE6B5F">
        <w:t>are</w:t>
      </w:r>
      <w:r w:rsidR="00926D71" w:rsidRPr="00AE6B5F">
        <w:t xml:space="preserve"> </w:t>
      </w:r>
      <w:r w:rsidR="00C72620" w:rsidRPr="00AE6B5F">
        <w:t>significantly</w:t>
      </w:r>
      <w:r w:rsidR="00597812" w:rsidRPr="00AE6B5F">
        <w:t xml:space="preserve"> impaired in </w:t>
      </w:r>
      <w:r w:rsidR="00A51F49" w:rsidRPr="00AE6B5F">
        <w:t xml:space="preserve">non-affective </w:t>
      </w:r>
      <w:r w:rsidR="00597812" w:rsidRPr="00AE6B5F">
        <w:t>psychosis</w:t>
      </w:r>
      <w:r w:rsidR="00C96C8F" w:rsidRPr="00AE6B5F">
        <w:t xml:space="preserve"> (Kohler </w:t>
      </w:r>
      <w:r w:rsidR="00C96C8F" w:rsidRPr="00AE6B5F">
        <w:rPr>
          <w:i/>
        </w:rPr>
        <w:t>et al</w:t>
      </w:r>
      <w:r w:rsidR="00C96C8F" w:rsidRPr="00AE6B5F">
        <w:t>., 2009; Bora &amp; Pantelis, 2013</w:t>
      </w:r>
      <w:r w:rsidRPr="00AE6B5F">
        <w:t>)</w:t>
      </w:r>
      <w:r w:rsidR="00C72620" w:rsidRPr="00AE6B5F">
        <w:t>, and the poor performance of participants in our sample was consistent with this.</w:t>
      </w:r>
      <w:r w:rsidR="00C96C8F" w:rsidRPr="00AE6B5F">
        <w:t xml:space="preserve"> </w:t>
      </w:r>
      <w:r w:rsidR="00A51F49" w:rsidRPr="00AE6B5F">
        <w:t>There is also evidence that</w:t>
      </w:r>
      <w:r w:rsidR="00926D71" w:rsidRPr="00AE6B5F">
        <w:t xml:space="preserve"> the severity of </w:t>
      </w:r>
      <w:r w:rsidR="00F972A0" w:rsidRPr="00AE6B5F">
        <w:t>these</w:t>
      </w:r>
      <w:r w:rsidR="00926D71" w:rsidRPr="00AE6B5F">
        <w:t xml:space="preserve"> impairment</w:t>
      </w:r>
      <w:r w:rsidR="00F972A0" w:rsidRPr="00AE6B5F">
        <w:t>s</w:t>
      </w:r>
      <w:r w:rsidR="00926D71" w:rsidRPr="00AE6B5F">
        <w:t xml:space="preserve"> </w:t>
      </w:r>
      <w:r w:rsidR="00F972A0" w:rsidRPr="00AE6B5F">
        <w:t>are</w:t>
      </w:r>
      <w:r w:rsidR="00926D71" w:rsidRPr="00AE6B5F">
        <w:t xml:space="preserve"> positively correlated with </w:t>
      </w:r>
      <w:r w:rsidRPr="00AE6B5F">
        <w:t xml:space="preserve">overall </w:t>
      </w:r>
      <w:r w:rsidR="00875517" w:rsidRPr="00AE6B5F">
        <w:t>psychotic symptom severity</w:t>
      </w:r>
      <w:r w:rsidR="00C96C8F" w:rsidRPr="00AE6B5F">
        <w:t xml:space="preserve"> (Ventura </w:t>
      </w:r>
      <w:r w:rsidR="00C96C8F" w:rsidRPr="00AE6B5F">
        <w:rPr>
          <w:i/>
        </w:rPr>
        <w:t>et al</w:t>
      </w:r>
      <w:r w:rsidR="00CC709D" w:rsidRPr="00AE6B5F">
        <w:t>., 2013</w:t>
      </w:r>
      <w:r w:rsidR="00C96C8F" w:rsidRPr="00AE6B5F">
        <w:t>)</w:t>
      </w:r>
      <w:r w:rsidR="00875517" w:rsidRPr="00AE6B5F">
        <w:t xml:space="preserve">, that </w:t>
      </w:r>
      <w:r w:rsidR="00F972A0" w:rsidRPr="00AE6B5F">
        <w:t>both are</w:t>
      </w:r>
      <w:r w:rsidR="00875517" w:rsidRPr="00AE6B5F">
        <w:t xml:space="preserve"> present before </w:t>
      </w:r>
      <w:r w:rsidR="00A51F49" w:rsidRPr="00AE6B5F">
        <w:t>the onset of psychosis</w:t>
      </w:r>
      <w:r w:rsidR="00C96C8F" w:rsidRPr="00AE6B5F">
        <w:t xml:space="preserve"> (</w:t>
      </w:r>
      <w:r w:rsidRPr="00AE6B5F">
        <w:t>Piskulic</w:t>
      </w:r>
      <w:r w:rsidR="00CC709D" w:rsidRPr="00AE6B5F">
        <w:t xml:space="preserve"> </w:t>
      </w:r>
      <w:r w:rsidR="00CC709D" w:rsidRPr="00AE6B5F">
        <w:rPr>
          <w:i/>
        </w:rPr>
        <w:t>et al.</w:t>
      </w:r>
      <w:r w:rsidR="00CC709D" w:rsidRPr="00AE6B5F">
        <w:t xml:space="preserve">, </w:t>
      </w:r>
      <w:r w:rsidRPr="00AE6B5F">
        <w:t>2016; Addington</w:t>
      </w:r>
      <w:r w:rsidR="006252A2" w:rsidRPr="00AE6B5F">
        <w:t xml:space="preserve"> </w:t>
      </w:r>
      <w:r w:rsidR="006252A2" w:rsidRPr="00AE6B5F">
        <w:rPr>
          <w:i/>
        </w:rPr>
        <w:t>et al.</w:t>
      </w:r>
      <w:r w:rsidRPr="00AE6B5F">
        <w:t xml:space="preserve">, 2012; Corcoran </w:t>
      </w:r>
      <w:r w:rsidR="006252A2" w:rsidRPr="00AE6B5F">
        <w:rPr>
          <w:i/>
        </w:rPr>
        <w:t>et al.</w:t>
      </w:r>
      <w:r w:rsidR="006252A2" w:rsidRPr="00AE6B5F">
        <w:t xml:space="preserve">, </w:t>
      </w:r>
      <w:r w:rsidRPr="00AE6B5F">
        <w:t xml:space="preserve">2015; </w:t>
      </w:r>
      <w:r w:rsidR="00C96C8F" w:rsidRPr="00AE6B5F">
        <w:t>Bora &amp; Pantelis, 2013)</w:t>
      </w:r>
      <w:r w:rsidR="00A51F49" w:rsidRPr="00AE6B5F">
        <w:t xml:space="preserve">, and </w:t>
      </w:r>
      <w:r w:rsidR="00F972A0" w:rsidRPr="00AE6B5F">
        <w:t>that both</w:t>
      </w:r>
      <w:r w:rsidR="00875517" w:rsidRPr="00AE6B5F">
        <w:t xml:space="preserve"> </w:t>
      </w:r>
      <w:r w:rsidR="00A51F49" w:rsidRPr="00AE6B5F">
        <w:t>persist despite antipsychotic treatment</w:t>
      </w:r>
      <w:r w:rsidR="00C96C8F" w:rsidRPr="00AE6B5F">
        <w:t xml:space="preserve"> (</w:t>
      </w:r>
      <w:r w:rsidR="00C72620" w:rsidRPr="00AE6B5F">
        <w:t xml:space="preserve">Addington &amp; Addington, 1998; </w:t>
      </w:r>
      <w:r w:rsidR="00C96C8F" w:rsidRPr="00AE6B5F">
        <w:t>Bora &amp; Pantelis, 2013)</w:t>
      </w:r>
      <w:r w:rsidR="00A51F49" w:rsidRPr="00AE6B5F">
        <w:t xml:space="preserve">. </w:t>
      </w:r>
      <w:r w:rsidR="00F606E4" w:rsidRPr="00AE6B5F">
        <w:t xml:space="preserve">Although this is consistent with </w:t>
      </w:r>
      <w:r w:rsidR="00F972A0" w:rsidRPr="00AE6B5F">
        <w:t xml:space="preserve">these </w:t>
      </w:r>
      <w:r w:rsidR="00AE1DC2" w:rsidRPr="00AE6B5F">
        <w:t>impairment</w:t>
      </w:r>
      <w:r w:rsidR="00F972A0" w:rsidRPr="00AE6B5F">
        <w:t>s</w:t>
      </w:r>
      <w:r w:rsidR="00AE1DC2" w:rsidRPr="00AE6B5F">
        <w:t xml:space="preserve"> </w:t>
      </w:r>
      <w:r w:rsidR="00F606E4" w:rsidRPr="00AE6B5F">
        <w:t>having</w:t>
      </w:r>
      <w:r w:rsidR="0063027D" w:rsidRPr="00AE6B5F">
        <w:t xml:space="preserve"> some form of</w:t>
      </w:r>
      <w:r w:rsidR="00AE1DC2" w:rsidRPr="00AE6B5F">
        <w:t xml:space="preserve"> </w:t>
      </w:r>
      <w:r w:rsidR="00F606E4" w:rsidRPr="00AE6B5F">
        <w:t>causal</w:t>
      </w:r>
      <w:r w:rsidR="00AE1DC2" w:rsidRPr="00AE6B5F">
        <w:t xml:space="preserve"> role in psychosis</w:t>
      </w:r>
      <w:r w:rsidR="00F606E4" w:rsidRPr="00AE6B5F">
        <w:t xml:space="preserve">, </w:t>
      </w:r>
      <w:r w:rsidR="00AE1DC2" w:rsidRPr="00AE6B5F">
        <w:t xml:space="preserve">experimental evidence </w:t>
      </w:r>
      <w:r w:rsidR="0063027D" w:rsidRPr="00AE6B5F">
        <w:t xml:space="preserve">indicates </w:t>
      </w:r>
      <w:r w:rsidR="00CD2157" w:rsidRPr="00AE6B5F">
        <w:t>t</w:t>
      </w:r>
      <w:r w:rsidR="00AE1DC2" w:rsidRPr="00AE6B5F">
        <w:t>hat</w:t>
      </w:r>
      <w:r w:rsidR="00F972A0" w:rsidRPr="00AE6B5F">
        <w:t xml:space="preserve"> interventions which </w:t>
      </w:r>
      <w:r w:rsidR="00C96C8F" w:rsidRPr="00AE6B5F">
        <w:t xml:space="preserve">specifically address </w:t>
      </w:r>
      <w:r w:rsidR="00F972A0" w:rsidRPr="00AE6B5F">
        <w:t>facial affect impairments have</w:t>
      </w:r>
      <w:r w:rsidR="00AE1DC2" w:rsidRPr="00AE6B5F">
        <w:t xml:space="preserve"> no effect on positive or negative symptoms </w:t>
      </w:r>
      <w:r w:rsidR="00597812" w:rsidRPr="00AE6B5F">
        <w:t>(Bordon</w:t>
      </w:r>
      <w:r w:rsidR="00C96C8F" w:rsidRPr="00AE6B5F">
        <w:t>, O’Rourke &amp; Hutton, submitted)</w:t>
      </w:r>
      <w:r w:rsidR="00C72620" w:rsidRPr="00AE6B5F">
        <w:t>. U</w:t>
      </w:r>
      <w:r w:rsidRPr="00AE6B5F">
        <w:t xml:space="preserve">nfortunately </w:t>
      </w:r>
      <w:r w:rsidR="00C96C8F" w:rsidRPr="00AE6B5F">
        <w:t>effects on social functioning have not been reported</w:t>
      </w:r>
      <w:r w:rsidR="00C72620" w:rsidRPr="00AE6B5F">
        <w:t xml:space="preserve">, and there </w:t>
      </w:r>
      <w:r w:rsidR="00C96C8F" w:rsidRPr="00AE6B5F">
        <w:t xml:space="preserve">is also no clear evidence that interventions that focus </w:t>
      </w:r>
      <w:r w:rsidR="00C96C8F" w:rsidRPr="00AE6B5F">
        <w:rPr>
          <w:i/>
        </w:rPr>
        <w:t>only</w:t>
      </w:r>
      <w:r w:rsidR="00C96C8F" w:rsidRPr="00AE6B5F">
        <w:t xml:space="preserve"> on improving theory of mind lead to improvements in these domains (Ku</w:t>
      </w:r>
      <w:r w:rsidR="006252A2" w:rsidRPr="00AE6B5F">
        <w:t>r</w:t>
      </w:r>
      <w:r w:rsidR="00C96C8F" w:rsidRPr="00AE6B5F">
        <w:t>tz &amp; Richardson, 2012).</w:t>
      </w:r>
    </w:p>
    <w:p w14:paraId="5B84A8AE" w14:textId="77777777" w:rsidR="00AE1DC2" w:rsidRPr="00AE6B5F" w:rsidRDefault="00AE1DC2">
      <w:pPr>
        <w:jc w:val="both"/>
      </w:pPr>
    </w:p>
    <w:p w14:paraId="0B480C48" w14:textId="77777777" w:rsidR="009132B5" w:rsidRPr="00AE6B5F" w:rsidRDefault="00AE1DC2">
      <w:pPr>
        <w:jc w:val="both"/>
      </w:pPr>
      <w:r w:rsidRPr="00AE6B5F">
        <w:t>One possibility is that impairments in facial affect recognition</w:t>
      </w:r>
      <w:r w:rsidR="00F94C6A" w:rsidRPr="00AE6B5F">
        <w:t xml:space="preserve"> and theory of mind ability</w:t>
      </w:r>
      <w:r w:rsidRPr="00AE6B5F">
        <w:t xml:space="preserve"> create a general vulnerability to</w:t>
      </w:r>
      <w:r w:rsidR="00245871" w:rsidRPr="00AE6B5F">
        <w:t xml:space="preserve"> psychotic symptoms</w:t>
      </w:r>
      <w:r w:rsidRPr="00AE6B5F">
        <w:t>, perhaps as a consequence</w:t>
      </w:r>
      <w:r w:rsidR="009132B5" w:rsidRPr="00AE6B5F">
        <w:t xml:space="preserve"> and cause </w:t>
      </w:r>
      <w:r w:rsidR="00245871" w:rsidRPr="00AE6B5F">
        <w:t xml:space="preserve">of social defeat. Recent </w:t>
      </w:r>
      <w:r w:rsidR="00D14923" w:rsidRPr="00AE6B5F">
        <w:t xml:space="preserve">integrative </w:t>
      </w:r>
      <w:r w:rsidR="00245871" w:rsidRPr="00AE6B5F">
        <w:t xml:space="preserve">models of psychosis have proposed that repeated social defeat causes the dopamine neurotransmitter system, thought to be responsible for allocating importance, or ‘salience’, to stimuli, to become </w:t>
      </w:r>
      <w:r w:rsidR="00D14923" w:rsidRPr="00AE6B5F">
        <w:t xml:space="preserve">both </w:t>
      </w:r>
      <w:r w:rsidR="00245871" w:rsidRPr="00AE6B5F">
        <w:t>sensitised and dysregulated</w:t>
      </w:r>
      <w:r w:rsidR="0063027D" w:rsidRPr="00AE6B5F">
        <w:t xml:space="preserve"> (Selten </w:t>
      </w:r>
      <w:r w:rsidR="0063027D" w:rsidRPr="00AE6B5F">
        <w:rPr>
          <w:i/>
        </w:rPr>
        <w:t>et al.</w:t>
      </w:r>
      <w:r w:rsidR="006252A2" w:rsidRPr="00AE6B5F">
        <w:t>, 2013; Howes &amp; Murray, 2014)</w:t>
      </w:r>
      <w:r w:rsidR="00245871" w:rsidRPr="00AE6B5F">
        <w:t xml:space="preserve">. This disruption </w:t>
      </w:r>
      <w:r w:rsidR="00D14923" w:rsidRPr="00AE6B5F">
        <w:t>is thought to cause</w:t>
      </w:r>
      <w:r w:rsidR="00245871" w:rsidRPr="00AE6B5F">
        <w:t xml:space="preserve"> individuals to experience normally innocuous stimuli as having a sense of undue importance</w:t>
      </w:r>
      <w:r w:rsidR="00D14923" w:rsidRPr="00AE6B5F">
        <w:t xml:space="preserve">. This experience </w:t>
      </w:r>
      <w:r w:rsidR="00245871" w:rsidRPr="00AE6B5F">
        <w:t>may</w:t>
      </w:r>
      <w:r w:rsidR="00BE61A4" w:rsidRPr="00AE6B5F">
        <w:t xml:space="preserve"> then trigger a search for meaning</w:t>
      </w:r>
      <w:r w:rsidR="00D14923" w:rsidRPr="00AE6B5F">
        <w:t xml:space="preserve"> which, d</w:t>
      </w:r>
      <w:r w:rsidR="00BE61A4" w:rsidRPr="00AE6B5F">
        <w:t>epending on the presence of particular cognitive biases and pre-existing schemata, may conclude with the adoption of a delusional appraisal</w:t>
      </w:r>
      <w:r w:rsidR="0063027D" w:rsidRPr="00AE6B5F">
        <w:t xml:space="preserve"> (Garety </w:t>
      </w:r>
      <w:r w:rsidR="0063027D" w:rsidRPr="00AE6B5F">
        <w:rPr>
          <w:i/>
        </w:rPr>
        <w:t>et al.</w:t>
      </w:r>
      <w:r w:rsidR="0063027D" w:rsidRPr="00AE6B5F">
        <w:t>, 2001)</w:t>
      </w:r>
      <w:r w:rsidR="00BE61A4" w:rsidRPr="00AE6B5F">
        <w:t>. This general theory helps to explain a range of epidemiological, biological and psychological</w:t>
      </w:r>
      <w:r w:rsidR="00D14923" w:rsidRPr="00AE6B5F">
        <w:t xml:space="preserve"> findings</w:t>
      </w:r>
      <w:r w:rsidR="00BE61A4" w:rsidRPr="00AE6B5F">
        <w:t xml:space="preserve"> including, we</w:t>
      </w:r>
      <w:r w:rsidR="00D14923" w:rsidRPr="00AE6B5F">
        <w:t xml:space="preserve"> suggest</w:t>
      </w:r>
      <w:r w:rsidR="00BE61A4" w:rsidRPr="00AE6B5F">
        <w:t xml:space="preserve">, the </w:t>
      </w:r>
      <w:r w:rsidR="00D14923" w:rsidRPr="00AE6B5F">
        <w:t xml:space="preserve">presence of </w:t>
      </w:r>
      <w:r w:rsidR="0063027D" w:rsidRPr="00AE6B5F">
        <w:t>impairments in social cognition</w:t>
      </w:r>
      <w:r w:rsidR="00BE61A4" w:rsidRPr="00AE6B5F">
        <w:t>.</w:t>
      </w:r>
      <w:r w:rsidR="00306E79" w:rsidRPr="00AE6B5F">
        <w:t xml:space="preserve"> </w:t>
      </w:r>
      <w:r w:rsidR="00D14923" w:rsidRPr="00AE6B5F">
        <w:t>T</w:t>
      </w:r>
      <w:r w:rsidR="00306E79" w:rsidRPr="00AE6B5F">
        <w:t>here is</w:t>
      </w:r>
      <w:r w:rsidRPr="00AE6B5F">
        <w:t xml:space="preserve"> good evidence that</w:t>
      </w:r>
      <w:r w:rsidR="009132B5" w:rsidRPr="00AE6B5F">
        <w:t xml:space="preserve"> social </w:t>
      </w:r>
      <w:r w:rsidR="007940A7" w:rsidRPr="00AE6B5F">
        <w:t>cognition</w:t>
      </w:r>
      <w:r w:rsidRPr="00AE6B5F">
        <w:t xml:space="preserve"> is impaired in children who experience </w:t>
      </w:r>
      <w:r w:rsidR="00BE61A4" w:rsidRPr="00AE6B5F">
        <w:t xml:space="preserve">social defeat in the form of </w:t>
      </w:r>
      <w:r w:rsidR="00AA5B24" w:rsidRPr="00AE6B5F">
        <w:t>early adversity (Polla</w:t>
      </w:r>
      <w:r w:rsidRPr="00AE6B5F">
        <w:t>k</w:t>
      </w:r>
      <w:r w:rsidR="00AA5B24" w:rsidRPr="00AE6B5F">
        <w:t xml:space="preserve"> &amp; Kistler,</w:t>
      </w:r>
      <w:r w:rsidR="00245871" w:rsidRPr="00AE6B5F">
        <w:t xml:space="preserve"> </w:t>
      </w:r>
      <w:r w:rsidR="00AA5B24" w:rsidRPr="00AE6B5F">
        <w:t>2002</w:t>
      </w:r>
      <w:r w:rsidR="00BE61A4" w:rsidRPr="00AE6B5F">
        <w:t xml:space="preserve">) or </w:t>
      </w:r>
      <w:r w:rsidRPr="00AE6B5F">
        <w:t xml:space="preserve">relational bullying from peers (Woods </w:t>
      </w:r>
      <w:r w:rsidRPr="00AE6B5F">
        <w:rPr>
          <w:i/>
        </w:rPr>
        <w:t>et al.,</w:t>
      </w:r>
      <w:r w:rsidRPr="00AE6B5F">
        <w:t xml:space="preserve"> 2009)</w:t>
      </w:r>
      <w:r w:rsidR="00306E79" w:rsidRPr="00AE6B5F">
        <w:t>, and poor emotion recognition is also</w:t>
      </w:r>
      <w:r w:rsidR="00BE61A4" w:rsidRPr="00AE6B5F">
        <w:t xml:space="preserve"> </w:t>
      </w:r>
      <w:r w:rsidR="00306E79" w:rsidRPr="00AE6B5F">
        <w:t xml:space="preserve">evident in migrants (Hwa-Froelich, Matsuo &amp; Becker, 2014; Derntl et al., 2009; Beaupré &amp; Hess, 2006), a group that experiences both heightened social defeat and a significantly increased risk of psychosis. </w:t>
      </w:r>
    </w:p>
    <w:p w14:paraId="660BDD4D" w14:textId="77777777" w:rsidR="009132B5" w:rsidRPr="00AE6B5F" w:rsidRDefault="009132B5">
      <w:pPr>
        <w:jc w:val="both"/>
      </w:pPr>
    </w:p>
    <w:p w14:paraId="7035C72F" w14:textId="77777777" w:rsidR="00621C05" w:rsidRPr="00AE6B5F" w:rsidRDefault="00621C05">
      <w:pPr>
        <w:jc w:val="both"/>
        <w:rPr>
          <w:i/>
        </w:rPr>
      </w:pPr>
      <w:r w:rsidRPr="00AE6B5F">
        <w:rPr>
          <w:i/>
        </w:rPr>
        <w:t>Limitations</w:t>
      </w:r>
    </w:p>
    <w:p w14:paraId="5A274BB6" w14:textId="77777777" w:rsidR="00621C05" w:rsidRPr="00AE6B5F" w:rsidRDefault="00621C05" w:rsidP="000133A6">
      <w:pPr>
        <w:jc w:val="both"/>
      </w:pPr>
    </w:p>
    <w:p w14:paraId="07786236" w14:textId="62EE1DA4" w:rsidR="00072296" w:rsidRPr="00AE6B5F" w:rsidRDefault="00F32AEA" w:rsidP="00A02D98">
      <w:pPr>
        <w:jc w:val="both"/>
      </w:pPr>
      <w:r w:rsidRPr="00AE6B5F">
        <w:t xml:space="preserve">Our aim was to examine whether variance in social cognitive capacity accounted for variance in paranoia in a forensic setting, not to replicate the very well-established finding that this capacity is significantly impaired in people with psychosis (Kolher et al., 2009). Nonetheless the absence of a non-psychotic control group limits the extent to which we can draw conclusions about the specific pattern of impairments in our sample. </w:t>
      </w:r>
      <w:r w:rsidR="0063027D" w:rsidRPr="00AE6B5F">
        <w:t xml:space="preserve">Research in forensic mental health is often hampered by small sample sizes, and our study was no exception. </w:t>
      </w:r>
      <w:r w:rsidR="00A02D98" w:rsidRPr="00AE6B5F">
        <w:t xml:space="preserve">Our original aim was to recruit 33 participants within the allocated time period for the study. Unfortunately recruitment in this setting was slower than anticipated, so we had a slightly smaller sample (N=27) and therefore reduced power. </w:t>
      </w:r>
      <w:r w:rsidR="00621C05" w:rsidRPr="00AE6B5F">
        <w:t>This limits the validity of the conclusions that we can draw</w:t>
      </w:r>
      <w:r w:rsidR="0063027D" w:rsidRPr="00AE6B5F">
        <w:t xml:space="preserve"> and</w:t>
      </w:r>
      <w:r w:rsidR="00621C05" w:rsidRPr="00AE6B5F">
        <w:t xml:space="preserve"> </w:t>
      </w:r>
      <w:r w:rsidR="0063027D" w:rsidRPr="00AE6B5F">
        <w:t>f</w:t>
      </w:r>
      <w:r w:rsidR="00621C05" w:rsidRPr="00AE6B5F">
        <w:t>uture studies should ensure they have sufficient power to detect effects of theoretical and / or clinical significance.</w:t>
      </w:r>
      <w:r w:rsidR="00597BD0" w:rsidRPr="00AE6B5F">
        <w:t xml:space="preserve"> The current study</w:t>
      </w:r>
      <w:r w:rsidR="0063027D" w:rsidRPr="00AE6B5F">
        <w:t xml:space="preserve"> only examined</w:t>
      </w:r>
      <w:r w:rsidR="00597BD0" w:rsidRPr="00AE6B5F">
        <w:t xml:space="preserve"> the relationship between social cognition and subclinical paranoia in psychosis. It</w:t>
      </w:r>
      <w:r w:rsidR="0063027D" w:rsidRPr="00AE6B5F">
        <w:t xml:space="preserve"> did not</w:t>
      </w:r>
      <w:r w:rsidR="00597BD0" w:rsidRPr="00AE6B5F">
        <w:t xml:space="preserve"> examine whether social cognition is related to persecutory delusions or more severe paranoia in this group.</w:t>
      </w:r>
      <w:r w:rsidR="009C638C" w:rsidRPr="00AE6B5F">
        <w:t xml:space="preserve"> </w:t>
      </w:r>
      <w:r w:rsidR="00C92659" w:rsidRPr="00AE6B5F">
        <w:t>Whether the low levels of paranoia reported by participants reflected their actual subjective state is somewhat unclear. I</w:t>
      </w:r>
      <w:r w:rsidR="009C638C" w:rsidRPr="00AE6B5F">
        <w:t xml:space="preserve">t is possible that </w:t>
      </w:r>
      <w:r w:rsidR="00C92659" w:rsidRPr="00AE6B5F">
        <w:t>responses were biased by</w:t>
      </w:r>
      <w:r w:rsidR="009C638C" w:rsidRPr="00AE6B5F">
        <w:t xml:space="preserve"> </w:t>
      </w:r>
      <w:r w:rsidR="00C92659" w:rsidRPr="00AE6B5F">
        <w:t xml:space="preserve">participants’ knowledge of what might be </w:t>
      </w:r>
      <w:r w:rsidR="00FD6CA5" w:rsidRPr="00AE6B5F">
        <w:t xml:space="preserve">‘institutionally-desirable’. We did not anticipate this, and therefore did not attempt to measure or control for this. </w:t>
      </w:r>
      <w:r w:rsidR="00ED4EB9" w:rsidRPr="00AE6B5F">
        <w:t>If</w:t>
      </w:r>
      <w:r w:rsidR="00DA73A2" w:rsidRPr="00AE6B5F">
        <w:t xml:space="preserve"> the AIHQ and GPTS </w:t>
      </w:r>
      <w:r w:rsidR="00ED4EB9" w:rsidRPr="00AE6B5F">
        <w:t xml:space="preserve">are </w:t>
      </w:r>
      <w:r w:rsidR="00DA73A2" w:rsidRPr="00AE6B5F">
        <w:t>not sensitive to individual</w:t>
      </w:r>
      <w:r w:rsidR="00ED4EB9" w:rsidRPr="00AE6B5F">
        <w:t xml:space="preserve"> differences in this population, then f</w:t>
      </w:r>
      <w:r w:rsidR="00C92659" w:rsidRPr="00AE6B5F">
        <w:t xml:space="preserve">uture studies in this setting might consider using a symptom-focused clinical interview to </w:t>
      </w:r>
      <w:r w:rsidR="00DA73A2" w:rsidRPr="00AE6B5F">
        <w:t xml:space="preserve">supplement the </w:t>
      </w:r>
      <w:r w:rsidR="00C92659" w:rsidRPr="00AE6B5F">
        <w:t>assess</w:t>
      </w:r>
      <w:r w:rsidR="00DA73A2" w:rsidRPr="00AE6B5F">
        <w:t>ment</w:t>
      </w:r>
      <w:r w:rsidR="00C92659" w:rsidRPr="00AE6B5F">
        <w:t xml:space="preserve"> </w:t>
      </w:r>
      <w:r w:rsidR="00BE33CE" w:rsidRPr="00AE6B5F">
        <w:t xml:space="preserve">of </w:t>
      </w:r>
      <w:r w:rsidR="00C92659" w:rsidRPr="00AE6B5F">
        <w:t>paranoia.</w:t>
      </w:r>
      <w:r w:rsidR="00FD6CA5" w:rsidRPr="00AE6B5F">
        <w:t xml:space="preserve"> They may also benefit from testing whether duration or degree of institutionalisation is a significant moderator of any observed effects. </w:t>
      </w:r>
      <w:r w:rsidRPr="00AE6B5F">
        <w:t xml:space="preserve">Although number of past hospitalisations does not appear to correlate with social cognition, there is evidence from previous studies that inpatients with psychosis have greater impairments </w:t>
      </w:r>
      <w:r w:rsidR="00235BD5" w:rsidRPr="00AE6B5F">
        <w:t xml:space="preserve">in social cognition </w:t>
      </w:r>
      <w:r w:rsidRPr="00AE6B5F">
        <w:t>than outpatients (Kolher et al., 2009).</w:t>
      </w:r>
    </w:p>
    <w:p w14:paraId="682B744A" w14:textId="77777777" w:rsidR="00072296" w:rsidRPr="00AE6B5F" w:rsidRDefault="00072296" w:rsidP="00A02D98">
      <w:pPr>
        <w:jc w:val="both"/>
      </w:pPr>
    </w:p>
    <w:p w14:paraId="624510AB" w14:textId="6BAA6C16" w:rsidR="00A02D98" w:rsidRPr="00AE6B5F" w:rsidRDefault="006909BA" w:rsidP="00A02D98">
      <w:pPr>
        <w:jc w:val="both"/>
      </w:pPr>
      <w:r w:rsidRPr="00AE6B5F">
        <w:t>Our participants were similar in profile to participants in previous studies of social cognition in forensic patients (Pinkham et al; 2016; Frommann et al., 2013; Luckhaus et al., 2013). They</w:t>
      </w:r>
      <w:r w:rsidR="00535005" w:rsidRPr="00AE6B5F">
        <w:t xml:space="preserve"> </w:t>
      </w:r>
      <w:r w:rsidR="00BE33CE" w:rsidRPr="00AE6B5F">
        <w:t>had longstanding difficulties</w:t>
      </w:r>
      <w:r w:rsidR="007D2A00" w:rsidRPr="00AE6B5F">
        <w:t>, with a mean duration of illness of almost 11 years</w:t>
      </w:r>
      <w:r w:rsidR="00CE73AF" w:rsidRPr="00AE6B5F">
        <w:t xml:space="preserve"> (SD 5.88 years)</w:t>
      </w:r>
      <w:r w:rsidR="00535005" w:rsidRPr="00AE6B5F">
        <w:t>,</w:t>
      </w:r>
      <w:r w:rsidR="00CE73AF" w:rsidRPr="00AE6B5F">
        <w:t xml:space="preserve"> were</w:t>
      </w:r>
      <w:r w:rsidR="00F32AEA" w:rsidRPr="00AE6B5F">
        <w:t xml:space="preserve"> male, and were aged between 25 to 55</w:t>
      </w:r>
      <w:r w:rsidR="00535005" w:rsidRPr="00AE6B5F">
        <w:t xml:space="preserve"> years old (mean age 38</w:t>
      </w:r>
      <w:r w:rsidR="00F32AEA" w:rsidRPr="00AE6B5F">
        <w:t>).</w:t>
      </w:r>
      <w:r w:rsidR="00535005" w:rsidRPr="00AE6B5F">
        <w:t xml:space="preserve"> </w:t>
      </w:r>
      <w:r w:rsidRPr="00AE6B5F">
        <w:t>Although a</w:t>
      </w:r>
      <w:r w:rsidR="00F32AEA" w:rsidRPr="00AE6B5F">
        <w:t xml:space="preserve">ge, but not duration of illness or gender, has been shown to be significantly associated with impairments in social cognition in psychosis </w:t>
      </w:r>
      <w:r w:rsidR="00CE73AF" w:rsidRPr="00AE6B5F">
        <w:t>(Kohler et al., 2009)</w:t>
      </w:r>
      <w:r w:rsidRPr="00AE6B5F">
        <w:t>, w</w:t>
      </w:r>
      <w:r w:rsidR="00CE73AF" w:rsidRPr="00AE6B5F">
        <w:t xml:space="preserve">hether </w:t>
      </w:r>
      <w:r w:rsidR="00F32AEA" w:rsidRPr="00AE6B5F">
        <w:t xml:space="preserve">any of these variables </w:t>
      </w:r>
      <w:r w:rsidR="00CE73AF" w:rsidRPr="00AE6B5F">
        <w:t>have an effect on</w:t>
      </w:r>
      <w:r w:rsidR="00072296" w:rsidRPr="00AE6B5F">
        <w:t xml:space="preserve"> the relationship between social cognition and</w:t>
      </w:r>
      <w:r w:rsidRPr="00AE6B5F">
        <w:t xml:space="preserve"> paranoia has not been examined.</w:t>
      </w:r>
      <w:r w:rsidR="00072296" w:rsidRPr="00AE6B5F">
        <w:t xml:space="preserve"> </w:t>
      </w:r>
      <w:r w:rsidR="00ED4EB9" w:rsidRPr="00AE6B5F">
        <w:t>Future stu</w:t>
      </w:r>
      <w:r w:rsidR="00072296" w:rsidRPr="00AE6B5F">
        <w:t>dies might usefully examine the effect of these patient characteristics</w:t>
      </w:r>
      <w:r w:rsidR="00ED4EB9" w:rsidRPr="00AE6B5F">
        <w:t xml:space="preserve">, as well as examine </w:t>
      </w:r>
      <w:r w:rsidR="00FD6CA5" w:rsidRPr="00AE6B5F">
        <w:t xml:space="preserve">the potential effects of </w:t>
      </w:r>
      <w:r w:rsidR="00A94A88" w:rsidRPr="00AE6B5F">
        <w:t xml:space="preserve">substance misuse, and </w:t>
      </w:r>
      <w:r w:rsidR="00ED4EB9" w:rsidRPr="00AE6B5F">
        <w:t xml:space="preserve">type, dose and duration of psychoactive medication. </w:t>
      </w:r>
    </w:p>
    <w:p w14:paraId="2EA022C7" w14:textId="26FB75F2" w:rsidR="00C92659" w:rsidRPr="00AE6B5F" w:rsidRDefault="00424C61" w:rsidP="000133A6">
      <w:pPr>
        <w:jc w:val="both"/>
      </w:pPr>
      <w:r w:rsidRPr="00AE6B5F">
        <w:t xml:space="preserve"> </w:t>
      </w:r>
    </w:p>
    <w:p w14:paraId="50630A2D" w14:textId="77777777" w:rsidR="00621C05" w:rsidRPr="00AE6B5F" w:rsidRDefault="00621C05" w:rsidP="00FA7424">
      <w:pPr>
        <w:pStyle w:val="ListParagraph"/>
        <w:numPr>
          <w:ilvl w:val="1"/>
          <w:numId w:val="24"/>
        </w:numPr>
        <w:jc w:val="both"/>
        <w:rPr>
          <w:i/>
        </w:rPr>
      </w:pPr>
      <w:r w:rsidRPr="00AE6B5F">
        <w:rPr>
          <w:i/>
        </w:rPr>
        <w:t>Conclusion</w:t>
      </w:r>
    </w:p>
    <w:p w14:paraId="028A510B" w14:textId="77777777" w:rsidR="003E0C76" w:rsidRPr="00AE6B5F" w:rsidRDefault="003E0C76" w:rsidP="000133A6">
      <w:pPr>
        <w:jc w:val="both"/>
      </w:pPr>
    </w:p>
    <w:p w14:paraId="0F53CDAB" w14:textId="77777777" w:rsidR="003E0C76" w:rsidRPr="00AE6B5F" w:rsidRDefault="00621C05" w:rsidP="000133A6">
      <w:pPr>
        <w:jc w:val="both"/>
      </w:pPr>
      <w:r w:rsidRPr="00AE6B5F">
        <w:t>Impaired</w:t>
      </w:r>
      <w:r w:rsidR="003E0C76" w:rsidRPr="00AE6B5F">
        <w:t xml:space="preserve"> social cognition in schizophrenia ha</w:t>
      </w:r>
      <w:r w:rsidRPr="00AE6B5F">
        <w:t>s</w:t>
      </w:r>
      <w:r w:rsidR="003E0C76" w:rsidRPr="00AE6B5F">
        <w:t xml:space="preserve"> been linked to </w:t>
      </w:r>
      <w:r w:rsidRPr="00AE6B5F">
        <w:t xml:space="preserve">reduced </w:t>
      </w:r>
      <w:r w:rsidR="003E0C76" w:rsidRPr="00AE6B5F">
        <w:t>quality of life, relapse</w:t>
      </w:r>
      <w:r w:rsidR="00642989" w:rsidRPr="00AE6B5F">
        <w:t xml:space="preserve">, </w:t>
      </w:r>
      <w:r w:rsidR="003E0C76" w:rsidRPr="00AE6B5F">
        <w:t xml:space="preserve">unemployment (Couture </w:t>
      </w:r>
      <w:r w:rsidR="003E0C76" w:rsidRPr="00AE6B5F">
        <w:rPr>
          <w:i/>
        </w:rPr>
        <w:t>et al</w:t>
      </w:r>
      <w:r w:rsidR="003E0C76" w:rsidRPr="00AE6B5F">
        <w:t>., 2006)</w:t>
      </w:r>
      <w:r w:rsidR="00642989" w:rsidRPr="00AE6B5F">
        <w:t xml:space="preserve"> and increased violence severity (</w:t>
      </w:r>
      <w:r w:rsidR="003E0C76" w:rsidRPr="00AE6B5F">
        <w:t xml:space="preserve">Waldheter </w:t>
      </w:r>
      <w:r w:rsidR="003E0C76" w:rsidRPr="00AE6B5F">
        <w:rPr>
          <w:i/>
        </w:rPr>
        <w:t>et al</w:t>
      </w:r>
      <w:r w:rsidR="003E0C76" w:rsidRPr="00AE6B5F">
        <w:t xml:space="preserve">. 2005) . Although the present study did not find </w:t>
      </w:r>
      <w:r w:rsidR="0063027D" w:rsidRPr="00AE6B5F">
        <w:t xml:space="preserve">a </w:t>
      </w:r>
      <w:r w:rsidR="003E0C76" w:rsidRPr="00AE6B5F">
        <w:t>relationship between social cognition and subclinical paranoia</w:t>
      </w:r>
      <w:r w:rsidR="00642989" w:rsidRPr="00AE6B5F">
        <w:t xml:space="preserve"> in a forensic setting</w:t>
      </w:r>
      <w:r w:rsidR="003E0C76" w:rsidRPr="00AE6B5F">
        <w:t xml:space="preserve">, the </w:t>
      </w:r>
      <w:r w:rsidRPr="00AE6B5F">
        <w:t xml:space="preserve">impairments </w:t>
      </w:r>
      <w:r w:rsidR="003E0C76" w:rsidRPr="00AE6B5F">
        <w:t>that were observed may have other consequences for rehabilitation, recovery and independent living</w:t>
      </w:r>
      <w:r w:rsidR="0063027D" w:rsidRPr="00AE6B5F">
        <w:t>, and t</w:t>
      </w:r>
      <w:r w:rsidRPr="00AE6B5F">
        <w:t>here is evidence that</w:t>
      </w:r>
      <w:r w:rsidR="003E0C76" w:rsidRPr="00AE6B5F">
        <w:t xml:space="preserve"> </w:t>
      </w:r>
      <w:r w:rsidR="00642989" w:rsidRPr="00AE6B5F">
        <w:t xml:space="preserve">difficulties with </w:t>
      </w:r>
      <w:r w:rsidR="003E0C76" w:rsidRPr="00AE6B5F">
        <w:t xml:space="preserve">social relationships, hostility and aggression </w:t>
      </w:r>
      <w:r w:rsidRPr="00AE6B5F">
        <w:t>can be</w:t>
      </w:r>
      <w:r w:rsidR="003E0C76" w:rsidRPr="00AE6B5F">
        <w:t xml:space="preserve"> </w:t>
      </w:r>
      <w:r w:rsidR="00642989" w:rsidRPr="00AE6B5F">
        <w:t>ameliorated</w:t>
      </w:r>
      <w:r w:rsidR="003E0C76" w:rsidRPr="00AE6B5F">
        <w:t xml:space="preserve"> following social and cognitive training (Combs </w:t>
      </w:r>
      <w:r w:rsidR="003E0C76" w:rsidRPr="00AE6B5F">
        <w:rPr>
          <w:i/>
        </w:rPr>
        <w:t>et al</w:t>
      </w:r>
      <w:r w:rsidR="003E0C76" w:rsidRPr="00AE6B5F">
        <w:t xml:space="preserve">., 2007). Future </w:t>
      </w:r>
      <w:r w:rsidR="002244B6" w:rsidRPr="00AE6B5F">
        <w:t xml:space="preserve">longitudinal studies may </w:t>
      </w:r>
      <w:r w:rsidR="009132B5" w:rsidRPr="00AE6B5F">
        <w:t>help</w:t>
      </w:r>
      <w:r w:rsidR="002244B6" w:rsidRPr="00AE6B5F">
        <w:t xml:space="preserve"> to establish whether </w:t>
      </w:r>
      <w:r w:rsidR="00400FAF" w:rsidRPr="00AE6B5F">
        <w:t xml:space="preserve">patients’ </w:t>
      </w:r>
      <w:r w:rsidR="002244B6" w:rsidRPr="00AE6B5F">
        <w:t>social cognition on admission to secure hospital is predictive of</w:t>
      </w:r>
      <w:r w:rsidR="009132B5" w:rsidRPr="00AE6B5F">
        <w:t xml:space="preserve"> </w:t>
      </w:r>
      <w:r w:rsidR="002244B6" w:rsidRPr="00AE6B5F">
        <w:t>social</w:t>
      </w:r>
      <w:r w:rsidR="003E0C76" w:rsidRPr="00AE6B5F">
        <w:t xml:space="preserve"> functioning or incidences of aggression</w:t>
      </w:r>
      <w:r w:rsidR="009132B5" w:rsidRPr="00AE6B5F">
        <w:t xml:space="preserve"> </w:t>
      </w:r>
      <w:r w:rsidR="00400FAF" w:rsidRPr="00AE6B5F">
        <w:t xml:space="preserve">during their </w:t>
      </w:r>
      <w:r w:rsidR="009132B5" w:rsidRPr="00AE6B5F">
        <w:t>hospital</w:t>
      </w:r>
      <w:r w:rsidR="00400FAF" w:rsidRPr="00AE6B5F">
        <w:t xml:space="preserve"> stay</w:t>
      </w:r>
      <w:r w:rsidR="009132B5" w:rsidRPr="00AE6B5F">
        <w:t xml:space="preserve">. Randomised controlled trials within a forensic setting are also required to establish the effects on violence and social functioning of interventions which </w:t>
      </w:r>
      <w:r w:rsidR="00AA5B24" w:rsidRPr="00AE6B5F">
        <w:t xml:space="preserve">specifically </w:t>
      </w:r>
      <w:r w:rsidR="009132B5" w:rsidRPr="00AE6B5F">
        <w:t>address affect recognition</w:t>
      </w:r>
      <w:r w:rsidR="00AA5B24" w:rsidRPr="00AE6B5F">
        <w:t xml:space="preserve"> or theory of mind</w:t>
      </w:r>
      <w:r w:rsidR="009132B5" w:rsidRPr="00AE6B5F">
        <w:t>.</w:t>
      </w:r>
      <w:r w:rsidR="003E0C76" w:rsidRPr="00AE6B5F">
        <w:t xml:space="preserve"> </w:t>
      </w:r>
    </w:p>
    <w:p w14:paraId="1D05D538" w14:textId="77777777" w:rsidR="003E0C76" w:rsidRPr="00AE6B5F" w:rsidRDefault="003E0C76" w:rsidP="000133A6">
      <w:pPr>
        <w:jc w:val="both"/>
      </w:pPr>
    </w:p>
    <w:p w14:paraId="03D18363" w14:textId="77777777" w:rsidR="00821A93" w:rsidRPr="00AE6B5F" w:rsidRDefault="00821A93">
      <w:pPr>
        <w:spacing w:after="160" w:line="259" w:lineRule="auto"/>
        <w:rPr>
          <w:b/>
          <w:szCs w:val="22"/>
          <w:lang w:eastAsia="en-US"/>
        </w:rPr>
      </w:pPr>
      <w:r w:rsidRPr="00AE6B5F">
        <w:rPr>
          <w:b/>
        </w:rPr>
        <w:br w:type="page"/>
      </w:r>
    </w:p>
    <w:p w14:paraId="17AA2FBB" w14:textId="77777777" w:rsidR="003E0C76" w:rsidRPr="00AE6B5F" w:rsidRDefault="003E0C76" w:rsidP="00CA7569">
      <w:pPr>
        <w:pStyle w:val="ListParagraph"/>
        <w:numPr>
          <w:ilvl w:val="0"/>
          <w:numId w:val="24"/>
        </w:numPr>
        <w:rPr>
          <w:b/>
        </w:rPr>
      </w:pPr>
      <w:r w:rsidRPr="00AE6B5F">
        <w:rPr>
          <w:b/>
        </w:rPr>
        <w:t>References</w:t>
      </w:r>
    </w:p>
    <w:p w14:paraId="76F5C656" w14:textId="77777777" w:rsidR="003E0C76" w:rsidRPr="00AE6B5F" w:rsidRDefault="003E0C76" w:rsidP="000133A6">
      <w:pPr>
        <w:jc w:val="both"/>
      </w:pPr>
    </w:p>
    <w:p w14:paraId="4DC6D44B" w14:textId="28EF851E" w:rsidR="00662F79" w:rsidRPr="00AE6B5F" w:rsidRDefault="00662F79" w:rsidP="00FA7424">
      <w:pPr>
        <w:ind w:left="426" w:hanging="426"/>
        <w:jc w:val="both"/>
      </w:pPr>
      <w:r w:rsidRPr="00AE6B5F">
        <w:t>Abu-Akel, A.</w:t>
      </w:r>
      <w:r w:rsidR="00A042DE" w:rsidRPr="00AE6B5F">
        <w:t>,</w:t>
      </w:r>
      <w:r w:rsidRPr="00AE6B5F">
        <w:t xml:space="preserve"> Abushua’leh, K.</w:t>
      </w:r>
      <w:r w:rsidR="00B8787F" w:rsidRPr="00AE6B5F">
        <w:t>,</w:t>
      </w:r>
      <w:r w:rsidRPr="00AE6B5F">
        <w:t xml:space="preserve"> 2004. ‘Theory of mind’ in violent and nonviolent patient</w:t>
      </w:r>
      <w:r w:rsidR="00B8787F" w:rsidRPr="00AE6B5F">
        <w:t>s with paranoid schizophrenia. Schizophr. Res. 69 (</w:t>
      </w:r>
      <w:r w:rsidRPr="00AE6B5F">
        <w:t>1</w:t>
      </w:r>
      <w:r w:rsidR="00B8787F" w:rsidRPr="00AE6B5F">
        <w:t>)</w:t>
      </w:r>
      <w:r w:rsidRPr="00AE6B5F">
        <w:t>, 45-53.</w:t>
      </w:r>
    </w:p>
    <w:p w14:paraId="5FCB0F3F" w14:textId="26635178" w:rsidR="00662F79" w:rsidRPr="00AE6B5F" w:rsidRDefault="00B8787F" w:rsidP="00FA7424">
      <w:pPr>
        <w:ind w:left="426" w:hanging="426"/>
        <w:jc w:val="both"/>
      </w:pPr>
      <w:r w:rsidRPr="00AE6B5F">
        <w:t>Addington, J., Addington, D</w:t>
      </w:r>
      <w:r w:rsidR="00662F79" w:rsidRPr="00AE6B5F">
        <w:t>.</w:t>
      </w:r>
      <w:r w:rsidRPr="00AE6B5F">
        <w:t>,</w:t>
      </w:r>
      <w:r w:rsidR="00662F79" w:rsidRPr="00AE6B5F">
        <w:t xml:space="preserve"> 1998. Facial affect recognition and information processing in schizophrenia and </w:t>
      </w:r>
      <w:r w:rsidRPr="00AE6B5F">
        <w:t>bipolar disorder. Schizophr. Res.</w:t>
      </w:r>
      <w:r w:rsidR="00662F79" w:rsidRPr="00AE6B5F">
        <w:t xml:space="preserve"> 32</w:t>
      </w:r>
      <w:r w:rsidRPr="00AE6B5F">
        <w:t xml:space="preserve"> </w:t>
      </w:r>
      <w:r w:rsidR="00662F79" w:rsidRPr="00AE6B5F">
        <w:t xml:space="preserve">(3), 171-181. </w:t>
      </w:r>
    </w:p>
    <w:p w14:paraId="0C14C11A" w14:textId="34A0D37E" w:rsidR="00662F79" w:rsidRPr="00AE6B5F" w:rsidRDefault="00662F79" w:rsidP="00FA7424">
      <w:pPr>
        <w:ind w:left="426" w:hanging="426"/>
        <w:jc w:val="both"/>
      </w:pPr>
      <w:r w:rsidRPr="00AE6B5F">
        <w:t xml:space="preserve">Addington, J., Piskulic, D., Perkins, D., Woods, S. W., Liu, L., </w:t>
      </w:r>
      <w:r w:rsidR="00B8787F" w:rsidRPr="00AE6B5F">
        <w:t>Penn, D. L</w:t>
      </w:r>
      <w:r w:rsidRPr="00AE6B5F">
        <w:t>.</w:t>
      </w:r>
      <w:r w:rsidR="00B8787F" w:rsidRPr="00AE6B5F">
        <w:t>,</w:t>
      </w:r>
      <w:r w:rsidRPr="00AE6B5F">
        <w:t xml:space="preserve"> 2012. Affect recognition in people at clinical high risk of psychosis. Schizophr</w:t>
      </w:r>
      <w:r w:rsidR="00B8787F" w:rsidRPr="00AE6B5F">
        <w:t>. Res.</w:t>
      </w:r>
      <w:r w:rsidRPr="00AE6B5F">
        <w:t xml:space="preserve"> 140</w:t>
      </w:r>
      <w:r w:rsidR="00B8787F" w:rsidRPr="00AE6B5F">
        <w:t xml:space="preserve"> (1-3), 87-92.</w:t>
      </w:r>
    </w:p>
    <w:p w14:paraId="1340B46D" w14:textId="29171424" w:rsidR="00662F79" w:rsidRPr="00AE6B5F" w:rsidRDefault="00662F79" w:rsidP="00FA7424">
      <w:pPr>
        <w:ind w:left="426" w:hanging="426"/>
        <w:jc w:val="both"/>
      </w:pPr>
      <w:r w:rsidRPr="00AE6B5F">
        <w:t>An, S</w:t>
      </w:r>
      <w:r w:rsidR="00B8787F" w:rsidRPr="00AE6B5F">
        <w:t xml:space="preserve">. </w:t>
      </w:r>
      <w:r w:rsidRPr="00AE6B5F">
        <w:t>K.</w:t>
      </w:r>
      <w:r w:rsidR="00B8787F" w:rsidRPr="00AE6B5F">
        <w:t>,</w:t>
      </w:r>
      <w:r w:rsidRPr="00AE6B5F">
        <w:t xml:space="preserve"> Kang, J</w:t>
      </w:r>
      <w:r w:rsidR="00B8787F" w:rsidRPr="00AE6B5F">
        <w:t xml:space="preserve">. </w:t>
      </w:r>
      <w:r w:rsidRPr="00AE6B5F">
        <w:t>I.</w:t>
      </w:r>
      <w:r w:rsidR="00B8787F" w:rsidRPr="00AE6B5F">
        <w:t>,</w:t>
      </w:r>
      <w:r w:rsidRPr="00AE6B5F">
        <w:t xml:space="preserve"> Park, J</w:t>
      </w:r>
      <w:r w:rsidR="00B8787F" w:rsidRPr="00AE6B5F">
        <w:t xml:space="preserve">. </w:t>
      </w:r>
      <w:r w:rsidRPr="00AE6B5F">
        <w:t>Y.</w:t>
      </w:r>
      <w:r w:rsidR="00B8787F" w:rsidRPr="00AE6B5F">
        <w:t>,</w:t>
      </w:r>
      <w:r w:rsidRPr="00AE6B5F">
        <w:t xml:space="preserve"> Kim, K</w:t>
      </w:r>
      <w:r w:rsidR="00B8787F" w:rsidRPr="00AE6B5F">
        <w:t xml:space="preserve">. </w:t>
      </w:r>
      <w:r w:rsidRPr="00AE6B5F">
        <w:t>R.</w:t>
      </w:r>
      <w:r w:rsidR="00B8787F" w:rsidRPr="00AE6B5F">
        <w:t>,</w:t>
      </w:r>
      <w:r w:rsidRPr="00AE6B5F">
        <w:t xml:space="preserve"> Lee, S</w:t>
      </w:r>
      <w:r w:rsidR="00B8787F" w:rsidRPr="00AE6B5F">
        <w:t xml:space="preserve">. </w:t>
      </w:r>
      <w:r w:rsidRPr="00AE6B5F">
        <w:t>Y.</w:t>
      </w:r>
      <w:r w:rsidR="00B8787F" w:rsidRPr="00AE6B5F">
        <w:t>,</w:t>
      </w:r>
      <w:r w:rsidRPr="00AE6B5F">
        <w:t xml:space="preserve"> Lee, E.</w:t>
      </w:r>
      <w:r w:rsidR="00B8787F" w:rsidRPr="00AE6B5F">
        <w:t>,</w:t>
      </w:r>
      <w:r w:rsidRPr="00AE6B5F">
        <w:t xml:space="preserve"> 2010. Attribution bias in ultra-high risk for psychosis an</w:t>
      </w:r>
      <w:r w:rsidR="00B8787F" w:rsidRPr="00AE6B5F">
        <w:t>d first-episode schizophrenia. Schizophr. Res.</w:t>
      </w:r>
      <w:r w:rsidRPr="00AE6B5F">
        <w:t xml:space="preserve"> 118</w:t>
      </w:r>
      <w:r w:rsidR="00B8787F" w:rsidRPr="00AE6B5F">
        <w:t xml:space="preserve"> (1-3)</w:t>
      </w:r>
      <w:r w:rsidRPr="00AE6B5F">
        <w:t xml:space="preserve">, 54-61.  </w:t>
      </w:r>
    </w:p>
    <w:p w14:paraId="345672FE" w14:textId="608D23DA" w:rsidR="00662F79" w:rsidRPr="00AE6B5F" w:rsidRDefault="00662F79" w:rsidP="00FA7424">
      <w:pPr>
        <w:ind w:left="426" w:hanging="426"/>
        <w:jc w:val="both"/>
      </w:pPr>
      <w:r w:rsidRPr="00AE6B5F">
        <w:t xml:space="preserve">Beaupré, M. G., </w:t>
      </w:r>
      <w:r w:rsidR="00B8787F" w:rsidRPr="00AE6B5F">
        <w:t>Hess, U</w:t>
      </w:r>
      <w:r w:rsidRPr="00AE6B5F">
        <w:t>.</w:t>
      </w:r>
      <w:r w:rsidR="00B8787F" w:rsidRPr="00AE6B5F">
        <w:t>,</w:t>
      </w:r>
      <w:r w:rsidRPr="00AE6B5F">
        <w:t xml:space="preserve"> 2006. An ingroup advantage for confidence in emotion recognition judgments: the moderating effect of familiarity with the expressions of outgroup members. Pers</w:t>
      </w:r>
      <w:r w:rsidR="00B8787F" w:rsidRPr="00AE6B5F">
        <w:t>.</w:t>
      </w:r>
      <w:r w:rsidRPr="00AE6B5F">
        <w:t xml:space="preserve"> Soc</w:t>
      </w:r>
      <w:r w:rsidR="00B8787F" w:rsidRPr="00AE6B5F">
        <w:t>.</w:t>
      </w:r>
      <w:r w:rsidRPr="00AE6B5F">
        <w:t xml:space="preserve"> Psychol</w:t>
      </w:r>
      <w:r w:rsidR="00B8787F" w:rsidRPr="00AE6B5F">
        <w:t>.</w:t>
      </w:r>
      <w:r w:rsidRPr="00AE6B5F">
        <w:t xml:space="preserve"> Bull</w:t>
      </w:r>
      <w:r w:rsidR="00B8787F" w:rsidRPr="00AE6B5F">
        <w:t>.</w:t>
      </w:r>
      <w:r w:rsidRPr="00AE6B5F">
        <w:t xml:space="preserve"> 32</w:t>
      </w:r>
      <w:r w:rsidR="00B8787F" w:rsidRPr="00AE6B5F">
        <w:t xml:space="preserve"> </w:t>
      </w:r>
      <w:r w:rsidRPr="00AE6B5F">
        <w:t xml:space="preserve">(1), 16-26. </w:t>
      </w:r>
    </w:p>
    <w:p w14:paraId="7386595B" w14:textId="5AA427BA" w:rsidR="00662F79" w:rsidRPr="00AE6B5F" w:rsidRDefault="00662F79" w:rsidP="00FA7424">
      <w:pPr>
        <w:ind w:left="426" w:hanging="426"/>
        <w:jc w:val="both"/>
      </w:pPr>
      <w:r w:rsidRPr="00AE6B5F">
        <w:t>Bentall, R</w:t>
      </w:r>
      <w:r w:rsidR="00B8787F" w:rsidRPr="00AE6B5F">
        <w:t xml:space="preserve">. </w:t>
      </w:r>
      <w:r w:rsidRPr="00AE6B5F">
        <w:t>P.</w:t>
      </w:r>
      <w:r w:rsidR="00B8787F" w:rsidRPr="00AE6B5F">
        <w:t>,</w:t>
      </w:r>
      <w:r w:rsidRPr="00AE6B5F">
        <w:t xml:space="preserve"> Taylor, J</w:t>
      </w:r>
      <w:r w:rsidR="00B8787F" w:rsidRPr="00AE6B5F">
        <w:t xml:space="preserve">. </w:t>
      </w:r>
      <w:r w:rsidRPr="00AE6B5F">
        <w:t>L.</w:t>
      </w:r>
      <w:r w:rsidR="00B8787F" w:rsidRPr="00AE6B5F">
        <w:t>,</w:t>
      </w:r>
      <w:r w:rsidRPr="00AE6B5F">
        <w:t xml:space="preserve"> 2006. Psychological Processes and Paranoia: Implications for forensic </w:t>
      </w:r>
      <w:r w:rsidR="00B8787F" w:rsidRPr="00AE6B5F">
        <w:t>behavioural science. Behav. Sci.</w:t>
      </w:r>
      <w:r w:rsidRPr="00AE6B5F">
        <w:t xml:space="preserve"> Law. 24</w:t>
      </w:r>
      <w:r w:rsidR="00B8787F" w:rsidRPr="00AE6B5F">
        <w:t xml:space="preserve"> (3), </w:t>
      </w:r>
      <w:r w:rsidRPr="00AE6B5F">
        <w:t>277-294.</w:t>
      </w:r>
    </w:p>
    <w:p w14:paraId="041EE528" w14:textId="13577469" w:rsidR="00662F79" w:rsidRPr="00AE6B5F" w:rsidRDefault="00662F79" w:rsidP="00FA7424">
      <w:pPr>
        <w:ind w:left="426" w:hanging="426"/>
        <w:jc w:val="both"/>
      </w:pPr>
      <w:r w:rsidRPr="00AE6B5F">
        <w:t xml:space="preserve">Bora, E., </w:t>
      </w:r>
      <w:r w:rsidR="00B8787F" w:rsidRPr="00AE6B5F">
        <w:t>Pantelis, C</w:t>
      </w:r>
      <w:r w:rsidRPr="00AE6B5F">
        <w:t>.</w:t>
      </w:r>
      <w:r w:rsidR="00B8787F" w:rsidRPr="00AE6B5F">
        <w:t>,</w:t>
      </w:r>
      <w:r w:rsidRPr="00AE6B5F">
        <w:t xml:space="preserve"> 2013. Theory of mind impairments in first-episode psychosis, individuals at ultra-high risk for psychosis and in first-degree relatives of schizophrenia: systematic review and meta-analysis. Schizophr</w:t>
      </w:r>
      <w:r w:rsidR="00B8787F" w:rsidRPr="00AE6B5F">
        <w:t>.</w:t>
      </w:r>
      <w:r w:rsidR="000F042F" w:rsidRPr="00AE6B5F">
        <w:t xml:space="preserve"> Res.</w:t>
      </w:r>
      <w:r w:rsidRPr="00AE6B5F">
        <w:t xml:space="preserve"> 144</w:t>
      </w:r>
      <w:r w:rsidR="00B8787F" w:rsidRPr="00AE6B5F">
        <w:t xml:space="preserve"> </w:t>
      </w:r>
      <w:r w:rsidRPr="00AE6B5F">
        <w:t xml:space="preserve">(1-3), 31-36. </w:t>
      </w:r>
    </w:p>
    <w:p w14:paraId="3049F4FE" w14:textId="0CDEABD4" w:rsidR="00662F79" w:rsidRPr="00AE6B5F" w:rsidRDefault="00B8787F" w:rsidP="00FA7424">
      <w:pPr>
        <w:ind w:left="426" w:hanging="426"/>
        <w:jc w:val="both"/>
      </w:pPr>
      <w:r w:rsidRPr="00AE6B5F">
        <w:t>Bordon, N., O'Rourke, S., Hutton, P</w:t>
      </w:r>
      <w:r w:rsidR="00662F79" w:rsidRPr="00AE6B5F">
        <w:t>.</w:t>
      </w:r>
      <w:r w:rsidRPr="00AE6B5F">
        <w:t>,</w:t>
      </w:r>
      <w:r w:rsidR="00662F79" w:rsidRPr="00AE6B5F">
        <w:t xml:space="preserve"> submitted. The feasibility and clinical benefits of improving facial affect recognition impairments in schizophrenia: Systematic review and meta-analysis. </w:t>
      </w:r>
    </w:p>
    <w:p w14:paraId="1C755C52" w14:textId="39B6BC48" w:rsidR="00AA00DF" w:rsidRPr="00AE6B5F" w:rsidRDefault="00AA00DF" w:rsidP="00FA7424">
      <w:pPr>
        <w:ind w:left="426" w:hanging="426"/>
        <w:jc w:val="both"/>
      </w:pPr>
      <w:r w:rsidRPr="00AE6B5F">
        <w:t>Chan, C. C., Wong, R., Wang, K., Lee, T. M., 2008. Emotion recognition in Chinese people with schizophrenia. Psychiatry Res. 157 (1-3), 67-76.</w:t>
      </w:r>
    </w:p>
    <w:p w14:paraId="2048765D" w14:textId="4120A561" w:rsidR="00662F79" w:rsidRPr="00AE6B5F" w:rsidRDefault="00662F79" w:rsidP="00FA7424">
      <w:pPr>
        <w:ind w:left="426" w:hanging="426"/>
        <w:jc w:val="both"/>
      </w:pPr>
      <w:r w:rsidRPr="00AE6B5F">
        <w:t>Combs</w:t>
      </w:r>
      <w:r w:rsidR="00B8787F" w:rsidRPr="00AE6B5F">
        <w:t>,</w:t>
      </w:r>
      <w:r w:rsidRPr="00AE6B5F">
        <w:t xml:space="preserve"> D</w:t>
      </w:r>
      <w:r w:rsidR="00B8787F" w:rsidRPr="00AE6B5F">
        <w:t xml:space="preserve">. </w:t>
      </w:r>
      <w:r w:rsidRPr="00AE6B5F">
        <w:t>R</w:t>
      </w:r>
      <w:r w:rsidR="00B8787F" w:rsidRPr="00AE6B5F">
        <w:t>.</w:t>
      </w:r>
      <w:r w:rsidRPr="00AE6B5F">
        <w:t>, Penn</w:t>
      </w:r>
      <w:r w:rsidR="00B8787F" w:rsidRPr="00AE6B5F">
        <w:t>,</w:t>
      </w:r>
      <w:r w:rsidRPr="00AE6B5F">
        <w:t xml:space="preserve"> D</w:t>
      </w:r>
      <w:r w:rsidR="00B8787F" w:rsidRPr="00AE6B5F">
        <w:t xml:space="preserve">. </w:t>
      </w:r>
      <w:r w:rsidRPr="00AE6B5F">
        <w:t>L</w:t>
      </w:r>
      <w:r w:rsidR="00B8787F" w:rsidRPr="00AE6B5F">
        <w:t>.</w:t>
      </w:r>
      <w:r w:rsidRPr="00AE6B5F">
        <w:t>, Michael</w:t>
      </w:r>
      <w:r w:rsidR="00B8787F" w:rsidRPr="00AE6B5F">
        <w:t>,</w:t>
      </w:r>
      <w:r w:rsidRPr="00AE6B5F">
        <w:t xml:space="preserve"> C</w:t>
      </w:r>
      <w:r w:rsidR="00B8787F" w:rsidRPr="00AE6B5F">
        <w:t xml:space="preserve">. </w:t>
      </w:r>
      <w:r w:rsidRPr="00AE6B5F">
        <w:t>O</w:t>
      </w:r>
      <w:r w:rsidR="00B8787F" w:rsidRPr="00AE6B5F">
        <w:t>.</w:t>
      </w:r>
      <w:r w:rsidRPr="00AE6B5F">
        <w:t>, Basso</w:t>
      </w:r>
      <w:r w:rsidR="00B8787F" w:rsidRPr="00AE6B5F">
        <w:t>,</w:t>
      </w:r>
      <w:r w:rsidRPr="00AE6B5F">
        <w:t xml:space="preserve"> M</w:t>
      </w:r>
      <w:r w:rsidR="00B8787F" w:rsidRPr="00AE6B5F">
        <w:t xml:space="preserve">. </w:t>
      </w:r>
      <w:r w:rsidRPr="00AE6B5F">
        <w:t>R</w:t>
      </w:r>
      <w:r w:rsidR="00B8787F" w:rsidRPr="00AE6B5F">
        <w:t>.</w:t>
      </w:r>
      <w:r w:rsidRPr="00AE6B5F">
        <w:t>, Weideman</w:t>
      </w:r>
      <w:r w:rsidR="00B8787F" w:rsidRPr="00AE6B5F">
        <w:t>,</w:t>
      </w:r>
      <w:r w:rsidRPr="00AE6B5F">
        <w:t xml:space="preserve"> R</w:t>
      </w:r>
      <w:r w:rsidR="00B8787F" w:rsidRPr="00AE6B5F">
        <w:t>.</w:t>
      </w:r>
      <w:r w:rsidRPr="00AE6B5F">
        <w:t>, Siebenmorgan</w:t>
      </w:r>
      <w:r w:rsidR="00B8787F" w:rsidRPr="00AE6B5F">
        <w:t>,</w:t>
      </w:r>
      <w:r w:rsidRPr="00AE6B5F">
        <w:t xml:space="preserve"> M.</w:t>
      </w:r>
      <w:r w:rsidR="000F042F" w:rsidRPr="00AE6B5F">
        <w:t>,</w:t>
      </w:r>
      <w:r w:rsidRPr="00AE6B5F">
        <w:t xml:space="preserve"> 2009. Perceptions of hostility with and without persecu</w:t>
      </w:r>
      <w:r w:rsidR="000F042F" w:rsidRPr="00AE6B5F">
        <w:t xml:space="preserve">tory delusions. Cog Neuropsychiatry. 14 (1), </w:t>
      </w:r>
      <w:r w:rsidRPr="00AE6B5F">
        <w:t>30-52.</w:t>
      </w:r>
    </w:p>
    <w:p w14:paraId="16F18935" w14:textId="7A8EF891" w:rsidR="00662F79" w:rsidRPr="00AE6B5F" w:rsidRDefault="00662F79" w:rsidP="00FA7424">
      <w:pPr>
        <w:ind w:left="426" w:hanging="426"/>
        <w:jc w:val="both"/>
      </w:pPr>
      <w:r w:rsidRPr="00AE6B5F">
        <w:t>Combs, D</w:t>
      </w:r>
      <w:r w:rsidR="000F042F" w:rsidRPr="00AE6B5F">
        <w:t xml:space="preserve">. </w:t>
      </w:r>
      <w:r w:rsidRPr="00AE6B5F">
        <w:t>R.</w:t>
      </w:r>
      <w:r w:rsidR="000F042F" w:rsidRPr="00AE6B5F">
        <w:t>,</w:t>
      </w:r>
      <w:r w:rsidRPr="00AE6B5F">
        <w:t xml:space="preserve"> Penn, D</w:t>
      </w:r>
      <w:r w:rsidR="000F042F" w:rsidRPr="00AE6B5F">
        <w:t xml:space="preserve">. </w:t>
      </w:r>
      <w:r w:rsidRPr="00AE6B5F">
        <w:t>L.</w:t>
      </w:r>
      <w:r w:rsidR="000F042F" w:rsidRPr="00AE6B5F">
        <w:t>,</w:t>
      </w:r>
      <w:r w:rsidRPr="00AE6B5F">
        <w:t xml:space="preserve"> Wicher, M.</w:t>
      </w:r>
      <w:r w:rsidR="000F042F" w:rsidRPr="00AE6B5F">
        <w:t>,</w:t>
      </w:r>
      <w:r w:rsidRPr="00AE6B5F">
        <w:t xml:space="preserve"> Waldheter, E.</w:t>
      </w:r>
      <w:r w:rsidR="000F042F" w:rsidRPr="00AE6B5F">
        <w:t>,</w:t>
      </w:r>
      <w:r w:rsidRPr="00AE6B5F">
        <w:t xml:space="preserve"> 2007. The Ambiguous Intentions Hostility Questionnaire (AIHQ): A new measure for evaluating hostile social-cognitiv</w:t>
      </w:r>
      <w:r w:rsidR="000F042F" w:rsidRPr="00AE6B5F">
        <w:t>e biases in paranoia.  Cog.</w:t>
      </w:r>
      <w:r w:rsidRPr="00AE6B5F">
        <w:t xml:space="preserve"> Neur</w:t>
      </w:r>
      <w:r w:rsidR="000F042F" w:rsidRPr="00AE6B5F">
        <w:t>opsychiatry. 12 (</w:t>
      </w:r>
      <w:r w:rsidRPr="00AE6B5F">
        <w:t>2</w:t>
      </w:r>
      <w:r w:rsidR="000F042F" w:rsidRPr="00AE6B5F">
        <w:t>)</w:t>
      </w:r>
      <w:r w:rsidRPr="00AE6B5F">
        <w:t>, 128-143.</w:t>
      </w:r>
    </w:p>
    <w:p w14:paraId="4B296B4E" w14:textId="0B1A5590" w:rsidR="00662F79" w:rsidRPr="00AE6B5F" w:rsidRDefault="00662F79" w:rsidP="00FA7424">
      <w:pPr>
        <w:ind w:left="426" w:hanging="426"/>
        <w:jc w:val="both"/>
      </w:pPr>
      <w:r w:rsidRPr="00AE6B5F">
        <w:t>Combs, D</w:t>
      </w:r>
      <w:r w:rsidR="000F042F" w:rsidRPr="00AE6B5F">
        <w:t xml:space="preserve">. </w:t>
      </w:r>
      <w:r w:rsidRPr="00AE6B5F">
        <w:t>R., Adams, S.</w:t>
      </w:r>
      <w:r w:rsidR="000F042F" w:rsidRPr="00AE6B5F">
        <w:t xml:space="preserve"> </w:t>
      </w:r>
      <w:r w:rsidRPr="00AE6B5F">
        <w:t>D., Penn, D</w:t>
      </w:r>
      <w:r w:rsidR="000F042F" w:rsidRPr="00AE6B5F">
        <w:t xml:space="preserve">. </w:t>
      </w:r>
      <w:r w:rsidRPr="00AE6B5F">
        <w:t>L., Roberts, D.</w:t>
      </w:r>
      <w:r w:rsidR="000F042F" w:rsidRPr="00AE6B5F">
        <w:t xml:space="preserve"> </w:t>
      </w:r>
      <w:r w:rsidRPr="00AE6B5F">
        <w:t>L., Tiegreen, J., Stem, P.</w:t>
      </w:r>
      <w:r w:rsidR="000F042F" w:rsidRPr="00AE6B5F">
        <w:t>,</w:t>
      </w:r>
      <w:r w:rsidRPr="00AE6B5F">
        <w:t xml:space="preserve"> 2007. Social Cognition and Interaction Training (SCIT</w:t>
      </w:r>
      <w:r w:rsidR="000F042F" w:rsidRPr="00AE6B5F">
        <w:t>)</w:t>
      </w:r>
      <w:r w:rsidRPr="00AE6B5F">
        <w:t xml:space="preserve"> for inpatients with schizophrenia spectrum disorders: prel</w:t>
      </w:r>
      <w:r w:rsidR="000F042F" w:rsidRPr="00AE6B5F">
        <w:t>iminary findings.  Schizophr. Res. 91 (</w:t>
      </w:r>
      <w:r w:rsidRPr="00AE6B5F">
        <w:t>1-3</w:t>
      </w:r>
      <w:r w:rsidR="000F042F" w:rsidRPr="00AE6B5F">
        <w:t>)</w:t>
      </w:r>
      <w:r w:rsidRPr="00AE6B5F">
        <w:t>, 112-116.</w:t>
      </w:r>
    </w:p>
    <w:p w14:paraId="0F0659E5" w14:textId="6899C42C" w:rsidR="00662F79" w:rsidRPr="00AE6B5F" w:rsidRDefault="00662F79" w:rsidP="00FA7424">
      <w:pPr>
        <w:ind w:left="426" w:hanging="426"/>
        <w:jc w:val="both"/>
      </w:pPr>
      <w:r w:rsidRPr="00AE6B5F">
        <w:t>Corcoran, C. M., Keilp, J. G., Kayser, J., Klim, C., Butl</w:t>
      </w:r>
      <w:r w:rsidR="000F042F" w:rsidRPr="00AE6B5F">
        <w:t>er, P. D., Bruder, G. E., Gur, R. C., Javitt, D. C</w:t>
      </w:r>
      <w:r w:rsidRPr="00AE6B5F">
        <w:t>.</w:t>
      </w:r>
      <w:r w:rsidR="000F042F" w:rsidRPr="00AE6B5F">
        <w:t>,</w:t>
      </w:r>
      <w:r w:rsidRPr="00AE6B5F">
        <w:t xml:space="preserve"> 2015. Emotion recognition deficits as predictors of transition in individuals at clinical high risk for schizophrenia: a neurodevelopmental perspective. Psychol</w:t>
      </w:r>
      <w:r w:rsidR="000F042F" w:rsidRPr="00AE6B5F">
        <w:t>. Med. 45 (14), 2959-2973</w:t>
      </w:r>
      <w:r w:rsidRPr="00AE6B5F">
        <w:t xml:space="preserve">. </w:t>
      </w:r>
    </w:p>
    <w:p w14:paraId="01B34F68" w14:textId="5C1634B2" w:rsidR="00662F79" w:rsidRPr="00AE6B5F" w:rsidRDefault="00662F79" w:rsidP="00FA7424">
      <w:pPr>
        <w:ind w:left="426" w:hanging="426"/>
        <w:jc w:val="both"/>
      </w:pPr>
      <w:r w:rsidRPr="00AE6B5F">
        <w:t>Couture, S</w:t>
      </w:r>
      <w:r w:rsidR="000F042F" w:rsidRPr="00AE6B5F">
        <w:t xml:space="preserve">. </w:t>
      </w:r>
      <w:r w:rsidRPr="00AE6B5F">
        <w:t>M.</w:t>
      </w:r>
      <w:r w:rsidR="000F042F" w:rsidRPr="00AE6B5F">
        <w:t>,</w:t>
      </w:r>
      <w:r w:rsidRPr="00AE6B5F">
        <w:t xml:space="preserve"> Penn, D</w:t>
      </w:r>
      <w:r w:rsidR="000F042F" w:rsidRPr="00AE6B5F">
        <w:t xml:space="preserve">. </w:t>
      </w:r>
      <w:r w:rsidRPr="00AE6B5F">
        <w:t>L.</w:t>
      </w:r>
      <w:r w:rsidR="000F042F" w:rsidRPr="00AE6B5F">
        <w:t xml:space="preserve">, </w:t>
      </w:r>
      <w:r w:rsidRPr="00AE6B5F">
        <w:t>Roberts, D</w:t>
      </w:r>
      <w:r w:rsidR="000F042F" w:rsidRPr="00AE6B5F">
        <w:t xml:space="preserve">. </w:t>
      </w:r>
      <w:r w:rsidRPr="00AE6B5F">
        <w:t>L.</w:t>
      </w:r>
      <w:r w:rsidR="000F042F" w:rsidRPr="00AE6B5F">
        <w:t>, 2006. The functional significance of social cognition in schizophrenia: a review.  Schizophr. Bull. 32</w:t>
      </w:r>
      <w:r w:rsidRPr="00AE6B5F">
        <w:t xml:space="preserve"> </w:t>
      </w:r>
      <w:r w:rsidR="000F042F" w:rsidRPr="00AE6B5F">
        <w:t>(Suppl 1), S</w:t>
      </w:r>
      <w:r w:rsidRPr="00AE6B5F">
        <w:t>44-</w:t>
      </w:r>
      <w:r w:rsidR="000F042F" w:rsidRPr="00AE6B5F">
        <w:t>S</w:t>
      </w:r>
      <w:r w:rsidRPr="00AE6B5F">
        <w:t xml:space="preserve">63.  </w:t>
      </w:r>
    </w:p>
    <w:p w14:paraId="56F9F882" w14:textId="7CAABD41" w:rsidR="00662F79" w:rsidRPr="00AE6B5F" w:rsidRDefault="00662F79" w:rsidP="00FA7424">
      <w:pPr>
        <w:ind w:left="426" w:hanging="426"/>
        <w:jc w:val="both"/>
      </w:pPr>
      <w:r w:rsidRPr="00AE6B5F">
        <w:t>Craig, J</w:t>
      </w:r>
      <w:r w:rsidR="000F042F" w:rsidRPr="00AE6B5F">
        <w:t xml:space="preserve">. </w:t>
      </w:r>
      <w:r w:rsidRPr="00AE6B5F">
        <w:t>S</w:t>
      </w:r>
      <w:r w:rsidR="000F042F" w:rsidRPr="00AE6B5F">
        <w:t>.</w:t>
      </w:r>
      <w:r w:rsidRPr="00AE6B5F">
        <w:t>, Hatton, C</w:t>
      </w:r>
      <w:r w:rsidR="000F042F" w:rsidRPr="00AE6B5F">
        <w:t>.</w:t>
      </w:r>
      <w:r w:rsidRPr="00AE6B5F">
        <w:t>, Craig,</w:t>
      </w:r>
      <w:r w:rsidR="000F042F" w:rsidRPr="00AE6B5F">
        <w:t xml:space="preserve"> F. B., Bentall, R. P., </w:t>
      </w:r>
      <w:r w:rsidRPr="00AE6B5F">
        <w:t>2004. Persecutory beliefs, attributions and theory of mind: comparison of patients with paranoid delusions, Asperger's syndrome and healthy contr</w:t>
      </w:r>
      <w:r w:rsidR="000F042F" w:rsidRPr="00AE6B5F">
        <w:t>ols. Schizophr. Res. 69</w:t>
      </w:r>
      <w:r w:rsidRPr="00AE6B5F">
        <w:t xml:space="preserve"> </w:t>
      </w:r>
      <w:r w:rsidR="000F042F" w:rsidRPr="00AE6B5F">
        <w:t>(</w:t>
      </w:r>
      <w:r w:rsidRPr="00AE6B5F">
        <w:t>1</w:t>
      </w:r>
      <w:r w:rsidR="000F042F" w:rsidRPr="00AE6B5F">
        <w:t>)</w:t>
      </w:r>
      <w:r w:rsidRPr="00AE6B5F">
        <w:t>, 29-33.</w:t>
      </w:r>
    </w:p>
    <w:p w14:paraId="4EBF881E" w14:textId="44479992" w:rsidR="00662F79" w:rsidRPr="00AE6B5F" w:rsidRDefault="00662F79" w:rsidP="00FA7424">
      <w:pPr>
        <w:ind w:left="426" w:hanging="426"/>
        <w:jc w:val="both"/>
      </w:pPr>
      <w:r w:rsidRPr="00AE6B5F">
        <w:t>Derntl, B., Habel, U., Robinson, S., Windischberger, C., K</w:t>
      </w:r>
      <w:r w:rsidR="000F042F" w:rsidRPr="00AE6B5F">
        <w:t>ryspin-Exner, I., Gur, R. C., Moser, E</w:t>
      </w:r>
      <w:r w:rsidRPr="00AE6B5F">
        <w:t>.</w:t>
      </w:r>
      <w:r w:rsidR="000F042F" w:rsidRPr="00AE6B5F">
        <w:t>,</w:t>
      </w:r>
      <w:r w:rsidRPr="00AE6B5F">
        <w:t xml:space="preserve"> 2009. Amygdala activation during recognition of emotions in a foreign ethnic group is associated with</w:t>
      </w:r>
      <w:r w:rsidR="000F042F" w:rsidRPr="00AE6B5F">
        <w:t xml:space="preserve"> duration of stay. Soc. Neurosci.</w:t>
      </w:r>
      <w:r w:rsidRPr="00AE6B5F">
        <w:t xml:space="preserve"> 4</w:t>
      </w:r>
      <w:r w:rsidR="000F042F" w:rsidRPr="00AE6B5F">
        <w:t xml:space="preserve"> </w:t>
      </w:r>
      <w:r w:rsidRPr="00AE6B5F">
        <w:t xml:space="preserve">(4), 294-307. </w:t>
      </w:r>
    </w:p>
    <w:p w14:paraId="24D5BF2A" w14:textId="7178D162" w:rsidR="00662F79" w:rsidRPr="00AE6B5F" w:rsidRDefault="00662F79" w:rsidP="00FA7424">
      <w:pPr>
        <w:ind w:left="426" w:hanging="426"/>
        <w:jc w:val="both"/>
      </w:pPr>
      <w:r w:rsidRPr="00AE6B5F">
        <w:t>Ekman, P., Friesen, W</w:t>
      </w:r>
      <w:r w:rsidR="000F042F" w:rsidRPr="00AE6B5F">
        <w:t xml:space="preserve">. V., </w:t>
      </w:r>
      <w:r w:rsidRPr="00AE6B5F">
        <w:t>19</w:t>
      </w:r>
      <w:r w:rsidR="000F042F" w:rsidRPr="00AE6B5F">
        <w:t xml:space="preserve">76. Pictures of Facial Affect. </w:t>
      </w:r>
      <w:r w:rsidRPr="00AE6B5F">
        <w:t>University of California</w:t>
      </w:r>
      <w:r w:rsidR="000F042F" w:rsidRPr="00AE6B5F">
        <w:t>, San Francisco</w:t>
      </w:r>
      <w:r w:rsidRPr="00AE6B5F">
        <w:t>.</w:t>
      </w:r>
    </w:p>
    <w:p w14:paraId="3713870C" w14:textId="434B8FF2" w:rsidR="00662F79" w:rsidRPr="00AE6B5F" w:rsidRDefault="00662F79" w:rsidP="00FA7424">
      <w:pPr>
        <w:ind w:left="426" w:hanging="426"/>
        <w:jc w:val="both"/>
      </w:pPr>
      <w:r w:rsidRPr="00AE6B5F">
        <w:t>Fa</w:t>
      </w:r>
      <w:r w:rsidR="000F042F" w:rsidRPr="00AE6B5F">
        <w:t xml:space="preserve">ul, F., Erdfelder, E., Lang, A. </w:t>
      </w:r>
      <w:r w:rsidRPr="00AE6B5F">
        <w:t>G., Buchner, A.</w:t>
      </w:r>
      <w:r w:rsidR="000F042F" w:rsidRPr="00AE6B5F">
        <w:t>,</w:t>
      </w:r>
      <w:r w:rsidRPr="00AE6B5F">
        <w:t xml:space="preserve"> 2007. G*Power 3: A flexible statistical power analysis program for the social, behavioural</w:t>
      </w:r>
      <w:r w:rsidR="000F042F" w:rsidRPr="00AE6B5F">
        <w:t>, and biomedical sciences. Behav. Res.</w:t>
      </w:r>
      <w:r w:rsidRPr="00AE6B5F">
        <w:t xml:space="preserve"> Methods</w:t>
      </w:r>
      <w:r w:rsidR="000F042F" w:rsidRPr="00AE6B5F">
        <w:t>.</w:t>
      </w:r>
      <w:r w:rsidRPr="00AE6B5F">
        <w:t xml:space="preserve"> 39</w:t>
      </w:r>
      <w:r w:rsidR="000F042F" w:rsidRPr="00AE6B5F">
        <w:t xml:space="preserve"> (2)</w:t>
      </w:r>
      <w:r w:rsidRPr="00AE6B5F">
        <w:t>, 175-191</w:t>
      </w:r>
      <w:r w:rsidR="000F042F" w:rsidRPr="00AE6B5F">
        <w:t>.</w:t>
      </w:r>
    </w:p>
    <w:p w14:paraId="0330BA92" w14:textId="794E8002" w:rsidR="009C638C" w:rsidRPr="00AE6B5F" w:rsidRDefault="009C638C" w:rsidP="00FA7424">
      <w:pPr>
        <w:ind w:left="426" w:hanging="426"/>
        <w:jc w:val="both"/>
      </w:pPr>
      <w:r w:rsidRPr="00AE6B5F">
        <w:t>Forensic Mental Healt</w:t>
      </w:r>
      <w:r w:rsidR="000C6931" w:rsidRPr="00AE6B5F">
        <w:t>h Services Managed Care Network,</w:t>
      </w:r>
      <w:r w:rsidRPr="00AE6B5F">
        <w:t xml:space="preserve"> (2011). The Forensic Mental Health Matrix. Retrieved from http://www.forensicnetwork.scot.nhs.uk/forensic-matrix/resources on 9th November 2016</w:t>
      </w:r>
      <w:r w:rsidR="000C6931" w:rsidRPr="00AE6B5F">
        <w:t>.</w:t>
      </w:r>
    </w:p>
    <w:p w14:paraId="7F721308" w14:textId="3507BAE0" w:rsidR="00662F79" w:rsidRPr="00AE6B5F" w:rsidRDefault="00662F79" w:rsidP="00FA7424">
      <w:pPr>
        <w:ind w:left="426" w:hanging="426"/>
        <w:jc w:val="both"/>
      </w:pPr>
      <w:r w:rsidRPr="00AE6B5F">
        <w:t>Freeman, D.</w:t>
      </w:r>
      <w:r w:rsidR="000C6931" w:rsidRPr="00AE6B5F">
        <w:t>,</w:t>
      </w:r>
      <w:r w:rsidRPr="00AE6B5F">
        <w:t xml:space="preserve"> 2007. Suspicious minds: The psychology of</w:t>
      </w:r>
      <w:r w:rsidR="000C6931" w:rsidRPr="00AE6B5F">
        <w:t xml:space="preserve"> persecutory delusions. Clin. Psychol. Rev</w:t>
      </w:r>
      <w:r w:rsidRPr="00AE6B5F">
        <w:t xml:space="preserve">. </w:t>
      </w:r>
      <w:r w:rsidR="000C6931" w:rsidRPr="00AE6B5F">
        <w:t xml:space="preserve">27 (4), </w:t>
      </w:r>
      <w:r w:rsidRPr="00AE6B5F">
        <w:t>425-457.</w:t>
      </w:r>
    </w:p>
    <w:p w14:paraId="56510940" w14:textId="7D5AFF9B" w:rsidR="00662F79" w:rsidRPr="00AE6B5F" w:rsidRDefault="000C6931" w:rsidP="00FA7424">
      <w:pPr>
        <w:ind w:left="426" w:hanging="426"/>
        <w:jc w:val="both"/>
      </w:pPr>
      <w:r w:rsidRPr="00AE6B5F">
        <w:t xml:space="preserve">Freeman, D., </w:t>
      </w:r>
      <w:r w:rsidR="00662F79" w:rsidRPr="00AE6B5F">
        <w:t>Garety, P.</w:t>
      </w:r>
      <w:r w:rsidRPr="00AE6B5F">
        <w:t>,</w:t>
      </w:r>
      <w:r w:rsidR="00662F79" w:rsidRPr="00AE6B5F">
        <w:t xml:space="preserve"> 2014. Advances in understanding and treating persecu</w:t>
      </w:r>
      <w:r w:rsidRPr="00AE6B5F">
        <w:t>tory delusions: a review. Soc.</w:t>
      </w:r>
      <w:r w:rsidR="00662F79" w:rsidRPr="00AE6B5F">
        <w:t xml:space="preserve"> Psychiatry </w:t>
      </w:r>
      <w:r w:rsidRPr="00AE6B5F">
        <w:t xml:space="preserve">Psychiatr. Epidemiol. 49 (8), </w:t>
      </w:r>
      <w:r w:rsidR="00662F79" w:rsidRPr="00AE6B5F">
        <w:t>1179-1189.</w:t>
      </w:r>
    </w:p>
    <w:p w14:paraId="7DDCCA04" w14:textId="558BE893" w:rsidR="00662F79" w:rsidRPr="00AE6B5F" w:rsidRDefault="00662F79" w:rsidP="00FA7424">
      <w:pPr>
        <w:ind w:left="426" w:hanging="426"/>
        <w:jc w:val="both"/>
      </w:pPr>
      <w:r w:rsidRPr="00AE6B5F">
        <w:t>Frith, C.</w:t>
      </w:r>
      <w:r w:rsidR="000C6931" w:rsidRPr="00AE6B5F">
        <w:t>,</w:t>
      </w:r>
      <w:r w:rsidRPr="00AE6B5F">
        <w:t xml:space="preserve"> 1992. The Cognitive Neuropsychology of Schizophrenia. </w:t>
      </w:r>
      <w:r w:rsidR="000C6931" w:rsidRPr="00AE6B5F">
        <w:t>Lawrence Erlbaum Associates, Hove</w:t>
      </w:r>
      <w:r w:rsidRPr="00AE6B5F">
        <w:t xml:space="preserve">. </w:t>
      </w:r>
    </w:p>
    <w:p w14:paraId="1A3EFFA1" w14:textId="3F61B6EB" w:rsidR="00662F79" w:rsidRPr="00AE6B5F" w:rsidRDefault="000C6931" w:rsidP="00FA7424">
      <w:pPr>
        <w:ind w:left="426" w:hanging="426"/>
        <w:jc w:val="both"/>
      </w:pPr>
      <w:r w:rsidRPr="00AE6B5F">
        <w:t xml:space="preserve">Frith, C., </w:t>
      </w:r>
      <w:r w:rsidR="00662F79" w:rsidRPr="00AE6B5F">
        <w:t>Corcoran, R.</w:t>
      </w:r>
      <w:r w:rsidRPr="00AE6B5F">
        <w:t>,</w:t>
      </w:r>
      <w:r w:rsidR="00662F79" w:rsidRPr="00AE6B5F">
        <w:t xml:space="preserve"> 1996. Exploring ‘theory of mind’ in people w</w:t>
      </w:r>
      <w:r w:rsidRPr="00AE6B5F">
        <w:t>ith schizophrenia. Psychol. Med. 26 (</w:t>
      </w:r>
      <w:r w:rsidR="00662F79" w:rsidRPr="00AE6B5F">
        <w:t>3</w:t>
      </w:r>
      <w:r w:rsidRPr="00AE6B5F">
        <w:t>)</w:t>
      </w:r>
      <w:r w:rsidR="00662F79" w:rsidRPr="00AE6B5F">
        <w:t>, 521-530.</w:t>
      </w:r>
    </w:p>
    <w:p w14:paraId="50EEBE5E" w14:textId="7EB1061B" w:rsidR="00AA00DF" w:rsidRPr="00AE6B5F" w:rsidRDefault="00AA00DF" w:rsidP="00FA7424">
      <w:pPr>
        <w:ind w:left="426" w:hanging="426"/>
        <w:jc w:val="both"/>
      </w:pPr>
      <w:r w:rsidRPr="00AE6B5F">
        <w:t>Frommann</w:t>
      </w:r>
      <w:r w:rsidR="008247D5" w:rsidRPr="00AE6B5F">
        <w:t>, N., Stroth, S., Brinkmeyer, J., Wölwer, W., Luckhaus, C., 2013. Facial affect recognition performance and event-related potentials in violent and non-violent schizophrenia patients. Neuropsychobiology. 68 (3), 139-145.</w:t>
      </w:r>
      <w:r w:rsidRPr="00AE6B5F">
        <w:t xml:space="preserve"> </w:t>
      </w:r>
    </w:p>
    <w:p w14:paraId="7DE186D8" w14:textId="0336307C" w:rsidR="00662F79" w:rsidRPr="00AE6B5F" w:rsidRDefault="00662F79" w:rsidP="00FA7424">
      <w:pPr>
        <w:ind w:left="426" w:hanging="426"/>
        <w:jc w:val="both"/>
      </w:pPr>
      <w:r w:rsidRPr="00AE6B5F">
        <w:t xml:space="preserve">Garety, P. A., Kuipers, E., Fowler, D., Freeman, D., </w:t>
      </w:r>
      <w:r w:rsidR="000C6931" w:rsidRPr="00AE6B5F">
        <w:t>Bebbington, P. E</w:t>
      </w:r>
      <w:r w:rsidRPr="00AE6B5F">
        <w:t>.</w:t>
      </w:r>
      <w:r w:rsidR="000C6931" w:rsidRPr="00AE6B5F">
        <w:t>,</w:t>
      </w:r>
      <w:r w:rsidRPr="00AE6B5F">
        <w:t xml:space="preserve"> 2001. </w:t>
      </w:r>
      <w:r w:rsidR="000C6931" w:rsidRPr="00AE6B5F">
        <w:t>A cognitive model of the positive symptoms of psychosis. Psychol. Med.</w:t>
      </w:r>
      <w:r w:rsidRPr="00AE6B5F">
        <w:t xml:space="preserve"> 31</w:t>
      </w:r>
      <w:r w:rsidR="000C6931" w:rsidRPr="00AE6B5F">
        <w:t xml:space="preserve"> (2)</w:t>
      </w:r>
      <w:r w:rsidRPr="00AE6B5F">
        <w:t xml:space="preserve">, 189-195. </w:t>
      </w:r>
    </w:p>
    <w:p w14:paraId="4FFF17FC" w14:textId="66D8389C" w:rsidR="00662F79" w:rsidRPr="00AE6B5F" w:rsidRDefault="000C6931" w:rsidP="00FA7424">
      <w:pPr>
        <w:ind w:left="426" w:hanging="426"/>
        <w:jc w:val="both"/>
      </w:pPr>
      <w:r w:rsidRPr="00AE6B5F">
        <w:t xml:space="preserve">Garety, P. A., </w:t>
      </w:r>
      <w:r w:rsidR="00662F79" w:rsidRPr="00AE6B5F">
        <w:t>Freeman, D.</w:t>
      </w:r>
      <w:r w:rsidRPr="00AE6B5F">
        <w:t>,</w:t>
      </w:r>
      <w:r w:rsidR="00662F79" w:rsidRPr="00AE6B5F">
        <w:t xml:space="preserve"> 2013. The past and future of delusions research: from the inexplicable to the treatable. </w:t>
      </w:r>
      <w:r w:rsidRPr="00AE6B5F">
        <w:t xml:space="preserve">Br. J. Psychiatry. 203 (5), </w:t>
      </w:r>
      <w:r w:rsidR="00662F79" w:rsidRPr="00AE6B5F">
        <w:t>327-333.</w:t>
      </w:r>
    </w:p>
    <w:p w14:paraId="084800C8" w14:textId="2C928024" w:rsidR="00662F79" w:rsidRPr="00AE6B5F" w:rsidRDefault="00662F79" w:rsidP="00FA7424">
      <w:pPr>
        <w:ind w:left="426" w:hanging="426"/>
        <w:jc w:val="both"/>
      </w:pPr>
      <w:r w:rsidRPr="00AE6B5F">
        <w:t>Green, C. Freeman, D.</w:t>
      </w:r>
      <w:r w:rsidR="000C6931" w:rsidRPr="00AE6B5F">
        <w:t>,</w:t>
      </w:r>
      <w:r w:rsidRPr="00AE6B5F">
        <w:t xml:space="preserve"> Kuipers, E.</w:t>
      </w:r>
      <w:r w:rsidR="000C6931" w:rsidRPr="00AE6B5F">
        <w:t>,</w:t>
      </w:r>
      <w:r w:rsidRPr="00AE6B5F">
        <w:t xml:space="preserve"> Bebbington, P.</w:t>
      </w:r>
      <w:r w:rsidR="000C6931" w:rsidRPr="00AE6B5F">
        <w:t>,</w:t>
      </w:r>
      <w:r w:rsidRPr="00AE6B5F">
        <w:t xml:space="preserve"> Fowler, D.</w:t>
      </w:r>
      <w:r w:rsidR="000C6931" w:rsidRPr="00AE6B5F">
        <w:t>,</w:t>
      </w:r>
      <w:r w:rsidRPr="00AE6B5F">
        <w:t xml:space="preserve"> Dunn, G.</w:t>
      </w:r>
      <w:r w:rsidR="000C6931" w:rsidRPr="00AE6B5F">
        <w:t>,</w:t>
      </w:r>
      <w:r w:rsidRPr="00AE6B5F">
        <w:t xml:space="preserve"> Garety, P.A.</w:t>
      </w:r>
      <w:r w:rsidR="000C6931" w:rsidRPr="00AE6B5F">
        <w:t>,</w:t>
      </w:r>
      <w:r w:rsidRPr="00AE6B5F">
        <w:t xml:space="preserve"> 2008.  Measuring ideas of persecution and reference; the Green et al Paranoid Thought Scales (GPTS</w:t>
      </w:r>
      <w:r w:rsidR="000C6931" w:rsidRPr="00AE6B5F">
        <w:t>)</w:t>
      </w:r>
      <w:r w:rsidRPr="00AE6B5F">
        <w:t>.  Psych</w:t>
      </w:r>
      <w:r w:rsidR="000C6931" w:rsidRPr="00AE6B5F">
        <w:t>ol. Med. 38 (</w:t>
      </w:r>
      <w:r w:rsidRPr="00AE6B5F">
        <w:t>1</w:t>
      </w:r>
      <w:r w:rsidR="000C6931" w:rsidRPr="00AE6B5F">
        <w:t>)</w:t>
      </w:r>
      <w:r w:rsidRPr="00AE6B5F">
        <w:t>, 101-111.</w:t>
      </w:r>
    </w:p>
    <w:p w14:paraId="4D52B127" w14:textId="5F01D021" w:rsidR="00662F79" w:rsidRPr="00AE6B5F" w:rsidRDefault="000C6931" w:rsidP="00FA7424">
      <w:pPr>
        <w:ind w:left="426" w:hanging="426"/>
        <w:jc w:val="both"/>
      </w:pPr>
      <w:r w:rsidRPr="00AE6B5F">
        <w:t xml:space="preserve">Greig, T., </w:t>
      </w:r>
      <w:r w:rsidR="00662F79" w:rsidRPr="00AE6B5F">
        <w:t>Bryson, G.</w:t>
      </w:r>
      <w:r w:rsidRPr="00AE6B5F">
        <w:t>,</w:t>
      </w:r>
      <w:r w:rsidR="00662F79" w:rsidRPr="00AE6B5F">
        <w:t xml:space="preserve"> Morris, B.</w:t>
      </w:r>
      <w:r w:rsidRPr="00AE6B5F">
        <w:t>,</w:t>
      </w:r>
      <w:r w:rsidR="00662F79" w:rsidRPr="00AE6B5F">
        <w:t xml:space="preserve"> 2004. </w:t>
      </w:r>
      <w:r w:rsidRPr="00AE6B5F">
        <w:t>Theory of mind performance in schizophrenia:  diagnostic symptom, and neuropsychological correlates. J. Nerv. Ment. Dis. 192 (</w:t>
      </w:r>
      <w:r w:rsidR="00662F79" w:rsidRPr="00AE6B5F">
        <w:t>1</w:t>
      </w:r>
      <w:r w:rsidRPr="00AE6B5F">
        <w:t>)</w:t>
      </w:r>
      <w:r w:rsidR="00662F79" w:rsidRPr="00AE6B5F">
        <w:t>, 12-18.</w:t>
      </w:r>
    </w:p>
    <w:p w14:paraId="7862FD5B" w14:textId="034C6B8B" w:rsidR="00662F79" w:rsidRPr="00AE6B5F" w:rsidRDefault="00662F79" w:rsidP="00FA7424">
      <w:pPr>
        <w:ind w:left="426" w:hanging="426"/>
        <w:jc w:val="both"/>
      </w:pPr>
      <w:r w:rsidRPr="00AE6B5F">
        <w:t>Harrington, L. Langdon, R. Siegart, R. McClure, J.</w:t>
      </w:r>
      <w:r w:rsidR="000C6931" w:rsidRPr="00AE6B5F">
        <w:t>,</w:t>
      </w:r>
      <w:r w:rsidRPr="00AE6B5F">
        <w:t xml:space="preserve"> 2005.  Schizophrenia, theory of mind and p</w:t>
      </w:r>
      <w:r w:rsidR="000C6931" w:rsidRPr="00AE6B5F">
        <w:t>ersecutory delusions.  Cog. Neuropsychiatry. 10 (</w:t>
      </w:r>
      <w:r w:rsidRPr="00AE6B5F">
        <w:t>2</w:t>
      </w:r>
      <w:r w:rsidR="000C6931" w:rsidRPr="00AE6B5F">
        <w:t>)</w:t>
      </w:r>
      <w:r w:rsidRPr="00AE6B5F">
        <w:t>, 87-104.</w:t>
      </w:r>
    </w:p>
    <w:p w14:paraId="089E843F" w14:textId="336ED50C" w:rsidR="00662F79" w:rsidRPr="00AE6B5F" w:rsidRDefault="00662F79" w:rsidP="00FA7424">
      <w:pPr>
        <w:ind w:left="426" w:hanging="426"/>
        <w:jc w:val="both"/>
      </w:pPr>
      <w:r w:rsidRPr="00AE6B5F">
        <w:t>Herold, R. Tenyi, T. Lenard, K. Trixler, M.</w:t>
      </w:r>
      <w:r w:rsidR="000C6931" w:rsidRPr="00AE6B5F">
        <w:t>,</w:t>
      </w:r>
      <w:r w:rsidRPr="00AE6B5F">
        <w:t xml:space="preserve"> 2002. Theory of mind deficit in people with schizophrenia during remission. </w:t>
      </w:r>
      <w:r w:rsidR="000C6931" w:rsidRPr="00AE6B5F">
        <w:t>Psychol. Med. 32 (</w:t>
      </w:r>
      <w:r w:rsidRPr="00AE6B5F">
        <w:t>6</w:t>
      </w:r>
      <w:r w:rsidR="000C6931" w:rsidRPr="00AE6B5F">
        <w:t>)</w:t>
      </w:r>
      <w:r w:rsidRPr="00AE6B5F">
        <w:t>, 1125-1129.</w:t>
      </w:r>
    </w:p>
    <w:p w14:paraId="444425DA" w14:textId="525E8181" w:rsidR="00662F79" w:rsidRPr="00AE6B5F" w:rsidRDefault="000C6931" w:rsidP="00FA7424">
      <w:pPr>
        <w:ind w:left="426" w:hanging="426"/>
        <w:jc w:val="both"/>
      </w:pPr>
      <w:r w:rsidRPr="00AE6B5F">
        <w:t>Howes, O. D., Murray, R. M</w:t>
      </w:r>
      <w:r w:rsidR="00662F79" w:rsidRPr="00AE6B5F">
        <w:t>.</w:t>
      </w:r>
      <w:r w:rsidRPr="00AE6B5F">
        <w:t>,</w:t>
      </w:r>
      <w:r w:rsidR="00662F79" w:rsidRPr="00AE6B5F">
        <w:t xml:space="preserve"> 2014. Schizophrenia: an integrated sociodevelopmental-cognitive model</w:t>
      </w:r>
      <w:r w:rsidRPr="00AE6B5F">
        <w:t>. Lancet. 383 (9929), 1677-1687.</w:t>
      </w:r>
    </w:p>
    <w:p w14:paraId="056CE22F" w14:textId="16E5084E" w:rsidR="00662F79" w:rsidRPr="00AE6B5F" w:rsidRDefault="00662F79" w:rsidP="00FA7424">
      <w:pPr>
        <w:ind w:left="426" w:hanging="426"/>
        <w:jc w:val="both"/>
      </w:pPr>
      <w:r w:rsidRPr="00AE6B5F">
        <w:t xml:space="preserve">Hwa-Froelich, D. A., Matsuo, H., </w:t>
      </w:r>
      <w:r w:rsidR="00292AB6" w:rsidRPr="00AE6B5F">
        <w:t>Becker, J. C</w:t>
      </w:r>
      <w:r w:rsidRPr="00AE6B5F">
        <w:t>.</w:t>
      </w:r>
      <w:r w:rsidR="00292AB6" w:rsidRPr="00AE6B5F">
        <w:t>,</w:t>
      </w:r>
      <w:r w:rsidRPr="00AE6B5F">
        <w:t xml:space="preserve"> 2014. Emotion identification from facial expressions in children adopted internationally. Am</w:t>
      </w:r>
      <w:r w:rsidR="00292AB6" w:rsidRPr="00AE6B5F">
        <w:t>.</w:t>
      </w:r>
      <w:r w:rsidRPr="00AE6B5F">
        <w:t xml:space="preserve"> J</w:t>
      </w:r>
      <w:r w:rsidR="00292AB6" w:rsidRPr="00AE6B5F">
        <w:t>.</w:t>
      </w:r>
      <w:r w:rsidRPr="00AE6B5F">
        <w:t xml:space="preserve"> Speech Lang</w:t>
      </w:r>
      <w:r w:rsidR="00292AB6" w:rsidRPr="00AE6B5F">
        <w:t>.</w:t>
      </w:r>
      <w:r w:rsidRPr="00AE6B5F">
        <w:t xml:space="preserve"> Pathol</w:t>
      </w:r>
      <w:r w:rsidR="00292AB6" w:rsidRPr="00AE6B5F">
        <w:t>.</w:t>
      </w:r>
      <w:r w:rsidRPr="00AE6B5F">
        <w:t xml:space="preserve"> 23</w:t>
      </w:r>
      <w:r w:rsidR="00292AB6" w:rsidRPr="00AE6B5F">
        <w:t xml:space="preserve"> </w:t>
      </w:r>
      <w:r w:rsidRPr="00AE6B5F">
        <w:t xml:space="preserve">(4), 641-654. </w:t>
      </w:r>
    </w:p>
    <w:p w14:paraId="3D2DCB37" w14:textId="431B06F8" w:rsidR="00662F79" w:rsidRPr="00AE6B5F" w:rsidRDefault="00662F79" w:rsidP="00FA7424">
      <w:pPr>
        <w:ind w:left="426" w:hanging="426"/>
        <w:jc w:val="both"/>
      </w:pPr>
      <w:r w:rsidRPr="00AE6B5F">
        <w:t>Jahshan, C. S.</w:t>
      </w:r>
      <w:r w:rsidR="00292AB6" w:rsidRPr="00AE6B5F">
        <w:t>,</w:t>
      </w:r>
      <w:r w:rsidRPr="00AE6B5F">
        <w:t xml:space="preserve"> Sergi, M.</w:t>
      </w:r>
      <w:r w:rsidR="00292AB6" w:rsidRPr="00AE6B5F">
        <w:t xml:space="preserve"> </w:t>
      </w:r>
      <w:r w:rsidRPr="00AE6B5F">
        <w:t>J.</w:t>
      </w:r>
      <w:r w:rsidR="00292AB6" w:rsidRPr="00AE6B5F">
        <w:t>,</w:t>
      </w:r>
      <w:r w:rsidRPr="00AE6B5F">
        <w:t xml:space="preserve"> 2007. Theory of mind, neurocognition, and functional status i</w:t>
      </w:r>
      <w:r w:rsidR="00292AB6" w:rsidRPr="00AE6B5F">
        <w:t>n schizotypy. Schizophr. Res. 89</w:t>
      </w:r>
      <w:r w:rsidRPr="00AE6B5F">
        <w:t xml:space="preserve"> </w:t>
      </w:r>
      <w:r w:rsidR="00292AB6" w:rsidRPr="00AE6B5F">
        <w:t>(</w:t>
      </w:r>
      <w:r w:rsidRPr="00AE6B5F">
        <w:t>1-3</w:t>
      </w:r>
      <w:r w:rsidR="00292AB6" w:rsidRPr="00AE6B5F">
        <w:t>)</w:t>
      </w:r>
      <w:r w:rsidRPr="00AE6B5F">
        <w:t>, 278-286.</w:t>
      </w:r>
    </w:p>
    <w:p w14:paraId="20D9C1EB" w14:textId="16120E36" w:rsidR="00662F79" w:rsidRPr="00AE6B5F" w:rsidRDefault="00662F79" w:rsidP="00FA7424">
      <w:pPr>
        <w:ind w:left="426" w:hanging="426"/>
        <w:jc w:val="both"/>
      </w:pPr>
      <w:r w:rsidRPr="00AE6B5F">
        <w:t>Kern, R. S., Green, M.</w:t>
      </w:r>
      <w:r w:rsidR="00292AB6" w:rsidRPr="00AE6B5F">
        <w:t xml:space="preserve"> </w:t>
      </w:r>
      <w:r w:rsidRPr="00AE6B5F">
        <w:t>F., Fiske, A.</w:t>
      </w:r>
      <w:r w:rsidR="00292AB6" w:rsidRPr="00AE6B5F">
        <w:t xml:space="preserve"> </w:t>
      </w:r>
      <w:r w:rsidRPr="00AE6B5F">
        <w:t>P., Kee, K.</w:t>
      </w:r>
      <w:r w:rsidR="00292AB6" w:rsidRPr="00AE6B5F">
        <w:t xml:space="preserve"> </w:t>
      </w:r>
      <w:r w:rsidRPr="00AE6B5F">
        <w:t>S., Lee, J., Sergi, M. J., Horan, W.</w:t>
      </w:r>
      <w:r w:rsidR="00292AB6" w:rsidRPr="00AE6B5F">
        <w:t xml:space="preserve"> </w:t>
      </w:r>
      <w:r w:rsidRPr="00AE6B5F">
        <w:t>P., Subotnik, K.</w:t>
      </w:r>
      <w:r w:rsidR="00292AB6" w:rsidRPr="00AE6B5F">
        <w:t xml:space="preserve"> </w:t>
      </w:r>
      <w:r w:rsidRPr="00AE6B5F">
        <w:t>L., Suger, C. A.</w:t>
      </w:r>
      <w:r w:rsidR="00292AB6" w:rsidRPr="00AE6B5F">
        <w:t>,</w:t>
      </w:r>
      <w:r w:rsidRPr="00AE6B5F">
        <w:t xml:space="preserve"> Nuechterlein, K.</w:t>
      </w:r>
      <w:r w:rsidR="00292AB6" w:rsidRPr="00AE6B5F">
        <w:t xml:space="preserve"> </w:t>
      </w:r>
      <w:r w:rsidRPr="00AE6B5F">
        <w:t>H.</w:t>
      </w:r>
      <w:r w:rsidR="00292AB6" w:rsidRPr="00AE6B5F">
        <w:t>,</w:t>
      </w:r>
      <w:r w:rsidRPr="00AE6B5F">
        <w:t xml:space="preserve"> 2009. Theory of mind deficits for processing counterfactual information in persons with chronic schizo</w:t>
      </w:r>
      <w:r w:rsidR="00292AB6" w:rsidRPr="00AE6B5F">
        <w:t>phrenia.  Psychol. Med. 39 (</w:t>
      </w:r>
      <w:r w:rsidRPr="00AE6B5F">
        <w:t>4</w:t>
      </w:r>
      <w:r w:rsidR="00292AB6" w:rsidRPr="00AE6B5F">
        <w:t>)</w:t>
      </w:r>
      <w:r w:rsidRPr="00AE6B5F">
        <w:t>, 645-654.</w:t>
      </w:r>
    </w:p>
    <w:p w14:paraId="5CF10C0B" w14:textId="75783E3F" w:rsidR="00662F79" w:rsidRPr="00AE6B5F" w:rsidRDefault="00662F79" w:rsidP="00FA7424">
      <w:pPr>
        <w:ind w:left="426" w:hanging="426"/>
        <w:jc w:val="both"/>
      </w:pPr>
      <w:r w:rsidRPr="00AE6B5F">
        <w:t>Kohler, C.</w:t>
      </w:r>
      <w:r w:rsidR="00292AB6" w:rsidRPr="00AE6B5F">
        <w:t>,</w:t>
      </w:r>
      <w:r w:rsidRPr="00AE6B5F">
        <w:t xml:space="preserve"> Walker, J.</w:t>
      </w:r>
      <w:r w:rsidR="00292AB6" w:rsidRPr="00AE6B5F">
        <w:t>,</w:t>
      </w:r>
      <w:r w:rsidRPr="00AE6B5F">
        <w:t xml:space="preserve"> Marton, E</w:t>
      </w:r>
      <w:r w:rsidR="00292AB6" w:rsidRPr="00AE6B5F">
        <w:t>.</w:t>
      </w:r>
      <w:r w:rsidRPr="00AE6B5F">
        <w:t xml:space="preserve"> A.</w:t>
      </w:r>
      <w:r w:rsidR="00292AB6" w:rsidRPr="00AE6B5F">
        <w:t>,</w:t>
      </w:r>
      <w:r w:rsidRPr="00AE6B5F">
        <w:t xml:space="preserve">  Healey, K</w:t>
      </w:r>
      <w:r w:rsidR="00292AB6" w:rsidRPr="00AE6B5F">
        <w:t>.</w:t>
      </w:r>
      <w:r w:rsidRPr="00AE6B5F">
        <w:t xml:space="preserve"> M.</w:t>
      </w:r>
      <w:r w:rsidR="00292AB6" w:rsidRPr="00AE6B5F">
        <w:t>,</w:t>
      </w:r>
      <w:r w:rsidRPr="00AE6B5F">
        <w:t xml:space="preserve">  Moberg, P</w:t>
      </w:r>
      <w:r w:rsidR="00292AB6" w:rsidRPr="00AE6B5F">
        <w:t>.</w:t>
      </w:r>
      <w:r w:rsidRPr="00AE6B5F">
        <w:t xml:space="preserve"> J.</w:t>
      </w:r>
      <w:r w:rsidR="00292AB6" w:rsidRPr="00AE6B5F">
        <w:t>,</w:t>
      </w:r>
      <w:r w:rsidRPr="00AE6B5F">
        <w:t xml:space="preserve"> 2009. </w:t>
      </w:r>
      <w:r w:rsidR="00292AB6" w:rsidRPr="00AE6B5F">
        <w:t>Facial emotion perception in schizophrenia: a meta-analytic review.  Schizophr. Bull</w:t>
      </w:r>
      <w:r w:rsidRPr="00AE6B5F">
        <w:t>. 36 (5)</w:t>
      </w:r>
      <w:r w:rsidR="00292AB6" w:rsidRPr="00AE6B5F">
        <w:t xml:space="preserve">, </w:t>
      </w:r>
      <w:r w:rsidRPr="00AE6B5F">
        <w:t>1009-1019.</w:t>
      </w:r>
    </w:p>
    <w:p w14:paraId="2667DA43" w14:textId="3143896C" w:rsidR="00662F79" w:rsidRPr="00AE6B5F" w:rsidRDefault="00662F79" w:rsidP="00FA7424">
      <w:pPr>
        <w:ind w:left="426" w:hanging="426"/>
        <w:jc w:val="both"/>
      </w:pPr>
      <w:r w:rsidRPr="00AE6B5F">
        <w:t>Kosmidis, M.</w:t>
      </w:r>
      <w:r w:rsidR="00ED4EB9" w:rsidRPr="00AE6B5F">
        <w:t xml:space="preserve"> </w:t>
      </w:r>
      <w:r w:rsidRPr="00AE6B5F">
        <w:t>H., Aretouli, E., Bozikas, V.</w:t>
      </w:r>
      <w:r w:rsidR="00ED4EB9" w:rsidRPr="00AE6B5F">
        <w:t xml:space="preserve"> </w:t>
      </w:r>
      <w:r w:rsidRPr="00AE6B5F">
        <w:t>P., Giannakou, M.</w:t>
      </w:r>
      <w:r w:rsidR="00ED4EB9" w:rsidRPr="00AE6B5F">
        <w:t xml:space="preserve">, </w:t>
      </w:r>
      <w:r w:rsidRPr="00AE6B5F">
        <w:t>Ioannidis, P.</w:t>
      </w:r>
      <w:r w:rsidR="00ED4EB9" w:rsidRPr="00AE6B5F">
        <w:t>,</w:t>
      </w:r>
      <w:r w:rsidRPr="00AE6B5F">
        <w:t xml:space="preserve"> 2008. Studying social cognition in patients with schizophrenia and patients with frontotemporal dementia: Theory of mind and the per</w:t>
      </w:r>
      <w:r w:rsidR="00ED4EB9" w:rsidRPr="00AE6B5F">
        <w:t>ception of sarcasm.  Behav.</w:t>
      </w:r>
      <w:r w:rsidRPr="00AE6B5F">
        <w:t xml:space="preserve"> </w:t>
      </w:r>
      <w:r w:rsidR="00ED4EB9" w:rsidRPr="00AE6B5F">
        <w:t>Neurol. 19 (</w:t>
      </w:r>
      <w:r w:rsidRPr="00AE6B5F">
        <w:t>1-2</w:t>
      </w:r>
      <w:r w:rsidR="00ED4EB9" w:rsidRPr="00AE6B5F">
        <w:t>)</w:t>
      </w:r>
      <w:r w:rsidRPr="00AE6B5F">
        <w:t>, 65-69.</w:t>
      </w:r>
    </w:p>
    <w:p w14:paraId="792D1520" w14:textId="72E9C6F3" w:rsidR="00662F79" w:rsidRPr="00AE6B5F" w:rsidRDefault="000B6D33" w:rsidP="00FA7424">
      <w:pPr>
        <w:ind w:left="426" w:hanging="426"/>
        <w:jc w:val="both"/>
      </w:pPr>
      <w:r w:rsidRPr="00AE6B5F">
        <w:t>Kurtz, M. M., Richardson, C. L</w:t>
      </w:r>
      <w:r w:rsidR="00662F79" w:rsidRPr="00AE6B5F">
        <w:t>.</w:t>
      </w:r>
      <w:r w:rsidRPr="00AE6B5F">
        <w:t>,</w:t>
      </w:r>
      <w:r w:rsidR="00662F79" w:rsidRPr="00AE6B5F">
        <w:t xml:space="preserve"> 2012. </w:t>
      </w:r>
      <w:r w:rsidRPr="00AE6B5F">
        <w:t>Social cognitive training for schizophrenia: a meta-analytic investigation of controlled research. Schizophr. Bull.</w:t>
      </w:r>
      <w:r w:rsidR="00662F79" w:rsidRPr="00AE6B5F">
        <w:t xml:space="preserve"> 38</w:t>
      </w:r>
      <w:r w:rsidRPr="00AE6B5F">
        <w:t xml:space="preserve"> </w:t>
      </w:r>
      <w:r w:rsidR="00662F79" w:rsidRPr="00AE6B5F">
        <w:t xml:space="preserve">(5), 1092-1104. </w:t>
      </w:r>
    </w:p>
    <w:p w14:paraId="108AE345" w14:textId="1EBCE38F" w:rsidR="00AA00DF" w:rsidRPr="00AE6B5F" w:rsidRDefault="00AA00DF" w:rsidP="00FA7424">
      <w:pPr>
        <w:ind w:left="426" w:hanging="426"/>
        <w:jc w:val="both"/>
      </w:pPr>
      <w:r w:rsidRPr="00AE6B5F">
        <w:t>Luckhaus</w:t>
      </w:r>
      <w:r w:rsidR="008247D5" w:rsidRPr="00AE6B5F">
        <w:t xml:space="preserve">, C., Frommann, N., Stroth, S., Brinkmeyer, J., Wölwer, W. </w:t>
      </w:r>
      <w:r w:rsidRPr="00AE6B5F">
        <w:t>2013</w:t>
      </w:r>
      <w:r w:rsidR="008247D5" w:rsidRPr="00AE6B5F">
        <w:t>. Training of affect recognition in schizophrenia patients with violent offences: Behavioral treatment effects and electrophysiological correlates. Soc. Neurosci. 8 (5), 505-514.</w:t>
      </w:r>
    </w:p>
    <w:p w14:paraId="51907631" w14:textId="610178F9" w:rsidR="00662F79" w:rsidRPr="00AE6B5F" w:rsidRDefault="00662F79" w:rsidP="00FA7424">
      <w:pPr>
        <w:ind w:left="426" w:hanging="426"/>
        <w:jc w:val="both"/>
      </w:pPr>
      <w:r w:rsidRPr="00AE6B5F">
        <w:t>Majorek, K.</w:t>
      </w:r>
      <w:r w:rsidR="000B6D33" w:rsidRPr="00AE6B5F">
        <w:t>,</w:t>
      </w:r>
      <w:r w:rsidRPr="00AE6B5F">
        <w:t xml:space="preserve"> Wolfkuhler, W.</w:t>
      </w:r>
      <w:r w:rsidR="000B6D33" w:rsidRPr="00AE6B5F">
        <w:t>,</w:t>
      </w:r>
      <w:r w:rsidRPr="00AE6B5F">
        <w:t xml:space="preserve"> Kuper, C.</w:t>
      </w:r>
      <w:r w:rsidR="000B6D33" w:rsidRPr="00AE6B5F">
        <w:t>,</w:t>
      </w:r>
      <w:r w:rsidRPr="00AE6B5F">
        <w:t xml:space="preserve"> Saimeh, N.</w:t>
      </w:r>
      <w:r w:rsidR="000B6D33" w:rsidRPr="00AE6B5F">
        <w:t>,</w:t>
      </w:r>
      <w:r w:rsidRPr="00AE6B5F">
        <w:t xml:space="preserve"> Juckel, G.</w:t>
      </w:r>
      <w:r w:rsidR="000B6D33" w:rsidRPr="00AE6B5F">
        <w:t>,</w:t>
      </w:r>
      <w:r w:rsidRPr="00AE6B5F">
        <w:t xml:space="preserve"> Brune, M.</w:t>
      </w:r>
      <w:r w:rsidR="000B6D33" w:rsidRPr="00AE6B5F">
        <w:t>,</w:t>
      </w:r>
      <w:r w:rsidRPr="00AE6B5F">
        <w:t xml:space="preserve"> 2009. “Theory of Mind” and executive functioning in Forensi</w:t>
      </w:r>
      <w:r w:rsidR="00F75650" w:rsidRPr="00AE6B5F">
        <w:t>c Patients with Schizophrenia. J. Forensic Sci. 54</w:t>
      </w:r>
      <w:r w:rsidRPr="00AE6B5F">
        <w:t xml:space="preserve"> </w:t>
      </w:r>
      <w:r w:rsidR="00F75650" w:rsidRPr="00AE6B5F">
        <w:t>(</w:t>
      </w:r>
      <w:r w:rsidRPr="00AE6B5F">
        <w:t>2</w:t>
      </w:r>
      <w:r w:rsidR="00F75650" w:rsidRPr="00AE6B5F">
        <w:t>)</w:t>
      </w:r>
      <w:r w:rsidRPr="00AE6B5F">
        <w:t>, 469-473.</w:t>
      </w:r>
    </w:p>
    <w:p w14:paraId="2E132286" w14:textId="0B727D2B" w:rsidR="00662F79" w:rsidRPr="00AE6B5F" w:rsidRDefault="00662F79" w:rsidP="00FA7424">
      <w:pPr>
        <w:ind w:left="426" w:hanging="426"/>
        <w:jc w:val="both"/>
      </w:pPr>
      <w:r w:rsidRPr="00AE6B5F">
        <w:t>McDonald, S., Bornhofen, C., Shun, D., Long, E.</w:t>
      </w:r>
      <w:r w:rsidR="00F75650" w:rsidRPr="00AE6B5F">
        <w:t xml:space="preserve">, Saunders. C., Neulinger, K., </w:t>
      </w:r>
      <w:r w:rsidRPr="00AE6B5F">
        <w:t>2006.  Reliability and validity of ‘The Awareness of Social Inference Test’ (TASIT); A clini</w:t>
      </w:r>
      <w:r w:rsidR="00F75650" w:rsidRPr="00AE6B5F">
        <w:t>cal test of social perception. Disabil. Rehabil. 28 (</w:t>
      </w:r>
      <w:r w:rsidRPr="00AE6B5F">
        <w:t>24</w:t>
      </w:r>
      <w:r w:rsidR="00F75650" w:rsidRPr="00AE6B5F">
        <w:t>)</w:t>
      </w:r>
      <w:r w:rsidRPr="00AE6B5F">
        <w:t>, 1529-1542.</w:t>
      </w:r>
    </w:p>
    <w:p w14:paraId="2F2037A9" w14:textId="36AC8AF4" w:rsidR="00662F79" w:rsidRPr="00AE6B5F" w:rsidRDefault="00662F79" w:rsidP="00FA7424">
      <w:pPr>
        <w:ind w:left="426" w:hanging="426"/>
        <w:jc w:val="both"/>
      </w:pPr>
      <w:r w:rsidRPr="00AE6B5F">
        <w:t>McDonald, S., Flanagan, S., Rollins, J.</w:t>
      </w:r>
      <w:r w:rsidR="00F75650" w:rsidRPr="00AE6B5F">
        <w:t>,</w:t>
      </w:r>
      <w:r w:rsidRPr="00AE6B5F">
        <w:t xml:space="preserve"> 2002. The Awareness of Social Inference Test.  Pearson Assessment.</w:t>
      </w:r>
    </w:p>
    <w:p w14:paraId="02042517" w14:textId="69E38BF3" w:rsidR="00662F79" w:rsidRPr="00AE6B5F" w:rsidRDefault="00662F79" w:rsidP="00FA7424">
      <w:pPr>
        <w:ind w:left="426" w:hanging="426"/>
        <w:jc w:val="both"/>
      </w:pPr>
      <w:r w:rsidRPr="00AE6B5F">
        <w:t>Mehl, S., Rief, W., Lullman, E., Ziegler, M., Kesting, M</w:t>
      </w:r>
      <w:r w:rsidR="00F75650" w:rsidRPr="00AE6B5F">
        <w:t xml:space="preserve">. </w:t>
      </w:r>
      <w:r w:rsidRPr="00AE6B5F">
        <w:t>L., Lincoln, T</w:t>
      </w:r>
      <w:r w:rsidR="00F75650" w:rsidRPr="00AE6B5F">
        <w:t xml:space="preserve">. </w:t>
      </w:r>
      <w:r w:rsidRPr="00AE6B5F">
        <w:t>M.</w:t>
      </w:r>
      <w:r w:rsidR="00F75650" w:rsidRPr="00AE6B5F">
        <w:t>,</w:t>
      </w:r>
      <w:r w:rsidRPr="00AE6B5F">
        <w:t xml:space="preserve"> 2010. Are theory of mind deficits in understanding intentions of others associated with persecutory delusions?</w:t>
      </w:r>
      <w:r w:rsidR="00F75650" w:rsidRPr="00AE6B5F">
        <w:t xml:space="preserve"> J. Nerv. Ment. Dis.</w:t>
      </w:r>
      <w:r w:rsidRPr="00AE6B5F">
        <w:t xml:space="preserve"> </w:t>
      </w:r>
      <w:r w:rsidR="00F75650" w:rsidRPr="00AE6B5F">
        <w:t>198 (7), 516-519</w:t>
      </w:r>
      <w:r w:rsidRPr="00AE6B5F">
        <w:t>.</w:t>
      </w:r>
    </w:p>
    <w:p w14:paraId="740F9CE6" w14:textId="6AE12BCC" w:rsidR="00662F79" w:rsidRPr="00AE6B5F" w:rsidRDefault="00662F79" w:rsidP="00FA7424">
      <w:pPr>
        <w:ind w:left="426" w:hanging="426"/>
        <w:jc w:val="both"/>
      </w:pPr>
      <w:r w:rsidRPr="00AE6B5F">
        <w:t>Murphy, D.</w:t>
      </w:r>
      <w:r w:rsidR="00A94C58" w:rsidRPr="00AE6B5F">
        <w:t>,</w:t>
      </w:r>
      <w:r w:rsidRPr="00AE6B5F">
        <w:t xml:space="preserve"> 2007. Theory of mind functioning in mentally disordered offenders detained in high security psychiatric care: its relationship to clinical outcome, need and risk. </w:t>
      </w:r>
      <w:r w:rsidR="00A94C58" w:rsidRPr="00AE6B5F">
        <w:t>Crim. Behav. Ment. Health</w:t>
      </w:r>
      <w:r w:rsidRPr="00AE6B5F">
        <w:t>. 17</w:t>
      </w:r>
      <w:r w:rsidR="00A94C58" w:rsidRPr="00AE6B5F">
        <w:t xml:space="preserve"> (5)</w:t>
      </w:r>
      <w:r w:rsidRPr="00AE6B5F">
        <w:t>, 300-311.</w:t>
      </w:r>
    </w:p>
    <w:p w14:paraId="7881E43D" w14:textId="2E151DED" w:rsidR="00AA00DF" w:rsidRPr="00AE6B5F" w:rsidRDefault="00AA00DF" w:rsidP="00FA7424">
      <w:pPr>
        <w:ind w:left="426" w:hanging="426"/>
        <w:jc w:val="both"/>
      </w:pPr>
      <w:r w:rsidRPr="00AE6B5F">
        <w:t>Ogloff</w:t>
      </w:r>
      <w:r w:rsidR="008247D5" w:rsidRPr="00AE6B5F">
        <w:t>, J. R., Talevski, D., Lemphers, A., Wood, M., Simmons, M., 2015. Co-occurring mental illness, substance use disorders, and antisocial personality disorder among clients of forensic mental health services. Psychiatr. Rehabil. J.</w:t>
      </w:r>
      <w:r w:rsidRPr="00AE6B5F">
        <w:t xml:space="preserve"> </w:t>
      </w:r>
      <w:r w:rsidR="008247D5" w:rsidRPr="00AE6B5F">
        <w:t xml:space="preserve">28 (1), 16-23. </w:t>
      </w:r>
      <w:r w:rsidRPr="00AE6B5F">
        <w:t xml:space="preserve"> </w:t>
      </w:r>
    </w:p>
    <w:p w14:paraId="24B288FE" w14:textId="63F6B723" w:rsidR="00AA00DF" w:rsidRPr="00AE6B5F" w:rsidRDefault="00AA00DF" w:rsidP="008247D5">
      <w:pPr>
        <w:ind w:left="426" w:hanging="426"/>
        <w:jc w:val="both"/>
      </w:pPr>
      <w:r w:rsidRPr="00AE6B5F">
        <w:t>Pinkham</w:t>
      </w:r>
      <w:r w:rsidR="008247D5" w:rsidRPr="00AE6B5F">
        <w:t xml:space="preserve">, A. E., Harvey, P. D., Penn, D. L., </w:t>
      </w:r>
      <w:r w:rsidRPr="00AE6B5F">
        <w:t>2016</w:t>
      </w:r>
      <w:r w:rsidR="008247D5" w:rsidRPr="00AE6B5F">
        <w:t>. Paranoid individuals with schizophrenia show greater social cognitive bias and worse social functioning than non-paranoid individuals with schizophrenia. Schizophr. Res. Cogn. 3, 33-38.</w:t>
      </w:r>
    </w:p>
    <w:p w14:paraId="16031095" w14:textId="2D36A707" w:rsidR="00662F79" w:rsidRPr="00AE6B5F" w:rsidRDefault="00662F79" w:rsidP="00FA7424">
      <w:pPr>
        <w:ind w:left="426" w:hanging="426"/>
        <w:jc w:val="both"/>
      </w:pPr>
      <w:r w:rsidRPr="00AE6B5F">
        <w:t xml:space="preserve">Piskulic, D., Liu, L., Cadenhead, K. S., Cannon, T. D., Cornblatt, B. A., McGlashan, T. H., </w:t>
      </w:r>
      <w:r w:rsidR="00A94C58" w:rsidRPr="00AE6B5F">
        <w:t>Perkins, D. O., Seidman, L. J., Tsuang, M. T., Walker, E. F., Woods, S. W., Bearden, C. D., Mathalon, D. H., Addington, J</w:t>
      </w:r>
      <w:r w:rsidRPr="00AE6B5F">
        <w:t>.</w:t>
      </w:r>
      <w:r w:rsidR="00A94C58" w:rsidRPr="00AE6B5F">
        <w:t>,</w:t>
      </w:r>
      <w:r w:rsidRPr="00AE6B5F">
        <w:t xml:space="preserve"> 2016. Social cognition over time in individuals at clinical high risk for psychosis: Findings from the NAPLS-2 cohort. Schizophr</w:t>
      </w:r>
      <w:r w:rsidR="00A94C58" w:rsidRPr="00AE6B5F">
        <w:t>.</w:t>
      </w:r>
      <w:r w:rsidRPr="00AE6B5F">
        <w:t xml:space="preserve"> Res</w:t>
      </w:r>
      <w:r w:rsidR="00A94C58" w:rsidRPr="00AE6B5F">
        <w:t>.</w:t>
      </w:r>
      <w:r w:rsidRPr="00AE6B5F">
        <w:t xml:space="preserve"> 171</w:t>
      </w:r>
      <w:r w:rsidR="00A94C58" w:rsidRPr="00AE6B5F">
        <w:t xml:space="preserve"> </w:t>
      </w:r>
      <w:r w:rsidRPr="00AE6B5F">
        <w:t>(1-3), 176-181</w:t>
      </w:r>
      <w:r w:rsidR="00A94C58" w:rsidRPr="00AE6B5F">
        <w:t>.</w:t>
      </w:r>
    </w:p>
    <w:p w14:paraId="0E9FD343" w14:textId="1AA49D1D" w:rsidR="00662F79" w:rsidRPr="00AE6B5F" w:rsidRDefault="00662F79" w:rsidP="00FA7424">
      <w:pPr>
        <w:ind w:left="426" w:hanging="426"/>
        <w:jc w:val="both"/>
      </w:pPr>
      <w:r w:rsidRPr="00AE6B5F">
        <w:t xml:space="preserve">Pollak, S. D., </w:t>
      </w:r>
      <w:r w:rsidR="00A94C58" w:rsidRPr="00AE6B5F">
        <w:t>Kistler, D. J</w:t>
      </w:r>
      <w:r w:rsidRPr="00AE6B5F">
        <w:t>.</w:t>
      </w:r>
      <w:r w:rsidR="00A94C58" w:rsidRPr="00AE6B5F">
        <w:t>,</w:t>
      </w:r>
      <w:r w:rsidRPr="00AE6B5F">
        <w:t xml:space="preserve"> 2002. Early experience is associated with the development of categorical representations for facial expressions of emotion. Proc</w:t>
      </w:r>
      <w:r w:rsidR="00A94C58" w:rsidRPr="00AE6B5F">
        <w:t>.</w:t>
      </w:r>
      <w:r w:rsidRPr="00AE6B5F">
        <w:t xml:space="preserve"> Natl</w:t>
      </w:r>
      <w:r w:rsidR="00A94C58" w:rsidRPr="00AE6B5F">
        <w:t>.</w:t>
      </w:r>
      <w:r w:rsidRPr="00AE6B5F">
        <w:t xml:space="preserve"> Acad</w:t>
      </w:r>
      <w:r w:rsidR="00A94C58" w:rsidRPr="00AE6B5F">
        <w:t>.</w:t>
      </w:r>
      <w:r w:rsidRPr="00AE6B5F">
        <w:t xml:space="preserve"> Sci</w:t>
      </w:r>
      <w:r w:rsidR="00A94C58" w:rsidRPr="00AE6B5F">
        <w:t>. US</w:t>
      </w:r>
      <w:r w:rsidRPr="00AE6B5F">
        <w:t>A</w:t>
      </w:r>
      <w:r w:rsidR="00A94C58" w:rsidRPr="00AE6B5F">
        <w:t>.</w:t>
      </w:r>
      <w:r w:rsidRPr="00AE6B5F">
        <w:t xml:space="preserve"> 99</w:t>
      </w:r>
      <w:r w:rsidR="00A94C58" w:rsidRPr="00AE6B5F">
        <w:t xml:space="preserve"> </w:t>
      </w:r>
      <w:r w:rsidRPr="00AE6B5F">
        <w:t>(13), 9072-9076</w:t>
      </w:r>
      <w:r w:rsidR="00A94C58" w:rsidRPr="00AE6B5F">
        <w:t>.</w:t>
      </w:r>
    </w:p>
    <w:p w14:paraId="24786E7C" w14:textId="09A33E54" w:rsidR="00662F79" w:rsidRPr="00AE6B5F" w:rsidRDefault="00662F79" w:rsidP="00FA7424">
      <w:pPr>
        <w:ind w:left="426" w:hanging="426"/>
        <w:jc w:val="both"/>
      </w:pPr>
      <w:r w:rsidRPr="00AE6B5F">
        <w:t>Randall, F. Corcoran, R.</w:t>
      </w:r>
      <w:r w:rsidR="00A94C58" w:rsidRPr="00AE6B5F">
        <w:t>,</w:t>
      </w:r>
      <w:r w:rsidRPr="00AE6B5F">
        <w:t xml:space="preserve"> Day, J</w:t>
      </w:r>
      <w:r w:rsidR="00A94C58" w:rsidRPr="00AE6B5F">
        <w:t xml:space="preserve">. </w:t>
      </w:r>
      <w:r w:rsidRPr="00AE6B5F">
        <w:t>C.</w:t>
      </w:r>
      <w:r w:rsidR="00A94C58" w:rsidRPr="00AE6B5F">
        <w:t>,</w:t>
      </w:r>
      <w:r w:rsidRPr="00AE6B5F">
        <w:t xml:space="preserve"> </w:t>
      </w:r>
      <w:r w:rsidR="00A94C58" w:rsidRPr="00AE6B5F">
        <w:t xml:space="preserve">Bentall, R. P., </w:t>
      </w:r>
      <w:r w:rsidRPr="00AE6B5F">
        <w:t>2003. Attention, theory of mind, and causal attribution in people with persecutory delusions: a prel</w:t>
      </w:r>
      <w:r w:rsidR="00A94C58" w:rsidRPr="00AE6B5F">
        <w:t>iminary investigation. Cogn.</w:t>
      </w:r>
      <w:r w:rsidR="00DA33F7" w:rsidRPr="00AE6B5F">
        <w:t xml:space="preserve"> Neuropsychiatry.</w:t>
      </w:r>
      <w:r w:rsidRPr="00AE6B5F">
        <w:t xml:space="preserve"> 8</w:t>
      </w:r>
      <w:r w:rsidR="00A94C58" w:rsidRPr="00AE6B5F">
        <w:t xml:space="preserve"> (4)</w:t>
      </w:r>
      <w:r w:rsidRPr="00AE6B5F">
        <w:t>, 287-294.</w:t>
      </w:r>
    </w:p>
    <w:p w14:paraId="3B3346EA" w14:textId="79381302" w:rsidR="00662F79" w:rsidRPr="00AE6B5F" w:rsidRDefault="00662F79" w:rsidP="00FA7424">
      <w:pPr>
        <w:ind w:left="426" w:hanging="426"/>
        <w:jc w:val="both"/>
      </w:pPr>
      <w:r w:rsidRPr="00AE6B5F">
        <w:t>Salvatore, G.</w:t>
      </w:r>
      <w:r w:rsidR="00F7421B" w:rsidRPr="00AE6B5F">
        <w:t>,</w:t>
      </w:r>
      <w:r w:rsidRPr="00AE6B5F">
        <w:t xml:space="preserve"> Lysaker, P.</w:t>
      </w:r>
      <w:r w:rsidR="00F7421B" w:rsidRPr="00AE6B5F">
        <w:t>,</w:t>
      </w:r>
      <w:r w:rsidRPr="00AE6B5F">
        <w:t xml:space="preserve"> Popolo, R.</w:t>
      </w:r>
      <w:r w:rsidR="00F7421B" w:rsidRPr="00AE6B5F">
        <w:t>,</w:t>
      </w:r>
      <w:r w:rsidRPr="00AE6B5F">
        <w:t xml:space="preserve"> Procacci, M.</w:t>
      </w:r>
      <w:r w:rsidR="00F7421B" w:rsidRPr="00AE6B5F">
        <w:t>,</w:t>
      </w:r>
      <w:r w:rsidRPr="00AE6B5F">
        <w:t xml:space="preserve"> Carcione, A.</w:t>
      </w:r>
      <w:r w:rsidR="00F7421B" w:rsidRPr="00AE6B5F">
        <w:t>,</w:t>
      </w:r>
      <w:r w:rsidRPr="00AE6B5F">
        <w:t xml:space="preserve"> Dimaggio, G.</w:t>
      </w:r>
      <w:r w:rsidR="00F7421B" w:rsidRPr="00AE6B5F">
        <w:t>,</w:t>
      </w:r>
      <w:r w:rsidRPr="00AE6B5F">
        <w:t xml:space="preserve"> 2012. Vulnerable self, poor understanding of others’ minds, threat anticipation and cognitive biases as triggers for delusional experience in schizophreni</w:t>
      </w:r>
      <w:r w:rsidR="00F7421B" w:rsidRPr="00AE6B5F">
        <w:t>a: a theoretical model.</w:t>
      </w:r>
      <w:r w:rsidR="00DA33F7" w:rsidRPr="00AE6B5F">
        <w:t xml:space="preserve"> Clin. Psychol. and Psychother.</w:t>
      </w:r>
      <w:r w:rsidRPr="00AE6B5F">
        <w:t xml:space="preserve"> 19</w:t>
      </w:r>
      <w:r w:rsidR="00F7421B" w:rsidRPr="00AE6B5F">
        <w:t xml:space="preserve"> (3), </w:t>
      </w:r>
      <w:r w:rsidRPr="00AE6B5F">
        <w:t xml:space="preserve">247-259. </w:t>
      </w:r>
    </w:p>
    <w:p w14:paraId="39345DDE" w14:textId="5C635D15" w:rsidR="00662F79" w:rsidRPr="00AE6B5F" w:rsidRDefault="00662F79" w:rsidP="00FA7424">
      <w:pPr>
        <w:ind w:left="426" w:hanging="426"/>
        <w:jc w:val="both"/>
      </w:pPr>
      <w:r w:rsidRPr="00AE6B5F">
        <w:t>Savla, G</w:t>
      </w:r>
      <w:r w:rsidR="00F7421B" w:rsidRPr="00AE6B5F">
        <w:t xml:space="preserve">. </w:t>
      </w:r>
      <w:r w:rsidRPr="00AE6B5F">
        <w:t>N.</w:t>
      </w:r>
      <w:r w:rsidR="00F7421B" w:rsidRPr="00AE6B5F">
        <w:t>,</w:t>
      </w:r>
      <w:r w:rsidRPr="00AE6B5F">
        <w:t xml:space="preserve"> Vella, L.</w:t>
      </w:r>
      <w:r w:rsidR="00F7421B" w:rsidRPr="00AE6B5F">
        <w:t>,</w:t>
      </w:r>
      <w:r w:rsidRPr="00AE6B5F">
        <w:t xml:space="preserve"> Armstrong, C</w:t>
      </w:r>
      <w:r w:rsidR="00F7421B" w:rsidRPr="00AE6B5F">
        <w:t xml:space="preserve">. </w:t>
      </w:r>
      <w:r w:rsidRPr="00AE6B5F">
        <w:t>C.</w:t>
      </w:r>
      <w:r w:rsidR="00F7421B" w:rsidRPr="00AE6B5F">
        <w:t>,</w:t>
      </w:r>
      <w:r w:rsidRPr="00AE6B5F">
        <w:t xml:space="preserve"> Penn, D</w:t>
      </w:r>
      <w:r w:rsidR="00F7421B" w:rsidRPr="00AE6B5F">
        <w:t xml:space="preserve">. </w:t>
      </w:r>
      <w:r w:rsidRPr="00AE6B5F">
        <w:t>L.</w:t>
      </w:r>
      <w:r w:rsidR="00F7421B" w:rsidRPr="00AE6B5F">
        <w:t>,</w:t>
      </w:r>
      <w:r w:rsidRPr="00AE6B5F">
        <w:t xml:space="preserve"> Twamley, E</w:t>
      </w:r>
      <w:r w:rsidR="00F7421B" w:rsidRPr="00AE6B5F">
        <w:t xml:space="preserve">. </w:t>
      </w:r>
      <w:r w:rsidRPr="00AE6B5F">
        <w:t>W.</w:t>
      </w:r>
      <w:r w:rsidR="00F7421B" w:rsidRPr="00AE6B5F">
        <w:t>,</w:t>
      </w:r>
      <w:r w:rsidRPr="00AE6B5F">
        <w:t xml:space="preserve"> 2012. Deficits in domains of social cognition in schizophrenia: A meta-analysis of the e</w:t>
      </w:r>
      <w:r w:rsidR="00DA33F7" w:rsidRPr="00AE6B5F">
        <w:t>mpirical evidence. Schizophr. Bull.</w:t>
      </w:r>
      <w:r w:rsidRPr="00AE6B5F">
        <w:t xml:space="preserve"> </w:t>
      </w:r>
      <w:r w:rsidR="00DA33F7" w:rsidRPr="00AE6B5F">
        <w:t>39 (5), 979-992.</w:t>
      </w:r>
    </w:p>
    <w:p w14:paraId="2901E5D7" w14:textId="7734A196" w:rsidR="00662F79" w:rsidRPr="00AE6B5F" w:rsidRDefault="00662F79" w:rsidP="00FA7424">
      <w:pPr>
        <w:ind w:left="426" w:hanging="426"/>
        <w:jc w:val="both"/>
      </w:pPr>
      <w:r w:rsidRPr="00AE6B5F">
        <w:t xml:space="preserve">Selten, J. P., van der Ven, E., Rutten, B. P., </w:t>
      </w:r>
      <w:r w:rsidR="00DA33F7" w:rsidRPr="00AE6B5F">
        <w:t>Cantor-Graae, E</w:t>
      </w:r>
      <w:r w:rsidRPr="00AE6B5F">
        <w:t>.</w:t>
      </w:r>
      <w:r w:rsidR="00DA33F7" w:rsidRPr="00AE6B5F">
        <w:t>,</w:t>
      </w:r>
      <w:r w:rsidRPr="00AE6B5F">
        <w:t xml:space="preserve"> 2013. The social defeat hypothesis of schizophrenia: an update. Schizophr</w:t>
      </w:r>
      <w:r w:rsidR="00DA33F7" w:rsidRPr="00AE6B5F">
        <w:t>. Bull.</w:t>
      </w:r>
      <w:r w:rsidRPr="00AE6B5F">
        <w:t xml:space="preserve"> 39</w:t>
      </w:r>
      <w:r w:rsidR="00DA33F7" w:rsidRPr="00AE6B5F">
        <w:t xml:space="preserve"> </w:t>
      </w:r>
      <w:r w:rsidRPr="00AE6B5F">
        <w:t xml:space="preserve">(6), 1180-1186. </w:t>
      </w:r>
    </w:p>
    <w:p w14:paraId="48DB3AED" w14:textId="771E651E" w:rsidR="00662F79" w:rsidRPr="00AE6B5F" w:rsidRDefault="00662F79" w:rsidP="00FA7424">
      <w:pPr>
        <w:ind w:left="426" w:hanging="426"/>
        <w:jc w:val="both"/>
      </w:pPr>
      <w:r w:rsidRPr="00AE6B5F">
        <w:t>Sparks, A.</w:t>
      </w:r>
      <w:r w:rsidR="00DA33F7" w:rsidRPr="00AE6B5F">
        <w:t>,</w:t>
      </w:r>
      <w:r w:rsidRPr="00AE6B5F">
        <w:t xml:space="preserve"> McDonald, S.</w:t>
      </w:r>
      <w:r w:rsidR="00DA33F7" w:rsidRPr="00AE6B5F">
        <w:t xml:space="preserve">, Lino, </w:t>
      </w:r>
      <w:r w:rsidRPr="00AE6B5F">
        <w:t>B.</w:t>
      </w:r>
      <w:r w:rsidR="00DA33F7" w:rsidRPr="00AE6B5F">
        <w:t>,</w:t>
      </w:r>
      <w:r w:rsidRPr="00AE6B5F">
        <w:t xml:space="preserve"> O’Donnell, M.</w:t>
      </w:r>
      <w:r w:rsidR="00DA33F7" w:rsidRPr="00AE6B5F">
        <w:t>,</w:t>
      </w:r>
      <w:r w:rsidRPr="00AE6B5F">
        <w:t xml:space="preserve"> Green, M</w:t>
      </w:r>
      <w:r w:rsidR="00DA33F7" w:rsidRPr="00AE6B5F">
        <w:t xml:space="preserve">. </w:t>
      </w:r>
      <w:r w:rsidRPr="00AE6B5F">
        <w:t>J.</w:t>
      </w:r>
      <w:r w:rsidR="00DA33F7" w:rsidRPr="00AE6B5F">
        <w:t>,</w:t>
      </w:r>
      <w:r w:rsidRPr="00AE6B5F">
        <w:t xml:space="preserve"> 2010. Social Cognition, empathy and functional outcome in schizo</w:t>
      </w:r>
      <w:r w:rsidR="00DA33F7" w:rsidRPr="00AE6B5F">
        <w:t xml:space="preserve">phrenia. Schizophr. Res. 122 (1-3), </w:t>
      </w:r>
      <w:r w:rsidRPr="00AE6B5F">
        <w:t>172-178.</w:t>
      </w:r>
    </w:p>
    <w:p w14:paraId="1D707D6D" w14:textId="2C360063" w:rsidR="00662F79" w:rsidRPr="00AE6B5F" w:rsidRDefault="00662F79" w:rsidP="00FA7424">
      <w:pPr>
        <w:ind w:left="426" w:hanging="426"/>
        <w:jc w:val="both"/>
      </w:pPr>
      <w:r w:rsidRPr="00AE6B5F">
        <w:t>Sprong, M. Schothorst, P. Vos, E.</w:t>
      </w:r>
      <w:r w:rsidR="00DA33F7" w:rsidRPr="00AE6B5F">
        <w:t>,</w:t>
      </w:r>
      <w:r w:rsidRPr="00AE6B5F">
        <w:t xml:space="preserve"> Hox, J.</w:t>
      </w:r>
      <w:r w:rsidR="00DA33F7" w:rsidRPr="00AE6B5F">
        <w:t>,</w:t>
      </w:r>
      <w:r w:rsidRPr="00AE6B5F">
        <w:t xml:space="preserve"> Van Engeland, H.</w:t>
      </w:r>
      <w:r w:rsidR="00DA33F7" w:rsidRPr="00AE6B5F">
        <w:t>,</w:t>
      </w:r>
      <w:r w:rsidRPr="00AE6B5F">
        <w:t xml:space="preserve"> 2007. </w:t>
      </w:r>
      <w:r w:rsidR="00DA33F7" w:rsidRPr="00AE6B5F">
        <w:t>Theory of mind in schizophrenia: Meta-analysis. Br.</w:t>
      </w:r>
      <w:r w:rsidRPr="00AE6B5F">
        <w:t xml:space="preserve"> J</w:t>
      </w:r>
      <w:r w:rsidR="00DA33F7" w:rsidRPr="00AE6B5F">
        <w:t>.</w:t>
      </w:r>
      <w:r w:rsidRPr="00AE6B5F">
        <w:t xml:space="preserve"> </w:t>
      </w:r>
      <w:r w:rsidR="00DA33F7" w:rsidRPr="00AE6B5F">
        <w:t>Psychiatry.</w:t>
      </w:r>
      <w:r w:rsidRPr="00AE6B5F">
        <w:t xml:space="preserve"> 191, 5-13.</w:t>
      </w:r>
    </w:p>
    <w:p w14:paraId="7F888494" w14:textId="3285A0C0" w:rsidR="00662F79" w:rsidRPr="00AE6B5F" w:rsidRDefault="00662F79" w:rsidP="00FA7424">
      <w:pPr>
        <w:ind w:left="426" w:hanging="426"/>
        <w:jc w:val="both"/>
      </w:pPr>
      <w:r w:rsidRPr="00AE6B5F">
        <w:t>Ventura, J., Wood, R. C., Ji</w:t>
      </w:r>
      <w:r w:rsidR="00DA33F7" w:rsidRPr="00AE6B5F">
        <w:t>menez, A. M., Hellemann, G. S</w:t>
      </w:r>
      <w:r w:rsidRPr="00AE6B5F">
        <w:t>.</w:t>
      </w:r>
      <w:r w:rsidR="00DA33F7" w:rsidRPr="00AE6B5F">
        <w:t>,</w:t>
      </w:r>
      <w:r w:rsidRPr="00AE6B5F">
        <w:t xml:space="preserve"> 2013. Neurocognition and symptoms identify links between facial recognition and emotion processing in schizophrenia: Meta-</w:t>
      </w:r>
      <w:r w:rsidR="00DA33F7" w:rsidRPr="00AE6B5F">
        <w:t>analytic findings. Schizophr. Res.</w:t>
      </w:r>
      <w:r w:rsidRPr="00AE6B5F">
        <w:t xml:space="preserve"> 151</w:t>
      </w:r>
      <w:r w:rsidR="00DA33F7" w:rsidRPr="00AE6B5F">
        <w:t xml:space="preserve"> </w:t>
      </w:r>
      <w:r w:rsidRPr="00AE6B5F">
        <w:t xml:space="preserve">(1), 78-84. </w:t>
      </w:r>
    </w:p>
    <w:p w14:paraId="335314A2" w14:textId="43926E75" w:rsidR="00662F79" w:rsidRPr="00AE6B5F" w:rsidRDefault="00662F79" w:rsidP="00FA7424">
      <w:pPr>
        <w:ind w:left="426" w:hanging="426"/>
        <w:jc w:val="both"/>
      </w:pPr>
      <w:r w:rsidRPr="00AE6B5F">
        <w:t>Waldheter, E</w:t>
      </w:r>
      <w:r w:rsidR="00DA33F7" w:rsidRPr="00AE6B5F">
        <w:t xml:space="preserve">. </w:t>
      </w:r>
      <w:r w:rsidRPr="00AE6B5F">
        <w:t>J.</w:t>
      </w:r>
      <w:r w:rsidR="00DA33F7" w:rsidRPr="00AE6B5F">
        <w:t>,</w:t>
      </w:r>
      <w:r w:rsidRPr="00AE6B5F">
        <w:t xml:space="preserve"> Jones, N</w:t>
      </w:r>
      <w:r w:rsidR="00DA33F7" w:rsidRPr="00AE6B5F">
        <w:t xml:space="preserve">. </w:t>
      </w:r>
      <w:r w:rsidRPr="00AE6B5F">
        <w:t>T.</w:t>
      </w:r>
      <w:r w:rsidR="00DA33F7" w:rsidRPr="00AE6B5F">
        <w:t>,</w:t>
      </w:r>
      <w:r w:rsidRPr="00AE6B5F">
        <w:t xml:space="preserve"> Johnson, E</w:t>
      </w:r>
      <w:r w:rsidR="00DA33F7" w:rsidRPr="00AE6B5F">
        <w:t xml:space="preserve">. </w:t>
      </w:r>
      <w:r w:rsidRPr="00AE6B5F">
        <w:t>R.</w:t>
      </w:r>
      <w:r w:rsidR="00DA33F7" w:rsidRPr="00AE6B5F">
        <w:t>,</w:t>
      </w:r>
      <w:r w:rsidRPr="00AE6B5F">
        <w:t xml:space="preserve"> Penn, D.</w:t>
      </w:r>
      <w:r w:rsidR="00DA33F7" w:rsidRPr="00AE6B5F">
        <w:t>,</w:t>
      </w:r>
      <w:r w:rsidRPr="00AE6B5F">
        <w:t xml:space="preserve"> 2005. </w:t>
      </w:r>
      <w:r w:rsidR="00DA33F7" w:rsidRPr="00AE6B5F">
        <w:t>Utility of social cognition and insight in the prediction of inpatient violence among individuals with a severe mental illness. J. Nerv Ment. Dis. 193 (</w:t>
      </w:r>
      <w:r w:rsidRPr="00AE6B5F">
        <w:t>9</w:t>
      </w:r>
      <w:r w:rsidR="00DA33F7" w:rsidRPr="00AE6B5F">
        <w:t>)</w:t>
      </w:r>
      <w:r w:rsidRPr="00AE6B5F">
        <w:t xml:space="preserve">, 609-618.  </w:t>
      </w:r>
    </w:p>
    <w:p w14:paraId="20065C01" w14:textId="226678AD" w:rsidR="008247D5" w:rsidRPr="00AE6B5F" w:rsidRDefault="008247D5" w:rsidP="008247D5">
      <w:pPr>
        <w:ind w:left="426" w:hanging="426"/>
        <w:jc w:val="both"/>
      </w:pPr>
      <w:r w:rsidRPr="00AE6B5F">
        <w:t>Williams, L. M., Das, P., Liddell, B. J., Olivieri, G., Peduto, A. S., David, A. S., Gordon, E., Harris, A. W., 2007. Fronto-limbic and autonomic disjunctions to negative emotion distinguish schizophrenia subtypes. Psychiatry Res. 155 (1), 29–44.</w:t>
      </w:r>
    </w:p>
    <w:p w14:paraId="76EA4E66" w14:textId="4DF8F3C4" w:rsidR="00AA00DF" w:rsidRPr="00AE6B5F" w:rsidRDefault="00AA00DF" w:rsidP="008247D5">
      <w:pPr>
        <w:ind w:left="426" w:hanging="426"/>
        <w:jc w:val="both"/>
      </w:pPr>
      <w:r w:rsidRPr="00AE6B5F">
        <w:t>Witt,</w:t>
      </w:r>
      <w:r w:rsidR="00452FFD" w:rsidRPr="00AE6B5F">
        <w:t xml:space="preserve"> K.,</w:t>
      </w:r>
      <w:r w:rsidRPr="00AE6B5F">
        <w:t xml:space="preserve"> van Dorn, </w:t>
      </w:r>
      <w:r w:rsidR="00452FFD" w:rsidRPr="00AE6B5F">
        <w:t xml:space="preserve">R., </w:t>
      </w:r>
      <w:r w:rsidRPr="00AE6B5F">
        <w:t>Fazel,</w:t>
      </w:r>
      <w:r w:rsidR="00452FFD" w:rsidRPr="00AE6B5F">
        <w:t xml:space="preserve"> S. Risk factors for violence in psychosis: systematic review and meta-regression analysis of 110 studies. PloS One, 8 (2), e55942.</w:t>
      </w:r>
    </w:p>
    <w:p w14:paraId="154B4FDD" w14:textId="579BEFDB" w:rsidR="00662F79" w:rsidRPr="00AE6B5F" w:rsidRDefault="00662F79" w:rsidP="00FA7424">
      <w:pPr>
        <w:ind w:left="426" w:hanging="426"/>
        <w:jc w:val="both"/>
      </w:pPr>
      <w:r w:rsidRPr="00AE6B5F">
        <w:t xml:space="preserve">Woods, S., Wolke, D., Nowicki, S., </w:t>
      </w:r>
      <w:r w:rsidR="00DA33F7" w:rsidRPr="00AE6B5F">
        <w:t>Hall, L</w:t>
      </w:r>
      <w:r w:rsidRPr="00AE6B5F">
        <w:t>.</w:t>
      </w:r>
      <w:r w:rsidR="00DA33F7" w:rsidRPr="00AE6B5F">
        <w:t>,</w:t>
      </w:r>
      <w:r w:rsidRPr="00AE6B5F">
        <w:t xml:space="preserve"> 2009. Emotion recognition abilities and empathy of victims of bullying. Child Abuse Negl</w:t>
      </w:r>
      <w:r w:rsidR="00AA00DF" w:rsidRPr="00AE6B5F">
        <w:t>.</w:t>
      </w:r>
      <w:r w:rsidRPr="00AE6B5F">
        <w:t xml:space="preserve"> 33</w:t>
      </w:r>
      <w:r w:rsidR="00AA00DF" w:rsidRPr="00AE6B5F">
        <w:t xml:space="preserve"> </w:t>
      </w:r>
      <w:r w:rsidRPr="00AE6B5F">
        <w:t xml:space="preserve">(5), 307-311. </w:t>
      </w:r>
    </w:p>
    <w:p w14:paraId="05438FEE" w14:textId="61892E28" w:rsidR="00E12191" w:rsidRPr="00AE6B5F" w:rsidRDefault="00662F79" w:rsidP="00FA7424">
      <w:pPr>
        <w:ind w:left="426" w:hanging="426"/>
      </w:pPr>
      <w:r w:rsidRPr="00AE6B5F">
        <w:t>Zalla, T.</w:t>
      </w:r>
      <w:r w:rsidR="00AA00DF" w:rsidRPr="00AE6B5F">
        <w:t>,</w:t>
      </w:r>
      <w:r w:rsidRPr="00AE6B5F">
        <w:t xml:space="preserve"> Bouchilloux, N.</w:t>
      </w:r>
      <w:r w:rsidR="00AA00DF" w:rsidRPr="00AE6B5F">
        <w:t>,</w:t>
      </w:r>
      <w:r w:rsidRPr="00AE6B5F">
        <w:t xml:space="preserve"> Labruyere, N.</w:t>
      </w:r>
      <w:r w:rsidR="00AA00DF" w:rsidRPr="00AE6B5F">
        <w:t>,</w:t>
      </w:r>
      <w:r w:rsidRPr="00AE6B5F">
        <w:t xml:space="preserve"> Georgieff, N.</w:t>
      </w:r>
      <w:r w:rsidR="00AA00DF" w:rsidRPr="00AE6B5F">
        <w:t>,</w:t>
      </w:r>
      <w:r w:rsidRPr="00AE6B5F">
        <w:t xml:space="preserve"> Bougerol, T.</w:t>
      </w:r>
      <w:r w:rsidR="00AA00DF" w:rsidRPr="00AE6B5F">
        <w:t>,</w:t>
      </w:r>
      <w:r w:rsidRPr="00AE6B5F">
        <w:t xml:space="preserve"> Franck, N.</w:t>
      </w:r>
      <w:r w:rsidR="00AA00DF" w:rsidRPr="00AE6B5F">
        <w:t>,</w:t>
      </w:r>
      <w:r w:rsidRPr="00AE6B5F">
        <w:t xml:space="preserve"> 2006. Impairment in event sequencing in disorganised and non-disorganised patients with sch</w:t>
      </w:r>
      <w:r w:rsidR="00AA00DF" w:rsidRPr="00AE6B5F">
        <w:t>izophrenia. Brain Res. Bull. 68 (4),</w:t>
      </w:r>
      <w:r w:rsidRPr="00AE6B5F">
        <w:t xml:space="preserve"> 195-202.</w:t>
      </w:r>
      <w:r w:rsidR="00E12191" w:rsidRPr="00AE6B5F">
        <w:br w:type="page"/>
      </w:r>
    </w:p>
    <w:p w14:paraId="0BF54B3F" w14:textId="77777777" w:rsidR="00E12191" w:rsidRPr="00AE6B5F" w:rsidRDefault="00E12191" w:rsidP="00E12191">
      <w:pPr>
        <w:jc w:val="both"/>
        <w:rPr>
          <w:b/>
        </w:rPr>
      </w:pPr>
      <w:r w:rsidRPr="00AE6B5F">
        <w:rPr>
          <w:b/>
        </w:rPr>
        <w:t>Table 1. Sample Characteristics</w:t>
      </w:r>
    </w:p>
    <w:p w14:paraId="5C5462B0" w14:textId="77777777" w:rsidR="005F4023" w:rsidRPr="00AE6B5F" w:rsidRDefault="005F4023" w:rsidP="00E12191">
      <w:pPr>
        <w:jc w:val="both"/>
        <w:rPr>
          <w:b/>
        </w:rPr>
      </w:pPr>
    </w:p>
    <w:tbl>
      <w:tblPr>
        <w:tblW w:w="9242" w:type="dxa"/>
        <w:tblBorders>
          <w:top w:val="single" w:sz="18" w:space="0" w:color="auto"/>
          <w:bottom w:val="single" w:sz="18" w:space="0" w:color="auto"/>
        </w:tblBorders>
        <w:tblLook w:val="01E0" w:firstRow="1" w:lastRow="1" w:firstColumn="1" w:lastColumn="1" w:noHBand="0" w:noVBand="0"/>
      </w:tblPr>
      <w:tblGrid>
        <w:gridCol w:w="4609"/>
        <w:gridCol w:w="1474"/>
        <w:gridCol w:w="1631"/>
        <w:gridCol w:w="1528"/>
      </w:tblGrid>
      <w:tr w:rsidR="00E12191" w:rsidRPr="00AE6B5F" w14:paraId="6B11E3F1" w14:textId="77777777" w:rsidTr="00AF0151">
        <w:trPr>
          <w:trHeight w:val="810"/>
          <w:tblHeader/>
        </w:trPr>
        <w:tc>
          <w:tcPr>
            <w:tcW w:w="4521" w:type="dxa"/>
            <w:tcBorders>
              <w:top w:val="single" w:sz="18" w:space="0" w:color="auto"/>
              <w:bottom w:val="single" w:sz="8" w:space="0" w:color="auto"/>
            </w:tcBorders>
            <w:shd w:val="clear" w:color="auto" w:fill="auto"/>
          </w:tcPr>
          <w:p w14:paraId="2C5AD99F" w14:textId="77777777" w:rsidR="00E12191" w:rsidRPr="00AE6B5F" w:rsidRDefault="00E12191" w:rsidP="001A6242">
            <w:pPr>
              <w:rPr>
                <w:b/>
              </w:rPr>
            </w:pPr>
          </w:p>
        </w:tc>
        <w:tc>
          <w:tcPr>
            <w:tcW w:w="1504" w:type="dxa"/>
            <w:tcBorders>
              <w:top w:val="single" w:sz="18" w:space="0" w:color="auto"/>
              <w:bottom w:val="single" w:sz="8" w:space="0" w:color="auto"/>
            </w:tcBorders>
            <w:vAlign w:val="center"/>
          </w:tcPr>
          <w:p w14:paraId="345B80E1" w14:textId="77777777" w:rsidR="00E12191" w:rsidRPr="00AE6B5F" w:rsidRDefault="00E12191" w:rsidP="00AF0151">
            <w:pPr>
              <w:jc w:val="center"/>
            </w:pPr>
            <w:r w:rsidRPr="00AE6B5F">
              <w:t>N (%)</w:t>
            </w:r>
          </w:p>
        </w:tc>
        <w:tc>
          <w:tcPr>
            <w:tcW w:w="1664" w:type="dxa"/>
            <w:tcBorders>
              <w:top w:val="single" w:sz="18" w:space="0" w:color="auto"/>
              <w:bottom w:val="single" w:sz="8" w:space="0" w:color="auto"/>
            </w:tcBorders>
            <w:shd w:val="clear" w:color="auto" w:fill="auto"/>
            <w:vAlign w:val="center"/>
          </w:tcPr>
          <w:p w14:paraId="356C0298" w14:textId="77777777" w:rsidR="00E12191" w:rsidRPr="00AE6B5F" w:rsidRDefault="00E12191" w:rsidP="00AF0151">
            <w:pPr>
              <w:jc w:val="center"/>
            </w:pPr>
            <w:r w:rsidRPr="00AE6B5F">
              <w:t>Mean (SD)</w:t>
            </w:r>
          </w:p>
        </w:tc>
        <w:tc>
          <w:tcPr>
            <w:tcW w:w="1553" w:type="dxa"/>
            <w:tcBorders>
              <w:top w:val="single" w:sz="18" w:space="0" w:color="auto"/>
              <w:bottom w:val="single" w:sz="8" w:space="0" w:color="auto"/>
            </w:tcBorders>
            <w:shd w:val="clear" w:color="auto" w:fill="auto"/>
            <w:vAlign w:val="center"/>
          </w:tcPr>
          <w:p w14:paraId="0BAC464E" w14:textId="77777777" w:rsidR="00E12191" w:rsidRPr="00AE6B5F" w:rsidRDefault="00E12191" w:rsidP="00AF0151">
            <w:pPr>
              <w:jc w:val="center"/>
            </w:pPr>
            <w:r w:rsidRPr="00AE6B5F">
              <w:t>Median (Range)</w:t>
            </w:r>
          </w:p>
        </w:tc>
      </w:tr>
      <w:tr w:rsidR="00AF0151" w:rsidRPr="00AE6B5F" w14:paraId="6EFB31EC" w14:textId="77777777" w:rsidTr="00AF0151">
        <w:trPr>
          <w:trHeight w:val="340"/>
        </w:trPr>
        <w:tc>
          <w:tcPr>
            <w:tcW w:w="4521" w:type="dxa"/>
            <w:tcBorders>
              <w:top w:val="single" w:sz="8" w:space="0" w:color="auto"/>
            </w:tcBorders>
            <w:shd w:val="clear" w:color="auto" w:fill="auto"/>
          </w:tcPr>
          <w:p w14:paraId="28628AF0" w14:textId="77777777" w:rsidR="00AF0151" w:rsidRPr="00AE6B5F" w:rsidRDefault="00AF0151" w:rsidP="001A6242">
            <w:pPr>
              <w:rPr>
                <w:b/>
              </w:rPr>
            </w:pPr>
          </w:p>
        </w:tc>
        <w:tc>
          <w:tcPr>
            <w:tcW w:w="1504" w:type="dxa"/>
            <w:tcBorders>
              <w:top w:val="single" w:sz="8" w:space="0" w:color="auto"/>
            </w:tcBorders>
          </w:tcPr>
          <w:p w14:paraId="6778F2BA" w14:textId="77777777" w:rsidR="00AF0151" w:rsidRPr="00AE6B5F" w:rsidRDefault="00AF0151" w:rsidP="001A6242">
            <w:pPr>
              <w:jc w:val="center"/>
            </w:pPr>
          </w:p>
        </w:tc>
        <w:tc>
          <w:tcPr>
            <w:tcW w:w="1664" w:type="dxa"/>
            <w:tcBorders>
              <w:top w:val="single" w:sz="8" w:space="0" w:color="auto"/>
            </w:tcBorders>
            <w:shd w:val="clear" w:color="auto" w:fill="auto"/>
          </w:tcPr>
          <w:p w14:paraId="2604A5BC" w14:textId="77777777" w:rsidR="00AF0151" w:rsidRPr="00AE6B5F" w:rsidDel="00574ACB" w:rsidRDefault="00AF0151" w:rsidP="001A6242"/>
        </w:tc>
        <w:tc>
          <w:tcPr>
            <w:tcW w:w="1553" w:type="dxa"/>
            <w:tcBorders>
              <w:top w:val="single" w:sz="8" w:space="0" w:color="auto"/>
            </w:tcBorders>
            <w:shd w:val="clear" w:color="auto" w:fill="auto"/>
          </w:tcPr>
          <w:p w14:paraId="1B56E0CF" w14:textId="77777777" w:rsidR="00AF0151" w:rsidRPr="00AE6B5F" w:rsidRDefault="00AF0151" w:rsidP="001A6242"/>
        </w:tc>
      </w:tr>
      <w:tr w:rsidR="00E12191" w:rsidRPr="00AE6B5F" w14:paraId="06713CEB" w14:textId="77777777" w:rsidTr="00AF0151">
        <w:trPr>
          <w:trHeight w:val="340"/>
        </w:trPr>
        <w:tc>
          <w:tcPr>
            <w:tcW w:w="4521" w:type="dxa"/>
            <w:shd w:val="clear" w:color="auto" w:fill="auto"/>
          </w:tcPr>
          <w:p w14:paraId="35B72AF0" w14:textId="77777777" w:rsidR="00E12191" w:rsidRPr="00AE6B5F" w:rsidRDefault="00E12191" w:rsidP="001A6242">
            <w:pPr>
              <w:rPr>
                <w:b/>
              </w:rPr>
            </w:pPr>
            <w:r w:rsidRPr="00AE6B5F">
              <w:rPr>
                <w:b/>
              </w:rPr>
              <w:t>Demographic, illness and offending-related information.</w:t>
            </w:r>
          </w:p>
        </w:tc>
        <w:tc>
          <w:tcPr>
            <w:tcW w:w="1504" w:type="dxa"/>
          </w:tcPr>
          <w:p w14:paraId="4EF70AEF" w14:textId="77777777" w:rsidR="00E12191" w:rsidRPr="00AE6B5F" w:rsidRDefault="00E12191" w:rsidP="001A6242">
            <w:pPr>
              <w:jc w:val="center"/>
            </w:pPr>
          </w:p>
        </w:tc>
        <w:tc>
          <w:tcPr>
            <w:tcW w:w="1664" w:type="dxa"/>
            <w:shd w:val="clear" w:color="auto" w:fill="auto"/>
          </w:tcPr>
          <w:p w14:paraId="766B532E" w14:textId="77777777" w:rsidR="00E12191" w:rsidRPr="00AE6B5F" w:rsidDel="00574ACB" w:rsidRDefault="00E12191" w:rsidP="001A6242"/>
        </w:tc>
        <w:tc>
          <w:tcPr>
            <w:tcW w:w="1553" w:type="dxa"/>
            <w:shd w:val="clear" w:color="auto" w:fill="auto"/>
          </w:tcPr>
          <w:p w14:paraId="0E62FC2F" w14:textId="77777777" w:rsidR="00E12191" w:rsidRPr="00AE6B5F" w:rsidRDefault="00E12191" w:rsidP="001A6242"/>
        </w:tc>
      </w:tr>
      <w:tr w:rsidR="00E12191" w:rsidRPr="00AE6B5F" w14:paraId="07200B93" w14:textId="77777777" w:rsidTr="00AF0151">
        <w:trPr>
          <w:trHeight w:val="340"/>
        </w:trPr>
        <w:tc>
          <w:tcPr>
            <w:tcW w:w="4521" w:type="dxa"/>
            <w:shd w:val="clear" w:color="auto" w:fill="auto"/>
          </w:tcPr>
          <w:p w14:paraId="413AAC6F" w14:textId="77777777" w:rsidR="00E12191" w:rsidRPr="00AE6B5F" w:rsidRDefault="00E12191" w:rsidP="001A6242">
            <w:r w:rsidRPr="00AE6B5F">
              <w:t>Age</w:t>
            </w:r>
            <w:r w:rsidR="00DA73A2" w:rsidRPr="00AE6B5F">
              <w:t xml:space="preserve"> (years)</w:t>
            </w:r>
          </w:p>
        </w:tc>
        <w:tc>
          <w:tcPr>
            <w:tcW w:w="1504" w:type="dxa"/>
          </w:tcPr>
          <w:p w14:paraId="02F5E67C" w14:textId="77777777" w:rsidR="00E12191" w:rsidRPr="00AE6B5F" w:rsidDel="00574ACB" w:rsidRDefault="00E12191" w:rsidP="001A6242">
            <w:pPr>
              <w:jc w:val="center"/>
            </w:pPr>
            <w:r w:rsidRPr="00AE6B5F">
              <w:t>-</w:t>
            </w:r>
          </w:p>
        </w:tc>
        <w:tc>
          <w:tcPr>
            <w:tcW w:w="1664" w:type="dxa"/>
            <w:shd w:val="clear" w:color="auto" w:fill="auto"/>
          </w:tcPr>
          <w:p w14:paraId="2E97D374" w14:textId="77777777" w:rsidR="00E12191" w:rsidRPr="00AE6B5F" w:rsidRDefault="00E12191" w:rsidP="001A6242">
            <w:r w:rsidRPr="00AE6B5F">
              <w:t xml:space="preserve">37.6  (11.16) </w:t>
            </w:r>
          </w:p>
        </w:tc>
        <w:tc>
          <w:tcPr>
            <w:tcW w:w="1553" w:type="dxa"/>
            <w:shd w:val="clear" w:color="auto" w:fill="auto"/>
          </w:tcPr>
          <w:p w14:paraId="1197C9A9" w14:textId="77777777" w:rsidR="00E12191" w:rsidRPr="00AE6B5F" w:rsidRDefault="00E12191" w:rsidP="001A6242">
            <w:r w:rsidRPr="00AE6B5F">
              <w:t>35 (24-55)</w:t>
            </w:r>
          </w:p>
        </w:tc>
      </w:tr>
      <w:tr w:rsidR="00E12191" w:rsidRPr="00AE6B5F" w14:paraId="7BFE14B7" w14:textId="77777777" w:rsidTr="00AF0151">
        <w:trPr>
          <w:trHeight w:val="340"/>
        </w:trPr>
        <w:tc>
          <w:tcPr>
            <w:tcW w:w="4521" w:type="dxa"/>
            <w:shd w:val="clear" w:color="auto" w:fill="auto"/>
          </w:tcPr>
          <w:p w14:paraId="7368BC33" w14:textId="77777777" w:rsidR="00E12191" w:rsidRPr="00AE6B5F" w:rsidRDefault="00E12191" w:rsidP="001A6242">
            <w:r w:rsidRPr="00AE6B5F">
              <w:t>Duration since diagnosis received</w:t>
            </w:r>
            <w:r w:rsidR="00DA73A2" w:rsidRPr="00AE6B5F">
              <w:t xml:space="preserve"> (years)</w:t>
            </w:r>
          </w:p>
        </w:tc>
        <w:tc>
          <w:tcPr>
            <w:tcW w:w="1504" w:type="dxa"/>
          </w:tcPr>
          <w:p w14:paraId="1408DA67" w14:textId="77777777" w:rsidR="00E12191" w:rsidRPr="00AE6B5F" w:rsidDel="00574ACB" w:rsidRDefault="00E12191" w:rsidP="001A6242">
            <w:pPr>
              <w:jc w:val="center"/>
            </w:pPr>
            <w:r w:rsidRPr="00AE6B5F">
              <w:t>-</w:t>
            </w:r>
          </w:p>
        </w:tc>
        <w:tc>
          <w:tcPr>
            <w:tcW w:w="1664" w:type="dxa"/>
            <w:shd w:val="clear" w:color="auto" w:fill="auto"/>
          </w:tcPr>
          <w:p w14:paraId="32AF6E38" w14:textId="77777777" w:rsidR="00E12191" w:rsidRPr="00AE6B5F" w:rsidRDefault="00E12191" w:rsidP="001A6242">
            <w:r w:rsidRPr="00AE6B5F">
              <w:t xml:space="preserve">10.81 (5.88) </w:t>
            </w:r>
          </w:p>
        </w:tc>
        <w:tc>
          <w:tcPr>
            <w:tcW w:w="1553" w:type="dxa"/>
            <w:shd w:val="clear" w:color="auto" w:fill="auto"/>
          </w:tcPr>
          <w:p w14:paraId="0F243B28" w14:textId="77777777" w:rsidR="00E12191" w:rsidRPr="00AE6B5F" w:rsidRDefault="00E12191" w:rsidP="001A6242">
            <w:r w:rsidRPr="00AE6B5F">
              <w:t>10 (1-24)</w:t>
            </w:r>
          </w:p>
        </w:tc>
      </w:tr>
      <w:tr w:rsidR="00E12191" w:rsidRPr="00AE6B5F" w14:paraId="5E4FBFAE" w14:textId="77777777" w:rsidTr="00AF0151">
        <w:trPr>
          <w:trHeight w:val="340"/>
        </w:trPr>
        <w:tc>
          <w:tcPr>
            <w:tcW w:w="4521" w:type="dxa"/>
            <w:shd w:val="clear" w:color="auto" w:fill="auto"/>
          </w:tcPr>
          <w:p w14:paraId="5D6DB09B" w14:textId="77777777" w:rsidR="00E12191" w:rsidRPr="00AE6B5F" w:rsidRDefault="00E12191" w:rsidP="001A6242">
            <w:r w:rsidRPr="00AE6B5F">
              <w:t>Substance misuse</w:t>
            </w:r>
          </w:p>
        </w:tc>
        <w:tc>
          <w:tcPr>
            <w:tcW w:w="1504" w:type="dxa"/>
          </w:tcPr>
          <w:p w14:paraId="541D1B86" w14:textId="77777777" w:rsidR="00E12191" w:rsidRPr="00AE6B5F" w:rsidRDefault="00E12191" w:rsidP="001A6242">
            <w:pPr>
              <w:jc w:val="center"/>
            </w:pPr>
            <w:r w:rsidRPr="00AE6B5F">
              <w:t>21 (78%)</w:t>
            </w:r>
          </w:p>
        </w:tc>
        <w:tc>
          <w:tcPr>
            <w:tcW w:w="1664" w:type="dxa"/>
            <w:shd w:val="clear" w:color="auto" w:fill="auto"/>
          </w:tcPr>
          <w:p w14:paraId="7BB5CF20" w14:textId="77777777" w:rsidR="00E12191" w:rsidRPr="00AE6B5F" w:rsidDel="00574ACB" w:rsidRDefault="00E12191" w:rsidP="001A6242">
            <w:pPr>
              <w:jc w:val="center"/>
            </w:pPr>
            <w:r w:rsidRPr="00AE6B5F">
              <w:t>-</w:t>
            </w:r>
          </w:p>
        </w:tc>
        <w:tc>
          <w:tcPr>
            <w:tcW w:w="1553" w:type="dxa"/>
            <w:shd w:val="clear" w:color="auto" w:fill="auto"/>
          </w:tcPr>
          <w:p w14:paraId="08D7EA9A" w14:textId="77777777" w:rsidR="00E12191" w:rsidRPr="00AE6B5F" w:rsidRDefault="00E12191" w:rsidP="001A6242">
            <w:pPr>
              <w:jc w:val="center"/>
            </w:pPr>
            <w:r w:rsidRPr="00AE6B5F">
              <w:t>-</w:t>
            </w:r>
          </w:p>
        </w:tc>
      </w:tr>
      <w:tr w:rsidR="00E12191" w:rsidRPr="00AE6B5F" w14:paraId="549EC427" w14:textId="77777777" w:rsidTr="00AF0151">
        <w:trPr>
          <w:trHeight w:val="340"/>
        </w:trPr>
        <w:tc>
          <w:tcPr>
            <w:tcW w:w="4521" w:type="dxa"/>
            <w:shd w:val="clear" w:color="auto" w:fill="auto"/>
          </w:tcPr>
          <w:p w14:paraId="347956B8" w14:textId="77777777" w:rsidR="00E12191" w:rsidRPr="00AE6B5F" w:rsidRDefault="00E12191" w:rsidP="001A6242">
            <w:r w:rsidRPr="00AE6B5F">
              <w:t>Alcohol misuse</w:t>
            </w:r>
          </w:p>
        </w:tc>
        <w:tc>
          <w:tcPr>
            <w:tcW w:w="1504" w:type="dxa"/>
          </w:tcPr>
          <w:p w14:paraId="2E00A8E3" w14:textId="77777777" w:rsidR="00E12191" w:rsidRPr="00AE6B5F" w:rsidRDefault="00E12191" w:rsidP="001A6242">
            <w:pPr>
              <w:jc w:val="center"/>
            </w:pPr>
            <w:r w:rsidRPr="00AE6B5F">
              <w:t>4 (15%)</w:t>
            </w:r>
          </w:p>
        </w:tc>
        <w:tc>
          <w:tcPr>
            <w:tcW w:w="1664" w:type="dxa"/>
            <w:shd w:val="clear" w:color="auto" w:fill="auto"/>
          </w:tcPr>
          <w:p w14:paraId="6A5BD059" w14:textId="77777777" w:rsidR="00E12191" w:rsidRPr="00AE6B5F" w:rsidDel="00574ACB" w:rsidRDefault="00E12191" w:rsidP="001A6242">
            <w:pPr>
              <w:jc w:val="center"/>
            </w:pPr>
            <w:r w:rsidRPr="00AE6B5F">
              <w:t>-</w:t>
            </w:r>
          </w:p>
        </w:tc>
        <w:tc>
          <w:tcPr>
            <w:tcW w:w="1553" w:type="dxa"/>
            <w:shd w:val="clear" w:color="auto" w:fill="auto"/>
          </w:tcPr>
          <w:p w14:paraId="5F54D5E6" w14:textId="77777777" w:rsidR="00E12191" w:rsidRPr="00AE6B5F" w:rsidRDefault="00E12191" w:rsidP="001A6242">
            <w:pPr>
              <w:jc w:val="center"/>
            </w:pPr>
            <w:r w:rsidRPr="00AE6B5F">
              <w:t>-</w:t>
            </w:r>
          </w:p>
        </w:tc>
      </w:tr>
      <w:tr w:rsidR="00E12191" w:rsidRPr="00AE6B5F" w14:paraId="2B9B3956" w14:textId="77777777" w:rsidTr="00AF0151">
        <w:trPr>
          <w:trHeight w:val="340"/>
        </w:trPr>
        <w:tc>
          <w:tcPr>
            <w:tcW w:w="4521" w:type="dxa"/>
            <w:shd w:val="clear" w:color="auto" w:fill="auto"/>
          </w:tcPr>
          <w:p w14:paraId="69D7DFB6" w14:textId="77777777" w:rsidR="00E12191" w:rsidRPr="00AE6B5F" w:rsidRDefault="00E12191" w:rsidP="001A6242">
            <w:r w:rsidRPr="00AE6B5F">
              <w:t>Drug misuse</w:t>
            </w:r>
          </w:p>
        </w:tc>
        <w:tc>
          <w:tcPr>
            <w:tcW w:w="1504" w:type="dxa"/>
          </w:tcPr>
          <w:p w14:paraId="19AE3744" w14:textId="77777777" w:rsidR="00E12191" w:rsidRPr="00AE6B5F" w:rsidRDefault="00E12191" w:rsidP="001A6242">
            <w:pPr>
              <w:jc w:val="center"/>
            </w:pPr>
            <w:r w:rsidRPr="00AE6B5F">
              <w:t>6 (22%)</w:t>
            </w:r>
          </w:p>
        </w:tc>
        <w:tc>
          <w:tcPr>
            <w:tcW w:w="1664" w:type="dxa"/>
            <w:shd w:val="clear" w:color="auto" w:fill="auto"/>
          </w:tcPr>
          <w:p w14:paraId="4B8ADFA1" w14:textId="77777777" w:rsidR="00E12191" w:rsidRPr="00AE6B5F" w:rsidDel="00574ACB" w:rsidRDefault="00E12191" w:rsidP="001A6242">
            <w:pPr>
              <w:jc w:val="center"/>
            </w:pPr>
            <w:r w:rsidRPr="00AE6B5F">
              <w:t>-</w:t>
            </w:r>
          </w:p>
        </w:tc>
        <w:tc>
          <w:tcPr>
            <w:tcW w:w="1553" w:type="dxa"/>
            <w:shd w:val="clear" w:color="auto" w:fill="auto"/>
          </w:tcPr>
          <w:p w14:paraId="29B1F89C" w14:textId="77777777" w:rsidR="00E12191" w:rsidRPr="00AE6B5F" w:rsidRDefault="00E12191" w:rsidP="001A6242">
            <w:pPr>
              <w:jc w:val="center"/>
            </w:pPr>
            <w:r w:rsidRPr="00AE6B5F">
              <w:t>-</w:t>
            </w:r>
          </w:p>
        </w:tc>
      </w:tr>
      <w:tr w:rsidR="00E12191" w:rsidRPr="00AE6B5F" w14:paraId="0CD8259D" w14:textId="77777777" w:rsidTr="00AF0151">
        <w:trPr>
          <w:trHeight w:val="340"/>
        </w:trPr>
        <w:tc>
          <w:tcPr>
            <w:tcW w:w="4521" w:type="dxa"/>
            <w:shd w:val="clear" w:color="auto" w:fill="auto"/>
          </w:tcPr>
          <w:p w14:paraId="7CF368B6" w14:textId="77777777" w:rsidR="00E12191" w:rsidRPr="00AE6B5F" w:rsidRDefault="00E12191" w:rsidP="001A6242">
            <w:r w:rsidRPr="00AE6B5F">
              <w:t>Alcohol and drug misuse</w:t>
            </w:r>
          </w:p>
        </w:tc>
        <w:tc>
          <w:tcPr>
            <w:tcW w:w="1504" w:type="dxa"/>
          </w:tcPr>
          <w:p w14:paraId="21051178" w14:textId="77777777" w:rsidR="00E12191" w:rsidRPr="00AE6B5F" w:rsidRDefault="00E12191" w:rsidP="001A6242">
            <w:pPr>
              <w:jc w:val="center"/>
            </w:pPr>
            <w:r w:rsidRPr="00AE6B5F">
              <w:t>11 (41%)</w:t>
            </w:r>
          </w:p>
        </w:tc>
        <w:tc>
          <w:tcPr>
            <w:tcW w:w="1664" w:type="dxa"/>
            <w:shd w:val="clear" w:color="auto" w:fill="auto"/>
          </w:tcPr>
          <w:p w14:paraId="5A7BEC1A" w14:textId="77777777" w:rsidR="00E12191" w:rsidRPr="00AE6B5F" w:rsidDel="00574ACB" w:rsidRDefault="00E12191" w:rsidP="001A6242">
            <w:pPr>
              <w:jc w:val="center"/>
            </w:pPr>
            <w:r w:rsidRPr="00AE6B5F">
              <w:t>-</w:t>
            </w:r>
          </w:p>
        </w:tc>
        <w:tc>
          <w:tcPr>
            <w:tcW w:w="1553" w:type="dxa"/>
            <w:shd w:val="clear" w:color="auto" w:fill="auto"/>
          </w:tcPr>
          <w:p w14:paraId="5F1D9489" w14:textId="77777777" w:rsidR="00E12191" w:rsidRPr="00AE6B5F" w:rsidRDefault="00E12191" w:rsidP="001A6242">
            <w:pPr>
              <w:jc w:val="center"/>
            </w:pPr>
            <w:r w:rsidRPr="00AE6B5F">
              <w:t>-</w:t>
            </w:r>
          </w:p>
        </w:tc>
      </w:tr>
      <w:tr w:rsidR="00E12191" w:rsidRPr="00AE6B5F" w14:paraId="291D566E" w14:textId="77777777" w:rsidTr="00AF0151">
        <w:trPr>
          <w:trHeight w:val="340"/>
        </w:trPr>
        <w:tc>
          <w:tcPr>
            <w:tcW w:w="4521" w:type="dxa"/>
            <w:shd w:val="clear" w:color="auto" w:fill="auto"/>
          </w:tcPr>
          <w:p w14:paraId="5B27A358" w14:textId="77777777" w:rsidR="00E12191" w:rsidRPr="00AE6B5F" w:rsidRDefault="00E12191" w:rsidP="001A6242">
            <w:r w:rsidRPr="00AE6B5F">
              <w:t>History of violence prior to index offence</w:t>
            </w:r>
          </w:p>
        </w:tc>
        <w:tc>
          <w:tcPr>
            <w:tcW w:w="1504" w:type="dxa"/>
          </w:tcPr>
          <w:p w14:paraId="1AB2405C" w14:textId="77777777" w:rsidR="00E12191" w:rsidRPr="00AE6B5F" w:rsidRDefault="00E12191" w:rsidP="001A6242">
            <w:pPr>
              <w:jc w:val="center"/>
            </w:pPr>
            <w:r w:rsidRPr="00AE6B5F">
              <w:t>19 (70%)</w:t>
            </w:r>
          </w:p>
        </w:tc>
        <w:tc>
          <w:tcPr>
            <w:tcW w:w="1664" w:type="dxa"/>
            <w:shd w:val="clear" w:color="auto" w:fill="auto"/>
          </w:tcPr>
          <w:p w14:paraId="435BD7A6" w14:textId="77777777" w:rsidR="00E12191" w:rsidRPr="00AE6B5F" w:rsidRDefault="00E12191" w:rsidP="001A6242">
            <w:pPr>
              <w:jc w:val="center"/>
            </w:pPr>
            <w:r w:rsidRPr="00AE6B5F">
              <w:t>-</w:t>
            </w:r>
          </w:p>
        </w:tc>
        <w:tc>
          <w:tcPr>
            <w:tcW w:w="1553" w:type="dxa"/>
            <w:shd w:val="clear" w:color="auto" w:fill="auto"/>
          </w:tcPr>
          <w:p w14:paraId="356CC70F" w14:textId="77777777" w:rsidR="00E12191" w:rsidRPr="00AE6B5F" w:rsidRDefault="00E12191" w:rsidP="001A6242">
            <w:pPr>
              <w:jc w:val="center"/>
            </w:pPr>
            <w:r w:rsidRPr="00AE6B5F">
              <w:t>-</w:t>
            </w:r>
          </w:p>
        </w:tc>
      </w:tr>
      <w:tr w:rsidR="00E12191" w:rsidRPr="00AE6B5F" w14:paraId="259DCBD3" w14:textId="77777777" w:rsidTr="00AF0151">
        <w:trPr>
          <w:trHeight w:val="340"/>
        </w:trPr>
        <w:tc>
          <w:tcPr>
            <w:tcW w:w="4521" w:type="dxa"/>
            <w:shd w:val="clear" w:color="auto" w:fill="auto"/>
          </w:tcPr>
          <w:p w14:paraId="6589747A" w14:textId="77777777" w:rsidR="00E12191" w:rsidRPr="00AE6B5F" w:rsidRDefault="00E12191" w:rsidP="001A6242">
            <w:r w:rsidRPr="00AE6B5F">
              <w:t>Index offence (IO) of culpable homicide</w:t>
            </w:r>
          </w:p>
        </w:tc>
        <w:tc>
          <w:tcPr>
            <w:tcW w:w="1504" w:type="dxa"/>
          </w:tcPr>
          <w:p w14:paraId="65466733" w14:textId="77777777" w:rsidR="00E12191" w:rsidRPr="00AE6B5F" w:rsidRDefault="00E12191" w:rsidP="001A6242">
            <w:pPr>
              <w:jc w:val="center"/>
            </w:pPr>
            <w:r w:rsidRPr="00AE6B5F">
              <w:t>13 (48%)</w:t>
            </w:r>
          </w:p>
        </w:tc>
        <w:tc>
          <w:tcPr>
            <w:tcW w:w="1664" w:type="dxa"/>
            <w:shd w:val="clear" w:color="auto" w:fill="auto"/>
          </w:tcPr>
          <w:p w14:paraId="58F20B88" w14:textId="77777777" w:rsidR="00E12191" w:rsidRPr="00AE6B5F" w:rsidRDefault="00E12191" w:rsidP="001A6242">
            <w:pPr>
              <w:jc w:val="center"/>
            </w:pPr>
            <w:r w:rsidRPr="00AE6B5F">
              <w:t>-</w:t>
            </w:r>
          </w:p>
        </w:tc>
        <w:tc>
          <w:tcPr>
            <w:tcW w:w="1553" w:type="dxa"/>
            <w:shd w:val="clear" w:color="auto" w:fill="auto"/>
          </w:tcPr>
          <w:p w14:paraId="58B151D9" w14:textId="77777777" w:rsidR="00E12191" w:rsidRPr="00AE6B5F" w:rsidRDefault="00E12191" w:rsidP="001A6242">
            <w:pPr>
              <w:jc w:val="center"/>
            </w:pPr>
            <w:r w:rsidRPr="00AE6B5F">
              <w:t>-</w:t>
            </w:r>
          </w:p>
        </w:tc>
      </w:tr>
      <w:tr w:rsidR="00E12191" w:rsidRPr="00AE6B5F" w14:paraId="3DB8590D" w14:textId="77777777" w:rsidTr="00AF0151">
        <w:trPr>
          <w:trHeight w:val="340"/>
        </w:trPr>
        <w:tc>
          <w:tcPr>
            <w:tcW w:w="0" w:type="auto"/>
            <w:shd w:val="clear" w:color="auto" w:fill="auto"/>
          </w:tcPr>
          <w:p w14:paraId="31A116E6" w14:textId="77777777" w:rsidR="00E12191" w:rsidRPr="00AE6B5F" w:rsidRDefault="00E12191" w:rsidP="001A6242">
            <w:r w:rsidRPr="00AE6B5F">
              <w:t>IO of attempted murder</w:t>
            </w:r>
          </w:p>
        </w:tc>
        <w:tc>
          <w:tcPr>
            <w:tcW w:w="0" w:type="auto"/>
          </w:tcPr>
          <w:p w14:paraId="0BF846B5" w14:textId="77777777" w:rsidR="00E12191" w:rsidRPr="00AE6B5F" w:rsidRDefault="00E12191" w:rsidP="001A6242">
            <w:pPr>
              <w:jc w:val="center"/>
            </w:pPr>
            <w:r w:rsidRPr="00AE6B5F">
              <w:t>4 (15%)</w:t>
            </w:r>
          </w:p>
        </w:tc>
        <w:tc>
          <w:tcPr>
            <w:tcW w:w="0" w:type="auto"/>
            <w:shd w:val="clear" w:color="auto" w:fill="auto"/>
          </w:tcPr>
          <w:p w14:paraId="4EBD365D" w14:textId="77777777" w:rsidR="00E12191" w:rsidRPr="00AE6B5F" w:rsidRDefault="00E12191" w:rsidP="001A6242">
            <w:pPr>
              <w:jc w:val="center"/>
            </w:pPr>
            <w:r w:rsidRPr="00AE6B5F">
              <w:t>-</w:t>
            </w:r>
          </w:p>
        </w:tc>
        <w:tc>
          <w:tcPr>
            <w:tcW w:w="0" w:type="auto"/>
            <w:shd w:val="clear" w:color="auto" w:fill="auto"/>
          </w:tcPr>
          <w:p w14:paraId="4BDB78DB" w14:textId="77777777" w:rsidR="00E12191" w:rsidRPr="00AE6B5F" w:rsidRDefault="00E12191" w:rsidP="001A6242">
            <w:pPr>
              <w:jc w:val="center"/>
            </w:pPr>
            <w:r w:rsidRPr="00AE6B5F">
              <w:t>-</w:t>
            </w:r>
          </w:p>
        </w:tc>
      </w:tr>
      <w:tr w:rsidR="00E12191" w:rsidRPr="00AE6B5F" w14:paraId="4336CA65" w14:textId="77777777" w:rsidTr="00AF0151">
        <w:trPr>
          <w:trHeight w:val="340"/>
        </w:trPr>
        <w:tc>
          <w:tcPr>
            <w:tcW w:w="0" w:type="auto"/>
            <w:shd w:val="clear" w:color="auto" w:fill="auto"/>
          </w:tcPr>
          <w:p w14:paraId="643D2C59" w14:textId="77777777" w:rsidR="00E12191" w:rsidRPr="00AE6B5F" w:rsidRDefault="00E12191" w:rsidP="001A6242">
            <w:r w:rsidRPr="00AE6B5F">
              <w:t>IO of sexual assault</w:t>
            </w:r>
          </w:p>
        </w:tc>
        <w:tc>
          <w:tcPr>
            <w:tcW w:w="0" w:type="auto"/>
          </w:tcPr>
          <w:p w14:paraId="19DB505D" w14:textId="77777777" w:rsidR="00E12191" w:rsidRPr="00AE6B5F" w:rsidRDefault="00E12191" w:rsidP="001A6242">
            <w:pPr>
              <w:jc w:val="center"/>
            </w:pPr>
            <w:r w:rsidRPr="00AE6B5F">
              <w:t>3 (11%)</w:t>
            </w:r>
          </w:p>
        </w:tc>
        <w:tc>
          <w:tcPr>
            <w:tcW w:w="0" w:type="auto"/>
            <w:shd w:val="clear" w:color="auto" w:fill="auto"/>
          </w:tcPr>
          <w:p w14:paraId="0DA6C732" w14:textId="77777777" w:rsidR="00E12191" w:rsidRPr="00AE6B5F" w:rsidRDefault="00E12191" w:rsidP="001A6242">
            <w:pPr>
              <w:jc w:val="center"/>
            </w:pPr>
            <w:r w:rsidRPr="00AE6B5F">
              <w:t>-</w:t>
            </w:r>
          </w:p>
        </w:tc>
        <w:tc>
          <w:tcPr>
            <w:tcW w:w="0" w:type="auto"/>
            <w:shd w:val="clear" w:color="auto" w:fill="auto"/>
          </w:tcPr>
          <w:p w14:paraId="5234809C" w14:textId="77777777" w:rsidR="00E12191" w:rsidRPr="00AE6B5F" w:rsidRDefault="00E12191" w:rsidP="001A6242">
            <w:pPr>
              <w:jc w:val="center"/>
            </w:pPr>
            <w:r w:rsidRPr="00AE6B5F">
              <w:t>-</w:t>
            </w:r>
          </w:p>
        </w:tc>
      </w:tr>
      <w:tr w:rsidR="00E12191" w:rsidRPr="00AE6B5F" w14:paraId="44B83C73" w14:textId="77777777" w:rsidTr="00AF0151">
        <w:trPr>
          <w:trHeight w:val="340"/>
        </w:trPr>
        <w:tc>
          <w:tcPr>
            <w:tcW w:w="0" w:type="auto"/>
            <w:shd w:val="clear" w:color="auto" w:fill="auto"/>
          </w:tcPr>
          <w:p w14:paraId="27FF69D9" w14:textId="77777777" w:rsidR="00E12191" w:rsidRPr="00AE6B5F" w:rsidRDefault="00E12191" w:rsidP="001A6242">
            <w:r w:rsidRPr="00AE6B5F">
              <w:t>IO of assault</w:t>
            </w:r>
          </w:p>
        </w:tc>
        <w:tc>
          <w:tcPr>
            <w:tcW w:w="0" w:type="auto"/>
          </w:tcPr>
          <w:p w14:paraId="0C8C658E" w14:textId="77777777" w:rsidR="00E12191" w:rsidRPr="00AE6B5F" w:rsidRDefault="00E12191" w:rsidP="001A6242">
            <w:pPr>
              <w:jc w:val="center"/>
            </w:pPr>
            <w:r w:rsidRPr="00AE6B5F">
              <w:t>3 (11%)</w:t>
            </w:r>
          </w:p>
        </w:tc>
        <w:tc>
          <w:tcPr>
            <w:tcW w:w="0" w:type="auto"/>
            <w:shd w:val="clear" w:color="auto" w:fill="auto"/>
          </w:tcPr>
          <w:p w14:paraId="0120A326" w14:textId="77777777" w:rsidR="00E12191" w:rsidRPr="00AE6B5F" w:rsidRDefault="00E12191" w:rsidP="001A6242">
            <w:pPr>
              <w:jc w:val="center"/>
            </w:pPr>
            <w:r w:rsidRPr="00AE6B5F">
              <w:t>-</w:t>
            </w:r>
          </w:p>
        </w:tc>
        <w:tc>
          <w:tcPr>
            <w:tcW w:w="0" w:type="auto"/>
            <w:shd w:val="clear" w:color="auto" w:fill="auto"/>
          </w:tcPr>
          <w:p w14:paraId="5C1FA2DF" w14:textId="77777777" w:rsidR="00E12191" w:rsidRPr="00AE6B5F" w:rsidRDefault="00E12191" w:rsidP="001A6242">
            <w:pPr>
              <w:jc w:val="center"/>
            </w:pPr>
            <w:r w:rsidRPr="00AE6B5F">
              <w:t>-</w:t>
            </w:r>
          </w:p>
        </w:tc>
      </w:tr>
      <w:tr w:rsidR="00E12191" w:rsidRPr="00AE6B5F" w14:paraId="1ED4FA38" w14:textId="77777777" w:rsidTr="00AF0151">
        <w:trPr>
          <w:trHeight w:val="340"/>
        </w:trPr>
        <w:tc>
          <w:tcPr>
            <w:tcW w:w="0" w:type="auto"/>
            <w:shd w:val="clear" w:color="auto" w:fill="auto"/>
          </w:tcPr>
          <w:p w14:paraId="6AF3DB3F" w14:textId="77777777" w:rsidR="00E12191" w:rsidRPr="00AE6B5F" w:rsidRDefault="00E12191" w:rsidP="001A6242">
            <w:r w:rsidRPr="00AE6B5F">
              <w:t>IO other violent offence</w:t>
            </w:r>
          </w:p>
        </w:tc>
        <w:tc>
          <w:tcPr>
            <w:tcW w:w="0" w:type="auto"/>
          </w:tcPr>
          <w:p w14:paraId="282EE711" w14:textId="77777777" w:rsidR="00E12191" w:rsidRPr="00AE6B5F" w:rsidRDefault="00E12191" w:rsidP="001A6242">
            <w:pPr>
              <w:jc w:val="center"/>
            </w:pPr>
            <w:r w:rsidRPr="00AE6B5F">
              <w:t>4 (15%)</w:t>
            </w:r>
          </w:p>
        </w:tc>
        <w:tc>
          <w:tcPr>
            <w:tcW w:w="0" w:type="auto"/>
            <w:shd w:val="clear" w:color="auto" w:fill="auto"/>
          </w:tcPr>
          <w:p w14:paraId="2A632F4C" w14:textId="77777777" w:rsidR="00E12191" w:rsidRPr="00AE6B5F" w:rsidRDefault="00E12191" w:rsidP="001A6242">
            <w:pPr>
              <w:jc w:val="center"/>
            </w:pPr>
            <w:r w:rsidRPr="00AE6B5F">
              <w:t>-</w:t>
            </w:r>
          </w:p>
        </w:tc>
        <w:tc>
          <w:tcPr>
            <w:tcW w:w="0" w:type="auto"/>
            <w:shd w:val="clear" w:color="auto" w:fill="auto"/>
          </w:tcPr>
          <w:p w14:paraId="3A1A5253" w14:textId="77777777" w:rsidR="00E12191" w:rsidRPr="00AE6B5F" w:rsidRDefault="00E12191" w:rsidP="001A6242">
            <w:pPr>
              <w:jc w:val="center"/>
            </w:pPr>
            <w:r w:rsidRPr="00AE6B5F">
              <w:t>-</w:t>
            </w:r>
          </w:p>
        </w:tc>
      </w:tr>
      <w:tr w:rsidR="00E12191" w:rsidRPr="00AE6B5F" w14:paraId="1CCE813B" w14:textId="77777777" w:rsidTr="00AF0151">
        <w:trPr>
          <w:trHeight w:val="340"/>
        </w:trPr>
        <w:tc>
          <w:tcPr>
            <w:tcW w:w="0" w:type="auto"/>
            <w:shd w:val="clear" w:color="auto" w:fill="auto"/>
          </w:tcPr>
          <w:p w14:paraId="6B8FF56E" w14:textId="77777777" w:rsidR="00E12191" w:rsidRPr="00AE6B5F" w:rsidRDefault="00E12191" w:rsidP="001A6242">
            <w:pPr>
              <w:rPr>
                <w:b/>
              </w:rPr>
            </w:pPr>
            <w:r w:rsidRPr="00AE6B5F">
              <w:rPr>
                <w:b/>
              </w:rPr>
              <w:t>Overall social cognition and paranoia scores</w:t>
            </w:r>
          </w:p>
        </w:tc>
        <w:tc>
          <w:tcPr>
            <w:tcW w:w="0" w:type="auto"/>
          </w:tcPr>
          <w:p w14:paraId="0CC77AEB" w14:textId="77777777" w:rsidR="00E12191" w:rsidRPr="00AE6B5F" w:rsidRDefault="00E12191" w:rsidP="001A6242">
            <w:pPr>
              <w:jc w:val="center"/>
            </w:pPr>
          </w:p>
        </w:tc>
        <w:tc>
          <w:tcPr>
            <w:tcW w:w="0" w:type="auto"/>
            <w:shd w:val="clear" w:color="auto" w:fill="auto"/>
          </w:tcPr>
          <w:p w14:paraId="5BC349E2" w14:textId="77777777" w:rsidR="00E12191" w:rsidRPr="00AE6B5F" w:rsidRDefault="00E12191" w:rsidP="001A6242">
            <w:pPr>
              <w:jc w:val="center"/>
            </w:pPr>
          </w:p>
        </w:tc>
        <w:tc>
          <w:tcPr>
            <w:tcW w:w="0" w:type="auto"/>
            <w:shd w:val="clear" w:color="auto" w:fill="auto"/>
          </w:tcPr>
          <w:p w14:paraId="6DF64C00" w14:textId="77777777" w:rsidR="00E12191" w:rsidRPr="00AE6B5F" w:rsidRDefault="00E12191" w:rsidP="001A6242">
            <w:pPr>
              <w:jc w:val="center"/>
            </w:pPr>
          </w:p>
        </w:tc>
      </w:tr>
      <w:tr w:rsidR="00E12191" w:rsidRPr="00AE6B5F" w14:paraId="59866211" w14:textId="77777777" w:rsidTr="00AF0151">
        <w:trPr>
          <w:trHeight w:val="340"/>
        </w:trPr>
        <w:tc>
          <w:tcPr>
            <w:tcW w:w="0" w:type="auto"/>
            <w:shd w:val="clear" w:color="auto" w:fill="auto"/>
          </w:tcPr>
          <w:p w14:paraId="39407732" w14:textId="77777777" w:rsidR="00E12191" w:rsidRPr="00AE6B5F" w:rsidRDefault="00E12191" w:rsidP="001A6242">
            <w:r w:rsidRPr="00AE6B5F">
              <w:t xml:space="preserve">TASIT Part 1 – Emotion Recognition              </w:t>
            </w:r>
          </w:p>
        </w:tc>
        <w:tc>
          <w:tcPr>
            <w:tcW w:w="0" w:type="auto"/>
          </w:tcPr>
          <w:p w14:paraId="79298CEE" w14:textId="77777777" w:rsidR="00E12191" w:rsidRPr="00AE6B5F" w:rsidRDefault="00E12191" w:rsidP="001A6242">
            <w:pPr>
              <w:jc w:val="center"/>
            </w:pPr>
            <w:r w:rsidRPr="00AE6B5F">
              <w:t>-</w:t>
            </w:r>
          </w:p>
        </w:tc>
        <w:tc>
          <w:tcPr>
            <w:tcW w:w="0" w:type="auto"/>
            <w:shd w:val="clear" w:color="auto" w:fill="auto"/>
          </w:tcPr>
          <w:p w14:paraId="4A108983" w14:textId="77777777" w:rsidR="00E12191" w:rsidRPr="00AE6B5F" w:rsidRDefault="00E12191" w:rsidP="001A6242">
            <w:pPr>
              <w:jc w:val="center"/>
            </w:pPr>
            <w:r w:rsidRPr="00AE6B5F">
              <w:t>20.26 (4.53)</w:t>
            </w:r>
          </w:p>
        </w:tc>
        <w:tc>
          <w:tcPr>
            <w:tcW w:w="0" w:type="auto"/>
            <w:shd w:val="clear" w:color="auto" w:fill="auto"/>
          </w:tcPr>
          <w:p w14:paraId="77783496" w14:textId="77777777" w:rsidR="00E12191" w:rsidRPr="00AE6B5F" w:rsidRDefault="00E12191" w:rsidP="001A6242">
            <w:pPr>
              <w:jc w:val="center"/>
            </w:pPr>
            <w:r w:rsidRPr="00AE6B5F">
              <w:t>21 (17)</w:t>
            </w:r>
          </w:p>
        </w:tc>
      </w:tr>
      <w:tr w:rsidR="00E12191" w:rsidRPr="00AE6B5F" w14:paraId="35421A96" w14:textId="77777777" w:rsidTr="00AF0151">
        <w:trPr>
          <w:trHeight w:val="340"/>
        </w:trPr>
        <w:tc>
          <w:tcPr>
            <w:tcW w:w="0" w:type="auto"/>
            <w:shd w:val="clear" w:color="auto" w:fill="auto"/>
          </w:tcPr>
          <w:p w14:paraId="136CFE85" w14:textId="77777777" w:rsidR="00E12191" w:rsidRPr="00AE6B5F" w:rsidRDefault="00E12191" w:rsidP="001A6242">
            <w:r w:rsidRPr="00AE6B5F">
              <w:t>TASIT Part 2 – Social Inference (minimal)</w:t>
            </w:r>
          </w:p>
        </w:tc>
        <w:tc>
          <w:tcPr>
            <w:tcW w:w="0" w:type="auto"/>
          </w:tcPr>
          <w:p w14:paraId="576CEDB6" w14:textId="77777777" w:rsidR="00E12191" w:rsidRPr="00AE6B5F" w:rsidRDefault="00E12191" w:rsidP="001A6242">
            <w:pPr>
              <w:jc w:val="center"/>
            </w:pPr>
            <w:r w:rsidRPr="00AE6B5F">
              <w:t>-</w:t>
            </w:r>
          </w:p>
        </w:tc>
        <w:tc>
          <w:tcPr>
            <w:tcW w:w="0" w:type="auto"/>
            <w:shd w:val="clear" w:color="auto" w:fill="auto"/>
          </w:tcPr>
          <w:p w14:paraId="08E83E34" w14:textId="77777777" w:rsidR="00E12191" w:rsidRPr="00AE6B5F" w:rsidRDefault="00E12191" w:rsidP="001A6242">
            <w:pPr>
              <w:jc w:val="center"/>
            </w:pPr>
            <w:r w:rsidRPr="00AE6B5F">
              <w:t>42.30 (10.60)</w:t>
            </w:r>
          </w:p>
        </w:tc>
        <w:tc>
          <w:tcPr>
            <w:tcW w:w="0" w:type="auto"/>
            <w:shd w:val="clear" w:color="auto" w:fill="auto"/>
          </w:tcPr>
          <w:p w14:paraId="50A7179F" w14:textId="77777777" w:rsidR="00E12191" w:rsidRPr="00AE6B5F" w:rsidRDefault="00E12191" w:rsidP="001A6242">
            <w:pPr>
              <w:jc w:val="center"/>
            </w:pPr>
            <w:r w:rsidRPr="00AE6B5F">
              <w:t>42.30 (32)</w:t>
            </w:r>
          </w:p>
        </w:tc>
      </w:tr>
      <w:tr w:rsidR="00E12191" w:rsidRPr="00AE6B5F" w14:paraId="7C59BD1E" w14:textId="77777777" w:rsidTr="00AF0151">
        <w:trPr>
          <w:trHeight w:val="340"/>
        </w:trPr>
        <w:tc>
          <w:tcPr>
            <w:tcW w:w="0" w:type="auto"/>
            <w:shd w:val="clear" w:color="auto" w:fill="auto"/>
          </w:tcPr>
          <w:p w14:paraId="4402AE94" w14:textId="77777777" w:rsidR="00E12191" w:rsidRPr="00AE6B5F" w:rsidRDefault="00E12191" w:rsidP="001A6242">
            <w:r w:rsidRPr="00AE6B5F">
              <w:t>TASIT Part 3 – Social inference (enriched)</w:t>
            </w:r>
          </w:p>
        </w:tc>
        <w:tc>
          <w:tcPr>
            <w:tcW w:w="0" w:type="auto"/>
          </w:tcPr>
          <w:p w14:paraId="35F0458C" w14:textId="77777777" w:rsidR="00E12191" w:rsidRPr="00AE6B5F" w:rsidRDefault="00E12191" w:rsidP="001A6242">
            <w:pPr>
              <w:jc w:val="center"/>
            </w:pPr>
            <w:r w:rsidRPr="00AE6B5F">
              <w:t>-</w:t>
            </w:r>
          </w:p>
        </w:tc>
        <w:tc>
          <w:tcPr>
            <w:tcW w:w="0" w:type="auto"/>
            <w:shd w:val="clear" w:color="auto" w:fill="auto"/>
          </w:tcPr>
          <w:p w14:paraId="5DA8E745" w14:textId="77777777" w:rsidR="00E12191" w:rsidRPr="00AE6B5F" w:rsidRDefault="00E12191" w:rsidP="001A6242">
            <w:pPr>
              <w:jc w:val="center"/>
            </w:pPr>
            <w:r w:rsidRPr="00AE6B5F">
              <w:t>44.19 (8.15)</w:t>
            </w:r>
          </w:p>
        </w:tc>
        <w:tc>
          <w:tcPr>
            <w:tcW w:w="0" w:type="auto"/>
            <w:shd w:val="clear" w:color="auto" w:fill="auto"/>
          </w:tcPr>
          <w:p w14:paraId="33BD32FC" w14:textId="77777777" w:rsidR="00E12191" w:rsidRPr="00AE6B5F" w:rsidRDefault="00E12191" w:rsidP="001A6242">
            <w:pPr>
              <w:jc w:val="center"/>
            </w:pPr>
            <w:r w:rsidRPr="00AE6B5F">
              <w:t>44.00 (31)</w:t>
            </w:r>
          </w:p>
        </w:tc>
      </w:tr>
      <w:tr w:rsidR="00E12191" w:rsidRPr="00AE6B5F" w14:paraId="57C2C1AD" w14:textId="77777777" w:rsidTr="00AF0151">
        <w:trPr>
          <w:trHeight w:val="340"/>
        </w:trPr>
        <w:tc>
          <w:tcPr>
            <w:tcW w:w="0" w:type="auto"/>
            <w:shd w:val="clear" w:color="auto" w:fill="auto"/>
          </w:tcPr>
          <w:p w14:paraId="19B9245B" w14:textId="77777777" w:rsidR="00E12191" w:rsidRPr="00AE6B5F" w:rsidRDefault="00E12191" w:rsidP="001A6242">
            <w:r w:rsidRPr="00AE6B5F">
              <w:t xml:space="preserve">AIHQ Hostility Ambiguous                                        </w:t>
            </w:r>
          </w:p>
        </w:tc>
        <w:tc>
          <w:tcPr>
            <w:tcW w:w="0" w:type="auto"/>
          </w:tcPr>
          <w:p w14:paraId="6EB485A8" w14:textId="77777777" w:rsidR="00E12191" w:rsidRPr="00AE6B5F" w:rsidRDefault="00E12191" w:rsidP="001A6242">
            <w:pPr>
              <w:jc w:val="center"/>
            </w:pPr>
            <w:r w:rsidRPr="00AE6B5F">
              <w:t>-</w:t>
            </w:r>
          </w:p>
        </w:tc>
        <w:tc>
          <w:tcPr>
            <w:tcW w:w="0" w:type="auto"/>
            <w:shd w:val="clear" w:color="auto" w:fill="auto"/>
          </w:tcPr>
          <w:p w14:paraId="1E786CA1" w14:textId="77777777" w:rsidR="00E12191" w:rsidRPr="00AE6B5F" w:rsidRDefault="00E12191" w:rsidP="001A6242">
            <w:pPr>
              <w:jc w:val="center"/>
            </w:pPr>
            <w:r w:rsidRPr="00AE6B5F">
              <w:t>1.66 (0.70)</w:t>
            </w:r>
          </w:p>
        </w:tc>
        <w:tc>
          <w:tcPr>
            <w:tcW w:w="0" w:type="auto"/>
            <w:shd w:val="clear" w:color="auto" w:fill="auto"/>
          </w:tcPr>
          <w:p w14:paraId="0CEC13DD" w14:textId="77777777" w:rsidR="00E12191" w:rsidRPr="00AE6B5F" w:rsidRDefault="00E12191" w:rsidP="001A6242">
            <w:pPr>
              <w:jc w:val="center"/>
            </w:pPr>
            <w:r w:rsidRPr="00AE6B5F">
              <w:t>1.60 (3.60)</w:t>
            </w:r>
          </w:p>
        </w:tc>
      </w:tr>
      <w:tr w:rsidR="00E12191" w:rsidRPr="00AE6B5F" w14:paraId="5B662F45" w14:textId="77777777" w:rsidTr="00AF0151">
        <w:trPr>
          <w:trHeight w:val="340"/>
        </w:trPr>
        <w:tc>
          <w:tcPr>
            <w:tcW w:w="0" w:type="auto"/>
            <w:shd w:val="clear" w:color="auto" w:fill="auto"/>
          </w:tcPr>
          <w:p w14:paraId="658CF31F" w14:textId="77777777" w:rsidR="00E12191" w:rsidRPr="00AE6B5F" w:rsidRDefault="00E12191" w:rsidP="001A6242">
            <w:r w:rsidRPr="00AE6B5F">
              <w:t xml:space="preserve">AIHQ Blame Ambiguous                                          </w:t>
            </w:r>
          </w:p>
        </w:tc>
        <w:tc>
          <w:tcPr>
            <w:tcW w:w="0" w:type="auto"/>
          </w:tcPr>
          <w:p w14:paraId="6B57CDF7" w14:textId="77777777" w:rsidR="00E12191" w:rsidRPr="00AE6B5F" w:rsidRDefault="00E12191" w:rsidP="001A6242">
            <w:pPr>
              <w:jc w:val="center"/>
            </w:pPr>
            <w:r w:rsidRPr="00AE6B5F">
              <w:t>-</w:t>
            </w:r>
          </w:p>
        </w:tc>
        <w:tc>
          <w:tcPr>
            <w:tcW w:w="0" w:type="auto"/>
            <w:shd w:val="clear" w:color="auto" w:fill="auto"/>
          </w:tcPr>
          <w:p w14:paraId="2285778A" w14:textId="77777777" w:rsidR="00E12191" w:rsidRPr="00AE6B5F" w:rsidRDefault="00E12191" w:rsidP="001A6242">
            <w:pPr>
              <w:jc w:val="center"/>
            </w:pPr>
            <w:r w:rsidRPr="00AE6B5F">
              <w:t>2.12 (0.90)</w:t>
            </w:r>
          </w:p>
        </w:tc>
        <w:tc>
          <w:tcPr>
            <w:tcW w:w="0" w:type="auto"/>
            <w:shd w:val="clear" w:color="auto" w:fill="auto"/>
          </w:tcPr>
          <w:p w14:paraId="7547B7E1" w14:textId="77777777" w:rsidR="00E12191" w:rsidRPr="00AE6B5F" w:rsidRDefault="00E12191" w:rsidP="001A6242">
            <w:pPr>
              <w:jc w:val="center"/>
            </w:pPr>
            <w:r w:rsidRPr="00AE6B5F">
              <w:t>2.02 (3.70)</w:t>
            </w:r>
          </w:p>
        </w:tc>
      </w:tr>
      <w:tr w:rsidR="00E12191" w:rsidRPr="00AE6B5F" w14:paraId="676BCE5F" w14:textId="77777777" w:rsidTr="00AF0151">
        <w:trPr>
          <w:trHeight w:val="340"/>
        </w:trPr>
        <w:tc>
          <w:tcPr>
            <w:tcW w:w="0" w:type="auto"/>
            <w:shd w:val="clear" w:color="auto" w:fill="auto"/>
          </w:tcPr>
          <w:p w14:paraId="7A303FB5" w14:textId="77777777" w:rsidR="00E12191" w:rsidRPr="00AE6B5F" w:rsidRDefault="00E12191" w:rsidP="001A6242">
            <w:r w:rsidRPr="00AE6B5F">
              <w:t>GPTS paranoia subscale</w:t>
            </w:r>
          </w:p>
        </w:tc>
        <w:tc>
          <w:tcPr>
            <w:tcW w:w="0" w:type="auto"/>
          </w:tcPr>
          <w:p w14:paraId="2808F432" w14:textId="77777777" w:rsidR="00E12191" w:rsidRPr="00AE6B5F" w:rsidRDefault="00E12191" w:rsidP="001A6242">
            <w:pPr>
              <w:jc w:val="center"/>
            </w:pPr>
            <w:r w:rsidRPr="00AE6B5F">
              <w:t>-</w:t>
            </w:r>
          </w:p>
        </w:tc>
        <w:tc>
          <w:tcPr>
            <w:tcW w:w="0" w:type="auto"/>
            <w:shd w:val="clear" w:color="auto" w:fill="auto"/>
          </w:tcPr>
          <w:p w14:paraId="7A8CFC4D" w14:textId="77777777" w:rsidR="00E12191" w:rsidRPr="00AE6B5F" w:rsidRDefault="00E12191" w:rsidP="001A6242">
            <w:pPr>
              <w:jc w:val="center"/>
            </w:pPr>
            <w:r w:rsidRPr="00AE6B5F">
              <w:t>26.11 (14.02)</w:t>
            </w:r>
          </w:p>
        </w:tc>
        <w:tc>
          <w:tcPr>
            <w:tcW w:w="0" w:type="auto"/>
            <w:shd w:val="clear" w:color="auto" w:fill="auto"/>
          </w:tcPr>
          <w:p w14:paraId="0DB80385" w14:textId="77777777" w:rsidR="00E12191" w:rsidRPr="00AE6B5F" w:rsidRDefault="00E12191" w:rsidP="001A6242">
            <w:pPr>
              <w:jc w:val="center"/>
            </w:pPr>
            <w:r w:rsidRPr="00AE6B5F">
              <w:t>18 (47)</w:t>
            </w:r>
          </w:p>
        </w:tc>
      </w:tr>
      <w:tr w:rsidR="00AF0151" w:rsidRPr="00AE6B5F" w14:paraId="4FD061FE" w14:textId="77777777" w:rsidTr="00AF0151">
        <w:trPr>
          <w:trHeight w:val="340"/>
        </w:trPr>
        <w:tc>
          <w:tcPr>
            <w:tcW w:w="0" w:type="auto"/>
            <w:shd w:val="clear" w:color="auto" w:fill="auto"/>
          </w:tcPr>
          <w:p w14:paraId="2DD8F02C" w14:textId="77777777" w:rsidR="00AF0151" w:rsidRPr="00AE6B5F" w:rsidRDefault="00AF0151" w:rsidP="001A6242"/>
        </w:tc>
        <w:tc>
          <w:tcPr>
            <w:tcW w:w="0" w:type="auto"/>
          </w:tcPr>
          <w:p w14:paraId="7682A3C5" w14:textId="77777777" w:rsidR="00AF0151" w:rsidRPr="00AE6B5F" w:rsidRDefault="00AF0151" w:rsidP="001A6242">
            <w:pPr>
              <w:jc w:val="center"/>
            </w:pPr>
          </w:p>
        </w:tc>
        <w:tc>
          <w:tcPr>
            <w:tcW w:w="0" w:type="auto"/>
            <w:shd w:val="clear" w:color="auto" w:fill="auto"/>
          </w:tcPr>
          <w:p w14:paraId="0CD1A9F7" w14:textId="77777777" w:rsidR="00AF0151" w:rsidRPr="00AE6B5F" w:rsidRDefault="00AF0151" w:rsidP="001A6242">
            <w:pPr>
              <w:jc w:val="center"/>
            </w:pPr>
          </w:p>
        </w:tc>
        <w:tc>
          <w:tcPr>
            <w:tcW w:w="0" w:type="auto"/>
            <w:shd w:val="clear" w:color="auto" w:fill="auto"/>
          </w:tcPr>
          <w:p w14:paraId="627223B2" w14:textId="77777777" w:rsidR="00AF0151" w:rsidRPr="00AE6B5F" w:rsidRDefault="00AF0151" w:rsidP="001A6242">
            <w:pPr>
              <w:jc w:val="center"/>
            </w:pPr>
          </w:p>
        </w:tc>
      </w:tr>
    </w:tbl>
    <w:p w14:paraId="084C308F" w14:textId="77777777" w:rsidR="00E12191" w:rsidRPr="00AE6B5F" w:rsidRDefault="00E12191" w:rsidP="00E12191">
      <w:pPr>
        <w:jc w:val="both"/>
        <w:rPr>
          <w:b/>
        </w:rPr>
      </w:pPr>
    </w:p>
    <w:p w14:paraId="6DEF84E9" w14:textId="77777777" w:rsidR="00FF55BF" w:rsidRPr="00AE6B5F" w:rsidRDefault="00FF55BF" w:rsidP="00E12191">
      <w:pPr>
        <w:rPr>
          <w:b/>
        </w:rPr>
      </w:pPr>
    </w:p>
    <w:p w14:paraId="18CAC9DF" w14:textId="77777777" w:rsidR="00FF55BF" w:rsidRPr="00AE6B5F" w:rsidRDefault="00FF55BF">
      <w:pPr>
        <w:spacing w:after="160" w:line="259" w:lineRule="auto"/>
        <w:rPr>
          <w:b/>
        </w:rPr>
      </w:pPr>
      <w:r w:rsidRPr="00AE6B5F">
        <w:rPr>
          <w:b/>
        </w:rPr>
        <w:br w:type="page"/>
      </w:r>
    </w:p>
    <w:p w14:paraId="36AF20CA" w14:textId="77777777" w:rsidR="00E12191" w:rsidRPr="00AE6B5F" w:rsidRDefault="00E12191" w:rsidP="00E12191">
      <w:pPr>
        <w:rPr>
          <w:b/>
        </w:rPr>
      </w:pPr>
      <w:r w:rsidRPr="00AE6B5F">
        <w:rPr>
          <w:b/>
        </w:rPr>
        <w:t>Table 2. Correlation matrix for all variables included in the analyses.</w:t>
      </w:r>
    </w:p>
    <w:p w14:paraId="7789C8BC" w14:textId="77777777" w:rsidR="005F4023" w:rsidRPr="00AE6B5F" w:rsidRDefault="005F4023" w:rsidP="00E12191">
      <w:pPr>
        <w:rPr>
          <w:b/>
        </w:rPr>
      </w:pPr>
    </w:p>
    <w:tbl>
      <w:tblPr>
        <w:tblStyle w:val="TableGrid"/>
        <w:tblW w:w="920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1419"/>
        <w:gridCol w:w="1392"/>
        <w:gridCol w:w="1286"/>
        <w:gridCol w:w="1468"/>
        <w:gridCol w:w="1149"/>
      </w:tblGrid>
      <w:tr w:rsidR="00E12191" w:rsidRPr="00AE6B5F" w14:paraId="47356DAD" w14:textId="77777777" w:rsidTr="00AF0151">
        <w:trPr>
          <w:cantSplit/>
          <w:trHeight w:val="1368"/>
          <w:tblHeader/>
        </w:trPr>
        <w:tc>
          <w:tcPr>
            <w:tcW w:w="0" w:type="auto"/>
            <w:tcBorders>
              <w:top w:val="single" w:sz="18" w:space="0" w:color="auto"/>
              <w:bottom w:val="single" w:sz="8" w:space="0" w:color="auto"/>
            </w:tcBorders>
          </w:tcPr>
          <w:p w14:paraId="7BE6CEF3" w14:textId="77777777" w:rsidR="00E12191" w:rsidRPr="00AE6B5F" w:rsidRDefault="00E12191" w:rsidP="001A6242"/>
        </w:tc>
        <w:tc>
          <w:tcPr>
            <w:tcW w:w="0" w:type="auto"/>
            <w:tcBorders>
              <w:top w:val="single" w:sz="18" w:space="0" w:color="auto"/>
              <w:bottom w:val="single" w:sz="8" w:space="0" w:color="auto"/>
            </w:tcBorders>
            <w:vAlign w:val="center"/>
          </w:tcPr>
          <w:p w14:paraId="609E4DD1" w14:textId="77777777" w:rsidR="00E12191" w:rsidRPr="00AE6B5F" w:rsidRDefault="00E12191" w:rsidP="00AF0151">
            <w:pPr>
              <w:jc w:val="center"/>
            </w:pPr>
            <w:r w:rsidRPr="00AE6B5F">
              <w:t>AIHQ Hostility</w:t>
            </w:r>
          </w:p>
          <w:p w14:paraId="341C2969" w14:textId="77777777" w:rsidR="00E12191" w:rsidRPr="00AE6B5F" w:rsidRDefault="00E12191" w:rsidP="00AF0151">
            <w:pPr>
              <w:jc w:val="center"/>
            </w:pPr>
            <w:r w:rsidRPr="00AE6B5F">
              <w:t>ambiguous</w:t>
            </w:r>
          </w:p>
        </w:tc>
        <w:tc>
          <w:tcPr>
            <w:tcW w:w="0" w:type="auto"/>
            <w:tcBorders>
              <w:top w:val="single" w:sz="18" w:space="0" w:color="auto"/>
              <w:bottom w:val="single" w:sz="8" w:space="0" w:color="auto"/>
            </w:tcBorders>
            <w:vAlign w:val="center"/>
          </w:tcPr>
          <w:p w14:paraId="376D7CDC" w14:textId="77777777" w:rsidR="00E12191" w:rsidRPr="00AE6B5F" w:rsidRDefault="00E12191" w:rsidP="00AF0151">
            <w:pPr>
              <w:jc w:val="center"/>
            </w:pPr>
            <w:r w:rsidRPr="00AE6B5F">
              <w:t>AIHQ Blame</w:t>
            </w:r>
          </w:p>
          <w:p w14:paraId="7E5BC3FB" w14:textId="77777777" w:rsidR="00E12191" w:rsidRPr="00AE6B5F" w:rsidRDefault="00E12191" w:rsidP="00AF0151">
            <w:pPr>
              <w:jc w:val="center"/>
            </w:pPr>
            <w:r w:rsidRPr="00AE6B5F">
              <w:t>Ambiguous</w:t>
            </w:r>
          </w:p>
        </w:tc>
        <w:tc>
          <w:tcPr>
            <w:tcW w:w="0" w:type="auto"/>
            <w:tcBorders>
              <w:top w:val="single" w:sz="18" w:space="0" w:color="auto"/>
              <w:bottom w:val="single" w:sz="8" w:space="0" w:color="auto"/>
            </w:tcBorders>
            <w:vAlign w:val="center"/>
          </w:tcPr>
          <w:p w14:paraId="217A8001" w14:textId="77777777" w:rsidR="00E12191" w:rsidRPr="00AE6B5F" w:rsidRDefault="00E12191" w:rsidP="00AF0151">
            <w:pPr>
              <w:jc w:val="center"/>
            </w:pPr>
            <w:r w:rsidRPr="00AE6B5F">
              <w:t>GPTS Paranoid</w:t>
            </w:r>
          </w:p>
          <w:p w14:paraId="738D57BD" w14:textId="77777777" w:rsidR="00E12191" w:rsidRPr="00AE6B5F" w:rsidRDefault="00E12191" w:rsidP="00AF0151">
            <w:pPr>
              <w:jc w:val="center"/>
            </w:pPr>
            <w:r w:rsidRPr="00AE6B5F">
              <w:t>thoughts scale</w:t>
            </w:r>
          </w:p>
        </w:tc>
        <w:tc>
          <w:tcPr>
            <w:tcW w:w="0" w:type="auto"/>
            <w:tcBorders>
              <w:top w:val="single" w:sz="18" w:space="0" w:color="auto"/>
              <w:bottom w:val="single" w:sz="8" w:space="0" w:color="auto"/>
            </w:tcBorders>
            <w:vAlign w:val="center"/>
          </w:tcPr>
          <w:p w14:paraId="106BE267" w14:textId="77777777" w:rsidR="00E12191" w:rsidRPr="00AE6B5F" w:rsidRDefault="00E12191" w:rsidP="00AF0151">
            <w:pPr>
              <w:jc w:val="center"/>
            </w:pPr>
            <w:r w:rsidRPr="00AE6B5F">
              <w:t>TASIT Emotion</w:t>
            </w:r>
          </w:p>
          <w:p w14:paraId="15D93CE6" w14:textId="77777777" w:rsidR="00E12191" w:rsidRPr="00AE6B5F" w:rsidRDefault="00E12191" w:rsidP="00AF0151">
            <w:pPr>
              <w:jc w:val="center"/>
            </w:pPr>
            <w:r w:rsidRPr="00AE6B5F">
              <w:t>recognition</w:t>
            </w:r>
          </w:p>
        </w:tc>
        <w:tc>
          <w:tcPr>
            <w:tcW w:w="1149" w:type="dxa"/>
            <w:tcBorders>
              <w:top w:val="single" w:sz="18" w:space="0" w:color="auto"/>
              <w:bottom w:val="single" w:sz="8" w:space="0" w:color="auto"/>
            </w:tcBorders>
            <w:vAlign w:val="center"/>
          </w:tcPr>
          <w:p w14:paraId="4A01EEDD" w14:textId="77777777" w:rsidR="00E12191" w:rsidRPr="00AE6B5F" w:rsidRDefault="00E12191" w:rsidP="00AF0151">
            <w:pPr>
              <w:jc w:val="center"/>
            </w:pPr>
            <w:r w:rsidRPr="00AE6B5F">
              <w:t>TASIT 2</w:t>
            </w:r>
          </w:p>
        </w:tc>
      </w:tr>
      <w:tr w:rsidR="00AF0151" w:rsidRPr="00AE6B5F" w14:paraId="1BF0087F" w14:textId="77777777" w:rsidTr="00AF0151">
        <w:trPr>
          <w:cantSplit/>
          <w:tblHeader/>
        </w:trPr>
        <w:tc>
          <w:tcPr>
            <w:tcW w:w="0" w:type="auto"/>
            <w:tcBorders>
              <w:top w:val="single" w:sz="8" w:space="0" w:color="auto"/>
              <w:bottom w:val="nil"/>
            </w:tcBorders>
          </w:tcPr>
          <w:p w14:paraId="67BD5412" w14:textId="77777777" w:rsidR="00AF0151" w:rsidRPr="00AE6B5F" w:rsidRDefault="00AF0151" w:rsidP="001A6242"/>
        </w:tc>
        <w:tc>
          <w:tcPr>
            <w:tcW w:w="0" w:type="auto"/>
            <w:tcBorders>
              <w:top w:val="single" w:sz="8" w:space="0" w:color="auto"/>
              <w:bottom w:val="nil"/>
            </w:tcBorders>
          </w:tcPr>
          <w:p w14:paraId="654F28A7" w14:textId="77777777" w:rsidR="00AF0151" w:rsidRPr="00AE6B5F" w:rsidRDefault="00AF0151" w:rsidP="001A6242"/>
        </w:tc>
        <w:tc>
          <w:tcPr>
            <w:tcW w:w="0" w:type="auto"/>
            <w:tcBorders>
              <w:top w:val="single" w:sz="8" w:space="0" w:color="auto"/>
              <w:bottom w:val="nil"/>
            </w:tcBorders>
            <w:shd w:val="clear" w:color="auto" w:fill="auto"/>
          </w:tcPr>
          <w:p w14:paraId="28D78103" w14:textId="77777777" w:rsidR="00AF0151" w:rsidRPr="00AE6B5F" w:rsidRDefault="00AF0151" w:rsidP="001A6242"/>
        </w:tc>
        <w:tc>
          <w:tcPr>
            <w:tcW w:w="0" w:type="auto"/>
            <w:tcBorders>
              <w:top w:val="single" w:sz="8" w:space="0" w:color="auto"/>
              <w:bottom w:val="nil"/>
            </w:tcBorders>
            <w:shd w:val="clear" w:color="auto" w:fill="auto"/>
          </w:tcPr>
          <w:p w14:paraId="6E7D0A9B" w14:textId="77777777" w:rsidR="00AF0151" w:rsidRPr="00AE6B5F" w:rsidRDefault="00AF0151" w:rsidP="001A6242"/>
        </w:tc>
        <w:tc>
          <w:tcPr>
            <w:tcW w:w="0" w:type="auto"/>
            <w:tcBorders>
              <w:top w:val="single" w:sz="8" w:space="0" w:color="auto"/>
              <w:bottom w:val="nil"/>
            </w:tcBorders>
            <w:shd w:val="clear" w:color="auto" w:fill="auto"/>
          </w:tcPr>
          <w:p w14:paraId="4E0CD731" w14:textId="77777777" w:rsidR="00AF0151" w:rsidRPr="00AE6B5F" w:rsidRDefault="00AF0151" w:rsidP="001A6242"/>
        </w:tc>
        <w:tc>
          <w:tcPr>
            <w:tcW w:w="1149" w:type="dxa"/>
            <w:tcBorders>
              <w:top w:val="single" w:sz="8" w:space="0" w:color="auto"/>
              <w:bottom w:val="nil"/>
            </w:tcBorders>
            <w:shd w:val="clear" w:color="auto" w:fill="auto"/>
          </w:tcPr>
          <w:p w14:paraId="5DA84871" w14:textId="77777777" w:rsidR="00AF0151" w:rsidRPr="00AE6B5F" w:rsidRDefault="00AF0151" w:rsidP="001A6242"/>
        </w:tc>
      </w:tr>
      <w:tr w:rsidR="00E12191" w:rsidRPr="00AE6B5F" w14:paraId="023F12E4" w14:textId="77777777" w:rsidTr="00AF0151">
        <w:trPr>
          <w:cantSplit/>
        </w:trPr>
        <w:tc>
          <w:tcPr>
            <w:tcW w:w="0" w:type="auto"/>
            <w:tcBorders>
              <w:top w:val="nil"/>
            </w:tcBorders>
          </w:tcPr>
          <w:p w14:paraId="6282A3C3" w14:textId="77777777" w:rsidR="00E12191" w:rsidRPr="00AE6B5F" w:rsidRDefault="00E12191" w:rsidP="001A6242">
            <w:r w:rsidRPr="00AE6B5F">
              <w:t>AIHQ Blame ambiguous</w:t>
            </w:r>
          </w:p>
        </w:tc>
        <w:tc>
          <w:tcPr>
            <w:tcW w:w="0" w:type="auto"/>
            <w:tcBorders>
              <w:top w:val="nil"/>
            </w:tcBorders>
          </w:tcPr>
          <w:p w14:paraId="48D14F73" w14:textId="77777777" w:rsidR="00E12191" w:rsidRPr="00AE6B5F" w:rsidRDefault="00E12191" w:rsidP="001A6242">
            <w:r w:rsidRPr="00AE6B5F">
              <w:t>.534**</w:t>
            </w:r>
          </w:p>
        </w:tc>
        <w:tc>
          <w:tcPr>
            <w:tcW w:w="0" w:type="auto"/>
            <w:tcBorders>
              <w:top w:val="nil"/>
            </w:tcBorders>
            <w:shd w:val="clear" w:color="auto" w:fill="auto"/>
          </w:tcPr>
          <w:p w14:paraId="20E1BFED" w14:textId="77777777" w:rsidR="00E12191" w:rsidRPr="00AE6B5F" w:rsidRDefault="00AF0151" w:rsidP="001A6242">
            <w:r w:rsidRPr="00AE6B5F">
              <w:t>-</w:t>
            </w:r>
          </w:p>
        </w:tc>
        <w:tc>
          <w:tcPr>
            <w:tcW w:w="0" w:type="auto"/>
            <w:tcBorders>
              <w:top w:val="nil"/>
            </w:tcBorders>
            <w:shd w:val="clear" w:color="auto" w:fill="auto"/>
          </w:tcPr>
          <w:p w14:paraId="0F8CB613" w14:textId="77777777" w:rsidR="00E12191" w:rsidRPr="00AE6B5F" w:rsidRDefault="00AF0151" w:rsidP="001A6242">
            <w:r w:rsidRPr="00AE6B5F">
              <w:t>-</w:t>
            </w:r>
          </w:p>
        </w:tc>
        <w:tc>
          <w:tcPr>
            <w:tcW w:w="0" w:type="auto"/>
            <w:tcBorders>
              <w:top w:val="nil"/>
            </w:tcBorders>
            <w:shd w:val="clear" w:color="auto" w:fill="auto"/>
          </w:tcPr>
          <w:p w14:paraId="2431BB9D" w14:textId="77777777" w:rsidR="00E12191" w:rsidRPr="00AE6B5F" w:rsidRDefault="00AF0151" w:rsidP="001A6242">
            <w:r w:rsidRPr="00AE6B5F">
              <w:t>-</w:t>
            </w:r>
          </w:p>
        </w:tc>
        <w:tc>
          <w:tcPr>
            <w:tcW w:w="1149" w:type="dxa"/>
            <w:tcBorders>
              <w:top w:val="nil"/>
            </w:tcBorders>
            <w:shd w:val="clear" w:color="auto" w:fill="auto"/>
          </w:tcPr>
          <w:p w14:paraId="22F73F2B" w14:textId="77777777" w:rsidR="00E12191" w:rsidRPr="00AE6B5F" w:rsidRDefault="00AF0151" w:rsidP="001A6242">
            <w:r w:rsidRPr="00AE6B5F">
              <w:t>-</w:t>
            </w:r>
          </w:p>
        </w:tc>
      </w:tr>
      <w:tr w:rsidR="00E12191" w:rsidRPr="00AE6B5F" w14:paraId="35D1F989" w14:textId="77777777" w:rsidTr="00AF0151">
        <w:trPr>
          <w:cantSplit/>
        </w:trPr>
        <w:tc>
          <w:tcPr>
            <w:tcW w:w="0" w:type="auto"/>
          </w:tcPr>
          <w:p w14:paraId="48C46621" w14:textId="77777777" w:rsidR="00E12191" w:rsidRPr="00AE6B5F" w:rsidRDefault="00E12191" w:rsidP="001A6242">
            <w:r w:rsidRPr="00AE6B5F">
              <w:t>GPTS Paranoid thoughts scale (non-parametric)</w:t>
            </w:r>
          </w:p>
        </w:tc>
        <w:tc>
          <w:tcPr>
            <w:tcW w:w="0" w:type="auto"/>
          </w:tcPr>
          <w:p w14:paraId="318EEDC3" w14:textId="77777777" w:rsidR="00E12191" w:rsidRPr="00AE6B5F" w:rsidRDefault="00E12191" w:rsidP="001A6242">
            <w:r w:rsidRPr="00AE6B5F">
              <w:t>.127</w:t>
            </w:r>
          </w:p>
        </w:tc>
        <w:tc>
          <w:tcPr>
            <w:tcW w:w="0" w:type="auto"/>
            <w:shd w:val="clear" w:color="auto" w:fill="auto"/>
          </w:tcPr>
          <w:p w14:paraId="5344204A" w14:textId="77777777" w:rsidR="00E12191" w:rsidRPr="00AE6B5F" w:rsidRDefault="00E12191" w:rsidP="001A6242">
            <w:r w:rsidRPr="00AE6B5F">
              <w:t>.178</w:t>
            </w:r>
          </w:p>
        </w:tc>
        <w:tc>
          <w:tcPr>
            <w:tcW w:w="0" w:type="auto"/>
            <w:shd w:val="clear" w:color="auto" w:fill="auto"/>
          </w:tcPr>
          <w:p w14:paraId="7797978A" w14:textId="77777777" w:rsidR="00E12191" w:rsidRPr="00AE6B5F" w:rsidRDefault="00AF0151" w:rsidP="001A6242">
            <w:r w:rsidRPr="00AE6B5F">
              <w:t>-</w:t>
            </w:r>
          </w:p>
        </w:tc>
        <w:tc>
          <w:tcPr>
            <w:tcW w:w="0" w:type="auto"/>
            <w:shd w:val="clear" w:color="auto" w:fill="auto"/>
          </w:tcPr>
          <w:p w14:paraId="0D9D6F1D" w14:textId="77777777" w:rsidR="00E12191" w:rsidRPr="00AE6B5F" w:rsidRDefault="00AF0151" w:rsidP="001A6242">
            <w:r w:rsidRPr="00AE6B5F">
              <w:t>-</w:t>
            </w:r>
          </w:p>
        </w:tc>
        <w:tc>
          <w:tcPr>
            <w:tcW w:w="1149" w:type="dxa"/>
            <w:shd w:val="clear" w:color="auto" w:fill="auto"/>
          </w:tcPr>
          <w:p w14:paraId="6BBC6740" w14:textId="77777777" w:rsidR="00E12191" w:rsidRPr="00AE6B5F" w:rsidRDefault="00AF0151" w:rsidP="001A6242">
            <w:r w:rsidRPr="00AE6B5F">
              <w:t>-</w:t>
            </w:r>
          </w:p>
        </w:tc>
      </w:tr>
      <w:tr w:rsidR="00E12191" w:rsidRPr="00AE6B5F" w14:paraId="7FEF1B45" w14:textId="77777777" w:rsidTr="00AF0151">
        <w:trPr>
          <w:cantSplit/>
        </w:trPr>
        <w:tc>
          <w:tcPr>
            <w:tcW w:w="0" w:type="auto"/>
          </w:tcPr>
          <w:p w14:paraId="535EDD34" w14:textId="77777777" w:rsidR="00E12191" w:rsidRPr="00AE6B5F" w:rsidRDefault="00E12191" w:rsidP="001A6242">
            <w:r w:rsidRPr="00AE6B5F">
              <w:t>TASIT Emotion recognition</w:t>
            </w:r>
          </w:p>
        </w:tc>
        <w:tc>
          <w:tcPr>
            <w:tcW w:w="0" w:type="auto"/>
          </w:tcPr>
          <w:p w14:paraId="7958E4F6" w14:textId="77777777" w:rsidR="00E12191" w:rsidRPr="00AE6B5F" w:rsidRDefault="00E12191" w:rsidP="001A6242">
            <w:r w:rsidRPr="00AE6B5F">
              <w:t>.066</w:t>
            </w:r>
          </w:p>
        </w:tc>
        <w:tc>
          <w:tcPr>
            <w:tcW w:w="0" w:type="auto"/>
            <w:shd w:val="clear" w:color="auto" w:fill="auto"/>
          </w:tcPr>
          <w:p w14:paraId="62549FBC" w14:textId="77777777" w:rsidR="00E12191" w:rsidRPr="00AE6B5F" w:rsidRDefault="00E12191" w:rsidP="001A6242">
            <w:r w:rsidRPr="00AE6B5F">
              <w:t>-.104</w:t>
            </w:r>
          </w:p>
        </w:tc>
        <w:tc>
          <w:tcPr>
            <w:tcW w:w="0" w:type="auto"/>
            <w:shd w:val="clear" w:color="auto" w:fill="auto"/>
          </w:tcPr>
          <w:p w14:paraId="6380DE90" w14:textId="77777777" w:rsidR="00E12191" w:rsidRPr="00AE6B5F" w:rsidRDefault="00E12191" w:rsidP="001A6242">
            <w:r w:rsidRPr="00AE6B5F">
              <w:t>-.138</w:t>
            </w:r>
          </w:p>
        </w:tc>
        <w:tc>
          <w:tcPr>
            <w:tcW w:w="0" w:type="auto"/>
            <w:shd w:val="clear" w:color="auto" w:fill="auto"/>
          </w:tcPr>
          <w:p w14:paraId="61E73066" w14:textId="77777777" w:rsidR="00E12191" w:rsidRPr="00AE6B5F" w:rsidRDefault="00AF0151" w:rsidP="001A6242">
            <w:r w:rsidRPr="00AE6B5F">
              <w:t>-</w:t>
            </w:r>
          </w:p>
        </w:tc>
        <w:tc>
          <w:tcPr>
            <w:tcW w:w="1149" w:type="dxa"/>
            <w:shd w:val="clear" w:color="auto" w:fill="auto"/>
          </w:tcPr>
          <w:p w14:paraId="7D389D15" w14:textId="77777777" w:rsidR="00E12191" w:rsidRPr="00AE6B5F" w:rsidRDefault="00AF0151" w:rsidP="001A6242">
            <w:r w:rsidRPr="00AE6B5F">
              <w:t>-</w:t>
            </w:r>
          </w:p>
        </w:tc>
      </w:tr>
      <w:tr w:rsidR="00E12191" w:rsidRPr="00AE6B5F" w14:paraId="67173629" w14:textId="77777777" w:rsidTr="00AF0151">
        <w:trPr>
          <w:cantSplit/>
        </w:trPr>
        <w:tc>
          <w:tcPr>
            <w:tcW w:w="0" w:type="auto"/>
          </w:tcPr>
          <w:p w14:paraId="12F634F5" w14:textId="77777777" w:rsidR="00E12191" w:rsidRPr="00AE6B5F" w:rsidRDefault="00E12191" w:rsidP="001A6242">
            <w:pPr>
              <w:tabs>
                <w:tab w:val="left" w:pos="1758"/>
              </w:tabs>
            </w:pPr>
            <w:r w:rsidRPr="00AE6B5F">
              <w:t>TASIT part 2</w:t>
            </w:r>
            <w:r w:rsidRPr="00AE6B5F">
              <w:tab/>
            </w:r>
          </w:p>
        </w:tc>
        <w:tc>
          <w:tcPr>
            <w:tcW w:w="0" w:type="auto"/>
          </w:tcPr>
          <w:p w14:paraId="0A5A5D78" w14:textId="77777777" w:rsidR="00E12191" w:rsidRPr="00AE6B5F" w:rsidRDefault="00E12191" w:rsidP="001A6242">
            <w:r w:rsidRPr="00AE6B5F">
              <w:t>-.345</w:t>
            </w:r>
          </w:p>
        </w:tc>
        <w:tc>
          <w:tcPr>
            <w:tcW w:w="0" w:type="auto"/>
            <w:shd w:val="clear" w:color="auto" w:fill="auto"/>
          </w:tcPr>
          <w:p w14:paraId="47C07C7D" w14:textId="77777777" w:rsidR="00E12191" w:rsidRPr="00AE6B5F" w:rsidRDefault="00E12191" w:rsidP="001A6242">
            <w:r w:rsidRPr="00AE6B5F">
              <w:t>-.314</w:t>
            </w:r>
          </w:p>
        </w:tc>
        <w:tc>
          <w:tcPr>
            <w:tcW w:w="0" w:type="auto"/>
            <w:shd w:val="clear" w:color="auto" w:fill="auto"/>
          </w:tcPr>
          <w:p w14:paraId="3E74B495" w14:textId="77777777" w:rsidR="00E12191" w:rsidRPr="00AE6B5F" w:rsidRDefault="00E12191" w:rsidP="001A6242">
            <w:r w:rsidRPr="00AE6B5F">
              <w:t>-.037</w:t>
            </w:r>
          </w:p>
        </w:tc>
        <w:tc>
          <w:tcPr>
            <w:tcW w:w="0" w:type="auto"/>
            <w:shd w:val="clear" w:color="auto" w:fill="auto"/>
          </w:tcPr>
          <w:p w14:paraId="1E40848F" w14:textId="77777777" w:rsidR="00E12191" w:rsidRPr="00AE6B5F" w:rsidRDefault="00E12191" w:rsidP="001A6242">
            <w:r w:rsidRPr="00AE6B5F">
              <w:t>.153</w:t>
            </w:r>
          </w:p>
        </w:tc>
        <w:tc>
          <w:tcPr>
            <w:tcW w:w="1149" w:type="dxa"/>
            <w:shd w:val="clear" w:color="auto" w:fill="auto"/>
          </w:tcPr>
          <w:p w14:paraId="2C2A1FEB" w14:textId="77777777" w:rsidR="00E12191" w:rsidRPr="00AE6B5F" w:rsidRDefault="00AF0151" w:rsidP="001A6242">
            <w:r w:rsidRPr="00AE6B5F">
              <w:t>-</w:t>
            </w:r>
          </w:p>
        </w:tc>
      </w:tr>
      <w:tr w:rsidR="00E12191" w:rsidRPr="00AE6B5F" w14:paraId="3267C3ED" w14:textId="77777777" w:rsidTr="00AF0151">
        <w:trPr>
          <w:cantSplit/>
        </w:trPr>
        <w:tc>
          <w:tcPr>
            <w:tcW w:w="0" w:type="auto"/>
          </w:tcPr>
          <w:p w14:paraId="0085C127" w14:textId="77777777" w:rsidR="00E12191" w:rsidRPr="00AE6B5F" w:rsidRDefault="00E12191" w:rsidP="001A6242">
            <w:r w:rsidRPr="00AE6B5F">
              <w:t>TASIT part 3 (non-parametric)</w:t>
            </w:r>
          </w:p>
        </w:tc>
        <w:tc>
          <w:tcPr>
            <w:tcW w:w="0" w:type="auto"/>
          </w:tcPr>
          <w:p w14:paraId="264FAB1E" w14:textId="77777777" w:rsidR="00E12191" w:rsidRPr="00AE6B5F" w:rsidRDefault="00E12191" w:rsidP="001A6242">
            <w:r w:rsidRPr="00AE6B5F">
              <w:t>.101</w:t>
            </w:r>
          </w:p>
        </w:tc>
        <w:tc>
          <w:tcPr>
            <w:tcW w:w="0" w:type="auto"/>
          </w:tcPr>
          <w:p w14:paraId="59646F58" w14:textId="77777777" w:rsidR="00E12191" w:rsidRPr="00AE6B5F" w:rsidRDefault="00E12191" w:rsidP="001A6242">
            <w:r w:rsidRPr="00AE6B5F">
              <w:t>-.101</w:t>
            </w:r>
          </w:p>
        </w:tc>
        <w:tc>
          <w:tcPr>
            <w:tcW w:w="0" w:type="auto"/>
          </w:tcPr>
          <w:p w14:paraId="7D107951" w14:textId="77777777" w:rsidR="00E12191" w:rsidRPr="00AE6B5F" w:rsidRDefault="00E12191" w:rsidP="001A6242">
            <w:r w:rsidRPr="00AE6B5F">
              <w:t>-.011</w:t>
            </w:r>
          </w:p>
        </w:tc>
        <w:tc>
          <w:tcPr>
            <w:tcW w:w="0" w:type="auto"/>
          </w:tcPr>
          <w:p w14:paraId="7C0B019F" w14:textId="77777777" w:rsidR="00E12191" w:rsidRPr="00AE6B5F" w:rsidRDefault="00E12191" w:rsidP="001A6242">
            <w:r w:rsidRPr="00AE6B5F">
              <w:t>.193</w:t>
            </w:r>
          </w:p>
        </w:tc>
        <w:tc>
          <w:tcPr>
            <w:tcW w:w="1149" w:type="dxa"/>
          </w:tcPr>
          <w:p w14:paraId="4D4A31DD" w14:textId="77777777" w:rsidR="00E12191" w:rsidRPr="00AE6B5F" w:rsidRDefault="00E12191" w:rsidP="001A6242">
            <w:r w:rsidRPr="00AE6B5F">
              <w:t>.616**</w:t>
            </w:r>
          </w:p>
        </w:tc>
      </w:tr>
      <w:tr w:rsidR="00AF0151" w:rsidRPr="00AE6B5F" w14:paraId="014D6A44" w14:textId="77777777" w:rsidTr="00AF0151">
        <w:trPr>
          <w:cantSplit/>
        </w:trPr>
        <w:tc>
          <w:tcPr>
            <w:tcW w:w="0" w:type="auto"/>
          </w:tcPr>
          <w:p w14:paraId="51D4305E" w14:textId="77777777" w:rsidR="00AF0151" w:rsidRPr="00AE6B5F" w:rsidRDefault="00AF0151" w:rsidP="001A6242"/>
        </w:tc>
        <w:tc>
          <w:tcPr>
            <w:tcW w:w="0" w:type="auto"/>
          </w:tcPr>
          <w:p w14:paraId="545054BF" w14:textId="77777777" w:rsidR="00AF0151" w:rsidRPr="00AE6B5F" w:rsidRDefault="00AF0151" w:rsidP="001A6242"/>
        </w:tc>
        <w:tc>
          <w:tcPr>
            <w:tcW w:w="0" w:type="auto"/>
          </w:tcPr>
          <w:p w14:paraId="28D011FC" w14:textId="77777777" w:rsidR="00AF0151" w:rsidRPr="00AE6B5F" w:rsidRDefault="00AF0151" w:rsidP="001A6242"/>
        </w:tc>
        <w:tc>
          <w:tcPr>
            <w:tcW w:w="0" w:type="auto"/>
          </w:tcPr>
          <w:p w14:paraId="514EA7EB" w14:textId="77777777" w:rsidR="00AF0151" w:rsidRPr="00AE6B5F" w:rsidRDefault="00AF0151" w:rsidP="001A6242"/>
        </w:tc>
        <w:tc>
          <w:tcPr>
            <w:tcW w:w="0" w:type="auto"/>
          </w:tcPr>
          <w:p w14:paraId="518CC520" w14:textId="77777777" w:rsidR="00AF0151" w:rsidRPr="00AE6B5F" w:rsidRDefault="00AF0151" w:rsidP="001A6242"/>
        </w:tc>
        <w:tc>
          <w:tcPr>
            <w:tcW w:w="1149" w:type="dxa"/>
          </w:tcPr>
          <w:p w14:paraId="207345E7" w14:textId="77777777" w:rsidR="00AF0151" w:rsidRPr="00AE6B5F" w:rsidRDefault="00AF0151" w:rsidP="001A6242"/>
        </w:tc>
      </w:tr>
    </w:tbl>
    <w:p w14:paraId="11F260CA" w14:textId="77777777" w:rsidR="00E12191" w:rsidRPr="00AE6B5F" w:rsidRDefault="00E12191" w:rsidP="00E12191">
      <w:pPr>
        <w:rPr>
          <w:color w:val="000000"/>
        </w:rPr>
      </w:pPr>
      <w:r w:rsidRPr="00AE6B5F">
        <w:rPr>
          <w:color w:val="000000"/>
        </w:rPr>
        <w:t>*. Correlation is significant at the 0.05 level **. Correlation is significant at the 0.01 level</w:t>
      </w:r>
    </w:p>
    <w:p w14:paraId="1A77CDB3" w14:textId="77777777" w:rsidR="00E12191" w:rsidRPr="00AE6B5F" w:rsidRDefault="00E12191" w:rsidP="00E12191">
      <w:pPr>
        <w:jc w:val="both"/>
        <w:rPr>
          <w:color w:val="000000"/>
        </w:rPr>
      </w:pPr>
      <w:r w:rsidRPr="00AE6B5F">
        <w:rPr>
          <w:color w:val="000000"/>
        </w:rPr>
        <w:t xml:space="preserve">For non-parametric variables Spearman’s correlations are shown, for all other variables </w:t>
      </w:r>
    </w:p>
    <w:p w14:paraId="011B005E" w14:textId="77777777" w:rsidR="00AF0151" w:rsidRPr="00AE6B5F" w:rsidRDefault="00E12191" w:rsidP="00AF0151">
      <w:pPr>
        <w:jc w:val="both"/>
        <w:rPr>
          <w:color w:val="000000"/>
        </w:rPr>
      </w:pPr>
      <w:r w:rsidRPr="00AE6B5F">
        <w:rPr>
          <w:color w:val="000000"/>
        </w:rPr>
        <w:t>Pearson’s correlations are shown.</w:t>
      </w:r>
    </w:p>
    <w:p w14:paraId="03E9D80D" w14:textId="77777777" w:rsidR="00AF0151" w:rsidRPr="00AE6B5F" w:rsidRDefault="00AF0151" w:rsidP="00AF0151">
      <w:pPr>
        <w:jc w:val="both"/>
        <w:rPr>
          <w:color w:val="000000"/>
        </w:rPr>
      </w:pPr>
    </w:p>
    <w:p w14:paraId="3D1227E7" w14:textId="77777777" w:rsidR="00FF55BF" w:rsidRPr="00AE6B5F" w:rsidRDefault="00FF55BF">
      <w:pPr>
        <w:spacing w:after="160" w:line="259" w:lineRule="auto"/>
        <w:rPr>
          <w:b/>
        </w:rPr>
      </w:pPr>
      <w:r w:rsidRPr="00AE6B5F">
        <w:rPr>
          <w:b/>
        </w:rPr>
        <w:br w:type="page"/>
      </w:r>
    </w:p>
    <w:p w14:paraId="7C91A6F2" w14:textId="77777777" w:rsidR="00E12191" w:rsidRPr="00AE6B5F" w:rsidRDefault="00E12191" w:rsidP="00AF0151">
      <w:pPr>
        <w:jc w:val="both"/>
        <w:rPr>
          <w:b/>
        </w:rPr>
      </w:pPr>
      <w:r w:rsidRPr="00AE6B5F">
        <w:rPr>
          <w:b/>
        </w:rPr>
        <w:t xml:space="preserve">Table 3. Mean scores and effect sizes for comparisons of lower (&lt;31) and higher scoring (&gt;31) groups on GTPS. </w:t>
      </w:r>
    </w:p>
    <w:p w14:paraId="7ABE88E6" w14:textId="77777777" w:rsidR="00FF55BF" w:rsidRPr="00AE6B5F" w:rsidRDefault="00FF55BF" w:rsidP="00AF0151">
      <w:pPr>
        <w:jc w:val="both"/>
        <w:rPr>
          <w:b/>
        </w:rPr>
      </w:pPr>
    </w:p>
    <w:tbl>
      <w:tblPr>
        <w:tblStyle w:val="TableGrid"/>
        <w:tblW w:w="0" w:type="auto"/>
        <w:tblLook w:val="04A0" w:firstRow="1" w:lastRow="0" w:firstColumn="1" w:lastColumn="0" w:noHBand="0" w:noVBand="1"/>
      </w:tblPr>
      <w:tblGrid>
        <w:gridCol w:w="2311"/>
        <w:gridCol w:w="1518"/>
        <w:gridCol w:w="989"/>
        <w:gridCol w:w="1509"/>
        <w:gridCol w:w="989"/>
        <w:gridCol w:w="1700"/>
      </w:tblGrid>
      <w:tr w:rsidR="00E12191" w:rsidRPr="00AE6B5F" w14:paraId="5F1FDD31" w14:textId="77777777" w:rsidTr="00AF0151">
        <w:trPr>
          <w:cantSplit/>
          <w:trHeight w:val="443"/>
          <w:tblHeader/>
        </w:trPr>
        <w:tc>
          <w:tcPr>
            <w:tcW w:w="2311" w:type="dxa"/>
            <w:vMerge w:val="restart"/>
            <w:tcBorders>
              <w:top w:val="single" w:sz="18" w:space="0" w:color="auto"/>
              <w:left w:val="nil"/>
              <w:bottom w:val="nil"/>
              <w:right w:val="nil"/>
            </w:tcBorders>
          </w:tcPr>
          <w:p w14:paraId="7A96CA79" w14:textId="77777777" w:rsidR="00E12191" w:rsidRPr="00AE6B5F" w:rsidRDefault="00E12191" w:rsidP="001A6242"/>
        </w:tc>
        <w:tc>
          <w:tcPr>
            <w:tcW w:w="6705" w:type="dxa"/>
            <w:gridSpan w:val="5"/>
            <w:tcBorders>
              <w:top w:val="single" w:sz="18" w:space="0" w:color="auto"/>
              <w:left w:val="nil"/>
              <w:bottom w:val="nil"/>
              <w:right w:val="nil"/>
            </w:tcBorders>
          </w:tcPr>
          <w:p w14:paraId="05E28BF5" w14:textId="77777777" w:rsidR="00E12191" w:rsidRPr="00AE6B5F" w:rsidRDefault="00E12191" w:rsidP="001A6242">
            <w:pPr>
              <w:jc w:val="center"/>
            </w:pPr>
            <w:r w:rsidRPr="00AE6B5F">
              <w:t>GPTS Paranoid thought scale</w:t>
            </w:r>
          </w:p>
        </w:tc>
      </w:tr>
      <w:tr w:rsidR="00E12191" w:rsidRPr="00AE6B5F" w14:paraId="68749338" w14:textId="77777777" w:rsidTr="00AF0151">
        <w:trPr>
          <w:cantSplit/>
          <w:trHeight w:val="856"/>
          <w:tblHeader/>
        </w:trPr>
        <w:tc>
          <w:tcPr>
            <w:tcW w:w="2311" w:type="dxa"/>
            <w:vMerge/>
            <w:tcBorders>
              <w:top w:val="nil"/>
              <w:left w:val="nil"/>
              <w:bottom w:val="nil"/>
              <w:right w:val="nil"/>
            </w:tcBorders>
          </w:tcPr>
          <w:p w14:paraId="64757A90" w14:textId="77777777" w:rsidR="00E12191" w:rsidRPr="00AE6B5F" w:rsidRDefault="00E12191" w:rsidP="001A6242"/>
        </w:tc>
        <w:tc>
          <w:tcPr>
            <w:tcW w:w="2507" w:type="dxa"/>
            <w:gridSpan w:val="2"/>
            <w:tcBorders>
              <w:top w:val="nil"/>
              <w:left w:val="nil"/>
              <w:bottom w:val="nil"/>
              <w:right w:val="nil"/>
            </w:tcBorders>
          </w:tcPr>
          <w:p w14:paraId="09EBD762" w14:textId="77777777" w:rsidR="00E12191" w:rsidRPr="00AE6B5F" w:rsidRDefault="00E12191" w:rsidP="001A6242">
            <w:pPr>
              <w:jc w:val="center"/>
            </w:pPr>
            <w:r w:rsidRPr="00AE6B5F">
              <w:t>Non-paranoid (score &lt;31) n=18</w:t>
            </w:r>
          </w:p>
        </w:tc>
        <w:tc>
          <w:tcPr>
            <w:tcW w:w="2498" w:type="dxa"/>
            <w:gridSpan w:val="2"/>
            <w:tcBorders>
              <w:top w:val="nil"/>
              <w:left w:val="nil"/>
              <w:bottom w:val="nil"/>
              <w:right w:val="nil"/>
            </w:tcBorders>
          </w:tcPr>
          <w:p w14:paraId="37B281C0" w14:textId="77777777" w:rsidR="00E12191" w:rsidRPr="00AE6B5F" w:rsidRDefault="00E12191" w:rsidP="001A6242">
            <w:pPr>
              <w:jc w:val="center"/>
            </w:pPr>
            <w:r w:rsidRPr="00AE6B5F">
              <w:t>Subclinical paranoia (score &gt;31) n=9</w:t>
            </w:r>
          </w:p>
        </w:tc>
        <w:tc>
          <w:tcPr>
            <w:tcW w:w="1700" w:type="dxa"/>
            <w:tcBorders>
              <w:top w:val="nil"/>
              <w:left w:val="nil"/>
              <w:bottom w:val="nil"/>
              <w:right w:val="nil"/>
            </w:tcBorders>
          </w:tcPr>
          <w:p w14:paraId="56287099" w14:textId="77777777" w:rsidR="00E12191" w:rsidRPr="00AE6B5F" w:rsidRDefault="00E12191" w:rsidP="001A6242">
            <w:pPr>
              <w:jc w:val="center"/>
            </w:pPr>
          </w:p>
        </w:tc>
      </w:tr>
      <w:tr w:rsidR="00E12191" w:rsidRPr="00AE6B5F" w14:paraId="4B3A066A" w14:textId="77777777" w:rsidTr="00AF0151">
        <w:trPr>
          <w:cantSplit/>
          <w:trHeight w:val="698"/>
          <w:tblHeader/>
        </w:trPr>
        <w:tc>
          <w:tcPr>
            <w:tcW w:w="2311" w:type="dxa"/>
            <w:vMerge/>
            <w:tcBorders>
              <w:top w:val="nil"/>
              <w:left w:val="nil"/>
              <w:bottom w:val="single" w:sz="8" w:space="0" w:color="auto"/>
              <w:right w:val="nil"/>
            </w:tcBorders>
          </w:tcPr>
          <w:p w14:paraId="5B40ABED" w14:textId="77777777" w:rsidR="00E12191" w:rsidRPr="00AE6B5F" w:rsidRDefault="00E12191" w:rsidP="001A6242"/>
        </w:tc>
        <w:tc>
          <w:tcPr>
            <w:tcW w:w="1518" w:type="dxa"/>
            <w:tcBorders>
              <w:top w:val="nil"/>
              <w:left w:val="nil"/>
              <w:bottom w:val="single" w:sz="8" w:space="0" w:color="auto"/>
              <w:right w:val="nil"/>
            </w:tcBorders>
          </w:tcPr>
          <w:p w14:paraId="5B10821B" w14:textId="77777777" w:rsidR="00E12191" w:rsidRPr="00AE6B5F" w:rsidRDefault="00E12191" w:rsidP="001A6242">
            <w:r w:rsidRPr="00AE6B5F">
              <w:t>Mean (SD)</w:t>
            </w:r>
          </w:p>
        </w:tc>
        <w:tc>
          <w:tcPr>
            <w:tcW w:w="989" w:type="dxa"/>
            <w:tcBorders>
              <w:top w:val="nil"/>
              <w:left w:val="nil"/>
              <w:bottom w:val="single" w:sz="8" w:space="0" w:color="auto"/>
              <w:right w:val="nil"/>
            </w:tcBorders>
          </w:tcPr>
          <w:p w14:paraId="235C2BF0" w14:textId="77777777" w:rsidR="00E12191" w:rsidRPr="00AE6B5F" w:rsidRDefault="00E12191" w:rsidP="001A6242">
            <w:r w:rsidRPr="00AE6B5F">
              <w:t>Median (range)</w:t>
            </w:r>
          </w:p>
        </w:tc>
        <w:tc>
          <w:tcPr>
            <w:tcW w:w="1509" w:type="dxa"/>
            <w:tcBorders>
              <w:top w:val="nil"/>
              <w:left w:val="nil"/>
              <w:bottom w:val="single" w:sz="8" w:space="0" w:color="auto"/>
              <w:right w:val="nil"/>
            </w:tcBorders>
          </w:tcPr>
          <w:p w14:paraId="220E5FC5" w14:textId="77777777" w:rsidR="00E12191" w:rsidRPr="00AE6B5F" w:rsidRDefault="00E12191" w:rsidP="001A6242">
            <w:r w:rsidRPr="00AE6B5F">
              <w:t>Mean (SD)</w:t>
            </w:r>
          </w:p>
        </w:tc>
        <w:tc>
          <w:tcPr>
            <w:tcW w:w="989" w:type="dxa"/>
            <w:tcBorders>
              <w:top w:val="nil"/>
              <w:left w:val="nil"/>
              <w:bottom w:val="single" w:sz="8" w:space="0" w:color="auto"/>
              <w:right w:val="nil"/>
            </w:tcBorders>
          </w:tcPr>
          <w:p w14:paraId="1C7CCA48" w14:textId="77777777" w:rsidR="00E12191" w:rsidRPr="00AE6B5F" w:rsidRDefault="00E12191" w:rsidP="001A6242">
            <w:r w:rsidRPr="00AE6B5F">
              <w:t>Median (range)</w:t>
            </w:r>
          </w:p>
        </w:tc>
        <w:tc>
          <w:tcPr>
            <w:tcW w:w="1700" w:type="dxa"/>
            <w:tcBorders>
              <w:top w:val="nil"/>
              <w:left w:val="nil"/>
              <w:bottom w:val="single" w:sz="8" w:space="0" w:color="auto"/>
              <w:right w:val="nil"/>
            </w:tcBorders>
          </w:tcPr>
          <w:p w14:paraId="7A68EB18" w14:textId="77777777" w:rsidR="00E12191" w:rsidRPr="00AE6B5F" w:rsidRDefault="00E12191" w:rsidP="001A6242">
            <w:pPr>
              <w:jc w:val="center"/>
            </w:pPr>
            <w:r w:rsidRPr="00AE6B5F">
              <w:t xml:space="preserve">Effect size, </w:t>
            </w:r>
          </w:p>
          <w:p w14:paraId="260FE7BD" w14:textId="77777777" w:rsidR="00E12191" w:rsidRPr="00AE6B5F" w:rsidRDefault="00E12191" w:rsidP="001A6242">
            <w:pPr>
              <w:jc w:val="center"/>
            </w:pPr>
            <w:r w:rsidRPr="00AE6B5F">
              <w:rPr>
                <w:i/>
              </w:rPr>
              <w:t>d</w:t>
            </w:r>
            <w:r w:rsidRPr="00AE6B5F">
              <w:t xml:space="preserve"> (95% CI)</w:t>
            </w:r>
          </w:p>
        </w:tc>
      </w:tr>
      <w:tr w:rsidR="00AF0151" w:rsidRPr="00AE6B5F" w14:paraId="58FE9870" w14:textId="77777777" w:rsidTr="00AF0151">
        <w:trPr>
          <w:cantSplit/>
        </w:trPr>
        <w:tc>
          <w:tcPr>
            <w:tcW w:w="2311" w:type="dxa"/>
            <w:tcBorders>
              <w:top w:val="single" w:sz="8" w:space="0" w:color="auto"/>
              <w:left w:val="nil"/>
              <w:bottom w:val="nil"/>
              <w:right w:val="nil"/>
            </w:tcBorders>
          </w:tcPr>
          <w:p w14:paraId="0C14F8A9" w14:textId="77777777" w:rsidR="00AF0151" w:rsidRPr="00AE6B5F" w:rsidRDefault="00AF0151" w:rsidP="001A6242"/>
        </w:tc>
        <w:tc>
          <w:tcPr>
            <w:tcW w:w="1518" w:type="dxa"/>
            <w:tcBorders>
              <w:top w:val="single" w:sz="8" w:space="0" w:color="auto"/>
              <w:left w:val="nil"/>
              <w:bottom w:val="nil"/>
              <w:right w:val="nil"/>
            </w:tcBorders>
          </w:tcPr>
          <w:p w14:paraId="1B94314E" w14:textId="77777777" w:rsidR="00AF0151" w:rsidRPr="00AE6B5F" w:rsidRDefault="00AF0151" w:rsidP="001A6242"/>
        </w:tc>
        <w:tc>
          <w:tcPr>
            <w:tcW w:w="989" w:type="dxa"/>
            <w:tcBorders>
              <w:top w:val="single" w:sz="8" w:space="0" w:color="auto"/>
              <w:left w:val="nil"/>
              <w:bottom w:val="nil"/>
              <w:right w:val="nil"/>
            </w:tcBorders>
          </w:tcPr>
          <w:p w14:paraId="1F3442DF" w14:textId="77777777" w:rsidR="00AF0151" w:rsidRPr="00AE6B5F" w:rsidRDefault="00AF0151" w:rsidP="001A6242"/>
        </w:tc>
        <w:tc>
          <w:tcPr>
            <w:tcW w:w="1509" w:type="dxa"/>
            <w:tcBorders>
              <w:top w:val="single" w:sz="8" w:space="0" w:color="auto"/>
              <w:left w:val="nil"/>
              <w:bottom w:val="nil"/>
              <w:right w:val="nil"/>
            </w:tcBorders>
          </w:tcPr>
          <w:p w14:paraId="32F62E11" w14:textId="77777777" w:rsidR="00AF0151" w:rsidRPr="00AE6B5F" w:rsidRDefault="00AF0151" w:rsidP="001A6242"/>
        </w:tc>
        <w:tc>
          <w:tcPr>
            <w:tcW w:w="989" w:type="dxa"/>
            <w:tcBorders>
              <w:top w:val="single" w:sz="8" w:space="0" w:color="auto"/>
              <w:left w:val="nil"/>
              <w:bottom w:val="nil"/>
              <w:right w:val="nil"/>
            </w:tcBorders>
          </w:tcPr>
          <w:p w14:paraId="29521FD6" w14:textId="77777777" w:rsidR="00AF0151" w:rsidRPr="00AE6B5F" w:rsidRDefault="00AF0151" w:rsidP="001A6242"/>
        </w:tc>
        <w:tc>
          <w:tcPr>
            <w:tcW w:w="1700" w:type="dxa"/>
            <w:tcBorders>
              <w:top w:val="single" w:sz="8" w:space="0" w:color="auto"/>
              <w:left w:val="nil"/>
              <w:bottom w:val="nil"/>
              <w:right w:val="nil"/>
            </w:tcBorders>
          </w:tcPr>
          <w:p w14:paraId="4E9C3087" w14:textId="77777777" w:rsidR="00AF0151" w:rsidRPr="00AE6B5F" w:rsidRDefault="00AF0151" w:rsidP="001A6242">
            <w:pPr>
              <w:jc w:val="center"/>
            </w:pPr>
          </w:p>
        </w:tc>
      </w:tr>
      <w:tr w:rsidR="00E12191" w:rsidRPr="00AE6B5F" w14:paraId="60B41022" w14:textId="77777777" w:rsidTr="00AF0151">
        <w:trPr>
          <w:cantSplit/>
        </w:trPr>
        <w:tc>
          <w:tcPr>
            <w:tcW w:w="2311" w:type="dxa"/>
            <w:tcBorders>
              <w:top w:val="nil"/>
              <w:left w:val="nil"/>
              <w:bottom w:val="nil"/>
              <w:right w:val="nil"/>
            </w:tcBorders>
          </w:tcPr>
          <w:p w14:paraId="3A2AE205" w14:textId="77777777" w:rsidR="00E12191" w:rsidRPr="00AE6B5F" w:rsidRDefault="00E12191" w:rsidP="001A6242">
            <w:r w:rsidRPr="00AE6B5F">
              <w:t>Emotion Recognition</w:t>
            </w:r>
          </w:p>
        </w:tc>
        <w:tc>
          <w:tcPr>
            <w:tcW w:w="1518" w:type="dxa"/>
            <w:tcBorders>
              <w:top w:val="nil"/>
              <w:left w:val="nil"/>
              <w:bottom w:val="nil"/>
              <w:right w:val="nil"/>
            </w:tcBorders>
          </w:tcPr>
          <w:p w14:paraId="1A2DB1C9" w14:textId="77777777" w:rsidR="00E12191" w:rsidRPr="00AE6B5F" w:rsidRDefault="00E12191" w:rsidP="001A6242">
            <w:r w:rsidRPr="00AE6B5F">
              <w:t>20.28 (5.05)</w:t>
            </w:r>
          </w:p>
        </w:tc>
        <w:tc>
          <w:tcPr>
            <w:tcW w:w="989" w:type="dxa"/>
            <w:tcBorders>
              <w:top w:val="nil"/>
              <w:left w:val="nil"/>
              <w:bottom w:val="nil"/>
              <w:right w:val="nil"/>
            </w:tcBorders>
          </w:tcPr>
          <w:p w14:paraId="660A28EF" w14:textId="77777777" w:rsidR="00E12191" w:rsidRPr="00AE6B5F" w:rsidRDefault="00E12191" w:rsidP="001A6242">
            <w:r w:rsidRPr="00AE6B5F">
              <w:t xml:space="preserve">20 </w:t>
            </w:r>
          </w:p>
          <w:p w14:paraId="2ED14C84" w14:textId="77777777" w:rsidR="00E12191" w:rsidRPr="00AE6B5F" w:rsidRDefault="00E12191" w:rsidP="001A6242">
            <w:r w:rsidRPr="00AE6B5F">
              <w:t>(10-27)</w:t>
            </w:r>
          </w:p>
        </w:tc>
        <w:tc>
          <w:tcPr>
            <w:tcW w:w="1509" w:type="dxa"/>
            <w:tcBorders>
              <w:top w:val="nil"/>
              <w:left w:val="nil"/>
              <w:bottom w:val="nil"/>
              <w:right w:val="nil"/>
            </w:tcBorders>
          </w:tcPr>
          <w:p w14:paraId="2E7128D0" w14:textId="77777777" w:rsidR="00E12191" w:rsidRPr="00AE6B5F" w:rsidRDefault="00E12191" w:rsidP="001A6242">
            <w:r w:rsidRPr="00AE6B5F">
              <w:t>20.22 (3.53)</w:t>
            </w:r>
          </w:p>
        </w:tc>
        <w:tc>
          <w:tcPr>
            <w:tcW w:w="989" w:type="dxa"/>
            <w:tcBorders>
              <w:top w:val="nil"/>
              <w:left w:val="nil"/>
              <w:bottom w:val="nil"/>
              <w:right w:val="nil"/>
            </w:tcBorders>
          </w:tcPr>
          <w:p w14:paraId="46378AA1" w14:textId="77777777" w:rsidR="00E12191" w:rsidRPr="00AE6B5F" w:rsidRDefault="00E12191" w:rsidP="001A6242">
            <w:r w:rsidRPr="00AE6B5F">
              <w:t xml:space="preserve">21 </w:t>
            </w:r>
          </w:p>
          <w:p w14:paraId="5BCE1EE0" w14:textId="77777777" w:rsidR="00E12191" w:rsidRPr="00AE6B5F" w:rsidRDefault="00E12191" w:rsidP="001A6242">
            <w:r w:rsidRPr="00AE6B5F">
              <w:t>(12-24)</w:t>
            </w:r>
          </w:p>
        </w:tc>
        <w:tc>
          <w:tcPr>
            <w:tcW w:w="1700" w:type="dxa"/>
            <w:tcBorders>
              <w:top w:val="nil"/>
              <w:left w:val="nil"/>
              <w:bottom w:val="nil"/>
              <w:right w:val="nil"/>
            </w:tcBorders>
          </w:tcPr>
          <w:p w14:paraId="0D834FCB" w14:textId="77777777" w:rsidR="00E12191" w:rsidRPr="00AE6B5F" w:rsidRDefault="00E12191" w:rsidP="001A6242">
            <w:pPr>
              <w:jc w:val="center"/>
            </w:pPr>
            <w:r w:rsidRPr="00AE6B5F">
              <w:t xml:space="preserve">0.01 </w:t>
            </w:r>
          </w:p>
          <w:p w14:paraId="0198DF1D" w14:textId="77777777" w:rsidR="00E12191" w:rsidRPr="00AE6B5F" w:rsidRDefault="00E12191" w:rsidP="001A6242">
            <w:pPr>
              <w:jc w:val="center"/>
            </w:pPr>
            <w:r w:rsidRPr="00AE6B5F">
              <w:t>(-0.79, 0.81)</w:t>
            </w:r>
          </w:p>
        </w:tc>
      </w:tr>
      <w:tr w:rsidR="00E12191" w:rsidRPr="00AE6B5F" w14:paraId="7482B8B4" w14:textId="77777777" w:rsidTr="00AF0151">
        <w:trPr>
          <w:cantSplit/>
        </w:trPr>
        <w:tc>
          <w:tcPr>
            <w:tcW w:w="2311" w:type="dxa"/>
            <w:tcBorders>
              <w:top w:val="nil"/>
              <w:left w:val="nil"/>
              <w:bottom w:val="nil"/>
              <w:right w:val="nil"/>
            </w:tcBorders>
          </w:tcPr>
          <w:p w14:paraId="76DBD5D2" w14:textId="77777777" w:rsidR="00E12191" w:rsidRPr="00AE6B5F" w:rsidRDefault="00E12191" w:rsidP="001A6242">
            <w:r w:rsidRPr="00AE6B5F">
              <w:t>TASIT 2</w:t>
            </w:r>
          </w:p>
        </w:tc>
        <w:tc>
          <w:tcPr>
            <w:tcW w:w="1518" w:type="dxa"/>
            <w:tcBorders>
              <w:top w:val="nil"/>
              <w:left w:val="nil"/>
              <w:bottom w:val="nil"/>
              <w:right w:val="nil"/>
            </w:tcBorders>
          </w:tcPr>
          <w:p w14:paraId="6AA6CD0D" w14:textId="77777777" w:rsidR="00E12191" w:rsidRPr="00AE6B5F" w:rsidRDefault="00E12191" w:rsidP="001A6242">
            <w:r w:rsidRPr="00AE6B5F">
              <w:t>43.05 (11.88)</w:t>
            </w:r>
          </w:p>
        </w:tc>
        <w:tc>
          <w:tcPr>
            <w:tcW w:w="989" w:type="dxa"/>
            <w:tcBorders>
              <w:top w:val="nil"/>
              <w:left w:val="nil"/>
              <w:bottom w:val="nil"/>
              <w:right w:val="nil"/>
            </w:tcBorders>
          </w:tcPr>
          <w:p w14:paraId="1C155DFE" w14:textId="77777777" w:rsidR="00E12191" w:rsidRPr="00AE6B5F" w:rsidRDefault="00E12191" w:rsidP="001A6242">
            <w:r w:rsidRPr="00AE6B5F">
              <w:t>43.5 (27-59)</w:t>
            </w:r>
          </w:p>
        </w:tc>
        <w:tc>
          <w:tcPr>
            <w:tcW w:w="1509" w:type="dxa"/>
            <w:tcBorders>
              <w:top w:val="nil"/>
              <w:left w:val="nil"/>
              <w:bottom w:val="nil"/>
              <w:right w:val="nil"/>
            </w:tcBorders>
          </w:tcPr>
          <w:p w14:paraId="7AC38CD2" w14:textId="77777777" w:rsidR="00E12191" w:rsidRPr="00AE6B5F" w:rsidRDefault="00E12191" w:rsidP="001A6242">
            <w:r w:rsidRPr="00AE6B5F">
              <w:t>40.81 (7.86)</w:t>
            </w:r>
          </w:p>
        </w:tc>
        <w:tc>
          <w:tcPr>
            <w:tcW w:w="989" w:type="dxa"/>
            <w:tcBorders>
              <w:top w:val="nil"/>
              <w:left w:val="nil"/>
              <w:bottom w:val="nil"/>
              <w:right w:val="nil"/>
            </w:tcBorders>
          </w:tcPr>
          <w:p w14:paraId="3AFE534B" w14:textId="77777777" w:rsidR="00E12191" w:rsidRPr="00AE6B5F" w:rsidRDefault="00E12191" w:rsidP="001A6242">
            <w:r w:rsidRPr="00AE6B5F">
              <w:t>42.3 (32-52)</w:t>
            </w:r>
          </w:p>
        </w:tc>
        <w:tc>
          <w:tcPr>
            <w:tcW w:w="1700" w:type="dxa"/>
            <w:tcBorders>
              <w:top w:val="nil"/>
              <w:left w:val="nil"/>
              <w:bottom w:val="nil"/>
              <w:right w:val="nil"/>
            </w:tcBorders>
          </w:tcPr>
          <w:p w14:paraId="49CE3997" w14:textId="77777777" w:rsidR="00E12191" w:rsidRPr="00AE6B5F" w:rsidRDefault="00E12191" w:rsidP="001A6242">
            <w:pPr>
              <w:jc w:val="center"/>
            </w:pPr>
            <w:r w:rsidRPr="00AE6B5F">
              <w:t xml:space="preserve">0.21 </w:t>
            </w:r>
          </w:p>
          <w:p w14:paraId="07842B6D" w14:textId="77777777" w:rsidR="00E12191" w:rsidRPr="00AE6B5F" w:rsidRDefault="00E12191" w:rsidP="001A6242">
            <w:pPr>
              <w:jc w:val="center"/>
            </w:pPr>
            <w:r w:rsidRPr="00AE6B5F">
              <w:t>(-0.59, 1.01)</w:t>
            </w:r>
          </w:p>
        </w:tc>
      </w:tr>
      <w:tr w:rsidR="00E12191" w:rsidRPr="00AE6B5F" w14:paraId="52F9B5E6" w14:textId="77777777" w:rsidTr="00FF55BF">
        <w:trPr>
          <w:cantSplit/>
        </w:trPr>
        <w:tc>
          <w:tcPr>
            <w:tcW w:w="2311" w:type="dxa"/>
            <w:tcBorders>
              <w:top w:val="nil"/>
              <w:left w:val="nil"/>
              <w:bottom w:val="nil"/>
              <w:right w:val="nil"/>
            </w:tcBorders>
          </w:tcPr>
          <w:p w14:paraId="55F4D5DD" w14:textId="77777777" w:rsidR="00E12191" w:rsidRPr="00AE6B5F" w:rsidRDefault="00E12191" w:rsidP="001A6242">
            <w:r w:rsidRPr="00AE6B5F">
              <w:t>TASIT 3</w:t>
            </w:r>
          </w:p>
        </w:tc>
        <w:tc>
          <w:tcPr>
            <w:tcW w:w="1518" w:type="dxa"/>
            <w:tcBorders>
              <w:top w:val="nil"/>
              <w:left w:val="nil"/>
              <w:bottom w:val="nil"/>
              <w:right w:val="nil"/>
            </w:tcBorders>
          </w:tcPr>
          <w:p w14:paraId="2CBD5E85" w14:textId="77777777" w:rsidR="00E12191" w:rsidRPr="00AE6B5F" w:rsidRDefault="00E12191" w:rsidP="001A6242">
            <w:r w:rsidRPr="00AE6B5F">
              <w:t>44.39 (7.37)</w:t>
            </w:r>
          </w:p>
        </w:tc>
        <w:tc>
          <w:tcPr>
            <w:tcW w:w="989" w:type="dxa"/>
            <w:tcBorders>
              <w:top w:val="nil"/>
              <w:left w:val="nil"/>
              <w:bottom w:val="nil"/>
              <w:right w:val="nil"/>
            </w:tcBorders>
          </w:tcPr>
          <w:p w14:paraId="77DFE8FB" w14:textId="77777777" w:rsidR="00E12191" w:rsidRPr="00AE6B5F" w:rsidRDefault="00E12191" w:rsidP="001A6242">
            <w:r w:rsidRPr="00AE6B5F">
              <w:t xml:space="preserve">46 </w:t>
            </w:r>
          </w:p>
          <w:p w14:paraId="63F9EF20" w14:textId="77777777" w:rsidR="00E12191" w:rsidRPr="00AE6B5F" w:rsidRDefault="00E12191" w:rsidP="001A6242">
            <w:r w:rsidRPr="00AE6B5F">
              <w:t>(33-54)</w:t>
            </w:r>
          </w:p>
        </w:tc>
        <w:tc>
          <w:tcPr>
            <w:tcW w:w="1509" w:type="dxa"/>
            <w:tcBorders>
              <w:top w:val="nil"/>
              <w:left w:val="nil"/>
              <w:bottom w:val="nil"/>
              <w:right w:val="nil"/>
            </w:tcBorders>
          </w:tcPr>
          <w:p w14:paraId="065787E7" w14:textId="77777777" w:rsidR="00E12191" w:rsidRPr="00AE6B5F" w:rsidRDefault="00E12191" w:rsidP="001A6242">
            <w:r w:rsidRPr="00AE6B5F">
              <w:t>43.80 (10)</w:t>
            </w:r>
          </w:p>
        </w:tc>
        <w:tc>
          <w:tcPr>
            <w:tcW w:w="989" w:type="dxa"/>
            <w:tcBorders>
              <w:top w:val="nil"/>
              <w:left w:val="nil"/>
              <w:bottom w:val="nil"/>
              <w:right w:val="nil"/>
            </w:tcBorders>
          </w:tcPr>
          <w:p w14:paraId="67056442" w14:textId="77777777" w:rsidR="00E12191" w:rsidRPr="00AE6B5F" w:rsidRDefault="00E12191" w:rsidP="001A6242">
            <w:r w:rsidRPr="00AE6B5F">
              <w:t xml:space="preserve">43 </w:t>
            </w:r>
          </w:p>
          <w:p w14:paraId="54E432C8" w14:textId="77777777" w:rsidR="00E12191" w:rsidRPr="00AE6B5F" w:rsidRDefault="00E12191" w:rsidP="001A6242">
            <w:r w:rsidRPr="00AE6B5F">
              <w:t>(27-58)</w:t>
            </w:r>
          </w:p>
        </w:tc>
        <w:tc>
          <w:tcPr>
            <w:tcW w:w="1700" w:type="dxa"/>
            <w:tcBorders>
              <w:top w:val="nil"/>
              <w:left w:val="nil"/>
              <w:bottom w:val="nil"/>
              <w:right w:val="nil"/>
            </w:tcBorders>
          </w:tcPr>
          <w:p w14:paraId="517D17B2" w14:textId="77777777" w:rsidR="00E12191" w:rsidRPr="00AE6B5F" w:rsidRDefault="00E12191" w:rsidP="001A6242">
            <w:pPr>
              <w:jc w:val="center"/>
            </w:pPr>
            <w:r w:rsidRPr="00AE6B5F">
              <w:t xml:space="preserve">0.07 </w:t>
            </w:r>
          </w:p>
          <w:p w14:paraId="4702D6DD" w14:textId="77777777" w:rsidR="00E12191" w:rsidRPr="00AE6B5F" w:rsidRDefault="00E12191" w:rsidP="001A6242">
            <w:pPr>
              <w:jc w:val="center"/>
            </w:pPr>
            <w:r w:rsidRPr="00AE6B5F">
              <w:t>(-0.73, 0.87)</w:t>
            </w:r>
          </w:p>
        </w:tc>
      </w:tr>
      <w:tr w:rsidR="00AF0151" w:rsidRPr="00AE6B5F" w14:paraId="0670F744" w14:textId="77777777" w:rsidTr="00AF0151">
        <w:trPr>
          <w:cantSplit/>
        </w:trPr>
        <w:tc>
          <w:tcPr>
            <w:tcW w:w="2311" w:type="dxa"/>
            <w:tcBorders>
              <w:top w:val="nil"/>
              <w:left w:val="nil"/>
              <w:bottom w:val="single" w:sz="18" w:space="0" w:color="auto"/>
              <w:right w:val="nil"/>
            </w:tcBorders>
          </w:tcPr>
          <w:p w14:paraId="50C41BAF" w14:textId="77777777" w:rsidR="00AF0151" w:rsidRPr="00AE6B5F" w:rsidRDefault="00AF0151" w:rsidP="001A6242"/>
        </w:tc>
        <w:tc>
          <w:tcPr>
            <w:tcW w:w="1518" w:type="dxa"/>
            <w:tcBorders>
              <w:top w:val="nil"/>
              <w:left w:val="nil"/>
              <w:bottom w:val="single" w:sz="18" w:space="0" w:color="auto"/>
              <w:right w:val="nil"/>
            </w:tcBorders>
          </w:tcPr>
          <w:p w14:paraId="0E66EE55" w14:textId="77777777" w:rsidR="00AF0151" w:rsidRPr="00AE6B5F" w:rsidRDefault="00AF0151" w:rsidP="001A6242"/>
        </w:tc>
        <w:tc>
          <w:tcPr>
            <w:tcW w:w="989" w:type="dxa"/>
            <w:tcBorders>
              <w:top w:val="nil"/>
              <w:left w:val="nil"/>
              <w:bottom w:val="single" w:sz="18" w:space="0" w:color="auto"/>
              <w:right w:val="nil"/>
            </w:tcBorders>
          </w:tcPr>
          <w:p w14:paraId="1DD1D99F" w14:textId="77777777" w:rsidR="00AF0151" w:rsidRPr="00AE6B5F" w:rsidRDefault="00AF0151" w:rsidP="001A6242"/>
        </w:tc>
        <w:tc>
          <w:tcPr>
            <w:tcW w:w="1509" w:type="dxa"/>
            <w:tcBorders>
              <w:top w:val="nil"/>
              <w:left w:val="nil"/>
              <w:bottom w:val="single" w:sz="18" w:space="0" w:color="auto"/>
              <w:right w:val="nil"/>
            </w:tcBorders>
          </w:tcPr>
          <w:p w14:paraId="169658B8" w14:textId="77777777" w:rsidR="00AF0151" w:rsidRPr="00AE6B5F" w:rsidRDefault="00AF0151" w:rsidP="001A6242"/>
        </w:tc>
        <w:tc>
          <w:tcPr>
            <w:tcW w:w="989" w:type="dxa"/>
            <w:tcBorders>
              <w:top w:val="nil"/>
              <w:left w:val="nil"/>
              <w:bottom w:val="single" w:sz="18" w:space="0" w:color="auto"/>
              <w:right w:val="nil"/>
            </w:tcBorders>
          </w:tcPr>
          <w:p w14:paraId="20D647EA" w14:textId="77777777" w:rsidR="00AF0151" w:rsidRPr="00AE6B5F" w:rsidRDefault="00AF0151" w:rsidP="001A6242"/>
        </w:tc>
        <w:tc>
          <w:tcPr>
            <w:tcW w:w="1700" w:type="dxa"/>
            <w:tcBorders>
              <w:top w:val="nil"/>
              <w:left w:val="nil"/>
              <w:bottom w:val="single" w:sz="18" w:space="0" w:color="auto"/>
              <w:right w:val="nil"/>
            </w:tcBorders>
          </w:tcPr>
          <w:p w14:paraId="579190E8" w14:textId="77777777" w:rsidR="00AF0151" w:rsidRPr="00AE6B5F" w:rsidRDefault="00AF0151" w:rsidP="001A6242">
            <w:pPr>
              <w:jc w:val="center"/>
            </w:pPr>
          </w:p>
        </w:tc>
      </w:tr>
    </w:tbl>
    <w:p w14:paraId="36CA9D28" w14:textId="77777777" w:rsidR="003E0C76" w:rsidRPr="00AE6B5F" w:rsidRDefault="003E0C76" w:rsidP="000133A6"/>
    <w:p w14:paraId="15FBDCE1" w14:textId="77777777" w:rsidR="00FF55BF" w:rsidRPr="00AE6B5F" w:rsidRDefault="00FF55BF" w:rsidP="00E12191">
      <w:pPr>
        <w:jc w:val="both"/>
        <w:rPr>
          <w:b/>
        </w:rPr>
      </w:pPr>
    </w:p>
    <w:p w14:paraId="7A5552F1" w14:textId="77777777" w:rsidR="00FF55BF" w:rsidRPr="00AE6B5F" w:rsidRDefault="00FF55BF" w:rsidP="00E12191">
      <w:pPr>
        <w:jc w:val="both"/>
        <w:rPr>
          <w:b/>
        </w:rPr>
      </w:pPr>
    </w:p>
    <w:p w14:paraId="365BD206" w14:textId="77777777" w:rsidR="00FF55BF" w:rsidRPr="00AE6B5F" w:rsidRDefault="00FF55BF" w:rsidP="00E12191">
      <w:pPr>
        <w:jc w:val="both"/>
        <w:rPr>
          <w:b/>
        </w:rPr>
      </w:pPr>
    </w:p>
    <w:p w14:paraId="7B950E5C" w14:textId="77777777" w:rsidR="00E12191" w:rsidRPr="00AE6B5F" w:rsidRDefault="00E12191" w:rsidP="00E12191">
      <w:pPr>
        <w:jc w:val="both"/>
        <w:rPr>
          <w:b/>
        </w:rPr>
      </w:pPr>
      <w:r w:rsidRPr="00AE6B5F">
        <w:rPr>
          <w:b/>
        </w:rPr>
        <w:t>Table 4.</w:t>
      </w:r>
      <w:r w:rsidRPr="00AE6B5F">
        <w:t xml:space="preserve"> </w:t>
      </w:r>
      <w:r w:rsidRPr="00AE6B5F">
        <w:rPr>
          <w:b/>
        </w:rPr>
        <w:t>Logistic model of predictors of paranoid thoughts as measured by a score of 31+ on GTPS, with 95% bias corrected and accelerated confidence intervals. Confidence intervals and standard errors based on 1000 bootstrap samples.</w:t>
      </w:r>
    </w:p>
    <w:p w14:paraId="2054EBFD" w14:textId="77777777" w:rsidR="00E12191" w:rsidRPr="00AE6B5F" w:rsidRDefault="00E12191" w:rsidP="00E12191">
      <w:pPr>
        <w:jc w:val="both"/>
        <w:rPr>
          <w:b/>
        </w:rPr>
      </w:pPr>
    </w:p>
    <w:tbl>
      <w:tblPr>
        <w:tblStyle w:val="TableGrid"/>
        <w:tblW w:w="0" w:type="auto"/>
        <w:tblBorders>
          <w:top w:val="single" w:sz="18" w:space="0" w:color="auto"/>
          <w:left w:val="none" w:sz="0" w:space="0" w:color="auto"/>
          <w:bottom w:val="single" w:sz="18" w:space="0" w:color="auto"/>
          <w:right w:val="none" w:sz="0" w:space="0" w:color="auto"/>
          <w:insideH w:val="single" w:sz="8" w:space="0" w:color="auto"/>
          <w:insideV w:val="none" w:sz="0" w:space="0" w:color="auto"/>
        </w:tblBorders>
        <w:tblLook w:val="04A0" w:firstRow="1" w:lastRow="0" w:firstColumn="1" w:lastColumn="0" w:noHBand="0" w:noVBand="1"/>
      </w:tblPr>
      <w:tblGrid>
        <w:gridCol w:w="2317"/>
        <w:gridCol w:w="973"/>
        <w:gridCol w:w="1639"/>
        <w:gridCol w:w="978"/>
        <w:gridCol w:w="705"/>
        <w:gridCol w:w="844"/>
        <w:gridCol w:w="1570"/>
      </w:tblGrid>
      <w:tr w:rsidR="00E12191" w:rsidRPr="00AE6B5F" w14:paraId="4A07E1DF" w14:textId="77777777" w:rsidTr="00AF0151">
        <w:trPr>
          <w:trHeight w:val="804"/>
        </w:trPr>
        <w:tc>
          <w:tcPr>
            <w:tcW w:w="2376" w:type="dxa"/>
            <w:vAlign w:val="center"/>
          </w:tcPr>
          <w:p w14:paraId="74EE1975" w14:textId="77777777" w:rsidR="00E12191" w:rsidRPr="00AE6B5F" w:rsidRDefault="00E12191" w:rsidP="00AF0151">
            <w:pPr>
              <w:jc w:val="center"/>
            </w:pPr>
          </w:p>
        </w:tc>
        <w:tc>
          <w:tcPr>
            <w:tcW w:w="993" w:type="dxa"/>
            <w:vAlign w:val="center"/>
          </w:tcPr>
          <w:p w14:paraId="6D538175" w14:textId="77777777" w:rsidR="00E12191" w:rsidRPr="00AE6B5F" w:rsidRDefault="00E12191" w:rsidP="00AF0151">
            <w:pPr>
              <w:jc w:val="center"/>
            </w:pPr>
            <w:r w:rsidRPr="00AE6B5F">
              <w:t>Beta (β)</w:t>
            </w:r>
          </w:p>
        </w:tc>
        <w:tc>
          <w:tcPr>
            <w:tcW w:w="1701" w:type="dxa"/>
            <w:vAlign w:val="center"/>
          </w:tcPr>
          <w:p w14:paraId="379A4B55" w14:textId="77777777" w:rsidR="00E12191" w:rsidRPr="00AE6B5F" w:rsidRDefault="00E12191" w:rsidP="00AF0151">
            <w:pPr>
              <w:jc w:val="center"/>
            </w:pPr>
            <w:r w:rsidRPr="00AE6B5F">
              <w:t>95% C.I. Beta</w:t>
            </w:r>
          </w:p>
        </w:tc>
        <w:tc>
          <w:tcPr>
            <w:tcW w:w="992" w:type="dxa"/>
            <w:vAlign w:val="center"/>
          </w:tcPr>
          <w:p w14:paraId="3548D006" w14:textId="77777777" w:rsidR="00E12191" w:rsidRPr="00AE6B5F" w:rsidRDefault="00E12191" w:rsidP="00AF0151">
            <w:pPr>
              <w:jc w:val="center"/>
            </w:pPr>
            <w:r w:rsidRPr="00AE6B5F">
              <w:t>Std. Error</w:t>
            </w:r>
          </w:p>
        </w:tc>
        <w:tc>
          <w:tcPr>
            <w:tcW w:w="709" w:type="dxa"/>
            <w:vAlign w:val="center"/>
          </w:tcPr>
          <w:p w14:paraId="45614F58" w14:textId="77777777" w:rsidR="00E12191" w:rsidRPr="00AE6B5F" w:rsidRDefault="00E12191" w:rsidP="00AF0151">
            <w:pPr>
              <w:jc w:val="center"/>
            </w:pPr>
            <w:r w:rsidRPr="00AE6B5F">
              <w:t>Sig.</w:t>
            </w:r>
          </w:p>
        </w:tc>
        <w:tc>
          <w:tcPr>
            <w:tcW w:w="850" w:type="dxa"/>
            <w:vAlign w:val="center"/>
          </w:tcPr>
          <w:p w14:paraId="412DC2A7" w14:textId="77777777" w:rsidR="00E12191" w:rsidRPr="00AE6B5F" w:rsidRDefault="00E12191" w:rsidP="00AF0151">
            <w:pPr>
              <w:jc w:val="center"/>
            </w:pPr>
            <w:r w:rsidRPr="00AE6B5F">
              <w:t>Odds Ratio</w:t>
            </w:r>
          </w:p>
        </w:tc>
        <w:tc>
          <w:tcPr>
            <w:tcW w:w="1621" w:type="dxa"/>
            <w:vAlign w:val="center"/>
          </w:tcPr>
          <w:p w14:paraId="139158C9" w14:textId="77777777" w:rsidR="00E12191" w:rsidRPr="00AE6B5F" w:rsidRDefault="00E12191" w:rsidP="00AF0151">
            <w:pPr>
              <w:jc w:val="center"/>
            </w:pPr>
            <w:r w:rsidRPr="00AE6B5F">
              <w:t>95% C.I for odds ratio</w:t>
            </w:r>
          </w:p>
        </w:tc>
      </w:tr>
      <w:tr w:rsidR="00E12191" w:rsidRPr="00AE6B5F" w14:paraId="25956905" w14:textId="77777777" w:rsidTr="00AF0151">
        <w:tc>
          <w:tcPr>
            <w:tcW w:w="2376" w:type="dxa"/>
          </w:tcPr>
          <w:p w14:paraId="2B711376" w14:textId="77777777" w:rsidR="00AF0151" w:rsidRPr="00AE6B5F" w:rsidRDefault="00AF0151" w:rsidP="001A6242"/>
          <w:p w14:paraId="2C045B7A" w14:textId="77777777" w:rsidR="00E12191" w:rsidRPr="00AE6B5F" w:rsidRDefault="00E12191" w:rsidP="001A6242">
            <w:r w:rsidRPr="00AE6B5F">
              <w:t>Emotion Recognition</w:t>
            </w:r>
          </w:p>
          <w:p w14:paraId="3E362758" w14:textId="77777777" w:rsidR="00E12191" w:rsidRPr="00AE6B5F" w:rsidRDefault="00E12191" w:rsidP="001A6242">
            <w:r w:rsidRPr="00AE6B5F">
              <w:t>TASIT 2</w:t>
            </w:r>
            <w:r w:rsidRPr="00AE6B5F">
              <w:br/>
              <w:t>TASIT 3</w:t>
            </w:r>
          </w:p>
          <w:p w14:paraId="3E903482" w14:textId="77777777" w:rsidR="00E12191" w:rsidRPr="00AE6B5F" w:rsidRDefault="00E12191" w:rsidP="001A6242">
            <w:r w:rsidRPr="00AE6B5F">
              <w:t>Constant</w:t>
            </w:r>
          </w:p>
          <w:p w14:paraId="3D3B3B64" w14:textId="77777777" w:rsidR="00AF0151" w:rsidRPr="00AE6B5F" w:rsidRDefault="00AF0151" w:rsidP="001A6242"/>
        </w:tc>
        <w:tc>
          <w:tcPr>
            <w:tcW w:w="993" w:type="dxa"/>
          </w:tcPr>
          <w:p w14:paraId="24622ED7" w14:textId="77777777" w:rsidR="00AF0151" w:rsidRPr="00AE6B5F" w:rsidRDefault="00AF0151" w:rsidP="001A6242">
            <w:pPr>
              <w:jc w:val="right"/>
            </w:pPr>
          </w:p>
          <w:p w14:paraId="65ABBAD4" w14:textId="77777777" w:rsidR="00E12191" w:rsidRPr="00AE6B5F" w:rsidRDefault="00E12191" w:rsidP="001A6242">
            <w:pPr>
              <w:jc w:val="right"/>
            </w:pPr>
            <w:r w:rsidRPr="00AE6B5F">
              <w:t>.000</w:t>
            </w:r>
          </w:p>
          <w:p w14:paraId="082B5739" w14:textId="77777777" w:rsidR="00E12191" w:rsidRPr="00AE6B5F" w:rsidRDefault="00E12191" w:rsidP="001A6242">
            <w:pPr>
              <w:jc w:val="right"/>
            </w:pPr>
            <w:r w:rsidRPr="00AE6B5F">
              <w:t>-.028</w:t>
            </w:r>
          </w:p>
          <w:p w14:paraId="01BDD105" w14:textId="77777777" w:rsidR="00E12191" w:rsidRPr="00AE6B5F" w:rsidRDefault="00E12191" w:rsidP="001A6242">
            <w:pPr>
              <w:jc w:val="right"/>
            </w:pPr>
            <w:r w:rsidRPr="00AE6B5F">
              <w:t>.014</w:t>
            </w:r>
          </w:p>
          <w:p w14:paraId="6A085FD7" w14:textId="77777777" w:rsidR="00E12191" w:rsidRPr="00AE6B5F" w:rsidRDefault="00E12191" w:rsidP="001A6242">
            <w:pPr>
              <w:jc w:val="right"/>
            </w:pPr>
            <w:r w:rsidRPr="00AE6B5F">
              <w:t>-.144</w:t>
            </w:r>
          </w:p>
        </w:tc>
        <w:tc>
          <w:tcPr>
            <w:tcW w:w="1701" w:type="dxa"/>
          </w:tcPr>
          <w:p w14:paraId="5E51AFB2" w14:textId="77777777" w:rsidR="00AF0151" w:rsidRPr="00AE6B5F" w:rsidRDefault="00AF0151" w:rsidP="001A6242">
            <w:pPr>
              <w:jc w:val="right"/>
            </w:pPr>
          </w:p>
          <w:p w14:paraId="7ECE226B" w14:textId="77777777" w:rsidR="00E12191" w:rsidRPr="00AE6B5F" w:rsidRDefault="00E12191" w:rsidP="001A6242">
            <w:pPr>
              <w:jc w:val="right"/>
            </w:pPr>
            <w:r w:rsidRPr="00AE6B5F">
              <w:t>-.334 to .299</w:t>
            </w:r>
          </w:p>
          <w:p w14:paraId="450B4C25" w14:textId="77777777" w:rsidR="00E12191" w:rsidRPr="00AE6B5F" w:rsidRDefault="00E12191" w:rsidP="001A6242">
            <w:pPr>
              <w:jc w:val="right"/>
            </w:pPr>
            <w:r w:rsidRPr="00AE6B5F">
              <w:t>-.276 to .089</w:t>
            </w:r>
          </w:p>
          <w:p w14:paraId="5D750939" w14:textId="77777777" w:rsidR="00E12191" w:rsidRPr="00AE6B5F" w:rsidRDefault="00E12191" w:rsidP="001A6242">
            <w:pPr>
              <w:jc w:val="right"/>
            </w:pPr>
            <w:r w:rsidRPr="00AE6B5F">
              <w:t>-.212 to .308</w:t>
            </w:r>
          </w:p>
        </w:tc>
        <w:tc>
          <w:tcPr>
            <w:tcW w:w="992" w:type="dxa"/>
          </w:tcPr>
          <w:p w14:paraId="6DEFAB1E" w14:textId="77777777" w:rsidR="00AF0151" w:rsidRPr="00AE6B5F" w:rsidRDefault="00AF0151" w:rsidP="001A6242">
            <w:pPr>
              <w:jc w:val="right"/>
            </w:pPr>
          </w:p>
          <w:p w14:paraId="1E848ED1" w14:textId="77777777" w:rsidR="00E12191" w:rsidRPr="00AE6B5F" w:rsidRDefault="00E12191" w:rsidP="001A6242">
            <w:pPr>
              <w:jc w:val="right"/>
            </w:pPr>
            <w:r w:rsidRPr="00AE6B5F">
              <w:t>.096</w:t>
            </w:r>
          </w:p>
          <w:p w14:paraId="5E67B793" w14:textId="77777777" w:rsidR="00E12191" w:rsidRPr="00AE6B5F" w:rsidRDefault="00E12191" w:rsidP="001A6242">
            <w:pPr>
              <w:jc w:val="right"/>
            </w:pPr>
            <w:r w:rsidRPr="00AE6B5F">
              <w:t>.052</w:t>
            </w:r>
          </w:p>
          <w:p w14:paraId="4BFA5F76" w14:textId="77777777" w:rsidR="00E12191" w:rsidRPr="00AE6B5F" w:rsidRDefault="00E12191" w:rsidP="001A6242">
            <w:pPr>
              <w:jc w:val="right"/>
            </w:pPr>
            <w:r w:rsidRPr="00AE6B5F">
              <w:t>.068</w:t>
            </w:r>
          </w:p>
          <w:p w14:paraId="5F2D22A2" w14:textId="77777777" w:rsidR="00E12191" w:rsidRPr="00AE6B5F" w:rsidRDefault="00E12191" w:rsidP="001A6242">
            <w:pPr>
              <w:jc w:val="right"/>
            </w:pPr>
            <w:r w:rsidRPr="00AE6B5F">
              <w:t>2.662</w:t>
            </w:r>
          </w:p>
        </w:tc>
        <w:tc>
          <w:tcPr>
            <w:tcW w:w="709" w:type="dxa"/>
          </w:tcPr>
          <w:p w14:paraId="619688DA" w14:textId="77777777" w:rsidR="00AF0151" w:rsidRPr="00AE6B5F" w:rsidRDefault="00AF0151" w:rsidP="001A6242">
            <w:pPr>
              <w:jc w:val="right"/>
            </w:pPr>
          </w:p>
          <w:p w14:paraId="670CF187" w14:textId="77777777" w:rsidR="00E12191" w:rsidRPr="00AE6B5F" w:rsidRDefault="00E12191" w:rsidP="001A6242">
            <w:pPr>
              <w:jc w:val="right"/>
            </w:pPr>
            <w:r w:rsidRPr="00AE6B5F">
              <w:t>.998</w:t>
            </w:r>
          </w:p>
          <w:p w14:paraId="769ABC2E" w14:textId="77777777" w:rsidR="00E12191" w:rsidRPr="00AE6B5F" w:rsidRDefault="00E12191" w:rsidP="001A6242">
            <w:pPr>
              <w:jc w:val="right"/>
            </w:pPr>
            <w:r w:rsidRPr="00AE6B5F">
              <w:t>.585</w:t>
            </w:r>
          </w:p>
          <w:p w14:paraId="29321F62" w14:textId="77777777" w:rsidR="00E12191" w:rsidRPr="00AE6B5F" w:rsidRDefault="00E12191" w:rsidP="001A6242">
            <w:pPr>
              <w:jc w:val="right"/>
            </w:pPr>
            <w:r w:rsidRPr="00AE6B5F">
              <w:t>.869</w:t>
            </w:r>
          </w:p>
          <w:p w14:paraId="02EAB105" w14:textId="77777777" w:rsidR="00E12191" w:rsidRPr="00AE6B5F" w:rsidRDefault="00E12191" w:rsidP="001A6242">
            <w:pPr>
              <w:jc w:val="right"/>
            </w:pPr>
            <w:r w:rsidRPr="00AE6B5F">
              <w:t>.957</w:t>
            </w:r>
          </w:p>
        </w:tc>
        <w:tc>
          <w:tcPr>
            <w:tcW w:w="850" w:type="dxa"/>
          </w:tcPr>
          <w:p w14:paraId="0095CC0F" w14:textId="77777777" w:rsidR="00AF0151" w:rsidRPr="00AE6B5F" w:rsidRDefault="00AF0151" w:rsidP="001A6242">
            <w:pPr>
              <w:jc w:val="right"/>
            </w:pPr>
          </w:p>
          <w:p w14:paraId="0DC21A9F" w14:textId="77777777" w:rsidR="00E12191" w:rsidRPr="00AE6B5F" w:rsidRDefault="00E12191" w:rsidP="001A6242">
            <w:pPr>
              <w:jc w:val="right"/>
            </w:pPr>
            <w:r w:rsidRPr="00AE6B5F">
              <w:t>1.000</w:t>
            </w:r>
          </w:p>
          <w:p w14:paraId="6A83EE97" w14:textId="77777777" w:rsidR="00E12191" w:rsidRPr="00AE6B5F" w:rsidRDefault="00E12191" w:rsidP="001A6242">
            <w:pPr>
              <w:jc w:val="right"/>
            </w:pPr>
            <w:r w:rsidRPr="00AE6B5F">
              <w:t>.972</w:t>
            </w:r>
          </w:p>
          <w:p w14:paraId="626503B5" w14:textId="77777777" w:rsidR="00E12191" w:rsidRPr="00AE6B5F" w:rsidRDefault="00E12191" w:rsidP="001A6242">
            <w:pPr>
              <w:jc w:val="right"/>
            </w:pPr>
            <w:r w:rsidRPr="00AE6B5F">
              <w:t>1.014</w:t>
            </w:r>
          </w:p>
        </w:tc>
        <w:tc>
          <w:tcPr>
            <w:tcW w:w="1621" w:type="dxa"/>
          </w:tcPr>
          <w:p w14:paraId="584C1589" w14:textId="77777777" w:rsidR="00AF0151" w:rsidRPr="00AE6B5F" w:rsidRDefault="00AF0151" w:rsidP="001A6242">
            <w:pPr>
              <w:jc w:val="right"/>
            </w:pPr>
          </w:p>
          <w:p w14:paraId="79E3205A" w14:textId="77777777" w:rsidR="00E12191" w:rsidRPr="00AE6B5F" w:rsidRDefault="00E12191" w:rsidP="001A6242">
            <w:pPr>
              <w:jc w:val="right"/>
            </w:pPr>
            <w:r w:rsidRPr="00AE6B5F">
              <w:t>.828 to 1.209</w:t>
            </w:r>
          </w:p>
          <w:p w14:paraId="195D1901" w14:textId="77777777" w:rsidR="00E12191" w:rsidRPr="00AE6B5F" w:rsidRDefault="00E12191" w:rsidP="001A6242">
            <w:pPr>
              <w:jc w:val="right"/>
            </w:pPr>
            <w:r w:rsidRPr="00AE6B5F">
              <w:t>.879 to 1.076</w:t>
            </w:r>
          </w:p>
          <w:p w14:paraId="2394FC07" w14:textId="77777777" w:rsidR="00E12191" w:rsidRPr="00AE6B5F" w:rsidRDefault="00E12191" w:rsidP="001A6242">
            <w:pPr>
              <w:jc w:val="right"/>
            </w:pPr>
            <w:r w:rsidRPr="00AE6B5F">
              <w:t>.887 to 1.159</w:t>
            </w:r>
          </w:p>
        </w:tc>
      </w:tr>
    </w:tbl>
    <w:p w14:paraId="6FEA9B70" w14:textId="77777777" w:rsidR="00E12191" w:rsidRPr="00AE6B5F" w:rsidRDefault="00E12191" w:rsidP="00E12191">
      <w:pPr>
        <w:jc w:val="both"/>
      </w:pPr>
      <w:r w:rsidRPr="00AE6B5F">
        <w:t>R</w:t>
      </w:r>
      <w:r w:rsidRPr="00AE6B5F">
        <w:rPr>
          <w:vertAlign w:val="superscript"/>
        </w:rPr>
        <w:t>2</w:t>
      </w:r>
      <w:r w:rsidRPr="00AE6B5F">
        <w:t>= χ</w:t>
      </w:r>
      <w:r w:rsidRPr="00AE6B5F">
        <w:rPr>
          <w:vertAlign w:val="superscript"/>
        </w:rPr>
        <w:t>2</w:t>
      </w:r>
      <w:r w:rsidRPr="00AE6B5F">
        <w:t xml:space="preserve">= 8.64, </w:t>
      </w:r>
      <w:r w:rsidRPr="00AE6B5F">
        <w:rPr>
          <w:i/>
        </w:rPr>
        <w:t>p</w:t>
      </w:r>
      <w:r w:rsidRPr="00AE6B5F">
        <w:t>.280. (Hosmer &amp; Lemeshow) .012 (Cox &amp; Snell) .017 (Nagelkerke)</w:t>
      </w:r>
    </w:p>
    <w:p w14:paraId="165A017D" w14:textId="77777777" w:rsidR="00E12191" w:rsidRPr="00AE6B5F" w:rsidRDefault="00E12191" w:rsidP="000133A6"/>
    <w:p w14:paraId="15F7DE2C" w14:textId="77777777" w:rsidR="00FF55BF" w:rsidRPr="00AE6B5F" w:rsidRDefault="00FF55BF">
      <w:pPr>
        <w:spacing w:after="160" w:line="259" w:lineRule="auto"/>
        <w:rPr>
          <w:b/>
        </w:rPr>
      </w:pPr>
      <w:r w:rsidRPr="00AE6B5F">
        <w:rPr>
          <w:b/>
        </w:rPr>
        <w:br w:type="page"/>
      </w:r>
    </w:p>
    <w:p w14:paraId="6112F594" w14:textId="77777777" w:rsidR="00E12191" w:rsidRPr="00AE6B5F" w:rsidRDefault="00E12191" w:rsidP="00E12191">
      <w:pPr>
        <w:jc w:val="both"/>
        <w:rPr>
          <w:b/>
        </w:rPr>
      </w:pPr>
      <w:r w:rsidRPr="00AE6B5F">
        <w:rPr>
          <w:b/>
        </w:rPr>
        <w:t>Table 5.</w:t>
      </w:r>
      <w:r w:rsidRPr="00AE6B5F">
        <w:rPr>
          <w:b/>
          <w:i/>
        </w:rPr>
        <w:t xml:space="preserve"> </w:t>
      </w:r>
      <w:r w:rsidRPr="00AE6B5F">
        <w:rPr>
          <w:b/>
        </w:rPr>
        <w:t xml:space="preserve">Mean scores and effect sizes for comparisons of lower (&lt;31) and higher scoring (31+) groups on GTPS and/or 3+ on hostile attribution bias and/or 3+ on blaming bias. </w:t>
      </w:r>
    </w:p>
    <w:p w14:paraId="2F64266D" w14:textId="77777777" w:rsidR="00E12191" w:rsidRPr="00AE6B5F" w:rsidRDefault="00E12191" w:rsidP="00E12191">
      <w:pPr>
        <w:jc w:val="both"/>
        <w:rPr>
          <w:b/>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518"/>
        <w:gridCol w:w="989"/>
        <w:gridCol w:w="1509"/>
        <w:gridCol w:w="989"/>
        <w:gridCol w:w="1700"/>
      </w:tblGrid>
      <w:tr w:rsidR="00E12191" w:rsidRPr="00AE6B5F" w14:paraId="66402F54" w14:textId="77777777" w:rsidTr="00FF55BF">
        <w:trPr>
          <w:cantSplit/>
          <w:trHeight w:val="664"/>
          <w:tblHeader/>
        </w:trPr>
        <w:tc>
          <w:tcPr>
            <w:tcW w:w="2311" w:type="dxa"/>
            <w:vMerge w:val="restart"/>
            <w:tcBorders>
              <w:top w:val="single" w:sz="18" w:space="0" w:color="auto"/>
              <w:bottom w:val="nil"/>
            </w:tcBorders>
          </w:tcPr>
          <w:p w14:paraId="30230083" w14:textId="77777777" w:rsidR="00E12191" w:rsidRPr="00AE6B5F" w:rsidRDefault="00E12191" w:rsidP="001A6242"/>
        </w:tc>
        <w:tc>
          <w:tcPr>
            <w:tcW w:w="6705" w:type="dxa"/>
            <w:gridSpan w:val="5"/>
            <w:tcBorders>
              <w:top w:val="single" w:sz="18" w:space="0" w:color="auto"/>
              <w:bottom w:val="nil"/>
            </w:tcBorders>
            <w:vAlign w:val="center"/>
          </w:tcPr>
          <w:p w14:paraId="49D75E0F" w14:textId="77777777" w:rsidR="00E12191" w:rsidRPr="00AE6B5F" w:rsidRDefault="00E12191" w:rsidP="00FF55BF">
            <w:pPr>
              <w:jc w:val="center"/>
            </w:pPr>
            <w:r w:rsidRPr="00AE6B5F">
              <w:t>GTPS Paranoid thought scale, AIHQ hostile &amp; blaming biases</w:t>
            </w:r>
          </w:p>
        </w:tc>
      </w:tr>
      <w:tr w:rsidR="00E12191" w:rsidRPr="00AE6B5F" w14:paraId="3AF9DF9D" w14:textId="77777777" w:rsidTr="00FF55BF">
        <w:trPr>
          <w:cantSplit/>
          <w:trHeight w:val="814"/>
          <w:tblHeader/>
        </w:trPr>
        <w:tc>
          <w:tcPr>
            <w:tcW w:w="2311" w:type="dxa"/>
            <w:vMerge/>
            <w:tcBorders>
              <w:top w:val="nil"/>
              <w:bottom w:val="nil"/>
            </w:tcBorders>
          </w:tcPr>
          <w:p w14:paraId="4764871A" w14:textId="77777777" w:rsidR="00E12191" w:rsidRPr="00AE6B5F" w:rsidRDefault="00E12191" w:rsidP="001A6242"/>
        </w:tc>
        <w:tc>
          <w:tcPr>
            <w:tcW w:w="2507" w:type="dxa"/>
            <w:gridSpan w:val="2"/>
            <w:tcBorders>
              <w:top w:val="nil"/>
              <w:bottom w:val="nil"/>
            </w:tcBorders>
          </w:tcPr>
          <w:p w14:paraId="769FC543" w14:textId="77777777" w:rsidR="00E12191" w:rsidRPr="00AE6B5F" w:rsidRDefault="00E12191" w:rsidP="001A6242">
            <w:pPr>
              <w:jc w:val="center"/>
            </w:pPr>
            <w:r w:rsidRPr="00AE6B5F">
              <w:t xml:space="preserve">Non-paranoid </w:t>
            </w:r>
          </w:p>
          <w:p w14:paraId="6A5F8CDB" w14:textId="77777777" w:rsidR="00E12191" w:rsidRPr="00AE6B5F" w:rsidRDefault="00E12191" w:rsidP="001A6242">
            <w:pPr>
              <w:jc w:val="center"/>
            </w:pPr>
            <w:r w:rsidRPr="00AE6B5F">
              <w:t>(Group 0; n=15)</w:t>
            </w:r>
          </w:p>
        </w:tc>
        <w:tc>
          <w:tcPr>
            <w:tcW w:w="2498" w:type="dxa"/>
            <w:gridSpan w:val="2"/>
            <w:tcBorders>
              <w:top w:val="nil"/>
              <w:bottom w:val="nil"/>
            </w:tcBorders>
          </w:tcPr>
          <w:p w14:paraId="6EAB8E97" w14:textId="77777777" w:rsidR="00E12191" w:rsidRPr="00AE6B5F" w:rsidRDefault="00E12191" w:rsidP="001A6242">
            <w:pPr>
              <w:jc w:val="center"/>
            </w:pPr>
            <w:r w:rsidRPr="00AE6B5F">
              <w:t>Subclinical paranoia (Group 1; n=12)</w:t>
            </w:r>
          </w:p>
        </w:tc>
        <w:tc>
          <w:tcPr>
            <w:tcW w:w="1700" w:type="dxa"/>
            <w:tcBorders>
              <w:top w:val="nil"/>
              <w:bottom w:val="nil"/>
            </w:tcBorders>
          </w:tcPr>
          <w:p w14:paraId="468A1950" w14:textId="77777777" w:rsidR="00E12191" w:rsidRPr="00AE6B5F" w:rsidRDefault="00E12191" w:rsidP="001A6242">
            <w:pPr>
              <w:jc w:val="center"/>
            </w:pPr>
          </w:p>
        </w:tc>
      </w:tr>
      <w:tr w:rsidR="00E12191" w:rsidRPr="00AE6B5F" w14:paraId="450ED1DC" w14:textId="77777777" w:rsidTr="00FF55BF">
        <w:trPr>
          <w:cantSplit/>
          <w:trHeight w:val="743"/>
          <w:tblHeader/>
        </w:trPr>
        <w:tc>
          <w:tcPr>
            <w:tcW w:w="2311" w:type="dxa"/>
            <w:vMerge/>
            <w:tcBorders>
              <w:top w:val="nil"/>
              <w:bottom w:val="single" w:sz="8" w:space="0" w:color="auto"/>
            </w:tcBorders>
          </w:tcPr>
          <w:p w14:paraId="1F0463CD" w14:textId="77777777" w:rsidR="00E12191" w:rsidRPr="00AE6B5F" w:rsidRDefault="00E12191" w:rsidP="001A6242"/>
        </w:tc>
        <w:tc>
          <w:tcPr>
            <w:tcW w:w="1518" w:type="dxa"/>
            <w:tcBorders>
              <w:top w:val="nil"/>
              <w:bottom w:val="single" w:sz="8" w:space="0" w:color="auto"/>
            </w:tcBorders>
          </w:tcPr>
          <w:p w14:paraId="06757A2E" w14:textId="77777777" w:rsidR="00E12191" w:rsidRPr="00AE6B5F" w:rsidRDefault="00E12191" w:rsidP="001A6242">
            <w:r w:rsidRPr="00AE6B5F">
              <w:t>Mean (SD)</w:t>
            </w:r>
          </w:p>
        </w:tc>
        <w:tc>
          <w:tcPr>
            <w:tcW w:w="989" w:type="dxa"/>
            <w:tcBorders>
              <w:top w:val="nil"/>
              <w:bottom w:val="single" w:sz="8" w:space="0" w:color="auto"/>
            </w:tcBorders>
          </w:tcPr>
          <w:p w14:paraId="63DCEDDB" w14:textId="77777777" w:rsidR="00E12191" w:rsidRPr="00AE6B5F" w:rsidRDefault="00E12191" w:rsidP="001A6242">
            <w:r w:rsidRPr="00AE6B5F">
              <w:t>Median (range)</w:t>
            </w:r>
          </w:p>
        </w:tc>
        <w:tc>
          <w:tcPr>
            <w:tcW w:w="1509" w:type="dxa"/>
            <w:tcBorders>
              <w:top w:val="nil"/>
              <w:bottom w:val="single" w:sz="8" w:space="0" w:color="auto"/>
            </w:tcBorders>
          </w:tcPr>
          <w:p w14:paraId="2D9DDEC6" w14:textId="77777777" w:rsidR="00E12191" w:rsidRPr="00AE6B5F" w:rsidRDefault="00E12191" w:rsidP="001A6242">
            <w:r w:rsidRPr="00AE6B5F">
              <w:t>Mean (SD)</w:t>
            </w:r>
          </w:p>
        </w:tc>
        <w:tc>
          <w:tcPr>
            <w:tcW w:w="989" w:type="dxa"/>
            <w:tcBorders>
              <w:top w:val="nil"/>
              <w:bottom w:val="single" w:sz="8" w:space="0" w:color="auto"/>
            </w:tcBorders>
          </w:tcPr>
          <w:p w14:paraId="1C782135" w14:textId="77777777" w:rsidR="00E12191" w:rsidRPr="00AE6B5F" w:rsidRDefault="00E12191" w:rsidP="001A6242">
            <w:r w:rsidRPr="00AE6B5F">
              <w:t>Median (range)</w:t>
            </w:r>
          </w:p>
        </w:tc>
        <w:tc>
          <w:tcPr>
            <w:tcW w:w="1700" w:type="dxa"/>
            <w:tcBorders>
              <w:top w:val="nil"/>
              <w:bottom w:val="single" w:sz="8" w:space="0" w:color="auto"/>
            </w:tcBorders>
          </w:tcPr>
          <w:p w14:paraId="479EA879" w14:textId="77777777" w:rsidR="00E12191" w:rsidRPr="00AE6B5F" w:rsidRDefault="00E12191" w:rsidP="001A6242">
            <w:pPr>
              <w:jc w:val="center"/>
            </w:pPr>
            <w:r w:rsidRPr="00AE6B5F">
              <w:t xml:space="preserve">Effect size, </w:t>
            </w:r>
          </w:p>
          <w:p w14:paraId="2CB208F8" w14:textId="77777777" w:rsidR="00E12191" w:rsidRPr="00AE6B5F" w:rsidRDefault="00E12191" w:rsidP="001A6242">
            <w:pPr>
              <w:jc w:val="center"/>
            </w:pPr>
            <w:r w:rsidRPr="00AE6B5F">
              <w:rPr>
                <w:i/>
              </w:rPr>
              <w:t>d</w:t>
            </w:r>
            <w:r w:rsidRPr="00AE6B5F">
              <w:t xml:space="preserve"> (95% CI)</w:t>
            </w:r>
          </w:p>
        </w:tc>
      </w:tr>
      <w:tr w:rsidR="00FF55BF" w:rsidRPr="00AE6B5F" w14:paraId="542937C5" w14:textId="77777777" w:rsidTr="00FF55BF">
        <w:trPr>
          <w:cantSplit/>
          <w:trHeight w:val="267"/>
        </w:trPr>
        <w:tc>
          <w:tcPr>
            <w:tcW w:w="2311" w:type="dxa"/>
            <w:tcBorders>
              <w:top w:val="single" w:sz="8" w:space="0" w:color="auto"/>
              <w:bottom w:val="nil"/>
            </w:tcBorders>
          </w:tcPr>
          <w:p w14:paraId="6495AE80" w14:textId="77777777" w:rsidR="00FF55BF" w:rsidRPr="00AE6B5F" w:rsidRDefault="00FF55BF" w:rsidP="001A6242"/>
        </w:tc>
        <w:tc>
          <w:tcPr>
            <w:tcW w:w="1518" w:type="dxa"/>
            <w:tcBorders>
              <w:top w:val="single" w:sz="8" w:space="0" w:color="auto"/>
              <w:bottom w:val="nil"/>
            </w:tcBorders>
          </w:tcPr>
          <w:p w14:paraId="5D544C93" w14:textId="77777777" w:rsidR="00FF55BF" w:rsidRPr="00AE6B5F" w:rsidRDefault="00FF55BF" w:rsidP="001A6242"/>
        </w:tc>
        <w:tc>
          <w:tcPr>
            <w:tcW w:w="989" w:type="dxa"/>
            <w:tcBorders>
              <w:top w:val="single" w:sz="8" w:space="0" w:color="auto"/>
              <w:bottom w:val="nil"/>
            </w:tcBorders>
          </w:tcPr>
          <w:p w14:paraId="060A88B6" w14:textId="77777777" w:rsidR="00FF55BF" w:rsidRPr="00AE6B5F" w:rsidRDefault="00FF55BF" w:rsidP="001A6242"/>
        </w:tc>
        <w:tc>
          <w:tcPr>
            <w:tcW w:w="1509" w:type="dxa"/>
            <w:tcBorders>
              <w:top w:val="single" w:sz="8" w:space="0" w:color="auto"/>
              <w:bottom w:val="nil"/>
            </w:tcBorders>
          </w:tcPr>
          <w:p w14:paraId="5D2B5168" w14:textId="77777777" w:rsidR="00FF55BF" w:rsidRPr="00AE6B5F" w:rsidRDefault="00FF55BF" w:rsidP="001A6242"/>
        </w:tc>
        <w:tc>
          <w:tcPr>
            <w:tcW w:w="989" w:type="dxa"/>
            <w:tcBorders>
              <w:top w:val="single" w:sz="8" w:space="0" w:color="auto"/>
              <w:bottom w:val="nil"/>
            </w:tcBorders>
          </w:tcPr>
          <w:p w14:paraId="61DEF1D3" w14:textId="77777777" w:rsidR="00FF55BF" w:rsidRPr="00AE6B5F" w:rsidRDefault="00FF55BF" w:rsidP="001A6242"/>
        </w:tc>
        <w:tc>
          <w:tcPr>
            <w:tcW w:w="1700" w:type="dxa"/>
            <w:tcBorders>
              <w:top w:val="single" w:sz="8" w:space="0" w:color="auto"/>
              <w:bottom w:val="nil"/>
            </w:tcBorders>
          </w:tcPr>
          <w:p w14:paraId="40F00CD6" w14:textId="77777777" w:rsidR="00FF55BF" w:rsidRPr="00AE6B5F" w:rsidRDefault="00FF55BF" w:rsidP="001A6242">
            <w:pPr>
              <w:jc w:val="center"/>
            </w:pPr>
          </w:p>
        </w:tc>
      </w:tr>
      <w:tr w:rsidR="00E12191" w:rsidRPr="00AE6B5F" w14:paraId="44A9B9A7" w14:textId="77777777" w:rsidTr="00FF55BF">
        <w:trPr>
          <w:cantSplit/>
          <w:trHeight w:val="409"/>
        </w:trPr>
        <w:tc>
          <w:tcPr>
            <w:tcW w:w="2311" w:type="dxa"/>
            <w:tcBorders>
              <w:top w:val="nil"/>
              <w:bottom w:val="nil"/>
            </w:tcBorders>
          </w:tcPr>
          <w:p w14:paraId="4C4D6C17" w14:textId="77777777" w:rsidR="00E12191" w:rsidRPr="00AE6B5F" w:rsidRDefault="00E12191" w:rsidP="001A6242">
            <w:r w:rsidRPr="00AE6B5F">
              <w:t>Emotion Recognition</w:t>
            </w:r>
          </w:p>
        </w:tc>
        <w:tc>
          <w:tcPr>
            <w:tcW w:w="1518" w:type="dxa"/>
            <w:tcBorders>
              <w:top w:val="nil"/>
              <w:bottom w:val="nil"/>
            </w:tcBorders>
          </w:tcPr>
          <w:p w14:paraId="51387AEE" w14:textId="77777777" w:rsidR="00E12191" w:rsidRPr="00AE6B5F" w:rsidRDefault="00E12191" w:rsidP="001A6242">
            <w:r w:rsidRPr="00AE6B5F">
              <w:t>20.73 (4.76)</w:t>
            </w:r>
          </w:p>
        </w:tc>
        <w:tc>
          <w:tcPr>
            <w:tcW w:w="989" w:type="dxa"/>
            <w:tcBorders>
              <w:top w:val="nil"/>
              <w:bottom w:val="nil"/>
            </w:tcBorders>
          </w:tcPr>
          <w:p w14:paraId="7ED0EEB9" w14:textId="77777777" w:rsidR="00E12191" w:rsidRPr="00AE6B5F" w:rsidRDefault="00E12191" w:rsidP="001A6242">
            <w:r w:rsidRPr="00AE6B5F">
              <w:t xml:space="preserve">20 </w:t>
            </w:r>
          </w:p>
          <w:p w14:paraId="30632F7C" w14:textId="77777777" w:rsidR="00E12191" w:rsidRPr="00AE6B5F" w:rsidRDefault="00E12191" w:rsidP="001A6242">
            <w:r w:rsidRPr="00AE6B5F">
              <w:t>(11-27)</w:t>
            </w:r>
          </w:p>
        </w:tc>
        <w:tc>
          <w:tcPr>
            <w:tcW w:w="1509" w:type="dxa"/>
            <w:tcBorders>
              <w:top w:val="nil"/>
              <w:bottom w:val="nil"/>
            </w:tcBorders>
          </w:tcPr>
          <w:p w14:paraId="682180AF" w14:textId="77777777" w:rsidR="00E12191" w:rsidRPr="00AE6B5F" w:rsidRDefault="00E12191" w:rsidP="001A6242">
            <w:r w:rsidRPr="00AE6B5F">
              <w:t>19.67 (4.36)</w:t>
            </w:r>
          </w:p>
        </w:tc>
        <w:tc>
          <w:tcPr>
            <w:tcW w:w="989" w:type="dxa"/>
            <w:tcBorders>
              <w:top w:val="nil"/>
              <w:bottom w:val="nil"/>
            </w:tcBorders>
          </w:tcPr>
          <w:p w14:paraId="6852B534" w14:textId="77777777" w:rsidR="00E12191" w:rsidRPr="00AE6B5F" w:rsidRDefault="00E12191" w:rsidP="001A6242">
            <w:r w:rsidRPr="00AE6B5F">
              <w:t>21</w:t>
            </w:r>
          </w:p>
          <w:p w14:paraId="47FE80DB" w14:textId="77777777" w:rsidR="00E12191" w:rsidRPr="00AE6B5F" w:rsidRDefault="00E12191" w:rsidP="001A6242">
            <w:r w:rsidRPr="00AE6B5F">
              <w:t>(10-24)</w:t>
            </w:r>
          </w:p>
        </w:tc>
        <w:tc>
          <w:tcPr>
            <w:tcW w:w="1700" w:type="dxa"/>
            <w:tcBorders>
              <w:top w:val="nil"/>
              <w:bottom w:val="nil"/>
            </w:tcBorders>
          </w:tcPr>
          <w:p w14:paraId="09A219CB" w14:textId="77777777" w:rsidR="00E12191" w:rsidRPr="00AE6B5F" w:rsidRDefault="00E12191" w:rsidP="001A6242">
            <w:pPr>
              <w:jc w:val="center"/>
            </w:pPr>
            <w:r w:rsidRPr="00AE6B5F">
              <w:t xml:space="preserve">0.23 </w:t>
            </w:r>
          </w:p>
          <w:p w14:paraId="2AC4381F" w14:textId="77777777" w:rsidR="00E12191" w:rsidRPr="00AE6B5F" w:rsidRDefault="00E12191" w:rsidP="001A6242">
            <w:pPr>
              <w:jc w:val="center"/>
            </w:pPr>
            <w:r w:rsidRPr="00AE6B5F">
              <w:t>(-0.53, 0.99)</w:t>
            </w:r>
          </w:p>
        </w:tc>
      </w:tr>
      <w:tr w:rsidR="00E12191" w:rsidRPr="00AE6B5F" w14:paraId="5BF4E589" w14:textId="77777777" w:rsidTr="00FF55BF">
        <w:trPr>
          <w:cantSplit/>
        </w:trPr>
        <w:tc>
          <w:tcPr>
            <w:tcW w:w="2311" w:type="dxa"/>
            <w:tcBorders>
              <w:top w:val="nil"/>
            </w:tcBorders>
          </w:tcPr>
          <w:p w14:paraId="3E4424F1" w14:textId="77777777" w:rsidR="00E12191" w:rsidRPr="00AE6B5F" w:rsidRDefault="00E12191" w:rsidP="001A6242">
            <w:r w:rsidRPr="00AE6B5F">
              <w:t>TASIT 2</w:t>
            </w:r>
          </w:p>
        </w:tc>
        <w:tc>
          <w:tcPr>
            <w:tcW w:w="1518" w:type="dxa"/>
            <w:tcBorders>
              <w:top w:val="nil"/>
            </w:tcBorders>
          </w:tcPr>
          <w:p w14:paraId="574A1342" w14:textId="77777777" w:rsidR="00E12191" w:rsidRPr="00AE6B5F" w:rsidRDefault="00E12191" w:rsidP="001A6242">
            <w:r w:rsidRPr="00AE6B5F">
              <w:t>45.40 (11.65)</w:t>
            </w:r>
          </w:p>
        </w:tc>
        <w:tc>
          <w:tcPr>
            <w:tcW w:w="989" w:type="dxa"/>
            <w:tcBorders>
              <w:top w:val="nil"/>
            </w:tcBorders>
          </w:tcPr>
          <w:p w14:paraId="4FD19F6C" w14:textId="77777777" w:rsidR="00E12191" w:rsidRPr="00AE6B5F" w:rsidRDefault="00E12191" w:rsidP="001A6242">
            <w:r w:rsidRPr="00AE6B5F">
              <w:t>51</w:t>
            </w:r>
          </w:p>
          <w:p w14:paraId="37DDC0E9" w14:textId="77777777" w:rsidR="00E12191" w:rsidRPr="00AE6B5F" w:rsidRDefault="00E12191" w:rsidP="001A6242">
            <w:r w:rsidRPr="00AE6B5F">
              <w:t>(27-59)</w:t>
            </w:r>
          </w:p>
        </w:tc>
        <w:tc>
          <w:tcPr>
            <w:tcW w:w="1509" w:type="dxa"/>
            <w:tcBorders>
              <w:top w:val="nil"/>
            </w:tcBorders>
          </w:tcPr>
          <w:p w14:paraId="513E79D8" w14:textId="77777777" w:rsidR="00E12191" w:rsidRPr="00AE6B5F" w:rsidRDefault="00E12191" w:rsidP="001A6242">
            <w:r w:rsidRPr="00AE6B5F">
              <w:t>38.44 (7.98)</w:t>
            </w:r>
          </w:p>
        </w:tc>
        <w:tc>
          <w:tcPr>
            <w:tcW w:w="989" w:type="dxa"/>
            <w:tcBorders>
              <w:top w:val="nil"/>
            </w:tcBorders>
          </w:tcPr>
          <w:p w14:paraId="64D52D15" w14:textId="77777777" w:rsidR="00E12191" w:rsidRPr="00AE6B5F" w:rsidRDefault="00E12191" w:rsidP="001A6242">
            <w:r w:rsidRPr="00AE6B5F">
              <w:t>34.5 (30-52)</w:t>
            </w:r>
          </w:p>
        </w:tc>
        <w:tc>
          <w:tcPr>
            <w:tcW w:w="1700" w:type="dxa"/>
            <w:tcBorders>
              <w:top w:val="nil"/>
            </w:tcBorders>
          </w:tcPr>
          <w:p w14:paraId="612F61C2" w14:textId="77777777" w:rsidR="00E12191" w:rsidRPr="00AE6B5F" w:rsidRDefault="00E12191" w:rsidP="001A6242">
            <w:pPr>
              <w:jc w:val="center"/>
            </w:pPr>
            <w:r w:rsidRPr="00AE6B5F">
              <w:t xml:space="preserve">0.68 </w:t>
            </w:r>
          </w:p>
          <w:p w14:paraId="71C6353A" w14:textId="77777777" w:rsidR="00E12191" w:rsidRPr="00AE6B5F" w:rsidRDefault="00E12191" w:rsidP="001A6242">
            <w:pPr>
              <w:jc w:val="center"/>
            </w:pPr>
            <w:r w:rsidRPr="00AE6B5F">
              <w:t>(-0.10, 1.46)</w:t>
            </w:r>
          </w:p>
        </w:tc>
      </w:tr>
      <w:tr w:rsidR="00E12191" w:rsidRPr="00AE6B5F" w14:paraId="007B4DFD" w14:textId="77777777" w:rsidTr="00FF55BF">
        <w:trPr>
          <w:cantSplit/>
        </w:trPr>
        <w:tc>
          <w:tcPr>
            <w:tcW w:w="2311" w:type="dxa"/>
          </w:tcPr>
          <w:p w14:paraId="5D168F29" w14:textId="77777777" w:rsidR="00E12191" w:rsidRPr="00AE6B5F" w:rsidRDefault="00E12191" w:rsidP="001A6242">
            <w:r w:rsidRPr="00AE6B5F">
              <w:t>TASIT 3</w:t>
            </w:r>
          </w:p>
        </w:tc>
        <w:tc>
          <w:tcPr>
            <w:tcW w:w="1518" w:type="dxa"/>
          </w:tcPr>
          <w:p w14:paraId="457F024B" w14:textId="77777777" w:rsidR="00E12191" w:rsidRPr="00AE6B5F" w:rsidRDefault="00E12191" w:rsidP="001A6242">
            <w:r w:rsidRPr="00AE6B5F">
              <w:t>44.93 (7.95)</w:t>
            </w:r>
          </w:p>
        </w:tc>
        <w:tc>
          <w:tcPr>
            <w:tcW w:w="989" w:type="dxa"/>
          </w:tcPr>
          <w:p w14:paraId="3487CE64" w14:textId="77777777" w:rsidR="00E12191" w:rsidRPr="00AE6B5F" w:rsidRDefault="00E12191" w:rsidP="001A6242">
            <w:r w:rsidRPr="00AE6B5F">
              <w:t xml:space="preserve">50 </w:t>
            </w:r>
          </w:p>
          <w:p w14:paraId="59058F52" w14:textId="77777777" w:rsidR="00E12191" w:rsidRPr="00AE6B5F" w:rsidRDefault="00E12191" w:rsidP="001A6242">
            <w:r w:rsidRPr="00AE6B5F">
              <w:t>(33-54)</w:t>
            </w:r>
          </w:p>
        </w:tc>
        <w:tc>
          <w:tcPr>
            <w:tcW w:w="1509" w:type="dxa"/>
          </w:tcPr>
          <w:p w14:paraId="45581115" w14:textId="77777777" w:rsidR="00E12191" w:rsidRPr="00AE6B5F" w:rsidRDefault="00E12191" w:rsidP="001A6242">
            <w:r w:rsidRPr="00AE6B5F">
              <w:t>43.27 (8.65)</w:t>
            </w:r>
          </w:p>
        </w:tc>
        <w:tc>
          <w:tcPr>
            <w:tcW w:w="989" w:type="dxa"/>
          </w:tcPr>
          <w:p w14:paraId="5E9439BB" w14:textId="77777777" w:rsidR="00E12191" w:rsidRPr="00AE6B5F" w:rsidRDefault="00E12191" w:rsidP="001A6242">
            <w:r w:rsidRPr="00AE6B5F">
              <w:t>42.5 (27-58)</w:t>
            </w:r>
          </w:p>
        </w:tc>
        <w:tc>
          <w:tcPr>
            <w:tcW w:w="1700" w:type="dxa"/>
          </w:tcPr>
          <w:p w14:paraId="7777925F" w14:textId="77777777" w:rsidR="00E12191" w:rsidRPr="00AE6B5F" w:rsidRDefault="00E12191" w:rsidP="001A6242">
            <w:pPr>
              <w:jc w:val="center"/>
            </w:pPr>
            <w:r w:rsidRPr="00AE6B5F">
              <w:t>0.20</w:t>
            </w:r>
          </w:p>
          <w:p w14:paraId="413745BD" w14:textId="77777777" w:rsidR="00E12191" w:rsidRPr="00AE6B5F" w:rsidRDefault="00E12191" w:rsidP="001A6242">
            <w:pPr>
              <w:jc w:val="center"/>
            </w:pPr>
            <w:r w:rsidRPr="00AE6B5F">
              <w:t>(-0.56, 0.96)</w:t>
            </w:r>
          </w:p>
        </w:tc>
      </w:tr>
      <w:tr w:rsidR="00FF55BF" w:rsidRPr="00AE6B5F" w14:paraId="654A4F07" w14:textId="77777777" w:rsidTr="00FF55BF">
        <w:trPr>
          <w:cantSplit/>
        </w:trPr>
        <w:tc>
          <w:tcPr>
            <w:tcW w:w="2311" w:type="dxa"/>
          </w:tcPr>
          <w:p w14:paraId="156B8CB9" w14:textId="77777777" w:rsidR="00FF55BF" w:rsidRPr="00AE6B5F" w:rsidRDefault="00FF55BF" w:rsidP="001A6242"/>
        </w:tc>
        <w:tc>
          <w:tcPr>
            <w:tcW w:w="1518" w:type="dxa"/>
          </w:tcPr>
          <w:p w14:paraId="5A025652" w14:textId="77777777" w:rsidR="00FF55BF" w:rsidRPr="00AE6B5F" w:rsidRDefault="00FF55BF" w:rsidP="001A6242"/>
        </w:tc>
        <w:tc>
          <w:tcPr>
            <w:tcW w:w="989" w:type="dxa"/>
          </w:tcPr>
          <w:p w14:paraId="26B66736" w14:textId="77777777" w:rsidR="00FF55BF" w:rsidRPr="00AE6B5F" w:rsidRDefault="00FF55BF" w:rsidP="001A6242"/>
        </w:tc>
        <w:tc>
          <w:tcPr>
            <w:tcW w:w="1509" w:type="dxa"/>
          </w:tcPr>
          <w:p w14:paraId="3EA2557D" w14:textId="77777777" w:rsidR="00FF55BF" w:rsidRPr="00AE6B5F" w:rsidRDefault="00FF55BF" w:rsidP="001A6242"/>
        </w:tc>
        <w:tc>
          <w:tcPr>
            <w:tcW w:w="989" w:type="dxa"/>
          </w:tcPr>
          <w:p w14:paraId="74B67233" w14:textId="77777777" w:rsidR="00FF55BF" w:rsidRPr="00AE6B5F" w:rsidRDefault="00FF55BF" w:rsidP="001A6242"/>
        </w:tc>
        <w:tc>
          <w:tcPr>
            <w:tcW w:w="1700" w:type="dxa"/>
          </w:tcPr>
          <w:p w14:paraId="16480DE9" w14:textId="77777777" w:rsidR="00FF55BF" w:rsidRPr="00AE6B5F" w:rsidRDefault="00FF55BF" w:rsidP="001A6242">
            <w:pPr>
              <w:jc w:val="center"/>
            </w:pPr>
          </w:p>
        </w:tc>
      </w:tr>
    </w:tbl>
    <w:p w14:paraId="6EC69FE6" w14:textId="77777777" w:rsidR="00E12191" w:rsidRPr="00AE6B5F" w:rsidRDefault="00E12191" w:rsidP="00E12191">
      <w:pPr>
        <w:jc w:val="both"/>
      </w:pPr>
    </w:p>
    <w:p w14:paraId="54F12B05" w14:textId="77777777" w:rsidR="00E12191" w:rsidRPr="00AE6B5F" w:rsidRDefault="00E12191" w:rsidP="00E12191">
      <w:pPr>
        <w:jc w:val="both"/>
      </w:pPr>
    </w:p>
    <w:p w14:paraId="430C5162" w14:textId="77777777" w:rsidR="00E12191" w:rsidRPr="00AE6B5F" w:rsidRDefault="00E12191" w:rsidP="00E12191">
      <w:pPr>
        <w:jc w:val="both"/>
        <w:rPr>
          <w:b/>
        </w:rPr>
      </w:pPr>
      <w:r w:rsidRPr="00AE6B5F">
        <w:rPr>
          <w:b/>
        </w:rPr>
        <w:t>Table 6. Logistic model of predictors of paranoid thoughts as measured by a score of 31+ on GTPS and/or 3+ on hostile attribution bias and/or 3+ on blaming bias, with 95% bias corrected and a</w:t>
      </w:r>
      <w:r w:rsidR="00DA73A2" w:rsidRPr="00AE6B5F">
        <w:rPr>
          <w:b/>
        </w:rPr>
        <w:t>ccelerated confidence intervals</w:t>
      </w:r>
      <w:r w:rsidRPr="00AE6B5F">
        <w:rPr>
          <w:b/>
        </w:rPr>
        <w:t>. Confidence intervals and standard errors based on 1000 bootstrap samples.</w:t>
      </w:r>
    </w:p>
    <w:p w14:paraId="4A9AEC06" w14:textId="77777777" w:rsidR="00E12191" w:rsidRPr="00AE6B5F" w:rsidRDefault="00E12191" w:rsidP="00E12191">
      <w:pPr>
        <w:jc w:val="both"/>
        <w:rPr>
          <w:b/>
        </w:rPr>
      </w:pPr>
    </w:p>
    <w:tbl>
      <w:tblPr>
        <w:tblStyle w:val="TableGrid"/>
        <w:tblW w:w="0" w:type="auto"/>
        <w:tblBorders>
          <w:top w:val="single" w:sz="18" w:space="0" w:color="auto"/>
          <w:left w:val="none" w:sz="0" w:space="0" w:color="auto"/>
          <w:bottom w:val="single" w:sz="18" w:space="0" w:color="auto"/>
          <w:right w:val="none" w:sz="0" w:space="0" w:color="auto"/>
          <w:insideH w:val="single" w:sz="8" w:space="0" w:color="auto"/>
          <w:insideV w:val="none" w:sz="0" w:space="0" w:color="auto"/>
        </w:tblBorders>
        <w:tblLook w:val="04A0" w:firstRow="1" w:lastRow="0" w:firstColumn="1" w:lastColumn="0" w:noHBand="0" w:noVBand="1"/>
      </w:tblPr>
      <w:tblGrid>
        <w:gridCol w:w="2303"/>
        <w:gridCol w:w="975"/>
        <w:gridCol w:w="1630"/>
        <w:gridCol w:w="983"/>
        <w:gridCol w:w="703"/>
        <w:gridCol w:w="876"/>
        <w:gridCol w:w="1556"/>
      </w:tblGrid>
      <w:tr w:rsidR="00E12191" w:rsidRPr="00AE6B5F" w14:paraId="3B475398" w14:textId="77777777" w:rsidTr="00FF55BF">
        <w:trPr>
          <w:trHeight w:val="881"/>
        </w:trPr>
        <w:tc>
          <w:tcPr>
            <w:tcW w:w="2369" w:type="dxa"/>
            <w:vAlign w:val="center"/>
          </w:tcPr>
          <w:p w14:paraId="345D90B3" w14:textId="77777777" w:rsidR="00E12191" w:rsidRPr="00AE6B5F" w:rsidRDefault="00E12191" w:rsidP="00FF55BF">
            <w:pPr>
              <w:jc w:val="center"/>
            </w:pPr>
          </w:p>
        </w:tc>
        <w:tc>
          <w:tcPr>
            <w:tcW w:w="991" w:type="dxa"/>
            <w:vAlign w:val="center"/>
          </w:tcPr>
          <w:p w14:paraId="0484F9CC" w14:textId="77777777" w:rsidR="00E12191" w:rsidRPr="00AE6B5F" w:rsidRDefault="00E12191" w:rsidP="00FF55BF">
            <w:pPr>
              <w:jc w:val="center"/>
            </w:pPr>
            <w:r w:rsidRPr="00AE6B5F">
              <w:t>Beta (β)</w:t>
            </w:r>
          </w:p>
        </w:tc>
        <w:tc>
          <w:tcPr>
            <w:tcW w:w="1693" w:type="dxa"/>
            <w:vAlign w:val="center"/>
          </w:tcPr>
          <w:p w14:paraId="7C6FC79F" w14:textId="77777777" w:rsidR="00E12191" w:rsidRPr="00AE6B5F" w:rsidRDefault="00E12191" w:rsidP="00FF55BF">
            <w:pPr>
              <w:jc w:val="center"/>
            </w:pPr>
            <w:r w:rsidRPr="00AE6B5F">
              <w:t>95% C.I. Beta</w:t>
            </w:r>
          </w:p>
        </w:tc>
        <w:tc>
          <w:tcPr>
            <w:tcW w:w="991" w:type="dxa"/>
            <w:vAlign w:val="center"/>
          </w:tcPr>
          <w:p w14:paraId="674A07A9" w14:textId="77777777" w:rsidR="00E12191" w:rsidRPr="00AE6B5F" w:rsidRDefault="00E12191" w:rsidP="00FF55BF">
            <w:pPr>
              <w:jc w:val="center"/>
            </w:pPr>
            <w:r w:rsidRPr="00AE6B5F">
              <w:t>Std. Error</w:t>
            </w:r>
          </w:p>
        </w:tc>
        <w:tc>
          <w:tcPr>
            <w:tcW w:w="708" w:type="dxa"/>
            <w:vAlign w:val="center"/>
          </w:tcPr>
          <w:p w14:paraId="1E14C3A0" w14:textId="77777777" w:rsidR="00E12191" w:rsidRPr="00AE6B5F" w:rsidRDefault="00E12191" w:rsidP="00FF55BF">
            <w:pPr>
              <w:jc w:val="center"/>
            </w:pPr>
            <w:r w:rsidRPr="00AE6B5F">
              <w:t>Sig.</w:t>
            </w:r>
          </w:p>
        </w:tc>
        <w:tc>
          <w:tcPr>
            <w:tcW w:w="876" w:type="dxa"/>
            <w:vAlign w:val="center"/>
          </w:tcPr>
          <w:p w14:paraId="1DA193D0" w14:textId="77777777" w:rsidR="00E12191" w:rsidRPr="00AE6B5F" w:rsidRDefault="00E12191" w:rsidP="00FF55BF">
            <w:pPr>
              <w:jc w:val="center"/>
            </w:pPr>
            <w:r w:rsidRPr="00AE6B5F">
              <w:t>Odds Ratio</w:t>
            </w:r>
          </w:p>
        </w:tc>
        <w:tc>
          <w:tcPr>
            <w:tcW w:w="1614" w:type="dxa"/>
            <w:vAlign w:val="center"/>
          </w:tcPr>
          <w:p w14:paraId="5AB05F5D" w14:textId="77777777" w:rsidR="00E12191" w:rsidRPr="00AE6B5F" w:rsidRDefault="00E12191" w:rsidP="00FF55BF">
            <w:pPr>
              <w:jc w:val="center"/>
            </w:pPr>
            <w:r w:rsidRPr="00AE6B5F">
              <w:t>95% C.I for odds ratio</w:t>
            </w:r>
          </w:p>
        </w:tc>
      </w:tr>
      <w:tr w:rsidR="00FF55BF" w:rsidRPr="00AE6B5F" w14:paraId="3F5AE88B" w14:textId="77777777" w:rsidTr="00FF55BF">
        <w:tc>
          <w:tcPr>
            <w:tcW w:w="2369" w:type="dxa"/>
            <w:tcBorders>
              <w:bottom w:val="nil"/>
            </w:tcBorders>
          </w:tcPr>
          <w:p w14:paraId="3A5EBBC5" w14:textId="77777777" w:rsidR="00FF55BF" w:rsidRPr="00AE6B5F" w:rsidRDefault="00FF55BF" w:rsidP="001A6242"/>
        </w:tc>
        <w:tc>
          <w:tcPr>
            <w:tcW w:w="991" w:type="dxa"/>
            <w:tcBorders>
              <w:bottom w:val="nil"/>
            </w:tcBorders>
          </w:tcPr>
          <w:p w14:paraId="5F564E54" w14:textId="77777777" w:rsidR="00FF55BF" w:rsidRPr="00AE6B5F" w:rsidRDefault="00FF55BF" w:rsidP="001A6242">
            <w:pPr>
              <w:jc w:val="right"/>
            </w:pPr>
          </w:p>
        </w:tc>
        <w:tc>
          <w:tcPr>
            <w:tcW w:w="1693" w:type="dxa"/>
            <w:tcBorders>
              <w:bottom w:val="nil"/>
            </w:tcBorders>
          </w:tcPr>
          <w:p w14:paraId="0D07DD96" w14:textId="77777777" w:rsidR="00FF55BF" w:rsidRPr="00AE6B5F" w:rsidRDefault="00FF55BF" w:rsidP="001A6242">
            <w:pPr>
              <w:jc w:val="right"/>
            </w:pPr>
          </w:p>
        </w:tc>
        <w:tc>
          <w:tcPr>
            <w:tcW w:w="991" w:type="dxa"/>
            <w:tcBorders>
              <w:bottom w:val="nil"/>
            </w:tcBorders>
          </w:tcPr>
          <w:p w14:paraId="01CC7AA5" w14:textId="77777777" w:rsidR="00FF55BF" w:rsidRPr="00AE6B5F" w:rsidRDefault="00FF55BF" w:rsidP="001A6242">
            <w:pPr>
              <w:jc w:val="right"/>
            </w:pPr>
          </w:p>
        </w:tc>
        <w:tc>
          <w:tcPr>
            <w:tcW w:w="708" w:type="dxa"/>
            <w:tcBorders>
              <w:bottom w:val="nil"/>
            </w:tcBorders>
          </w:tcPr>
          <w:p w14:paraId="1C89B36E" w14:textId="77777777" w:rsidR="00FF55BF" w:rsidRPr="00AE6B5F" w:rsidRDefault="00FF55BF" w:rsidP="001A6242">
            <w:pPr>
              <w:jc w:val="right"/>
            </w:pPr>
          </w:p>
        </w:tc>
        <w:tc>
          <w:tcPr>
            <w:tcW w:w="876" w:type="dxa"/>
            <w:tcBorders>
              <w:bottom w:val="nil"/>
            </w:tcBorders>
          </w:tcPr>
          <w:p w14:paraId="69B5523C" w14:textId="77777777" w:rsidR="00FF55BF" w:rsidRPr="00AE6B5F" w:rsidRDefault="00FF55BF" w:rsidP="001A6242">
            <w:pPr>
              <w:jc w:val="right"/>
            </w:pPr>
          </w:p>
        </w:tc>
        <w:tc>
          <w:tcPr>
            <w:tcW w:w="1614" w:type="dxa"/>
            <w:tcBorders>
              <w:bottom w:val="nil"/>
            </w:tcBorders>
          </w:tcPr>
          <w:p w14:paraId="6C20BF61" w14:textId="77777777" w:rsidR="00FF55BF" w:rsidRPr="00AE6B5F" w:rsidRDefault="00FF55BF" w:rsidP="001A6242">
            <w:pPr>
              <w:jc w:val="right"/>
            </w:pPr>
          </w:p>
        </w:tc>
      </w:tr>
      <w:tr w:rsidR="00E12191" w:rsidRPr="00AE6B5F" w14:paraId="66B6D372" w14:textId="77777777" w:rsidTr="00FF55BF">
        <w:tc>
          <w:tcPr>
            <w:tcW w:w="2369" w:type="dxa"/>
            <w:tcBorders>
              <w:top w:val="nil"/>
              <w:bottom w:val="nil"/>
            </w:tcBorders>
          </w:tcPr>
          <w:p w14:paraId="1D980386" w14:textId="77777777" w:rsidR="00E12191" w:rsidRPr="00AE6B5F" w:rsidRDefault="00E12191" w:rsidP="001A6242">
            <w:r w:rsidRPr="00AE6B5F">
              <w:t>Emotion Recognition</w:t>
            </w:r>
          </w:p>
          <w:p w14:paraId="6BCBFC26" w14:textId="77777777" w:rsidR="00E12191" w:rsidRPr="00AE6B5F" w:rsidRDefault="00E12191" w:rsidP="001A6242">
            <w:r w:rsidRPr="00AE6B5F">
              <w:t>TASIT 2</w:t>
            </w:r>
            <w:r w:rsidRPr="00AE6B5F">
              <w:br/>
              <w:t>TASIT 3</w:t>
            </w:r>
          </w:p>
          <w:p w14:paraId="0B954128" w14:textId="77777777" w:rsidR="00E12191" w:rsidRPr="00AE6B5F" w:rsidRDefault="00E12191" w:rsidP="001A6242">
            <w:r w:rsidRPr="00AE6B5F">
              <w:t>Constant</w:t>
            </w:r>
          </w:p>
        </w:tc>
        <w:tc>
          <w:tcPr>
            <w:tcW w:w="991" w:type="dxa"/>
            <w:tcBorders>
              <w:top w:val="nil"/>
              <w:bottom w:val="nil"/>
            </w:tcBorders>
          </w:tcPr>
          <w:p w14:paraId="77F15F0A" w14:textId="77777777" w:rsidR="00E12191" w:rsidRPr="00AE6B5F" w:rsidRDefault="00E12191" w:rsidP="001A6242">
            <w:pPr>
              <w:jc w:val="right"/>
            </w:pPr>
            <w:r w:rsidRPr="00AE6B5F">
              <w:t>-0.64</w:t>
            </w:r>
          </w:p>
          <w:p w14:paraId="01D7F5BA" w14:textId="77777777" w:rsidR="00E12191" w:rsidRPr="00AE6B5F" w:rsidRDefault="00E12191" w:rsidP="001A6242">
            <w:pPr>
              <w:jc w:val="right"/>
            </w:pPr>
            <w:r w:rsidRPr="00AE6B5F">
              <w:t>-.103</w:t>
            </w:r>
          </w:p>
          <w:p w14:paraId="54FA940C" w14:textId="77777777" w:rsidR="00E12191" w:rsidRPr="00AE6B5F" w:rsidRDefault="00E12191" w:rsidP="001A6242">
            <w:pPr>
              <w:jc w:val="right"/>
            </w:pPr>
            <w:r w:rsidRPr="00AE6B5F">
              <w:t>.068</w:t>
            </w:r>
          </w:p>
          <w:p w14:paraId="2C0E6209" w14:textId="77777777" w:rsidR="00E12191" w:rsidRPr="00AE6B5F" w:rsidRDefault="00E12191" w:rsidP="001A6242">
            <w:pPr>
              <w:jc w:val="right"/>
            </w:pPr>
            <w:r w:rsidRPr="00AE6B5F">
              <w:t>2.363</w:t>
            </w:r>
          </w:p>
        </w:tc>
        <w:tc>
          <w:tcPr>
            <w:tcW w:w="1693" w:type="dxa"/>
            <w:tcBorders>
              <w:top w:val="nil"/>
              <w:bottom w:val="nil"/>
            </w:tcBorders>
          </w:tcPr>
          <w:p w14:paraId="3ED3BD4D" w14:textId="77777777" w:rsidR="00E12191" w:rsidRPr="00AE6B5F" w:rsidRDefault="00E12191" w:rsidP="001A6242">
            <w:pPr>
              <w:jc w:val="right"/>
            </w:pPr>
            <w:r w:rsidRPr="00AE6B5F">
              <w:t>-.911 to .308</w:t>
            </w:r>
          </w:p>
          <w:p w14:paraId="5C11F821" w14:textId="77777777" w:rsidR="00E12191" w:rsidRPr="00AE6B5F" w:rsidRDefault="00E12191" w:rsidP="001A6242">
            <w:pPr>
              <w:jc w:val="right"/>
            </w:pPr>
            <w:r w:rsidRPr="00AE6B5F">
              <w:t>-1.176 to .019</w:t>
            </w:r>
          </w:p>
          <w:p w14:paraId="3868FCEE" w14:textId="77777777" w:rsidR="00E12191" w:rsidRPr="00AE6B5F" w:rsidRDefault="00E12191" w:rsidP="001A6242">
            <w:pPr>
              <w:jc w:val="right"/>
            </w:pPr>
            <w:r w:rsidRPr="00AE6B5F">
              <w:t>-.144 to 1.035</w:t>
            </w:r>
          </w:p>
          <w:p w14:paraId="2EBC025D" w14:textId="77777777" w:rsidR="00E12191" w:rsidRPr="00AE6B5F" w:rsidRDefault="00E12191" w:rsidP="001A6242">
            <w:pPr>
              <w:jc w:val="right"/>
            </w:pPr>
          </w:p>
        </w:tc>
        <w:tc>
          <w:tcPr>
            <w:tcW w:w="991" w:type="dxa"/>
            <w:tcBorders>
              <w:top w:val="nil"/>
              <w:bottom w:val="nil"/>
            </w:tcBorders>
          </w:tcPr>
          <w:p w14:paraId="7DB383B2" w14:textId="77777777" w:rsidR="00E12191" w:rsidRPr="00AE6B5F" w:rsidRDefault="00E12191" w:rsidP="001A6242">
            <w:pPr>
              <w:jc w:val="right"/>
            </w:pPr>
            <w:r w:rsidRPr="00AE6B5F">
              <w:t>2.837</w:t>
            </w:r>
          </w:p>
          <w:p w14:paraId="6AD042AA" w14:textId="77777777" w:rsidR="00E12191" w:rsidRPr="00AE6B5F" w:rsidRDefault="00E12191" w:rsidP="001A6242">
            <w:pPr>
              <w:jc w:val="right"/>
            </w:pPr>
            <w:r w:rsidRPr="00AE6B5F">
              <w:t>3.762</w:t>
            </w:r>
          </w:p>
          <w:p w14:paraId="529A6F77" w14:textId="77777777" w:rsidR="00E12191" w:rsidRPr="00AE6B5F" w:rsidRDefault="00E12191" w:rsidP="001A6242">
            <w:pPr>
              <w:jc w:val="right"/>
            </w:pPr>
            <w:r w:rsidRPr="00AE6B5F">
              <w:t>4.752</w:t>
            </w:r>
          </w:p>
          <w:p w14:paraId="09B2FDE1" w14:textId="77777777" w:rsidR="00E12191" w:rsidRPr="00AE6B5F" w:rsidRDefault="00FF55BF" w:rsidP="00FF55BF">
            <w:pPr>
              <w:jc w:val="right"/>
            </w:pPr>
            <w:r w:rsidRPr="00AE6B5F">
              <w:t>90.779</w:t>
            </w:r>
          </w:p>
        </w:tc>
        <w:tc>
          <w:tcPr>
            <w:tcW w:w="708" w:type="dxa"/>
            <w:tcBorders>
              <w:top w:val="nil"/>
              <w:bottom w:val="nil"/>
            </w:tcBorders>
          </w:tcPr>
          <w:p w14:paraId="32C24574" w14:textId="77777777" w:rsidR="00E12191" w:rsidRPr="00AE6B5F" w:rsidRDefault="00E12191" w:rsidP="001A6242">
            <w:pPr>
              <w:jc w:val="right"/>
            </w:pPr>
            <w:r w:rsidRPr="00AE6B5F">
              <w:t>.538</w:t>
            </w:r>
          </w:p>
          <w:p w14:paraId="61EF4D21" w14:textId="77777777" w:rsidR="00E12191" w:rsidRPr="00AE6B5F" w:rsidRDefault="00E12191" w:rsidP="001A6242">
            <w:pPr>
              <w:jc w:val="right"/>
            </w:pPr>
            <w:r w:rsidRPr="00AE6B5F">
              <w:t>.084</w:t>
            </w:r>
          </w:p>
          <w:p w14:paraId="346ECA99" w14:textId="77777777" w:rsidR="00E12191" w:rsidRPr="00AE6B5F" w:rsidRDefault="00E12191" w:rsidP="001A6242">
            <w:pPr>
              <w:jc w:val="right"/>
            </w:pPr>
            <w:r w:rsidRPr="00AE6B5F">
              <w:t>.355</w:t>
            </w:r>
          </w:p>
          <w:p w14:paraId="195F20BB" w14:textId="77777777" w:rsidR="00E12191" w:rsidRPr="00AE6B5F" w:rsidRDefault="00E12191" w:rsidP="001A6242">
            <w:pPr>
              <w:jc w:val="right"/>
            </w:pPr>
            <w:r w:rsidRPr="00AE6B5F">
              <w:t>.388</w:t>
            </w:r>
          </w:p>
        </w:tc>
        <w:tc>
          <w:tcPr>
            <w:tcW w:w="876" w:type="dxa"/>
            <w:tcBorders>
              <w:top w:val="nil"/>
              <w:bottom w:val="nil"/>
            </w:tcBorders>
          </w:tcPr>
          <w:p w14:paraId="717774E8" w14:textId="77777777" w:rsidR="00E12191" w:rsidRPr="00AE6B5F" w:rsidRDefault="00E12191" w:rsidP="001A6242">
            <w:pPr>
              <w:jc w:val="right"/>
            </w:pPr>
            <w:r w:rsidRPr="00AE6B5F">
              <w:t>.938</w:t>
            </w:r>
          </w:p>
          <w:p w14:paraId="0ECCD35B" w14:textId="77777777" w:rsidR="00E12191" w:rsidRPr="00AE6B5F" w:rsidRDefault="00E12191" w:rsidP="001A6242">
            <w:pPr>
              <w:jc w:val="right"/>
            </w:pPr>
            <w:r w:rsidRPr="00AE6B5F">
              <w:t>.902</w:t>
            </w:r>
          </w:p>
          <w:p w14:paraId="62D51343" w14:textId="77777777" w:rsidR="00E12191" w:rsidRPr="00AE6B5F" w:rsidRDefault="00E12191" w:rsidP="001A6242">
            <w:pPr>
              <w:jc w:val="right"/>
            </w:pPr>
            <w:r w:rsidRPr="00AE6B5F">
              <w:t>1.071</w:t>
            </w:r>
          </w:p>
          <w:p w14:paraId="2350DCF0" w14:textId="77777777" w:rsidR="00E12191" w:rsidRPr="00AE6B5F" w:rsidRDefault="00E12191" w:rsidP="001A6242">
            <w:pPr>
              <w:jc w:val="right"/>
            </w:pPr>
            <w:r w:rsidRPr="00AE6B5F">
              <w:t>10.622</w:t>
            </w:r>
          </w:p>
        </w:tc>
        <w:tc>
          <w:tcPr>
            <w:tcW w:w="1614" w:type="dxa"/>
            <w:tcBorders>
              <w:top w:val="nil"/>
              <w:bottom w:val="nil"/>
            </w:tcBorders>
          </w:tcPr>
          <w:p w14:paraId="7038B6BB" w14:textId="77777777" w:rsidR="00E12191" w:rsidRPr="00AE6B5F" w:rsidRDefault="00E12191" w:rsidP="001A6242">
            <w:pPr>
              <w:jc w:val="right"/>
            </w:pPr>
            <w:r w:rsidRPr="00AE6B5F">
              <w:t>.766 to 1.149</w:t>
            </w:r>
          </w:p>
          <w:p w14:paraId="4AC71214" w14:textId="77777777" w:rsidR="00E12191" w:rsidRPr="00AE6B5F" w:rsidRDefault="00E12191" w:rsidP="001A6242">
            <w:pPr>
              <w:jc w:val="right"/>
            </w:pPr>
            <w:r w:rsidRPr="00AE6B5F">
              <w:t>.803 to 1.014</w:t>
            </w:r>
          </w:p>
          <w:p w14:paraId="520D63B4" w14:textId="77777777" w:rsidR="00E12191" w:rsidRPr="00AE6B5F" w:rsidRDefault="00E12191" w:rsidP="001A6242">
            <w:pPr>
              <w:jc w:val="right"/>
            </w:pPr>
            <w:r w:rsidRPr="00AE6B5F">
              <w:t>.926 to 1.238</w:t>
            </w:r>
          </w:p>
        </w:tc>
      </w:tr>
      <w:tr w:rsidR="00FF55BF" w:rsidRPr="00AE6B5F" w14:paraId="7067FC07" w14:textId="77777777" w:rsidTr="00FF55BF">
        <w:tc>
          <w:tcPr>
            <w:tcW w:w="2369" w:type="dxa"/>
            <w:tcBorders>
              <w:top w:val="nil"/>
            </w:tcBorders>
          </w:tcPr>
          <w:p w14:paraId="0EDA9B34" w14:textId="77777777" w:rsidR="00FF55BF" w:rsidRPr="00AE6B5F" w:rsidRDefault="00FF55BF" w:rsidP="001A6242"/>
        </w:tc>
        <w:tc>
          <w:tcPr>
            <w:tcW w:w="991" w:type="dxa"/>
            <w:tcBorders>
              <w:top w:val="nil"/>
            </w:tcBorders>
          </w:tcPr>
          <w:p w14:paraId="7380C4BF" w14:textId="77777777" w:rsidR="00FF55BF" w:rsidRPr="00AE6B5F" w:rsidRDefault="00FF55BF" w:rsidP="001A6242">
            <w:pPr>
              <w:jc w:val="right"/>
            </w:pPr>
          </w:p>
        </w:tc>
        <w:tc>
          <w:tcPr>
            <w:tcW w:w="1693" w:type="dxa"/>
            <w:tcBorders>
              <w:top w:val="nil"/>
            </w:tcBorders>
          </w:tcPr>
          <w:p w14:paraId="2E08CFB2" w14:textId="77777777" w:rsidR="00FF55BF" w:rsidRPr="00AE6B5F" w:rsidRDefault="00FF55BF" w:rsidP="001A6242">
            <w:pPr>
              <w:jc w:val="right"/>
            </w:pPr>
          </w:p>
        </w:tc>
        <w:tc>
          <w:tcPr>
            <w:tcW w:w="991" w:type="dxa"/>
            <w:tcBorders>
              <w:top w:val="nil"/>
            </w:tcBorders>
          </w:tcPr>
          <w:p w14:paraId="2314A054" w14:textId="77777777" w:rsidR="00FF55BF" w:rsidRPr="00AE6B5F" w:rsidRDefault="00FF55BF" w:rsidP="001A6242">
            <w:pPr>
              <w:jc w:val="right"/>
            </w:pPr>
          </w:p>
        </w:tc>
        <w:tc>
          <w:tcPr>
            <w:tcW w:w="708" w:type="dxa"/>
            <w:tcBorders>
              <w:top w:val="nil"/>
            </w:tcBorders>
          </w:tcPr>
          <w:p w14:paraId="695786FD" w14:textId="77777777" w:rsidR="00FF55BF" w:rsidRPr="00AE6B5F" w:rsidRDefault="00FF55BF" w:rsidP="001A6242">
            <w:pPr>
              <w:jc w:val="right"/>
            </w:pPr>
          </w:p>
        </w:tc>
        <w:tc>
          <w:tcPr>
            <w:tcW w:w="876" w:type="dxa"/>
            <w:tcBorders>
              <w:top w:val="nil"/>
            </w:tcBorders>
          </w:tcPr>
          <w:p w14:paraId="5DE274E5" w14:textId="77777777" w:rsidR="00FF55BF" w:rsidRPr="00AE6B5F" w:rsidRDefault="00FF55BF" w:rsidP="001A6242">
            <w:pPr>
              <w:jc w:val="right"/>
            </w:pPr>
          </w:p>
        </w:tc>
        <w:tc>
          <w:tcPr>
            <w:tcW w:w="1614" w:type="dxa"/>
            <w:tcBorders>
              <w:top w:val="nil"/>
            </w:tcBorders>
          </w:tcPr>
          <w:p w14:paraId="53AB5EFD" w14:textId="77777777" w:rsidR="00FF55BF" w:rsidRPr="00AE6B5F" w:rsidRDefault="00FF55BF" w:rsidP="001A6242">
            <w:pPr>
              <w:jc w:val="right"/>
            </w:pPr>
          </w:p>
        </w:tc>
      </w:tr>
    </w:tbl>
    <w:p w14:paraId="603C9CDD" w14:textId="77777777" w:rsidR="00E12191" w:rsidRPr="00AE6B5F" w:rsidRDefault="00E12191" w:rsidP="00E12191">
      <w:pPr>
        <w:jc w:val="both"/>
      </w:pPr>
      <w:r w:rsidRPr="00AE6B5F">
        <w:t>R</w:t>
      </w:r>
      <w:r w:rsidRPr="00AE6B5F">
        <w:rPr>
          <w:vertAlign w:val="superscript"/>
        </w:rPr>
        <w:t>2</w:t>
      </w:r>
      <w:r w:rsidRPr="00AE6B5F">
        <w:t>= χ</w:t>
      </w:r>
      <w:r w:rsidRPr="00AE6B5F">
        <w:rPr>
          <w:vertAlign w:val="superscript"/>
        </w:rPr>
        <w:t>2</w:t>
      </w:r>
      <w:r w:rsidRPr="00AE6B5F">
        <w:t xml:space="preserve">= 6.28, </w:t>
      </w:r>
      <w:r w:rsidRPr="00AE6B5F">
        <w:rPr>
          <w:i/>
        </w:rPr>
        <w:t>p</w:t>
      </w:r>
      <w:r w:rsidRPr="00AE6B5F">
        <w:t>.508. (Hosmer &amp; Lemeshow) .128 (Cox &amp; Snell) .171 (Nagelkerke)</w:t>
      </w:r>
    </w:p>
    <w:p w14:paraId="105AC219" w14:textId="77777777" w:rsidR="00E12191" w:rsidRPr="00AE6B5F" w:rsidRDefault="00E12191" w:rsidP="000133A6"/>
    <w:p w14:paraId="04D4FD92" w14:textId="77777777" w:rsidR="00FF55BF" w:rsidRPr="00AE6B5F" w:rsidRDefault="00FF55BF">
      <w:pPr>
        <w:spacing w:after="160" w:line="259" w:lineRule="auto"/>
        <w:rPr>
          <w:b/>
        </w:rPr>
      </w:pPr>
      <w:r w:rsidRPr="00AE6B5F">
        <w:rPr>
          <w:b/>
        </w:rPr>
        <w:br w:type="page"/>
      </w:r>
    </w:p>
    <w:p w14:paraId="7A107E43" w14:textId="77777777" w:rsidR="00E12191" w:rsidRPr="00AE6B5F" w:rsidRDefault="00E12191" w:rsidP="00E12191">
      <w:pPr>
        <w:jc w:val="both"/>
        <w:rPr>
          <w:b/>
        </w:rPr>
      </w:pPr>
      <w:r w:rsidRPr="00AE6B5F">
        <w:rPr>
          <w:b/>
        </w:rPr>
        <w:t>Table 7. Linear model of predictors of hostile bias, with 95% bias corrected and accelerated confidence intervals reported in parentheses. Confidence intervals and standard errors based on 1000 bootstrap samples.</w:t>
      </w:r>
    </w:p>
    <w:p w14:paraId="65C8C154" w14:textId="77777777" w:rsidR="005F4023" w:rsidRPr="00AE6B5F" w:rsidRDefault="005F4023" w:rsidP="00E12191">
      <w:pPr>
        <w:jc w:val="both"/>
        <w:rPr>
          <w:b/>
        </w:rPr>
      </w:pPr>
    </w:p>
    <w:tbl>
      <w:tblPr>
        <w:tblStyle w:val="TableGrid"/>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3148"/>
        <w:gridCol w:w="839"/>
        <w:gridCol w:w="933"/>
        <w:gridCol w:w="1219"/>
      </w:tblGrid>
      <w:tr w:rsidR="00E12191" w:rsidRPr="00AE6B5F" w14:paraId="48A2F677" w14:textId="77777777" w:rsidTr="005F4023">
        <w:trPr>
          <w:trHeight w:val="690"/>
        </w:trPr>
        <w:tc>
          <w:tcPr>
            <w:tcW w:w="1599" w:type="pct"/>
            <w:tcBorders>
              <w:top w:val="single" w:sz="18" w:space="0" w:color="auto"/>
              <w:bottom w:val="single" w:sz="8" w:space="0" w:color="auto"/>
            </w:tcBorders>
            <w:vAlign w:val="center"/>
          </w:tcPr>
          <w:p w14:paraId="61ADB06B" w14:textId="77777777" w:rsidR="00E12191" w:rsidRPr="00AE6B5F" w:rsidRDefault="00E12191" w:rsidP="005F4023">
            <w:pPr>
              <w:jc w:val="center"/>
            </w:pPr>
          </w:p>
        </w:tc>
        <w:tc>
          <w:tcPr>
            <w:tcW w:w="1744" w:type="pct"/>
            <w:tcBorders>
              <w:top w:val="single" w:sz="18" w:space="0" w:color="auto"/>
              <w:bottom w:val="single" w:sz="8" w:space="0" w:color="auto"/>
            </w:tcBorders>
            <w:vAlign w:val="center"/>
            <w:hideMark/>
          </w:tcPr>
          <w:p w14:paraId="5F55F134" w14:textId="77777777" w:rsidR="00E12191" w:rsidRPr="00AE6B5F" w:rsidRDefault="00E12191" w:rsidP="005F4023">
            <w:pPr>
              <w:jc w:val="center"/>
              <w:rPr>
                <w:i/>
              </w:rPr>
            </w:pPr>
            <w:r w:rsidRPr="00AE6B5F">
              <w:rPr>
                <w:i/>
              </w:rPr>
              <w:t>B</w:t>
            </w:r>
          </w:p>
        </w:tc>
        <w:tc>
          <w:tcPr>
            <w:tcW w:w="465" w:type="pct"/>
            <w:tcBorders>
              <w:top w:val="single" w:sz="18" w:space="0" w:color="auto"/>
              <w:bottom w:val="single" w:sz="8" w:space="0" w:color="auto"/>
            </w:tcBorders>
            <w:vAlign w:val="center"/>
            <w:hideMark/>
          </w:tcPr>
          <w:p w14:paraId="7F134D26" w14:textId="77777777" w:rsidR="00E12191" w:rsidRPr="00AE6B5F" w:rsidRDefault="00E12191" w:rsidP="005F4023">
            <w:pPr>
              <w:jc w:val="center"/>
            </w:pPr>
            <w:r w:rsidRPr="00AE6B5F">
              <w:t>SE B</w:t>
            </w:r>
          </w:p>
        </w:tc>
        <w:tc>
          <w:tcPr>
            <w:tcW w:w="517" w:type="pct"/>
            <w:tcBorders>
              <w:top w:val="single" w:sz="18" w:space="0" w:color="auto"/>
              <w:bottom w:val="single" w:sz="8" w:space="0" w:color="auto"/>
            </w:tcBorders>
            <w:vAlign w:val="center"/>
            <w:hideMark/>
          </w:tcPr>
          <w:p w14:paraId="2283B546" w14:textId="77777777" w:rsidR="00E12191" w:rsidRPr="00AE6B5F" w:rsidRDefault="00E12191" w:rsidP="005F4023">
            <w:pPr>
              <w:jc w:val="center"/>
            </w:pPr>
            <w:r w:rsidRPr="00AE6B5F">
              <w:t>Β</w:t>
            </w:r>
          </w:p>
        </w:tc>
        <w:tc>
          <w:tcPr>
            <w:tcW w:w="675" w:type="pct"/>
            <w:tcBorders>
              <w:top w:val="single" w:sz="18" w:space="0" w:color="auto"/>
              <w:bottom w:val="single" w:sz="8" w:space="0" w:color="auto"/>
            </w:tcBorders>
            <w:vAlign w:val="center"/>
            <w:hideMark/>
          </w:tcPr>
          <w:p w14:paraId="31CE0BAF" w14:textId="77777777" w:rsidR="00E12191" w:rsidRPr="00AE6B5F" w:rsidRDefault="00E12191" w:rsidP="005F4023">
            <w:pPr>
              <w:jc w:val="center"/>
              <w:rPr>
                <w:i/>
              </w:rPr>
            </w:pPr>
            <w:r w:rsidRPr="00AE6B5F">
              <w:rPr>
                <w:i/>
              </w:rPr>
              <w:t>p</w:t>
            </w:r>
          </w:p>
        </w:tc>
      </w:tr>
      <w:tr w:rsidR="005F4023" w:rsidRPr="00AE6B5F" w14:paraId="7691BAB9" w14:textId="77777777" w:rsidTr="005F4023">
        <w:tc>
          <w:tcPr>
            <w:tcW w:w="1599" w:type="pct"/>
            <w:tcBorders>
              <w:top w:val="single" w:sz="8" w:space="0" w:color="auto"/>
            </w:tcBorders>
          </w:tcPr>
          <w:p w14:paraId="2ED60E6B" w14:textId="77777777" w:rsidR="005F4023" w:rsidRPr="00AE6B5F" w:rsidRDefault="005F4023" w:rsidP="001A6242"/>
        </w:tc>
        <w:tc>
          <w:tcPr>
            <w:tcW w:w="1744" w:type="pct"/>
            <w:tcBorders>
              <w:top w:val="single" w:sz="8" w:space="0" w:color="auto"/>
            </w:tcBorders>
          </w:tcPr>
          <w:p w14:paraId="64F3FAE2" w14:textId="77777777" w:rsidR="005F4023" w:rsidRPr="00AE6B5F" w:rsidRDefault="005F4023" w:rsidP="001A6242"/>
        </w:tc>
        <w:tc>
          <w:tcPr>
            <w:tcW w:w="465" w:type="pct"/>
            <w:tcBorders>
              <w:top w:val="single" w:sz="8" w:space="0" w:color="auto"/>
            </w:tcBorders>
          </w:tcPr>
          <w:p w14:paraId="7EEC8C09" w14:textId="77777777" w:rsidR="005F4023" w:rsidRPr="00AE6B5F" w:rsidRDefault="005F4023" w:rsidP="001A6242"/>
        </w:tc>
        <w:tc>
          <w:tcPr>
            <w:tcW w:w="517" w:type="pct"/>
            <w:tcBorders>
              <w:top w:val="single" w:sz="8" w:space="0" w:color="auto"/>
            </w:tcBorders>
          </w:tcPr>
          <w:p w14:paraId="53C5309A" w14:textId="77777777" w:rsidR="005F4023" w:rsidRPr="00AE6B5F" w:rsidRDefault="005F4023" w:rsidP="001A6242"/>
        </w:tc>
        <w:tc>
          <w:tcPr>
            <w:tcW w:w="675" w:type="pct"/>
            <w:tcBorders>
              <w:top w:val="single" w:sz="8" w:space="0" w:color="auto"/>
            </w:tcBorders>
          </w:tcPr>
          <w:p w14:paraId="4EE65D2F" w14:textId="77777777" w:rsidR="005F4023" w:rsidRPr="00AE6B5F" w:rsidRDefault="005F4023" w:rsidP="001A6242"/>
        </w:tc>
      </w:tr>
      <w:tr w:rsidR="00E12191" w:rsidRPr="00AE6B5F" w14:paraId="2D6D35C0" w14:textId="77777777" w:rsidTr="005F4023">
        <w:tc>
          <w:tcPr>
            <w:tcW w:w="1599" w:type="pct"/>
            <w:hideMark/>
          </w:tcPr>
          <w:p w14:paraId="4FB54590" w14:textId="77777777" w:rsidR="00E12191" w:rsidRPr="00AE6B5F" w:rsidRDefault="00E12191" w:rsidP="001A6242">
            <w:r w:rsidRPr="00AE6B5F">
              <w:t>Step 1</w:t>
            </w:r>
          </w:p>
        </w:tc>
        <w:tc>
          <w:tcPr>
            <w:tcW w:w="1744" w:type="pct"/>
          </w:tcPr>
          <w:p w14:paraId="783A96FA" w14:textId="77777777" w:rsidR="00E12191" w:rsidRPr="00AE6B5F" w:rsidRDefault="00E12191" w:rsidP="001A6242"/>
        </w:tc>
        <w:tc>
          <w:tcPr>
            <w:tcW w:w="465" w:type="pct"/>
          </w:tcPr>
          <w:p w14:paraId="7ABEE3B6" w14:textId="77777777" w:rsidR="00E12191" w:rsidRPr="00AE6B5F" w:rsidRDefault="00E12191" w:rsidP="001A6242"/>
        </w:tc>
        <w:tc>
          <w:tcPr>
            <w:tcW w:w="517" w:type="pct"/>
          </w:tcPr>
          <w:p w14:paraId="0832B6BB" w14:textId="77777777" w:rsidR="00E12191" w:rsidRPr="00AE6B5F" w:rsidRDefault="00E12191" w:rsidP="001A6242"/>
        </w:tc>
        <w:tc>
          <w:tcPr>
            <w:tcW w:w="675" w:type="pct"/>
          </w:tcPr>
          <w:p w14:paraId="1C98CFEB" w14:textId="77777777" w:rsidR="00E12191" w:rsidRPr="00AE6B5F" w:rsidRDefault="00E12191" w:rsidP="001A6242"/>
        </w:tc>
      </w:tr>
      <w:tr w:rsidR="00E12191" w:rsidRPr="00AE6B5F" w14:paraId="7E9A1D99" w14:textId="77777777" w:rsidTr="005F4023">
        <w:tc>
          <w:tcPr>
            <w:tcW w:w="1599" w:type="pct"/>
            <w:hideMark/>
          </w:tcPr>
          <w:p w14:paraId="51B3D640" w14:textId="77777777" w:rsidR="00E12191" w:rsidRPr="00AE6B5F" w:rsidRDefault="00E12191" w:rsidP="001A6242">
            <w:r w:rsidRPr="00AE6B5F">
              <w:t>Constant</w:t>
            </w:r>
          </w:p>
        </w:tc>
        <w:tc>
          <w:tcPr>
            <w:tcW w:w="1744" w:type="pct"/>
          </w:tcPr>
          <w:p w14:paraId="7B2F245F" w14:textId="77777777" w:rsidR="00E12191" w:rsidRPr="00AE6B5F" w:rsidRDefault="00E12191" w:rsidP="001A6242">
            <w:r w:rsidRPr="00AE6B5F">
              <w:t>1.548 (.817 to 2.273)</w:t>
            </w:r>
          </w:p>
        </w:tc>
        <w:tc>
          <w:tcPr>
            <w:tcW w:w="465" w:type="pct"/>
            <w:hideMark/>
          </w:tcPr>
          <w:p w14:paraId="5A934985" w14:textId="77777777" w:rsidR="00E12191" w:rsidRPr="00AE6B5F" w:rsidRDefault="00E12191" w:rsidP="001A6242">
            <w:r w:rsidRPr="00AE6B5F">
              <w:t>.363</w:t>
            </w:r>
          </w:p>
        </w:tc>
        <w:tc>
          <w:tcPr>
            <w:tcW w:w="517" w:type="pct"/>
          </w:tcPr>
          <w:p w14:paraId="5F785AA4" w14:textId="77777777" w:rsidR="00E12191" w:rsidRPr="00AE6B5F" w:rsidRDefault="00E12191" w:rsidP="001A6242"/>
        </w:tc>
        <w:tc>
          <w:tcPr>
            <w:tcW w:w="675" w:type="pct"/>
            <w:hideMark/>
          </w:tcPr>
          <w:p w14:paraId="273A31ED" w14:textId="77777777" w:rsidR="00E12191" w:rsidRPr="00AE6B5F" w:rsidRDefault="00E12191" w:rsidP="001A6242">
            <w:r w:rsidRPr="00AE6B5F">
              <w:rPr>
                <w:i/>
              </w:rPr>
              <w:t xml:space="preserve">p= </w:t>
            </w:r>
            <w:r w:rsidRPr="00AE6B5F">
              <w:t>.003</w:t>
            </w:r>
          </w:p>
        </w:tc>
      </w:tr>
      <w:tr w:rsidR="00E12191" w:rsidRPr="00AE6B5F" w14:paraId="4952EE64" w14:textId="77777777" w:rsidTr="005F4023">
        <w:trPr>
          <w:trHeight w:val="572"/>
        </w:trPr>
        <w:tc>
          <w:tcPr>
            <w:tcW w:w="1599" w:type="pct"/>
            <w:hideMark/>
          </w:tcPr>
          <w:p w14:paraId="796E61E0" w14:textId="77777777" w:rsidR="00E12191" w:rsidRPr="00AE6B5F" w:rsidRDefault="00E12191" w:rsidP="001A6242">
            <w:r w:rsidRPr="00AE6B5F">
              <w:t>Emotion recognition</w:t>
            </w:r>
          </w:p>
        </w:tc>
        <w:tc>
          <w:tcPr>
            <w:tcW w:w="1744" w:type="pct"/>
          </w:tcPr>
          <w:p w14:paraId="1AADD2C7" w14:textId="77777777" w:rsidR="00E12191" w:rsidRPr="00AE6B5F" w:rsidRDefault="00E12191" w:rsidP="001A6242">
            <w:r w:rsidRPr="00AE6B5F">
              <w:t>.006  (-.027 to .042)</w:t>
            </w:r>
          </w:p>
        </w:tc>
        <w:tc>
          <w:tcPr>
            <w:tcW w:w="465" w:type="pct"/>
            <w:hideMark/>
          </w:tcPr>
          <w:p w14:paraId="197BCE46" w14:textId="77777777" w:rsidR="00E12191" w:rsidRPr="00AE6B5F" w:rsidRDefault="00E12191" w:rsidP="001A6242">
            <w:r w:rsidRPr="00AE6B5F">
              <w:t>.018</w:t>
            </w:r>
          </w:p>
        </w:tc>
        <w:tc>
          <w:tcPr>
            <w:tcW w:w="517" w:type="pct"/>
            <w:hideMark/>
          </w:tcPr>
          <w:p w14:paraId="3DA50CD3" w14:textId="77777777" w:rsidR="00E12191" w:rsidRPr="00AE6B5F" w:rsidRDefault="00E12191" w:rsidP="001A6242">
            <w:r w:rsidRPr="00AE6B5F">
              <w:t>.038</w:t>
            </w:r>
          </w:p>
        </w:tc>
        <w:tc>
          <w:tcPr>
            <w:tcW w:w="675" w:type="pct"/>
            <w:hideMark/>
          </w:tcPr>
          <w:p w14:paraId="7FE9D9BC" w14:textId="77777777" w:rsidR="00E12191" w:rsidRPr="00AE6B5F" w:rsidRDefault="00E12191" w:rsidP="001A6242">
            <w:r w:rsidRPr="00AE6B5F">
              <w:rPr>
                <w:i/>
              </w:rPr>
              <w:t xml:space="preserve">p= </w:t>
            </w:r>
            <w:r w:rsidRPr="00AE6B5F">
              <w:t>.760</w:t>
            </w:r>
          </w:p>
        </w:tc>
      </w:tr>
      <w:tr w:rsidR="00E12191" w:rsidRPr="00AE6B5F" w14:paraId="6241303F" w14:textId="77777777" w:rsidTr="005F4023">
        <w:tc>
          <w:tcPr>
            <w:tcW w:w="1599" w:type="pct"/>
            <w:hideMark/>
          </w:tcPr>
          <w:p w14:paraId="0D905E27" w14:textId="77777777" w:rsidR="00E12191" w:rsidRPr="00AE6B5F" w:rsidRDefault="00E12191" w:rsidP="001A6242">
            <w:r w:rsidRPr="00AE6B5F">
              <w:t>Step 2</w:t>
            </w:r>
          </w:p>
        </w:tc>
        <w:tc>
          <w:tcPr>
            <w:tcW w:w="1744" w:type="pct"/>
          </w:tcPr>
          <w:p w14:paraId="7678C040" w14:textId="77777777" w:rsidR="00E12191" w:rsidRPr="00AE6B5F" w:rsidRDefault="00E12191" w:rsidP="001A6242"/>
        </w:tc>
        <w:tc>
          <w:tcPr>
            <w:tcW w:w="465" w:type="pct"/>
          </w:tcPr>
          <w:p w14:paraId="11745F66" w14:textId="77777777" w:rsidR="00E12191" w:rsidRPr="00AE6B5F" w:rsidRDefault="00E12191" w:rsidP="001A6242"/>
        </w:tc>
        <w:tc>
          <w:tcPr>
            <w:tcW w:w="517" w:type="pct"/>
          </w:tcPr>
          <w:p w14:paraId="387C812E" w14:textId="77777777" w:rsidR="00E12191" w:rsidRPr="00AE6B5F" w:rsidRDefault="00E12191" w:rsidP="001A6242"/>
        </w:tc>
        <w:tc>
          <w:tcPr>
            <w:tcW w:w="675" w:type="pct"/>
          </w:tcPr>
          <w:p w14:paraId="1B74933C" w14:textId="77777777" w:rsidR="00E12191" w:rsidRPr="00AE6B5F" w:rsidRDefault="00E12191" w:rsidP="001A6242"/>
        </w:tc>
      </w:tr>
      <w:tr w:rsidR="00E12191" w:rsidRPr="00AE6B5F" w14:paraId="6981C8B5" w14:textId="77777777" w:rsidTr="005F4023">
        <w:tc>
          <w:tcPr>
            <w:tcW w:w="1599" w:type="pct"/>
            <w:hideMark/>
          </w:tcPr>
          <w:p w14:paraId="79E4DDB7" w14:textId="77777777" w:rsidR="00E12191" w:rsidRPr="00AE6B5F" w:rsidRDefault="00E12191" w:rsidP="001A6242">
            <w:r w:rsidRPr="00AE6B5F">
              <w:t>Constant</w:t>
            </w:r>
          </w:p>
        </w:tc>
        <w:tc>
          <w:tcPr>
            <w:tcW w:w="1744" w:type="pct"/>
          </w:tcPr>
          <w:p w14:paraId="5C1AA6D8" w14:textId="77777777" w:rsidR="00E12191" w:rsidRPr="00AE6B5F" w:rsidRDefault="00E12191" w:rsidP="001A6242">
            <w:r w:rsidRPr="00AE6B5F">
              <w:t>1.674 (.554 to 2.899)</w:t>
            </w:r>
          </w:p>
        </w:tc>
        <w:tc>
          <w:tcPr>
            <w:tcW w:w="465" w:type="pct"/>
            <w:hideMark/>
          </w:tcPr>
          <w:p w14:paraId="057FA5EE" w14:textId="77777777" w:rsidR="00E12191" w:rsidRPr="00AE6B5F" w:rsidRDefault="00E12191" w:rsidP="001A6242">
            <w:r w:rsidRPr="00AE6B5F">
              <w:t>.589</w:t>
            </w:r>
          </w:p>
        </w:tc>
        <w:tc>
          <w:tcPr>
            <w:tcW w:w="517" w:type="pct"/>
          </w:tcPr>
          <w:p w14:paraId="0D0D5FCD" w14:textId="77777777" w:rsidR="00E12191" w:rsidRPr="00AE6B5F" w:rsidRDefault="00E12191" w:rsidP="001A6242"/>
        </w:tc>
        <w:tc>
          <w:tcPr>
            <w:tcW w:w="675" w:type="pct"/>
            <w:hideMark/>
          </w:tcPr>
          <w:p w14:paraId="5520E1C3" w14:textId="77777777" w:rsidR="00E12191" w:rsidRPr="00AE6B5F" w:rsidRDefault="00E12191" w:rsidP="001A6242">
            <w:r w:rsidRPr="00AE6B5F">
              <w:rPr>
                <w:i/>
              </w:rPr>
              <w:t xml:space="preserve">p= </w:t>
            </w:r>
            <w:r w:rsidRPr="00AE6B5F">
              <w:t>.035</w:t>
            </w:r>
          </w:p>
        </w:tc>
      </w:tr>
      <w:tr w:rsidR="00E12191" w:rsidRPr="00AE6B5F" w14:paraId="491FA19D" w14:textId="77777777" w:rsidTr="005F4023">
        <w:tc>
          <w:tcPr>
            <w:tcW w:w="1599" w:type="pct"/>
            <w:hideMark/>
          </w:tcPr>
          <w:p w14:paraId="32FDC3E9" w14:textId="77777777" w:rsidR="00E12191" w:rsidRPr="00AE6B5F" w:rsidRDefault="00E12191" w:rsidP="001A6242">
            <w:r w:rsidRPr="00AE6B5F">
              <w:t>Emotion recognition</w:t>
            </w:r>
          </w:p>
        </w:tc>
        <w:tc>
          <w:tcPr>
            <w:tcW w:w="1744" w:type="pct"/>
          </w:tcPr>
          <w:p w14:paraId="4C519AA9" w14:textId="77777777" w:rsidR="00E12191" w:rsidRPr="00AE6B5F" w:rsidRDefault="00E12191" w:rsidP="001A6242">
            <w:r w:rsidRPr="00AE6B5F">
              <w:t>.001 (-.047 to -.054)</w:t>
            </w:r>
          </w:p>
        </w:tc>
        <w:tc>
          <w:tcPr>
            <w:tcW w:w="465" w:type="pct"/>
            <w:hideMark/>
          </w:tcPr>
          <w:p w14:paraId="71A71723" w14:textId="77777777" w:rsidR="00E12191" w:rsidRPr="00AE6B5F" w:rsidRDefault="00E12191" w:rsidP="001A6242">
            <w:r w:rsidRPr="00AE6B5F">
              <w:t>.024</w:t>
            </w:r>
          </w:p>
        </w:tc>
        <w:tc>
          <w:tcPr>
            <w:tcW w:w="517" w:type="pct"/>
            <w:hideMark/>
          </w:tcPr>
          <w:p w14:paraId="322FA070" w14:textId="77777777" w:rsidR="00E12191" w:rsidRPr="00AE6B5F" w:rsidRDefault="00E12191" w:rsidP="001A6242">
            <w:r w:rsidRPr="00AE6B5F">
              <w:t>.007</w:t>
            </w:r>
          </w:p>
        </w:tc>
        <w:tc>
          <w:tcPr>
            <w:tcW w:w="675" w:type="pct"/>
            <w:hideMark/>
          </w:tcPr>
          <w:p w14:paraId="682AB2F0" w14:textId="77777777" w:rsidR="00E12191" w:rsidRPr="00AE6B5F" w:rsidRDefault="00E12191" w:rsidP="001A6242">
            <w:r w:rsidRPr="00AE6B5F">
              <w:rPr>
                <w:i/>
              </w:rPr>
              <w:t xml:space="preserve">p= </w:t>
            </w:r>
            <w:r w:rsidRPr="00AE6B5F">
              <w:t>.956</w:t>
            </w:r>
          </w:p>
        </w:tc>
      </w:tr>
      <w:tr w:rsidR="00E12191" w:rsidRPr="00AE6B5F" w14:paraId="7D3D4B79" w14:textId="77777777" w:rsidTr="005F4023">
        <w:tc>
          <w:tcPr>
            <w:tcW w:w="1599" w:type="pct"/>
            <w:hideMark/>
          </w:tcPr>
          <w:p w14:paraId="5D87EA9C" w14:textId="77777777" w:rsidR="00E12191" w:rsidRPr="00AE6B5F" w:rsidRDefault="00E12191" w:rsidP="001A6242">
            <w:r w:rsidRPr="00AE6B5F">
              <w:t>TASIT part 2</w:t>
            </w:r>
          </w:p>
        </w:tc>
        <w:tc>
          <w:tcPr>
            <w:tcW w:w="1744" w:type="pct"/>
          </w:tcPr>
          <w:p w14:paraId="42405610" w14:textId="77777777" w:rsidR="00E12191" w:rsidRPr="00AE6B5F" w:rsidRDefault="00E12191" w:rsidP="001A6242">
            <w:r w:rsidRPr="00AE6B5F">
              <w:t>-.039 (.100 to .012)</w:t>
            </w:r>
          </w:p>
        </w:tc>
        <w:tc>
          <w:tcPr>
            <w:tcW w:w="465" w:type="pct"/>
            <w:hideMark/>
          </w:tcPr>
          <w:p w14:paraId="3932732A" w14:textId="77777777" w:rsidR="00E12191" w:rsidRPr="00AE6B5F" w:rsidRDefault="00E12191" w:rsidP="001A6242">
            <w:r w:rsidRPr="00AE6B5F">
              <w:t>.024</w:t>
            </w:r>
          </w:p>
        </w:tc>
        <w:tc>
          <w:tcPr>
            <w:tcW w:w="517" w:type="pct"/>
            <w:hideMark/>
          </w:tcPr>
          <w:p w14:paraId="5F78D372" w14:textId="77777777" w:rsidR="00E12191" w:rsidRPr="00AE6B5F" w:rsidRDefault="00E12191" w:rsidP="001A6242">
            <w:r w:rsidRPr="00AE6B5F">
              <w:t>-.586</w:t>
            </w:r>
          </w:p>
        </w:tc>
        <w:tc>
          <w:tcPr>
            <w:tcW w:w="675" w:type="pct"/>
            <w:hideMark/>
          </w:tcPr>
          <w:p w14:paraId="3954974E" w14:textId="77777777" w:rsidR="00E12191" w:rsidRPr="00AE6B5F" w:rsidRDefault="00E12191" w:rsidP="001A6242">
            <w:r w:rsidRPr="00AE6B5F">
              <w:rPr>
                <w:i/>
              </w:rPr>
              <w:t>p=</w:t>
            </w:r>
            <w:r w:rsidRPr="00AE6B5F">
              <w:t>.129</w:t>
            </w:r>
          </w:p>
        </w:tc>
      </w:tr>
      <w:tr w:rsidR="00E12191" w:rsidRPr="00AE6B5F" w14:paraId="533ADC08" w14:textId="77777777" w:rsidTr="005F4023">
        <w:tc>
          <w:tcPr>
            <w:tcW w:w="1599" w:type="pct"/>
            <w:hideMark/>
          </w:tcPr>
          <w:p w14:paraId="33854D61" w14:textId="77777777" w:rsidR="00E12191" w:rsidRPr="00AE6B5F" w:rsidRDefault="00E12191" w:rsidP="001A6242">
            <w:r w:rsidRPr="00AE6B5F">
              <w:t>TASIT part 3</w:t>
            </w:r>
          </w:p>
        </w:tc>
        <w:tc>
          <w:tcPr>
            <w:tcW w:w="1744" w:type="pct"/>
            <w:hideMark/>
          </w:tcPr>
          <w:p w14:paraId="1BF655C9" w14:textId="77777777" w:rsidR="00E12191" w:rsidRPr="00AE6B5F" w:rsidRDefault="00E12191" w:rsidP="001A6242">
            <w:r w:rsidRPr="00AE6B5F">
              <w:t>.037 (-.005 to .105)</w:t>
            </w:r>
          </w:p>
        </w:tc>
        <w:tc>
          <w:tcPr>
            <w:tcW w:w="465" w:type="pct"/>
            <w:hideMark/>
          </w:tcPr>
          <w:p w14:paraId="5445C7CD" w14:textId="77777777" w:rsidR="00E12191" w:rsidRPr="00AE6B5F" w:rsidRDefault="00E12191" w:rsidP="001A6242">
            <w:r w:rsidRPr="00AE6B5F">
              <w:t>.026</w:t>
            </w:r>
          </w:p>
        </w:tc>
        <w:tc>
          <w:tcPr>
            <w:tcW w:w="517" w:type="pct"/>
            <w:hideMark/>
          </w:tcPr>
          <w:p w14:paraId="140EDDC4" w14:textId="77777777" w:rsidR="00E12191" w:rsidRPr="00AE6B5F" w:rsidRDefault="00E12191" w:rsidP="001A6242">
            <w:r w:rsidRPr="00AE6B5F">
              <w:t>.424</w:t>
            </w:r>
          </w:p>
        </w:tc>
        <w:tc>
          <w:tcPr>
            <w:tcW w:w="675" w:type="pct"/>
            <w:hideMark/>
          </w:tcPr>
          <w:p w14:paraId="195E56F6" w14:textId="77777777" w:rsidR="00E12191" w:rsidRPr="00AE6B5F" w:rsidRDefault="00E12191" w:rsidP="001A6242">
            <w:r w:rsidRPr="00AE6B5F">
              <w:rPr>
                <w:i/>
              </w:rPr>
              <w:t>p=</w:t>
            </w:r>
            <w:r w:rsidRPr="00AE6B5F">
              <w:t>.158</w:t>
            </w:r>
          </w:p>
        </w:tc>
      </w:tr>
      <w:tr w:rsidR="005F4023" w:rsidRPr="00AE6B5F" w14:paraId="491CD686" w14:textId="77777777" w:rsidTr="005F4023">
        <w:tc>
          <w:tcPr>
            <w:tcW w:w="1599" w:type="pct"/>
          </w:tcPr>
          <w:p w14:paraId="1417EF62" w14:textId="77777777" w:rsidR="005F4023" w:rsidRPr="00AE6B5F" w:rsidRDefault="005F4023" w:rsidP="001A6242"/>
        </w:tc>
        <w:tc>
          <w:tcPr>
            <w:tcW w:w="1744" w:type="pct"/>
          </w:tcPr>
          <w:p w14:paraId="75473939" w14:textId="77777777" w:rsidR="005F4023" w:rsidRPr="00AE6B5F" w:rsidRDefault="005F4023" w:rsidP="001A6242"/>
        </w:tc>
        <w:tc>
          <w:tcPr>
            <w:tcW w:w="465" w:type="pct"/>
          </w:tcPr>
          <w:p w14:paraId="486B2981" w14:textId="77777777" w:rsidR="005F4023" w:rsidRPr="00AE6B5F" w:rsidRDefault="005F4023" w:rsidP="001A6242"/>
        </w:tc>
        <w:tc>
          <w:tcPr>
            <w:tcW w:w="517" w:type="pct"/>
          </w:tcPr>
          <w:p w14:paraId="522425FC" w14:textId="77777777" w:rsidR="005F4023" w:rsidRPr="00AE6B5F" w:rsidRDefault="005F4023" w:rsidP="001A6242"/>
        </w:tc>
        <w:tc>
          <w:tcPr>
            <w:tcW w:w="675" w:type="pct"/>
          </w:tcPr>
          <w:p w14:paraId="4FD21282" w14:textId="77777777" w:rsidR="005F4023" w:rsidRPr="00AE6B5F" w:rsidRDefault="005F4023" w:rsidP="001A6242">
            <w:pPr>
              <w:rPr>
                <w:i/>
              </w:rPr>
            </w:pPr>
          </w:p>
        </w:tc>
      </w:tr>
    </w:tbl>
    <w:p w14:paraId="725EAF97" w14:textId="77777777" w:rsidR="00E12191" w:rsidRPr="00AE6B5F" w:rsidRDefault="00E12191" w:rsidP="00E12191">
      <w:pPr>
        <w:jc w:val="both"/>
      </w:pPr>
      <w:r w:rsidRPr="00AE6B5F">
        <w:t>Note. R</w:t>
      </w:r>
      <w:r w:rsidRPr="00AE6B5F">
        <w:rPr>
          <w:vertAlign w:val="superscript"/>
        </w:rPr>
        <w:t>2</w:t>
      </w:r>
      <w:r w:rsidRPr="00AE6B5F">
        <w:t xml:space="preserve"> = .001 for step 1; ^R</w:t>
      </w:r>
      <w:r w:rsidRPr="00AE6B5F">
        <w:rPr>
          <w:vertAlign w:val="superscript"/>
        </w:rPr>
        <w:t xml:space="preserve">2 </w:t>
      </w:r>
      <w:r w:rsidRPr="00AE6B5F">
        <w:t>=</w:t>
      </w:r>
      <w:r w:rsidRPr="00AE6B5F">
        <w:rPr>
          <w:vertAlign w:val="superscript"/>
        </w:rPr>
        <w:t xml:space="preserve"> </w:t>
      </w:r>
      <w:r w:rsidRPr="00AE6B5F">
        <w:t>.201 (</w:t>
      </w:r>
      <w:r w:rsidRPr="00AE6B5F">
        <w:rPr>
          <w:i/>
        </w:rPr>
        <w:t>p</w:t>
      </w:r>
      <w:r w:rsidRPr="00AE6B5F">
        <w:t>=.076)</w:t>
      </w:r>
    </w:p>
    <w:p w14:paraId="358316B0" w14:textId="77777777" w:rsidR="00E12191" w:rsidRPr="00AE6B5F" w:rsidRDefault="00E12191" w:rsidP="00E12191">
      <w:pPr>
        <w:jc w:val="both"/>
        <w:rPr>
          <w:b/>
        </w:rPr>
      </w:pPr>
    </w:p>
    <w:p w14:paraId="010A27E5" w14:textId="77777777" w:rsidR="00E12191" w:rsidRPr="00AE6B5F" w:rsidRDefault="00E12191" w:rsidP="00E12191">
      <w:pPr>
        <w:jc w:val="both"/>
        <w:rPr>
          <w:b/>
        </w:rPr>
      </w:pPr>
    </w:p>
    <w:p w14:paraId="7DA93A61" w14:textId="77777777" w:rsidR="00E12191" w:rsidRPr="00AE6B5F" w:rsidRDefault="00E12191" w:rsidP="00E12191">
      <w:pPr>
        <w:jc w:val="both"/>
        <w:rPr>
          <w:b/>
        </w:rPr>
      </w:pPr>
      <w:r w:rsidRPr="00AE6B5F">
        <w:rPr>
          <w:b/>
        </w:rPr>
        <w:t>Table 8.</w:t>
      </w:r>
      <w:r w:rsidRPr="00AE6B5F">
        <w:rPr>
          <w:b/>
          <w:i/>
        </w:rPr>
        <w:t xml:space="preserve"> </w:t>
      </w:r>
      <w:r w:rsidRPr="00AE6B5F">
        <w:rPr>
          <w:b/>
        </w:rPr>
        <w:t>Linear model of predictors of blaming bias, with 95% bias corrected and accelerated confidence intervals reported in parentheses. Confidence intervals and standard errors based on 1000 bootstrap samples.</w:t>
      </w:r>
    </w:p>
    <w:p w14:paraId="6031924D" w14:textId="77777777" w:rsidR="005F4023" w:rsidRPr="00AE6B5F" w:rsidRDefault="005F4023" w:rsidP="00E12191">
      <w:pPr>
        <w:jc w:val="both"/>
        <w:rPr>
          <w:b/>
          <w:i/>
        </w:rPr>
      </w:pPr>
    </w:p>
    <w:tbl>
      <w:tblPr>
        <w:tblStyle w:val="TableGrid"/>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3148"/>
        <w:gridCol w:w="839"/>
        <w:gridCol w:w="933"/>
        <w:gridCol w:w="1219"/>
      </w:tblGrid>
      <w:tr w:rsidR="00E12191" w:rsidRPr="00AE6B5F" w14:paraId="5AB2F5EF" w14:textId="77777777" w:rsidTr="005F4023">
        <w:trPr>
          <w:trHeight w:val="697"/>
        </w:trPr>
        <w:tc>
          <w:tcPr>
            <w:tcW w:w="1599" w:type="pct"/>
            <w:tcBorders>
              <w:top w:val="single" w:sz="18" w:space="0" w:color="auto"/>
              <w:bottom w:val="single" w:sz="8" w:space="0" w:color="auto"/>
            </w:tcBorders>
            <w:vAlign w:val="center"/>
          </w:tcPr>
          <w:p w14:paraId="68C66B1D" w14:textId="77777777" w:rsidR="00E12191" w:rsidRPr="00AE6B5F" w:rsidRDefault="00E12191" w:rsidP="005F4023">
            <w:pPr>
              <w:jc w:val="center"/>
            </w:pPr>
          </w:p>
        </w:tc>
        <w:tc>
          <w:tcPr>
            <w:tcW w:w="1744" w:type="pct"/>
            <w:tcBorders>
              <w:top w:val="single" w:sz="18" w:space="0" w:color="auto"/>
              <w:bottom w:val="single" w:sz="8" w:space="0" w:color="auto"/>
            </w:tcBorders>
            <w:vAlign w:val="center"/>
            <w:hideMark/>
          </w:tcPr>
          <w:p w14:paraId="1F081AE4" w14:textId="77777777" w:rsidR="00E12191" w:rsidRPr="00AE6B5F" w:rsidRDefault="00E12191" w:rsidP="005F4023">
            <w:pPr>
              <w:jc w:val="center"/>
              <w:rPr>
                <w:i/>
              </w:rPr>
            </w:pPr>
            <w:r w:rsidRPr="00AE6B5F">
              <w:rPr>
                <w:i/>
              </w:rPr>
              <w:t>B</w:t>
            </w:r>
          </w:p>
        </w:tc>
        <w:tc>
          <w:tcPr>
            <w:tcW w:w="465" w:type="pct"/>
            <w:tcBorders>
              <w:top w:val="single" w:sz="18" w:space="0" w:color="auto"/>
              <w:bottom w:val="single" w:sz="8" w:space="0" w:color="auto"/>
            </w:tcBorders>
            <w:vAlign w:val="center"/>
            <w:hideMark/>
          </w:tcPr>
          <w:p w14:paraId="14FC7120" w14:textId="77777777" w:rsidR="00E12191" w:rsidRPr="00AE6B5F" w:rsidRDefault="00E12191" w:rsidP="005F4023">
            <w:pPr>
              <w:jc w:val="center"/>
            </w:pPr>
            <w:r w:rsidRPr="00AE6B5F">
              <w:t>SE B</w:t>
            </w:r>
          </w:p>
        </w:tc>
        <w:tc>
          <w:tcPr>
            <w:tcW w:w="517" w:type="pct"/>
            <w:tcBorders>
              <w:top w:val="single" w:sz="18" w:space="0" w:color="auto"/>
              <w:bottom w:val="single" w:sz="8" w:space="0" w:color="auto"/>
            </w:tcBorders>
            <w:vAlign w:val="center"/>
            <w:hideMark/>
          </w:tcPr>
          <w:p w14:paraId="338C995D" w14:textId="77777777" w:rsidR="00E12191" w:rsidRPr="00AE6B5F" w:rsidRDefault="00E12191" w:rsidP="005F4023">
            <w:pPr>
              <w:jc w:val="center"/>
            </w:pPr>
            <w:r w:rsidRPr="00AE6B5F">
              <w:t>Β</w:t>
            </w:r>
          </w:p>
        </w:tc>
        <w:tc>
          <w:tcPr>
            <w:tcW w:w="675" w:type="pct"/>
            <w:tcBorders>
              <w:top w:val="single" w:sz="18" w:space="0" w:color="auto"/>
              <w:bottom w:val="single" w:sz="8" w:space="0" w:color="auto"/>
            </w:tcBorders>
            <w:vAlign w:val="center"/>
            <w:hideMark/>
          </w:tcPr>
          <w:p w14:paraId="33E45C3A" w14:textId="77777777" w:rsidR="00E12191" w:rsidRPr="00AE6B5F" w:rsidRDefault="00E12191" w:rsidP="005F4023">
            <w:pPr>
              <w:jc w:val="center"/>
              <w:rPr>
                <w:i/>
              </w:rPr>
            </w:pPr>
            <w:r w:rsidRPr="00AE6B5F">
              <w:rPr>
                <w:i/>
              </w:rPr>
              <w:t>p</w:t>
            </w:r>
          </w:p>
        </w:tc>
      </w:tr>
      <w:tr w:rsidR="005F4023" w:rsidRPr="00AE6B5F" w14:paraId="22E9B2FF" w14:textId="77777777" w:rsidTr="005F4023">
        <w:tc>
          <w:tcPr>
            <w:tcW w:w="1599" w:type="pct"/>
            <w:tcBorders>
              <w:top w:val="single" w:sz="8" w:space="0" w:color="auto"/>
            </w:tcBorders>
          </w:tcPr>
          <w:p w14:paraId="1E91BC00" w14:textId="77777777" w:rsidR="005F4023" w:rsidRPr="00AE6B5F" w:rsidRDefault="005F4023" w:rsidP="001A6242"/>
        </w:tc>
        <w:tc>
          <w:tcPr>
            <w:tcW w:w="1744" w:type="pct"/>
            <w:tcBorders>
              <w:top w:val="single" w:sz="8" w:space="0" w:color="auto"/>
            </w:tcBorders>
          </w:tcPr>
          <w:p w14:paraId="57E60E3C" w14:textId="77777777" w:rsidR="005F4023" w:rsidRPr="00AE6B5F" w:rsidRDefault="005F4023" w:rsidP="001A6242"/>
        </w:tc>
        <w:tc>
          <w:tcPr>
            <w:tcW w:w="465" w:type="pct"/>
            <w:tcBorders>
              <w:top w:val="single" w:sz="8" w:space="0" w:color="auto"/>
            </w:tcBorders>
          </w:tcPr>
          <w:p w14:paraId="2FBD0384" w14:textId="77777777" w:rsidR="005F4023" w:rsidRPr="00AE6B5F" w:rsidRDefault="005F4023" w:rsidP="001A6242"/>
        </w:tc>
        <w:tc>
          <w:tcPr>
            <w:tcW w:w="517" w:type="pct"/>
            <w:tcBorders>
              <w:top w:val="single" w:sz="8" w:space="0" w:color="auto"/>
            </w:tcBorders>
          </w:tcPr>
          <w:p w14:paraId="013CB221" w14:textId="77777777" w:rsidR="005F4023" w:rsidRPr="00AE6B5F" w:rsidRDefault="005F4023" w:rsidP="001A6242"/>
        </w:tc>
        <w:tc>
          <w:tcPr>
            <w:tcW w:w="675" w:type="pct"/>
            <w:tcBorders>
              <w:top w:val="single" w:sz="8" w:space="0" w:color="auto"/>
            </w:tcBorders>
          </w:tcPr>
          <w:p w14:paraId="108A40EE" w14:textId="77777777" w:rsidR="005F4023" w:rsidRPr="00AE6B5F" w:rsidRDefault="005F4023" w:rsidP="001A6242"/>
        </w:tc>
      </w:tr>
      <w:tr w:rsidR="00E12191" w:rsidRPr="00AE6B5F" w14:paraId="7764A653" w14:textId="77777777" w:rsidTr="005F4023">
        <w:tc>
          <w:tcPr>
            <w:tcW w:w="1599" w:type="pct"/>
            <w:hideMark/>
          </w:tcPr>
          <w:p w14:paraId="7A849904" w14:textId="77777777" w:rsidR="00E12191" w:rsidRPr="00AE6B5F" w:rsidRDefault="00E12191" w:rsidP="001A6242">
            <w:r w:rsidRPr="00AE6B5F">
              <w:t>Step 1</w:t>
            </w:r>
          </w:p>
        </w:tc>
        <w:tc>
          <w:tcPr>
            <w:tcW w:w="1744" w:type="pct"/>
          </w:tcPr>
          <w:p w14:paraId="4BEF35BC" w14:textId="77777777" w:rsidR="00E12191" w:rsidRPr="00AE6B5F" w:rsidRDefault="00E12191" w:rsidP="001A6242"/>
        </w:tc>
        <w:tc>
          <w:tcPr>
            <w:tcW w:w="465" w:type="pct"/>
          </w:tcPr>
          <w:p w14:paraId="32ED5885" w14:textId="77777777" w:rsidR="00E12191" w:rsidRPr="00AE6B5F" w:rsidRDefault="00E12191" w:rsidP="001A6242"/>
        </w:tc>
        <w:tc>
          <w:tcPr>
            <w:tcW w:w="517" w:type="pct"/>
          </w:tcPr>
          <w:p w14:paraId="5669BD62" w14:textId="77777777" w:rsidR="00E12191" w:rsidRPr="00AE6B5F" w:rsidRDefault="00E12191" w:rsidP="001A6242"/>
        </w:tc>
        <w:tc>
          <w:tcPr>
            <w:tcW w:w="675" w:type="pct"/>
          </w:tcPr>
          <w:p w14:paraId="319334FD" w14:textId="77777777" w:rsidR="00E12191" w:rsidRPr="00AE6B5F" w:rsidRDefault="00E12191" w:rsidP="001A6242"/>
        </w:tc>
      </w:tr>
      <w:tr w:rsidR="00E12191" w:rsidRPr="00AE6B5F" w14:paraId="2B164EA2" w14:textId="77777777" w:rsidTr="005F4023">
        <w:tc>
          <w:tcPr>
            <w:tcW w:w="1599" w:type="pct"/>
            <w:hideMark/>
          </w:tcPr>
          <w:p w14:paraId="6B4DA4E0" w14:textId="77777777" w:rsidR="00E12191" w:rsidRPr="00AE6B5F" w:rsidRDefault="00E12191" w:rsidP="001A6242">
            <w:r w:rsidRPr="00AE6B5F">
              <w:t>Constant</w:t>
            </w:r>
          </w:p>
        </w:tc>
        <w:tc>
          <w:tcPr>
            <w:tcW w:w="1744" w:type="pct"/>
          </w:tcPr>
          <w:p w14:paraId="1CBB26C7" w14:textId="77777777" w:rsidR="00E12191" w:rsidRPr="00AE6B5F" w:rsidRDefault="00E12191" w:rsidP="001A6242">
            <w:r w:rsidRPr="00AE6B5F">
              <w:t>2.534 (.957  to 3.883)</w:t>
            </w:r>
          </w:p>
        </w:tc>
        <w:tc>
          <w:tcPr>
            <w:tcW w:w="465" w:type="pct"/>
          </w:tcPr>
          <w:p w14:paraId="52CB6E71" w14:textId="77777777" w:rsidR="00E12191" w:rsidRPr="00AE6B5F" w:rsidRDefault="00E12191" w:rsidP="001A6242">
            <w:r w:rsidRPr="00AE6B5F">
              <w:t>.763</w:t>
            </w:r>
          </w:p>
        </w:tc>
        <w:tc>
          <w:tcPr>
            <w:tcW w:w="517" w:type="pct"/>
          </w:tcPr>
          <w:p w14:paraId="6158D032" w14:textId="77777777" w:rsidR="00E12191" w:rsidRPr="00AE6B5F" w:rsidRDefault="00E12191" w:rsidP="001A6242"/>
        </w:tc>
        <w:tc>
          <w:tcPr>
            <w:tcW w:w="675" w:type="pct"/>
          </w:tcPr>
          <w:p w14:paraId="273804A1" w14:textId="77777777" w:rsidR="00E12191" w:rsidRPr="00AE6B5F" w:rsidRDefault="00E12191" w:rsidP="001A6242">
            <w:r w:rsidRPr="00AE6B5F">
              <w:rPr>
                <w:i/>
              </w:rPr>
              <w:t xml:space="preserve">p= </w:t>
            </w:r>
            <w:r w:rsidRPr="00AE6B5F">
              <w:t>.002</w:t>
            </w:r>
          </w:p>
        </w:tc>
      </w:tr>
      <w:tr w:rsidR="00E12191" w:rsidRPr="00AE6B5F" w14:paraId="6B48F700" w14:textId="77777777" w:rsidTr="005F4023">
        <w:trPr>
          <w:trHeight w:val="567"/>
        </w:trPr>
        <w:tc>
          <w:tcPr>
            <w:tcW w:w="1599" w:type="pct"/>
            <w:hideMark/>
          </w:tcPr>
          <w:p w14:paraId="11D374E5" w14:textId="77777777" w:rsidR="00E12191" w:rsidRPr="00AE6B5F" w:rsidRDefault="00E12191" w:rsidP="001A6242">
            <w:r w:rsidRPr="00AE6B5F">
              <w:t>Emotion Recognition</w:t>
            </w:r>
          </w:p>
        </w:tc>
        <w:tc>
          <w:tcPr>
            <w:tcW w:w="1744" w:type="pct"/>
          </w:tcPr>
          <w:p w14:paraId="78383913" w14:textId="77777777" w:rsidR="00E12191" w:rsidRPr="00AE6B5F" w:rsidRDefault="00E12191" w:rsidP="001A6242">
            <w:r w:rsidRPr="00AE6B5F">
              <w:t>-.021 (-.085 to .057)</w:t>
            </w:r>
          </w:p>
        </w:tc>
        <w:tc>
          <w:tcPr>
            <w:tcW w:w="465" w:type="pct"/>
          </w:tcPr>
          <w:p w14:paraId="1FF27D79" w14:textId="77777777" w:rsidR="00E12191" w:rsidRPr="00AE6B5F" w:rsidRDefault="00E12191" w:rsidP="001A6242">
            <w:r w:rsidRPr="00AE6B5F">
              <w:t>.036</w:t>
            </w:r>
          </w:p>
        </w:tc>
        <w:tc>
          <w:tcPr>
            <w:tcW w:w="517" w:type="pct"/>
          </w:tcPr>
          <w:p w14:paraId="34C45044" w14:textId="77777777" w:rsidR="00E12191" w:rsidRPr="00AE6B5F" w:rsidRDefault="00E12191" w:rsidP="001A6242">
            <w:r w:rsidRPr="00AE6B5F">
              <w:t>-.104</w:t>
            </w:r>
          </w:p>
        </w:tc>
        <w:tc>
          <w:tcPr>
            <w:tcW w:w="675" w:type="pct"/>
          </w:tcPr>
          <w:p w14:paraId="6A481B37" w14:textId="77777777" w:rsidR="00E12191" w:rsidRPr="00AE6B5F" w:rsidRDefault="00E12191" w:rsidP="001A6242">
            <w:r w:rsidRPr="00AE6B5F">
              <w:rPr>
                <w:i/>
              </w:rPr>
              <w:t xml:space="preserve">p= </w:t>
            </w:r>
            <w:r w:rsidRPr="00AE6B5F">
              <w:t>.582</w:t>
            </w:r>
          </w:p>
        </w:tc>
      </w:tr>
      <w:tr w:rsidR="00E12191" w:rsidRPr="00AE6B5F" w14:paraId="0B5A02DC" w14:textId="77777777" w:rsidTr="005F4023">
        <w:tc>
          <w:tcPr>
            <w:tcW w:w="1599" w:type="pct"/>
            <w:hideMark/>
          </w:tcPr>
          <w:p w14:paraId="6938BC06" w14:textId="77777777" w:rsidR="00E12191" w:rsidRPr="00AE6B5F" w:rsidRDefault="00E12191" w:rsidP="001A6242">
            <w:r w:rsidRPr="00AE6B5F">
              <w:t>Step 2</w:t>
            </w:r>
          </w:p>
        </w:tc>
        <w:tc>
          <w:tcPr>
            <w:tcW w:w="1744" w:type="pct"/>
          </w:tcPr>
          <w:p w14:paraId="40922A4A" w14:textId="77777777" w:rsidR="00E12191" w:rsidRPr="00AE6B5F" w:rsidRDefault="00E12191" w:rsidP="001A6242"/>
        </w:tc>
        <w:tc>
          <w:tcPr>
            <w:tcW w:w="465" w:type="pct"/>
          </w:tcPr>
          <w:p w14:paraId="426D393E" w14:textId="77777777" w:rsidR="00E12191" w:rsidRPr="00AE6B5F" w:rsidRDefault="00E12191" w:rsidP="001A6242"/>
        </w:tc>
        <w:tc>
          <w:tcPr>
            <w:tcW w:w="517" w:type="pct"/>
          </w:tcPr>
          <w:p w14:paraId="7339C9A0" w14:textId="77777777" w:rsidR="00E12191" w:rsidRPr="00AE6B5F" w:rsidRDefault="00E12191" w:rsidP="001A6242"/>
        </w:tc>
        <w:tc>
          <w:tcPr>
            <w:tcW w:w="675" w:type="pct"/>
          </w:tcPr>
          <w:p w14:paraId="0AF8F19E" w14:textId="77777777" w:rsidR="00E12191" w:rsidRPr="00AE6B5F" w:rsidRDefault="00E12191" w:rsidP="001A6242"/>
        </w:tc>
      </w:tr>
      <w:tr w:rsidR="00E12191" w:rsidRPr="00AE6B5F" w14:paraId="0CF64E51" w14:textId="77777777" w:rsidTr="005F4023">
        <w:tc>
          <w:tcPr>
            <w:tcW w:w="1599" w:type="pct"/>
            <w:hideMark/>
          </w:tcPr>
          <w:p w14:paraId="172C57D7" w14:textId="77777777" w:rsidR="00E12191" w:rsidRPr="00AE6B5F" w:rsidRDefault="00E12191" w:rsidP="001A6242">
            <w:r w:rsidRPr="00AE6B5F">
              <w:t>Constant</w:t>
            </w:r>
          </w:p>
        </w:tc>
        <w:tc>
          <w:tcPr>
            <w:tcW w:w="1744" w:type="pct"/>
          </w:tcPr>
          <w:p w14:paraId="1B328323" w14:textId="77777777" w:rsidR="00E12191" w:rsidRPr="00AE6B5F" w:rsidRDefault="00E12191" w:rsidP="001A6242">
            <w:r w:rsidRPr="00AE6B5F">
              <w:t>3.116 (1.313 to 4.999)</w:t>
            </w:r>
          </w:p>
        </w:tc>
        <w:tc>
          <w:tcPr>
            <w:tcW w:w="465" w:type="pct"/>
          </w:tcPr>
          <w:p w14:paraId="7BDD99BF" w14:textId="77777777" w:rsidR="00E12191" w:rsidRPr="00AE6B5F" w:rsidRDefault="00E12191" w:rsidP="001A6242">
            <w:r w:rsidRPr="00AE6B5F">
              <w:t>.910</w:t>
            </w:r>
          </w:p>
        </w:tc>
        <w:tc>
          <w:tcPr>
            <w:tcW w:w="517" w:type="pct"/>
          </w:tcPr>
          <w:p w14:paraId="7F6031E3" w14:textId="77777777" w:rsidR="00E12191" w:rsidRPr="00AE6B5F" w:rsidRDefault="00E12191" w:rsidP="001A6242"/>
        </w:tc>
        <w:tc>
          <w:tcPr>
            <w:tcW w:w="675" w:type="pct"/>
          </w:tcPr>
          <w:p w14:paraId="2866DB42" w14:textId="77777777" w:rsidR="00E12191" w:rsidRPr="00AE6B5F" w:rsidRDefault="00E12191" w:rsidP="001A6242">
            <w:r w:rsidRPr="00AE6B5F">
              <w:rPr>
                <w:i/>
              </w:rPr>
              <w:t xml:space="preserve">p= </w:t>
            </w:r>
            <w:r w:rsidRPr="00AE6B5F">
              <w:t>.006</w:t>
            </w:r>
          </w:p>
        </w:tc>
      </w:tr>
      <w:tr w:rsidR="00E12191" w:rsidRPr="00AE6B5F" w14:paraId="207E5BE6" w14:textId="77777777" w:rsidTr="005F4023">
        <w:tc>
          <w:tcPr>
            <w:tcW w:w="1599" w:type="pct"/>
            <w:hideMark/>
          </w:tcPr>
          <w:p w14:paraId="60273D02" w14:textId="77777777" w:rsidR="00E12191" w:rsidRPr="00AE6B5F" w:rsidRDefault="00E12191" w:rsidP="001A6242">
            <w:r w:rsidRPr="00AE6B5F">
              <w:t>Emotion Recognition</w:t>
            </w:r>
          </w:p>
        </w:tc>
        <w:tc>
          <w:tcPr>
            <w:tcW w:w="1744" w:type="pct"/>
          </w:tcPr>
          <w:p w14:paraId="5C5C6FC9" w14:textId="77777777" w:rsidR="00E12191" w:rsidRPr="00AE6B5F" w:rsidRDefault="00E12191" w:rsidP="001A6242">
            <w:r w:rsidRPr="00AE6B5F">
              <w:t>-.018 (-.081 to .094)</w:t>
            </w:r>
          </w:p>
        </w:tc>
        <w:tc>
          <w:tcPr>
            <w:tcW w:w="465" w:type="pct"/>
          </w:tcPr>
          <w:p w14:paraId="613947BC" w14:textId="77777777" w:rsidR="00E12191" w:rsidRPr="00AE6B5F" w:rsidRDefault="00E12191" w:rsidP="001A6242">
            <w:r w:rsidRPr="00AE6B5F">
              <w:t>.044</w:t>
            </w:r>
          </w:p>
        </w:tc>
        <w:tc>
          <w:tcPr>
            <w:tcW w:w="517" w:type="pct"/>
          </w:tcPr>
          <w:p w14:paraId="6D81EFB4" w14:textId="77777777" w:rsidR="00E12191" w:rsidRPr="00AE6B5F" w:rsidRDefault="00E12191" w:rsidP="001A6242">
            <w:r w:rsidRPr="00AE6B5F">
              <w:t>-.090</w:t>
            </w:r>
          </w:p>
        </w:tc>
        <w:tc>
          <w:tcPr>
            <w:tcW w:w="675" w:type="pct"/>
          </w:tcPr>
          <w:p w14:paraId="2CD5C8A0" w14:textId="77777777" w:rsidR="00E12191" w:rsidRPr="00AE6B5F" w:rsidRDefault="00E12191" w:rsidP="001A6242">
            <w:r w:rsidRPr="00AE6B5F">
              <w:rPr>
                <w:i/>
              </w:rPr>
              <w:t xml:space="preserve">p= </w:t>
            </w:r>
            <w:r w:rsidRPr="00AE6B5F">
              <w:t>.637</w:t>
            </w:r>
          </w:p>
        </w:tc>
      </w:tr>
      <w:tr w:rsidR="00E12191" w:rsidRPr="00AE6B5F" w14:paraId="11879143" w14:textId="77777777" w:rsidTr="005F4023">
        <w:tc>
          <w:tcPr>
            <w:tcW w:w="1599" w:type="pct"/>
            <w:hideMark/>
          </w:tcPr>
          <w:p w14:paraId="2A983BC1" w14:textId="77777777" w:rsidR="00E12191" w:rsidRPr="00AE6B5F" w:rsidRDefault="00E12191" w:rsidP="001A6242">
            <w:r w:rsidRPr="00AE6B5F">
              <w:t>TASIT part 2</w:t>
            </w:r>
          </w:p>
        </w:tc>
        <w:tc>
          <w:tcPr>
            <w:tcW w:w="1744" w:type="pct"/>
          </w:tcPr>
          <w:p w14:paraId="2D39339B" w14:textId="77777777" w:rsidR="00E12191" w:rsidRPr="00AE6B5F" w:rsidRDefault="00E12191" w:rsidP="001A6242">
            <w:r w:rsidRPr="00AE6B5F">
              <w:t>-.035 (-.103 to .008)</w:t>
            </w:r>
          </w:p>
        </w:tc>
        <w:tc>
          <w:tcPr>
            <w:tcW w:w="465" w:type="pct"/>
          </w:tcPr>
          <w:p w14:paraId="067D88A5" w14:textId="77777777" w:rsidR="00E12191" w:rsidRPr="00AE6B5F" w:rsidRDefault="00E12191" w:rsidP="001A6242">
            <w:r w:rsidRPr="00AE6B5F">
              <w:t>.030</w:t>
            </w:r>
          </w:p>
        </w:tc>
        <w:tc>
          <w:tcPr>
            <w:tcW w:w="517" w:type="pct"/>
          </w:tcPr>
          <w:p w14:paraId="18EFD26C" w14:textId="77777777" w:rsidR="00E12191" w:rsidRPr="00AE6B5F" w:rsidRDefault="00E12191" w:rsidP="001A6242">
            <w:r w:rsidRPr="00AE6B5F">
              <w:t>-.411</w:t>
            </w:r>
          </w:p>
        </w:tc>
        <w:tc>
          <w:tcPr>
            <w:tcW w:w="675" w:type="pct"/>
          </w:tcPr>
          <w:p w14:paraId="436840B7" w14:textId="77777777" w:rsidR="00E12191" w:rsidRPr="00AE6B5F" w:rsidRDefault="00E12191" w:rsidP="001A6242">
            <w:r w:rsidRPr="00AE6B5F">
              <w:rPr>
                <w:i/>
              </w:rPr>
              <w:t xml:space="preserve">p= </w:t>
            </w:r>
            <w:r w:rsidRPr="00AE6B5F">
              <w:t>.292</w:t>
            </w:r>
          </w:p>
        </w:tc>
      </w:tr>
      <w:tr w:rsidR="00E12191" w:rsidRPr="00AE6B5F" w14:paraId="51A43CAD" w14:textId="77777777" w:rsidTr="005F4023">
        <w:tc>
          <w:tcPr>
            <w:tcW w:w="1599" w:type="pct"/>
            <w:hideMark/>
          </w:tcPr>
          <w:p w14:paraId="18DC7695" w14:textId="77777777" w:rsidR="00E12191" w:rsidRPr="00AE6B5F" w:rsidRDefault="00E12191" w:rsidP="001A6242">
            <w:r w:rsidRPr="00AE6B5F">
              <w:t>TASIT part 3</w:t>
            </w:r>
          </w:p>
        </w:tc>
        <w:tc>
          <w:tcPr>
            <w:tcW w:w="1744" w:type="pct"/>
          </w:tcPr>
          <w:p w14:paraId="5CBDF14B" w14:textId="77777777" w:rsidR="00E12191" w:rsidRPr="00AE6B5F" w:rsidRDefault="00E12191" w:rsidP="001A6242">
            <w:r w:rsidRPr="00AE6B5F">
              <w:t>.019 (-.041 to .108)</w:t>
            </w:r>
          </w:p>
        </w:tc>
        <w:tc>
          <w:tcPr>
            <w:tcW w:w="465" w:type="pct"/>
          </w:tcPr>
          <w:p w14:paraId="7DDEA8CD" w14:textId="77777777" w:rsidR="00E12191" w:rsidRPr="00AE6B5F" w:rsidRDefault="00E12191" w:rsidP="001A6242">
            <w:r w:rsidRPr="00AE6B5F">
              <w:t>.039</w:t>
            </w:r>
          </w:p>
        </w:tc>
        <w:tc>
          <w:tcPr>
            <w:tcW w:w="517" w:type="pct"/>
          </w:tcPr>
          <w:p w14:paraId="61FEC984" w14:textId="77777777" w:rsidR="00E12191" w:rsidRPr="00AE6B5F" w:rsidRDefault="00E12191" w:rsidP="001A6242">
            <w:r w:rsidRPr="00AE6B5F">
              <w:t>.019</w:t>
            </w:r>
          </w:p>
        </w:tc>
        <w:tc>
          <w:tcPr>
            <w:tcW w:w="675" w:type="pct"/>
          </w:tcPr>
          <w:p w14:paraId="0685AF56" w14:textId="77777777" w:rsidR="00E12191" w:rsidRPr="00AE6B5F" w:rsidRDefault="00E12191" w:rsidP="001A6242">
            <w:r w:rsidRPr="00AE6B5F">
              <w:rPr>
                <w:i/>
              </w:rPr>
              <w:t xml:space="preserve">p= </w:t>
            </w:r>
            <w:r w:rsidRPr="00AE6B5F">
              <w:t>.647</w:t>
            </w:r>
          </w:p>
        </w:tc>
      </w:tr>
      <w:tr w:rsidR="005F4023" w:rsidRPr="00AE6B5F" w14:paraId="76DA824A" w14:textId="77777777" w:rsidTr="005F4023">
        <w:tc>
          <w:tcPr>
            <w:tcW w:w="1599" w:type="pct"/>
          </w:tcPr>
          <w:p w14:paraId="24B888CC" w14:textId="77777777" w:rsidR="005F4023" w:rsidRPr="00AE6B5F" w:rsidRDefault="005F4023" w:rsidP="001A6242"/>
        </w:tc>
        <w:tc>
          <w:tcPr>
            <w:tcW w:w="1744" w:type="pct"/>
          </w:tcPr>
          <w:p w14:paraId="5664CCAE" w14:textId="77777777" w:rsidR="005F4023" w:rsidRPr="00AE6B5F" w:rsidRDefault="005F4023" w:rsidP="001A6242"/>
        </w:tc>
        <w:tc>
          <w:tcPr>
            <w:tcW w:w="465" w:type="pct"/>
          </w:tcPr>
          <w:p w14:paraId="740D0F7E" w14:textId="77777777" w:rsidR="005F4023" w:rsidRPr="00AE6B5F" w:rsidRDefault="005F4023" w:rsidP="001A6242"/>
        </w:tc>
        <w:tc>
          <w:tcPr>
            <w:tcW w:w="517" w:type="pct"/>
          </w:tcPr>
          <w:p w14:paraId="34183E46" w14:textId="77777777" w:rsidR="005F4023" w:rsidRPr="00AE6B5F" w:rsidRDefault="005F4023" w:rsidP="001A6242"/>
        </w:tc>
        <w:tc>
          <w:tcPr>
            <w:tcW w:w="675" w:type="pct"/>
          </w:tcPr>
          <w:p w14:paraId="2119D3AE" w14:textId="77777777" w:rsidR="005F4023" w:rsidRPr="00AE6B5F" w:rsidRDefault="005F4023" w:rsidP="001A6242">
            <w:pPr>
              <w:rPr>
                <w:i/>
              </w:rPr>
            </w:pPr>
          </w:p>
        </w:tc>
      </w:tr>
    </w:tbl>
    <w:p w14:paraId="37C5470C" w14:textId="77777777" w:rsidR="00E12191" w:rsidRDefault="00E12191" w:rsidP="00E12191">
      <w:pPr>
        <w:jc w:val="both"/>
      </w:pPr>
      <w:r w:rsidRPr="00AE6B5F">
        <w:t>Note. R</w:t>
      </w:r>
      <w:r w:rsidRPr="00AE6B5F">
        <w:rPr>
          <w:vertAlign w:val="superscript"/>
        </w:rPr>
        <w:t>2</w:t>
      </w:r>
      <w:r w:rsidRPr="00AE6B5F">
        <w:t xml:space="preserve"> = .011 for step 1; ^R</w:t>
      </w:r>
      <w:r w:rsidRPr="00AE6B5F">
        <w:rPr>
          <w:vertAlign w:val="superscript"/>
        </w:rPr>
        <w:t xml:space="preserve">2 </w:t>
      </w:r>
      <w:r w:rsidRPr="00AE6B5F">
        <w:t>=</w:t>
      </w:r>
      <w:r w:rsidRPr="00AE6B5F">
        <w:rPr>
          <w:vertAlign w:val="superscript"/>
        </w:rPr>
        <w:t xml:space="preserve"> </w:t>
      </w:r>
      <w:r w:rsidRPr="00AE6B5F">
        <w:t>.107 (</w:t>
      </w:r>
      <w:r w:rsidRPr="00AE6B5F">
        <w:rPr>
          <w:i/>
        </w:rPr>
        <w:t>p</w:t>
      </w:r>
      <w:r w:rsidRPr="00AE6B5F">
        <w:t>=.268)</w:t>
      </w:r>
    </w:p>
    <w:p w14:paraId="26435C12" w14:textId="77777777" w:rsidR="00E12191" w:rsidRPr="005F4023" w:rsidRDefault="00E12191" w:rsidP="000133A6">
      <w:pPr>
        <w:rPr>
          <w:b/>
        </w:rPr>
      </w:pPr>
    </w:p>
    <w:sectPr w:rsidR="00E12191" w:rsidRPr="005F40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6DAB" w14:textId="77777777" w:rsidR="00ED5E48" w:rsidRDefault="00ED5E48" w:rsidP="000133A6">
      <w:r>
        <w:separator/>
      </w:r>
    </w:p>
  </w:endnote>
  <w:endnote w:type="continuationSeparator" w:id="0">
    <w:p w14:paraId="623F2B79" w14:textId="77777777" w:rsidR="00ED5E48" w:rsidRDefault="00ED5E48" w:rsidP="0001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30838"/>
      <w:docPartObj>
        <w:docPartGallery w:val="Page Numbers (Bottom of Page)"/>
        <w:docPartUnique/>
      </w:docPartObj>
    </w:sdtPr>
    <w:sdtEndPr>
      <w:rPr>
        <w:noProof/>
      </w:rPr>
    </w:sdtEndPr>
    <w:sdtContent>
      <w:p w14:paraId="70DD1E3E" w14:textId="6129561D" w:rsidR="00F7421B" w:rsidRDefault="00F7421B">
        <w:pPr>
          <w:pStyle w:val="Footer"/>
          <w:jc w:val="right"/>
        </w:pPr>
        <w:r>
          <w:fldChar w:fldCharType="begin"/>
        </w:r>
        <w:r>
          <w:instrText xml:space="preserve"> PAGE   \* MERGEFORMAT </w:instrText>
        </w:r>
        <w:r>
          <w:fldChar w:fldCharType="separate"/>
        </w:r>
        <w:r w:rsidR="00E7366D">
          <w:rPr>
            <w:noProof/>
          </w:rPr>
          <w:t>1</w:t>
        </w:r>
        <w:r>
          <w:rPr>
            <w:noProof/>
          </w:rPr>
          <w:fldChar w:fldCharType="end"/>
        </w:r>
      </w:p>
    </w:sdtContent>
  </w:sdt>
  <w:p w14:paraId="6DDE3538" w14:textId="77777777" w:rsidR="00F7421B" w:rsidRDefault="00F74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9176" w14:textId="77777777" w:rsidR="00ED5E48" w:rsidRDefault="00ED5E48" w:rsidP="000133A6">
      <w:r>
        <w:separator/>
      </w:r>
    </w:p>
  </w:footnote>
  <w:footnote w:type="continuationSeparator" w:id="0">
    <w:p w14:paraId="45E38869" w14:textId="77777777" w:rsidR="00ED5E48" w:rsidRDefault="00ED5E48" w:rsidP="00013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1834" w14:textId="77777777" w:rsidR="00F7421B" w:rsidRPr="000133A6" w:rsidRDefault="00F7421B" w:rsidP="000133A6">
    <w:pPr>
      <w:pStyle w:val="Header"/>
      <w:jc w:val="right"/>
      <w:rPr>
        <w:sz w:val="22"/>
      </w:rPr>
    </w:pPr>
    <w:r>
      <w:rPr>
        <w:szCs w:val="32"/>
      </w:rPr>
      <w:t xml:space="preserve">Social cognition and </w:t>
    </w:r>
    <w:r w:rsidRPr="000133A6">
      <w:rPr>
        <w:szCs w:val="32"/>
      </w:rPr>
      <w:t xml:space="preserve">paranoia </w:t>
    </w:r>
    <w:r>
      <w:rPr>
        <w:szCs w:val="32"/>
      </w:rPr>
      <w:t>in forensic patients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252"/>
    <w:multiLevelType w:val="hybridMultilevel"/>
    <w:tmpl w:val="E7CE5C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F50405"/>
    <w:multiLevelType w:val="multilevel"/>
    <w:tmpl w:val="B2F8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656D7"/>
    <w:multiLevelType w:val="hybridMultilevel"/>
    <w:tmpl w:val="90882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F3C17"/>
    <w:multiLevelType w:val="multilevel"/>
    <w:tmpl w:val="159E9146"/>
    <w:styleLink w:val="List41"/>
    <w:lvl w:ilvl="0">
      <w:start w:val="1"/>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 w15:restartNumberingAfterBreak="0">
    <w:nsid w:val="13316D0E"/>
    <w:multiLevelType w:val="hybridMultilevel"/>
    <w:tmpl w:val="16DEADD6"/>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DF78DD"/>
    <w:multiLevelType w:val="hybridMultilevel"/>
    <w:tmpl w:val="0082EB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284875"/>
    <w:multiLevelType w:val="multilevel"/>
    <w:tmpl w:val="E57EC09A"/>
    <w:lvl w:ilvl="0">
      <w:start w:val="1"/>
      <w:numFmt w:val="decimal"/>
      <w:lvlText w:val="%1."/>
      <w:lvlJc w:val="left"/>
      <w:pPr>
        <w:tabs>
          <w:tab w:val="num" w:pos="644"/>
        </w:tabs>
        <w:ind w:left="644" w:hanging="360"/>
      </w:pPr>
      <w:rPr>
        <w:rFonts w:cs="Times New Roman"/>
        <w:i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9A037B1"/>
    <w:multiLevelType w:val="multilevel"/>
    <w:tmpl w:val="8472AA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6961BC"/>
    <w:multiLevelType w:val="multilevel"/>
    <w:tmpl w:val="66205FC2"/>
    <w:styleLink w:val="List31"/>
    <w:lvl w:ilvl="0">
      <w:start w:val="1"/>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9" w15:restartNumberingAfterBreak="0">
    <w:nsid w:val="245D321A"/>
    <w:multiLevelType w:val="hybridMultilevel"/>
    <w:tmpl w:val="563EED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4B60673"/>
    <w:multiLevelType w:val="multilevel"/>
    <w:tmpl w:val="1DF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F5195"/>
    <w:multiLevelType w:val="multilevel"/>
    <w:tmpl w:val="F42A716C"/>
    <w:styleLink w:val="List21"/>
    <w:lvl w:ilvl="0">
      <w:start w:val="1"/>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2" w15:restartNumberingAfterBreak="0">
    <w:nsid w:val="3CD32104"/>
    <w:multiLevelType w:val="multilevel"/>
    <w:tmpl w:val="B16CF0D2"/>
    <w:styleLink w:val="List1"/>
    <w:lvl w:ilvl="0">
      <w:start w:val="1"/>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3" w15:restartNumberingAfterBreak="0">
    <w:nsid w:val="42BE319C"/>
    <w:multiLevelType w:val="multilevel"/>
    <w:tmpl w:val="E48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C64DB"/>
    <w:multiLevelType w:val="hybridMultilevel"/>
    <w:tmpl w:val="E2F8C7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2F1184"/>
    <w:multiLevelType w:val="hybridMultilevel"/>
    <w:tmpl w:val="E2124C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F3BCE"/>
    <w:multiLevelType w:val="hybridMultilevel"/>
    <w:tmpl w:val="1EAC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92355"/>
    <w:multiLevelType w:val="hybridMultilevel"/>
    <w:tmpl w:val="6D20E1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AA4448"/>
    <w:multiLevelType w:val="hybridMultilevel"/>
    <w:tmpl w:val="DB004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307BFE"/>
    <w:multiLevelType w:val="hybridMultilevel"/>
    <w:tmpl w:val="20189FF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025CB"/>
    <w:multiLevelType w:val="hybridMultilevel"/>
    <w:tmpl w:val="1FB2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A2DD9"/>
    <w:multiLevelType w:val="hybridMultilevel"/>
    <w:tmpl w:val="7868CA2C"/>
    <w:lvl w:ilvl="0" w:tplc="15F0D950">
      <w:start w:val="4"/>
      <w:numFmt w:val="bullet"/>
      <w:lvlText w:val="-"/>
      <w:lvlJc w:val="left"/>
      <w:pPr>
        <w:ind w:left="405" w:hanging="360"/>
      </w:pPr>
      <w:rPr>
        <w:rFonts w:ascii="Times New Roman" w:eastAsia="Times New Roman" w:hAnsi="Times New Roman" w:cs="Times New Roman"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0939F8"/>
    <w:multiLevelType w:val="hybridMultilevel"/>
    <w:tmpl w:val="33FCDC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845061"/>
    <w:multiLevelType w:val="multilevel"/>
    <w:tmpl w:val="CDB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7"/>
  </w:num>
  <w:num w:numId="4">
    <w:abstractNumId w:val="18"/>
  </w:num>
  <w:num w:numId="5">
    <w:abstractNumId w:val="1"/>
  </w:num>
  <w:num w:numId="6">
    <w:abstractNumId w:val="23"/>
  </w:num>
  <w:num w:numId="7">
    <w:abstractNumId w:val="13"/>
  </w:num>
  <w:num w:numId="8">
    <w:abstractNumId w:val="10"/>
  </w:num>
  <w:num w:numId="9">
    <w:abstractNumId w:val="16"/>
  </w:num>
  <w:num w:numId="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21"/>
  </w:num>
  <w:num w:numId="14">
    <w:abstractNumId w:val="20"/>
  </w:num>
  <w:num w:numId="15">
    <w:abstractNumId w:val="19"/>
  </w:num>
  <w:num w:numId="16">
    <w:abstractNumId w:val="0"/>
  </w:num>
  <w:num w:numId="17">
    <w:abstractNumId w:val="14"/>
  </w:num>
  <w:num w:numId="18">
    <w:abstractNumId w:val="12"/>
  </w:num>
  <w:num w:numId="19">
    <w:abstractNumId w:val="11"/>
  </w:num>
  <w:num w:numId="20">
    <w:abstractNumId w:val="8"/>
  </w:num>
  <w:num w:numId="21">
    <w:abstractNumId w:val="3"/>
  </w:num>
  <w:num w:numId="22">
    <w:abstractNumId w:val="2"/>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76"/>
    <w:rsid w:val="000133A6"/>
    <w:rsid w:val="0003477D"/>
    <w:rsid w:val="0005123E"/>
    <w:rsid w:val="00072296"/>
    <w:rsid w:val="00080EC0"/>
    <w:rsid w:val="000858A5"/>
    <w:rsid w:val="00097702"/>
    <w:rsid w:val="000B6D33"/>
    <w:rsid w:val="000C6905"/>
    <w:rsid w:val="000C6931"/>
    <w:rsid w:val="000D69CB"/>
    <w:rsid w:val="000F042F"/>
    <w:rsid w:val="000F3DD4"/>
    <w:rsid w:val="00110F54"/>
    <w:rsid w:val="00131A33"/>
    <w:rsid w:val="00154DA9"/>
    <w:rsid w:val="00171913"/>
    <w:rsid w:val="00196B71"/>
    <w:rsid w:val="001A6242"/>
    <w:rsid w:val="001E0BA7"/>
    <w:rsid w:val="002244B6"/>
    <w:rsid w:val="0023355B"/>
    <w:rsid w:val="00235BD5"/>
    <w:rsid w:val="00245871"/>
    <w:rsid w:val="00271F36"/>
    <w:rsid w:val="002826CB"/>
    <w:rsid w:val="00292AB6"/>
    <w:rsid w:val="0029646B"/>
    <w:rsid w:val="00306E79"/>
    <w:rsid w:val="003077FE"/>
    <w:rsid w:val="00335C40"/>
    <w:rsid w:val="00346574"/>
    <w:rsid w:val="00363645"/>
    <w:rsid w:val="00365AC9"/>
    <w:rsid w:val="00367295"/>
    <w:rsid w:val="003C16F0"/>
    <w:rsid w:val="003E0C76"/>
    <w:rsid w:val="00400FAF"/>
    <w:rsid w:val="00404583"/>
    <w:rsid w:val="00417EB1"/>
    <w:rsid w:val="00424C61"/>
    <w:rsid w:val="00452FFD"/>
    <w:rsid w:val="0046377E"/>
    <w:rsid w:val="00487A8C"/>
    <w:rsid w:val="004C5829"/>
    <w:rsid w:val="004D6E9A"/>
    <w:rsid w:val="00526C21"/>
    <w:rsid w:val="00535005"/>
    <w:rsid w:val="00597812"/>
    <w:rsid w:val="00597BD0"/>
    <w:rsid w:val="005B1224"/>
    <w:rsid w:val="005C03C7"/>
    <w:rsid w:val="005D0662"/>
    <w:rsid w:val="005F4023"/>
    <w:rsid w:val="005F6A3A"/>
    <w:rsid w:val="00621C05"/>
    <w:rsid w:val="006252A2"/>
    <w:rsid w:val="0063027D"/>
    <w:rsid w:val="00642989"/>
    <w:rsid w:val="00643529"/>
    <w:rsid w:val="00653A93"/>
    <w:rsid w:val="00662F79"/>
    <w:rsid w:val="006909BA"/>
    <w:rsid w:val="006B6EB9"/>
    <w:rsid w:val="006E49F0"/>
    <w:rsid w:val="007220C2"/>
    <w:rsid w:val="007940A7"/>
    <w:rsid w:val="00796F4F"/>
    <w:rsid w:val="007B6192"/>
    <w:rsid w:val="007D2A00"/>
    <w:rsid w:val="007E558B"/>
    <w:rsid w:val="00806340"/>
    <w:rsid w:val="00821A93"/>
    <w:rsid w:val="008247D5"/>
    <w:rsid w:val="00846E91"/>
    <w:rsid w:val="00875517"/>
    <w:rsid w:val="008A2B24"/>
    <w:rsid w:val="008A4B83"/>
    <w:rsid w:val="008B3C8A"/>
    <w:rsid w:val="009132B5"/>
    <w:rsid w:val="00926D71"/>
    <w:rsid w:val="00971802"/>
    <w:rsid w:val="00982AC1"/>
    <w:rsid w:val="009C03C8"/>
    <w:rsid w:val="009C638C"/>
    <w:rsid w:val="009E4D95"/>
    <w:rsid w:val="00A02D98"/>
    <w:rsid w:val="00A042DE"/>
    <w:rsid w:val="00A25193"/>
    <w:rsid w:val="00A51F49"/>
    <w:rsid w:val="00A64216"/>
    <w:rsid w:val="00A94A88"/>
    <w:rsid w:val="00A94C58"/>
    <w:rsid w:val="00AA00DF"/>
    <w:rsid w:val="00AA0A1F"/>
    <w:rsid w:val="00AA2CBF"/>
    <w:rsid w:val="00AA5B24"/>
    <w:rsid w:val="00AE1DC2"/>
    <w:rsid w:val="00AE6B5F"/>
    <w:rsid w:val="00AF0151"/>
    <w:rsid w:val="00B8360A"/>
    <w:rsid w:val="00B84222"/>
    <w:rsid w:val="00B8787F"/>
    <w:rsid w:val="00B94739"/>
    <w:rsid w:val="00BB0654"/>
    <w:rsid w:val="00BC62ED"/>
    <w:rsid w:val="00BE2A18"/>
    <w:rsid w:val="00BE33CE"/>
    <w:rsid w:val="00BE5902"/>
    <w:rsid w:val="00BE61A4"/>
    <w:rsid w:val="00C21B70"/>
    <w:rsid w:val="00C72620"/>
    <w:rsid w:val="00C92659"/>
    <w:rsid w:val="00C96C8F"/>
    <w:rsid w:val="00CA7569"/>
    <w:rsid w:val="00CC709D"/>
    <w:rsid w:val="00CD2157"/>
    <w:rsid w:val="00CD5E09"/>
    <w:rsid w:val="00CD7F59"/>
    <w:rsid w:val="00CE6597"/>
    <w:rsid w:val="00CE73AF"/>
    <w:rsid w:val="00CF3DD7"/>
    <w:rsid w:val="00D14923"/>
    <w:rsid w:val="00D35617"/>
    <w:rsid w:val="00D743B5"/>
    <w:rsid w:val="00DA33F7"/>
    <w:rsid w:val="00DA73A2"/>
    <w:rsid w:val="00DB26CD"/>
    <w:rsid w:val="00DE11EB"/>
    <w:rsid w:val="00DF0FBC"/>
    <w:rsid w:val="00E071EE"/>
    <w:rsid w:val="00E12191"/>
    <w:rsid w:val="00E7366D"/>
    <w:rsid w:val="00EA76E4"/>
    <w:rsid w:val="00ED4EB9"/>
    <w:rsid w:val="00ED5E48"/>
    <w:rsid w:val="00EE776B"/>
    <w:rsid w:val="00F32AEA"/>
    <w:rsid w:val="00F4218D"/>
    <w:rsid w:val="00F606E4"/>
    <w:rsid w:val="00F7421B"/>
    <w:rsid w:val="00F75650"/>
    <w:rsid w:val="00F94C6A"/>
    <w:rsid w:val="00F972A0"/>
    <w:rsid w:val="00F97D20"/>
    <w:rsid w:val="00FA7424"/>
    <w:rsid w:val="00FD6CA5"/>
    <w:rsid w:val="00FF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2C53"/>
  <w15:chartTrackingRefBased/>
  <w15:docId w15:val="{A6BCE89F-0080-4B6A-97CB-B4F9D9C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7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E0C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E0C7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0C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0C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76"/>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3E0C7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3E0C76"/>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3E0C76"/>
    <w:rPr>
      <w:rFonts w:ascii="Times New Roman" w:eastAsia="Times New Roman" w:hAnsi="Times New Roman" w:cs="Times New Roman"/>
      <w:b/>
      <w:bCs/>
      <w:sz w:val="28"/>
      <w:szCs w:val="28"/>
      <w:lang w:eastAsia="en-GB"/>
    </w:rPr>
  </w:style>
  <w:style w:type="paragraph" w:styleId="Footer">
    <w:name w:val="footer"/>
    <w:basedOn w:val="Normal"/>
    <w:link w:val="FooterChar"/>
    <w:uiPriority w:val="99"/>
    <w:unhideWhenUsed/>
    <w:rsid w:val="003E0C76"/>
    <w:pPr>
      <w:tabs>
        <w:tab w:val="center" w:pos="4513"/>
        <w:tab w:val="right" w:pos="9026"/>
      </w:tabs>
    </w:pPr>
  </w:style>
  <w:style w:type="character" w:customStyle="1" w:styleId="FooterChar">
    <w:name w:val="Footer Char"/>
    <w:basedOn w:val="DefaultParagraphFont"/>
    <w:link w:val="Footer"/>
    <w:uiPriority w:val="99"/>
    <w:rsid w:val="003E0C76"/>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3E0C76"/>
    <w:rPr>
      <w:rFonts w:ascii="Tahoma" w:hAnsi="Tahoma" w:cs="Tahoma"/>
      <w:sz w:val="16"/>
      <w:szCs w:val="16"/>
    </w:rPr>
  </w:style>
  <w:style w:type="character" w:customStyle="1" w:styleId="BalloonTextChar">
    <w:name w:val="Balloon Text Char"/>
    <w:basedOn w:val="DefaultParagraphFont"/>
    <w:link w:val="BalloonText"/>
    <w:semiHidden/>
    <w:rsid w:val="003E0C76"/>
    <w:rPr>
      <w:rFonts w:ascii="Tahoma" w:eastAsia="Times New Roman" w:hAnsi="Tahoma" w:cs="Tahoma"/>
      <w:sz w:val="16"/>
      <w:szCs w:val="16"/>
      <w:lang w:eastAsia="en-GB"/>
    </w:rPr>
  </w:style>
  <w:style w:type="paragraph" w:styleId="FootnoteText">
    <w:name w:val="footnote text"/>
    <w:basedOn w:val="Normal"/>
    <w:link w:val="FootnoteTextChar"/>
    <w:semiHidden/>
    <w:rsid w:val="003E0C76"/>
    <w:rPr>
      <w:sz w:val="20"/>
      <w:szCs w:val="20"/>
    </w:rPr>
  </w:style>
  <w:style w:type="character" w:customStyle="1" w:styleId="FootnoteTextChar">
    <w:name w:val="Footnote Text Char"/>
    <w:basedOn w:val="DefaultParagraphFont"/>
    <w:link w:val="FootnoteText"/>
    <w:semiHidden/>
    <w:rsid w:val="003E0C7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3E0C76"/>
    <w:rPr>
      <w:rFonts w:cs="Times New Roman"/>
      <w:vertAlign w:val="superscript"/>
    </w:rPr>
  </w:style>
  <w:style w:type="paragraph" w:styleId="Header">
    <w:name w:val="header"/>
    <w:basedOn w:val="Normal"/>
    <w:link w:val="HeaderChar"/>
    <w:unhideWhenUsed/>
    <w:rsid w:val="003E0C76"/>
    <w:pPr>
      <w:tabs>
        <w:tab w:val="center" w:pos="4513"/>
        <w:tab w:val="right" w:pos="9026"/>
      </w:tabs>
    </w:pPr>
  </w:style>
  <w:style w:type="character" w:customStyle="1" w:styleId="HeaderChar">
    <w:name w:val="Header Char"/>
    <w:basedOn w:val="DefaultParagraphFont"/>
    <w:link w:val="Header"/>
    <w:rsid w:val="003E0C76"/>
    <w:rPr>
      <w:rFonts w:ascii="Times New Roman" w:eastAsia="Times New Roman" w:hAnsi="Times New Roman" w:cs="Times New Roman"/>
      <w:sz w:val="24"/>
      <w:szCs w:val="24"/>
      <w:lang w:eastAsia="en-GB"/>
    </w:rPr>
  </w:style>
  <w:style w:type="paragraph" w:styleId="ListParagraph">
    <w:name w:val="List Paragraph"/>
    <w:basedOn w:val="Normal"/>
    <w:qFormat/>
    <w:rsid w:val="00E12191"/>
    <w:pPr>
      <w:ind w:left="720"/>
      <w:contextualSpacing/>
    </w:pPr>
    <w:rPr>
      <w:szCs w:val="22"/>
      <w:lang w:eastAsia="en-US"/>
    </w:rPr>
  </w:style>
  <w:style w:type="paragraph" w:styleId="EndnoteText">
    <w:name w:val="endnote text"/>
    <w:basedOn w:val="Normal"/>
    <w:link w:val="EndnoteTextChar"/>
    <w:uiPriority w:val="99"/>
    <w:rsid w:val="003E0C76"/>
    <w:rPr>
      <w:rFonts w:ascii="Calibri" w:hAnsi="Calibri"/>
      <w:sz w:val="20"/>
      <w:szCs w:val="20"/>
      <w:lang w:eastAsia="en-US"/>
    </w:rPr>
  </w:style>
  <w:style w:type="character" w:customStyle="1" w:styleId="EndnoteTextChar">
    <w:name w:val="Endnote Text Char"/>
    <w:basedOn w:val="DefaultParagraphFont"/>
    <w:link w:val="EndnoteText"/>
    <w:uiPriority w:val="99"/>
    <w:rsid w:val="003E0C76"/>
    <w:rPr>
      <w:rFonts w:ascii="Calibri" w:eastAsia="Times New Roman" w:hAnsi="Calibri" w:cs="Times New Roman"/>
      <w:sz w:val="20"/>
      <w:szCs w:val="20"/>
    </w:rPr>
  </w:style>
  <w:style w:type="character" w:styleId="EndnoteReference">
    <w:name w:val="endnote reference"/>
    <w:basedOn w:val="DefaultParagraphFont"/>
    <w:uiPriority w:val="99"/>
    <w:rsid w:val="003E0C76"/>
    <w:rPr>
      <w:rFonts w:cs="Times New Roman"/>
      <w:vertAlign w:val="superscript"/>
    </w:rPr>
  </w:style>
  <w:style w:type="table" w:styleId="TableGrid">
    <w:name w:val="Table Grid"/>
    <w:basedOn w:val="TableNormal"/>
    <w:uiPriority w:val="39"/>
    <w:rsid w:val="003E0C7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E0C76"/>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3E0C76"/>
    <w:rPr>
      <w:rFonts w:cs="Times New Roman"/>
      <w:color w:val="0000FF"/>
      <w:u w:val="single"/>
    </w:rPr>
  </w:style>
  <w:style w:type="character" w:styleId="CommentReference">
    <w:name w:val="annotation reference"/>
    <w:basedOn w:val="DefaultParagraphFont"/>
    <w:semiHidden/>
    <w:unhideWhenUsed/>
    <w:rsid w:val="003E0C76"/>
    <w:rPr>
      <w:sz w:val="16"/>
      <w:szCs w:val="16"/>
    </w:rPr>
  </w:style>
  <w:style w:type="paragraph" w:styleId="CommentText">
    <w:name w:val="annotation text"/>
    <w:basedOn w:val="Normal"/>
    <w:link w:val="CommentTextChar"/>
    <w:unhideWhenUsed/>
    <w:rsid w:val="003E0C76"/>
    <w:rPr>
      <w:sz w:val="20"/>
      <w:szCs w:val="20"/>
    </w:rPr>
  </w:style>
  <w:style w:type="character" w:customStyle="1" w:styleId="CommentTextChar">
    <w:name w:val="Comment Text Char"/>
    <w:basedOn w:val="DefaultParagraphFont"/>
    <w:link w:val="CommentText"/>
    <w:rsid w:val="003E0C7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3E0C76"/>
    <w:rPr>
      <w:b/>
      <w:bCs/>
    </w:rPr>
  </w:style>
  <w:style w:type="character" w:customStyle="1" w:styleId="CommentSubjectChar">
    <w:name w:val="Comment Subject Char"/>
    <w:basedOn w:val="CommentTextChar"/>
    <w:link w:val="CommentSubject"/>
    <w:semiHidden/>
    <w:rsid w:val="003E0C76"/>
    <w:rPr>
      <w:rFonts w:ascii="Times New Roman" w:eastAsia="Times New Roman" w:hAnsi="Times New Roman" w:cs="Times New Roman"/>
      <w:b/>
      <w:bCs/>
      <w:sz w:val="20"/>
      <w:szCs w:val="20"/>
      <w:lang w:eastAsia="en-GB"/>
    </w:rPr>
  </w:style>
  <w:style w:type="paragraph" w:styleId="Revision">
    <w:name w:val="Revision"/>
    <w:hidden/>
    <w:semiHidden/>
    <w:rsid w:val="003E0C76"/>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rsid w:val="003E0C76"/>
  </w:style>
  <w:style w:type="character" w:styleId="Emphasis">
    <w:name w:val="Emphasis"/>
    <w:qFormat/>
    <w:rsid w:val="003E0C76"/>
    <w:rPr>
      <w:i/>
      <w:iCs/>
    </w:rPr>
  </w:style>
  <w:style w:type="character" w:styleId="Strong">
    <w:name w:val="Strong"/>
    <w:qFormat/>
    <w:rsid w:val="003E0C76"/>
    <w:rPr>
      <w:rFonts w:cs="Times New Roman"/>
      <w:b/>
      <w:bCs/>
    </w:rPr>
  </w:style>
  <w:style w:type="character" w:customStyle="1" w:styleId="sb-contribution">
    <w:name w:val="sb-contribution"/>
    <w:rsid w:val="003E0C76"/>
    <w:rPr>
      <w:rFonts w:cs="Times New Roman"/>
    </w:rPr>
  </w:style>
  <w:style w:type="character" w:customStyle="1" w:styleId="sb-authors">
    <w:name w:val="sb-authors"/>
    <w:rsid w:val="003E0C76"/>
    <w:rPr>
      <w:rFonts w:cs="Times New Roman"/>
    </w:rPr>
  </w:style>
  <w:style w:type="paragraph" w:styleId="BodyText3">
    <w:name w:val="Body Text 3"/>
    <w:basedOn w:val="Normal"/>
    <w:link w:val="BodyText3Char"/>
    <w:rsid w:val="003E0C76"/>
    <w:pPr>
      <w:suppressAutoHyphens/>
      <w:spacing w:after="120"/>
    </w:pPr>
    <w:rPr>
      <w:sz w:val="16"/>
      <w:szCs w:val="16"/>
      <w:lang w:eastAsia="ar-SA"/>
    </w:rPr>
  </w:style>
  <w:style w:type="character" w:customStyle="1" w:styleId="BodyText3Char">
    <w:name w:val="Body Text 3 Char"/>
    <w:basedOn w:val="DefaultParagraphFont"/>
    <w:link w:val="BodyText3"/>
    <w:rsid w:val="003E0C76"/>
    <w:rPr>
      <w:rFonts w:ascii="Times New Roman" w:eastAsia="Times New Roman" w:hAnsi="Times New Roman" w:cs="Times New Roman"/>
      <w:sz w:val="16"/>
      <w:szCs w:val="16"/>
      <w:lang w:eastAsia="ar-SA"/>
    </w:rPr>
  </w:style>
  <w:style w:type="paragraph" w:styleId="NormalWeb">
    <w:name w:val="Normal (Web)"/>
    <w:basedOn w:val="Normal"/>
    <w:rsid w:val="003E0C76"/>
    <w:pPr>
      <w:spacing w:before="100" w:beforeAutospacing="1" w:after="100" w:afterAutospacing="1"/>
    </w:pPr>
  </w:style>
  <w:style w:type="paragraph" w:customStyle="1" w:styleId="body0020text00202">
    <w:name w:val="body_0020text_00202"/>
    <w:basedOn w:val="Normal"/>
    <w:rsid w:val="003E0C76"/>
    <w:pPr>
      <w:spacing w:before="100" w:beforeAutospacing="1" w:after="100" w:afterAutospacing="1"/>
    </w:pPr>
    <w:rPr>
      <w:lang w:val="en-US" w:eastAsia="en-US"/>
    </w:rPr>
  </w:style>
  <w:style w:type="character" w:customStyle="1" w:styleId="body0020text00202char">
    <w:name w:val="body_0020text_00202__char"/>
    <w:basedOn w:val="DefaultParagraphFont"/>
    <w:rsid w:val="003E0C76"/>
  </w:style>
  <w:style w:type="paragraph" w:customStyle="1" w:styleId="table0020normal">
    <w:name w:val="table_0020normal"/>
    <w:basedOn w:val="Normal"/>
    <w:rsid w:val="003E0C76"/>
    <w:pPr>
      <w:spacing w:before="100" w:beforeAutospacing="1" w:after="100" w:afterAutospacing="1"/>
    </w:pPr>
    <w:rPr>
      <w:lang w:val="en-US" w:eastAsia="en-US"/>
    </w:rPr>
  </w:style>
  <w:style w:type="character" w:customStyle="1" w:styleId="table0020normalchar">
    <w:name w:val="table_0020normal__char"/>
    <w:basedOn w:val="DefaultParagraphFont"/>
    <w:rsid w:val="003E0C76"/>
  </w:style>
  <w:style w:type="character" w:customStyle="1" w:styleId="normalchar">
    <w:name w:val="normal__char"/>
    <w:basedOn w:val="DefaultParagraphFont"/>
    <w:rsid w:val="003E0C76"/>
  </w:style>
  <w:style w:type="paragraph" w:customStyle="1" w:styleId="Default">
    <w:name w:val="Default"/>
    <w:rsid w:val="003E0C7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rPr>
  </w:style>
  <w:style w:type="character" w:styleId="FollowedHyperlink">
    <w:name w:val="FollowedHyperlink"/>
    <w:rsid w:val="003E0C76"/>
    <w:rPr>
      <w:color w:val="800080"/>
      <w:u w:val="single"/>
    </w:rPr>
  </w:style>
  <w:style w:type="character" w:customStyle="1" w:styleId="CharChar4">
    <w:name w:val="Char Char4"/>
    <w:rsid w:val="003E0C76"/>
    <w:rPr>
      <w:rFonts w:ascii="Calibri Light" w:eastAsia="Times New Roman" w:hAnsi="Calibri Light" w:cs="Times New Roman"/>
      <w:color w:val="2E74B5"/>
      <w:sz w:val="32"/>
      <w:szCs w:val="32"/>
    </w:rPr>
  </w:style>
  <w:style w:type="character" w:customStyle="1" w:styleId="Hyperlink0">
    <w:name w:val="Hyperlink.0"/>
    <w:rsid w:val="003E0C76"/>
    <w:rPr>
      <w:rFonts w:cs="Times New Roman"/>
      <w:color w:val="0000FF"/>
      <w:sz w:val="24"/>
      <w:szCs w:val="24"/>
      <w:u w:val="single" w:color="0000FF"/>
      <w:lang w:val="en-US"/>
    </w:rPr>
  </w:style>
  <w:style w:type="character" w:customStyle="1" w:styleId="Hyperlink1">
    <w:name w:val="Hyperlink.1"/>
    <w:rsid w:val="003E0C76"/>
    <w:rPr>
      <w:rFonts w:cs="Times New Roman"/>
      <w:color w:val="0000FF"/>
      <w:sz w:val="24"/>
      <w:szCs w:val="24"/>
      <w:u w:val="single" w:color="0000FF"/>
      <w:lang w:val="en-US"/>
    </w:rPr>
  </w:style>
  <w:style w:type="numbering" w:customStyle="1" w:styleId="List41">
    <w:name w:val="List 41"/>
    <w:rsid w:val="003E0C76"/>
    <w:pPr>
      <w:numPr>
        <w:numId w:val="21"/>
      </w:numPr>
    </w:pPr>
  </w:style>
  <w:style w:type="numbering" w:customStyle="1" w:styleId="List31">
    <w:name w:val="List 31"/>
    <w:rsid w:val="003E0C76"/>
    <w:pPr>
      <w:numPr>
        <w:numId w:val="20"/>
      </w:numPr>
    </w:pPr>
  </w:style>
  <w:style w:type="numbering" w:customStyle="1" w:styleId="List21">
    <w:name w:val="List 21"/>
    <w:rsid w:val="003E0C76"/>
    <w:pPr>
      <w:numPr>
        <w:numId w:val="19"/>
      </w:numPr>
    </w:pPr>
  </w:style>
  <w:style w:type="numbering" w:customStyle="1" w:styleId="List1">
    <w:name w:val="List 1"/>
    <w:rsid w:val="003E0C7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3F04-A4E6-42BB-BC9A-9027CEC7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7291</Words>
  <Characters>41562</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Paul</dc:creator>
  <cp:keywords/>
  <dc:description/>
  <cp:lastModifiedBy>Gibson, Lyn</cp:lastModifiedBy>
  <cp:revision>2</cp:revision>
  <dcterms:created xsi:type="dcterms:W3CDTF">2017-02-15T09:18:00Z</dcterms:created>
  <dcterms:modified xsi:type="dcterms:W3CDTF">2017-02-15T09:18:00Z</dcterms:modified>
</cp:coreProperties>
</file>