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4BAD9" w14:textId="77777777" w:rsidR="003C464D" w:rsidRPr="000D16DC" w:rsidRDefault="003C464D" w:rsidP="003C464D">
      <w:pPr>
        <w:pStyle w:val="Overskrift2"/>
        <w:jc w:val="center"/>
        <w:rPr>
          <w:rFonts w:asciiTheme="minorHAnsi" w:eastAsiaTheme="majorEastAsia" w:hAnsiTheme="minorHAnsi" w:cstheme="minorHAnsi"/>
          <w:sz w:val="22"/>
          <w:szCs w:val="22"/>
        </w:rPr>
      </w:pPr>
      <w:bookmarkStart w:id="0" w:name="_GoBack"/>
      <w:bookmarkEnd w:id="0"/>
      <w:r w:rsidRPr="000D16DC">
        <w:rPr>
          <w:rFonts w:asciiTheme="minorHAnsi" w:eastAsiaTheme="majorEastAsia" w:hAnsiTheme="minorHAnsi" w:cstheme="minorHAnsi"/>
          <w:sz w:val="22"/>
          <w:szCs w:val="22"/>
        </w:rPr>
        <w:t xml:space="preserve"> </w:t>
      </w:r>
    </w:p>
    <w:p w14:paraId="1D10D3E7" w14:textId="11403357" w:rsidR="003C464D" w:rsidRPr="000D16DC" w:rsidRDefault="003C464D" w:rsidP="003C464D">
      <w:pPr>
        <w:pStyle w:val="Overskrift2"/>
        <w:jc w:val="center"/>
        <w:rPr>
          <w:rFonts w:asciiTheme="minorHAnsi" w:eastAsiaTheme="majorEastAsia" w:hAnsiTheme="minorHAnsi" w:cstheme="minorHAnsi"/>
          <w:sz w:val="22"/>
          <w:szCs w:val="22"/>
        </w:rPr>
      </w:pPr>
      <w:r w:rsidRPr="000D16DC">
        <w:rPr>
          <w:rFonts w:asciiTheme="minorHAnsi" w:eastAsiaTheme="majorEastAsia" w:hAnsiTheme="minorHAnsi" w:cstheme="minorHAnsi"/>
          <w:sz w:val="22"/>
          <w:szCs w:val="22"/>
        </w:rPr>
        <w:t>Risk factors, comorbidity and social impairment of ICD-11</w:t>
      </w:r>
      <w:r w:rsidR="00F31CB9" w:rsidRPr="000D16DC">
        <w:rPr>
          <w:rFonts w:asciiTheme="minorHAnsi" w:eastAsiaTheme="majorEastAsia" w:hAnsiTheme="minorHAnsi" w:cstheme="minorHAnsi"/>
          <w:sz w:val="22"/>
          <w:szCs w:val="22"/>
        </w:rPr>
        <w:t xml:space="preserve"> PTSD and complex PTSD </w:t>
      </w:r>
      <w:r w:rsidRPr="000D16DC">
        <w:rPr>
          <w:rFonts w:asciiTheme="minorHAnsi" w:eastAsiaTheme="majorEastAsia" w:hAnsiTheme="minorHAnsi" w:cstheme="minorHAnsi"/>
          <w:sz w:val="22"/>
          <w:szCs w:val="22"/>
        </w:rPr>
        <w:t>in D</w:t>
      </w:r>
      <w:r w:rsidR="00F31CB9" w:rsidRPr="000D16DC">
        <w:rPr>
          <w:rFonts w:asciiTheme="minorHAnsi" w:eastAsiaTheme="majorEastAsia" w:hAnsiTheme="minorHAnsi" w:cstheme="minorHAnsi"/>
          <w:sz w:val="22"/>
          <w:szCs w:val="22"/>
        </w:rPr>
        <w:t>anish treatment-seeking</w:t>
      </w:r>
      <w:r w:rsidR="008C2CBB">
        <w:rPr>
          <w:rFonts w:asciiTheme="minorHAnsi" w:eastAsiaTheme="majorEastAsia" w:hAnsiTheme="minorHAnsi" w:cstheme="minorHAnsi"/>
          <w:sz w:val="22"/>
          <w:szCs w:val="22"/>
        </w:rPr>
        <w:t xml:space="preserve"> military</w:t>
      </w:r>
      <w:r w:rsidR="00F31CB9" w:rsidRPr="000D16DC">
        <w:rPr>
          <w:rFonts w:asciiTheme="minorHAnsi" w:eastAsiaTheme="majorEastAsia" w:hAnsiTheme="minorHAnsi" w:cstheme="minorHAnsi"/>
          <w:sz w:val="22"/>
          <w:szCs w:val="22"/>
        </w:rPr>
        <w:t xml:space="preserve"> veterans</w:t>
      </w:r>
    </w:p>
    <w:p w14:paraId="06459DBF" w14:textId="2B58F5D6" w:rsidR="00DE2182" w:rsidRPr="00DE2182" w:rsidRDefault="008C2CBB" w:rsidP="00DE2182">
      <w:pPr>
        <w:jc w:val="center"/>
        <w:rPr>
          <w:rFonts w:cstheme="minorHAnsi"/>
          <w:lang w:val="en-US"/>
        </w:rPr>
      </w:pPr>
      <w:r>
        <w:rPr>
          <w:rFonts w:cstheme="minorHAnsi"/>
          <w:lang w:val="en-US"/>
        </w:rPr>
        <w:t xml:space="preserve">Running title: </w:t>
      </w:r>
      <w:r w:rsidR="00DE2182" w:rsidRPr="00860F91">
        <w:rPr>
          <w:lang w:val="en-GB"/>
        </w:rPr>
        <w:t>CPTSD Military Risk Factors, Comorbidity</w:t>
      </w:r>
    </w:p>
    <w:p w14:paraId="69D608C4" w14:textId="77777777" w:rsidR="00DE2182" w:rsidRPr="000D16DC" w:rsidRDefault="00DE2182" w:rsidP="003C464D">
      <w:pPr>
        <w:jc w:val="center"/>
        <w:rPr>
          <w:rFonts w:cstheme="minorHAnsi"/>
          <w:lang w:val="en-US"/>
        </w:rPr>
      </w:pPr>
    </w:p>
    <w:p w14:paraId="2C85A9E8" w14:textId="35437DC2" w:rsidR="00C675E6" w:rsidRPr="00860F91" w:rsidRDefault="00C675E6" w:rsidP="00C675E6">
      <w:pPr>
        <w:jc w:val="center"/>
        <w:rPr>
          <w:rFonts w:cstheme="minorHAnsi"/>
        </w:rPr>
      </w:pPr>
      <w:r w:rsidRPr="00860F91">
        <w:rPr>
          <w:rFonts w:cstheme="minorHAnsi"/>
        </w:rPr>
        <w:t>Sofie Folke, PhD</w:t>
      </w:r>
      <w:r w:rsidRPr="00860F91">
        <w:rPr>
          <w:rFonts w:cstheme="minorHAnsi"/>
          <w:vertAlign w:val="superscript"/>
        </w:rPr>
        <w:t>1, 2</w:t>
      </w:r>
      <w:r w:rsidRPr="00860F91">
        <w:rPr>
          <w:rFonts w:cstheme="minorHAnsi"/>
        </w:rPr>
        <w:t>, Karen-Inge Karstoft, PhD</w:t>
      </w:r>
      <w:r w:rsidR="000510D1" w:rsidRPr="00860F91">
        <w:rPr>
          <w:rFonts w:cstheme="minorHAnsi"/>
          <w:vertAlign w:val="superscript"/>
        </w:rPr>
        <w:t>1, 3</w:t>
      </w:r>
      <w:r w:rsidRPr="00860F91">
        <w:rPr>
          <w:rFonts w:cstheme="minorHAnsi"/>
        </w:rPr>
        <w:t xml:space="preserve">, </w:t>
      </w:r>
      <w:r w:rsidRPr="00136990">
        <w:rPr>
          <w:rFonts w:cstheme="minorHAnsi"/>
        </w:rPr>
        <w:t>Søren Bo Andersen, PhD</w:t>
      </w:r>
      <w:r w:rsidRPr="00136990">
        <w:rPr>
          <w:rFonts w:cstheme="minorHAnsi"/>
          <w:vertAlign w:val="superscript"/>
        </w:rPr>
        <w:t>1</w:t>
      </w:r>
      <w:r w:rsidRPr="00136990">
        <w:rPr>
          <w:rFonts w:cstheme="minorHAnsi"/>
        </w:rPr>
        <w:t>, Thanos Karatzias, PhD</w:t>
      </w:r>
      <w:r w:rsidRPr="00136990">
        <w:rPr>
          <w:rFonts w:cstheme="minorHAnsi"/>
          <w:vertAlign w:val="superscript"/>
        </w:rPr>
        <w:t>4, 5</w:t>
      </w:r>
      <w:r w:rsidRPr="00136990">
        <w:rPr>
          <w:rFonts w:cstheme="minorHAnsi"/>
        </w:rPr>
        <w:t xml:space="preserve">, </w:t>
      </w:r>
      <w:r w:rsidR="00136990" w:rsidRPr="00136990">
        <w:rPr>
          <w:rFonts w:cstheme="minorHAnsi"/>
          <w:lang w:val="sv-SE"/>
        </w:rPr>
        <w:t>Lars Ravnborg Nissen, MD</w:t>
      </w:r>
      <w:r w:rsidR="00136990" w:rsidRPr="00136990">
        <w:rPr>
          <w:rFonts w:cstheme="minorHAnsi"/>
          <w:vertAlign w:val="superscript"/>
          <w:lang w:val="sv-SE"/>
        </w:rPr>
        <w:t>1</w:t>
      </w:r>
      <w:r w:rsidR="00D901B9" w:rsidRPr="00136990">
        <w:rPr>
          <w:rFonts w:cstheme="minorHAnsi"/>
          <w:lang w:val="sv-SE"/>
        </w:rPr>
        <w:t xml:space="preserve">, </w:t>
      </w:r>
      <w:r w:rsidRPr="00136990">
        <w:rPr>
          <w:rFonts w:cstheme="minorHAnsi"/>
        </w:rPr>
        <w:t xml:space="preserve">Anni </w:t>
      </w:r>
      <w:r w:rsidRPr="00860F91">
        <w:rPr>
          <w:rFonts w:cstheme="minorHAnsi"/>
        </w:rPr>
        <w:t>B. S. Nielsen, PhD</w:t>
      </w:r>
      <w:r w:rsidRPr="00860F91">
        <w:rPr>
          <w:rFonts w:cstheme="minorHAnsi"/>
          <w:vertAlign w:val="superscript"/>
        </w:rPr>
        <w:t>1, 6</w:t>
      </w:r>
    </w:p>
    <w:p w14:paraId="1ED40119" w14:textId="01ECAE98" w:rsidR="00C675E6" w:rsidRPr="00860F91" w:rsidRDefault="0024715D" w:rsidP="00AA04B5">
      <w:pPr>
        <w:rPr>
          <w:rFonts w:cstheme="minorHAnsi"/>
        </w:rPr>
      </w:pPr>
      <w:r w:rsidRPr="00860F91">
        <w:rPr>
          <w:rFonts w:cstheme="minorHAnsi"/>
        </w:rPr>
        <w:t xml:space="preserve"> </w:t>
      </w:r>
      <w:r w:rsidR="00AA04B5" w:rsidRPr="00860F91">
        <w:rPr>
          <w:rFonts w:cstheme="minorHAnsi"/>
        </w:rPr>
        <w:t xml:space="preserve"> </w:t>
      </w:r>
    </w:p>
    <w:p w14:paraId="463AF16D" w14:textId="77777777" w:rsidR="00C675E6" w:rsidRPr="000D16DC" w:rsidRDefault="00C675E6" w:rsidP="00C675E6">
      <w:pPr>
        <w:rPr>
          <w:rFonts w:cstheme="minorHAnsi"/>
          <w:lang w:val="en-US"/>
        </w:rPr>
      </w:pPr>
      <w:r w:rsidRPr="000D16DC">
        <w:rPr>
          <w:rFonts w:cstheme="minorHAnsi"/>
          <w:vertAlign w:val="superscript"/>
          <w:lang w:val="en-US"/>
        </w:rPr>
        <w:t>1</w:t>
      </w:r>
      <w:r w:rsidRPr="000D16DC">
        <w:rPr>
          <w:rFonts w:cstheme="minorHAnsi"/>
          <w:lang w:val="en-US"/>
        </w:rPr>
        <w:t xml:space="preserve"> Research and Knowledge Centre, the Danish Veterans Centre, Ringsted, Denmark. </w:t>
      </w:r>
    </w:p>
    <w:p w14:paraId="5E4CB82A" w14:textId="77777777" w:rsidR="00C675E6" w:rsidRPr="000D16DC" w:rsidRDefault="00C675E6" w:rsidP="00C675E6">
      <w:pPr>
        <w:spacing w:after="0" w:line="360" w:lineRule="auto"/>
        <w:rPr>
          <w:rFonts w:cstheme="minorHAnsi"/>
          <w:lang w:val="en-US"/>
        </w:rPr>
      </w:pPr>
      <w:r w:rsidRPr="000D16DC">
        <w:rPr>
          <w:rFonts w:cstheme="minorHAnsi"/>
          <w:vertAlign w:val="superscript"/>
          <w:lang w:val="en-US"/>
        </w:rPr>
        <w:t>2</w:t>
      </w:r>
      <w:r w:rsidRPr="000D16DC">
        <w:rPr>
          <w:rFonts w:cstheme="minorHAnsi"/>
          <w:lang w:val="en-US"/>
        </w:rPr>
        <w:t xml:space="preserve"> Department of Military Psychology, the Danish Veterans Centre, Copenhagen, Denmark. </w:t>
      </w:r>
    </w:p>
    <w:p w14:paraId="40420DBB" w14:textId="77777777" w:rsidR="00C675E6" w:rsidRPr="000D16DC" w:rsidRDefault="00C675E6" w:rsidP="00C675E6">
      <w:pPr>
        <w:rPr>
          <w:rFonts w:cstheme="minorHAnsi"/>
          <w:vertAlign w:val="superscript"/>
          <w:lang w:val="en-US"/>
        </w:rPr>
      </w:pPr>
      <w:r w:rsidRPr="000D16DC">
        <w:rPr>
          <w:rFonts w:cstheme="minorHAnsi"/>
          <w:vertAlign w:val="superscript"/>
          <w:lang w:val="en-US"/>
        </w:rPr>
        <w:t xml:space="preserve">3 </w:t>
      </w:r>
      <w:r w:rsidRPr="000D16DC">
        <w:rPr>
          <w:rFonts w:cstheme="minorHAnsi"/>
          <w:lang w:val="en-US"/>
        </w:rPr>
        <w:t>Department of Psychology, University of Copenhagen, Copenhagen, Denmark.</w:t>
      </w:r>
    </w:p>
    <w:p w14:paraId="41159D0B" w14:textId="77777777" w:rsidR="00C675E6" w:rsidRPr="000D16DC" w:rsidRDefault="00C675E6" w:rsidP="00C675E6">
      <w:pPr>
        <w:rPr>
          <w:rFonts w:cstheme="minorHAnsi"/>
          <w:shd w:val="clear" w:color="auto" w:fill="FFFFFF"/>
          <w:lang w:val="en-US"/>
        </w:rPr>
      </w:pPr>
      <w:r w:rsidRPr="000D16DC">
        <w:rPr>
          <w:rFonts w:cstheme="minorHAnsi"/>
          <w:vertAlign w:val="superscript"/>
          <w:lang w:val="en-US"/>
        </w:rPr>
        <w:t>4</w:t>
      </w:r>
      <w:r w:rsidRPr="000D16DC">
        <w:rPr>
          <w:rFonts w:cstheme="minorHAnsi"/>
          <w:shd w:val="clear" w:color="auto" w:fill="FFFFFF"/>
          <w:lang w:val="en-US"/>
        </w:rPr>
        <w:t xml:space="preserve"> </w:t>
      </w:r>
      <w:r w:rsidRPr="000D16DC">
        <w:rPr>
          <w:rFonts w:cstheme="minorHAnsi"/>
          <w:lang w:val="en-US"/>
        </w:rPr>
        <w:t>School of Health and Social Care, Edinburgh, Napier University, Edinburgh, UK.</w:t>
      </w:r>
    </w:p>
    <w:p w14:paraId="75368E3A" w14:textId="77777777" w:rsidR="00C675E6" w:rsidRPr="000D16DC" w:rsidRDefault="00C675E6" w:rsidP="00C675E6">
      <w:pPr>
        <w:rPr>
          <w:rFonts w:cstheme="minorHAnsi"/>
          <w:lang w:val="en-US"/>
        </w:rPr>
      </w:pPr>
      <w:r w:rsidRPr="000D16DC">
        <w:rPr>
          <w:rFonts w:cstheme="minorHAnsi"/>
          <w:vertAlign w:val="superscript"/>
          <w:lang w:val="en-US"/>
        </w:rPr>
        <w:t>5</w:t>
      </w:r>
      <w:r w:rsidRPr="000D16DC">
        <w:rPr>
          <w:rFonts w:cstheme="minorHAnsi"/>
          <w:shd w:val="clear" w:color="auto" w:fill="FFFFFF"/>
          <w:lang w:val="en-US"/>
        </w:rPr>
        <w:t xml:space="preserve"> </w:t>
      </w:r>
      <w:r w:rsidRPr="000D16DC">
        <w:rPr>
          <w:rFonts w:cstheme="minorHAnsi"/>
          <w:lang w:val="en-US"/>
        </w:rPr>
        <w:t>Rivers Centre for Traumatic Stress, NHS, Lothian, Edinburgh, UK.</w:t>
      </w:r>
    </w:p>
    <w:p w14:paraId="48FB421A" w14:textId="77777777" w:rsidR="00C675E6" w:rsidRPr="000D16DC" w:rsidRDefault="00C675E6" w:rsidP="00C675E6">
      <w:pPr>
        <w:rPr>
          <w:rFonts w:cstheme="minorHAnsi"/>
          <w:lang w:val="en-US"/>
        </w:rPr>
      </w:pPr>
      <w:r w:rsidRPr="000D16DC">
        <w:rPr>
          <w:rFonts w:cstheme="minorHAnsi"/>
          <w:vertAlign w:val="superscript"/>
          <w:lang w:val="en-US"/>
        </w:rPr>
        <w:t>6</w:t>
      </w:r>
      <w:r w:rsidRPr="000D16DC">
        <w:rPr>
          <w:rFonts w:cstheme="minorHAnsi"/>
          <w:shd w:val="clear" w:color="auto" w:fill="FFFFFF"/>
          <w:lang w:val="en-US"/>
        </w:rPr>
        <w:t xml:space="preserve"> </w:t>
      </w:r>
      <w:r w:rsidRPr="000D16DC">
        <w:rPr>
          <w:rFonts w:cstheme="minorHAnsi"/>
          <w:lang w:val="en-US"/>
        </w:rPr>
        <w:t>The Research Unit and Section of General Practice, Institute of Public Health, University of Copenhagen, Copenhagen, Denmark.</w:t>
      </w:r>
    </w:p>
    <w:p w14:paraId="3F2D1BC2" w14:textId="77777777" w:rsidR="007B56FE" w:rsidRPr="000D16DC" w:rsidRDefault="007B56FE" w:rsidP="00C675E6">
      <w:pPr>
        <w:rPr>
          <w:rFonts w:cstheme="minorHAnsi"/>
          <w:lang w:val="en-US"/>
        </w:rPr>
      </w:pPr>
    </w:p>
    <w:p w14:paraId="7903661E" w14:textId="27B0F724" w:rsidR="00C675E6" w:rsidRPr="000D16DC" w:rsidRDefault="00C675E6" w:rsidP="00C675E6">
      <w:pPr>
        <w:rPr>
          <w:rFonts w:cstheme="minorHAnsi"/>
          <w:lang w:val="en-US"/>
        </w:rPr>
      </w:pPr>
      <w:r w:rsidRPr="000D16DC">
        <w:rPr>
          <w:rFonts w:cstheme="minorHAnsi"/>
          <w:lang w:val="en-US"/>
        </w:rPr>
        <w:t>Email-</w:t>
      </w:r>
      <w:r w:rsidR="00BC5B98" w:rsidRPr="000D16DC">
        <w:rPr>
          <w:rFonts w:cstheme="minorHAnsi"/>
          <w:lang w:val="en-US"/>
        </w:rPr>
        <w:t>addresses</w:t>
      </w:r>
      <w:r w:rsidR="00BC5B98">
        <w:rPr>
          <w:rFonts w:cstheme="minorHAnsi"/>
          <w:lang w:val="en-US"/>
        </w:rPr>
        <w:t>,</w:t>
      </w:r>
      <w:r w:rsidR="00BC5B98" w:rsidRPr="000D16DC">
        <w:rPr>
          <w:rFonts w:cstheme="minorHAnsi"/>
          <w:lang w:val="en-US"/>
        </w:rPr>
        <w:t xml:space="preserve"> phone</w:t>
      </w:r>
      <w:r w:rsidRPr="000D16DC">
        <w:rPr>
          <w:rFonts w:cstheme="minorHAnsi"/>
          <w:lang w:val="en-US"/>
        </w:rPr>
        <w:t xml:space="preserve"> numbers</w:t>
      </w:r>
      <w:r w:rsidR="00E45963">
        <w:rPr>
          <w:rFonts w:cstheme="minorHAnsi"/>
          <w:lang w:val="en-US"/>
        </w:rPr>
        <w:t xml:space="preserve"> and ORCID</w:t>
      </w:r>
      <w:r w:rsidRPr="000D16DC">
        <w:rPr>
          <w:rFonts w:cstheme="minorHAnsi"/>
          <w:lang w:val="en-US"/>
        </w:rPr>
        <w:t xml:space="preserve">: </w:t>
      </w:r>
    </w:p>
    <w:p w14:paraId="127185C3" w14:textId="7E3D1687" w:rsidR="00C675E6" w:rsidRPr="00BF57E9" w:rsidRDefault="00C675E6" w:rsidP="00C675E6">
      <w:pPr>
        <w:rPr>
          <w:rFonts w:cstheme="minorHAnsi"/>
          <w:lang w:val="en-US"/>
        </w:rPr>
      </w:pPr>
      <w:r w:rsidRPr="00BF57E9">
        <w:rPr>
          <w:rFonts w:cstheme="minorHAnsi"/>
          <w:lang w:val="en-US"/>
        </w:rPr>
        <w:t xml:space="preserve">SF: </w:t>
      </w:r>
      <w:hyperlink r:id="rId8" w:history="1">
        <w:r w:rsidRPr="007B56FE">
          <w:rPr>
            <w:rStyle w:val="Hyperlink"/>
            <w:color w:val="auto"/>
            <w:lang w:val="en-US"/>
          </w:rPr>
          <w:t>vetc-mpa43@mil.dk</w:t>
        </w:r>
      </w:hyperlink>
      <w:r w:rsidRPr="00BF57E9">
        <w:rPr>
          <w:rFonts w:cstheme="minorHAnsi"/>
          <w:lang w:val="en-US"/>
        </w:rPr>
        <w:t>, +45 7216 3251</w:t>
      </w:r>
      <w:r w:rsidR="009F3A4E">
        <w:rPr>
          <w:rFonts w:cstheme="minorHAnsi"/>
          <w:lang w:val="en-US"/>
        </w:rPr>
        <w:t xml:space="preserve">; ORCID: </w:t>
      </w:r>
      <w:r w:rsidR="009F3A4E" w:rsidRPr="00057B65">
        <w:rPr>
          <w:lang w:val="en-GB"/>
        </w:rPr>
        <w:t>0000-0003-3871-1580</w:t>
      </w:r>
    </w:p>
    <w:p w14:paraId="28253CDE" w14:textId="36D90C78" w:rsidR="00C675E6" w:rsidRPr="00BF57E9" w:rsidRDefault="00C675E6" w:rsidP="00C675E6">
      <w:pPr>
        <w:rPr>
          <w:rFonts w:cstheme="minorHAnsi"/>
          <w:lang w:val="en-US"/>
        </w:rPr>
      </w:pPr>
      <w:r w:rsidRPr="00BF57E9">
        <w:rPr>
          <w:rFonts w:cstheme="minorHAnsi"/>
          <w:lang w:val="en-US"/>
        </w:rPr>
        <w:t xml:space="preserve">KIK: </w:t>
      </w:r>
      <w:hyperlink r:id="rId9" w:history="1">
        <w:r w:rsidR="00E45963">
          <w:rPr>
            <w:rStyle w:val="Hyperlink"/>
            <w:rFonts w:cstheme="minorHAnsi"/>
            <w:color w:val="auto"/>
            <w:lang w:val="en-US"/>
          </w:rPr>
          <w:t>kik@psy.ku.dk</w:t>
        </w:r>
      </w:hyperlink>
      <w:r w:rsidRPr="00BF57E9">
        <w:rPr>
          <w:rFonts w:cstheme="minorHAnsi"/>
          <w:lang w:val="en-US"/>
        </w:rPr>
        <w:t xml:space="preserve">, +45 </w:t>
      </w:r>
      <w:r w:rsidR="00E45963">
        <w:rPr>
          <w:rFonts w:cstheme="minorHAnsi"/>
          <w:lang w:val="en-US"/>
        </w:rPr>
        <w:t>3533 5050</w:t>
      </w:r>
      <w:r w:rsidR="00E45963" w:rsidRPr="00BF57E9">
        <w:rPr>
          <w:rFonts w:cstheme="minorHAnsi"/>
          <w:lang w:val="en-US"/>
        </w:rPr>
        <w:t>; ORCID</w:t>
      </w:r>
      <w:r w:rsidR="00E45963">
        <w:rPr>
          <w:rFonts w:cstheme="minorHAnsi"/>
          <w:lang w:val="en-US"/>
        </w:rPr>
        <w:t xml:space="preserve">: </w:t>
      </w:r>
      <w:r w:rsidR="00E45963" w:rsidRPr="00E45963">
        <w:rPr>
          <w:rFonts w:cstheme="minorHAnsi"/>
          <w:lang w:val="en-US"/>
        </w:rPr>
        <w:t>0000-0001-9234-9784</w:t>
      </w:r>
    </w:p>
    <w:p w14:paraId="379CDEE0" w14:textId="37634CD0" w:rsidR="00C675E6" w:rsidRPr="000D16DC" w:rsidRDefault="00C675E6" w:rsidP="00AB6FF1">
      <w:pPr>
        <w:rPr>
          <w:rFonts w:cstheme="minorHAnsi"/>
          <w:lang w:val="en-US"/>
        </w:rPr>
      </w:pPr>
      <w:r w:rsidRPr="000D16DC">
        <w:rPr>
          <w:rFonts w:cstheme="minorHAnsi"/>
          <w:lang w:val="en-US"/>
        </w:rPr>
        <w:t xml:space="preserve">SBA: </w:t>
      </w:r>
      <w:hyperlink r:id="rId10" w:history="1">
        <w:r w:rsidRPr="00DE2182">
          <w:rPr>
            <w:rStyle w:val="Hyperlink"/>
            <w:rFonts w:cstheme="minorHAnsi"/>
            <w:color w:val="auto"/>
            <w:lang w:val="en-US"/>
          </w:rPr>
          <w:t>vetc-chvic@mil.dk</w:t>
        </w:r>
      </w:hyperlink>
      <w:r w:rsidRPr="00DE2182">
        <w:rPr>
          <w:rFonts w:cstheme="minorHAnsi"/>
          <w:lang w:val="en-US"/>
        </w:rPr>
        <w:t>, +45 7281 9730</w:t>
      </w:r>
      <w:r w:rsidR="00AB6FF1" w:rsidRPr="00DE2182">
        <w:rPr>
          <w:rFonts w:cstheme="minorHAnsi"/>
          <w:lang w:val="en-US"/>
        </w:rPr>
        <w:t xml:space="preserve">; </w:t>
      </w:r>
      <w:r w:rsidR="00AB6FF1" w:rsidRPr="00E863CE">
        <w:rPr>
          <w:rFonts w:cstheme="minorHAnsi"/>
          <w:lang w:val="en-US"/>
        </w:rPr>
        <w:t>ORCID:</w:t>
      </w:r>
      <w:r w:rsidR="008E7713">
        <w:rPr>
          <w:rFonts w:cstheme="minorHAnsi"/>
          <w:lang w:val="en-US"/>
        </w:rPr>
        <w:t xml:space="preserve"> 0000-0001-8171-5435</w:t>
      </w:r>
    </w:p>
    <w:p w14:paraId="2BE9757E" w14:textId="5FD61BEF" w:rsidR="00D901B9" w:rsidRDefault="00C675E6" w:rsidP="00C675E6">
      <w:pPr>
        <w:rPr>
          <w:rFonts w:cstheme="minorHAnsi"/>
          <w:lang w:val="en-US"/>
        </w:rPr>
      </w:pPr>
      <w:r w:rsidRPr="00D901B9">
        <w:rPr>
          <w:rFonts w:cstheme="minorHAnsi"/>
          <w:lang w:val="en-US"/>
        </w:rPr>
        <w:t xml:space="preserve">TK: </w:t>
      </w:r>
      <w:hyperlink r:id="rId11" w:history="1">
        <w:r w:rsidRPr="00D901B9">
          <w:rPr>
            <w:rStyle w:val="Hyperlink"/>
            <w:rFonts w:cstheme="minorHAnsi"/>
            <w:color w:val="auto"/>
            <w:lang w:val="en-US"/>
          </w:rPr>
          <w:t>t.karatzias@napier.ac.uk</w:t>
        </w:r>
      </w:hyperlink>
      <w:r w:rsidRPr="00D901B9">
        <w:rPr>
          <w:rFonts w:cstheme="minorHAnsi"/>
          <w:lang w:val="en-US"/>
        </w:rPr>
        <w:t>, + 44 0131 4555345</w:t>
      </w:r>
      <w:r w:rsidR="00D901B9" w:rsidRPr="00DE2182">
        <w:rPr>
          <w:rFonts w:cstheme="minorHAnsi"/>
          <w:lang w:val="en-US"/>
        </w:rPr>
        <w:t xml:space="preserve">; </w:t>
      </w:r>
      <w:r w:rsidR="00D901B9" w:rsidRPr="00E863CE">
        <w:rPr>
          <w:rFonts w:cstheme="minorHAnsi"/>
          <w:lang w:val="en-US"/>
        </w:rPr>
        <w:t>ORCID:</w:t>
      </w:r>
      <w:r w:rsidR="00D901B9">
        <w:rPr>
          <w:rFonts w:cstheme="minorHAnsi"/>
          <w:lang w:val="en-US"/>
        </w:rPr>
        <w:t xml:space="preserve"> </w:t>
      </w:r>
      <w:r w:rsidR="00D901B9" w:rsidRPr="00D901B9">
        <w:rPr>
          <w:rFonts w:cstheme="minorHAnsi"/>
          <w:lang w:val="en-US"/>
        </w:rPr>
        <w:t>0000-0002-3002-0630</w:t>
      </w:r>
    </w:p>
    <w:p w14:paraId="33FA99BC" w14:textId="5C9747F2" w:rsidR="00136990" w:rsidRPr="00D901B9" w:rsidRDefault="00136990" w:rsidP="00C675E6">
      <w:pPr>
        <w:rPr>
          <w:rFonts w:cstheme="minorHAnsi"/>
          <w:lang w:val="en-US"/>
        </w:rPr>
      </w:pPr>
      <w:r w:rsidRPr="00136990">
        <w:rPr>
          <w:rFonts w:cstheme="minorHAnsi"/>
          <w:lang w:val="en-US"/>
        </w:rPr>
        <w:t xml:space="preserve">LRN: </w:t>
      </w:r>
      <w:hyperlink r:id="rId12" w:history="1">
        <w:r w:rsidRPr="00136990">
          <w:rPr>
            <w:rStyle w:val="Hyperlink"/>
            <w:rFonts w:cstheme="minorHAnsi"/>
            <w:color w:val="auto"/>
            <w:lang w:val="en-US"/>
          </w:rPr>
          <w:t>vetc-vic14@mil.dk</w:t>
        </w:r>
      </w:hyperlink>
      <w:r w:rsidRPr="00136990">
        <w:rPr>
          <w:rFonts w:cstheme="minorHAnsi"/>
          <w:lang w:val="en-US"/>
        </w:rPr>
        <w:t>, +45 72163233; ORCID: 0000-0002-0384-2006</w:t>
      </w:r>
    </w:p>
    <w:p w14:paraId="78C7D4F6" w14:textId="6E9AD7B8" w:rsidR="00C675E6" w:rsidRPr="00057B65" w:rsidRDefault="00C675E6" w:rsidP="00C675E6">
      <w:pPr>
        <w:rPr>
          <w:rFonts w:cstheme="minorHAnsi"/>
          <w:lang w:val="en-GB"/>
        </w:rPr>
      </w:pPr>
      <w:r w:rsidRPr="00057B65">
        <w:rPr>
          <w:rFonts w:cstheme="minorHAnsi"/>
          <w:lang w:val="en-GB"/>
        </w:rPr>
        <w:t xml:space="preserve">ABSN: </w:t>
      </w:r>
      <w:hyperlink r:id="rId13" w:history="1">
        <w:r w:rsidRPr="00057B65">
          <w:rPr>
            <w:rStyle w:val="Hyperlink"/>
            <w:rFonts w:cstheme="minorHAnsi"/>
            <w:color w:val="auto"/>
            <w:lang w:val="en-GB"/>
          </w:rPr>
          <w:t>vetc-vic004@mil.dk</w:t>
        </w:r>
      </w:hyperlink>
      <w:r w:rsidRPr="00057B65">
        <w:rPr>
          <w:rFonts w:cstheme="minorHAnsi"/>
          <w:lang w:val="en-GB"/>
        </w:rPr>
        <w:t>, +45 7216 3255</w:t>
      </w:r>
      <w:r w:rsidR="009F3A4E" w:rsidRPr="00057B65">
        <w:rPr>
          <w:rFonts w:cstheme="minorHAnsi"/>
          <w:lang w:val="en-GB"/>
        </w:rPr>
        <w:t xml:space="preserve">; ORCID: </w:t>
      </w:r>
      <w:r w:rsidR="009F3A4E" w:rsidRPr="00FE1F2E">
        <w:rPr>
          <w:lang w:val="en-GB"/>
        </w:rPr>
        <w:t>0000-0003-1260-2933</w:t>
      </w:r>
    </w:p>
    <w:p w14:paraId="2541E89D" w14:textId="77777777" w:rsidR="00C675E6" w:rsidRPr="00057B65" w:rsidRDefault="00C675E6" w:rsidP="00C675E6">
      <w:pPr>
        <w:rPr>
          <w:rFonts w:cstheme="minorHAnsi"/>
          <w:lang w:val="en-GB"/>
        </w:rPr>
      </w:pPr>
    </w:p>
    <w:p w14:paraId="1DAC156C" w14:textId="257AC0EA" w:rsidR="00CB455C" w:rsidRDefault="008C25D1" w:rsidP="008C25D1">
      <w:pPr>
        <w:pStyle w:val="Overskrift2"/>
        <w:rPr>
          <w:rStyle w:val="Overskrift2Tegn"/>
          <w:rFonts w:asciiTheme="minorHAnsi" w:eastAsiaTheme="minorHAnsi" w:hAnsiTheme="minorHAnsi" w:cstheme="minorHAnsi"/>
          <w:sz w:val="22"/>
          <w:szCs w:val="22"/>
        </w:rPr>
      </w:pPr>
      <w:r w:rsidRPr="00843E46">
        <w:rPr>
          <w:rStyle w:val="Overskrift2Tegn"/>
          <w:rFonts w:asciiTheme="minorHAnsi" w:eastAsiaTheme="minorHAnsi" w:hAnsiTheme="minorHAnsi" w:cstheme="minorHAnsi"/>
          <w:sz w:val="22"/>
          <w:szCs w:val="22"/>
        </w:rPr>
        <w:t xml:space="preserve">Word </w:t>
      </w:r>
      <w:r w:rsidR="0042491D" w:rsidRPr="00DE2182">
        <w:rPr>
          <w:rStyle w:val="Overskrift2Tegn"/>
          <w:rFonts w:asciiTheme="minorHAnsi" w:eastAsiaTheme="minorHAnsi" w:hAnsiTheme="minorHAnsi" w:cstheme="minorHAnsi"/>
          <w:sz w:val="22"/>
          <w:szCs w:val="22"/>
        </w:rPr>
        <w:t>count</w:t>
      </w:r>
      <w:r w:rsidR="0042491D" w:rsidRPr="008916E6">
        <w:rPr>
          <w:rStyle w:val="Overskrift2Tegn"/>
          <w:rFonts w:asciiTheme="minorHAnsi" w:eastAsiaTheme="minorHAnsi" w:hAnsiTheme="minorHAnsi" w:cstheme="minorHAnsi"/>
          <w:sz w:val="22"/>
          <w:szCs w:val="22"/>
        </w:rPr>
        <w:t>:</w:t>
      </w:r>
      <w:r w:rsidR="00065D75" w:rsidRPr="008916E6">
        <w:rPr>
          <w:rStyle w:val="Overskrift2Tegn"/>
          <w:rFonts w:asciiTheme="minorHAnsi" w:eastAsiaTheme="minorHAnsi" w:hAnsiTheme="minorHAnsi" w:cstheme="minorHAnsi"/>
          <w:sz w:val="22"/>
          <w:szCs w:val="22"/>
        </w:rPr>
        <w:t xml:space="preserve"> 3.6</w:t>
      </w:r>
      <w:r w:rsidR="00F20930">
        <w:rPr>
          <w:rStyle w:val="Overskrift2Tegn"/>
          <w:rFonts w:asciiTheme="minorHAnsi" w:eastAsiaTheme="minorHAnsi" w:hAnsiTheme="minorHAnsi" w:cstheme="minorHAnsi"/>
          <w:sz w:val="22"/>
          <w:szCs w:val="22"/>
        </w:rPr>
        <w:t>21</w:t>
      </w:r>
      <w:r w:rsidR="00065D75" w:rsidRPr="008916E6">
        <w:rPr>
          <w:rStyle w:val="Overskrift2Tegn"/>
          <w:rFonts w:asciiTheme="minorHAnsi" w:eastAsiaTheme="minorHAnsi" w:hAnsiTheme="minorHAnsi" w:cstheme="minorHAnsi"/>
          <w:sz w:val="22"/>
          <w:szCs w:val="22"/>
        </w:rPr>
        <w:t xml:space="preserve"> </w:t>
      </w:r>
    </w:p>
    <w:p w14:paraId="5DE33419" w14:textId="3E468403" w:rsidR="008C25D1" w:rsidRPr="000D16DC" w:rsidRDefault="0023332E" w:rsidP="00C675E6">
      <w:pPr>
        <w:rPr>
          <w:rFonts w:cstheme="minorHAnsi"/>
          <w:lang w:val="en-US"/>
        </w:rPr>
      </w:pPr>
      <w:r w:rsidRPr="00843E46">
        <w:rPr>
          <w:rFonts w:cstheme="minorHAnsi"/>
          <w:lang w:val="en-US"/>
        </w:rPr>
        <w:t>Tables: 4</w:t>
      </w:r>
    </w:p>
    <w:p w14:paraId="70529066" w14:textId="77777777" w:rsidR="00C675E6" w:rsidRPr="000D16DC" w:rsidRDefault="00C675E6" w:rsidP="00C675E6">
      <w:pPr>
        <w:rPr>
          <w:rFonts w:cstheme="minorHAnsi"/>
          <w:lang w:val="en-US"/>
        </w:rPr>
      </w:pPr>
      <w:r w:rsidRPr="000D16DC">
        <w:rPr>
          <w:rFonts w:cstheme="minorHAnsi"/>
          <w:lang w:val="en-US"/>
        </w:rPr>
        <w:t>Corresponding author: Sofie Folke, Department of Military Psychology, Danish Veterans Centre, Danish Defence, Ryvangs Allé 1-3, 2100 Copenhagen, Denmark. vetc-mpa43@mil.dk.</w:t>
      </w:r>
    </w:p>
    <w:p w14:paraId="2A7A99C8" w14:textId="77777777" w:rsidR="0071112E" w:rsidRPr="000D16DC" w:rsidRDefault="0071112E" w:rsidP="003C464D">
      <w:pPr>
        <w:pStyle w:val="Overskrift2"/>
        <w:rPr>
          <w:rStyle w:val="Overskrift2Tegn"/>
          <w:rFonts w:asciiTheme="minorHAnsi" w:eastAsiaTheme="minorHAnsi" w:hAnsiTheme="minorHAnsi" w:cstheme="minorHAnsi"/>
          <w:i/>
          <w:sz w:val="22"/>
          <w:szCs w:val="22"/>
        </w:rPr>
      </w:pPr>
    </w:p>
    <w:p w14:paraId="1D10795E" w14:textId="2DD6BEE9" w:rsidR="001A3C76" w:rsidRPr="00EA68FA" w:rsidRDefault="001A3C76" w:rsidP="00DC46C7">
      <w:pPr>
        <w:pStyle w:val="Overskrift2"/>
        <w:rPr>
          <w:rStyle w:val="Overskrift2Tegn"/>
          <w:rFonts w:asciiTheme="minorHAnsi" w:hAnsiTheme="minorHAnsi" w:cstheme="minorHAnsi"/>
          <w:b/>
          <w:bCs/>
          <w:sz w:val="22"/>
          <w:szCs w:val="22"/>
          <w:lang w:val="en-GB" w:eastAsia="en-GB"/>
        </w:rPr>
      </w:pPr>
      <w:r w:rsidRPr="00EA68FA">
        <w:rPr>
          <w:rStyle w:val="Overskrift2Tegn"/>
          <w:rFonts w:asciiTheme="minorHAnsi" w:eastAsiaTheme="minorHAnsi" w:hAnsiTheme="minorHAnsi" w:cstheme="minorHAnsi"/>
          <w:sz w:val="22"/>
          <w:szCs w:val="22"/>
        </w:rPr>
        <w:t xml:space="preserve"> </w:t>
      </w:r>
    </w:p>
    <w:p w14:paraId="2FB4D4E7" w14:textId="5FC02082" w:rsidR="003C464D" w:rsidRPr="0064409B" w:rsidRDefault="003C464D" w:rsidP="003C464D">
      <w:pPr>
        <w:pStyle w:val="Overskrift2"/>
        <w:rPr>
          <w:rFonts w:asciiTheme="minorHAnsi" w:hAnsiTheme="minorHAnsi" w:cstheme="minorHAnsi"/>
          <w:sz w:val="24"/>
          <w:szCs w:val="24"/>
        </w:rPr>
      </w:pPr>
      <w:r w:rsidRPr="000D16DC">
        <w:rPr>
          <w:rStyle w:val="Overskrift2Tegn"/>
          <w:rFonts w:asciiTheme="minorHAnsi" w:eastAsiaTheme="minorHAnsi" w:hAnsiTheme="minorHAnsi" w:cstheme="minorHAnsi"/>
          <w:sz w:val="22"/>
          <w:szCs w:val="22"/>
        </w:rPr>
        <w:br w:type="column"/>
      </w:r>
      <w:r w:rsidRPr="0064409B">
        <w:rPr>
          <w:rFonts w:asciiTheme="minorHAnsi" w:hAnsiTheme="minorHAnsi" w:cstheme="minorHAnsi"/>
          <w:sz w:val="24"/>
          <w:szCs w:val="24"/>
        </w:rPr>
        <w:lastRenderedPageBreak/>
        <w:t>Abstract</w:t>
      </w:r>
    </w:p>
    <w:p w14:paraId="3E251A01" w14:textId="55250758" w:rsidR="00F675D7" w:rsidRPr="000B101B" w:rsidRDefault="00F675D7" w:rsidP="00F675D7">
      <w:pPr>
        <w:pStyle w:val="Overskrift3"/>
        <w:spacing w:before="0" w:line="360" w:lineRule="auto"/>
        <w:rPr>
          <w:rFonts w:asciiTheme="minorHAnsi" w:hAnsiTheme="minorHAnsi" w:cstheme="minorHAnsi"/>
          <w:b w:val="0"/>
        </w:rPr>
      </w:pPr>
      <w:r>
        <w:rPr>
          <w:rFonts w:asciiTheme="minorHAnsi" w:hAnsiTheme="minorHAnsi" w:cstheme="minorHAnsi"/>
          <w:b w:val="0"/>
          <w:color w:val="auto"/>
        </w:rPr>
        <w:t xml:space="preserve">Purpose: </w:t>
      </w:r>
      <w:r w:rsidRPr="00B72AED">
        <w:rPr>
          <w:rFonts w:asciiTheme="minorHAnsi" w:hAnsiTheme="minorHAnsi" w:cstheme="minorHAnsi"/>
          <w:b w:val="0"/>
          <w:color w:val="auto"/>
        </w:rPr>
        <w:t xml:space="preserve">While a number of studies have investigated risk factors and comorbidities of ICD-11 </w:t>
      </w:r>
      <w:r w:rsidR="00B72AED" w:rsidRPr="00CE6C2C">
        <w:rPr>
          <w:rFonts w:asciiTheme="minorHAnsi" w:hAnsiTheme="minorHAnsi" w:cstheme="minorHAnsi"/>
          <w:b w:val="0"/>
        </w:rPr>
        <w:t>post-traumatic stress disorder (PTSD) and complex PTSD (CPTSD)</w:t>
      </w:r>
      <w:r w:rsidRPr="00CE6C2C">
        <w:rPr>
          <w:rFonts w:asciiTheme="minorHAnsi" w:hAnsiTheme="minorHAnsi" w:cstheme="minorHAnsi"/>
          <w:b w:val="0"/>
          <w:color w:val="auto"/>
        </w:rPr>
        <w:t xml:space="preserve"> </w:t>
      </w:r>
      <w:r w:rsidRPr="00B72AED">
        <w:rPr>
          <w:rFonts w:asciiTheme="minorHAnsi" w:hAnsiTheme="minorHAnsi" w:cstheme="minorHAnsi"/>
          <w:b w:val="0"/>
          <w:color w:val="auto"/>
        </w:rPr>
        <w:t>in various trauma exposed samples, few studies have been conducted in military samples</w:t>
      </w:r>
      <w:r w:rsidRPr="00B72AED">
        <w:rPr>
          <w:rFonts w:asciiTheme="minorHAnsi" w:hAnsiTheme="minorHAnsi" w:cstheme="minorHAnsi"/>
          <w:b w:val="0"/>
        </w:rPr>
        <w:t>. Existing studies with military samples have included</w:t>
      </w:r>
      <w:r>
        <w:rPr>
          <w:rFonts w:asciiTheme="minorHAnsi" w:hAnsiTheme="minorHAnsi" w:cstheme="minorHAnsi"/>
          <w:b w:val="0"/>
        </w:rPr>
        <w:t xml:space="preserve"> rather small samples. The aim of the present study was to identify </w:t>
      </w:r>
      <w:r>
        <w:rPr>
          <w:rFonts w:asciiTheme="minorHAnsi" w:hAnsiTheme="minorHAnsi" w:cstheme="minorHAnsi"/>
          <w:b w:val="0"/>
          <w:color w:val="auto"/>
        </w:rPr>
        <w:t xml:space="preserve">risk factors and comorbidities of ICD-11 PTSD and CPTSD in a large sample of previously deployed, treatment-seeking soldiers and veterans. </w:t>
      </w:r>
      <w:r>
        <w:rPr>
          <w:rFonts w:asciiTheme="minorHAnsi" w:hAnsiTheme="minorHAnsi" w:cstheme="minorHAnsi"/>
          <w:b w:val="0"/>
        </w:rPr>
        <w:t>Methods: Previously deployed, treatment-seeking Danish soldiers and veterans (</w:t>
      </w:r>
      <w:r>
        <w:rPr>
          <w:rFonts w:asciiTheme="minorHAnsi" w:hAnsiTheme="minorHAnsi" w:cstheme="minorHAnsi"/>
          <w:b w:val="0"/>
          <w:i/>
        </w:rPr>
        <w:t>N</w:t>
      </w:r>
      <w:r>
        <w:rPr>
          <w:rFonts w:asciiTheme="minorHAnsi" w:hAnsiTheme="minorHAnsi" w:cstheme="minorHAnsi"/>
          <w:b w:val="0"/>
        </w:rPr>
        <w:t>=599), recruited from the Military Psychology Department of the Danish Defense, completed the International Trauma Questionnaire (ITQ), as well as questionnaires of common mental health difficulties, trauma exposure, functioning</w:t>
      </w:r>
      <w:r w:rsidR="00233043">
        <w:rPr>
          <w:rFonts w:asciiTheme="minorHAnsi" w:hAnsiTheme="minorHAnsi" w:cstheme="minorHAnsi"/>
          <w:b w:val="0"/>
        </w:rPr>
        <w:t xml:space="preserve"> and</w:t>
      </w:r>
      <w:r>
        <w:rPr>
          <w:rFonts w:asciiTheme="minorHAnsi" w:hAnsiTheme="minorHAnsi" w:cstheme="minorHAnsi"/>
          <w:b w:val="0"/>
        </w:rPr>
        <w:t xml:space="preserve"> demographics</w:t>
      </w:r>
      <w:r w:rsidR="00233043">
        <w:rPr>
          <w:rFonts w:asciiTheme="minorHAnsi" w:hAnsiTheme="minorHAnsi" w:cstheme="minorHAnsi"/>
          <w:b w:val="0"/>
        </w:rPr>
        <w:t>.</w:t>
      </w:r>
      <w:r>
        <w:rPr>
          <w:rFonts w:asciiTheme="minorHAnsi" w:hAnsiTheme="minorHAnsi" w:cstheme="minorHAnsi"/>
          <w:b w:val="0"/>
        </w:rPr>
        <w:t xml:space="preserve"> Multivariate multinomial logistic regression analysis explored differences in self-reported exposure to adversity and health outcomes between those meeting ICD-11 criteria for probable PTSD, CPTSD and no trauma disorder. Results: A total of 13.0% met </w:t>
      </w:r>
      <w:r w:rsidR="00233043">
        <w:rPr>
          <w:rFonts w:asciiTheme="minorHAnsi" w:hAnsiTheme="minorHAnsi" w:cstheme="minorHAnsi"/>
          <w:b w:val="0"/>
        </w:rPr>
        <w:t xml:space="preserve">probable </w:t>
      </w:r>
      <w:r>
        <w:rPr>
          <w:rFonts w:asciiTheme="minorHAnsi" w:hAnsiTheme="minorHAnsi" w:cstheme="minorHAnsi"/>
          <w:b w:val="0"/>
        </w:rPr>
        <w:t xml:space="preserve">ICD-11 criteria for PTSD and 31.4% for CPTSD. Risk factors for CPTSD (compared to those with no trauma disorder) included exposure to warfare or combat, longer duration since the traumatic event and being single. Those with CPTSD were more likely than those with PTSD or no trauma disorder to endorse symptoms </w:t>
      </w:r>
      <w:r w:rsidR="00233043">
        <w:rPr>
          <w:rFonts w:asciiTheme="minorHAnsi" w:hAnsiTheme="minorHAnsi" w:cstheme="minorHAnsi"/>
          <w:b w:val="0"/>
        </w:rPr>
        <w:t xml:space="preserve">of </w:t>
      </w:r>
      <w:r>
        <w:rPr>
          <w:rFonts w:asciiTheme="minorHAnsi" w:hAnsiTheme="minorHAnsi" w:cstheme="minorHAnsi"/>
          <w:b w:val="0"/>
        </w:rPr>
        <w:t>depression, anxiety, stress, use of psychotropic medication, and suicide attempts. Conclusion: CPTSD is a more common and debilitating condition compared to PTSD in treatment-seeking soldiers and veterans. Further research should focus on testing existing and novel interventions for CPTSD in the military.</w:t>
      </w:r>
    </w:p>
    <w:p w14:paraId="5901E22F" w14:textId="7D4B0FB1" w:rsidR="0046357E" w:rsidRPr="000D16DC" w:rsidRDefault="0062112F" w:rsidP="0046357E">
      <w:pPr>
        <w:spacing w:after="0" w:line="360" w:lineRule="auto"/>
        <w:rPr>
          <w:rFonts w:cstheme="minorHAnsi"/>
          <w:lang w:val="en-US"/>
        </w:rPr>
      </w:pPr>
      <w:r>
        <w:rPr>
          <w:rFonts w:cstheme="minorHAnsi"/>
          <w:lang w:val="en-US"/>
        </w:rPr>
        <w:t xml:space="preserve"> </w:t>
      </w:r>
    </w:p>
    <w:p w14:paraId="384F0AC1" w14:textId="68ADCF7F" w:rsidR="003C464D" w:rsidRDefault="0046357E" w:rsidP="003C464D">
      <w:pPr>
        <w:spacing w:after="0" w:line="360" w:lineRule="auto"/>
        <w:rPr>
          <w:rFonts w:cstheme="minorHAnsi"/>
          <w:lang w:val="en-US"/>
        </w:rPr>
      </w:pPr>
      <w:r w:rsidRPr="000D16DC">
        <w:rPr>
          <w:rFonts w:cstheme="minorHAnsi"/>
          <w:i/>
          <w:lang w:val="en-US"/>
        </w:rPr>
        <w:t>Keywords:</w:t>
      </w:r>
      <w:r w:rsidR="004B6F5D" w:rsidRPr="000D16DC">
        <w:rPr>
          <w:rFonts w:cstheme="minorHAnsi"/>
          <w:lang w:val="en-US"/>
        </w:rPr>
        <w:t xml:space="preserve"> PTSD, </w:t>
      </w:r>
      <w:r w:rsidRPr="000D16DC">
        <w:rPr>
          <w:rFonts w:cstheme="minorHAnsi"/>
          <w:lang w:val="en-US"/>
        </w:rPr>
        <w:t xml:space="preserve">Complex </w:t>
      </w:r>
      <w:r w:rsidR="004B6F5D" w:rsidRPr="000D16DC">
        <w:rPr>
          <w:rFonts w:cstheme="minorHAnsi"/>
          <w:lang w:val="en-US"/>
        </w:rPr>
        <w:t xml:space="preserve">PTSD, </w:t>
      </w:r>
      <w:r w:rsidR="00C87D5E" w:rsidRPr="000D16DC">
        <w:rPr>
          <w:rFonts w:cstheme="minorHAnsi"/>
          <w:lang w:val="en-US"/>
        </w:rPr>
        <w:t xml:space="preserve">ICD-11, </w:t>
      </w:r>
      <w:r w:rsidR="004B6F5D" w:rsidRPr="000D16DC">
        <w:rPr>
          <w:rFonts w:cstheme="minorHAnsi"/>
          <w:lang w:val="en-US"/>
        </w:rPr>
        <w:t>V</w:t>
      </w:r>
      <w:r w:rsidR="009A5227">
        <w:rPr>
          <w:rFonts w:cstheme="minorHAnsi"/>
          <w:lang w:val="en-US"/>
        </w:rPr>
        <w:t>eterans,</w:t>
      </w:r>
      <w:r w:rsidR="004B6F5D" w:rsidRPr="000D16DC">
        <w:rPr>
          <w:rFonts w:cstheme="minorHAnsi"/>
          <w:lang w:val="en-US"/>
        </w:rPr>
        <w:t xml:space="preserve"> Military, Trauma</w:t>
      </w:r>
    </w:p>
    <w:p w14:paraId="13889E72" w14:textId="2414C0C8" w:rsidR="007442C3" w:rsidRPr="007442C3" w:rsidRDefault="007442C3" w:rsidP="007442C3">
      <w:pPr>
        <w:spacing w:after="0" w:line="360" w:lineRule="auto"/>
        <w:rPr>
          <w:rFonts w:cstheme="minorHAnsi"/>
          <w:lang w:val="en-US"/>
        </w:rPr>
      </w:pPr>
      <w:r w:rsidRPr="007442C3">
        <w:rPr>
          <w:rFonts w:cstheme="minorHAnsi"/>
          <w:lang w:val="en-US"/>
        </w:rPr>
        <w:t xml:space="preserve"> </w:t>
      </w:r>
    </w:p>
    <w:p w14:paraId="4B5C543F" w14:textId="77777777" w:rsidR="003C464D" w:rsidRPr="000D16DC" w:rsidRDefault="003C464D" w:rsidP="003C464D">
      <w:pPr>
        <w:spacing w:after="0" w:line="360" w:lineRule="auto"/>
        <w:rPr>
          <w:rFonts w:cstheme="minorHAnsi"/>
          <w:lang w:val="en-US"/>
        </w:rPr>
      </w:pPr>
    </w:p>
    <w:p w14:paraId="3018CF54" w14:textId="503B5E2E" w:rsidR="00A41CBA" w:rsidRPr="0064409B" w:rsidRDefault="00326889" w:rsidP="00A41CBA">
      <w:pPr>
        <w:spacing w:after="0" w:line="360" w:lineRule="auto"/>
        <w:rPr>
          <w:rFonts w:cstheme="minorHAnsi"/>
          <w:b/>
          <w:sz w:val="24"/>
          <w:szCs w:val="24"/>
          <w:lang w:val="en-US"/>
        </w:rPr>
      </w:pPr>
      <w:r w:rsidRPr="000D16DC">
        <w:rPr>
          <w:rStyle w:val="Overskrift2Tegn"/>
          <w:rFonts w:asciiTheme="minorHAnsi" w:eastAsiaTheme="minorHAnsi" w:hAnsiTheme="minorHAnsi" w:cstheme="minorHAnsi"/>
          <w:sz w:val="22"/>
          <w:szCs w:val="22"/>
        </w:rPr>
        <w:br w:type="column"/>
      </w:r>
      <w:r w:rsidR="007E3CD6">
        <w:rPr>
          <w:rStyle w:val="Overskrift2Tegn"/>
          <w:rFonts w:asciiTheme="minorHAnsi" w:eastAsiaTheme="minorHAnsi" w:hAnsiTheme="minorHAnsi" w:cstheme="minorHAnsi"/>
          <w:sz w:val="24"/>
          <w:szCs w:val="24"/>
        </w:rPr>
        <w:lastRenderedPageBreak/>
        <w:t>I</w:t>
      </w:r>
      <w:r w:rsidR="003C464D" w:rsidRPr="0064409B">
        <w:rPr>
          <w:rStyle w:val="Overskrift2Tegn"/>
          <w:rFonts w:asciiTheme="minorHAnsi" w:eastAsiaTheme="minorHAnsi" w:hAnsiTheme="minorHAnsi" w:cstheme="minorHAnsi"/>
          <w:sz w:val="24"/>
          <w:szCs w:val="24"/>
        </w:rPr>
        <w:t>ntroduction</w:t>
      </w:r>
    </w:p>
    <w:p w14:paraId="2C1B5FC9" w14:textId="0F02B0D0" w:rsidR="003D6373" w:rsidRDefault="00952B35" w:rsidP="00952B35">
      <w:pPr>
        <w:spacing w:after="0" w:line="360" w:lineRule="auto"/>
        <w:rPr>
          <w:lang w:val="en-US"/>
        </w:rPr>
      </w:pPr>
      <w:r w:rsidRPr="000D16DC">
        <w:rPr>
          <w:lang w:val="en-US"/>
        </w:rPr>
        <w:t>The</w:t>
      </w:r>
      <w:r w:rsidR="003F0CD8">
        <w:rPr>
          <w:lang w:val="en-US"/>
        </w:rPr>
        <w:t xml:space="preserve"> eleventh revision of ICD</w:t>
      </w:r>
      <w:r w:rsidR="00D23C5B">
        <w:rPr>
          <w:lang w:val="en-US"/>
        </w:rPr>
        <w:t xml:space="preserve"> (ICD-11)</w:t>
      </w:r>
      <w:r w:rsidR="004431F6">
        <w:rPr>
          <w:lang w:val="en-US"/>
        </w:rPr>
        <w:t xml:space="preserve"> </w:t>
      </w:r>
      <w:r w:rsidR="00DE60D3" w:rsidRPr="00DE60D3">
        <w:rPr>
          <w:rFonts w:ascii="Calibri" w:hAnsi="Calibri" w:cs="Calibri"/>
          <w:lang w:val="en-US"/>
        </w:rPr>
        <w:t>(World Health Organization, 2018)</w:t>
      </w:r>
      <w:r w:rsidR="00D23C5B">
        <w:rPr>
          <w:lang w:val="en-US"/>
        </w:rPr>
        <w:t>,</w:t>
      </w:r>
      <w:r w:rsidR="003F0CD8">
        <w:rPr>
          <w:lang w:val="en-US"/>
        </w:rPr>
        <w:t xml:space="preserve"> released in 2018, </w:t>
      </w:r>
      <w:r w:rsidRPr="000D16DC">
        <w:rPr>
          <w:lang w:val="en-US"/>
        </w:rPr>
        <w:t>describes two trauma-</w:t>
      </w:r>
      <w:r w:rsidR="003F0CD8">
        <w:rPr>
          <w:lang w:val="en-US"/>
        </w:rPr>
        <w:t>related disorders: p</w:t>
      </w:r>
      <w:r w:rsidRPr="000D16DC">
        <w:rPr>
          <w:lang w:val="en-US"/>
        </w:rPr>
        <w:t>ost</w:t>
      </w:r>
      <w:r w:rsidR="003F0CD8">
        <w:rPr>
          <w:lang w:val="en-US"/>
        </w:rPr>
        <w:t>-traumatic stress disorder (PTSD) and c</w:t>
      </w:r>
      <w:r w:rsidRPr="000D16DC">
        <w:rPr>
          <w:lang w:val="en-US"/>
        </w:rPr>
        <w:t>omplex PTSD (CPTSD). Diagnosis of PTSD requires (1) re-exper</w:t>
      </w:r>
      <w:r w:rsidR="009A450E">
        <w:rPr>
          <w:lang w:val="en-US"/>
        </w:rPr>
        <w:t xml:space="preserve">iencing </w:t>
      </w:r>
      <w:r w:rsidR="00AD30AA">
        <w:rPr>
          <w:lang w:val="en-US"/>
        </w:rPr>
        <w:t xml:space="preserve">of the traumatic event </w:t>
      </w:r>
      <w:r w:rsidR="009A450E">
        <w:rPr>
          <w:lang w:val="en-US"/>
        </w:rPr>
        <w:t>in the here and now</w:t>
      </w:r>
      <w:r w:rsidRPr="000D16DC">
        <w:rPr>
          <w:lang w:val="en-US"/>
        </w:rPr>
        <w:t>, (2) avoid</w:t>
      </w:r>
      <w:r w:rsidR="009A450E">
        <w:rPr>
          <w:lang w:val="en-US"/>
        </w:rPr>
        <w:t>ance of traumatic reminders</w:t>
      </w:r>
      <w:r w:rsidRPr="000D16DC">
        <w:rPr>
          <w:lang w:val="en-US"/>
        </w:rPr>
        <w:t xml:space="preserve"> and </w:t>
      </w:r>
      <w:r w:rsidR="009A450E">
        <w:rPr>
          <w:lang w:val="en-US"/>
        </w:rPr>
        <w:t>(3) sense of current threat</w:t>
      </w:r>
      <w:r w:rsidRPr="000D16DC">
        <w:rPr>
          <w:lang w:val="en-US"/>
        </w:rPr>
        <w:t xml:space="preserve">. </w:t>
      </w:r>
      <w:r w:rsidR="00AD30AA">
        <w:rPr>
          <w:lang w:val="en-US"/>
        </w:rPr>
        <w:t xml:space="preserve">The ICD-11 </w:t>
      </w:r>
      <w:r w:rsidR="00A77623">
        <w:rPr>
          <w:lang w:val="en-US"/>
        </w:rPr>
        <w:t>conceptualizes</w:t>
      </w:r>
      <w:r w:rsidR="00AD30AA">
        <w:rPr>
          <w:lang w:val="en-US"/>
        </w:rPr>
        <w:t xml:space="preserve"> PTSD primarily as a fear response and the re-experiencing and avoidance symptoms are directly </w:t>
      </w:r>
      <w:r w:rsidR="00D24461">
        <w:rPr>
          <w:lang w:val="en-US"/>
        </w:rPr>
        <w:t xml:space="preserve">linked </w:t>
      </w:r>
      <w:r w:rsidR="00AD30AA">
        <w:rPr>
          <w:lang w:val="en-US"/>
        </w:rPr>
        <w:t>to the traumatic event. C</w:t>
      </w:r>
      <w:r w:rsidR="00C37FFB">
        <w:rPr>
          <w:lang w:val="en-US"/>
        </w:rPr>
        <w:t xml:space="preserve">PTSD </w:t>
      </w:r>
      <w:r w:rsidR="00D24461">
        <w:rPr>
          <w:lang w:val="en-US"/>
        </w:rPr>
        <w:t>follows</w:t>
      </w:r>
      <w:r w:rsidR="00AD30AA" w:rsidRPr="00AD30AA">
        <w:rPr>
          <w:lang w:val="en-US"/>
        </w:rPr>
        <w:t xml:space="preserve"> repeated o</w:t>
      </w:r>
      <w:r w:rsidR="00F20310">
        <w:rPr>
          <w:lang w:val="en-US"/>
        </w:rPr>
        <w:t>r prolonged traumatic stressors</w:t>
      </w:r>
      <w:r w:rsidR="00D24461">
        <w:rPr>
          <w:lang w:val="en-US"/>
        </w:rPr>
        <w:t xml:space="preserve"> causing</w:t>
      </w:r>
      <w:r w:rsidR="00AD30AA" w:rsidRPr="00AD30AA">
        <w:rPr>
          <w:lang w:val="en-US"/>
        </w:rPr>
        <w:t xml:space="preserve"> changes in self </w:t>
      </w:r>
      <w:r w:rsidR="00A77623" w:rsidRPr="00AD30AA">
        <w:rPr>
          <w:lang w:val="en-US"/>
        </w:rPr>
        <w:t>organization</w:t>
      </w:r>
      <w:r w:rsidR="00AD30AA" w:rsidRPr="00AD30AA">
        <w:rPr>
          <w:lang w:val="en-US"/>
        </w:rPr>
        <w:t xml:space="preserve"> (”Disturbances in Self-</w:t>
      </w:r>
      <w:r w:rsidR="00A77623" w:rsidRPr="00AD30AA">
        <w:rPr>
          <w:lang w:val="en-US"/>
        </w:rPr>
        <w:t>organization</w:t>
      </w:r>
      <w:r w:rsidR="00AD30AA" w:rsidRPr="00AD30AA">
        <w:rPr>
          <w:lang w:val="en-US"/>
        </w:rPr>
        <w:t>”, shortened DSO)</w:t>
      </w:r>
      <w:r w:rsidR="00F20310">
        <w:rPr>
          <w:lang w:val="en-US"/>
        </w:rPr>
        <w:t>.</w:t>
      </w:r>
      <w:r w:rsidR="00C37FFB">
        <w:rPr>
          <w:lang w:val="en-US"/>
        </w:rPr>
        <w:t xml:space="preserve"> </w:t>
      </w:r>
      <w:r w:rsidR="002E6BBE">
        <w:rPr>
          <w:lang w:val="en-US"/>
        </w:rPr>
        <w:t>The DSO construct i</w:t>
      </w:r>
      <w:r w:rsidR="002C37E1">
        <w:rPr>
          <w:lang w:val="en-US"/>
        </w:rPr>
        <w:t>s drawn from studies of trauma exposed</w:t>
      </w:r>
      <w:r w:rsidR="002E6BBE">
        <w:rPr>
          <w:lang w:val="en-US"/>
        </w:rPr>
        <w:t xml:space="preserve"> populations </w:t>
      </w:r>
      <w:r w:rsidR="00233043">
        <w:rPr>
          <w:lang w:val="en-US"/>
        </w:rPr>
        <w:t>describing</w:t>
      </w:r>
      <w:r w:rsidR="002E6BBE">
        <w:rPr>
          <w:lang w:val="en-US"/>
        </w:rPr>
        <w:t xml:space="preserve"> symptom presentations that reflect </w:t>
      </w:r>
      <w:r w:rsidR="00360BEB">
        <w:rPr>
          <w:lang w:val="en-US"/>
        </w:rPr>
        <w:t xml:space="preserve">severe and pervasive problems in </w:t>
      </w:r>
      <w:r w:rsidR="008002CF">
        <w:rPr>
          <w:lang w:val="en-US"/>
        </w:rPr>
        <w:t>emotion regulation (</w:t>
      </w:r>
      <w:r w:rsidR="00233043">
        <w:rPr>
          <w:lang w:val="en-US"/>
        </w:rPr>
        <w:t xml:space="preserve">i.e. </w:t>
      </w:r>
      <w:r w:rsidR="00360BEB">
        <w:rPr>
          <w:lang w:val="en-US"/>
        </w:rPr>
        <w:t xml:space="preserve">affect hyperactivation or deactivation), in </w:t>
      </w:r>
      <w:r w:rsidR="002E6BBE">
        <w:rPr>
          <w:lang w:val="en-US"/>
        </w:rPr>
        <w:t>the experience of a diminished and defeated sense of self</w:t>
      </w:r>
      <w:r w:rsidR="008002CF">
        <w:rPr>
          <w:lang w:val="en-US"/>
        </w:rPr>
        <w:t xml:space="preserve"> (</w:t>
      </w:r>
      <w:r w:rsidR="00233043">
        <w:rPr>
          <w:lang w:val="en-US"/>
        </w:rPr>
        <w:t xml:space="preserve">i.e. </w:t>
      </w:r>
      <w:r w:rsidR="008002CF">
        <w:rPr>
          <w:lang w:val="en-US"/>
        </w:rPr>
        <w:t xml:space="preserve">feeling a failure or feeling worthless), </w:t>
      </w:r>
      <w:r w:rsidR="002E6BBE">
        <w:rPr>
          <w:lang w:val="en-US"/>
        </w:rPr>
        <w:t>and in</w:t>
      </w:r>
      <w:r w:rsidR="008002CF">
        <w:rPr>
          <w:lang w:val="en-US"/>
        </w:rPr>
        <w:t xml:space="preserve"> disturbed relationships (</w:t>
      </w:r>
      <w:r w:rsidR="00233043">
        <w:rPr>
          <w:lang w:val="en-US"/>
        </w:rPr>
        <w:t xml:space="preserve">i.e. </w:t>
      </w:r>
      <w:r w:rsidR="008002CF">
        <w:rPr>
          <w:lang w:val="en-US"/>
        </w:rPr>
        <w:t>feeling distant or cut-off from others or finding it difficult to stay emotionally close to others)</w:t>
      </w:r>
      <w:r w:rsidR="00F70553">
        <w:rPr>
          <w:lang w:val="en-US"/>
        </w:rPr>
        <w:t xml:space="preserve"> </w:t>
      </w:r>
      <w:r w:rsidR="00DE60D3" w:rsidRPr="008C2BCD">
        <w:rPr>
          <w:rFonts w:ascii="Calibri" w:hAnsi="Calibri" w:cs="Calibri"/>
          <w:lang w:val="en-US"/>
        </w:rPr>
        <w:t>(Maercker et al., 2013)</w:t>
      </w:r>
      <w:r w:rsidR="00D24461">
        <w:rPr>
          <w:lang w:val="en-US"/>
        </w:rPr>
        <w:t xml:space="preserve">. </w:t>
      </w:r>
      <w:r w:rsidR="00AD30AA">
        <w:rPr>
          <w:lang w:val="en-US"/>
        </w:rPr>
        <w:t>A</w:t>
      </w:r>
      <w:r w:rsidR="00AD30AA" w:rsidRPr="00AD30AA">
        <w:rPr>
          <w:lang w:val="en-US"/>
        </w:rPr>
        <w:t xml:space="preserve"> diagnosis of CPTSD requires fulfilling the PTSD criteria in addition to the </w:t>
      </w:r>
      <w:r w:rsidR="00A77623" w:rsidRPr="00AD30AA">
        <w:rPr>
          <w:lang w:val="en-US"/>
        </w:rPr>
        <w:t>fulfillment</w:t>
      </w:r>
      <w:r w:rsidR="00AD30AA" w:rsidRPr="00AD30AA">
        <w:rPr>
          <w:lang w:val="en-US"/>
        </w:rPr>
        <w:t xml:space="preserve"> of</w:t>
      </w:r>
      <w:r w:rsidR="00D24461">
        <w:rPr>
          <w:lang w:val="en-US"/>
        </w:rPr>
        <w:t xml:space="preserve"> the</w:t>
      </w:r>
      <w:r w:rsidR="00AD30AA" w:rsidRPr="00AD30AA">
        <w:rPr>
          <w:lang w:val="en-US"/>
        </w:rPr>
        <w:t xml:space="preserve"> three (impaired) self-</w:t>
      </w:r>
      <w:r w:rsidR="00A77623" w:rsidRPr="00AD30AA">
        <w:rPr>
          <w:lang w:val="en-US"/>
        </w:rPr>
        <w:t>organization</w:t>
      </w:r>
      <w:r w:rsidR="00AD30AA" w:rsidRPr="00AD30AA">
        <w:rPr>
          <w:lang w:val="en-US"/>
        </w:rPr>
        <w:t xml:space="preserve"> clusters</w:t>
      </w:r>
      <w:r w:rsidR="00D24461">
        <w:rPr>
          <w:lang w:val="en-US"/>
        </w:rPr>
        <w:t>.</w:t>
      </w:r>
      <w:r w:rsidRPr="000D16DC">
        <w:rPr>
          <w:lang w:val="en-US"/>
        </w:rPr>
        <w:t xml:space="preserve"> </w:t>
      </w:r>
      <w:r w:rsidR="00682252">
        <w:rPr>
          <w:lang w:val="en-US"/>
        </w:rPr>
        <w:t xml:space="preserve"> </w:t>
      </w:r>
    </w:p>
    <w:p w14:paraId="003E2162" w14:textId="19C17223" w:rsidR="00937084" w:rsidRPr="00C663F7" w:rsidRDefault="009A450E" w:rsidP="001779FC">
      <w:pPr>
        <w:spacing w:after="0" w:line="360" w:lineRule="auto"/>
        <w:rPr>
          <w:lang w:val="en-US"/>
        </w:rPr>
      </w:pPr>
      <w:r>
        <w:rPr>
          <w:lang w:val="en-US"/>
        </w:rPr>
        <w:tab/>
      </w:r>
      <w:r w:rsidR="00F70553">
        <w:rPr>
          <w:lang w:val="en-US"/>
        </w:rPr>
        <w:t>In</w:t>
      </w:r>
      <w:r w:rsidR="00CD24B1">
        <w:rPr>
          <w:lang w:val="en-US"/>
        </w:rPr>
        <w:t xml:space="preserve"> ICD-11</w:t>
      </w:r>
      <w:r w:rsidR="00AC090E">
        <w:rPr>
          <w:lang w:val="en-US"/>
        </w:rPr>
        <w:t>,</w:t>
      </w:r>
      <w:r w:rsidR="00CD24B1">
        <w:rPr>
          <w:lang w:val="en-US"/>
        </w:rPr>
        <w:t xml:space="preserve"> </w:t>
      </w:r>
      <w:r w:rsidR="00D24461">
        <w:rPr>
          <w:lang w:val="en-US"/>
        </w:rPr>
        <w:t xml:space="preserve">the </w:t>
      </w:r>
      <w:r w:rsidR="00CD24B1">
        <w:rPr>
          <w:lang w:val="en-US"/>
        </w:rPr>
        <w:t xml:space="preserve">type </w:t>
      </w:r>
      <w:r w:rsidR="00952B35" w:rsidRPr="000D16DC">
        <w:rPr>
          <w:lang w:val="en-US"/>
        </w:rPr>
        <w:t xml:space="preserve">of traumatic </w:t>
      </w:r>
      <w:r w:rsidR="00D24461">
        <w:rPr>
          <w:lang w:val="en-US"/>
        </w:rPr>
        <w:t>stressor</w:t>
      </w:r>
      <w:r w:rsidR="00952B35" w:rsidRPr="000D16DC">
        <w:rPr>
          <w:lang w:val="en-US"/>
        </w:rPr>
        <w:t xml:space="preserve"> is considered a risk factor rather than a prerequisite for a differential diagnosis</w:t>
      </w:r>
      <w:r w:rsidR="00275435">
        <w:rPr>
          <w:lang w:val="en-US"/>
        </w:rPr>
        <w:t xml:space="preserve"> </w:t>
      </w:r>
      <w:r w:rsidR="00FD2287" w:rsidRPr="00FD2287">
        <w:rPr>
          <w:rFonts w:ascii="Calibri" w:hAnsi="Calibri" w:cs="Calibri"/>
          <w:lang w:val="en-US"/>
        </w:rPr>
        <w:t>(Cloitre, 2020; Hyland et al., 2017a)</w:t>
      </w:r>
      <w:r w:rsidR="00952B35" w:rsidRPr="000D16DC">
        <w:rPr>
          <w:lang w:val="en-US"/>
        </w:rPr>
        <w:t xml:space="preserve">. </w:t>
      </w:r>
      <w:r w:rsidR="00496D01">
        <w:rPr>
          <w:lang w:val="en-US"/>
        </w:rPr>
        <w:t>At this point, there is substantial evidence supporting the distinction between ICD-11 PTSD and CPTSD</w:t>
      </w:r>
      <w:r w:rsidR="009254BA">
        <w:rPr>
          <w:lang w:val="en-US"/>
        </w:rPr>
        <w:t xml:space="preserve">. </w:t>
      </w:r>
      <w:r w:rsidR="001779FC">
        <w:rPr>
          <w:lang w:val="en-US"/>
        </w:rPr>
        <w:t>A recent synthesis of research investiga</w:t>
      </w:r>
      <w:r w:rsidR="00585B13">
        <w:rPr>
          <w:lang w:val="en-US"/>
        </w:rPr>
        <w:t>ting the latent structure of</w:t>
      </w:r>
      <w:r w:rsidR="001779FC">
        <w:rPr>
          <w:lang w:val="en-US"/>
        </w:rPr>
        <w:t xml:space="preserve"> The International Trauma Questionnaire</w:t>
      </w:r>
      <w:r w:rsidR="00D9415B" w:rsidRPr="00D9415B">
        <w:rPr>
          <w:rFonts w:cstheme="minorHAnsi"/>
          <w:b/>
          <w:lang w:val="en-US"/>
        </w:rPr>
        <w:t xml:space="preserve"> </w:t>
      </w:r>
      <w:r w:rsidR="00D9415B" w:rsidRPr="00D9415B">
        <w:rPr>
          <w:rFonts w:ascii="Calibri" w:hAnsi="Calibri"/>
          <w:lang w:val="en-US"/>
        </w:rPr>
        <w:t>(ITQ; Cloitre et al., 2018)</w:t>
      </w:r>
      <w:r w:rsidR="001779FC">
        <w:rPr>
          <w:lang w:val="en-US"/>
        </w:rPr>
        <w:t xml:space="preserve">, a self-report measure for the assessment of ICD-11 PTSD and CPTSD diagnoses, found </w:t>
      </w:r>
      <w:r w:rsidR="009254BA">
        <w:rPr>
          <w:lang w:val="en-US"/>
        </w:rPr>
        <w:t>support</w:t>
      </w:r>
      <w:r w:rsidR="001779FC">
        <w:rPr>
          <w:lang w:val="en-US"/>
        </w:rPr>
        <w:t xml:space="preserve"> for the conceptual coherence of</w:t>
      </w:r>
      <w:r w:rsidR="009254BA">
        <w:rPr>
          <w:lang w:val="en-US"/>
        </w:rPr>
        <w:t xml:space="preserve"> PTSD and CPTSD as empirically distinguishable disorders </w:t>
      </w:r>
      <w:r w:rsidR="00DE60D3" w:rsidRPr="002F3109">
        <w:rPr>
          <w:rFonts w:ascii="Calibri" w:hAnsi="Calibri" w:cs="Calibri"/>
          <w:lang w:val="en-US"/>
        </w:rPr>
        <w:t>(Redican et al., 2021)</w:t>
      </w:r>
      <w:r w:rsidR="00496D01">
        <w:rPr>
          <w:lang w:val="en-US"/>
        </w:rPr>
        <w:t xml:space="preserve">. </w:t>
      </w:r>
      <w:r w:rsidR="001779FC">
        <w:rPr>
          <w:lang w:val="en-US"/>
        </w:rPr>
        <w:t>Moreover, l</w:t>
      </w:r>
      <w:r w:rsidR="0054721C">
        <w:rPr>
          <w:lang w:val="en-US"/>
        </w:rPr>
        <w:t xml:space="preserve">atent class </w:t>
      </w:r>
      <w:r w:rsidR="009744C9">
        <w:rPr>
          <w:lang w:val="en-US"/>
        </w:rPr>
        <w:t>analyses have</w:t>
      </w:r>
      <w:r w:rsidR="00AC090E">
        <w:rPr>
          <w:lang w:val="en-US"/>
        </w:rPr>
        <w:t xml:space="preserve"> </w:t>
      </w:r>
      <w:r w:rsidR="0054721C" w:rsidRPr="00D866F5">
        <w:rPr>
          <w:lang w:val="en-US"/>
        </w:rPr>
        <w:t>identified symptom profiles following either a CPTSD or a PTSD profile</w:t>
      </w:r>
      <w:r w:rsidR="00EB2D84" w:rsidRPr="00D866F5">
        <w:rPr>
          <w:lang w:val="en-US"/>
        </w:rPr>
        <w:t xml:space="preserve"> in</w:t>
      </w:r>
      <w:r w:rsidR="001779FC">
        <w:rPr>
          <w:lang w:val="en-US"/>
        </w:rPr>
        <w:t xml:space="preserve"> various</w:t>
      </w:r>
      <w:r w:rsidR="00EB2D84" w:rsidRPr="00D866F5">
        <w:rPr>
          <w:lang w:val="en-US"/>
        </w:rPr>
        <w:t xml:space="preserve"> trauma exposed populations</w:t>
      </w:r>
      <w:r w:rsidR="006E0BCF">
        <w:rPr>
          <w:lang w:val="en-US"/>
        </w:rPr>
        <w:t xml:space="preserve"> </w:t>
      </w:r>
      <w:r w:rsidR="00DE60D3" w:rsidRPr="00F20930">
        <w:rPr>
          <w:rFonts w:ascii="Calibri" w:hAnsi="Calibri" w:cs="Calibri"/>
          <w:lang w:val="en-US"/>
        </w:rPr>
        <w:t>(Brewin et al., 2017)</w:t>
      </w:r>
      <w:r w:rsidR="00EB2D84" w:rsidRPr="00C663F7">
        <w:rPr>
          <w:lang w:val="en-US"/>
        </w:rPr>
        <w:t xml:space="preserve">, including </w:t>
      </w:r>
      <w:r w:rsidR="00D24461">
        <w:rPr>
          <w:lang w:val="en-US"/>
        </w:rPr>
        <w:t xml:space="preserve">some </w:t>
      </w:r>
      <w:r w:rsidR="00AC090E">
        <w:rPr>
          <w:lang w:val="en-US"/>
        </w:rPr>
        <w:t xml:space="preserve">studies of </w:t>
      </w:r>
      <w:r w:rsidR="00EB2D84" w:rsidRPr="00C663F7">
        <w:rPr>
          <w:lang w:val="en-US"/>
        </w:rPr>
        <w:t>military samples</w:t>
      </w:r>
      <w:r w:rsidR="00C663F7">
        <w:rPr>
          <w:lang w:val="en-US"/>
        </w:rPr>
        <w:t xml:space="preserve"> </w:t>
      </w:r>
      <w:r w:rsidR="00DE60D3" w:rsidRPr="002F3109">
        <w:rPr>
          <w:rFonts w:ascii="Calibri" w:hAnsi="Calibri" w:cs="Calibri"/>
          <w:lang w:val="en-US"/>
        </w:rPr>
        <w:t>(Folke et al., 2019, 2021; Palic et al., 2016)</w:t>
      </w:r>
      <w:r w:rsidR="00C663F7">
        <w:rPr>
          <w:lang w:val="en-US"/>
        </w:rPr>
        <w:t xml:space="preserve">. </w:t>
      </w:r>
    </w:p>
    <w:p w14:paraId="3801FE8A" w14:textId="1E6C1A53" w:rsidR="00D44F2A" w:rsidRDefault="008D4E00" w:rsidP="005264BE">
      <w:pPr>
        <w:spacing w:after="0" w:line="360" w:lineRule="auto"/>
        <w:ind w:firstLine="1304"/>
        <w:rPr>
          <w:lang w:val="en-US"/>
        </w:rPr>
      </w:pPr>
      <w:r w:rsidRPr="00D866F5">
        <w:rPr>
          <w:lang w:val="en-US"/>
        </w:rPr>
        <w:t xml:space="preserve">A body of work is </w:t>
      </w:r>
      <w:r w:rsidR="00352BFA">
        <w:rPr>
          <w:lang w:val="en-US"/>
        </w:rPr>
        <w:t>focusing on</w:t>
      </w:r>
      <w:r w:rsidR="0054588E">
        <w:rPr>
          <w:lang w:val="en-US"/>
        </w:rPr>
        <w:t xml:space="preserve"> </w:t>
      </w:r>
      <w:r w:rsidR="008E1BD2">
        <w:rPr>
          <w:lang w:val="en-US"/>
        </w:rPr>
        <w:t xml:space="preserve">risk </w:t>
      </w:r>
      <w:r w:rsidR="00937084" w:rsidRPr="00DE3D46">
        <w:rPr>
          <w:lang w:val="en-US"/>
        </w:rPr>
        <w:t>factors</w:t>
      </w:r>
      <w:r w:rsidR="008E1BD2">
        <w:rPr>
          <w:lang w:val="en-US"/>
        </w:rPr>
        <w:t xml:space="preserve"> and comorbidities </w:t>
      </w:r>
      <w:r w:rsidR="005264BE">
        <w:rPr>
          <w:lang w:val="en-US"/>
        </w:rPr>
        <w:t xml:space="preserve">of ICD-11 </w:t>
      </w:r>
      <w:r w:rsidR="008E1BD2">
        <w:rPr>
          <w:lang w:val="en-US"/>
        </w:rPr>
        <w:t>PTSD and CPTSD in various trauma exposed samples</w:t>
      </w:r>
      <w:r w:rsidR="00937084" w:rsidRPr="00DE3D46">
        <w:rPr>
          <w:lang w:val="en-US"/>
        </w:rPr>
        <w:t xml:space="preserve">. </w:t>
      </w:r>
      <w:r w:rsidRPr="00DE3D46">
        <w:rPr>
          <w:lang w:val="en-US"/>
        </w:rPr>
        <w:t>E</w:t>
      </w:r>
      <w:r w:rsidR="00937084" w:rsidRPr="00DE3D46">
        <w:rPr>
          <w:lang w:val="en-US"/>
        </w:rPr>
        <w:t>merging evidence</w:t>
      </w:r>
      <w:r w:rsidR="00067BC2">
        <w:rPr>
          <w:lang w:val="en-US"/>
        </w:rPr>
        <w:t xml:space="preserve"> </w:t>
      </w:r>
      <w:r w:rsidR="00937084" w:rsidRPr="00DE3D46">
        <w:rPr>
          <w:lang w:val="en-US"/>
        </w:rPr>
        <w:t>suggests that</w:t>
      </w:r>
      <w:r w:rsidR="00067BC2">
        <w:rPr>
          <w:lang w:val="en-US"/>
        </w:rPr>
        <w:t xml:space="preserve"> chronic traumatic experiences such as</w:t>
      </w:r>
      <w:r w:rsidR="00D866F5" w:rsidRPr="00DE3D46">
        <w:rPr>
          <w:lang w:val="en-US"/>
        </w:rPr>
        <w:t xml:space="preserve"> </w:t>
      </w:r>
      <w:r w:rsidR="007442C3" w:rsidRPr="00DE3D46">
        <w:rPr>
          <w:lang w:val="en-US"/>
        </w:rPr>
        <w:t>interpersonal trauma in child</w:t>
      </w:r>
      <w:r w:rsidR="00D866F5" w:rsidRPr="00DE3D46">
        <w:rPr>
          <w:lang w:val="en-US"/>
        </w:rPr>
        <w:t xml:space="preserve">hood </w:t>
      </w:r>
      <w:r w:rsidR="00C76CB7" w:rsidRPr="00C76CB7">
        <w:rPr>
          <w:rFonts w:ascii="Calibri" w:hAnsi="Calibri" w:cs="Calibri"/>
          <w:lang w:val="en-US"/>
        </w:rPr>
        <w:t>(Cloitre et al., 2013; Folke et al., 2019; Hyland et al., 2017a; Karatzias et al., 2017; Karatzias, Hyland, et al., 2019; Murphy et al., 2020)</w:t>
      </w:r>
      <w:r w:rsidR="00067BC2" w:rsidRPr="00927D5F">
        <w:rPr>
          <w:lang w:val="en-US"/>
        </w:rPr>
        <w:t>, but also prolonged trauma in adulthood</w:t>
      </w:r>
      <w:r w:rsidR="00927D5F" w:rsidRPr="00927D5F">
        <w:rPr>
          <w:lang w:val="en-US"/>
        </w:rPr>
        <w:t xml:space="preserve">  </w:t>
      </w:r>
      <w:r w:rsidR="00927D5F" w:rsidRPr="00927D5F">
        <w:rPr>
          <w:rFonts w:ascii="Calibri" w:hAnsi="Calibri" w:cs="Calibri"/>
          <w:lang w:val="en-US"/>
        </w:rPr>
        <w:t>(</w:t>
      </w:r>
      <w:r w:rsidR="00927D5F">
        <w:rPr>
          <w:rFonts w:ascii="Calibri" w:hAnsi="Calibri" w:cs="Calibri"/>
          <w:lang w:val="en-US"/>
        </w:rPr>
        <w:t xml:space="preserve">e.g. refuges, </w:t>
      </w:r>
      <w:r w:rsidR="00927D5F" w:rsidRPr="00927D5F">
        <w:rPr>
          <w:rFonts w:ascii="Calibri" w:hAnsi="Calibri" w:cs="Calibri"/>
          <w:lang w:val="en-US"/>
        </w:rPr>
        <w:t>Palic et al., 2016)</w:t>
      </w:r>
      <w:r w:rsidR="00927D5F">
        <w:rPr>
          <w:lang w:val="en-US"/>
        </w:rPr>
        <w:t xml:space="preserve"> </w:t>
      </w:r>
      <w:r w:rsidR="00067BC2" w:rsidRPr="00DE3D46">
        <w:rPr>
          <w:lang w:val="en-US"/>
        </w:rPr>
        <w:t>is associated with an increased risk of CPTSD</w:t>
      </w:r>
      <w:r w:rsidR="008D5F33" w:rsidRPr="008D5F33">
        <w:rPr>
          <w:lang w:val="en-US"/>
        </w:rPr>
        <w:t>.</w:t>
      </w:r>
      <w:r w:rsidR="008D5F33">
        <w:rPr>
          <w:lang w:val="en-US"/>
        </w:rPr>
        <w:t xml:space="preserve"> </w:t>
      </w:r>
      <w:r w:rsidR="008E1BD2">
        <w:rPr>
          <w:lang w:val="en-US"/>
        </w:rPr>
        <w:t xml:space="preserve">With regard to comorbidities, </w:t>
      </w:r>
      <w:r w:rsidR="00393F9E">
        <w:rPr>
          <w:lang w:val="en-US"/>
        </w:rPr>
        <w:t>a number</w:t>
      </w:r>
      <w:r w:rsidR="00A30DE5">
        <w:rPr>
          <w:lang w:val="en-US"/>
        </w:rPr>
        <w:t xml:space="preserve"> studies have found high </w:t>
      </w:r>
      <w:r w:rsidR="00853502">
        <w:rPr>
          <w:lang w:val="en-US"/>
        </w:rPr>
        <w:t xml:space="preserve">comorbidity </w:t>
      </w:r>
      <w:r w:rsidR="00A30DE5">
        <w:rPr>
          <w:lang w:val="en-US"/>
        </w:rPr>
        <w:t xml:space="preserve">rates of CPTSD with </w:t>
      </w:r>
      <w:r w:rsidR="00E705A1" w:rsidRPr="008D5F33">
        <w:rPr>
          <w:lang w:val="en-US"/>
        </w:rPr>
        <w:t>depression and anxiety</w:t>
      </w:r>
      <w:r w:rsidR="009205F6">
        <w:rPr>
          <w:lang w:val="en-US"/>
        </w:rPr>
        <w:t xml:space="preserve"> </w:t>
      </w:r>
      <w:r w:rsidR="00C76CB7" w:rsidRPr="00F20930">
        <w:rPr>
          <w:rFonts w:ascii="Calibri" w:hAnsi="Calibri" w:cs="Calibri"/>
          <w:lang w:val="en-US"/>
        </w:rPr>
        <w:t>(Hyland et al., 2017a; Karatzias, Hyland, et al., 2019; Letica-Crepulja et al., 2020; Murphy et al., 2021)</w:t>
      </w:r>
      <w:r w:rsidR="009205F6" w:rsidRPr="00F20930">
        <w:rPr>
          <w:lang w:val="en-US"/>
        </w:rPr>
        <w:t xml:space="preserve">, </w:t>
      </w:r>
      <w:r w:rsidR="00A30DE5" w:rsidRPr="00F20930">
        <w:rPr>
          <w:lang w:val="en-US"/>
        </w:rPr>
        <w:t>ADHD</w:t>
      </w:r>
      <w:r w:rsidR="00374127" w:rsidRPr="00F20930">
        <w:rPr>
          <w:lang w:val="en-US"/>
        </w:rPr>
        <w:t xml:space="preserve"> </w:t>
      </w:r>
      <w:r w:rsidR="00DE60D3" w:rsidRPr="00F20930">
        <w:rPr>
          <w:rFonts w:ascii="Calibri" w:hAnsi="Calibri" w:cs="Calibri"/>
          <w:lang w:val="en-US"/>
        </w:rPr>
        <w:t>(Facer-Irwin et al., 2021)</w:t>
      </w:r>
      <w:r w:rsidR="00374127" w:rsidRPr="00F20930">
        <w:rPr>
          <w:lang w:val="en-US"/>
        </w:rPr>
        <w:t xml:space="preserve">, </w:t>
      </w:r>
      <w:r w:rsidR="00E705A1" w:rsidRPr="00DE3D46">
        <w:rPr>
          <w:lang w:val="en-US"/>
        </w:rPr>
        <w:t>alcohol and substance misuse</w:t>
      </w:r>
      <w:r w:rsidR="00AD3B47">
        <w:rPr>
          <w:lang w:val="en-US"/>
        </w:rPr>
        <w:t xml:space="preserve"> </w:t>
      </w:r>
      <w:r w:rsidR="00DE60D3" w:rsidRPr="00F20930">
        <w:rPr>
          <w:rFonts w:ascii="Calibri" w:hAnsi="Calibri" w:cs="Calibri"/>
          <w:lang w:val="en-US"/>
        </w:rPr>
        <w:t>(Facer-Irwin et al., 2021; Hitch et al., 2020)</w:t>
      </w:r>
      <w:r w:rsidR="00E705A1" w:rsidRPr="000C22F0">
        <w:rPr>
          <w:lang w:val="en-US"/>
        </w:rPr>
        <w:t>, and suicidality</w:t>
      </w:r>
      <w:r w:rsidR="00092B77">
        <w:rPr>
          <w:lang w:val="en-US"/>
        </w:rPr>
        <w:t xml:space="preserve"> </w:t>
      </w:r>
      <w:r w:rsidR="00C76CB7" w:rsidRPr="00C76CB7">
        <w:rPr>
          <w:rFonts w:ascii="Calibri" w:hAnsi="Calibri" w:cs="Calibri"/>
          <w:lang w:val="en-US"/>
        </w:rPr>
        <w:t>(Hyland et al., 2018; Karatzias, Hyland, et al., 2019)</w:t>
      </w:r>
      <w:r w:rsidR="008E1BD2">
        <w:rPr>
          <w:lang w:val="en-US"/>
        </w:rPr>
        <w:t xml:space="preserve">. </w:t>
      </w:r>
      <w:r w:rsidR="00233043">
        <w:rPr>
          <w:lang w:val="en-US"/>
        </w:rPr>
        <w:t xml:space="preserve">CPTSD has a higher number of symptoms and </w:t>
      </w:r>
      <w:r w:rsidR="005E1B9E">
        <w:rPr>
          <w:lang w:val="en-US"/>
        </w:rPr>
        <w:t xml:space="preserve">therefore </w:t>
      </w:r>
      <w:r w:rsidR="00233043">
        <w:rPr>
          <w:lang w:val="en-US"/>
        </w:rPr>
        <w:lastRenderedPageBreak/>
        <w:t xml:space="preserve">it is a more severe </w:t>
      </w:r>
      <w:r w:rsidR="005E1B9E">
        <w:rPr>
          <w:lang w:val="en-US"/>
        </w:rPr>
        <w:t xml:space="preserve">and debilitating condition </w:t>
      </w:r>
      <w:r w:rsidR="00233043">
        <w:rPr>
          <w:lang w:val="en-US"/>
        </w:rPr>
        <w:t>than PTSD. Consequently, CPTSD would be associated with higher levels of comorbidity</w:t>
      </w:r>
      <w:r w:rsidR="008E1BD2">
        <w:rPr>
          <w:lang w:val="en-US"/>
        </w:rPr>
        <w:t>.</w:t>
      </w:r>
    </w:p>
    <w:p w14:paraId="3908A581" w14:textId="2ABD09AC" w:rsidR="002F45CD" w:rsidRPr="000D16DC" w:rsidRDefault="008D4E00" w:rsidP="00AD3B47">
      <w:pPr>
        <w:spacing w:after="0" w:line="360" w:lineRule="auto"/>
        <w:ind w:firstLine="1304"/>
        <w:rPr>
          <w:lang w:val="en-US"/>
        </w:rPr>
      </w:pPr>
      <w:r w:rsidRPr="00DE3D46">
        <w:rPr>
          <w:lang w:val="en-US"/>
        </w:rPr>
        <w:t xml:space="preserve">Surprisingly few studies </w:t>
      </w:r>
      <w:r w:rsidR="00233043">
        <w:rPr>
          <w:lang w:val="en-US"/>
        </w:rPr>
        <w:t xml:space="preserve">on ICD-11 PTSD and CPTSD </w:t>
      </w:r>
      <w:r w:rsidRPr="00DE3D46">
        <w:rPr>
          <w:lang w:val="en-US"/>
        </w:rPr>
        <w:t>have been conducted in military populations</w:t>
      </w:r>
      <w:r w:rsidRPr="00D866F5">
        <w:rPr>
          <w:lang w:val="en-US"/>
        </w:rPr>
        <w:t>.</w:t>
      </w:r>
      <w:r w:rsidR="00393F9E">
        <w:rPr>
          <w:lang w:val="en-US"/>
        </w:rPr>
        <w:t xml:space="preserve"> </w:t>
      </w:r>
      <w:r w:rsidR="00DD62FF">
        <w:rPr>
          <w:lang w:val="en-US"/>
        </w:rPr>
        <w:t>I</w:t>
      </w:r>
      <w:r w:rsidRPr="00D866F5">
        <w:rPr>
          <w:lang w:val="en-US"/>
        </w:rPr>
        <w:t>dentifying risk factors and comorbidities associated with CPTSD and PTSD in military samples has important implications for diagnosis, early inte</w:t>
      </w:r>
      <w:r w:rsidR="00A7440E">
        <w:rPr>
          <w:lang w:val="en-US"/>
        </w:rPr>
        <w:t>rvention</w:t>
      </w:r>
      <w:r w:rsidRPr="00D866F5">
        <w:rPr>
          <w:lang w:val="en-US"/>
        </w:rPr>
        <w:t xml:space="preserve"> program</w:t>
      </w:r>
      <w:r w:rsidR="00A7440E">
        <w:rPr>
          <w:lang w:val="en-US"/>
        </w:rPr>
        <w:t>s</w:t>
      </w:r>
      <w:r w:rsidRPr="00D866F5">
        <w:rPr>
          <w:lang w:val="en-US"/>
        </w:rPr>
        <w:t xml:space="preserve"> and subsequent treatment. </w:t>
      </w:r>
      <w:r w:rsidR="00E705A1">
        <w:rPr>
          <w:lang w:val="en-US"/>
        </w:rPr>
        <w:t>T</w:t>
      </w:r>
      <w:r w:rsidR="00937084" w:rsidRPr="00D866F5">
        <w:rPr>
          <w:lang w:val="en-US"/>
        </w:rPr>
        <w:t xml:space="preserve">o </w:t>
      </w:r>
      <w:r w:rsidR="00E832ED" w:rsidRPr="00D866F5">
        <w:rPr>
          <w:lang w:val="en-US"/>
        </w:rPr>
        <w:t>our knowledge, onl</w:t>
      </w:r>
      <w:r w:rsidR="00E832ED" w:rsidRPr="000D16DC">
        <w:rPr>
          <w:lang w:val="en-US"/>
        </w:rPr>
        <w:t>y</w:t>
      </w:r>
      <w:r w:rsidR="002F45CD" w:rsidRPr="000D16DC">
        <w:rPr>
          <w:lang w:val="en-US"/>
        </w:rPr>
        <w:t xml:space="preserve"> two </w:t>
      </w:r>
      <w:r w:rsidR="00B0797D" w:rsidRPr="000D16DC">
        <w:rPr>
          <w:lang w:val="en-US"/>
        </w:rPr>
        <w:t>studies</w:t>
      </w:r>
      <w:r w:rsidR="00C2125E" w:rsidRPr="000D16DC">
        <w:rPr>
          <w:lang w:val="en-US"/>
        </w:rPr>
        <w:t xml:space="preserve"> have examined </w:t>
      </w:r>
      <w:r w:rsidR="008970E7" w:rsidRPr="000D16DC">
        <w:rPr>
          <w:rFonts w:cstheme="minorHAnsi"/>
          <w:lang w:val="en-US"/>
        </w:rPr>
        <w:t>risk factors and comorbidi</w:t>
      </w:r>
      <w:r w:rsidR="00B2450F">
        <w:rPr>
          <w:rFonts w:cstheme="minorHAnsi"/>
          <w:lang w:val="en-US"/>
        </w:rPr>
        <w:t>ties of PTSD and CPTSD</w:t>
      </w:r>
      <w:r w:rsidR="008970E7" w:rsidRPr="000D16DC">
        <w:rPr>
          <w:rFonts w:cstheme="minorHAnsi"/>
          <w:lang w:val="en-US"/>
        </w:rPr>
        <w:t xml:space="preserve"> in </w:t>
      </w:r>
      <w:r w:rsidR="00AD3B47">
        <w:rPr>
          <w:rFonts w:cstheme="minorHAnsi"/>
          <w:lang w:val="en-US"/>
        </w:rPr>
        <w:t>military populations. T</w:t>
      </w:r>
      <w:r w:rsidR="00B0797D" w:rsidRPr="000D16DC">
        <w:rPr>
          <w:lang w:val="en-US"/>
        </w:rPr>
        <w:t>he first</w:t>
      </w:r>
      <w:r w:rsidR="008161A9">
        <w:rPr>
          <w:lang w:val="en-US"/>
        </w:rPr>
        <w:t xml:space="preserve"> </w:t>
      </w:r>
      <w:r w:rsidR="00DE60D3" w:rsidRPr="00DE60D3">
        <w:rPr>
          <w:rFonts w:ascii="Calibri" w:hAnsi="Calibri" w:cs="Calibri"/>
          <w:lang w:val="en-US"/>
        </w:rPr>
        <w:t>(Letica-Crepulja et al., 2020)</w:t>
      </w:r>
      <w:r w:rsidR="00B0797D" w:rsidRPr="000D16DC">
        <w:rPr>
          <w:lang w:val="en-US"/>
        </w:rPr>
        <w:t xml:space="preserve"> </w:t>
      </w:r>
      <w:r w:rsidR="00AD3B47">
        <w:rPr>
          <w:lang w:val="en-US"/>
        </w:rPr>
        <w:t xml:space="preserve">found </w:t>
      </w:r>
      <w:r w:rsidR="00FC32A9">
        <w:rPr>
          <w:lang w:val="en-US"/>
        </w:rPr>
        <w:t>t</w:t>
      </w:r>
      <w:r w:rsidR="00AD3B47">
        <w:rPr>
          <w:lang w:val="en-US"/>
        </w:rPr>
        <w:t xml:space="preserve">hat 80.6% </w:t>
      </w:r>
      <w:r w:rsidR="00FC32A9">
        <w:rPr>
          <w:lang w:val="en-US"/>
        </w:rPr>
        <w:t xml:space="preserve">of </w:t>
      </w:r>
      <w:r w:rsidR="00DD62FF">
        <w:rPr>
          <w:lang w:val="en-US"/>
        </w:rPr>
        <w:t xml:space="preserve">Croatian </w:t>
      </w:r>
      <w:r w:rsidR="00FC32A9">
        <w:rPr>
          <w:lang w:val="en-US"/>
        </w:rPr>
        <w:t xml:space="preserve">treatment-seeking veterans with PTSD (N=160) met criteria </w:t>
      </w:r>
      <w:r w:rsidR="00AD3B47">
        <w:rPr>
          <w:lang w:val="en-US"/>
        </w:rPr>
        <w:t>for</w:t>
      </w:r>
      <w:r w:rsidR="00FC32A9">
        <w:rPr>
          <w:lang w:val="en-US"/>
        </w:rPr>
        <w:t xml:space="preserve"> probable</w:t>
      </w:r>
      <w:r w:rsidR="00AD3B47">
        <w:rPr>
          <w:lang w:val="en-US"/>
        </w:rPr>
        <w:t xml:space="preserve"> CPTSD</w:t>
      </w:r>
      <w:r w:rsidR="00DE7681" w:rsidRPr="000D16DC">
        <w:rPr>
          <w:lang w:val="en-US"/>
        </w:rPr>
        <w:t>.</w:t>
      </w:r>
      <w:r w:rsidR="00CF2379">
        <w:rPr>
          <w:lang w:val="en-US"/>
        </w:rPr>
        <w:t xml:space="preserve"> </w:t>
      </w:r>
      <w:r w:rsidR="00AD3B47" w:rsidRPr="000D16DC">
        <w:rPr>
          <w:lang w:val="en-US"/>
        </w:rPr>
        <w:t>No differences were found in types of trauma exposure between</w:t>
      </w:r>
      <w:r w:rsidR="00AD3B47">
        <w:rPr>
          <w:lang w:val="en-US"/>
        </w:rPr>
        <w:t xml:space="preserve"> </w:t>
      </w:r>
      <w:r w:rsidR="001D589E">
        <w:rPr>
          <w:lang w:val="en-US"/>
        </w:rPr>
        <w:t>PTSD and CPTSD</w:t>
      </w:r>
      <w:r w:rsidR="00AD3B47" w:rsidRPr="000D16DC">
        <w:rPr>
          <w:lang w:val="en-US"/>
        </w:rPr>
        <w:t>.</w:t>
      </w:r>
      <w:r w:rsidR="00C21B4C">
        <w:rPr>
          <w:lang w:val="en-US"/>
        </w:rPr>
        <w:t xml:space="preserve"> V</w:t>
      </w:r>
      <w:r w:rsidR="000A50CE" w:rsidRPr="000D16DC">
        <w:rPr>
          <w:lang w:val="en-US"/>
        </w:rPr>
        <w:t>eterans with PTSD were more likely to be divorced</w:t>
      </w:r>
      <w:r w:rsidR="00AD3B47">
        <w:rPr>
          <w:lang w:val="en-US"/>
        </w:rPr>
        <w:t>,</w:t>
      </w:r>
      <w:r w:rsidR="00C21B4C">
        <w:rPr>
          <w:lang w:val="en-US"/>
        </w:rPr>
        <w:t xml:space="preserve"> while</w:t>
      </w:r>
      <w:r w:rsidR="00AD3B47">
        <w:rPr>
          <w:lang w:val="en-US"/>
        </w:rPr>
        <w:t xml:space="preserve"> </w:t>
      </w:r>
      <w:r w:rsidR="003A55E6" w:rsidRPr="000D16DC">
        <w:rPr>
          <w:lang w:val="en-US"/>
        </w:rPr>
        <w:t>v</w:t>
      </w:r>
      <w:r w:rsidR="00FE0658" w:rsidRPr="000D16DC">
        <w:rPr>
          <w:lang w:val="en-US"/>
        </w:rPr>
        <w:t xml:space="preserve">eterans with CPTSD </w:t>
      </w:r>
      <w:r w:rsidR="005553CB">
        <w:rPr>
          <w:lang w:val="en-US"/>
        </w:rPr>
        <w:t xml:space="preserve">had </w:t>
      </w:r>
      <w:r w:rsidR="00FE0658" w:rsidRPr="000D16DC">
        <w:rPr>
          <w:lang w:val="en-US"/>
        </w:rPr>
        <w:t>more comorbid general anxiety disorder</w:t>
      </w:r>
      <w:r w:rsidR="00CF2379">
        <w:rPr>
          <w:lang w:val="en-US"/>
        </w:rPr>
        <w:t xml:space="preserve">. </w:t>
      </w:r>
      <w:r w:rsidR="002F45CD" w:rsidRPr="000D16DC">
        <w:rPr>
          <w:lang w:val="en-US"/>
        </w:rPr>
        <w:t>The second</w:t>
      </w:r>
      <w:r w:rsidR="00DE7681" w:rsidRPr="000D16DC">
        <w:rPr>
          <w:lang w:val="en-US"/>
        </w:rPr>
        <w:t xml:space="preserve"> </w:t>
      </w:r>
      <w:r w:rsidR="00B0797D" w:rsidRPr="000D16DC">
        <w:rPr>
          <w:lang w:val="en-US"/>
        </w:rPr>
        <w:t>study</w:t>
      </w:r>
      <w:r w:rsidR="002E1633">
        <w:rPr>
          <w:lang w:val="en-US"/>
        </w:rPr>
        <w:t xml:space="preserve"> </w:t>
      </w:r>
      <w:r w:rsidR="00DE60D3" w:rsidRPr="00DE60D3">
        <w:rPr>
          <w:rFonts w:ascii="Calibri" w:hAnsi="Calibri" w:cs="Calibri"/>
          <w:lang w:val="en-US"/>
        </w:rPr>
        <w:t>(Murphy et al., 2021)</w:t>
      </w:r>
      <w:r w:rsidR="002E1633">
        <w:rPr>
          <w:lang w:val="en-US"/>
        </w:rPr>
        <w:t xml:space="preserve"> </w:t>
      </w:r>
      <w:r w:rsidR="007A711A">
        <w:rPr>
          <w:lang w:val="en-US"/>
        </w:rPr>
        <w:t xml:space="preserve">found </w:t>
      </w:r>
      <w:r w:rsidR="00C21B4C">
        <w:rPr>
          <w:lang w:val="en-US"/>
        </w:rPr>
        <w:t>13.8% to meet criteria</w:t>
      </w:r>
      <w:r w:rsidR="007A711A">
        <w:rPr>
          <w:lang w:val="en-US"/>
        </w:rPr>
        <w:t xml:space="preserve"> for PTSD </w:t>
      </w:r>
      <w:r w:rsidR="00C21B4C">
        <w:rPr>
          <w:lang w:val="en-US"/>
        </w:rPr>
        <w:t xml:space="preserve">and </w:t>
      </w:r>
      <w:r w:rsidR="005C5A42">
        <w:rPr>
          <w:lang w:val="en-US"/>
        </w:rPr>
        <w:t>54.3</w:t>
      </w:r>
      <w:r w:rsidR="00C21B4C">
        <w:rPr>
          <w:lang w:val="en-US"/>
        </w:rPr>
        <w:t>% for CPTSD in a sample of 177 treatment</w:t>
      </w:r>
      <w:r w:rsidR="00214FFB">
        <w:rPr>
          <w:lang w:val="en-US"/>
        </w:rPr>
        <w:t>-</w:t>
      </w:r>
      <w:r w:rsidR="00C21B4C">
        <w:rPr>
          <w:lang w:val="en-US"/>
        </w:rPr>
        <w:t>seeking UK veterans. V</w:t>
      </w:r>
      <w:r w:rsidR="00FC2A1A" w:rsidRPr="000D16DC">
        <w:rPr>
          <w:lang w:val="en-US"/>
        </w:rPr>
        <w:t>eterans w</w:t>
      </w:r>
      <w:r w:rsidR="00575874" w:rsidRPr="000D16DC">
        <w:rPr>
          <w:lang w:val="en-US"/>
        </w:rPr>
        <w:t xml:space="preserve">ith </w:t>
      </w:r>
      <w:r w:rsidR="00CA5A74" w:rsidRPr="000D16DC">
        <w:rPr>
          <w:lang w:val="en-US"/>
        </w:rPr>
        <w:t>CPTSD</w:t>
      </w:r>
      <w:r w:rsidR="00575874" w:rsidRPr="000D16DC">
        <w:rPr>
          <w:lang w:val="en-US"/>
        </w:rPr>
        <w:t xml:space="preserve"> were</w:t>
      </w:r>
      <w:r w:rsidR="00CF032B" w:rsidRPr="000D16DC">
        <w:rPr>
          <w:lang w:val="en-US"/>
        </w:rPr>
        <w:t xml:space="preserve"> </w:t>
      </w:r>
      <w:r w:rsidR="00575874" w:rsidRPr="000D16DC">
        <w:rPr>
          <w:lang w:val="en-US"/>
        </w:rPr>
        <w:t xml:space="preserve">younger, took </w:t>
      </w:r>
      <w:r w:rsidR="00F65BB5" w:rsidRPr="000D16DC">
        <w:rPr>
          <w:lang w:val="en-US"/>
        </w:rPr>
        <w:t>longer to seek help, reported higher rates of childhood adversity</w:t>
      </w:r>
      <w:r w:rsidR="00CF2379">
        <w:rPr>
          <w:lang w:val="en-US"/>
        </w:rPr>
        <w:t xml:space="preserve">, and </w:t>
      </w:r>
      <w:r w:rsidR="004B6F5D" w:rsidRPr="000D16DC">
        <w:rPr>
          <w:lang w:val="en-US"/>
        </w:rPr>
        <w:t>reported</w:t>
      </w:r>
      <w:r w:rsidR="00C21B4C">
        <w:rPr>
          <w:lang w:val="en-US"/>
        </w:rPr>
        <w:t xml:space="preserve"> more comorbidity </w:t>
      </w:r>
      <w:r w:rsidR="004B6F5D" w:rsidRPr="000D16DC">
        <w:rPr>
          <w:lang w:val="en-US"/>
        </w:rPr>
        <w:t>including</w:t>
      </w:r>
      <w:r w:rsidR="00575874" w:rsidRPr="000D16DC">
        <w:rPr>
          <w:lang w:val="en-US"/>
        </w:rPr>
        <w:t xml:space="preserve"> depression and anxiety, high</w:t>
      </w:r>
      <w:r w:rsidR="002E1633">
        <w:rPr>
          <w:lang w:val="en-US"/>
        </w:rPr>
        <w:t>er</w:t>
      </w:r>
      <w:r w:rsidR="00575874" w:rsidRPr="000D16DC">
        <w:rPr>
          <w:lang w:val="en-US"/>
        </w:rPr>
        <w:t xml:space="preserve"> levels of dissociation and </w:t>
      </w:r>
      <w:r w:rsidR="004B6F5D" w:rsidRPr="000D16DC">
        <w:rPr>
          <w:lang w:val="en-US"/>
        </w:rPr>
        <w:t>anger</w:t>
      </w:r>
      <w:r w:rsidR="00575874" w:rsidRPr="000D16DC">
        <w:rPr>
          <w:lang w:val="en-US"/>
        </w:rPr>
        <w:t xml:space="preserve">, and </w:t>
      </w:r>
      <w:r w:rsidR="004B6F5D" w:rsidRPr="000D16DC">
        <w:rPr>
          <w:lang w:val="en-US"/>
        </w:rPr>
        <w:t>greater degree of impairment including social isolation, sleep difficul</w:t>
      </w:r>
      <w:r w:rsidR="00A05C3E">
        <w:rPr>
          <w:lang w:val="en-US"/>
        </w:rPr>
        <w:t xml:space="preserve">ties and impaired functioning. </w:t>
      </w:r>
      <w:r w:rsidR="00154B9E" w:rsidRPr="000D16DC">
        <w:rPr>
          <w:lang w:val="en-US"/>
        </w:rPr>
        <w:t xml:space="preserve">Since both </w:t>
      </w:r>
      <w:r w:rsidR="00C21B4C">
        <w:rPr>
          <w:lang w:val="en-US"/>
        </w:rPr>
        <w:t xml:space="preserve">of these </w:t>
      </w:r>
      <w:r w:rsidR="00A05C3E">
        <w:rPr>
          <w:lang w:val="en-US"/>
        </w:rPr>
        <w:t>s</w:t>
      </w:r>
      <w:r w:rsidR="00154B9E" w:rsidRPr="000D16DC">
        <w:rPr>
          <w:lang w:val="en-US"/>
        </w:rPr>
        <w:t xml:space="preserve">tudies were based on </w:t>
      </w:r>
      <w:r w:rsidR="00FC6F46" w:rsidRPr="000D16DC">
        <w:rPr>
          <w:lang w:val="en-US"/>
        </w:rPr>
        <w:t>relatively small samples</w:t>
      </w:r>
      <w:r w:rsidR="00154B9E" w:rsidRPr="000D16DC">
        <w:rPr>
          <w:lang w:val="en-US"/>
        </w:rPr>
        <w:t xml:space="preserve">, </w:t>
      </w:r>
      <w:r w:rsidR="00393F9E">
        <w:rPr>
          <w:lang w:val="en-US"/>
        </w:rPr>
        <w:t>it was</w:t>
      </w:r>
      <w:r w:rsidR="00FC6F46" w:rsidRPr="000D16DC">
        <w:rPr>
          <w:lang w:val="en-US"/>
        </w:rPr>
        <w:t xml:space="preserve"> </w:t>
      </w:r>
      <w:r w:rsidR="00154B9E" w:rsidRPr="000D16DC">
        <w:rPr>
          <w:lang w:val="en-US"/>
        </w:rPr>
        <w:t>emphasize</w:t>
      </w:r>
      <w:r w:rsidR="00393F9E">
        <w:rPr>
          <w:lang w:val="en-US"/>
        </w:rPr>
        <w:t>d</w:t>
      </w:r>
      <w:r w:rsidR="00FC6F46" w:rsidRPr="000D16DC">
        <w:rPr>
          <w:lang w:val="en-US"/>
        </w:rPr>
        <w:t xml:space="preserve"> that findin</w:t>
      </w:r>
      <w:r w:rsidR="002A07D6" w:rsidRPr="000D16DC">
        <w:rPr>
          <w:lang w:val="en-US"/>
        </w:rPr>
        <w:t>g</w:t>
      </w:r>
      <w:r w:rsidR="00FC6F46" w:rsidRPr="000D16DC">
        <w:rPr>
          <w:lang w:val="en-US"/>
        </w:rPr>
        <w:t>s regarding differences between PTSD and CPTSD</w:t>
      </w:r>
      <w:r w:rsidR="009744C9">
        <w:rPr>
          <w:lang w:val="en-US"/>
        </w:rPr>
        <w:t xml:space="preserve"> </w:t>
      </w:r>
      <w:r w:rsidR="00FC6F46" w:rsidRPr="000D16DC">
        <w:rPr>
          <w:lang w:val="en-US"/>
        </w:rPr>
        <w:t>must be considered exploratory due to the small number of participants</w:t>
      </w:r>
      <w:r w:rsidR="00CF2379">
        <w:rPr>
          <w:lang w:val="en-US"/>
        </w:rPr>
        <w:t xml:space="preserve"> </w:t>
      </w:r>
      <w:r w:rsidR="005C5A42">
        <w:rPr>
          <w:lang w:val="en-US"/>
        </w:rPr>
        <w:t>(</w:t>
      </w:r>
      <w:r w:rsidR="00CF2379">
        <w:rPr>
          <w:lang w:val="en-US"/>
        </w:rPr>
        <w:t>especially</w:t>
      </w:r>
      <w:r w:rsidR="00FC6F46" w:rsidRPr="000D16DC">
        <w:rPr>
          <w:lang w:val="en-US"/>
        </w:rPr>
        <w:t xml:space="preserve"> </w:t>
      </w:r>
      <w:r w:rsidR="00393F9E">
        <w:rPr>
          <w:lang w:val="en-US"/>
        </w:rPr>
        <w:t>with</w:t>
      </w:r>
      <w:r w:rsidR="00FC32A9">
        <w:rPr>
          <w:lang w:val="en-US"/>
        </w:rPr>
        <w:t xml:space="preserve"> “only”</w:t>
      </w:r>
      <w:r w:rsidR="00393F9E">
        <w:rPr>
          <w:lang w:val="en-US"/>
        </w:rPr>
        <w:t xml:space="preserve"> PTSD</w:t>
      </w:r>
      <w:r w:rsidR="005C5A42">
        <w:rPr>
          <w:lang w:val="en-US"/>
        </w:rPr>
        <w:t>;</w:t>
      </w:r>
      <w:r w:rsidR="00F75279" w:rsidRPr="000D16DC">
        <w:rPr>
          <w:lang w:val="en-US"/>
        </w:rPr>
        <w:t xml:space="preserve"> </w:t>
      </w:r>
      <w:r w:rsidR="0072346C">
        <w:rPr>
          <w:i/>
          <w:lang w:val="en-US"/>
        </w:rPr>
        <w:t>N</w:t>
      </w:r>
      <w:r w:rsidR="00154B9E" w:rsidRPr="000D16DC">
        <w:rPr>
          <w:lang w:val="en-US"/>
        </w:rPr>
        <w:t>=</w:t>
      </w:r>
      <w:r w:rsidR="00FC6F46" w:rsidRPr="000D16DC">
        <w:rPr>
          <w:lang w:val="en-US"/>
        </w:rPr>
        <w:t>31</w:t>
      </w:r>
      <w:r w:rsidR="00F75279" w:rsidRPr="000D16DC">
        <w:rPr>
          <w:lang w:val="en-US"/>
        </w:rPr>
        <w:t xml:space="preserve"> in Letica-Culpa et al.</w:t>
      </w:r>
      <w:r w:rsidR="00DA0AAC" w:rsidRPr="000D16DC">
        <w:rPr>
          <w:lang w:val="en-US"/>
        </w:rPr>
        <w:t>,</w:t>
      </w:r>
      <w:r w:rsidR="00A05C3E">
        <w:rPr>
          <w:lang w:val="en-US"/>
        </w:rPr>
        <w:t xml:space="preserve"> 2020</w:t>
      </w:r>
      <w:r w:rsidR="005C5A42">
        <w:rPr>
          <w:lang w:val="en-US"/>
        </w:rPr>
        <w:t xml:space="preserve">and </w:t>
      </w:r>
      <w:r w:rsidR="0072346C">
        <w:rPr>
          <w:i/>
          <w:lang w:val="en-US"/>
        </w:rPr>
        <w:t>N=</w:t>
      </w:r>
      <w:r w:rsidR="00A05C3E">
        <w:rPr>
          <w:lang w:val="en-US"/>
        </w:rPr>
        <w:t>2</w:t>
      </w:r>
      <w:r w:rsidR="00DA0AAC" w:rsidRPr="000D16DC">
        <w:rPr>
          <w:lang w:val="en-US"/>
        </w:rPr>
        <w:t>4</w:t>
      </w:r>
      <w:r w:rsidR="00F75279" w:rsidRPr="000D16DC">
        <w:rPr>
          <w:lang w:val="en-US"/>
        </w:rPr>
        <w:t xml:space="preserve"> in Murphy et al.</w:t>
      </w:r>
      <w:r w:rsidR="00DA0AAC" w:rsidRPr="000D16DC">
        <w:rPr>
          <w:lang w:val="en-US"/>
        </w:rPr>
        <w:t>, 2021</w:t>
      </w:r>
      <w:r w:rsidR="00F75279" w:rsidRPr="000D16DC">
        <w:rPr>
          <w:lang w:val="en-US"/>
        </w:rPr>
        <w:t xml:space="preserve">). </w:t>
      </w:r>
      <w:r w:rsidR="00393F9E">
        <w:rPr>
          <w:lang w:val="en-US"/>
        </w:rPr>
        <w:t xml:space="preserve">We fill this gap in the literature by conducting similar research but in a large cohort of </w:t>
      </w:r>
      <w:r w:rsidR="00196F82">
        <w:rPr>
          <w:lang w:val="en-US"/>
        </w:rPr>
        <w:t xml:space="preserve">previously deployed, </w:t>
      </w:r>
      <w:r w:rsidR="00393F9E">
        <w:rPr>
          <w:lang w:val="en-US"/>
        </w:rPr>
        <w:t>treatment</w:t>
      </w:r>
      <w:r w:rsidR="00196F82">
        <w:rPr>
          <w:lang w:val="en-US"/>
        </w:rPr>
        <w:t>-</w:t>
      </w:r>
      <w:r w:rsidR="00393F9E">
        <w:rPr>
          <w:lang w:val="en-US"/>
        </w:rPr>
        <w:t xml:space="preserve">seeking </w:t>
      </w:r>
      <w:r w:rsidR="00196F82">
        <w:rPr>
          <w:lang w:val="en-US"/>
        </w:rPr>
        <w:t>soldiers and veterans</w:t>
      </w:r>
      <w:r w:rsidR="00393F9E">
        <w:rPr>
          <w:lang w:val="en-US"/>
        </w:rPr>
        <w:t>.</w:t>
      </w:r>
    </w:p>
    <w:p w14:paraId="17DCFC8B" w14:textId="1944CE86" w:rsidR="004263AC" w:rsidRPr="004263AC" w:rsidRDefault="004263AC" w:rsidP="004263AC">
      <w:pPr>
        <w:pStyle w:val="Overskrift2"/>
        <w:rPr>
          <w:rFonts w:asciiTheme="minorHAnsi" w:hAnsiTheme="minorHAnsi" w:cstheme="minorHAnsi"/>
          <w:sz w:val="24"/>
          <w:szCs w:val="24"/>
        </w:rPr>
      </w:pPr>
      <w:r>
        <w:rPr>
          <w:rFonts w:asciiTheme="minorHAnsi" w:hAnsiTheme="minorHAnsi" w:cstheme="minorHAnsi"/>
          <w:sz w:val="24"/>
          <w:szCs w:val="24"/>
        </w:rPr>
        <w:t>Aims</w:t>
      </w:r>
    </w:p>
    <w:p w14:paraId="5C4EE7BE" w14:textId="6B7051B6" w:rsidR="00E12FF6" w:rsidRDefault="009B3BB4" w:rsidP="003D08DE">
      <w:pPr>
        <w:spacing w:after="0" w:line="360" w:lineRule="auto"/>
        <w:rPr>
          <w:rFonts w:cstheme="minorHAnsi"/>
          <w:lang w:val="en-US"/>
        </w:rPr>
      </w:pPr>
      <w:r>
        <w:rPr>
          <w:lang w:val="en-US"/>
        </w:rPr>
        <w:t>In a large sample of previously deployed</w:t>
      </w:r>
      <w:r w:rsidR="00196F82">
        <w:rPr>
          <w:lang w:val="en-US"/>
        </w:rPr>
        <w:t>,</w:t>
      </w:r>
      <w:r>
        <w:rPr>
          <w:lang w:val="en-US"/>
        </w:rPr>
        <w:t xml:space="preserve"> treatment-seeking soldiers and veterans, we</w:t>
      </w:r>
      <w:r w:rsidR="0043695F" w:rsidRPr="000D16DC">
        <w:rPr>
          <w:rFonts w:cstheme="minorHAnsi"/>
          <w:lang w:val="en-US"/>
        </w:rPr>
        <w:t xml:space="preserve"> </w:t>
      </w:r>
      <w:r w:rsidR="00393F9E">
        <w:rPr>
          <w:rFonts w:cstheme="minorHAnsi"/>
          <w:lang w:val="en-US"/>
        </w:rPr>
        <w:t>set out to investigate</w:t>
      </w:r>
      <w:r w:rsidR="0043695F" w:rsidRPr="000D16DC">
        <w:rPr>
          <w:rFonts w:cstheme="minorHAnsi"/>
          <w:lang w:val="en-US"/>
        </w:rPr>
        <w:t xml:space="preserve"> </w:t>
      </w:r>
      <w:r>
        <w:rPr>
          <w:rFonts w:cstheme="minorHAnsi"/>
          <w:lang w:val="en-US"/>
        </w:rPr>
        <w:t xml:space="preserve">if </w:t>
      </w:r>
      <w:r w:rsidR="0043695F" w:rsidRPr="000D16DC">
        <w:rPr>
          <w:rFonts w:cstheme="minorHAnsi"/>
          <w:lang w:val="en-US"/>
        </w:rPr>
        <w:t xml:space="preserve">demographic </w:t>
      </w:r>
      <w:r w:rsidR="007515D0">
        <w:rPr>
          <w:rFonts w:cstheme="minorHAnsi"/>
          <w:lang w:val="en-US"/>
        </w:rPr>
        <w:t>characteristics</w:t>
      </w:r>
      <w:r>
        <w:rPr>
          <w:rFonts w:cstheme="minorHAnsi"/>
          <w:lang w:val="en-US"/>
        </w:rPr>
        <w:t xml:space="preserve"> </w:t>
      </w:r>
      <w:r w:rsidR="0043695F" w:rsidRPr="000D16DC">
        <w:rPr>
          <w:rFonts w:cstheme="minorHAnsi"/>
          <w:lang w:val="en-US"/>
        </w:rPr>
        <w:t>(gender, age, civilian status, children, empl</w:t>
      </w:r>
      <w:r w:rsidR="00270CDB" w:rsidRPr="000D16DC">
        <w:rPr>
          <w:rFonts w:cstheme="minorHAnsi"/>
          <w:lang w:val="en-US"/>
        </w:rPr>
        <w:t xml:space="preserve">oyment), </w:t>
      </w:r>
      <w:r>
        <w:rPr>
          <w:rFonts w:cstheme="minorHAnsi"/>
          <w:lang w:val="en-US"/>
        </w:rPr>
        <w:t xml:space="preserve">previous </w:t>
      </w:r>
      <w:r w:rsidR="00270CDB" w:rsidRPr="000D16DC">
        <w:rPr>
          <w:rFonts w:cstheme="minorHAnsi"/>
          <w:lang w:val="en-US"/>
        </w:rPr>
        <w:t xml:space="preserve">traumatic life events in </w:t>
      </w:r>
      <w:r w:rsidR="0043695F" w:rsidRPr="000D16DC">
        <w:rPr>
          <w:rFonts w:cstheme="minorHAnsi"/>
          <w:lang w:val="en-US"/>
        </w:rPr>
        <w:t>childhood</w:t>
      </w:r>
      <w:r w:rsidR="00270CDB" w:rsidRPr="000D16DC">
        <w:rPr>
          <w:rFonts w:cstheme="minorHAnsi"/>
          <w:lang w:val="en-US"/>
        </w:rPr>
        <w:t xml:space="preserve"> and adulthood, </w:t>
      </w:r>
      <w:r w:rsidR="0043695F" w:rsidRPr="000D16DC">
        <w:rPr>
          <w:rFonts w:cstheme="minorHAnsi"/>
          <w:lang w:val="en-US"/>
        </w:rPr>
        <w:t>possible childhood ADHD, time</w:t>
      </w:r>
      <w:r w:rsidR="004263AC">
        <w:rPr>
          <w:rFonts w:cstheme="minorHAnsi"/>
          <w:lang w:val="en-US"/>
        </w:rPr>
        <w:t xml:space="preserve"> since traumatic exposure, </w:t>
      </w:r>
      <w:r w:rsidR="0043695F" w:rsidRPr="000D16DC">
        <w:rPr>
          <w:rFonts w:cstheme="minorHAnsi"/>
          <w:lang w:val="en-US"/>
        </w:rPr>
        <w:t>and delayed treatment</w:t>
      </w:r>
      <w:r w:rsidR="00D02761">
        <w:rPr>
          <w:rFonts w:cstheme="minorHAnsi"/>
          <w:lang w:val="en-US"/>
        </w:rPr>
        <w:t>-</w:t>
      </w:r>
      <w:r w:rsidR="0043695F" w:rsidRPr="000D16DC">
        <w:rPr>
          <w:rFonts w:cstheme="minorHAnsi"/>
          <w:lang w:val="en-US"/>
        </w:rPr>
        <w:t xml:space="preserve">seeking </w:t>
      </w:r>
      <w:r w:rsidR="00393F9E">
        <w:rPr>
          <w:rFonts w:cstheme="minorHAnsi"/>
          <w:lang w:val="en-US"/>
        </w:rPr>
        <w:t>were associated with</w:t>
      </w:r>
      <w:r w:rsidR="0043695F" w:rsidRPr="000D16DC">
        <w:rPr>
          <w:rFonts w:cstheme="minorHAnsi"/>
          <w:lang w:val="en-US"/>
        </w:rPr>
        <w:t xml:space="preserve"> PTSD/CPTSD status. Second, we aim</w:t>
      </w:r>
      <w:r w:rsidR="00393F9E">
        <w:rPr>
          <w:rFonts w:cstheme="minorHAnsi"/>
          <w:lang w:val="en-US"/>
        </w:rPr>
        <w:t>ed</w:t>
      </w:r>
      <w:r w:rsidR="0043695F" w:rsidRPr="000D16DC">
        <w:rPr>
          <w:rFonts w:cstheme="minorHAnsi"/>
          <w:lang w:val="en-US"/>
        </w:rPr>
        <w:t xml:space="preserve"> to determine if </w:t>
      </w:r>
      <w:r w:rsidR="001E7CD3">
        <w:rPr>
          <w:rFonts w:cstheme="minorHAnsi"/>
          <w:lang w:val="en-US"/>
        </w:rPr>
        <w:t xml:space="preserve">probable </w:t>
      </w:r>
      <w:r w:rsidR="0043695F" w:rsidRPr="000D16DC">
        <w:rPr>
          <w:rFonts w:cstheme="minorHAnsi"/>
          <w:lang w:val="en-US"/>
        </w:rPr>
        <w:t xml:space="preserve">CPTSD </w:t>
      </w:r>
      <w:r w:rsidR="00393F9E">
        <w:rPr>
          <w:rFonts w:cstheme="minorHAnsi"/>
          <w:lang w:val="en-US"/>
        </w:rPr>
        <w:t xml:space="preserve">was </w:t>
      </w:r>
      <w:r w:rsidR="0043695F" w:rsidRPr="000D16DC">
        <w:rPr>
          <w:rFonts w:cstheme="minorHAnsi"/>
          <w:lang w:val="en-US"/>
        </w:rPr>
        <w:t>associated with</w:t>
      </w:r>
      <w:r w:rsidR="0091215D">
        <w:rPr>
          <w:rFonts w:cstheme="minorHAnsi"/>
          <w:lang w:val="en-US"/>
        </w:rPr>
        <w:t xml:space="preserve"> higher levels of functional impairment and comorbidities (psychotropic medication</w:t>
      </w:r>
      <w:r w:rsidR="0043695F" w:rsidRPr="000D16DC">
        <w:rPr>
          <w:rFonts w:cstheme="minorHAnsi"/>
          <w:lang w:val="en-US"/>
        </w:rPr>
        <w:t xml:space="preserve">, </w:t>
      </w:r>
      <w:r w:rsidR="00A156A4">
        <w:rPr>
          <w:rFonts w:cstheme="minorHAnsi"/>
          <w:lang w:val="en-US"/>
        </w:rPr>
        <w:t>d</w:t>
      </w:r>
      <w:r w:rsidR="00270CDB" w:rsidRPr="000D16DC">
        <w:rPr>
          <w:rFonts w:cstheme="minorHAnsi"/>
          <w:lang w:val="en-US"/>
        </w:rPr>
        <w:t xml:space="preserve">rug </w:t>
      </w:r>
      <w:r w:rsidR="00A156A4">
        <w:rPr>
          <w:rFonts w:cstheme="minorHAnsi"/>
          <w:lang w:val="en-US"/>
        </w:rPr>
        <w:t xml:space="preserve">and </w:t>
      </w:r>
      <w:r w:rsidR="00270CDB" w:rsidRPr="000D16DC">
        <w:rPr>
          <w:rFonts w:cstheme="minorHAnsi"/>
          <w:lang w:val="en-US"/>
        </w:rPr>
        <w:t>alcohol</w:t>
      </w:r>
      <w:r w:rsidR="00A156A4">
        <w:rPr>
          <w:rFonts w:cstheme="minorHAnsi"/>
          <w:lang w:val="en-US"/>
        </w:rPr>
        <w:t xml:space="preserve"> use</w:t>
      </w:r>
      <w:r w:rsidR="00270CDB" w:rsidRPr="000D16DC">
        <w:rPr>
          <w:rFonts w:cstheme="minorHAnsi"/>
          <w:lang w:val="en-US"/>
        </w:rPr>
        <w:t xml:space="preserve">, </w:t>
      </w:r>
      <w:r w:rsidR="0092058E">
        <w:rPr>
          <w:rFonts w:cstheme="minorHAnsi"/>
          <w:lang w:val="en-US"/>
        </w:rPr>
        <w:t xml:space="preserve">symptoms of </w:t>
      </w:r>
      <w:r w:rsidR="0043695F" w:rsidRPr="000D16DC">
        <w:rPr>
          <w:rFonts w:cstheme="minorHAnsi"/>
          <w:lang w:val="en-US"/>
        </w:rPr>
        <w:t>depression, anxiety,</w:t>
      </w:r>
      <w:r w:rsidR="0092058E">
        <w:rPr>
          <w:rFonts w:cstheme="minorHAnsi"/>
          <w:lang w:val="en-US"/>
        </w:rPr>
        <w:t xml:space="preserve"> and</w:t>
      </w:r>
      <w:r w:rsidR="0043695F" w:rsidRPr="000D16DC">
        <w:rPr>
          <w:rFonts w:cstheme="minorHAnsi"/>
          <w:lang w:val="en-US"/>
        </w:rPr>
        <w:t xml:space="preserve"> stress, self-rated general health, quality of life, and suicide beha</w:t>
      </w:r>
      <w:r w:rsidR="008B4DFC">
        <w:rPr>
          <w:rFonts w:cstheme="minorHAnsi"/>
          <w:lang w:val="en-US"/>
        </w:rPr>
        <w:t>vior</w:t>
      </w:r>
      <w:r w:rsidR="0091215D">
        <w:rPr>
          <w:rFonts w:cstheme="minorHAnsi"/>
          <w:lang w:val="en-US"/>
        </w:rPr>
        <w:t xml:space="preserve">) compared to PTSD and </w:t>
      </w:r>
      <w:r w:rsidR="0043695F" w:rsidRPr="000D16DC">
        <w:rPr>
          <w:rFonts w:cstheme="minorHAnsi"/>
          <w:lang w:val="en-US"/>
        </w:rPr>
        <w:t>no</w:t>
      </w:r>
      <w:r w:rsidR="0091215D">
        <w:rPr>
          <w:rFonts w:cstheme="minorHAnsi"/>
          <w:lang w:val="en-US"/>
        </w:rPr>
        <w:t xml:space="preserve"> trauma </w:t>
      </w:r>
      <w:r w:rsidR="008B4DFC">
        <w:rPr>
          <w:rFonts w:cstheme="minorHAnsi"/>
          <w:lang w:val="en-US"/>
        </w:rPr>
        <w:t>disorder</w:t>
      </w:r>
      <w:r w:rsidR="0043695F" w:rsidRPr="000D16DC">
        <w:rPr>
          <w:rFonts w:cstheme="minorHAnsi"/>
          <w:lang w:val="en-US"/>
        </w:rPr>
        <w:t xml:space="preserve">. </w:t>
      </w:r>
      <w:r w:rsidR="00C8774C" w:rsidRPr="000D16DC">
        <w:rPr>
          <w:rFonts w:cstheme="minorHAnsi"/>
          <w:lang w:val="en-US"/>
        </w:rPr>
        <w:t>Base</w:t>
      </w:r>
      <w:r w:rsidR="00C8774C">
        <w:rPr>
          <w:rFonts w:cstheme="minorHAnsi"/>
          <w:lang w:val="en-US"/>
        </w:rPr>
        <w:t xml:space="preserve">d on existing literature of </w:t>
      </w:r>
      <w:r w:rsidR="00C8774C" w:rsidRPr="000D16DC">
        <w:rPr>
          <w:rFonts w:cstheme="minorHAnsi"/>
          <w:lang w:val="en-US"/>
        </w:rPr>
        <w:t xml:space="preserve">risk factors for ICD-11 PTSD and CPTSD in military populations, as well as the wider trauma literature, we </w:t>
      </w:r>
      <w:r w:rsidR="00DA5493">
        <w:rPr>
          <w:rFonts w:cstheme="minorHAnsi"/>
          <w:lang w:val="en-US"/>
        </w:rPr>
        <w:t>hypothesized</w:t>
      </w:r>
      <w:r w:rsidR="00DA5493" w:rsidRPr="000D16DC">
        <w:rPr>
          <w:rFonts w:cstheme="minorHAnsi"/>
          <w:lang w:val="en-US"/>
        </w:rPr>
        <w:t xml:space="preserve"> </w:t>
      </w:r>
      <w:r w:rsidR="00C8774C" w:rsidRPr="000D16DC">
        <w:rPr>
          <w:rFonts w:cstheme="minorHAnsi"/>
          <w:lang w:val="en-US"/>
        </w:rPr>
        <w:t>that CPTSD w</w:t>
      </w:r>
      <w:r w:rsidR="00C8774C">
        <w:rPr>
          <w:rFonts w:cstheme="minorHAnsi"/>
          <w:lang w:val="en-US"/>
        </w:rPr>
        <w:t>ill</w:t>
      </w:r>
      <w:r w:rsidR="00C8774C" w:rsidRPr="000D16DC">
        <w:rPr>
          <w:rFonts w:cstheme="minorHAnsi"/>
          <w:lang w:val="en-US"/>
        </w:rPr>
        <w:t xml:space="preserve"> be associated</w:t>
      </w:r>
      <w:r w:rsidR="00E12FF6">
        <w:rPr>
          <w:rFonts w:cstheme="minorHAnsi"/>
          <w:lang w:val="en-US"/>
        </w:rPr>
        <w:t xml:space="preserve"> with</w:t>
      </w:r>
      <w:r w:rsidR="00DA5493">
        <w:rPr>
          <w:rFonts w:cstheme="minorHAnsi"/>
          <w:lang w:val="en-US"/>
        </w:rPr>
        <w:t xml:space="preserve"> a higher</w:t>
      </w:r>
      <w:r w:rsidR="00E12FF6">
        <w:rPr>
          <w:rFonts w:cstheme="minorHAnsi"/>
          <w:lang w:val="en-US"/>
        </w:rPr>
        <w:t xml:space="preserve"> </w:t>
      </w:r>
      <w:r w:rsidR="00DA5493">
        <w:rPr>
          <w:rFonts w:cstheme="minorHAnsi"/>
          <w:lang w:val="en-US"/>
        </w:rPr>
        <w:t xml:space="preserve">number of </w:t>
      </w:r>
      <w:r w:rsidR="00E12FF6">
        <w:rPr>
          <w:rFonts w:cstheme="minorHAnsi"/>
          <w:lang w:val="en-US"/>
        </w:rPr>
        <w:t>traumatic life events</w:t>
      </w:r>
      <w:r w:rsidR="00DF1587">
        <w:rPr>
          <w:rFonts w:cstheme="minorHAnsi"/>
          <w:lang w:val="en-US"/>
        </w:rPr>
        <w:t xml:space="preserve"> (</w:t>
      </w:r>
      <w:r w:rsidR="00C8774C">
        <w:rPr>
          <w:rFonts w:cstheme="minorHAnsi"/>
          <w:lang w:val="en-US"/>
        </w:rPr>
        <w:t>in</w:t>
      </w:r>
      <w:r w:rsidR="00DF1587">
        <w:rPr>
          <w:rFonts w:cstheme="minorHAnsi"/>
          <w:lang w:val="en-US"/>
        </w:rPr>
        <w:t xml:space="preserve"> both</w:t>
      </w:r>
      <w:r w:rsidR="00C8774C">
        <w:rPr>
          <w:rFonts w:cstheme="minorHAnsi"/>
          <w:lang w:val="en-US"/>
        </w:rPr>
        <w:t xml:space="preserve"> childhood and adulthood</w:t>
      </w:r>
      <w:r w:rsidR="00DF1587">
        <w:rPr>
          <w:rFonts w:cstheme="minorHAnsi"/>
          <w:lang w:val="en-US"/>
        </w:rPr>
        <w:t>)</w:t>
      </w:r>
      <w:r w:rsidR="00C8774C">
        <w:rPr>
          <w:rFonts w:cstheme="minorHAnsi"/>
          <w:lang w:val="en-US"/>
        </w:rPr>
        <w:t xml:space="preserve">. </w:t>
      </w:r>
      <w:r w:rsidR="00C8774C" w:rsidRPr="000D16DC">
        <w:rPr>
          <w:rFonts w:cstheme="minorHAnsi"/>
          <w:lang w:val="en-US"/>
        </w:rPr>
        <w:t>Moreover, we expect</w:t>
      </w:r>
      <w:r w:rsidR="00DA5493">
        <w:rPr>
          <w:rFonts w:cstheme="minorHAnsi"/>
          <w:lang w:val="en-US"/>
        </w:rPr>
        <w:t>ed</w:t>
      </w:r>
      <w:r w:rsidR="00C8774C" w:rsidRPr="000D16DC">
        <w:rPr>
          <w:rFonts w:cstheme="minorHAnsi"/>
          <w:lang w:val="en-US"/>
        </w:rPr>
        <w:t xml:space="preserve"> that </w:t>
      </w:r>
      <w:r w:rsidR="00E12FF6">
        <w:rPr>
          <w:rFonts w:cstheme="minorHAnsi"/>
          <w:lang w:val="en-US"/>
        </w:rPr>
        <w:t xml:space="preserve">veterans with CPTSD will </w:t>
      </w:r>
      <w:r w:rsidR="00DF1587">
        <w:rPr>
          <w:rFonts w:cstheme="minorHAnsi"/>
          <w:lang w:val="en-US"/>
        </w:rPr>
        <w:t xml:space="preserve">report </w:t>
      </w:r>
      <w:r w:rsidR="00D06170">
        <w:rPr>
          <w:rFonts w:cstheme="minorHAnsi"/>
          <w:lang w:val="en-US"/>
        </w:rPr>
        <w:t xml:space="preserve">the </w:t>
      </w:r>
      <w:r w:rsidR="00DF1587">
        <w:rPr>
          <w:rFonts w:cstheme="minorHAnsi"/>
          <w:lang w:val="en-US"/>
        </w:rPr>
        <w:t xml:space="preserve">highest levels of </w:t>
      </w:r>
      <w:r w:rsidR="00E12FF6">
        <w:rPr>
          <w:rFonts w:cstheme="minorHAnsi"/>
          <w:lang w:val="en-US"/>
        </w:rPr>
        <w:t>functional impairment and comorbidities.</w:t>
      </w:r>
    </w:p>
    <w:p w14:paraId="7341F00C" w14:textId="47BC9913" w:rsidR="003C464D" w:rsidRPr="004263AC" w:rsidRDefault="003C464D" w:rsidP="003C464D">
      <w:pPr>
        <w:pStyle w:val="Overskrift2"/>
        <w:rPr>
          <w:rFonts w:asciiTheme="minorHAnsi" w:hAnsiTheme="minorHAnsi" w:cstheme="minorHAnsi"/>
          <w:sz w:val="24"/>
          <w:szCs w:val="24"/>
        </w:rPr>
      </w:pPr>
      <w:r w:rsidRPr="004263AC">
        <w:rPr>
          <w:rFonts w:asciiTheme="minorHAnsi" w:hAnsiTheme="minorHAnsi" w:cstheme="minorHAnsi"/>
          <w:sz w:val="24"/>
          <w:szCs w:val="24"/>
        </w:rPr>
        <w:lastRenderedPageBreak/>
        <w:t>Method</w:t>
      </w:r>
      <w:r w:rsidR="008E5B41" w:rsidRPr="004263AC">
        <w:rPr>
          <w:rFonts w:asciiTheme="minorHAnsi" w:hAnsiTheme="minorHAnsi" w:cstheme="minorHAnsi"/>
          <w:sz w:val="24"/>
          <w:szCs w:val="24"/>
        </w:rPr>
        <w:t>s</w:t>
      </w:r>
    </w:p>
    <w:p w14:paraId="43A2E5C9" w14:textId="47572998" w:rsidR="003C464D" w:rsidRPr="000D16DC" w:rsidRDefault="003C464D" w:rsidP="00A65DB0">
      <w:pPr>
        <w:pStyle w:val="Overskrift3"/>
        <w:spacing w:before="0" w:line="360" w:lineRule="auto"/>
        <w:rPr>
          <w:rFonts w:asciiTheme="minorHAnsi" w:hAnsiTheme="minorHAnsi" w:cstheme="minorHAnsi"/>
          <w:color w:val="auto"/>
        </w:rPr>
      </w:pPr>
      <w:r w:rsidRPr="000D16DC">
        <w:rPr>
          <w:rFonts w:asciiTheme="minorHAnsi" w:hAnsiTheme="minorHAnsi" w:cstheme="minorHAnsi"/>
          <w:color w:val="auto"/>
        </w:rPr>
        <w:t>Participants and procedures</w:t>
      </w:r>
    </w:p>
    <w:p w14:paraId="0DB3B361" w14:textId="485D5AEA" w:rsidR="00B1507D" w:rsidRPr="00AC177E" w:rsidRDefault="008A5B28" w:rsidP="00B1507D">
      <w:pPr>
        <w:pStyle w:val="Overskrift3"/>
        <w:spacing w:before="0" w:line="360" w:lineRule="auto"/>
        <w:rPr>
          <w:rFonts w:asciiTheme="minorHAnsi" w:hAnsiTheme="minorHAnsi" w:cstheme="minorHAnsi"/>
          <w:b w:val="0"/>
          <w:color w:val="auto"/>
        </w:rPr>
      </w:pPr>
      <w:r w:rsidRPr="000D16DC">
        <w:rPr>
          <w:rFonts w:asciiTheme="minorHAnsi" w:hAnsiTheme="minorHAnsi" w:cstheme="minorHAnsi"/>
          <w:b w:val="0"/>
          <w:color w:val="auto"/>
        </w:rPr>
        <w:t xml:space="preserve">We </w:t>
      </w:r>
      <w:r w:rsidRPr="0074184C">
        <w:rPr>
          <w:rFonts w:asciiTheme="minorHAnsi" w:hAnsiTheme="minorHAnsi" w:cstheme="minorHAnsi"/>
          <w:b w:val="0"/>
          <w:color w:val="auto"/>
        </w:rPr>
        <w:t xml:space="preserve">included previously deployed </w:t>
      </w:r>
      <w:r w:rsidR="0074184C">
        <w:rPr>
          <w:rFonts w:asciiTheme="minorHAnsi" w:hAnsiTheme="minorHAnsi" w:cstheme="minorHAnsi"/>
          <w:b w:val="0"/>
          <w:color w:val="auto"/>
        </w:rPr>
        <w:t xml:space="preserve">Danish </w:t>
      </w:r>
      <w:r w:rsidRPr="0074184C">
        <w:rPr>
          <w:rFonts w:asciiTheme="minorHAnsi" w:hAnsiTheme="minorHAnsi" w:cstheme="minorHAnsi"/>
          <w:b w:val="0"/>
          <w:color w:val="auto"/>
        </w:rPr>
        <w:t>soldiers and veterans</w:t>
      </w:r>
      <w:r w:rsidR="00575FE4">
        <w:rPr>
          <w:rFonts w:asciiTheme="minorHAnsi" w:hAnsiTheme="minorHAnsi" w:cstheme="minorHAnsi"/>
          <w:b w:val="0"/>
          <w:color w:val="auto"/>
        </w:rPr>
        <w:t xml:space="preserve"> (both labeled ‘veterans’) </w:t>
      </w:r>
      <w:r w:rsidRPr="0074184C">
        <w:rPr>
          <w:rFonts w:asciiTheme="minorHAnsi" w:hAnsiTheme="minorHAnsi" w:cstheme="minorHAnsi"/>
          <w:b w:val="0"/>
          <w:color w:val="auto"/>
        </w:rPr>
        <w:t xml:space="preserve">who referred </w:t>
      </w:r>
      <w:r w:rsidR="0074184C">
        <w:rPr>
          <w:rFonts w:asciiTheme="minorHAnsi" w:hAnsiTheme="minorHAnsi" w:cstheme="minorHAnsi"/>
          <w:b w:val="0"/>
          <w:color w:val="auto"/>
        </w:rPr>
        <w:t>themselves for treatment at</w:t>
      </w:r>
      <w:r w:rsidR="0074184C" w:rsidRPr="0074184C">
        <w:rPr>
          <w:rFonts w:asciiTheme="minorHAnsi" w:hAnsiTheme="minorHAnsi" w:cstheme="minorHAnsi"/>
          <w:b w:val="0"/>
        </w:rPr>
        <w:t xml:space="preserve"> the Military Psychology Department</w:t>
      </w:r>
      <w:r w:rsidR="0074184C">
        <w:rPr>
          <w:rFonts w:asciiTheme="minorHAnsi" w:hAnsiTheme="minorHAnsi" w:cstheme="minorHAnsi"/>
          <w:b w:val="0"/>
        </w:rPr>
        <w:t xml:space="preserve"> (MPD)</w:t>
      </w:r>
      <w:r w:rsidR="000805D9">
        <w:rPr>
          <w:rFonts w:asciiTheme="minorHAnsi" w:hAnsiTheme="minorHAnsi" w:cstheme="minorHAnsi"/>
          <w:b w:val="0"/>
        </w:rPr>
        <w:t xml:space="preserve"> in the </w:t>
      </w:r>
      <w:r w:rsidR="0074184C" w:rsidRPr="0074184C">
        <w:rPr>
          <w:rFonts w:asciiTheme="minorHAnsi" w:hAnsiTheme="minorHAnsi" w:cstheme="minorHAnsi"/>
          <w:b w:val="0"/>
        </w:rPr>
        <w:t>Danish Defense</w:t>
      </w:r>
      <w:r w:rsidR="0074184C">
        <w:rPr>
          <w:rFonts w:asciiTheme="minorHAnsi" w:hAnsiTheme="minorHAnsi" w:cstheme="minorHAnsi"/>
          <w:b w:val="0"/>
        </w:rPr>
        <w:t>,</w:t>
      </w:r>
      <w:r w:rsidR="0074184C" w:rsidRPr="0074184C">
        <w:rPr>
          <w:rFonts w:asciiTheme="minorHAnsi" w:hAnsiTheme="minorHAnsi" w:cstheme="minorHAnsi"/>
          <w:b w:val="0"/>
        </w:rPr>
        <w:t xml:space="preserve"> and </w:t>
      </w:r>
      <w:r w:rsidR="000805D9">
        <w:rPr>
          <w:rFonts w:asciiTheme="minorHAnsi" w:hAnsiTheme="minorHAnsi" w:cstheme="minorHAnsi"/>
          <w:b w:val="0"/>
        </w:rPr>
        <w:t xml:space="preserve">who </w:t>
      </w:r>
      <w:r w:rsidRPr="0074184C">
        <w:rPr>
          <w:rFonts w:asciiTheme="minorHAnsi" w:hAnsiTheme="minorHAnsi" w:cstheme="minorHAnsi"/>
          <w:b w:val="0"/>
          <w:color w:val="auto"/>
        </w:rPr>
        <w:t>completed an on-line administered questionnaire at treatment intake between 26</w:t>
      </w:r>
      <w:r w:rsidRPr="0074184C">
        <w:rPr>
          <w:rFonts w:asciiTheme="minorHAnsi" w:hAnsiTheme="minorHAnsi" w:cstheme="minorHAnsi"/>
          <w:b w:val="0"/>
          <w:color w:val="auto"/>
          <w:vertAlign w:val="superscript"/>
        </w:rPr>
        <w:t>th</w:t>
      </w:r>
      <w:r w:rsidRPr="0074184C">
        <w:rPr>
          <w:rFonts w:asciiTheme="minorHAnsi" w:hAnsiTheme="minorHAnsi" w:cstheme="minorHAnsi"/>
          <w:b w:val="0"/>
          <w:color w:val="auto"/>
        </w:rPr>
        <w:t xml:space="preserve"> October 2019 and 16</w:t>
      </w:r>
      <w:r w:rsidRPr="0074184C">
        <w:rPr>
          <w:rFonts w:asciiTheme="minorHAnsi" w:hAnsiTheme="minorHAnsi" w:cstheme="minorHAnsi"/>
          <w:b w:val="0"/>
          <w:color w:val="auto"/>
          <w:vertAlign w:val="superscript"/>
        </w:rPr>
        <w:t>th</w:t>
      </w:r>
      <w:r w:rsidRPr="0074184C">
        <w:rPr>
          <w:rFonts w:asciiTheme="minorHAnsi" w:hAnsiTheme="minorHAnsi" w:cstheme="minorHAnsi"/>
          <w:b w:val="0"/>
          <w:color w:val="auto"/>
        </w:rPr>
        <w:t xml:space="preserve"> October 2021</w:t>
      </w:r>
      <w:r w:rsidR="000805D9">
        <w:rPr>
          <w:rFonts w:asciiTheme="minorHAnsi" w:hAnsiTheme="minorHAnsi" w:cstheme="minorHAnsi"/>
          <w:b w:val="0"/>
          <w:color w:val="auto"/>
        </w:rPr>
        <w:t xml:space="preserve"> (</w:t>
      </w:r>
      <w:r w:rsidR="000805D9" w:rsidRPr="0049327B">
        <w:rPr>
          <w:rFonts w:asciiTheme="minorHAnsi" w:hAnsiTheme="minorHAnsi" w:cstheme="minorHAnsi"/>
          <w:b w:val="0"/>
          <w:i/>
          <w:color w:val="auto"/>
        </w:rPr>
        <w:t>N=</w:t>
      </w:r>
      <w:r w:rsidR="000805D9">
        <w:rPr>
          <w:rFonts w:asciiTheme="minorHAnsi" w:hAnsiTheme="minorHAnsi" w:cstheme="minorHAnsi"/>
          <w:b w:val="0"/>
          <w:color w:val="auto"/>
        </w:rPr>
        <w:t>608)</w:t>
      </w:r>
      <w:r w:rsidRPr="0074184C">
        <w:rPr>
          <w:rFonts w:asciiTheme="minorHAnsi" w:hAnsiTheme="minorHAnsi" w:cstheme="minorHAnsi"/>
          <w:b w:val="0"/>
          <w:color w:val="auto"/>
        </w:rPr>
        <w:t>.</w:t>
      </w:r>
      <w:r w:rsidR="000805D9">
        <w:rPr>
          <w:rFonts w:asciiTheme="minorHAnsi" w:hAnsiTheme="minorHAnsi" w:cstheme="minorHAnsi"/>
          <w:b w:val="0"/>
          <w:color w:val="auto"/>
        </w:rPr>
        <w:t xml:space="preserve"> </w:t>
      </w:r>
      <w:r w:rsidR="00C7152A">
        <w:rPr>
          <w:rFonts w:asciiTheme="minorHAnsi" w:hAnsiTheme="minorHAnsi" w:cstheme="minorHAnsi"/>
          <w:b w:val="0"/>
          <w:color w:val="auto"/>
        </w:rPr>
        <w:t>If they were multiply referred</w:t>
      </w:r>
      <w:r w:rsidR="000805D9">
        <w:rPr>
          <w:rFonts w:asciiTheme="minorHAnsi" w:hAnsiTheme="minorHAnsi" w:cstheme="minorHAnsi"/>
          <w:b w:val="0"/>
          <w:color w:val="auto"/>
        </w:rPr>
        <w:t xml:space="preserve">, participants were included </w:t>
      </w:r>
      <w:r w:rsidR="00C7152A">
        <w:rPr>
          <w:rFonts w:asciiTheme="minorHAnsi" w:hAnsiTheme="minorHAnsi" w:cstheme="minorHAnsi"/>
          <w:b w:val="0"/>
          <w:color w:val="auto"/>
        </w:rPr>
        <w:t>in</w:t>
      </w:r>
      <w:r w:rsidR="000805D9">
        <w:rPr>
          <w:rFonts w:asciiTheme="minorHAnsi" w:hAnsiTheme="minorHAnsi" w:cstheme="minorHAnsi"/>
          <w:b w:val="0"/>
          <w:color w:val="auto"/>
        </w:rPr>
        <w:t xml:space="preserve"> their first referral</w:t>
      </w:r>
      <w:r w:rsidR="00C7152A">
        <w:rPr>
          <w:rFonts w:asciiTheme="minorHAnsi" w:hAnsiTheme="minorHAnsi" w:cstheme="minorHAnsi"/>
          <w:b w:val="0"/>
          <w:color w:val="auto"/>
        </w:rPr>
        <w:t xml:space="preserve"> only</w:t>
      </w:r>
      <w:r w:rsidR="000805D9">
        <w:rPr>
          <w:rFonts w:asciiTheme="minorHAnsi" w:hAnsiTheme="minorHAnsi" w:cstheme="minorHAnsi"/>
          <w:b w:val="0"/>
          <w:color w:val="auto"/>
        </w:rPr>
        <w:t>.</w:t>
      </w:r>
      <w:r w:rsidRPr="0074184C">
        <w:rPr>
          <w:rFonts w:asciiTheme="minorHAnsi" w:hAnsiTheme="minorHAnsi" w:cstheme="minorHAnsi"/>
          <w:b w:val="0"/>
          <w:color w:val="auto"/>
        </w:rPr>
        <w:t xml:space="preserve"> </w:t>
      </w:r>
      <w:r w:rsidR="000805D9" w:rsidRPr="00AC177E">
        <w:rPr>
          <w:rFonts w:asciiTheme="minorHAnsi" w:hAnsiTheme="minorHAnsi" w:cstheme="minorHAnsi"/>
          <w:b w:val="0"/>
          <w:color w:val="auto"/>
        </w:rPr>
        <w:t>We included respondents who</w:t>
      </w:r>
      <w:r w:rsidRPr="00AC177E">
        <w:rPr>
          <w:rFonts w:asciiTheme="minorHAnsi" w:hAnsiTheme="minorHAnsi" w:cstheme="minorHAnsi"/>
          <w:b w:val="0"/>
          <w:color w:val="auto"/>
        </w:rPr>
        <w:t xml:space="preserve"> screened positive for at least one </w:t>
      </w:r>
      <w:r w:rsidR="00C7152A" w:rsidRPr="00AC177E">
        <w:rPr>
          <w:rFonts w:asciiTheme="minorHAnsi" w:hAnsiTheme="minorHAnsi" w:cstheme="minorHAnsi"/>
          <w:b w:val="0"/>
          <w:color w:val="auto"/>
        </w:rPr>
        <w:t xml:space="preserve">lifetime </w:t>
      </w:r>
      <w:r w:rsidRPr="00AC177E">
        <w:rPr>
          <w:rFonts w:asciiTheme="minorHAnsi" w:hAnsiTheme="minorHAnsi" w:cstheme="minorHAnsi"/>
          <w:b w:val="0"/>
          <w:color w:val="auto"/>
        </w:rPr>
        <w:t xml:space="preserve">traumatic event (assessed using the Traumatic Life Events </w:t>
      </w:r>
      <w:r w:rsidR="002F7CF7" w:rsidRPr="00AC177E">
        <w:rPr>
          <w:rFonts w:asciiTheme="minorHAnsi" w:hAnsiTheme="minorHAnsi" w:cstheme="minorHAnsi"/>
          <w:b w:val="0"/>
          <w:color w:val="auto"/>
        </w:rPr>
        <w:t>Questionnaire (</w:t>
      </w:r>
      <w:r w:rsidRPr="00AC177E">
        <w:rPr>
          <w:rFonts w:asciiTheme="minorHAnsi" w:hAnsiTheme="minorHAnsi" w:cstheme="minorHAnsi"/>
          <w:b w:val="0"/>
          <w:color w:val="auto"/>
        </w:rPr>
        <w:t>TLEQ</w:t>
      </w:r>
      <w:r w:rsidR="002F7CF7" w:rsidRPr="00AC177E">
        <w:rPr>
          <w:rFonts w:asciiTheme="minorHAnsi" w:hAnsiTheme="minorHAnsi" w:cstheme="minorHAnsi"/>
          <w:b w:val="0"/>
          <w:color w:val="auto"/>
        </w:rPr>
        <w:t>)</w:t>
      </w:r>
      <w:r w:rsidR="000805D9" w:rsidRPr="00AC177E">
        <w:rPr>
          <w:rFonts w:asciiTheme="minorHAnsi" w:hAnsiTheme="minorHAnsi" w:cstheme="minorHAnsi"/>
          <w:b w:val="0"/>
          <w:color w:val="auto"/>
        </w:rPr>
        <w:t>; 97.5%, final sample N=599</w:t>
      </w:r>
      <w:r w:rsidRPr="00AC177E">
        <w:rPr>
          <w:rFonts w:asciiTheme="minorHAnsi" w:hAnsiTheme="minorHAnsi" w:cstheme="minorHAnsi"/>
          <w:b w:val="0"/>
          <w:color w:val="auto"/>
        </w:rPr>
        <w:t>).</w:t>
      </w:r>
      <w:r w:rsidR="00B1507D" w:rsidRPr="00AC177E">
        <w:rPr>
          <w:rFonts w:asciiTheme="minorHAnsi" w:hAnsiTheme="minorHAnsi" w:cstheme="minorHAnsi"/>
          <w:b w:val="0"/>
          <w:color w:val="auto"/>
        </w:rPr>
        <w:t xml:space="preserve"> We have almost no missing data due to on-line data collection.  However</w:t>
      </w:r>
      <w:r w:rsidR="00051D23">
        <w:rPr>
          <w:rFonts w:asciiTheme="minorHAnsi" w:hAnsiTheme="minorHAnsi" w:cstheme="minorHAnsi"/>
          <w:b w:val="0"/>
          <w:color w:val="auto"/>
        </w:rPr>
        <w:t>,</w:t>
      </w:r>
      <w:r w:rsidR="00B1507D" w:rsidRPr="00AC177E">
        <w:rPr>
          <w:rFonts w:asciiTheme="minorHAnsi" w:hAnsiTheme="minorHAnsi" w:cstheme="minorHAnsi"/>
          <w:b w:val="0"/>
          <w:color w:val="auto"/>
        </w:rPr>
        <w:t xml:space="preserve"> two person</w:t>
      </w:r>
      <w:r w:rsidR="006E46B9">
        <w:rPr>
          <w:rFonts w:asciiTheme="minorHAnsi" w:hAnsiTheme="minorHAnsi" w:cstheme="minorHAnsi"/>
          <w:b w:val="0"/>
          <w:color w:val="auto"/>
        </w:rPr>
        <w:t>s who</w:t>
      </w:r>
      <w:r w:rsidR="00B1507D" w:rsidRPr="00AC177E">
        <w:rPr>
          <w:rFonts w:asciiTheme="minorHAnsi" w:hAnsiTheme="minorHAnsi" w:cstheme="minorHAnsi"/>
          <w:b w:val="0"/>
          <w:color w:val="auto"/>
        </w:rPr>
        <w:t xml:space="preserve"> </w:t>
      </w:r>
      <w:r w:rsidR="006E46B9" w:rsidRPr="00AC177E">
        <w:rPr>
          <w:rFonts w:asciiTheme="minorHAnsi" w:hAnsiTheme="minorHAnsi" w:cstheme="minorHAnsi"/>
          <w:b w:val="0"/>
          <w:color w:val="auto"/>
        </w:rPr>
        <w:t xml:space="preserve">filled out a paper </w:t>
      </w:r>
      <w:r w:rsidR="00051D23">
        <w:rPr>
          <w:rFonts w:asciiTheme="minorHAnsi" w:hAnsiTheme="minorHAnsi" w:cstheme="minorHAnsi"/>
          <w:b w:val="0"/>
          <w:color w:val="auto"/>
        </w:rPr>
        <w:t xml:space="preserve">and </w:t>
      </w:r>
      <w:r w:rsidR="006E46B9" w:rsidRPr="00AC177E">
        <w:rPr>
          <w:rFonts w:asciiTheme="minorHAnsi" w:hAnsiTheme="minorHAnsi" w:cstheme="minorHAnsi"/>
          <w:b w:val="0"/>
          <w:color w:val="auto"/>
        </w:rPr>
        <w:t xml:space="preserve">pencil questionnaire </w:t>
      </w:r>
      <w:r w:rsidR="00B1507D" w:rsidRPr="00AC177E">
        <w:rPr>
          <w:rFonts w:asciiTheme="minorHAnsi" w:hAnsiTheme="minorHAnsi" w:cstheme="minorHAnsi"/>
          <w:b w:val="0"/>
          <w:color w:val="auto"/>
        </w:rPr>
        <w:t>failed to answer some items (</w:t>
      </w:r>
      <w:r w:rsidR="006E46B9">
        <w:rPr>
          <w:rFonts w:asciiTheme="minorHAnsi" w:hAnsiTheme="minorHAnsi" w:cstheme="minorHAnsi"/>
          <w:b w:val="0"/>
          <w:color w:val="auto"/>
        </w:rPr>
        <w:t xml:space="preserve">i.e. </w:t>
      </w:r>
      <w:r w:rsidR="00B1507D" w:rsidRPr="00AC177E">
        <w:rPr>
          <w:rFonts w:asciiTheme="minorHAnsi" w:hAnsiTheme="minorHAnsi" w:cstheme="minorHAnsi"/>
          <w:b w:val="0"/>
          <w:color w:val="auto"/>
        </w:rPr>
        <w:t xml:space="preserve">one person had missing on WHO5-score (0.17%) and one person had missing on information on </w:t>
      </w:r>
      <w:r w:rsidR="00477502">
        <w:rPr>
          <w:rFonts w:asciiTheme="minorHAnsi" w:hAnsiTheme="minorHAnsi" w:cstheme="minorHAnsi"/>
          <w:b w:val="0"/>
          <w:color w:val="auto"/>
        </w:rPr>
        <w:t>self-rated health (</w:t>
      </w:r>
      <w:r w:rsidR="00B1507D" w:rsidRPr="00AC177E">
        <w:rPr>
          <w:rFonts w:asciiTheme="minorHAnsi" w:hAnsiTheme="minorHAnsi" w:cstheme="minorHAnsi"/>
          <w:b w:val="0"/>
          <w:color w:val="auto"/>
        </w:rPr>
        <w:t>0.17%), depression (0.17%), anxiety (0.17%), and stress score</w:t>
      </w:r>
      <w:r w:rsidR="006E46B9">
        <w:rPr>
          <w:rFonts w:asciiTheme="minorHAnsi" w:hAnsiTheme="minorHAnsi" w:cstheme="minorHAnsi"/>
          <w:b w:val="0"/>
          <w:color w:val="auto"/>
        </w:rPr>
        <w:t>s</w:t>
      </w:r>
      <w:r w:rsidR="00B1507D" w:rsidRPr="00AC177E">
        <w:rPr>
          <w:rFonts w:asciiTheme="minorHAnsi" w:hAnsiTheme="minorHAnsi" w:cstheme="minorHAnsi"/>
          <w:b w:val="0"/>
          <w:color w:val="auto"/>
        </w:rPr>
        <w:t xml:space="preserve"> (0.17%)).           </w:t>
      </w:r>
    </w:p>
    <w:p w14:paraId="6488741A" w14:textId="033847E2" w:rsidR="00A81C79" w:rsidRPr="00A81C79" w:rsidRDefault="00A81C79" w:rsidP="00A81C79">
      <w:pPr>
        <w:pStyle w:val="Overskrift3"/>
        <w:spacing w:before="0" w:line="360" w:lineRule="auto"/>
        <w:rPr>
          <w:rFonts w:asciiTheme="minorHAnsi" w:hAnsiTheme="minorHAnsi" w:cstheme="minorHAnsi"/>
          <w:b w:val="0"/>
          <w:color w:val="auto"/>
        </w:rPr>
      </w:pPr>
    </w:p>
    <w:p w14:paraId="53011C5B" w14:textId="559475A3" w:rsidR="00146A03" w:rsidRPr="007D4326" w:rsidRDefault="00A81C79" w:rsidP="007D4326">
      <w:pPr>
        <w:pStyle w:val="Overskrift2"/>
        <w:rPr>
          <w:rFonts w:asciiTheme="minorHAnsi" w:hAnsiTheme="minorHAnsi" w:cstheme="minorHAnsi"/>
          <w:sz w:val="24"/>
          <w:szCs w:val="24"/>
        </w:rPr>
      </w:pPr>
      <w:r w:rsidRPr="004263AC">
        <w:rPr>
          <w:rFonts w:asciiTheme="minorHAnsi" w:hAnsiTheme="minorHAnsi" w:cstheme="minorHAnsi"/>
          <w:sz w:val="24"/>
          <w:szCs w:val="24"/>
        </w:rPr>
        <w:t>Me</w:t>
      </w:r>
      <w:r>
        <w:rPr>
          <w:rFonts w:asciiTheme="minorHAnsi" w:hAnsiTheme="minorHAnsi" w:cstheme="minorHAnsi"/>
          <w:sz w:val="24"/>
          <w:szCs w:val="24"/>
        </w:rPr>
        <w:t xml:space="preserve">asures </w:t>
      </w:r>
    </w:p>
    <w:p w14:paraId="6CA9C212" w14:textId="6D0347FA" w:rsidR="00146A03" w:rsidRPr="00A65DB0" w:rsidRDefault="00146A03" w:rsidP="00146A03">
      <w:pPr>
        <w:spacing w:after="0" w:line="360" w:lineRule="auto"/>
        <w:rPr>
          <w:rFonts w:cstheme="minorHAnsi"/>
          <w:b/>
          <w:lang w:val="en-US"/>
        </w:rPr>
      </w:pPr>
      <w:r w:rsidRPr="00A65DB0">
        <w:rPr>
          <w:rFonts w:cstheme="minorHAnsi"/>
          <w:b/>
          <w:lang w:val="en-US"/>
        </w:rPr>
        <w:t>ICD-11 PTSD and CPTSD</w:t>
      </w:r>
    </w:p>
    <w:p w14:paraId="35B63141" w14:textId="2B80D11C" w:rsidR="007D6A21" w:rsidRPr="004E199A" w:rsidRDefault="00146A03" w:rsidP="00E5066E">
      <w:pPr>
        <w:pStyle w:val="Overskrift3"/>
        <w:spacing w:before="0" w:line="360" w:lineRule="auto"/>
        <w:rPr>
          <w:rFonts w:asciiTheme="minorHAnsi" w:hAnsiTheme="minorHAnsi" w:cstheme="minorHAnsi"/>
          <w:b w:val="0"/>
          <w:color w:val="auto"/>
        </w:rPr>
      </w:pPr>
      <w:r w:rsidRPr="004E199A">
        <w:rPr>
          <w:rFonts w:asciiTheme="minorHAnsi" w:hAnsiTheme="minorHAnsi" w:cstheme="minorHAnsi"/>
          <w:b w:val="0"/>
          <w:color w:val="auto"/>
        </w:rPr>
        <w:t>The Interna</w:t>
      </w:r>
      <w:r w:rsidR="00D9415B">
        <w:rPr>
          <w:rFonts w:asciiTheme="minorHAnsi" w:hAnsiTheme="minorHAnsi" w:cstheme="minorHAnsi"/>
          <w:b w:val="0"/>
          <w:color w:val="auto"/>
        </w:rPr>
        <w:t>tional Trauma Questionnaire</w:t>
      </w:r>
      <w:r w:rsidR="006A0D83" w:rsidRPr="004E199A">
        <w:rPr>
          <w:rFonts w:asciiTheme="minorHAnsi" w:hAnsiTheme="minorHAnsi" w:cstheme="minorHAnsi"/>
          <w:b w:val="0"/>
          <w:color w:val="auto"/>
        </w:rPr>
        <w:t xml:space="preserve"> </w:t>
      </w:r>
      <w:r w:rsidR="00C76CB7" w:rsidRPr="002B6C89">
        <w:rPr>
          <w:rFonts w:ascii="Calibri" w:hAnsi="Calibri"/>
          <w:b w:val="0"/>
        </w:rPr>
        <w:t>(Cloitre et al., 2018)</w:t>
      </w:r>
      <w:r w:rsidR="006A0D83" w:rsidRPr="004E199A">
        <w:rPr>
          <w:rFonts w:asciiTheme="minorHAnsi" w:hAnsiTheme="minorHAnsi" w:cstheme="minorHAnsi"/>
          <w:b w:val="0"/>
          <w:color w:val="auto"/>
        </w:rPr>
        <w:t xml:space="preserve"> </w:t>
      </w:r>
      <w:r w:rsidRPr="004E199A">
        <w:rPr>
          <w:rFonts w:asciiTheme="minorHAnsi" w:hAnsiTheme="minorHAnsi" w:cstheme="minorHAnsi"/>
          <w:b w:val="0"/>
          <w:color w:val="auto"/>
        </w:rPr>
        <w:t xml:space="preserve">is the only available self-report measure of ICD-11 PTSD and CPTSD symptoms. The ITQ assesses the respondent’s most distressing traumatic event and the time passed since the trauma occurred (response options: &lt;6 months ago, 6-12 months ago, 1-5 years ago, 10-20 years ago, and &lt;20 years ago). The ITQ contains 12 items measuring the six PTSD and six </w:t>
      </w:r>
      <w:r w:rsidR="00544F7D" w:rsidRPr="004E199A">
        <w:rPr>
          <w:rFonts w:asciiTheme="minorHAnsi" w:hAnsiTheme="minorHAnsi" w:cstheme="minorHAnsi"/>
          <w:b w:val="0"/>
          <w:color w:val="auto"/>
        </w:rPr>
        <w:t xml:space="preserve">DSO </w:t>
      </w:r>
      <w:r w:rsidRPr="004E199A">
        <w:rPr>
          <w:rFonts w:asciiTheme="minorHAnsi" w:hAnsiTheme="minorHAnsi" w:cstheme="minorHAnsi"/>
          <w:b w:val="0"/>
          <w:color w:val="auto"/>
        </w:rPr>
        <w:t xml:space="preserve">symptoms. Three items </w:t>
      </w:r>
      <w:r w:rsidR="00C7152A" w:rsidRPr="004E199A">
        <w:rPr>
          <w:rFonts w:asciiTheme="minorHAnsi" w:hAnsiTheme="minorHAnsi" w:cstheme="minorHAnsi"/>
          <w:b w:val="0"/>
          <w:color w:val="auto"/>
        </w:rPr>
        <w:t xml:space="preserve">assess </w:t>
      </w:r>
      <w:r w:rsidRPr="004E199A">
        <w:rPr>
          <w:rFonts w:asciiTheme="minorHAnsi" w:hAnsiTheme="minorHAnsi" w:cstheme="minorHAnsi"/>
          <w:b w:val="0"/>
          <w:color w:val="auto"/>
        </w:rPr>
        <w:t>functional impairment in the domains of social, work‐life, and other important areas of life</w:t>
      </w:r>
      <w:r w:rsidR="00A348F7">
        <w:rPr>
          <w:rFonts w:asciiTheme="minorHAnsi" w:hAnsiTheme="minorHAnsi" w:cstheme="minorHAnsi"/>
          <w:b w:val="0"/>
          <w:color w:val="auto"/>
        </w:rPr>
        <w:t>,</w:t>
      </w:r>
      <w:r w:rsidRPr="004E199A">
        <w:rPr>
          <w:rFonts w:asciiTheme="minorHAnsi" w:hAnsiTheme="minorHAnsi" w:cstheme="minorHAnsi"/>
          <w:b w:val="0"/>
          <w:color w:val="auto"/>
        </w:rPr>
        <w:t xml:space="preserve"> relating to both sets of symptoms. All items use a five‐point Likert scale ranging from 0 (“Not at all”) to 4 (“Extremely”). A symptom is </w:t>
      </w:r>
      <w:r w:rsidR="00C7152A" w:rsidRPr="004E199A">
        <w:rPr>
          <w:rFonts w:asciiTheme="minorHAnsi" w:hAnsiTheme="minorHAnsi" w:cstheme="minorHAnsi"/>
          <w:b w:val="0"/>
          <w:color w:val="auto"/>
        </w:rPr>
        <w:t>endorsed</w:t>
      </w:r>
      <w:r w:rsidRPr="004E199A">
        <w:rPr>
          <w:rFonts w:asciiTheme="minorHAnsi" w:hAnsiTheme="minorHAnsi" w:cstheme="minorHAnsi"/>
          <w:b w:val="0"/>
          <w:color w:val="auto"/>
        </w:rPr>
        <w:t xml:space="preserve"> based on a score of ≥2 (“Moderately”). The ICD‐11 diagnostic rules only permit a diagnosis of PTSD or CPTSD, </w:t>
      </w:r>
      <w:r w:rsidR="00C7152A" w:rsidRPr="004E199A">
        <w:rPr>
          <w:rFonts w:asciiTheme="minorHAnsi" w:hAnsiTheme="minorHAnsi" w:cstheme="minorHAnsi"/>
          <w:b w:val="0"/>
          <w:color w:val="auto"/>
        </w:rPr>
        <w:t xml:space="preserve">but </w:t>
      </w:r>
      <w:r w:rsidRPr="004E199A">
        <w:rPr>
          <w:rFonts w:asciiTheme="minorHAnsi" w:hAnsiTheme="minorHAnsi" w:cstheme="minorHAnsi"/>
          <w:b w:val="0"/>
          <w:color w:val="auto"/>
        </w:rPr>
        <w:t>not both. As this measure is self-report, caseness for PTSD/CPTSD is considered probab</w:t>
      </w:r>
      <w:r w:rsidR="000805D9" w:rsidRPr="004E199A">
        <w:rPr>
          <w:rFonts w:asciiTheme="minorHAnsi" w:hAnsiTheme="minorHAnsi" w:cstheme="minorHAnsi"/>
          <w:b w:val="0"/>
          <w:color w:val="auto"/>
        </w:rPr>
        <w:t>le</w:t>
      </w:r>
      <w:r w:rsidRPr="004E199A">
        <w:rPr>
          <w:rFonts w:asciiTheme="minorHAnsi" w:hAnsiTheme="minorHAnsi" w:cstheme="minorHAnsi"/>
          <w:b w:val="0"/>
          <w:color w:val="auto"/>
        </w:rPr>
        <w:t xml:space="preserve">. </w:t>
      </w:r>
      <w:r w:rsidR="00F45DFF" w:rsidRPr="004E199A">
        <w:rPr>
          <w:rFonts w:asciiTheme="minorHAnsi" w:hAnsiTheme="minorHAnsi" w:cstheme="minorHAnsi"/>
          <w:b w:val="0"/>
        </w:rPr>
        <w:t xml:space="preserve">We used a version translated to and validated in Danish </w:t>
      </w:r>
      <w:r w:rsidR="00DE60D3" w:rsidRPr="004E199A">
        <w:rPr>
          <w:rFonts w:ascii="Calibri" w:hAnsi="Calibri"/>
          <w:b w:val="0"/>
        </w:rPr>
        <w:t>(Hansen et al., 2021)</w:t>
      </w:r>
      <w:r w:rsidR="00F53F40" w:rsidRPr="004E199A">
        <w:rPr>
          <w:rStyle w:val="Fodnotehenvisning"/>
          <w:rFonts w:asciiTheme="minorHAnsi" w:hAnsiTheme="minorHAnsi" w:cstheme="minorHAnsi"/>
          <w:b w:val="0"/>
          <w:color w:val="auto"/>
          <w:vertAlign w:val="baseline"/>
        </w:rPr>
        <w:t>.</w:t>
      </w:r>
      <w:r w:rsidR="00F53F40" w:rsidRPr="004E199A">
        <w:rPr>
          <w:rFonts w:asciiTheme="minorHAnsi" w:hAnsiTheme="minorHAnsi" w:cstheme="minorHAnsi"/>
          <w:b w:val="0"/>
          <w:color w:val="auto"/>
        </w:rPr>
        <w:t xml:space="preserve"> In </w:t>
      </w:r>
      <w:r w:rsidR="000805D9" w:rsidRPr="004E199A">
        <w:rPr>
          <w:rFonts w:asciiTheme="minorHAnsi" w:hAnsiTheme="minorHAnsi" w:cstheme="minorHAnsi"/>
          <w:b w:val="0"/>
        </w:rPr>
        <w:t xml:space="preserve">the current </w:t>
      </w:r>
      <w:r w:rsidR="00F53F40" w:rsidRPr="004E199A">
        <w:rPr>
          <w:rFonts w:asciiTheme="minorHAnsi" w:hAnsiTheme="minorHAnsi" w:cstheme="minorHAnsi"/>
          <w:b w:val="0"/>
        </w:rPr>
        <w:t>sample</w:t>
      </w:r>
      <w:r w:rsidR="000805D9" w:rsidRPr="004E199A">
        <w:rPr>
          <w:rFonts w:asciiTheme="minorHAnsi" w:hAnsiTheme="minorHAnsi" w:cstheme="minorHAnsi"/>
          <w:b w:val="0"/>
        </w:rPr>
        <w:t>,</w:t>
      </w:r>
      <w:r w:rsidR="00F53F40" w:rsidRPr="004E199A">
        <w:rPr>
          <w:rFonts w:asciiTheme="minorHAnsi" w:hAnsiTheme="minorHAnsi" w:cstheme="minorHAnsi"/>
          <w:b w:val="0"/>
        </w:rPr>
        <w:t xml:space="preserve"> the internal reliability (Cronba</w:t>
      </w:r>
      <w:r w:rsidR="003B4A81" w:rsidRPr="004E199A">
        <w:rPr>
          <w:rFonts w:asciiTheme="minorHAnsi" w:hAnsiTheme="minorHAnsi" w:cstheme="minorHAnsi"/>
          <w:b w:val="0"/>
        </w:rPr>
        <w:t>ch’s alpha) of the PTSD (α = .89), DSO (α = .89), and total (α = .92</w:t>
      </w:r>
      <w:r w:rsidR="00F53F40" w:rsidRPr="004E199A">
        <w:rPr>
          <w:rFonts w:asciiTheme="minorHAnsi" w:hAnsiTheme="minorHAnsi" w:cstheme="minorHAnsi"/>
          <w:b w:val="0"/>
        </w:rPr>
        <w:t>) scale scores were excellent.</w:t>
      </w:r>
      <w:r w:rsidR="003B4A81" w:rsidRPr="004E199A">
        <w:rPr>
          <w:rFonts w:asciiTheme="minorHAnsi" w:hAnsiTheme="minorHAnsi" w:cstheme="minorHAnsi"/>
          <w:b w:val="0"/>
          <w:color w:val="auto"/>
        </w:rPr>
        <w:t xml:space="preserve"> Based on ‘time passed since traum</w:t>
      </w:r>
      <w:r w:rsidR="006A0D83" w:rsidRPr="004E199A">
        <w:rPr>
          <w:rFonts w:asciiTheme="minorHAnsi" w:hAnsiTheme="minorHAnsi" w:cstheme="minorHAnsi"/>
          <w:b w:val="0"/>
          <w:color w:val="auto"/>
        </w:rPr>
        <w:t xml:space="preserve">atic event” </w:t>
      </w:r>
      <w:r w:rsidR="00575FE4" w:rsidRPr="004E199A">
        <w:rPr>
          <w:rFonts w:asciiTheme="minorHAnsi" w:hAnsiTheme="minorHAnsi" w:cstheme="minorHAnsi"/>
          <w:b w:val="0"/>
          <w:color w:val="auto"/>
        </w:rPr>
        <w:t xml:space="preserve">and the year the veteran </w:t>
      </w:r>
      <w:r w:rsidR="000805D9" w:rsidRPr="004E199A">
        <w:rPr>
          <w:rFonts w:asciiTheme="minorHAnsi" w:hAnsiTheme="minorHAnsi" w:cstheme="minorHAnsi"/>
          <w:b w:val="0"/>
          <w:color w:val="auto"/>
        </w:rPr>
        <w:t>entered the</w:t>
      </w:r>
      <w:r w:rsidR="00575FE4" w:rsidRPr="004E199A">
        <w:rPr>
          <w:rFonts w:asciiTheme="minorHAnsi" w:hAnsiTheme="minorHAnsi" w:cstheme="minorHAnsi"/>
          <w:b w:val="0"/>
          <w:color w:val="auto"/>
        </w:rPr>
        <w:t xml:space="preserve"> MPD </w:t>
      </w:r>
      <w:r w:rsidR="000805D9" w:rsidRPr="004E199A">
        <w:rPr>
          <w:rFonts w:asciiTheme="minorHAnsi" w:hAnsiTheme="minorHAnsi" w:cstheme="minorHAnsi"/>
          <w:b w:val="0"/>
          <w:color w:val="auto"/>
        </w:rPr>
        <w:t xml:space="preserve">clinical database, </w:t>
      </w:r>
      <w:r w:rsidR="003B4A81" w:rsidRPr="004E199A">
        <w:rPr>
          <w:rFonts w:asciiTheme="minorHAnsi" w:hAnsiTheme="minorHAnsi" w:cstheme="minorHAnsi"/>
          <w:b w:val="0"/>
          <w:color w:val="auto"/>
        </w:rPr>
        <w:t xml:space="preserve">we </w:t>
      </w:r>
      <w:r w:rsidR="00C7152A" w:rsidRPr="004E199A">
        <w:rPr>
          <w:rFonts w:asciiTheme="minorHAnsi" w:hAnsiTheme="minorHAnsi" w:cstheme="minorHAnsi"/>
          <w:b w:val="0"/>
          <w:color w:val="auto"/>
        </w:rPr>
        <w:t xml:space="preserve">were also able to </w:t>
      </w:r>
      <w:r w:rsidR="00DD4385" w:rsidRPr="004E199A">
        <w:rPr>
          <w:rFonts w:asciiTheme="minorHAnsi" w:hAnsiTheme="minorHAnsi" w:cstheme="minorHAnsi"/>
          <w:b w:val="0"/>
          <w:color w:val="auto"/>
        </w:rPr>
        <w:t xml:space="preserve">establish whether the veteran contacted the MPD within </w:t>
      </w:r>
      <w:r w:rsidR="000805D9" w:rsidRPr="004E199A">
        <w:rPr>
          <w:rFonts w:asciiTheme="minorHAnsi" w:hAnsiTheme="minorHAnsi" w:cstheme="minorHAnsi"/>
          <w:b w:val="0"/>
          <w:color w:val="auto"/>
        </w:rPr>
        <w:t>five</w:t>
      </w:r>
      <w:r w:rsidR="00DD4385" w:rsidRPr="004E199A">
        <w:rPr>
          <w:rFonts w:asciiTheme="minorHAnsi" w:hAnsiTheme="minorHAnsi" w:cstheme="minorHAnsi"/>
          <w:b w:val="0"/>
          <w:color w:val="auto"/>
        </w:rPr>
        <w:t xml:space="preserve"> years after the trauma occurred (MPD&gt;5 years). </w:t>
      </w:r>
    </w:p>
    <w:p w14:paraId="614AD4C5" w14:textId="77777777" w:rsidR="003C464D" w:rsidRPr="000D16DC" w:rsidRDefault="003C464D" w:rsidP="003C464D">
      <w:pPr>
        <w:pStyle w:val="Overskrift3"/>
        <w:spacing w:before="0" w:line="360" w:lineRule="auto"/>
        <w:rPr>
          <w:rFonts w:asciiTheme="minorHAnsi" w:hAnsiTheme="minorHAnsi" w:cstheme="minorHAnsi"/>
          <w:i/>
          <w:color w:val="auto"/>
        </w:rPr>
      </w:pPr>
    </w:p>
    <w:p w14:paraId="0ED16E20" w14:textId="0897D176" w:rsidR="003C464D" w:rsidRPr="00A65DB0" w:rsidRDefault="005C53E1" w:rsidP="003C464D">
      <w:pPr>
        <w:pStyle w:val="Overskrift3"/>
        <w:spacing w:before="0" w:line="360" w:lineRule="auto"/>
        <w:rPr>
          <w:rFonts w:asciiTheme="minorHAnsi" w:hAnsiTheme="minorHAnsi" w:cstheme="minorHAnsi"/>
          <w:color w:val="auto"/>
        </w:rPr>
      </w:pPr>
      <w:r w:rsidRPr="00A65DB0">
        <w:rPr>
          <w:rFonts w:asciiTheme="minorHAnsi" w:hAnsiTheme="minorHAnsi" w:cstheme="minorHAnsi"/>
          <w:color w:val="auto"/>
        </w:rPr>
        <w:t>Socio-d</w:t>
      </w:r>
      <w:r w:rsidR="003C464D" w:rsidRPr="00A65DB0">
        <w:rPr>
          <w:rFonts w:asciiTheme="minorHAnsi" w:hAnsiTheme="minorHAnsi" w:cstheme="minorHAnsi"/>
          <w:color w:val="auto"/>
        </w:rPr>
        <w:t>emographic information</w:t>
      </w:r>
    </w:p>
    <w:p w14:paraId="0AED901A" w14:textId="44052190" w:rsidR="005E149B" w:rsidRDefault="007D6A21" w:rsidP="007D6A21">
      <w:pPr>
        <w:pStyle w:val="Overskrift3"/>
        <w:spacing w:before="0" w:line="360" w:lineRule="auto"/>
        <w:rPr>
          <w:rFonts w:asciiTheme="minorHAnsi" w:hAnsiTheme="minorHAnsi" w:cstheme="minorHAnsi"/>
          <w:b w:val="0"/>
          <w:color w:val="auto"/>
        </w:rPr>
      </w:pPr>
      <w:r>
        <w:rPr>
          <w:rFonts w:asciiTheme="minorHAnsi" w:hAnsiTheme="minorHAnsi" w:cstheme="minorHAnsi"/>
          <w:b w:val="0"/>
          <w:color w:val="auto"/>
        </w:rPr>
        <w:lastRenderedPageBreak/>
        <w:t xml:space="preserve">Veterans </w:t>
      </w:r>
      <w:r w:rsidR="003840D2">
        <w:rPr>
          <w:rFonts w:asciiTheme="minorHAnsi" w:hAnsiTheme="minorHAnsi" w:cstheme="minorHAnsi"/>
          <w:b w:val="0"/>
        </w:rPr>
        <w:t xml:space="preserve">completed questions </w:t>
      </w:r>
      <w:r w:rsidRPr="007D6A21">
        <w:rPr>
          <w:rFonts w:asciiTheme="minorHAnsi" w:hAnsiTheme="minorHAnsi" w:cstheme="minorHAnsi"/>
          <w:b w:val="0"/>
        </w:rPr>
        <w:t>about</w:t>
      </w:r>
      <w:r>
        <w:rPr>
          <w:rFonts w:asciiTheme="minorHAnsi" w:hAnsiTheme="minorHAnsi" w:cstheme="minorHAnsi"/>
          <w:b w:val="0"/>
        </w:rPr>
        <w:t xml:space="preserve"> </w:t>
      </w:r>
      <w:r w:rsidRPr="000D16DC">
        <w:rPr>
          <w:rFonts w:asciiTheme="minorHAnsi" w:hAnsiTheme="minorHAnsi" w:cstheme="minorHAnsi"/>
          <w:b w:val="0"/>
          <w:color w:val="auto"/>
        </w:rPr>
        <w:t>age,</w:t>
      </w:r>
      <w:r w:rsidR="005E149B">
        <w:rPr>
          <w:rFonts w:asciiTheme="minorHAnsi" w:hAnsiTheme="minorHAnsi" w:cstheme="minorHAnsi"/>
          <w:b w:val="0"/>
          <w:color w:val="auto"/>
        </w:rPr>
        <w:t xml:space="preserve"> gender, marital status (</w:t>
      </w:r>
      <w:r w:rsidR="001927A6">
        <w:rPr>
          <w:rFonts w:asciiTheme="minorHAnsi" w:hAnsiTheme="minorHAnsi" w:cstheme="minorHAnsi"/>
          <w:b w:val="0"/>
          <w:color w:val="auto"/>
        </w:rPr>
        <w:t xml:space="preserve">single; </w:t>
      </w:r>
      <w:r w:rsidR="00C7152A">
        <w:rPr>
          <w:rFonts w:asciiTheme="minorHAnsi" w:hAnsiTheme="minorHAnsi" w:cstheme="minorHAnsi"/>
          <w:b w:val="0"/>
          <w:color w:val="auto"/>
        </w:rPr>
        <w:t>including</w:t>
      </w:r>
      <w:r w:rsidR="001927A6">
        <w:rPr>
          <w:rFonts w:asciiTheme="minorHAnsi" w:hAnsiTheme="minorHAnsi" w:cstheme="minorHAnsi"/>
          <w:b w:val="0"/>
          <w:color w:val="auto"/>
        </w:rPr>
        <w:t xml:space="preserve"> </w:t>
      </w:r>
      <w:r w:rsidR="006F6A19">
        <w:rPr>
          <w:rFonts w:asciiTheme="minorHAnsi" w:hAnsiTheme="minorHAnsi" w:cstheme="minorHAnsi"/>
          <w:b w:val="0"/>
          <w:color w:val="auto"/>
        </w:rPr>
        <w:t>s</w:t>
      </w:r>
      <w:r w:rsidR="005E149B">
        <w:rPr>
          <w:rFonts w:asciiTheme="minorHAnsi" w:hAnsiTheme="minorHAnsi" w:cstheme="minorHAnsi"/>
          <w:b w:val="0"/>
          <w:color w:val="auto"/>
        </w:rPr>
        <w:t>ingle</w:t>
      </w:r>
      <w:r w:rsidR="001927A6">
        <w:rPr>
          <w:rFonts w:asciiTheme="minorHAnsi" w:hAnsiTheme="minorHAnsi" w:cstheme="minorHAnsi"/>
          <w:b w:val="0"/>
          <w:color w:val="auto"/>
        </w:rPr>
        <w:t xml:space="preserve">, </w:t>
      </w:r>
      <w:r w:rsidR="005E149B">
        <w:rPr>
          <w:rFonts w:asciiTheme="minorHAnsi" w:hAnsiTheme="minorHAnsi" w:cstheme="minorHAnsi"/>
          <w:b w:val="0"/>
          <w:color w:val="auto"/>
        </w:rPr>
        <w:t>divorced</w:t>
      </w:r>
      <w:r w:rsidR="00F52E42">
        <w:rPr>
          <w:rFonts w:asciiTheme="minorHAnsi" w:hAnsiTheme="minorHAnsi" w:cstheme="minorHAnsi"/>
          <w:b w:val="0"/>
          <w:color w:val="auto"/>
        </w:rPr>
        <w:t xml:space="preserve"> or</w:t>
      </w:r>
      <w:r w:rsidR="001927A6">
        <w:rPr>
          <w:rFonts w:asciiTheme="minorHAnsi" w:hAnsiTheme="minorHAnsi" w:cstheme="minorHAnsi"/>
          <w:b w:val="0"/>
          <w:color w:val="auto"/>
        </w:rPr>
        <w:t xml:space="preserve"> </w:t>
      </w:r>
      <w:r w:rsidR="005E149B">
        <w:rPr>
          <w:rFonts w:asciiTheme="minorHAnsi" w:hAnsiTheme="minorHAnsi" w:cstheme="minorHAnsi"/>
          <w:b w:val="0"/>
          <w:color w:val="auto"/>
        </w:rPr>
        <w:t>widowed vs.</w:t>
      </w:r>
      <w:r w:rsidR="006F6A19">
        <w:rPr>
          <w:rFonts w:asciiTheme="minorHAnsi" w:hAnsiTheme="minorHAnsi" w:cstheme="minorHAnsi"/>
          <w:b w:val="0"/>
          <w:color w:val="auto"/>
        </w:rPr>
        <w:t xml:space="preserve"> i</w:t>
      </w:r>
      <w:r w:rsidR="005E149B">
        <w:rPr>
          <w:rFonts w:asciiTheme="minorHAnsi" w:hAnsiTheme="minorHAnsi" w:cstheme="minorHAnsi"/>
          <w:b w:val="0"/>
          <w:color w:val="auto"/>
        </w:rPr>
        <w:t>n a relationship</w:t>
      </w:r>
      <w:r w:rsidR="001927A6">
        <w:rPr>
          <w:rFonts w:asciiTheme="minorHAnsi" w:hAnsiTheme="minorHAnsi" w:cstheme="minorHAnsi"/>
          <w:b w:val="0"/>
          <w:color w:val="auto"/>
        </w:rPr>
        <w:t xml:space="preserve">; </w:t>
      </w:r>
      <w:r w:rsidR="00C7152A">
        <w:rPr>
          <w:rFonts w:asciiTheme="minorHAnsi" w:hAnsiTheme="minorHAnsi" w:cstheme="minorHAnsi"/>
          <w:b w:val="0"/>
          <w:color w:val="auto"/>
        </w:rPr>
        <w:t>including those</w:t>
      </w:r>
      <w:r w:rsidR="001927A6">
        <w:rPr>
          <w:rFonts w:asciiTheme="minorHAnsi" w:hAnsiTheme="minorHAnsi" w:cstheme="minorHAnsi"/>
          <w:b w:val="0"/>
          <w:color w:val="auto"/>
        </w:rPr>
        <w:t xml:space="preserve"> in a relationship, </w:t>
      </w:r>
      <w:r w:rsidR="005E149B">
        <w:rPr>
          <w:rFonts w:asciiTheme="minorHAnsi" w:hAnsiTheme="minorHAnsi" w:cstheme="minorHAnsi"/>
          <w:b w:val="0"/>
          <w:color w:val="auto"/>
        </w:rPr>
        <w:t>cohabiting</w:t>
      </w:r>
      <w:r w:rsidR="001927A6">
        <w:rPr>
          <w:rFonts w:asciiTheme="minorHAnsi" w:hAnsiTheme="minorHAnsi" w:cstheme="minorHAnsi"/>
          <w:b w:val="0"/>
          <w:color w:val="auto"/>
        </w:rPr>
        <w:t xml:space="preserve"> or </w:t>
      </w:r>
      <w:r w:rsidR="006F6A19">
        <w:rPr>
          <w:rFonts w:asciiTheme="minorHAnsi" w:hAnsiTheme="minorHAnsi" w:cstheme="minorHAnsi"/>
          <w:b w:val="0"/>
          <w:color w:val="auto"/>
        </w:rPr>
        <w:t>married), occupational status (employed/studying vs. unemployed vs. s</w:t>
      </w:r>
      <w:r w:rsidR="005E149B">
        <w:rPr>
          <w:rFonts w:asciiTheme="minorHAnsi" w:hAnsiTheme="minorHAnsi" w:cstheme="minorHAnsi"/>
          <w:b w:val="0"/>
          <w:color w:val="auto"/>
        </w:rPr>
        <w:t>ickness benefits) and children (</w:t>
      </w:r>
      <w:r w:rsidR="0098553E">
        <w:rPr>
          <w:rFonts w:asciiTheme="minorHAnsi" w:hAnsiTheme="minorHAnsi" w:cstheme="minorHAnsi"/>
          <w:b w:val="0"/>
          <w:color w:val="auto"/>
        </w:rPr>
        <w:t>yes/no</w:t>
      </w:r>
      <w:r w:rsidR="005E149B">
        <w:rPr>
          <w:rFonts w:asciiTheme="minorHAnsi" w:hAnsiTheme="minorHAnsi" w:cstheme="minorHAnsi"/>
          <w:b w:val="0"/>
          <w:color w:val="auto"/>
        </w:rPr>
        <w:t>).</w:t>
      </w:r>
    </w:p>
    <w:p w14:paraId="2662D97F" w14:textId="77777777" w:rsidR="000B2E0D" w:rsidRPr="00275435" w:rsidRDefault="000B2E0D" w:rsidP="003C464D">
      <w:pPr>
        <w:pStyle w:val="Overskrift3"/>
        <w:spacing w:before="0" w:line="360" w:lineRule="auto"/>
        <w:rPr>
          <w:rFonts w:asciiTheme="minorHAnsi" w:hAnsiTheme="minorHAnsi" w:cstheme="minorHAnsi"/>
          <w:i/>
          <w:color w:val="auto"/>
        </w:rPr>
      </w:pPr>
    </w:p>
    <w:p w14:paraId="6C295E93" w14:textId="0E85A061" w:rsidR="005C6BA5" w:rsidRDefault="005C6BA5" w:rsidP="003C464D">
      <w:pPr>
        <w:pStyle w:val="Overskrift3"/>
        <w:spacing w:before="0" w:line="360" w:lineRule="auto"/>
        <w:rPr>
          <w:rFonts w:asciiTheme="minorHAnsi" w:hAnsiTheme="minorHAnsi" w:cstheme="minorHAnsi"/>
          <w:color w:val="auto"/>
        </w:rPr>
      </w:pPr>
      <w:r>
        <w:rPr>
          <w:rFonts w:asciiTheme="minorHAnsi" w:hAnsiTheme="minorHAnsi" w:cstheme="minorHAnsi"/>
          <w:color w:val="auto"/>
        </w:rPr>
        <w:t>Clini</w:t>
      </w:r>
      <w:r w:rsidR="007301B4">
        <w:rPr>
          <w:rFonts w:asciiTheme="minorHAnsi" w:hAnsiTheme="minorHAnsi" w:cstheme="minorHAnsi"/>
          <w:color w:val="auto"/>
        </w:rPr>
        <w:t xml:space="preserve">cal and psychological variables </w:t>
      </w:r>
    </w:p>
    <w:p w14:paraId="61310AE9" w14:textId="0348B3D9" w:rsidR="005C6BA5" w:rsidRDefault="007D6A21" w:rsidP="0066469F">
      <w:pPr>
        <w:pStyle w:val="Overskrift3"/>
        <w:spacing w:before="0" w:line="360" w:lineRule="auto"/>
        <w:rPr>
          <w:rFonts w:asciiTheme="minorHAnsi" w:hAnsiTheme="minorHAnsi" w:cstheme="minorHAnsi"/>
          <w:b w:val="0"/>
          <w:color w:val="auto"/>
        </w:rPr>
      </w:pPr>
      <w:r w:rsidRPr="005C6BA5">
        <w:rPr>
          <w:rFonts w:asciiTheme="minorHAnsi" w:hAnsiTheme="minorHAnsi" w:cstheme="minorHAnsi"/>
          <w:b w:val="0"/>
          <w:i/>
          <w:color w:val="auto"/>
        </w:rPr>
        <w:t>Traumatic life events</w:t>
      </w:r>
      <w:r>
        <w:rPr>
          <w:rFonts w:asciiTheme="minorHAnsi" w:hAnsiTheme="minorHAnsi" w:cstheme="minorHAnsi"/>
          <w:b w:val="0"/>
          <w:color w:val="auto"/>
        </w:rPr>
        <w:t xml:space="preserve"> were</w:t>
      </w:r>
      <w:r w:rsidR="00DD4385" w:rsidRPr="000D16DC">
        <w:rPr>
          <w:rFonts w:asciiTheme="minorHAnsi" w:hAnsiTheme="minorHAnsi" w:cstheme="minorHAnsi"/>
          <w:b w:val="0"/>
          <w:color w:val="auto"/>
        </w:rPr>
        <w:t xml:space="preserve"> assessed </w:t>
      </w:r>
      <w:r w:rsidR="00266AC1">
        <w:rPr>
          <w:rFonts w:asciiTheme="minorHAnsi" w:hAnsiTheme="minorHAnsi" w:cstheme="minorHAnsi"/>
          <w:b w:val="0"/>
          <w:color w:val="auto"/>
        </w:rPr>
        <w:t>using</w:t>
      </w:r>
      <w:r w:rsidR="00DD4385" w:rsidRPr="000D16DC">
        <w:rPr>
          <w:rFonts w:asciiTheme="minorHAnsi" w:hAnsiTheme="minorHAnsi" w:cstheme="minorHAnsi"/>
          <w:b w:val="0"/>
          <w:color w:val="auto"/>
        </w:rPr>
        <w:t xml:space="preserve"> the Traumatic </w:t>
      </w:r>
      <w:r>
        <w:rPr>
          <w:rFonts w:asciiTheme="minorHAnsi" w:hAnsiTheme="minorHAnsi" w:cstheme="minorHAnsi"/>
          <w:b w:val="0"/>
          <w:color w:val="auto"/>
        </w:rPr>
        <w:t xml:space="preserve">Life Events </w:t>
      </w:r>
      <w:r w:rsidRPr="00BE1A50">
        <w:rPr>
          <w:rFonts w:asciiTheme="minorHAnsi" w:hAnsiTheme="minorHAnsi" w:cstheme="minorHAnsi"/>
          <w:b w:val="0"/>
          <w:color w:val="auto"/>
        </w:rPr>
        <w:t>Questionnaire</w:t>
      </w:r>
      <w:r w:rsidR="000A3ADB" w:rsidRPr="00BE1A50">
        <w:rPr>
          <w:rFonts w:asciiTheme="minorHAnsi" w:hAnsiTheme="minorHAnsi" w:cstheme="minorHAnsi"/>
          <w:b w:val="0"/>
          <w:color w:val="auto"/>
        </w:rPr>
        <w:t xml:space="preserve"> </w:t>
      </w:r>
      <w:r w:rsidR="00C76CB7" w:rsidRPr="00BE1A50">
        <w:rPr>
          <w:rFonts w:ascii="Calibri" w:hAnsi="Calibri"/>
          <w:b w:val="0"/>
        </w:rPr>
        <w:t>(Kubany et al., 2000)</w:t>
      </w:r>
      <w:r w:rsidR="00DD4385" w:rsidRPr="00BE1A50">
        <w:rPr>
          <w:rFonts w:asciiTheme="minorHAnsi" w:hAnsiTheme="minorHAnsi" w:cstheme="minorHAnsi"/>
          <w:b w:val="0"/>
          <w:color w:val="auto"/>
        </w:rPr>
        <w:t>.</w:t>
      </w:r>
      <w:r w:rsidR="00DD4385" w:rsidRPr="002F3109">
        <w:rPr>
          <w:rFonts w:asciiTheme="minorHAnsi" w:hAnsiTheme="minorHAnsi" w:cstheme="minorHAnsi"/>
          <w:b w:val="0"/>
          <w:color w:val="auto"/>
        </w:rPr>
        <w:t xml:space="preserve"> </w:t>
      </w:r>
      <w:r w:rsidR="00DD4385" w:rsidRPr="00531AF0">
        <w:rPr>
          <w:rFonts w:asciiTheme="minorHAnsi" w:hAnsiTheme="minorHAnsi" w:cstheme="minorHAnsi"/>
          <w:b w:val="0"/>
          <w:color w:val="auto"/>
        </w:rPr>
        <w:t>TLEQ</w:t>
      </w:r>
      <w:r w:rsidR="00DD4385" w:rsidRPr="000D16DC">
        <w:rPr>
          <w:rFonts w:asciiTheme="minorHAnsi" w:hAnsiTheme="minorHAnsi" w:cstheme="minorHAnsi"/>
          <w:b w:val="0"/>
          <w:color w:val="auto"/>
        </w:rPr>
        <w:t xml:space="preserve"> lists 19 traumatic events that might have happened during a person’s lifetime, including w</w:t>
      </w:r>
      <w:r w:rsidR="00DD4385" w:rsidRPr="000D16DC">
        <w:rPr>
          <w:rFonts w:asciiTheme="minorHAnsi" w:hAnsiTheme="minorHAnsi" w:cstheme="minorHAnsi"/>
          <w:b w:val="0"/>
          <w:noProof/>
          <w:color w:val="auto"/>
          <w:shd w:val="clear" w:color="auto" w:fill="FFFFFF"/>
        </w:rPr>
        <w:t>arfare or combat,</w:t>
      </w:r>
      <w:r w:rsidR="00DD4385" w:rsidRPr="000D16DC">
        <w:rPr>
          <w:rFonts w:asciiTheme="minorHAnsi" w:hAnsiTheme="minorHAnsi" w:cstheme="minorHAnsi"/>
          <w:b w:val="0"/>
          <w:color w:val="auto"/>
        </w:rPr>
        <w:t xml:space="preserve"> and each item score is the number </w:t>
      </w:r>
      <w:r>
        <w:rPr>
          <w:rFonts w:asciiTheme="minorHAnsi" w:hAnsiTheme="minorHAnsi" w:cstheme="minorHAnsi"/>
          <w:b w:val="0"/>
          <w:color w:val="auto"/>
        </w:rPr>
        <w:t>of times a particular trauma has</w:t>
      </w:r>
      <w:r w:rsidR="00DD4385" w:rsidRPr="000D16DC">
        <w:rPr>
          <w:rFonts w:asciiTheme="minorHAnsi" w:hAnsiTheme="minorHAnsi" w:cstheme="minorHAnsi"/>
          <w:b w:val="0"/>
          <w:color w:val="auto"/>
        </w:rPr>
        <w:t xml:space="preserve"> occurred with an upper limit of six, indicating that the trauma happened six or more times. Three of the 19 TLEQ-i</w:t>
      </w:r>
      <w:r w:rsidR="00BD440C">
        <w:rPr>
          <w:rFonts w:asciiTheme="minorHAnsi" w:hAnsiTheme="minorHAnsi" w:cstheme="minorHAnsi"/>
          <w:b w:val="0"/>
          <w:color w:val="auto"/>
        </w:rPr>
        <w:t>tems concern</w:t>
      </w:r>
      <w:r>
        <w:rPr>
          <w:rFonts w:asciiTheme="minorHAnsi" w:hAnsiTheme="minorHAnsi" w:cstheme="minorHAnsi"/>
          <w:b w:val="0"/>
          <w:color w:val="auto"/>
        </w:rPr>
        <w:t xml:space="preserve"> childhood trauma (</w:t>
      </w:r>
      <w:r w:rsidR="00DD4385" w:rsidRPr="000D16DC">
        <w:rPr>
          <w:rFonts w:asciiTheme="minorHAnsi" w:hAnsiTheme="minorHAnsi" w:cstheme="minorHAnsi"/>
          <w:b w:val="0"/>
          <w:color w:val="auto"/>
        </w:rPr>
        <w:t xml:space="preserve">witnessing </w:t>
      </w:r>
      <w:r w:rsidR="00DD4385" w:rsidRPr="00E33A1C">
        <w:rPr>
          <w:rFonts w:asciiTheme="minorHAnsi" w:hAnsiTheme="minorHAnsi" w:cstheme="minorHAnsi"/>
          <w:b w:val="0"/>
          <w:color w:val="auto"/>
        </w:rPr>
        <w:t>violence in the family, physical assault, and sexual abuse</w:t>
      </w:r>
      <w:r>
        <w:rPr>
          <w:rFonts w:asciiTheme="minorHAnsi" w:hAnsiTheme="minorHAnsi" w:cstheme="minorHAnsi"/>
          <w:b w:val="0"/>
          <w:color w:val="auto"/>
        </w:rPr>
        <w:t>)</w:t>
      </w:r>
      <w:r w:rsidR="00DD4385" w:rsidRPr="00E33A1C">
        <w:rPr>
          <w:rFonts w:asciiTheme="minorHAnsi" w:hAnsiTheme="minorHAnsi" w:cstheme="minorHAnsi"/>
          <w:b w:val="0"/>
          <w:color w:val="auto"/>
        </w:rPr>
        <w:t>. For this study, three sum scores were calculated</w:t>
      </w:r>
      <w:r w:rsidR="00BD440C">
        <w:rPr>
          <w:rFonts w:asciiTheme="minorHAnsi" w:hAnsiTheme="minorHAnsi" w:cstheme="minorHAnsi"/>
          <w:b w:val="0"/>
          <w:color w:val="auto"/>
        </w:rPr>
        <w:t xml:space="preserve">; one for </w:t>
      </w:r>
      <w:r w:rsidR="00DD4385" w:rsidRPr="00E33A1C">
        <w:rPr>
          <w:rFonts w:asciiTheme="minorHAnsi" w:hAnsiTheme="minorHAnsi" w:cstheme="minorHAnsi"/>
          <w:b w:val="0"/>
          <w:color w:val="auto"/>
        </w:rPr>
        <w:t>warfare or combat (range 0-6)</w:t>
      </w:r>
      <w:r w:rsidR="00BD440C">
        <w:rPr>
          <w:rFonts w:asciiTheme="minorHAnsi" w:hAnsiTheme="minorHAnsi" w:cstheme="minorHAnsi"/>
          <w:b w:val="0"/>
          <w:color w:val="auto"/>
        </w:rPr>
        <w:t>, one for</w:t>
      </w:r>
      <w:r w:rsidR="00DD4385" w:rsidRPr="00E33A1C">
        <w:rPr>
          <w:rFonts w:asciiTheme="minorHAnsi" w:hAnsiTheme="minorHAnsi" w:cstheme="minorHAnsi"/>
          <w:b w:val="0"/>
          <w:color w:val="auto"/>
        </w:rPr>
        <w:t xml:space="preserve"> adult trauma (range 0–90) and </w:t>
      </w:r>
      <w:r w:rsidR="00BD440C">
        <w:rPr>
          <w:rFonts w:asciiTheme="minorHAnsi" w:hAnsiTheme="minorHAnsi" w:cstheme="minorHAnsi"/>
          <w:b w:val="0"/>
          <w:color w:val="auto"/>
        </w:rPr>
        <w:t xml:space="preserve">one </w:t>
      </w:r>
      <w:r w:rsidR="00DD4385" w:rsidRPr="00E33A1C">
        <w:rPr>
          <w:rFonts w:asciiTheme="minorHAnsi" w:hAnsiTheme="minorHAnsi" w:cstheme="minorHAnsi"/>
          <w:b w:val="0"/>
          <w:color w:val="auto"/>
        </w:rPr>
        <w:t>for childhood trauma (range 0–18).</w:t>
      </w:r>
    </w:p>
    <w:p w14:paraId="785D088B" w14:textId="53227669" w:rsidR="000239EA" w:rsidRPr="00182D43" w:rsidRDefault="00A5695D" w:rsidP="00182D43">
      <w:pPr>
        <w:pStyle w:val="Overskrift3"/>
        <w:spacing w:before="0" w:line="360" w:lineRule="auto"/>
        <w:ind w:firstLine="1304"/>
        <w:rPr>
          <w:rFonts w:asciiTheme="minorHAnsi" w:hAnsiTheme="minorHAnsi" w:cstheme="minorHAnsi"/>
          <w:b w:val="0"/>
          <w:color w:val="auto"/>
        </w:rPr>
      </w:pPr>
      <w:r w:rsidRPr="005C6BA5">
        <w:rPr>
          <w:rFonts w:asciiTheme="minorHAnsi" w:hAnsiTheme="minorHAnsi" w:cstheme="minorHAnsi"/>
          <w:b w:val="0"/>
          <w:i/>
        </w:rPr>
        <w:t>Attention problems in childhood</w:t>
      </w:r>
      <w:r>
        <w:rPr>
          <w:rFonts w:asciiTheme="minorHAnsi" w:hAnsiTheme="minorHAnsi" w:cstheme="minorHAnsi"/>
          <w:b w:val="0"/>
        </w:rPr>
        <w:t xml:space="preserve"> were </w:t>
      </w:r>
      <w:r w:rsidRPr="00531AF0">
        <w:rPr>
          <w:rFonts w:asciiTheme="minorHAnsi" w:hAnsiTheme="minorHAnsi" w:cstheme="minorHAnsi"/>
          <w:b w:val="0"/>
        </w:rPr>
        <w:t>meas</w:t>
      </w:r>
      <w:r w:rsidR="000239EA" w:rsidRPr="00531AF0">
        <w:rPr>
          <w:rFonts w:asciiTheme="minorHAnsi" w:hAnsiTheme="minorHAnsi" w:cstheme="minorHAnsi"/>
          <w:b w:val="0"/>
        </w:rPr>
        <w:t xml:space="preserve">ured by </w:t>
      </w:r>
      <w:r w:rsidR="000805D9">
        <w:rPr>
          <w:rFonts w:asciiTheme="minorHAnsi" w:hAnsiTheme="minorHAnsi" w:cstheme="minorHAnsi"/>
          <w:b w:val="0"/>
        </w:rPr>
        <w:t xml:space="preserve">six </w:t>
      </w:r>
      <w:r w:rsidR="000239EA" w:rsidRPr="00531AF0">
        <w:rPr>
          <w:rFonts w:asciiTheme="minorHAnsi" w:hAnsiTheme="minorHAnsi" w:cstheme="minorHAnsi"/>
          <w:b w:val="0"/>
        </w:rPr>
        <w:t xml:space="preserve">items </w:t>
      </w:r>
      <w:r w:rsidR="00266AC1">
        <w:rPr>
          <w:rFonts w:asciiTheme="minorHAnsi" w:hAnsiTheme="minorHAnsi" w:cstheme="minorHAnsi"/>
          <w:b w:val="0"/>
        </w:rPr>
        <w:t>describing</w:t>
      </w:r>
      <w:r w:rsidR="000239EA" w:rsidRPr="00531AF0">
        <w:rPr>
          <w:rFonts w:asciiTheme="minorHAnsi" w:hAnsiTheme="minorHAnsi" w:cstheme="minorHAnsi"/>
          <w:b w:val="0"/>
        </w:rPr>
        <w:t xml:space="preserve"> attention problems at the age between 5</w:t>
      </w:r>
      <w:r w:rsidR="000805D9">
        <w:rPr>
          <w:rFonts w:asciiTheme="minorHAnsi" w:hAnsiTheme="minorHAnsi" w:cstheme="minorHAnsi"/>
          <w:b w:val="0"/>
        </w:rPr>
        <w:t xml:space="preserve"> and </w:t>
      </w:r>
      <w:r w:rsidR="000239EA" w:rsidRPr="00531AF0">
        <w:rPr>
          <w:rFonts w:asciiTheme="minorHAnsi" w:hAnsiTheme="minorHAnsi" w:cstheme="minorHAnsi"/>
          <w:b w:val="0"/>
        </w:rPr>
        <w:t xml:space="preserve">12 years. The items stem from the Adult Self Report Symptoms of Childhood </w:t>
      </w:r>
      <w:r w:rsidR="000239EA" w:rsidRPr="00141092">
        <w:rPr>
          <w:rFonts w:asciiTheme="minorHAnsi" w:hAnsiTheme="minorHAnsi" w:cstheme="minorHAnsi"/>
          <w:b w:val="0"/>
        </w:rPr>
        <w:t>Scale</w:t>
      </w:r>
      <w:r w:rsidR="00141092" w:rsidRPr="00141092">
        <w:rPr>
          <w:rFonts w:asciiTheme="minorHAnsi" w:hAnsiTheme="minorHAnsi" w:cstheme="minorHAnsi"/>
          <w:b w:val="0"/>
        </w:rPr>
        <w:t xml:space="preserve"> </w:t>
      </w:r>
      <w:r w:rsidR="00141092" w:rsidRPr="00141092">
        <w:rPr>
          <w:rFonts w:ascii="Calibri" w:hAnsi="Calibri"/>
          <w:b w:val="0"/>
        </w:rPr>
        <w:t>(</w:t>
      </w:r>
      <w:r w:rsidR="00141092" w:rsidRPr="00141092">
        <w:rPr>
          <w:rFonts w:asciiTheme="minorHAnsi" w:hAnsiTheme="minorHAnsi" w:cstheme="minorHAnsi"/>
          <w:b w:val="0"/>
        </w:rPr>
        <w:t>ASRS v1. 1, ADHD Symptom Checklist for Children</w:t>
      </w:r>
      <w:r w:rsidR="00141092" w:rsidRPr="00141092">
        <w:rPr>
          <w:rFonts w:ascii="Calibri" w:hAnsi="Calibri"/>
          <w:b w:val="0"/>
        </w:rPr>
        <w:t>; Barkley &amp; Murphy, 2006)</w:t>
      </w:r>
      <w:r w:rsidR="00141092" w:rsidRPr="00141092">
        <w:rPr>
          <w:rFonts w:asciiTheme="minorHAnsi" w:hAnsiTheme="minorHAnsi" w:cstheme="minorHAnsi"/>
          <w:b w:val="0"/>
        </w:rPr>
        <w:t>.</w:t>
      </w:r>
      <w:r w:rsidR="00141092">
        <w:rPr>
          <w:rFonts w:asciiTheme="minorHAnsi" w:hAnsiTheme="minorHAnsi" w:cstheme="minorHAnsi"/>
          <w:b w:val="0"/>
        </w:rPr>
        <w:t xml:space="preserve"> </w:t>
      </w:r>
      <w:r w:rsidR="007236EF">
        <w:rPr>
          <w:rFonts w:asciiTheme="minorHAnsi" w:hAnsiTheme="minorHAnsi" w:cstheme="minorHAnsi"/>
          <w:b w:val="0"/>
        </w:rPr>
        <w:t xml:space="preserve">For this study we included the information as a </w:t>
      </w:r>
      <w:r w:rsidR="00266AC1">
        <w:rPr>
          <w:rFonts w:asciiTheme="minorHAnsi" w:hAnsiTheme="minorHAnsi" w:cstheme="minorHAnsi"/>
          <w:b w:val="0"/>
        </w:rPr>
        <w:t xml:space="preserve">total </w:t>
      </w:r>
      <w:r w:rsidR="007236EF">
        <w:rPr>
          <w:rFonts w:asciiTheme="minorHAnsi" w:hAnsiTheme="minorHAnsi" w:cstheme="minorHAnsi"/>
          <w:b w:val="0"/>
        </w:rPr>
        <w:t>score (range 0-6</w:t>
      </w:r>
      <w:r w:rsidR="007236EF" w:rsidRPr="00D66C81">
        <w:rPr>
          <w:rFonts w:asciiTheme="minorHAnsi" w:hAnsiTheme="minorHAnsi" w:cstheme="minorHAnsi"/>
          <w:b w:val="0"/>
          <w:color w:val="auto"/>
        </w:rPr>
        <w:t>).</w:t>
      </w:r>
      <w:r w:rsidR="005C6BA5" w:rsidRPr="00D66C81">
        <w:rPr>
          <w:rFonts w:asciiTheme="minorHAnsi" w:hAnsiTheme="minorHAnsi" w:cstheme="minorHAnsi"/>
          <w:b w:val="0"/>
          <w:color w:val="auto"/>
        </w:rPr>
        <w:t xml:space="preserve"> </w:t>
      </w:r>
      <w:r w:rsidR="00266AC1" w:rsidRPr="00D66C81">
        <w:rPr>
          <w:rFonts w:asciiTheme="minorHAnsi" w:hAnsiTheme="minorHAnsi" w:cstheme="minorHAnsi"/>
          <w:b w:val="0"/>
          <w:color w:val="auto"/>
        </w:rPr>
        <w:t>A higher score is indicative of more severe symptoms.</w:t>
      </w:r>
      <w:r w:rsidR="00182D43">
        <w:rPr>
          <w:rFonts w:asciiTheme="minorHAnsi" w:hAnsiTheme="minorHAnsi" w:cstheme="minorHAnsi"/>
          <w:b w:val="0"/>
          <w:color w:val="auto"/>
        </w:rPr>
        <w:t xml:space="preserve"> </w:t>
      </w:r>
      <w:r w:rsidR="00182D43" w:rsidRPr="0064746D">
        <w:rPr>
          <w:rFonts w:asciiTheme="minorHAnsi" w:hAnsiTheme="minorHAnsi" w:cstheme="minorHAnsi"/>
          <w:b w:val="0"/>
          <w:color w:val="auto"/>
        </w:rPr>
        <w:t>The internal reliability (Cronbach’s alpha) of the Adult Self Report Symptoms of childhood (α = .82) scale score was good.</w:t>
      </w:r>
    </w:p>
    <w:p w14:paraId="5D962C9C" w14:textId="36C67C1E" w:rsidR="00401DF7" w:rsidRPr="007E114E" w:rsidRDefault="000239EA" w:rsidP="00401DF7">
      <w:pPr>
        <w:pStyle w:val="Overskrift3"/>
        <w:spacing w:before="0" w:line="360" w:lineRule="auto"/>
        <w:ind w:firstLine="1304"/>
        <w:rPr>
          <w:rFonts w:asciiTheme="minorHAnsi" w:hAnsiTheme="minorHAnsi" w:cstheme="minorHAnsi"/>
          <w:b w:val="0"/>
        </w:rPr>
      </w:pPr>
      <w:r w:rsidRPr="005C6BA5">
        <w:rPr>
          <w:rFonts w:asciiTheme="minorHAnsi" w:hAnsiTheme="minorHAnsi" w:cstheme="minorHAnsi"/>
          <w:b w:val="0"/>
          <w:i/>
          <w:color w:val="auto"/>
        </w:rPr>
        <w:t>Symptoms of depression, anxiety, and stress</w:t>
      </w:r>
      <w:r w:rsidRPr="000239EA">
        <w:rPr>
          <w:rFonts w:asciiTheme="minorHAnsi" w:hAnsiTheme="minorHAnsi" w:cstheme="minorHAnsi"/>
          <w:b w:val="0"/>
          <w:color w:val="auto"/>
        </w:rPr>
        <w:t xml:space="preserve"> were measured using th</w:t>
      </w:r>
      <w:r w:rsidR="004D2393" w:rsidRPr="000239EA">
        <w:rPr>
          <w:rFonts w:asciiTheme="minorHAnsi" w:hAnsiTheme="minorHAnsi" w:cstheme="minorHAnsi"/>
          <w:b w:val="0"/>
        </w:rPr>
        <w:t>e</w:t>
      </w:r>
      <w:r>
        <w:rPr>
          <w:rFonts w:asciiTheme="minorHAnsi" w:hAnsiTheme="minorHAnsi" w:cstheme="minorHAnsi"/>
          <w:b w:val="0"/>
        </w:rPr>
        <w:t xml:space="preserve"> 42-item </w:t>
      </w:r>
      <w:r w:rsidR="004D2393" w:rsidRPr="000239EA">
        <w:rPr>
          <w:rFonts w:asciiTheme="minorHAnsi" w:hAnsiTheme="minorHAnsi" w:cstheme="minorHAnsi"/>
          <w:b w:val="0"/>
        </w:rPr>
        <w:t>De</w:t>
      </w:r>
      <w:r w:rsidR="00F72FFA">
        <w:rPr>
          <w:rFonts w:asciiTheme="minorHAnsi" w:hAnsiTheme="minorHAnsi" w:cstheme="minorHAnsi"/>
          <w:b w:val="0"/>
        </w:rPr>
        <w:t xml:space="preserve">pression Anxiety Stress </w:t>
      </w:r>
      <w:r w:rsidR="00F72FFA" w:rsidRPr="00F72FFA">
        <w:rPr>
          <w:rFonts w:asciiTheme="minorHAnsi" w:hAnsiTheme="minorHAnsi" w:cstheme="minorHAnsi"/>
          <w:b w:val="0"/>
        </w:rPr>
        <w:t>Scales</w:t>
      </w:r>
      <w:r w:rsidR="00864A85" w:rsidRPr="00864A85">
        <w:rPr>
          <w:rFonts w:asciiTheme="minorHAnsi" w:hAnsiTheme="minorHAnsi" w:cstheme="minorHAnsi"/>
          <w:b w:val="0"/>
        </w:rPr>
        <w:t xml:space="preserve"> </w:t>
      </w:r>
      <w:r w:rsidR="00864A85" w:rsidRPr="00864A85">
        <w:rPr>
          <w:rFonts w:ascii="Calibri" w:hAnsi="Calibri"/>
          <w:b w:val="0"/>
        </w:rPr>
        <w:t>(DASS; Lovibond &amp; Lovibond, 1995)</w:t>
      </w:r>
      <w:r w:rsidR="00864A85" w:rsidRPr="00864A85">
        <w:rPr>
          <w:rFonts w:asciiTheme="minorHAnsi" w:hAnsiTheme="minorHAnsi" w:cstheme="minorHAnsi"/>
          <w:b w:val="0"/>
        </w:rPr>
        <w:t>.</w:t>
      </w:r>
      <w:r w:rsidR="004D2393" w:rsidRPr="007E114E">
        <w:rPr>
          <w:rFonts w:asciiTheme="minorHAnsi" w:hAnsiTheme="minorHAnsi" w:cstheme="minorHAnsi"/>
          <w:b w:val="0"/>
        </w:rPr>
        <w:t xml:space="preserve"> </w:t>
      </w:r>
      <w:r w:rsidR="00A43131">
        <w:rPr>
          <w:rFonts w:asciiTheme="minorHAnsi" w:hAnsiTheme="minorHAnsi" w:cstheme="minorHAnsi"/>
          <w:b w:val="0"/>
        </w:rPr>
        <w:t>Each symptom category is assessed by fourteen items on a</w:t>
      </w:r>
      <w:r w:rsidRPr="007E114E">
        <w:rPr>
          <w:rFonts w:asciiTheme="minorHAnsi" w:hAnsiTheme="minorHAnsi" w:cstheme="minorHAnsi"/>
          <w:b w:val="0"/>
        </w:rPr>
        <w:t xml:space="preserve"> four</w:t>
      </w:r>
      <w:r w:rsidR="004D2393" w:rsidRPr="007E114E">
        <w:rPr>
          <w:rFonts w:asciiTheme="minorHAnsi" w:hAnsiTheme="minorHAnsi" w:cstheme="minorHAnsi"/>
          <w:b w:val="0"/>
        </w:rPr>
        <w:t xml:space="preserve">-point Likert scale from 0 </w:t>
      </w:r>
      <w:r w:rsidRPr="007E114E">
        <w:rPr>
          <w:rFonts w:asciiTheme="minorHAnsi" w:hAnsiTheme="minorHAnsi" w:cstheme="minorHAnsi"/>
          <w:b w:val="0"/>
        </w:rPr>
        <w:t>(</w:t>
      </w:r>
      <w:r w:rsidR="004D2393" w:rsidRPr="007E114E">
        <w:rPr>
          <w:rFonts w:asciiTheme="minorHAnsi" w:hAnsiTheme="minorHAnsi" w:cstheme="minorHAnsi"/>
          <w:b w:val="0"/>
        </w:rPr>
        <w:t>“I did not experience it at all”</w:t>
      </w:r>
      <w:r w:rsidRPr="007E114E">
        <w:rPr>
          <w:rFonts w:asciiTheme="minorHAnsi" w:hAnsiTheme="minorHAnsi" w:cstheme="minorHAnsi"/>
          <w:b w:val="0"/>
        </w:rPr>
        <w:t>)</w:t>
      </w:r>
      <w:r w:rsidR="004D2393" w:rsidRPr="007E114E">
        <w:rPr>
          <w:rFonts w:asciiTheme="minorHAnsi" w:hAnsiTheme="minorHAnsi" w:cstheme="minorHAnsi"/>
          <w:b w:val="0"/>
        </w:rPr>
        <w:t xml:space="preserve"> to 3 </w:t>
      </w:r>
      <w:r w:rsidRPr="007E114E">
        <w:rPr>
          <w:rFonts w:asciiTheme="minorHAnsi" w:hAnsiTheme="minorHAnsi" w:cstheme="minorHAnsi"/>
          <w:b w:val="0"/>
        </w:rPr>
        <w:t>(</w:t>
      </w:r>
      <w:r w:rsidR="004D2393" w:rsidRPr="007E114E">
        <w:rPr>
          <w:rFonts w:asciiTheme="minorHAnsi" w:hAnsiTheme="minorHAnsi" w:cstheme="minorHAnsi"/>
          <w:b w:val="0"/>
        </w:rPr>
        <w:t>“I experienced it many times or all the time”</w:t>
      </w:r>
      <w:r w:rsidRPr="007E114E">
        <w:rPr>
          <w:rFonts w:asciiTheme="minorHAnsi" w:hAnsiTheme="minorHAnsi" w:cstheme="minorHAnsi"/>
          <w:b w:val="0"/>
        </w:rPr>
        <w:t>)</w:t>
      </w:r>
      <w:r w:rsidR="004D2393" w:rsidRPr="007E114E">
        <w:rPr>
          <w:rFonts w:asciiTheme="minorHAnsi" w:hAnsiTheme="minorHAnsi" w:cstheme="minorHAnsi"/>
          <w:b w:val="0"/>
        </w:rPr>
        <w:t xml:space="preserve">. Based on the answers, a total score </w:t>
      </w:r>
      <w:r w:rsidR="00285B8A">
        <w:rPr>
          <w:rFonts w:asciiTheme="minorHAnsi" w:hAnsiTheme="minorHAnsi" w:cstheme="minorHAnsi"/>
          <w:b w:val="0"/>
        </w:rPr>
        <w:t xml:space="preserve">for each symptom category </w:t>
      </w:r>
      <w:r w:rsidR="004D2393" w:rsidRPr="007E114E">
        <w:rPr>
          <w:rFonts w:asciiTheme="minorHAnsi" w:hAnsiTheme="minorHAnsi" w:cstheme="minorHAnsi"/>
          <w:b w:val="0"/>
        </w:rPr>
        <w:t>is calculated that divides symptoms into five difficulty levels</w:t>
      </w:r>
      <w:r w:rsidRPr="007E114E">
        <w:rPr>
          <w:rFonts w:asciiTheme="minorHAnsi" w:hAnsiTheme="minorHAnsi" w:cstheme="minorHAnsi"/>
          <w:b w:val="0"/>
        </w:rPr>
        <w:t xml:space="preserve"> (Normal, Mild, Moderate, Severe, Extremely Severe)</w:t>
      </w:r>
      <w:r w:rsidR="004D2393" w:rsidRPr="007E114E">
        <w:rPr>
          <w:rFonts w:asciiTheme="minorHAnsi" w:hAnsiTheme="minorHAnsi" w:cstheme="minorHAnsi"/>
          <w:b w:val="0"/>
        </w:rPr>
        <w:t>. Higher scores indicate higher probabili</w:t>
      </w:r>
      <w:r w:rsidRPr="007E114E">
        <w:rPr>
          <w:rFonts w:asciiTheme="minorHAnsi" w:hAnsiTheme="minorHAnsi" w:cstheme="minorHAnsi"/>
          <w:b w:val="0"/>
        </w:rPr>
        <w:t>ty of severe illness</w:t>
      </w:r>
      <w:r w:rsidR="004D2393" w:rsidRPr="007E114E">
        <w:rPr>
          <w:rFonts w:asciiTheme="minorHAnsi" w:hAnsiTheme="minorHAnsi" w:cstheme="minorHAnsi"/>
          <w:b w:val="0"/>
        </w:rPr>
        <w:t>.</w:t>
      </w:r>
      <w:r w:rsidR="00F155B5">
        <w:rPr>
          <w:rFonts w:asciiTheme="minorHAnsi" w:hAnsiTheme="minorHAnsi" w:cstheme="minorHAnsi"/>
          <w:b w:val="0"/>
        </w:rPr>
        <w:t xml:space="preserve"> </w:t>
      </w:r>
      <w:r w:rsidR="00F155B5" w:rsidRPr="00763B44">
        <w:rPr>
          <w:rFonts w:asciiTheme="minorHAnsi" w:hAnsiTheme="minorHAnsi" w:cstheme="minorHAnsi"/>
          <w:b w:val="0"/>
          <w:color w:val="auto"/>
        </w:rPr>
        <w:t>The internal reliability (Cronbach’s alpha) of the depression (α = .</w:t>
      </w:r>
      <w:r w:rsidR="00F155B5" w:rsidRPr="00F155B5">
        <w:rPr>
          <w:rFonts w:asciiTheme="minorHAnsi" w:hAnsiTheme="minorHAnsi" w:cstheme="minorHAnsi"/>
          <w:b w:val="0"/>
          <w:color w:val="auto"/>
        </w:rPr>
        <w:t>95), Anxiety (α = .92), and stress (α = .93) scale scores were excellent.</w:t>
      </w:r>
    </w:p>
    <w:p w14:paraId="558E53E8" w14:textId="28C156C8" w:rsidR="00401DF7" w:rsidRPr="007E114E" w:rsidRDefault="00D62087" w:rsidP="00401DF7">
      <w:pPr>
        <w:pStyle w:val="Overskrift3"/>
        <w:spacing w:before="0" w:line="360" w:lineRule="auto"/>
        <w:ind w:firstLine="1304"/>
        <w:rPr>
          <w:rFonts w:asciiTheme="minorHAnsi" w:hAnsiTheme="minorHAnsi" w:cstheme="minorHAnsi"/>
          <w:b w:val="0"/>
        </w:rPr>
      </w:pPr>
      <w:r w:rsidRPr="007E114E">
        <w:rPr>
          <w:rFonts w:asciiTheme="minorHAnsi" w:hAnsiTheme="minorHAnsi" w:cstheme="minorHAnsi"/>
          <w:b w:val="0"/>
          <w:i/>
        </w:rPr>
        <w:t>A</w:t>
      </w:r>
      <w:r w:rsidR="003473C8" w:rsidRPr="007E114E">
        <w:rPr>
          <w:rFonts w:asciiTheme="minorHAnsi" w:hAnsiTheme="minorHAnsi" w:cstheme="minorHAnsi"/>
          <w:b w:val="0"/>
          <w:i/>
        </w:rPr>
        <w:t>lcohol use</w:t>
      </w:r>
      <w:r w:rsidR="003473C8" w:rsidRPr="007E114E">
        <w:rPr>
          <w:rFonts w:asciiTheme="minorHAnsi" w:hAnsiTheme="minorHAnsi" w:cstheme="minorHAnsi"/>
          <w:b w:val="0"/>
        </w:rPr>
        <w:t xml:space="preserve"> was</w:t>
      </w:r>
      <w:r w:rsidRPr="007E114E">
        <w:rPr>
          <w:rFonts w:asciiTheme="minorHAnsi" w:hAnsiTheme="minorHAnsi" w:cstheme="minorHAnsi"/>
          <w:b w:val="0"/>
        </w:rPr>
        <w:t xml:space="preserve"> assessed with </w:t>
      </w:r>
      <w:r w:rsidR="00966A99">
        <w:rPr>
          <w:rFonts w:asciiTheme="minorHAnsi" w:hAnsiTheme="minorHAnsi" w:cstheme="minorHAnsi"/>
          <w:b w:val="0"/>
        </w:rPr>
        <w:t xml:space="preserve">two modified questions </w:t>
      </w:r>
      <w:r w:rsidR="00966A99" w:rsidRPr="007E114E">
        <w:rPr>
          <w:rFonts w:asciiTheme="minorHAnsi" w:hAnsiTheme="minorHAnsi" w:cstheme="minorHAnsi"/>
          <w:b w:val="0"/>
        </w:rPr>
        <w:t xml:space="preserve">from The Alcohol Use Disorders Identification </w:t>
      </w:r>
      <w:r w:rsidR="00966A99" w:rsidRPr="00C659EA">
        <w:rPr>
          <w:rFonts w:asciiTheme="minorHAnsi" w:hAnsiTheme="minorHAnsi" w:cstheme="minorHAnsi"/>
          <w:b w:val="0"/>
        </w:rPr>
        <w:t>Test</w:t>
      </w:r>
      <w:r w:rsidR="00C659EA" w:rsidRPr="00C659EA">
        <w:rPr>
          <w:rFonts w:asciiTheme="minorHAnsi" w:hAnsiTheme="minorHAnsi" w:cstheme="minorHAnsi"/>
          <w:b w:val="0"/>
        </w:rPr>
        <w:t xml:space="preserve"> </w:t>
      </w:r>
      <w:r w:rsidR="00C659EA" w:rsidRPr="00C659EA">
        <w:rPr>
          <w:rFonts w:ascii="Calibri" w:hAnsi="Calibri"/>
          <w:b w:val="0"/>
        </w:rPr>
        <w:t>(AUDIT-C; Saunders et al., 1993)</w:t>
      </w:r>
      <w:r w:rsidR="00C659EA">
        <w:rPr>
          <w:rFonts w:asciiTheme="minorHAnsi" w:hAnsiTheme="minorHAnsi" w:cstheme="minorHAnsi"/>
          <w:b w:val="0"/>
        </w:rPr>
        <w:t xml:space="preserve"> </w:t>
      </w:r>
      <w:r w:rsidR="00966A99" w:rsidRPr="00C659EA">
        <w:rPr>
          <w:rFonts w:asciiTheme="minorHAnsi" w:hAnsiTheme="minorHAnsi" w:cstheme="minorHAnsi"/>
          <w:b w:val="0"/>
        </w:rPr>
        <w:t>asking</w:t>
      </w:r>
      <w:r w:rsidR="00966A99">
        <w:rPr>
          <w:rFonts w:asciiTheme="minorHAnsi" w:hAnsiTheme="minorHAnsi" w:cstheme="minorHAnsi"/>
          <w:b w:val="0"/>
        </w:rPr>
        <w:t xml:space="preserve"> </w:t>
      </w:r>
      <w:r w:rsidR="00424834" w:rsidRPr="007E114E">
        <w:rPr>
          <w:rFonts w:asciiTheme="minorHAnsi" w:hAnsiTheme="minorHAnsi" w:cstheme="minorHAnsi"/>
          <w:b w:val="0"/>
        </w:rPr>
        <w:t>how often alcohol is consumed</w:t>
      </w:r>
      <w:r w:rsidR="00966A99">
        <w:rPr>
          <w:rFonts w:asciiTheme="minorHAnsi" w:hAnsiTheme="minorHAnsi" w:cstheme="minorHAnsi"/>
          <w:b w:val="0"/>
        </w:rPr>
        <w:t xml:space="preserve"> and </w:t>
      </w:r>
      <w:r w:rsidR="00424834" w:rsidRPr="007E114E">
        <w:rPr>
          <w:rFonts w:asciiTheme="minorHAnsi" w:hAnsiTheme="minorHAnsi" w:cstheme="minorHAnsi"/>
          <w:b w:val="0"/>
        </w:rPr>
        <w:t>how many units are typically consumed</w:t>
      </w:r>
      <w:r w:rsidR="006C2C17">
        <w:rPr>
          <w:rFonts w:asciiTheme="minorHAnsi" w:hAnsiTheme="minorHAnsi" w:cstheme="minorHAnsi"/>
          <w:b w:val="0"/>
        </w:rPr>
        <w:t xml:space="preserve">. </w:t>
      </w:r>
      <w:r w:rsidR="00161733">
        <w:rPr>
          <w:rFonts w:asciiTheme="minorHAnsi" w:hAnsiTheme="minorHAnsi" w:cstheme="minorHAnsi"/>
          <w:b w:val="0"/>
        </w:rPr>
        <w:t>T</w:t>
      </w:r>
      <w:r w:rsidR="00424834" w:rsidRPr="00F72FFA">
        <w:rPr>
          <w:rFonts w:asciiTheme="minorHAnsi" w:hAnsiTheme="minorHAnsi" w:cstheme="minorHAnsi"/>
          <w:b w:val="0"/>
        </w:rPr>
        <w:t>he mea</w:t>
      </w:r>
      <w:r w:rsidR="00F72FFA" w:rsidRPr="00F72FFA">
        <w:rPr>
          <w:rFonts w:asciiTheme="minorHAnsi" w:hAnsiTheme="minorHAnsi" w:cstheme="minorHAnsi"/>
          <w:b w:val="0"/>
        </w:rPr>
        <w:t>n number of standard drinks</w:t>
      </w:r>
      <w:r w:rsidR="00424834" w:rsidRPr="00F72FFA">
        <w:rPr>
          <w:rFonts w:asciiTheme="minorHAnsi" w:hAnsiTheme="minorHAnsi" w:cstheme="minorHAnsi"/>
          <w:b w:val="0"/>
        </w:rPr>
        <w:t xml:space="preserve"> per week</w:t>
      </w:r>
      <w:r w:rsidR="00161733">
        <w:rPr>
          <w:rFonts w:asciiTheme="minorHAnsi" w:hAnsiTheme="minorHAnsi" w:cstheme="minorHAnsi"/>
          <w:b w:val="0"/>
        </w:rPr>
        <w:t xml:space="preserve"> was then calculated</w:t>
      </w:r>
      <w:r w:rsidR="00424834" w:rsidRPr="00F72FFA">
        <w:rPr>
          <w:rFonts w:asciiTheme="minorHAnsi" w:hAnsiTheme="minorHAnsi" w:cstheme="minorHAnsi"/>
          <w:b w:val="0"/>
        </w:rPr>
        <w:t>.</w:t>
      </w:r>
      <w:r w:rsidR="00031757" w:rsidRPr="00F72FFA" w:rsidDel="00031757">
        <w:rPr>
          <w:rFonts w:asciiTheme="minorHAnsi" w:hAnsiTheme="minorHAnsi" w:cstheme="minorHAnsi"/>
          <w:b w:val="0"/>
        </w:rPr>
        <w:t xml:space="preserve"> </w:t>
      </w:r>
    </w:p>
    <w:p w14:paraId="4EFB0C65" w14:textId="0A9E0095" w:rsidR="00401DF7" w:rsidRPr="00F72FFA" w:rsidRDefault="003473C8" w:rsidP="00401DF7">
      <w:pPr>
        <w:pStyle w:val="Overskrift3"/>
        <w:spacing w:before="0" w:line="360" w:lineRule="auto"/>
        <w:ind w:firstLine="1304"/>
        <w:rPr>
          <w:rFonts w:asciiTheme="minorHAnsi" w:hAnsiTheme="minorHAnsi" w:cstheme="minorHAnsi"/>
          <w:b w:val="0"/>
        </w:rPr>
      </w:pPr>
      <w:r w:rsidRPr="00F72FFA">
        <w:rPr>
          <w:rFonts w:asciiTheme="minorHAnsi" w:hAnsiTheme="minorHAnsi" w:cstheme="minorHAnsi"/>
          <w:b w:val="0"/>
          <w:i/>
        </w:rPr>
        <w:t>Drug use</w:t>
      </w:r>
      <w:r w:rsidRPr="00F72FFA">
        <w:rPr>
          <w:rFonts w:asciiTheme="minorHAnsi" w:hAnsiTheme="minorHAnsi" w:cstheme="minorHAnsi"/>
          <w:b w:val="0"/>
        </w:rPr>
        <w:t xml:space="preserve"> was assessed with</w:t>
      </w:r>
      <w:r w:rsidR="00424834" w:rsidRPr="00F72FFA">
        <w:rPr>
          <w:rFonts w:asciiTheme="minorHAnsi" w:hAnsiTheme="minorHAnsi" w:cstheme="minorHAnsi"/>
          <w:b w:val="0"/>
          <w:i/>
        </w:rPr>
        <w:t xml:space="preserve"> </w:t>
      </w:r>
      <w:r w:rsidR="00424834" w:rsidRPr="00F72FFA">
        <w:rPr>
          <w:rFonts w:asciiTheme="minorHAnsi" w:hAnsiTheme="minorHAnsi" w:cstheme="minorHAnsi"/>
          <w:b w:val="0"/>
        </w:rPr>
        <w:t>seven</w:t>
      </w:r>
      <w:r w:rsidR="00424834" w:rsidRPr="00F72FFA">
        <w:rPr>
          <w:rFonts w:asciiTheme="minorHAnsi" w:hAnsiTheme="minorHAnsi" w:cstheme="minorHAnsi"/>
          <w:b w:val="0"/>
          <w:i/>
        </w:rPr>
        <w:t xml:space="preserve"> </w:t>
      </w:r>
      <w:r w:rsidRPr="00F72FFA">
        <w:rPr>
          <w:rFonts w:asciiTheme="minorHAnsi" w:hAnsiTheme="minorHAnsi" w:cstheme="minorHAnsi"/>
          <w:b w:val="0"/>
        </w:rPr>
        <w:t xml:space="preserve">questions about </w:t>
      </w:r>
      <w:r w:rsidR="00161733">
        <w:rPr>
          <w:rFonts w:asciiTheme="minorHAnsi" w:hAnsiTheme="minorHAnsi" w:cstheme="minorHAnsi"/>
          <w:b w:val="0"/>
        </w:rPr>
        <w:t>cannabis</w:t>
      </w:r>
      <w:r w:rsidR="00424834" w:rsidRPr="00F72FFA">
        <w:rPr>
          <w:rFonts w:asciiTheme="minorHAnsi" w:hAnsiTheme="minorHAnsi" w:cstheme="minorHAnsi"/>
          <w:b w:val="0"/>
        </w:rPr>
        <w:t xml:space="preserve"> and other </w:t>
      </w:r>
      <w:r w:rsidR="00161733">
        <w:rPr>
          <w:rFonts w:asciiTheme="minorHAnsi" w:hAnsiTheme="minorHAnsi" w:cstheme="minorHAnsi"/>
          <w:b w:val="0"/>
        </w:rPr>
        <w:t>illicit</w:t>
      </w:r>
      <w:r w:rsidR="00F72FFA">
        <w:rPr>
          <w:rFonts w:asciiTheme="minorHAnsi" w:hAnsiTheme="minorHAnsi" w:cstheme="minorHAnsi"/>
          <w:b w:val="0"/>
        </w:rPr>
        <w:t xml:space="preserve"> drugs. </w:t>
      </w:r>
      <w:r w:rsidR="00424834" w:rsidRPr="00F72FFA">
        <w:rPr>
          <w:rFonts w:asciiTheme="minorHAnsi" w:hAnsiTheme="minorHAnsi" w:cstheme="minorHAnsi"/>
          <w:b w:val="0"/>
        </w:rPr>
        <w:t xml:space="preserve">For the analyses we used information about current use of </w:t>
      </w:r>
      <w:r w:rsidR="00161733">
        <w:rPr>
          <w:rFonts w:asciiTheme="minorHAnsi" w:hAnsiTheme="minorHAnsi" w:cstheme="minorHAnsi"/>
          <w:b w:val="0"/>
        </w:rPr>
        <w:t>cannabis</w:t>
      </w:r>
      <w:r w:rsidR="00161733" w:rsidRPr="00F72FFA">
        <w:rPr>
          <w:rFonts w:asciiTheme="minorHAnsi" w:hAnsiTheme="minorHAnsi" w:cstheme="minorHAnsi"/>
          <w:b w:val="0"/>
        </w:rPr>
        <w:t xml:space="preserve"> </w:t>
      </w:r>
      <w:r w:rsidR="00424834" w:rsidRPr="00F72FFA">
        <w:rPr>
          <w:rFonts w:asciiTheme="minorHAnsi" w:hAnsiTheme="minorHAnsi" w:cstheme="minorHAnsi"/>
          <w:b w:val="0"/>
        </w:rPr>
        <w:t xml:space="preserve">and/or </w:t>
      </w:r>
      <w:r w:rsidR="00A66A3C" w:rsidRPr="002C6EF0">
        <w:rPr>
          <w:rFonts w:asciiTheme="minorHAnsi" w:hAnsiTheme="minorHAnsi" w:cstheme="minorHAnsi"/>
          <w:b w:val="0"/>
        </w:rPr>
        <w:t xml:space="preserve">other </w:t>
      </w:r>
      <w:r w:rsidR="00424834" w:rsidRPr="002C6EF0">
        <w:rPr>
          <w:rFonts w:asciiTheme="minorHAnsi" w:hAnsiTheme="minorHAnsi" w:cstheme="minorHAnsi"/>
          <w:b w:val="0"/>
        </w:rPr>
        <w:t xml:space="preserve">drugs. The questions have been used in </w:t>
      </w:r>
      <w:r w:rsidR="00A43131" w:rsidRPr="002C6EF0">
        <w:rPr>
          <w:rFonts w:asciiTheme="minorHAnsi" w:hAnsiTheme="minorHAnsi" w:cstheme="minorHAnsi"/>
          <w:b w:val="0"/>
        </w:rPr>
        <w:t xml:space="preserve">previous </w:t>
      </w:r>
      <w:r w:rsidR="00A66A3C" w:rsidRPr="002C6EF0">
        <w:rPr>
          <w:rFonts w:asciiTheme="minorHAnsi" w:hAnsiTheme="minorHAnsi" w:cstheme="minorHAnsi"/>
          <w:b w:val="0"/>
        </w:rPr>
        <w:t xml:space="preserve">surveys including different Danish populations and </w:t>
      </w:r>
      <w:r w:rsidR="00A43131" w:rsidRPr="002C6EF0">
        <w:rPr>
          <w:rFonts w:asciiTheme="minorHAnsi" w:hAnsiTheme="minorHAnsi" w:cstheme="minorHAnsi"/>
          <w:b w:val="0"/>
        </w:rPr>
        <w:t>veterans</w:t>
      </w:r>
      <w:r w:rsidR="0049327B" w:rsidRPr="002C6EF0">
        <w:rPr>
          <w:rFonts w:asciiTheme="minorHAnsi" w:hAnsiTheme="minorHAnsi" w:cstheme="minorHAnsi"/>
          <w:b w:val="0"/>
        </w:rPr>
        <w:t xml:space="preserve"> </w:t>
      </w:r>
      <w:r w:rsidR="00DE60D3" w:rsidRPr="002C6EF0">
        <w:rPr>
          <w:rFonts w:ascii="Calibri" w:hAnsi="Calibri"/>
          <w:b w:val="0"/>
          <w:szCs w:val="24"/>
        </w:rPr>
        <w:t>(Andersen et al., 2013; Ottosen &amp; Østergaard, 2018)</w:t>
      </w:r>
      <w:r w:rsidR="00424834" w:rsidRPr="002C6EF0">
        <w:rPr>
          <w:rFonts w:asciiTheme="minorHAnsi" w:hAnsiTheme="minorHAnsi" w:cstheme="minorHAnsi"/>
          <w:b w:val="0"/>
        </w:rPr>
        <w:t>.</w:t>
      </w:r>
      <w:r w:rsidR="00424834" w:rsidRPr="00F72FFA">
        <w:rPr>
          <w:rFonts w:asciiTheme="minorHAnsi" w:hAnsiTheme="minorHAnsi" w:cstheme="minorHAnsi"/>
          <w:b w:val="0"/>
        </w:rPr>
        <w:t xml:space="preserve"> </w:t>
      </w:r>
    </w:p>
    <w:p w14:paraId="7E7278F2" w14:textId="548F9B64" w:rsidR="006F6A19" w:rsidRPr="007E114E" w:rsidRDefault="006F6A19" w:rsidP="00401DF7">
      <w:pPr>
        <w:pStyle w:val="Overskrift3"/>
        <w:spacing w:before="0" w:line="360" w:lineRule="auto"/>
        <w:ind w:firstLine="1304"/>
        <w:rPr>
          <w:rFonts w:asciiTheme="minorHAnsi" w:hAnsiTheme="minorHAnsi" w:cstheme="minorHAnsi"/>
          <w:b w:val="0"/>
        </w:rPr>
      </w:pPr>
      <w:r w:rsidRPr="007E114E">
        <w:rPr>
          <w:rFonts w:asciiTheme="minorHAnsi" w:hAnsiTheme="minorHAnsi" w:cstheme="minorHAnsi"/>
          <w:b w:val="0"/>
          <w:i/>
        </w:rPr>
        <w:lastRenderedPageBreak/>
        <w:t>Use of psychotropic medication</w:t>
      </w:r>
      <w:r w:rsidRPr="007E114E">
        <w:rPr>
          <w:rFonts w:asciiTheme="minorHAnsi" w:hAnsiTheme="minorHAnsi" w:cstheme="minorHAnsi"/>
          <w:b w:val="0"/>
        </w:rPr>
        <w:t xml:space="preserve"> was identified by categorizing self-reported medication using the anatomical therapeutic chemical (ATC) classification system and included psycholeptica (N</w:t>
      </w:r>
      <w:r w:rsidR="00F72FFA">
        <w:rPr>
          <w:rFonts w:asciiTheme="minorHAnsi" w:hAnsiTheme="minorHAnsi" w:cstheme="minorHAnsi"/>
          <w:b w:val="0"/>
        </w:rPr>
        <w:t>05) and psychoanaleptica (NO6).</w:t>
      </w:r>
    </w:p>
    <w:p w14:paraId="57D6899B" w14:textId="5344DEAB" w:rsidR="006A0D83" w:rsidRPr="00F72FFA" w:rsidRDefault="00B36992" w:rsidP="006F6A19">
      <w:pPr>
        <w:pStyle w:val="Overskrift3"/>
        <w:spacing w:before="0" w:line="360" w:lineRule="auto"/>
        <w:ind w:firstLine="1304"/>
        <w:rPr>
          <w:rFonts w:asciiTheme="minorHAnsi" w:hAnsiTheme="minorHAnsi" w:cstheme="minorHAnsi"/>
          <w:b w:val="0"/>
          <w:i/>
        </w:rPr>
      </w:pPr>
      <w:r w:rsidRPr="00F72FFA">
        <w:rPr>
          <w:rFonts w:ascii="Calibri" w:hAnsi="Calibri"/>
          <w:b w:val="0"/>
          <w:i/>
        </w:rPr>
        <w:t>Suicidality</w:t>
      </w:r>
      <w:r w:rsidRPr="00F72FFA">
        <w:rPr>
          <w:rFonts w:ascii="Calibri" w:hAnsi="Calibri"/>
          <w:b w:val="0"/>
        </w:rPr>
        <w:t xml:space="preserve"> </w:t>
      </w:r>
      <w:r w:rsidRPr="00F72FFA">
        <w:rPr>
          <w:rFonts w:asciiTheme="minorHAnsi" w:hAnsiTheme="minorHAnsi" w:cstheme="minorHAnsi"/>
          <w:b w:val="0"/>
        </w:rPr>
        <w:t>was assessed using two questions from the “Euro Multicentre Study of Suicidal Behavior</w:t>
      </w:r>
      <w:r w:rsidRPr="00243990">
        <w:rPr>
          <w:rFonts w:asciiTheme="minorHAnsi" w:hAnsiTheme="minorHAnsi" w:cstheme="minorHAnsi"/>
          <w:b w:val="0"/>
        </w:rPr>
        <w:t>"</w:t>
      </w:r>
      <w:r w:rsidR="00C248DA" w:rsidRPr="00243990">
        <w:rPr>
          <w:rFonts w:asciiTheme="minorHAnsi" w:hAnsiTheme="minorHAnsi" w:cstheme="minorHAnsi"/>
          <w:b w:val="0"/>
        </w:rPr>
        <w:t xml:space="preserve"> </w:t>
      </w:r>
      <w:r w:rsidR="00DE60D3" w:rsidRPr="00E41082">
        <w:rPr>
          <w:rFonts w:ascii="Calibri" w:hAnsi="Calibri"/>
          <w:b w:val="0"/>
          <w:szCs w:val="24"/>
        </w:rPr>
        <w:t>(</w:t>
      </w:r>
      <w:r w:rsidR="00DE60D3" w:rsidRPr="00E41082">
        <w:rPr>
          <w:rFonts w:ascii="Calibri" w:hAnsi="Calibri"/>
          <w:b w:val="0"/>
          <w:i/>
          <w:iCs/>
          <w:szCs w:val="24"/>
        </w:rPr>
        <w:t>Suicidal behaviour in Europe</w:t>
      </w:r>
      <w:r w:rsidR="00DE60D3" w:rsidRPr="00E41082">
        <w:rPr>
          <w:rFonts w:ascii="Calibri" w:hAnsi="Calibri"/>
          <w:b w:val="0"/>
          <w:szCs w:val="24"/>
        </w:rPr>
        <w:t>, 2004)</w:t>
      </w:r>
      <w:r w:rsidR="00F72FFA" w:rsidRPr="00E41082">
        <w:rPr>
          <w:rFonts w:asciiTheme="minorHAnsi" w:hAnsiTheme="minorHAnsi" w:cstheme="minorHAnsi"/>
          <w:b w:val="0"/>
        </w:rPr>
        <w:t xml:space="preserve"> and national surveys</w:t>
      </w:r>
      <w:r w:rsidR="00E41082" w:rsidRPr="00E41082">
        <w:rPr>
          <w:rFonts w:asciiTheme="minorHAnsi" w:hAnsiTheme="minorHAnsi" w:cstheme="minorHAnsi"/>
          <w:b w:val="0"/>
        </w:rPr>
        <w:t xml:space="preserve"> </w:t>
      </w:r>
      <w:r w:rsidR="00E41082" w:rsidRPr="00E41082">
        <w:rPr>
          <w:rFonts w:ascii="Calibri" w:hAnsi="Calibri"/>
          <w:b w:val="0"/>
        </w:rPr>
        <w:t>(Ekholm et al., 2009)</w:t>
      </w:r>
      <w:r w:rsidR="00E41082" w:rsidRPr="00E41082">
        <w:rPr>
          <w:rFonts w:asciiTheme="minorHAnsi" w:hAnsiTheme="minorHAnsi" w:cstheme="minorHAnsi"/>
          <w:b w:val="0"/>
        </w:rPr>
        <w:t xml:space="preserve">. </w:t>
      </w:r>
      <w:r w:rsidRPr="00F72FFA">
        <w:rPr>
          <w:rFonts w:asciiTheme="minorHAnsi" w:hAnsiTheme="minorHAnsi" w:cstheme="minorHAnsi"/>
          <w:b w:val="0"/>
        </w:rPr>
        <w:t>The questions examine suicide attempts within the last year and ever (yes/no) (“</w:t>
      </w:r>
      <w:r w:rsidRPr="00F72FFA">
        <w:rPr>
          <w:rFonts w:asciiTheme="minorHAnsi" w:hAnsiTheme="minorHAnsi" w:cstheme="minorHAnsi"/>
          <w:b w:val="0"/>
          <w:i/>
          <w:iCs/>
        </w:rPr>
        <w:t xml:space="preserve">Have you ever made an attempt to take your own life?) </w:t>
      </w:r>
      <w:r w:rsidRPr="00F72FFA">
        <w:rPr>
          <w:rFonts w:asciiTheme="minorHAnsi" w:hAnsiTheme="minorHAnsi" w:cstheme="minorHAnsi"/>
          <w:b w:val="0"/>
        </w:rPr>
        <w:t>and (“</w:t>
      </w:r>
      <w:r w:rsidRPr="00F72FFA">
        <w:rPr>
          <w:rFonts w:asciiTheme="minorHAnsi" w:hAnsiTheme="minorHAnsi" w:cstheme="minorHAnsi"/>
          <w:b w:val="0"/>
          <w:i/>
          <w:iCs/>
        </w:rPr>
        <w:t>During the past 12 months have you made an attempt to take your own life?</w:t>
      </w:r>
      <w:r w:rsidRPr="00F72FFA">
        <w:rPr>
          <w:rFonts w:asciiTheme="minorHAnsi" w:hAnsiTheme="minorHAnsi" w:cstheme="minorHAnsi"/>
          <w:b w:val="0"/>
        </w:rPr>
        <w:t>”). We dichotomized information on suicide attempts into never vs. one time or more.</w:t>
      </w:r>
    </w:p>
    <w:p w14:paraId="79D30791" w14:textId="0FD16ADF" w:rsidR="009D7F40" w:rsidRPr="007E114E" w:rsidRDefault="00F97F88" w:rsidP="00854883">
      <w:pPr>
        <w:pStyle w:val="Overskrift3"/>
        <w:spacing w:before="0" w:line="360" w:lineRule="auto"/>
        <w:ind w:firstLine="1304"/>
        <w:rPr>
          <w:rFonts w:asciiTheme="minorHAnsi" w:hAnsiTheme="minorHAnsi" w:cstheme="minorHAnsi"/>
          <w:b w:val="0"/>
          <w:shd w:val="clear" w:color="auto" w:fill="FFFFFF"/>
        </w:rPr>
      </w:pPr>
      <w:r w:rsidRPr="007E114E">
        <w:rPr>
          <w:rFonts w:asciiTheme="minorHAnsi" w:hAnsiTheme="minorHAnsi" w:cstheme="minorHAnsi"/>
          <w:b w:val="0"/>
          <w:i/>
        </w:rPr>
        <w:t xml:space="preserve">Quality </w:t>
      </w:r>
      <w:r w:rsidRPr="00E41082">
        <w:rPr>
          <w:rFonts w:asciiTheme="minorHAnsi" w:hAnsiTheme="minorHAnsi" w:cstheme="minorHAnsi"/>
          <w:b w:val="0"/>
          <w:i/>
        </w:rPr>
        <w:t>of life</w:t>
      </w:r>
      <w:r w:rsidRPr="00E41082">
        <w:rPr>
          <w:rFonts w:asciiTheme="minorHAnsi" w:hAnsiTheme="minorHAnsi" w:cstheme="minorHAnsi"/>
          <w:b w:val="0"/>
        </w:rPr>
        <w:t xml:space="preserve"> was assessed using </w:t>
      </w:r>
      <w:bookmarkStart w:id="1" w:name="_Toc37768581"/>
      <w:r w:rsidR="001E3B4F" w:rsidRPr="00E41082">
        <w:rPr>
          <w:rFonts w:asciiTheme="minorHAnsi" w:hAnsiTheme="minorHAnsi" w:cstheme="minorHAnsi"/>
          <w:b w:val="0"/>
          <w:iCs/>
          <w:shd w:val="clear" w:color="auto" w:fill="FFFFFF"/>
        </w:rPr>
        <w:t xml:space="preserve">The </w:t>
      </w:r>
      <w:r w:rsidR="00424834" w:rsidRPr="00E41082">
        <w:rPr>
          <w:rFonts w:asciiTheme="minorHAnsi" w:hAnsiTheme="minorHAnsi" w:cstheme="minorHAnsi"/>
          <w:b w:val="0"/>
          <w:iCs/>
          <w:shd w:val="clear" w:color="auto" w:fill="FFFFFF"/>
        </w:rPr>
        <w:t>World Health Organization</w:t>
      </w:r>
      <w:r w:rsidR="001E3B4F" w:rsidRPr="00E41082">
        <w:rPr>
          <w:rFonts w:asciiTheme="minorHAnsi" w:hAnsiTheme="minorHAnsi" w:cstheme="minorHAnsi"/>
          <w:b w:val="0"/>
          <w:iCs/>
          <w:shd w:val="clear" w:color="auto" w:fill="FFFFFF"/>
        </w:rPr>
        <w:t xml:space="preserve"> 5</w:t>
      </w:r>
      <w:r w:rsidR="00424834" w:rsidRPr="00E41082">
        <w:rPr>
          <w:rFonts w:asciiTheme="minorHAnsi" w:hAnsiTheme="minorHAnsi" w:cstheme="minorHAnsi"/>
          <w:b w:val="0"/>
          <w:iCs/>
          <w:shd w:val="clear" w:color="auto" w:fill="FFFFFF"/>
        </w:rPr>
        <w:t xml:space="preserve"> Well-Being Index</w:t>
      </w:r>
      <w:bookmarkEnd w:id="1"/>
      <w:r w:rsidR="00E41082" w:rsidRPr="00E41082">
        <w:rPr>
          <w:rFonts w:asciiTheme="minorHAnsi" w:hAnsiTheme="minorHAnsi" w:cstheme="minorHAnsi"/>
          <w:b w:val="0"/>
          <w:iCs/>
          <w:shd w:val="clear" w:color="auto" w:fill="FFFFFF"/>
        </w:rPr>
        <w:t xml:space="preserve"> </w:t>
      </w:r>
      <w:r w:rsidR="00E41082" w:rsidRPr="00E41082">
        <w:rPr>
          <w:rFonts w:ascii="Calibri" w:hAnsi="Calibri"/>
          <w:b w:val="0"/>
        </w:rPr>
        <w:t>(</w:t>
      </w:r>
      <w:r w:rsidR="00E41082">
        <w:rPr>
          <w:rFonts w:ascii="Calibri" w:hAnsi="Calibri"/>
          <w:b w:val="0"/>
        </w:rPr>
        <w:t xml:space="preserve">WHO-5; </w:t>
      </w:r>
      <w:r w:rsidR="00E41082" w:rsidRPr="00E41082">
        <w:rPr>
          <w:rFonts w:ascii="Calibri" w:hAnsi="Calibri"/>
          <w:b w:val="0"/>
        </w:rPr>
        <w:t>Topp et al., 2015)</w:t>
      </w:r>
      <w:r w:rsidR="00E41082">
        <w:rPr>
          <w:rFonts w:asciiTheme="minorHAnsi" w:hAnsiTheme="minorHAnsi" w:cstheme="minorHAnsi"/>
          <w:b w:val="0"/>
          <w:iCs/>
          <w:shd w:val="clear" w:color="auto" w:fill="FFFFFF"/>
        </w:rPr>
        <w:t>,</w:t>
      </w:r>
      <w:r w:rsidR="00A77623" w:rsidRPr="00BE46F7">
        <w:rPr>
          <w:rFonts w:asciiTheme="minorHAnsi" w:hAnsiTheme="minorHAnsi" w:cstheme="minorHAnsi"/>
          <w:b w:val="0"/>
          <w:iCs/>
          <w:shd w:val="clear" w:color="auto" w:fill="FFFFFF"/>
        </w:rPr>
        <w:t xml:space="preserve"> which </w:t>
      </w:r>
      <w:r w:rsidR="00424834" w:rsidRPr="00BE46F7">
        <w:rPr>
          <w:rFonts w:asciiTheme="minorHAnsi" w:hAnsiTheme="minorHAnsi" w:cstheme="minorHAnsi"/>
          <w:b w:val="0"/>
          <w:shd w:val="clear" w:color="auto" w:fill="FFFFFF"/>
        </w:rPr>
        <w:t>is a short and generic global</w:t>
      </w:r>
      <w:r w:rsidR="00BE46F7">
        <w:rPr>
          <w:rFonts w:asciiTheme="minorHAnsi" w:hAnsiTheme="minorHAnsi" w:cstheme="minorHAnsi"/>
          <w:b w:val="0"/>
          <w:shd w:val="clear" w:color="auto" w:fill="FFFFFF"/>
        </w:rPr>
        <w:t xml:space="preserve"> self-report</w:t>
      </w:r>
      <w:r w:rsidR="009D7F40" w:rsidRPr="00BE46F7">
        <w:rPr>
          <w:rFonts w:asciiTheme="minorHAnsi" w:hAnsiTheme="minorHAnsi" w:cstheme="minorHAnsi"/>
          <w:b w:val="0"/>
          <w:shd w:val="clear" w:color="auto" w:fill="FFFFFF"/>
        </w:rPr>
        <w:t xml:space="preserve"> questionnaire considered </w:t>
      </w:r>
      <w:r w:rsidR="00161733">
        <w:rPr>
          <w:rFonts w:asciiTheme="minorHAnsi" w:hAnsiTheme="minorHAnsi" w:cstheme="minorHAnsi"/>
          <w:b w:val="0"/>
          <w:shd w:val="clear" w:color="auto" w:fill="FFFFFF"/>
        </w:rPr>
        <w:t>the</w:t>
      </w:r>
      <w:r w:rsidR="009D7F40" w:rsidRPr="00BE46F7">
        <w:rPr>
          <w:rFonts w:asciiTheme="minorHAnsi" w:hAnsiTheme="minorHAnsi" w:cstheme="minorHAnsi"/>
          <w:b w:val="0"/>
          <w:shd w:val="clear" w:color="auto" w:fill="FFFFFF"/>
        </w:rPr>
        <w:t xml:space="preserve"> go</w:t>
      </w:r>
      <w:r w:rsidR="00BE46F7">
        <w:rPr>
          <w:rFonts w:asciiTheme="minorHAnsi" w:hAnsiTheme="minorHAnsi" w:cstheme="minorHAnsi"/>
          <w:b w:val="0"/>
          <w:shd w:val="clear" w:color="auto" w:fill="FFFFFF"/>
        </w:rPr>
        <w:t>l</w:t>
      </w:r>
      <w:r w:rsidR="009D7F40" w:rsidRPr="00BE46F7">
        <w:rPr>
          <w:rFonts w:asciiTheme="minorHAnsi" w:hAnsiTheme="minorHAnsi" w:cstheme="minorHAnsi"/>
          <w:b w:val="0"/>
          <w:shd w:val="clear" w:color="auto" w:fill="FFFFFF"/>
        </w:rPr>
        <w:t xml:space="preserve">d-standard measure </w:t>
      </w:r>
      <w:r w:rsidR="00161733">
        <w:rPr>
          <w:rFonts w:asciiTheme="minorHAnsi" w:hAnsiTheme="minorHAnsi" w:cstheme="minorHAnsi"/>
          <w:b w:val="0"/>
          <w:shd w:val="clear" w:color="auto" w:fill="FFFFFF"/>
        </w:rPr>
        <w:t>for</w:t>
      </w:r>
      <w:r w:rsidR="009D7F40" w:rsidRPr="00BE46F7">
        <w:rPr>
          <w:rFonts w:asciiTheme="minorHAnsi" w:hAnsiTheme="minorHAnsi" w:cstheme="minorHAnsi"/>
          <w:b w:val="0"/>
          <w:shd w:val="clear" w:color="auto" w:fill="FFFFFF"/>
        </w:rPr>
        <w:t xml:space="preserve"> assess</w:t>
      </w:r>
      <w:r w:rsidR="00161733">
        <w:rPr>
          <w:rFonts w:asciiTheme="minorHAnsi" w:hAnsiTheme="minorHAnsi" w:cstheme="minorHAnsi"/>
          <w:b w:val="0"/>
          <w:shd w:val="clear" w:color="auto" w:fill="FFFFFF"/>
        </w:rPr>
        <w:t>ing</w:t>
      </w:r>
      <w:r w:rsidR="009D7F40" w:rsidRPr="00BE46F7">
        <w:rPr>
          <w:rFonts w:asciiTheme="minorHAnsi" w:hAnsiTheme="minorHAnsi" w:cstheme="minorHAnsi"/>
          <w:b w:val="0"/>
          <w:shd w:val="clear" w:color="auto" w:fill="FFFFFF"/>
        </w:rPr>
        <w:t xml:space="preserve"> the positi</w:t>
      </w:r>
      <w:r w:rsidR="009D7F40" w:rsidRPr="007E114E">
        <w:rPr>
          <w:rFonts w:asciiTheme="minorHAnsi" w:hAnsiTheme="minorHAnsi" w:cstheme="minorHAnsi"/>
          <w:b w:val="0"/>
          <w:shd w:val="clear" w:color="auto" w:fill="FFFFFF"/>
        </w:rPr>
        <w:t>ve well-being dimension of quality of life</w:t>
      </w:r>
      <w:r w:rsidR="00A77623">
        <w:rPr>
          <w:rFonts w:asciiTheme="minorHAnsi" w:hAnsiTheme="minorHAnsi" w:cstheme="minorHAnsi"/>
          <w:b w:val="0"/>
          <w:shd w:val="clear" w:color="auto" w:fill="FFFFFF"/>
        </w:rPr>
        <w:t xml:space="preserve"> within the last 14 days</w:t>
      </w:r>
      <w:r w:rsidR="00BE46F7">
        <w:rPr>
          <w:rFonts w:asciiTheme="minorHAnsi" w:hAnsiTheme="minorHAnsi" w:cstheme="minorHAnsi"/>
          <w:b w:val="0"/>
          <w:shd w:val="clear" w:color="auto" w:fill="FFFFFF"/>
        </w:rPr>
        <w:t xml:space="preserve">, </w:t>
      </w:r>
      <w:r w:rsidR="00031757">
        <w:rPr>
          <w:rFonts w:asciiTheme="minorHAnsi" w:hAnsiTheme="minorHAnsi" w:cstheme="minorHAnsi"/>
          <w:b w:val="0"/>
          <w:shd w:val="clear" w:color="auto" w:fill="FFFFFF"/>
        </w:rPr>
        <w:t xml:space="preserve">using </w:t>
      </w:r>
      <w:r w:rsidR="00A77623">
        <w:rPr>
          <w:rFonts w:asciiTheme="minorHAnsi" w:hAnsiTheme="minorHAnsi" w:cstheme="minorHAnsi"/>
          <w:b w:val="0"/>
          <w:shd w:val="clear" w:color="auto" w:fill="FFFFFF"/>
        </w:rPr>
        <w:t>five questions (</w:t>
      </w:r>
      <w:r w:rsidR="00A77623" w:rsidRPr="007E114E">
        <w:rPr>
          <w:rFonts w:asciiTheme="minorHAnsi" w:hAnsiTheme="minorHAnsi" w:cstheme="minorHAnsi"/>
          <w:b w:val="0"/>
          <w:shd w:val="clear" w:color="auto" w:fill="FFFFFF"/>
        </w:rPr>
        <w:t xml:space="preserve">6-point Likert-like scale </w:t>
      </w:r>
      <w:r w:rsidR="00A77623">
        <w:rPr>
          <w:rFonts w:asciiTheme="minorHAnsi" w:hAnsiTheme="minorHAnsi" w:cstheme="minorHAnsi"/>
          <w:b w:val="0"/>
          <w:shd w:val="clear" w:color="auto" w:fill="FFFFFF"/>
        </w:rPr>
        <w:t xml:space="preserve">with </w:t>
      </w:r>
      <w:r w:rsidR="00A77623" w:rsidRPr="007E114E">
        <w:rPr>
          <w:rFonts w:asciiTheme="minorHAnsi" w:hAnsiTheme="minorHAnsi" w:cstheme="minorHAnsi"/>
          <w:b w:val="0"/>
          <w:shd w:val="clear" w:color="auto" w:fill="FFFFFF"/>
        </w:rPr>
        <w:t>“at no time” (=0) to “all of the time” (=5)</w:t>
      </w:r>
      <w:r w:rsidR="00A77623">
        <w:rPr>
          <w:rFonts w:asciiTheme="minorHAnsi" w:hAnsiTheme="minorHAnsi" w:cstheme="minorHAnsi"/>
          <w:b w:val="0"/>
          <w:shd w:val="clear" w:color="auto" w:fill="FFFFFF"/>
        </w:rPr>
        <w:t xml:space="preserve">). </w:t>
      </w:r>
      <w:r w:rsidR="009D7F40" w:rsidRPr="007E114E">
        <w:rPr>
          <w:rFonts w:asciiTheme="minorHAnsi" w:hAnsiTheme="minorHAnsi" w:cstheme="minorHAnsi"/>
          <w:b w:val="0"/>
          <w:shd w:val="clear" w:color="auto" w:fill="FFFFFF"/>
        </w:rPr>
        <w:t xml:space="preserve">Raw sum-scores </w:t>
      </w:r>
      <w:r w:rsidR="00A77623">
        <w:rPr>
          <w:rFonts w:asciiTheme="minorHAnsi" w:hAnsiTheme="minorHAnsi" w:cstheme="minorHAnsi"/>
          <w:b w:val="0"/>
          <w:shd w:val="clear" w:color="auto" w:fill="FFFFFF"/>
        </w:rPr>
        <w:t xml:space="preserve">(0-25) </w:t>
      </w:r>
      <w:r w:rsidR="009D7F40" w:rsidRPr="007E114E">
        <w:rPr>
          <w:rFonts w:asciiTheme="minorHAnsi" w:hAnsiTheme="minorHAnsi" w:cstheme="minorHAnsi"/>
          <w:b w:val="0"/>
          <w:shd w:val="clear" w:color="auto" w:fill="FFFFFF"/>
        </w:rPr>
        <w:t xml:space="preserve">are transformed into a well-being score from 0 (worst thinkable well-being) to 100 (best thinkable well-being). Total well-being scores &lt;50 scale points indicate </w:t>
      </w:r>
      <w:r w:rsidR="00D34430" w:rsidRPr="007E114E">
        <w:rPr>
          <w:rFonts w:asciiTheme="minorHAnsi" w:hAnsiTheme="minorHAnsi" w:cstheme="minorHAnsi"/>
          <w:b w:val="0"/>
          <w:shd w:val="clear" w:color="auto" w:fill="FFFFFF"/>
        </w:rPr>
        <w:t>well-being problems. The scale has been deve</w:t>
      </w:r>
      <w:r w:rsidR="00BE46F7">
        <w:rPr>
          <w:rFonts w:asciiTheme="minorHAnsi" w:hAnsiTheme="minorHAnsi" w:cstheme="minorHAnsi"/>
          <w:b w:val="0"/>
          <w:shd w:val="clear" w:color="auto" w:fill="FFFFFF"/>
        </w:rPr>
        <w:t>loped and validated in Denmark.</w:t>
      </w:r>
      <w:r w:rsidR="00854883">
        <w:rPr>
          <w:rFonts w:asciiTheme="minorHAnsi" w:hAnsiTheme="minorHAnsi" w:cstheme="minorHAnsi"/>
          <w:b w:val="0"/>
          <w:shd w:val="clear" w:color="auto" w:fill="FFFFFF"/>
        </w:rPr>
        <w:t xml:space="preserve"> </w:t>
      </w:r>
      <w:r w:rsidR="00854883" w:rsidRPr="00763B44">
        <w:rPr>
          <w:rFonts w:asciiTheme="minorHAnsi" w:hAnsiTheme="minorHAnsi" w:cstheme="minorHAnsi"/>
          <w:b w:val="0"/>
          <w:color w:val="auto"/>
        </w:rPr>
        <w:t xml:space="preserve">The internal reliability (Cronbach’s alpha) of the </w:t>
      </w:r>
      <w:r w:rsidR="00854883" w:rsidRPr="00854883">
        <w:rPr>
          <w:rFonts w:asciiTheme="minorHAnsi" w:hAnsiTheme="minorHAnsi" w:cstheme="minorHAnsi"/>
          <w:b w:val="0"/>
          <w:color w:val="auto"/>
        </w:rPr>
        <w:t>WHO-5 (α = .87) scale score was good.</w:t>
      </w:r>
    </w:p>
    <w:p w14:paraId="47DAA569" w14:textId="52852F87" w:rsidR="007E114E" w:rsidRPr="00800F82" w:rsidRDefault="00D34430" w:rsidP="007E114E">
      <w:pPr>
        <w:pStyle w:val="Overskrift3"/>
        <w:spacing w:before="0" w:line="360" w:lineRule="auto"/>
        <w:ind w:firstLine="1304"/>
        <w:rPr>
          <w:rFonts w:asciiTheme="minorHAnsi" w:hAnsiTheme="minorHAnsi" w:cstheme="minorHAnsi"/>
          <w:b w:val="0"/>
          <w:shd w:val="clear" w:color="auto" w:fill="FFFFFF"/>
        </w:rPr>
      </w:pPr>
      <w:r w:rsidRPr="00800F82">
        <w:rPr>
          <w:rFonts w:asciiTheme="minorHAnsi" w:hAnsiTheme="minorHAnsi" w:cstheme="minorHAnsi"/>
          <w:b w:val="0"/>
          <w:i/>
          <w:shd w:val="clear" w:color="auto" w:fill="FFFFFF"/>
        </w:rPr>
        <w:t>Self-rated health</w:t>
      </w:r>
      <w:r w:rsidRPr="00800F82">
        <w:rPr>
          <w:rFonts w:asciiTheme="minorHAnsi" w:hAnsiTheme="minorHAnsi" w:cstheme="minorHAnsi"/>
          <w:b w:val="0"/>
          <w:shd w:val="clear" w:color="auto" w:fill="FFFFFF"/>
        </w:rPr>
        <w:t xml:space="preserve"> was assessed using one question </w:t>
      </w:r>
      <w:r w:rsidR="00424834" w:rsidRPr="00800F82">
        <w:rPr>
          <w:rFonts w:asciiTheme="minorHAnsi" w:hAnsiTheme="minorHAnsi" w:cstheme="minorHAnsi"/>
          <w:b w:val="0"/>
          <w:shd w:val="clear" w:color="auto" w:fill="FFFFFF"/>
        </w:rPr>
        <w:t>asking the respondent to rat</w:t>
      </w:r>
      <w:r w:rsidR="009552E9" w:rsidRPr="00800F82">
        <w:rPr>
          <w:rFonts w:asciiTheme="minorHAnsi" w:hAnsiTheme="minorHAnsi" w:cstheme="minorHAnsi"/>
          <w:b w:val="0"/>
          <w:shd w:val="clear" w:color="auto" w:fill="FFFFFF"/>
        </w:rPr>
        <w:t>e their health</w:t>
      </w:r>
      <w:r w:rsidR="00424834" w:rsidRPr="00800F82">
        <w:rPr>
          <w:rFonts w:asciiTheme="minorHAnsi" w:hAnsiTheme="minorHAnsi" w:cstheme="minorHAnsi"/>
          <w:b w:val="0"/>
          <w:shd w:val="clear" w:color="auto" w:fill="FFFFFF"/>
        </w:rPr>
        <w:t xml:space="preserve"> on a 5-point Likert scale going from “Excellent” (=1) to “Poor” (5). The q</w:t>
      </w:r>
      <w:r w:rsidR="00424834" w:rsidRPr="001456B1">
        <w:rPr>
          <w:rFonts w:asciiTheme="minorHAnsi" w:hAnsiTheme="minorHAnsi" w:cstheme="minorHAnsi"/>
          <w:b w:val="0"/>
          <w:shd w:val="clear" w:color="auto" w:fill="FFFFFF"/>
        </w:rPr>
        <w:t>ues</w:t>
      </w:r>
      <w:r w:rsidR="00800F82" w:rsidRPr="001456B1">
        <w:rPr>
          <w:rFonts w:asciiTheme="minorHAnsi" w:hAnsiTheme="minorHAnsi" w:cstheme="minorHAnsi"/>
          <w:b w:val="0"/>
          <w:shd w:val="clear" w:color="auto" w:fill="FFFFFF"/>
        </w:rPr>
        <w:t>tion is from the short form-36</w:t>
      </w:r>
      <w:r w:rsidR="001456B1" w:rsidRPr="001456B1">
        <w:rPr>
          <w:rFonts w:asciiTheme="minorHAnsi" w:hAnsiTheme="minorHAnsi" w:cstheme="minorHAnsi"/>
          <w:b w:val="0"/>
          <w:shd w:val="clear" w:color="auto" w:fill="FFFFFF"/>
        </w:rPr>
        <w:t xml:space="preserve"> </w:t>
      </w:r>
      <w:r w:rsidR="001456B1" w:rsidRPr="001456B1">
        <w:rPr>
          <w:rFonts w:ascii="Calibri" w:hAnsi="Calibri"/>
          <w:b w:val="0"/>
        </w:rPr>
        <w:t>(SF-36; Ware &amp; Sherbourn, 1992)</w:t>
      </w:r>
      <w:r w:rsidR="009552E9" w:rsidRPr="001456B1">
        <w:rPr>
          <w:rFonts w:asciiTheme="minorHAnsi" w:hAnsiTheme="minorHAnsi" w:cstheme="minorHAnsi"/>
          <w:b w:val="0"/>
          <w:shd w:val="clear" w:color="auto" w:fill="FFFFFF"/>
        </w:rPr>
        <w:t>, which</w:t>
      </w:r>
      <w:r w:rsidR="00424834" w:rsidRPr="001456B1">
        <w:rPr>
          <w:rFonts w:asciiTheme="minorHAnsi" w:hAnsiTheme="minorHAnsi" w:cstheme="minorHAnsi"/>
          <w:b w:val="0"/>
          <w:shd w:val="clear" w:color="auto" w:fill="FFFFFF"/>
        </w:rPr>
        <w:t xml:space="preserve"> </w:t>
      </w:r>
      <w:r w:rsidR="00424834" w:rsidRPr="00800F82">
        <w:rPr>
          <w:rFonts w:asciiTheme="minorHAnsi" w:hAnsiTheme="minorHAnsi" w:cstheme="minorHAnsi"/>
          <w:b w:val="0"/>
          <w:shd w:val="clear" w:color="auto" w:fill="FFFFFF"/>
        </w:rPr>
        <w:t>is widely used to examine health in public health studies</w:t>
      </w:r>
      <w:r w:rsidR="009552E9" w:rsidRPr="00800F82">
        <w:rPr>
          <w:rFonts w:asciiTheme="minorHAnsi" w:hAnsiTheme="minorHAnsi" w:cstheme="minorHAnsi"/>
          <w:b w:val="0"/>
          <w:shd w:val="clear" w:color="auto" w:fill="FFFFFF"/>
        </w:rPr>
        <w:t xml:space="preserve">. </w:t>
      </w:r>
      <w:r w:rsidR="00424834" w:rsidRPr="00800F82">
        <w:rPr>
          <w:rFonts w:asciiTheme="minorHAnsi" w:hAnsiTheme="minorHAnsi" w:cstheme="minorHAnsi"/>
          <w:b w:val="0"/>
          <w:shd w:val="clear" w:color="auto" w:fill="FFFFFF"/>
        </w:rPr>
        <w:t>For the present analysis we dichotomized the answers into good (</w:t>
      </w:r>
      <w:r w:rsidR="00161733">
        <w:rPr>
          <w:rFonts w:asciiTheme="minorHAnsi" w:hAnsiTheme="minorHAnsi" w:cstheme="minorHAnsi"/>
          <w:b w:val="0"/>
          <w:shd w:val="clear" w:color="auto" w:fill="FFFFFF"/>
        </w:rPr>
        <w:t>including</w:t>
      </w:r>
      <w:r w:rsidR="00424834" w:rsidRPr="00800F82">
        <w:rPr>
          <w:rFonts w:asciiTheme="minorHAnsi" w:hAnsiTheme="minorHAnsi" w:cstheme="minorHAnsi"/>
          <w:b w:val="0"/>
          <w:shd w:val="clear" w:color="auto" w:fill="FFFFFF"/>
        </w:rPr>
        <w:t xml:space="preserve"> excellent, very good and good) and poor </w:t>
      </w:r>
      <w:r w:rsidR="009552E9" w:rsidRPr="00800F82">
        <w:rPr>
          <w:rFonts w:asciiTheme="minorHAnsi" w:hAnsiTheme="minorHAnsi" w:cstheme="minorHAnsi"/>
          <w:b w:val="0"/>
          <w:shd w:val="clear" w:color="auto" w:fill="FFFFFF"/>
        </w:rPr>
        <w:t>(</w:t>
      </w:r>
      <w:r w:rsidR="00161733">
        <w:rPr>
          <w:rFonts w:asciiTheme="minorHAnsi" w:hAnsiTheme="minorHAnsi" w:cstheme="minorHAnsi"/>
          <w:b w:val="0"/>
          <w:shd w:val="clear" w:color="auto" w:fill="FFFFFF"/>
        </w:rPr>
        <w:t>including</w:t>
      </w:r>
      <w:r w:rsidR="009552E9" w:rsidRPr="00800F82">
        <w:rPr>
          <w:rFonts w:asciiTheme="minorHAnsi" w:hAnsiTheme="minorHAnsi" w:cstheme="minorHAnsi"/>
          <w:b w:val="0"/>
          <w:shd w:val="clear" w:color="auto" w:fill="FFFFFF"/>
        </w:rPr>
        <w:t xml:space="preserve"> fair and poor) mental health. </w:t>
      </w:r>
    </w:p>
    <w:p w14:paraId="64174082" w14:textId="2053B914" w:rsidR="00424834" w:rsidRPr="007E114E" w:rsidRDefault="007E114E" w:rsidP="007E114E">
      <w:pPr>
        <w:pStyle w:val="Overskrift2"/>
        <w:rPr>
          <w:rFonts w:asciiTheme="minorHAnsi" w:hAnsiTheme="minorHAnsi" w:cstheme="minorHAnsi"/>
          <w:sz w:val="24"/>
          <w:szCs w:val="24"/>
        </w:rPr>
      </w:pPr>
      <w:r>
        <w:rPr>
          <w:rFonts w:asciiTheme="minorHAnsi" w:hAnsiTheme="minorHAnsi" w:cstheme="minorHAnsi"/>
          <w:sz w:val="24"/>
          <w:szCs w:val="24"/>
        </w:rPr>
        <w:t>Statistical analysis</w:t>
      </w:r>
    </w:p>
    <w:p w14:paraId="293CF65E" w14:textId="2BAE9E77" w:rsidR="0027459A" w:rsidRPr="00763B44" w:rsidRDefault="0027459A" w:rsidP="0027459A">
      <w:pPr>
        <w:spacing w:after="0" w:line="360" w:lineRule="auto"/>
        <w:rPr>
          <w:rFonts w:ascii="Calibri" w:eastAsia="Calibri" w:hAnsi="Calibri" w:cs="Calibri"/>
          <w:lang w:val="en-US"/>
        </w:rPr>
      </w:pPr>
      <w:r w:rsidRPr="00763B44">
        <w:rPr>
          <w:rFonts w:ascii="Calibri" w:eastAsia="Calibri" w:hAnsi="Calibri" w:cs="Calibri"/>
          <w:noProof/>
          <w:shd w:val="clear" w:color="auto" w:fill="FFFFFF"/>
          <w:lang w:val="en-US"/>
        </w:rPr>
        <w:t xml:space="preserve">In a univariate analysis we estimated 1) the  association between diagnostic status (PTSD, CPTSD or no trauma disorder) and the socio-demographic factors and trauma risk factors and 2) the association between diagnostic status and the clinical and psychological variables </w:t>
      </w:r>
      <w:r w:rsidR="003054FC">
        <w:rPr>
          <w:rFonts w:ascii="Calibri" w:eastAsia="Calibri" w:hAnsi="Calibri" w:cs="Calibri"/>
          <w:noProof/>
          <w:shd w:val="clear" w:color="auto" w:fill="FFFFFF"/>
          <w:lang w:val="en-US"/>
        </w:rPr>
        <w:t xml:space="preserve">which is </w:t>
      </w:r>
      <w:r w:rsidRPr="00763B44">
        <w:rPr>
          <w:rFonts w:ascii="Calibri" w:eastAsia="Calibri" w:hAnsi="Calibri" w:cs="Calibri"/>
          <w:noProof/>
          <w:shd w:val="clear" w:color="auto" w:fill="FFFFFF"/>
          <w:lang w:val="en-US"/>
        </w:rPr>
        <w:t>described in the methods section.</w:t>
      </w:r>
      <w:r>
        <w:rPr>
          <w:rFonts w:ascii="Calibri" w:eastAsia="Calibri" w:hAnsi="Calibri" w:cs="Calibri"/>
          <w:noProof/>
          <w:shd w:val="clear" w:color="auto" w:fill="FFFFFF"/>
          <w:lang w:val="en-US"/>
        </w:rPr>
        <w:t xml:space="preserve"> </w:t>
      </w:r>
      <w:r>
        <w:rPr>
          <w:rFonts w:cstheme="minorHAnsi"/>
          <w:noProof/>
          <w:shd w:val="clear" w:color="auto" w:fill="FFFFFF"/>
          <w:lang w:val="en-US"/>
        </w:rPr>
        <w:t xml:space="preserve">Participants were assigned to the three groups based on the diagnostic aligoritme of the ITQ. As the ICD-11 diagnostic rules only permits a diagnosis of PTSD or CPTSD, </w:t>
      </w:r>
      <w:r w:rsidR="003054FC">
        <w:rPr>
          <w:rFonts w:cstheme="minorHAnsi"/>
          <w:noProof/>
          <w:shd w:val="clear" w:color="auto" w:fill="FFFFFF"/>
          <w:lang w:val="en-US"/>
        </w:rPr>
        <w:t xml:space="preserve">but </w:t>
      </w:r>
      <w:r>
        <w:rPr>
          <w:rFonts w:cstheme="minorHAnsi"/>
          <w:noProof/>
          <w:shd w:val="clear" w:color="auto" w:fill="FFFFFF"/>
          <w:lang w:val="en-US"/>
        </w:rPr>
        <w:t xml:space="preserve">not both, no participant with PTSD was included in the CPTSD group and vice versa. </w:t>
      </w:r>
      <w:r w:rsidRPr="000D16DC">
        <w:rPr>
          <w:rFonts w:cstheme="minorHAnsi"/>
          <w:noProof/>
          <w:shd w:val="clear" w:color="auto" w:fill="FFFFFF"/>
          <w:lang w:val="en-US"/>
        </w:rPr>
        <w:t xml:space="preserve"> </w:t>
      </w:r>
      <w:r w:rsidRPr="00763B44">
        <w:rPr>
          <w:rFonts w:ascii="Calibri" w:eastAsia="Calibri" w:hAnsi="Calibri" w:cs="Calibri"/>
          <w:noProof/>
          <w:shd w:val="clear" w:color="auto" w:fill="FFFFFF"/>
          <w:lang w:val="en-US"/>
        </w:rPr>
        <w:t>We adjusted for multiple comparisons using the Holm-Bonferroni method (in total 20 comparisons). We used Chi-square tests for categorical variables, one-way ANOVAs for normally distributed variables, and Kruskal-Wallis tests for non-normally distributed variables.</w:t>
      </w:r>
      <w:r w:rsidRPr="00763B44">
        <w:rPr>
          <w:rFonts w:ascii="Calibri" w:eastAsia="Calibri" w:hAnsi="Calibri" w:cs="Calibri"/>
          <w:lang w:val="en-US"/>
        </w:rPr>
        <w:t xml:space="preserve"> For tests including clinical and psychological variables, a post hoc test was applied if the test was significant. The post hoc tests used were </w:t>
      </w:r>
      <w:r w:rsidRPr="00763B44">
        <w:rPr>
          <w:rFonts w:ascii="Calibri" w:eastAsia="Calibri" w:hAnsi="Calibri" w:cs="Calibri"/>
          <w:noProof/>
          <w:shd w:val="clear" w:color="auto" w:fill="FFFFFF"/>
          <w:lang w:val="en-US"/>
        </w:rPr>
        <w:t xml:space="preserve">Holm’s sequential Bonferroni procedure for categorical variables, </w:t>
      </w:r>
      <w:r w:rsidRPr="00763B44">
        <w:rPr>
          <w:rFonts w:ascii="Calibri" w:eastAsia="Calibri" w:hAnsi="Calibri" w:cs="Calibri"/>
          <w:noProof/>
          <w:shd w:val="clear" w:color="auto" w:fill="FFFFFF"/>
          <w:lang w:val="en-US"/>
        </w:rPr>
        <w:lastRenderedPageBreak/>
        <w:t>Scheffé post hoc tests for normally distributed variables and the Steel-Dwass-Critchlow-Fligner test for non-normally distributed variables.</w:t>
      </w:r>
      <w:r>
        <w:rPr>
          <w:rFonts w:ascii="Calibri" w:eastAsia="Calibri" w:hAnsi="Calibri" w:cs="Calibri"/>
          <w:lang w:val="en-US"/>
        </w:rPr>
        <w:t xml:space="preserve"> </w:t>
      </w:r>
      <w:r w:rsidRPr="00763B44">
        <w:rPr>
          <w:rFonts w:ascii="Calibri" w:eastAsia="Calibri" w:hAnsi="Calibri" w:cs="Calibri"/>
          <w:lang w:val="en-US"/>
        </w:rPr>
        <w:t>In a subsequent multivariate analysis two multinomial regression models with diagnostic status as the response variable were constructed, a crude model (model 1) including only normalized childhood, warfare/combat and adulthood trauma scores as explanatory variables (Z-score transformed for meaningful and comparable odds ratios (OR)) and a model where the relation between the response and normalized trauma score was adjusted by variables found to be significant in the univariate analysis (model 2). Results are presented as OR with 95% confidence intervals (CI). For both models, error assumptions were met and no multicollinearity was found. The analyses were performed using SAS version 9.4, SPSS version 22, and R version 4.2.1.</w:t>
      </w:r>
    </w:p>
    <w:p w14:paraId="2614C184" w14:textId="45BA6651" w:rsidR="001558BC" w:rsidRPr="00270BCA" w:rsidRDefault="00270BCA" w:rsidP="00270BCA">
      <w:pPr>
        <w:pStyle w:val="Overskrift2"/>
        <w:rPr>
          <w:rFonts w:asciiTheme="minorHAnsi" w:hAnsiTheme="minorHAnsi" w:cstheme="minorHAnsi"/>
          <w:sz w:val="24"/>
          <w:szCs w:val="24"/>
        </w:rPr>
      </w:pPr>
      <w:r>
        <w:rPr>
          <w:rFonts w:asciiTheme="minorHAnsi" w:hAnsiTheme="minorHAnsi" w:cstheme="minorHAnsi"/>
          <w:sz w:val="24"/>
          <w:szCs w:val="24"/>
        </w:rPr>
        <w:t>Results</w:t>
      </w:r>
    </w:p>
    <w:p w14:paraId="25673058" w14:textId="7A96F8D0" w:rsidR="009672A8" w:rsidRPr="00071C35" w:rsidRDefault="0027298E" w:rsidP="00071C35">
      <w:pPr>
        <w:spacing w:after="0" w:line="360" w:lineRule="auto"/>
        <w:rPr>
          <w:lang w:val="en-US"/>
        </w:rPr>
      </w:pPr>
      <w:r>
        <w:rPr>
          <w:rFonts w:cstheme="minorHAnsi"/>
          <w:noProof/>
          <w:shd w:val="clear" w:color="auto" w:fill="FFFFFF"/>
          <w:lang w:val="en-US"/>
        </w:rPr>
        <w:t>Table 1 shows</w:t>
      </w:r>
      <w:r w:rsidR="00656E99">
        <w:rPr>
          <w:rFonts w:cstheme="minorHAnsi"/>
          <w:noProof/>
          <w:shd w:val="clear" w:color="auto" w:fill="FFFFFF"/>
          <w:lang w:val="en-US"/>
        </w:rPr>
        <w:t xml:space="preserve"> that</w:t>
      </w:r>
      <w:r w:rsidR="00680FF4">
        <w:rPr>
          <w:rFonts w:cstheme="minorHAnsi"/>
          <w:noProof/>
          <w:shd w:val="clear" w:color="auto" w:fill="FFFFFF"/>
          <w:lang w:val="en-US"/>
        </w:rPr>
        <w:t xml:space="preserve"> </w:t>
      </w:r>
      <w:r w:rsidR="00995C46">
        <w:rPr>
          <w:rFonts w:cstheme="minorHAnsi"/>
          <w:noProof/>
          <w:shd w:val="clear" w:color="auto" w:fill="FFFFFF"/>
          <w:lang w:val="en-US"/>
        </w:rPr>
        <w:t>the sample was predominantly male</w:t>
      </w:r>
      <w:r w:rsidR="00424834" w:rsidRPr="000D16DC">
        <w:rPr>
          <w:rFonts w:cstheme="minorHAnsi"/>
          <w:noProof/>
          <w:shd w:val="clear" w:color="auto" w:fill="FFFFFF"/>
          <w:lang w:val="en-US"/>
        </w:rPr>
        <w:t xml:space="preserve"> (93.8%) with a mean age of </w:t>
      </w:r>
      <w:r w:rsidR="00680FF4">
        <w:rPr>
          <w:rFonts w:cstheme="minorHAnsi"/>
          <w:noProof/>
          <w:shd w:val="clear" w:color="auto" w:fill="FFFFFF"/>
          <w:lang w:val="en-US"/>
        </w:rPr>
        <w:t>39.9</w:t>
      </w:r>
      <w:r w:rsidR="00F07600">
        <w:rPr>
          <w:rFonts w:cstheme="minorHAnsi"/>
          <w:noProof/>
          <w:shd w:val="clear" w:color="auto" w:fill="FFFFFF"/>
          <w:lang w:val="en-US"/>
        </w:rPr>
        <w:t xml:space="preserve"> (SD=9.7)</w:t>
      </w:r>
      <w:r w:rsidR="00283975">
        <w:rPr>
          <w:rFonts w:cstheme="minorHAnsi"/>
          <w:noProof/>
          <w:shd w:val="clear" w:color="auto" w:fill="FFFFFF"/>
          <w:lang w:val="en-US"/>
        </w:rPr>
        <w:t>.</w:t>
      </w:r>
      <w:r w:rsidR="00680FF4">
        <w:rPr>
          <w:rFonts w:cstheme="minorHAnsi"/>
          <w:noProof/>
          <w:shd w:val="clear" w:color="auto" w:fill="FFFFFF"/>
          <w:lang w:val="en-US"/>
        </w:rPr>
        <w:t xml:space="preserve"> </w:t>
      </w:r>
      <w:r w:rsidR="00283975">
        <w:rPr>
          <w:rFonts w:cstheme="minorHAnsi"/>
          <w:noProof/>
          <w:shd w:val="clear" w:color="auto" w:fill="FFFFFF"/>
          <w:lang w:val="en-US"/>
        </w:rPr>
        <w:t>M</w:t>
      </w:r>
      <w:r w:rsidR="00680FF4">
        <w:rPr>
          <w:rFonts w:cstheme="minorHAnsi"/>
          <w:noProof/>
          <w:shd w:val="clear" w:color="auto" w:fill="FFFFFF"/>
          <w:lang w:val="en-US"/>
        </w:rPr>
        <w:t xml:space="preserve">ost </w:t>
      </w:r>
      <w:r w:rsidR="00283975">
        <w:rPr>
          <w:rFonts w:cstheme="minorHAnsi"/>
          <w:noProof/>
          <w:shd w:val="clear" w:color="auto" w:fill="FFFFFF"/>
          <w:lang w:val="en-US"/>
        </w:rPr>
        <w:t>participants were</w:t>
      </w:r>
      <w:r w:rsidR="00680FF4">
        <w:rPr>
          <w:rFonts w:cstheme="minorHAnsi"/>
          <w:noProof/>
          <w:shd w:val="clear" w:color="auto" w:fill="FFFFFF"/>
          <w:lang w:val="en-US"/>
        </w:rPr>
        <w:t xml:space="preserve"> </w:t>
      </w:r>
      <w:r w:rsidR="00424834" w:rsidRPr="006B2054">
        <w:rPr>
          <w:rFonts w:cstheme="minorHAnsi"/>
          <w:noProof/>
          <w:shd w:val="clear" w:color="auto" w:fill="FFFFFF"/>
          <w:lang w:val="en-US"/>
        </w:rPr>
        <w:t>married/cohabiting (75.</w:t>
      </w:r>
      <w:r w:rsidR="00903C87">
        <w:rPr>
          <w:rFonts w:cstheme="minorHAnsi"/>
          <w:noProof/>
          <w:shd w:val="clear" w:color="auto" w:fill="FFFFFF"/>
          <w:lang w:val="en-US"/>
        </w:rPr>
        <w:t>3</w:t>
      </w:r>
      <w:r w:rsidR="00424834" w:rsidRPr="006B2054">
        <w:rPr>
          <w:rFonts w:cstheme="minorHAnsi"/>
          <w:noProof/>
          <w:shd w:val="clear" w:color="auto" w:fill="FFFFFF"/>
          <w:lang w:val="en-US"/>
        </w:rPr>
        <w:t xml:space="preserve">%). </w:t>
      </w:r>
      <w:r w:rsidR="00995C46">
        <w:rPr>
          <w:rFonts w:cstheme="minorHAnsi"/>
          <w:noProof/>
          <w:shd w:val="clear" w:color="auto" w:fill="FFFFFF"/>
          <w:lang w:val="en-US"/>
        </w:rPr>
        <w:t xml:space="preserve">Based on the ITQ, </w:t>
      </w:r>
      <w:r>
        <w:rPr>
          <w:rFonts w:cstheme="minorHAnsi"/>
          <w:noProof/>
          <w:shd w:val="clear" w:color="auto" w:fill="FFFFFF"/>
          <w:lang w:val="en-US"/>
        </w:rPr>
        <w:t>31.</w:t>
      </w:r>
      <w:r w:rsidR="00903C87">
        <w:rPr>
          <w:rFonts w:cstheme="minorHAnsi"/>
          <w:noProof/>
          <w:shd w:val="clear" w:color="auto" w:fill="FFFFFF"/>
          <w:lang w:val="en-US"/>
        </w:rPr>
        <w:t>4</w:t>
      </w:r>
      <w:r>
        <w:rPr>
          <w:rFonts w:cstheme="minorHAnsi"/>
          <w:noProof/>
          <w:shd w:val="clear" w:color="auto" w:fill="FFFFFF"/>
          <w:lang w:val="en-US"/>
        </w:rPr>
        <w:t>% (</w:t>
      </w:r>
      <w:r w:rsidRPr="00D02761">
        <w:rPr>
          <w:rFonts w:cstheme="minorHAnsi"/>
          <w:i/>
          <w:noProof/>
          <w:shd w:val="clear" w:color="auto" w:fill="FFFFFF"/>
          <w:lang w:val="en-US"/>
        </w:rPr>
        <w:t>N</w:t>
      </w:r>
      <w:r>
        <w:rPr>
          <w:rFonts w:cstheme="minorHAnsi"/>
          <w:noProof/>
          <w:shd w:val="clear" w:color="auto" w:fill="FFFFFF"/>
          <w:lang w:val="en-US"/>
        </w:rPr>
        <w:t>=</w:t>
      </w:r>
      <w:r w:rsidR="00903C87">
        <w:rPr>
          <w:rFonts w:cstheme="minorHAnsi"/>
          <w:noProof/>
          <w:shd w:val="clear" w:color="auto" w:fill="FFFFFF"/>
          <w:lang w:val="en-US"/>
        </w:rPr>
        <w:t>188</w:t>
      </w:r>
      <w:r>
        <w:rPr>
          <w:rFonts w:cstheme="minorHAnsi"/>
          <w:noProof/>
          <w:shd w:val="clear" w:color="auto" w:fill="FFFFFF"/>
          <w:lang w:val="en-US"/>
        </w:rPr>
        <w:t>) and 13</w:t>
      </w:r>
      <w:r w:rsidR="00903C87">
        <w:rPr>
          <w:rFonts w:cstheme="minorHAnsi"/>
          <w:noProof/>
          <w:shd w:val="clear" w:color="auto" w:fill="FFFFFF"/>
          <w:lang w:val="en-US"/>
        </w:rPr>
        <w:t>.0</w:t>
      </w:r>
      <w:r>
        <w:rPr>
          <w:rFonts w:cstheme="minorHAnsi"/>
          <w:noProof/>
          <w:shd w:val="clear" w:color="auto" w:fill="FFFFFF"/>
          <w:lang w:val="en-US"/>
        </w:rPr>
        <w:t xml:space="preserve"> % (</w:t>
      </w:r>
      <w:r w:rsidRPr="00D02761">
        <w:rPr>
          <w:rFonts w:cstheme="minorHAnsi"/>
          <w:i/>
          <w:noProof/>
          <w:shd w:val="clear" w:color="auto" w:fill="FFFFFF"/>
          <w:lang w:val="en-US"/>
        </w:rPr>
        <w:t>N</w:t>
      </w:r>
      <w:r>
        <w:rPr>
          <w:rFonts w:cstheme="minorHAnsi"/>
          <w:noProof/>
          <w:shd w:val="clear" w:color="auto" w:fill="FFFFFF"/>
          <w:lang w:val="en-US"/>
        </w:rPr>
        <w:t>=78) met the</w:t>
      </w:r>
      <w:r w:rsidR="00680FF4">
        <w:rPr>
          <w:rFonts w:cstheme="minorHAnsi"/>
          <w:noProof/>
          <w:shd w:val="clear" w:color="auto" w:fill="FFFFFF"/>
          <w:lang w:val="en-US"/>
        </w:rPr>
        <w:t xml:space="preserve"> ICD-11 </w:t>
      </w:r>
      <w:r>
        <w:rPr>
          <w:rFonts w:cstheme="minorHAnsi"/>
          <w:noProof/>
          <w:shd w:val="clear" w:color="auto" w:fill="FFFFFF"/>
          <w:lang w:val="en-US"/>
        </w:rPr>
        <w:t>crite</w:t>
      </w:r>
      <w:r w:rsidR="00680FF4">
        <w:rPr>
          <w:rFonts w:cstheme="minorHAnsi"/>
          <w:noProof/>
          <w:shd w:val="clear" w:color="auto" w:fill="FFFFFF"/>
          <w:lang w:val="en-US"/>
        </w:rPr>
        <w:t>ria for probable CPTSD and PTSD</w:t>
      </w:r>
      <w:r w:rsidR="00F07600">
        <w:rPr>
          <w:rFonts w:cstheme="minorHAnsi"/>
          <w:noProof/>
          <w:shd w:val="clear" w:color="auto" w:fill="FFFFFF"/>
          <w:lang w:val="en-US"/>
        </w:rPr>
        <w:t>, respectively</w:t>
      </w:r>
      <w:r w:rsidR="00680FF4">
        <w:rPr>
          <w:rFonts w:cstheme="minorHAnsi"/>
          <w:noProof/>
          <w:shd w:val="clear" w:color="auto" w:fill="FFFFFF"/>
          <w:lang w:val="en-US"/>
        </w:rPr>
        <w:t>.</w:t>
      </w:r>
      <w:r w:rsidR="00071C35">
        <w:rPr>
          <w:lang w:val="en-US"/>
        </w:rPr>
        <w:t xml:space="preserve"> </w:t>
      </w:r>
      <w:r w:rsidR="00424834" w:rsidRPr="006B2054">
        <w:rPr>
          <w:rFonts w:cstheme="minorHAnsi"/>
          <w:noProof/>
          <w:shd w:val="clear" w:color="auto" w:fill="FFFFFF"/>
          <w:lang w:val="en-US"/>
        </w:rPr>
        <w:t>On average</w:t>
      </w:r>
      <w:r w:rsidR="00F07600">
        <w:rPr>
          <w:rFonts w:cstheme="minorHAnsi"/>
          <w:noProof/>
          <w:shd w:val="clear" w:color="auto" w:fill="FFFFFF"/>
          <w:lang w:val="en-US"/>
        </w:rPr>
        <w:t>,</w:t>
      </w:r>
      <w:r w:rsidR="00424834" w:rsidRPr="006B2054">
        <w:rPr>
          <w:rFonts w:cstheme="minorHAnsi"/>
          <w:noProof/>
          <w:shd w:val="clear" w:color="auto" w:fill="FFFFFF"/>
          <w:lang w:val="en-US"/>
        </w:rPr>
        <w:t xml:space="preserve"> participants</w:t>
      </w:r>
      <w:r w:rsidR="00E35BB0">
        <w:rPr>
          <w:rFonts w:cstheme="minorHAnsi"/>
          <w:noProof/>
          <w:shd w:val="clear" w:color="auto" w:fill="FFFFFF"/>
          <w:lang w:val="en-US"/>
        </w:rPr>
        <w:t xml:space="preserve"> had</w:t>
      </w:r>
      <w:r w:rsidR="00424834" w:rsidRPr="006B2054">
        <w:rPr>
          <w:rFonts w:cstheme="minorHAnsi"/>
          <w:noProof/>
          <w:shd w:val="clear" w:color="auto" w:fill="FFFFFF"/>
          <w:lang w:val="en-US"/>
        </w:rPr>
        <w:t xml:space="preserve"> experienced 5.9 (SD 3.1; median 5.0) unique lifetime traumatic events (range 1-16</w:t>
      </w:r>
      <w:r w:rsidR="00756BD4">
        <w:rPr>
          <w:rFonts w:cstheme="minorHAnsi"/>
          <w:noProof/>
          <w:shd w:val="clear" w:color="auto" w:fill="FFFFFF"/>
          <w:lang w:val="en-US"/>
        </w:rPr>
        <w:t xml:space="preserve">). </w:t>
      </w:r>
      <w:r w:rsidR="00E35BB0">
        <w:rPr>
          <w:rFonts w:cstheme="minorHAnsi"/>
          <w:noProof/>
          <w:shd w:val="clear" w:color="auto" w:fill="FFFFFF"/>
          <w:lang w:val="en-US"/>
        </w:rPr>
        <w:t xml:space="preserve">The most commonly </w:t>
      </w:r>
      <w:r w:rsidR="00AF20D8">
        <w:rPr>
          <w:rFonts w:cstheme="minorHAnsi"/>
          <w:noProof/>
          <w:shd w:val="clear" w:color="auto" w:fill="FFFFFF"/>
          <w:lang w:val="en-US"/>
        </w:rPr>
        <w:t xml:space="preserve">reported was </w:t>
      </w:r>
      <w:r w:rsidR="00424834" w:rsidRPr="006B2054">
        <w:rPr>
          <w:rFonts w:cstheme="minorHAnsi"/>
          <w:noProof/>
          <w:shd w:val="clear" w:color="auto" w:fill="FFFFFF"/>
          <w:lang w:val="en-US"/>
        </w:rPr>
        <w:t>‘</w:t>
      </w:r>
      <w:r w:rsidR="00756BD4">
        <w:rPr>
          <w:rFonts w:cstheme="minorHAnsi"/>
          <w:noProof/>
          <w:shd w:val="clear" w:color="auto" w:fill="FFFFFF"/>
          <w:lang w:val="en-US"/>
        </w:rPr>
        <w:t>w</w:t>
      </w:r>
      <w:r w:rsidR="00424834" w:rsidRPr="006B2054">
        <w:rPr>
          <w:rFonts w:cstheme="minorHAnsi"/>
          <w:noProof/>
          <w:shd w:val="clear" w:color="auto" w:fill="FFFFFF"/>
          <w:lang w:val="en-US"/>
        </w:rPr>
        <w:t>arfare or combat’ (</w:t>
      </w:r>
      <w:r w:rsidR="00424834" w:rsidRPr="00D02761">
        <w:rPr>
          <w:rFonts w:cstheme="minorHAnsi"/>
          <w:i/>
          <w:noProof/>
          <w:shd w:val="clear" w:color="auto" w:fill="FFFFFF"/>
          <w:lang w:val="en-US"/>
        </w:rPr>
        <w:t>N</w:t>
      </w:r>
      <w:r w:rsidR="00424834" w:rsidRPr="006B2054">
        <w:rPr>
          <w:rFonts w:cstheme="minorHAnsi"/>
          <w:noProof/>
          <w:shd w:val="clear" w:color="auto" w:fill="FFFFFF"/>
          <w:lang w:val="en-US"/>
        </w:rPr>
        <w:t xml:space="preserve">=479, </w:t>
      </w:r>
      <w:r w:rsidR="00903C87">
        <w:rPr>
          <w:rFonts w:cstheme="minorHAnsi"/>
          <w:noProof/>
          <w:shd w:val="clear" w:color="auto" w:fill="FFFFFF"/>
          <w:lang w:val="en-US"/>
        </w:rPr>
        <w:t>80.0</w:t>
      </w:r>
      <w:r w:rsidR="00424834" w:rsidRPr="006B2054">
        <w:rPr>
          <w:rFonts w:cstheme="minorHAnsi"/>
          <w:noProof/>
          <w:shd w:val="clear" w:color="auto" w:fill="FFFFFF"/>
          <w:lang w:val="en-US"/>
        </w:rPr>
        <w:t xml:space="preserve">%), which </w:t>
      </w:r>
      <w:r w:rsidR="00AD4B91">
        <w:rPr>
          <w:rFonts w:cstheme="minorHAnsi"/>
          <w:noProof/>
          <w:shd w:val="clear" w:color="auto" w:fill="FFFFFF"/>
          <w:lang w:val="en-US"/>
        </w:rPr>
        <w:t xml:space="preserve">was </w:t>
      </w:r>
      <w:r w:rsidR="00E35BB0">
        <w:rPr>
          <w:rFonts w:cstheme="minorHAnsi"/>
          <w:noProof/>
          <w:shd w:val="clear" w:color="auto" w:fill="FFFFFF"/>
          <w:lang w:val="en-US"/>
        </w:rPr>
        <w:t>also</w:t>
      </w:r>
      <w:r w:rsidR="00424834" w:rsidRPr="006B2054">
        <w:rPr>
          <w:rFonts w:cstheme="minorHAnsi"/>
          <w:noProof/>
          <w:shd w:val="clear" w:color="auto" w:fill="FFFFFF"/>
          <w:lang w:val="en-US"/>
        </w:rPr>
        <w:t xml:space="preserve"> </w:t>
      </w:r>
      <w:r w:rsidR="00E35BB0">
        <w:rPr>
          <w:rFonts w:cstheme="minorHAnsi"/>
          <w:noProof/>
          <w:shd w:val="clear" w:color="auto" w:fill="FFFFFF"/>
          <w:lang w:val="en-US"/>
        </w:rPr>
        <w:t xml:space="preserve">the </w:t>
      </w:r>
      <w:r w:rsidR="00424834" w:rsidRPr="006B2054">
        <w:rPr>
          <w:rFonts w:cstheme="minorHAnsi"/>
          <w:noProof/>
          <w:shd w:val="clear" w:color="auto" w:fill="FFFFFF"/>
          <w:lang w:val="en-US"/>
        </w:rPr>
        <w:t>most commonly reported</w:t>
      </w:r>
      <w:r w:rsidR="00E35BB0">
        <w:rPr>
          <w:rFonts w:cstheme="minorHAnsi"/>
          <w:noProof/>
          <w:shd w:val="clear" w:color="auto" w:fill="FFFFFF"/>
          <w:lang w:val="en-US"/>
        </w:rPr>
        <w:t xml:space="preserve"> </w:t>
      </w:r>
      <w:r w:rsidR="00424834" w:rsidRPr="006B2054">
        <w:rPr>
          <w:rFonts w:cstheme="minorHAnsi"/>
          <w:noProof/>
          <w:shd w:val="clear" w:color="auto" w:fill="FFFFFF"/>
          <w:lang w:val="en-US"/>
        </w:rPr>
        <w:t>‘most distressing traumatic event’ (</w:t>
      </w:r>
      <w:r w:rsidR="00424834" w:rsidRPr="00D02761">
        <w:rPr>
          <w:rFonts w:cstheme="minorHAnsi"/>
          <w:i/>
          <w:noProof/>
          <w:shd w:val="clear" w:color="auto" w:fill="FFFFFF"/>
          <w:lang w:val="en-US"/>
        </w:rPr>
        <w:t>N</w:t>
      </w:r>
      <w:r w:rsidR="00424834" w:rsidRPr="006B2054">
        <w:rPr>
          <w:rFonts w:cstheme="minorHAnsi"/>
          <w:noProof/>
          <w:shd w:val="clear" w:color="auto" w:fill="FFFFFF"/>
          <w:lang w:val="en-US"/>
        </w:rPr>
        <w:t>=340, 56.</w:t>
      </w:r>
      <w:r w:rsidR="00903C87">
        <w:rPr>
          <w:rFonts w:cstheme="minorHAnsi"/>
          <w:noProof/>
          <w:shd w:val="clear" w:color="auto" w:fill="FFFFFF"/>
          <w:lang w:val="en-US"/>
        </w:rPr>
        <w:t>9</w:t>
      </w:r>
      <w:r w:rsidR="00E43179">
        <w:rPr>
          <w:rFonts w:cstheme="minorHAnsi"/>
          <w:noProof/>
          <w:shd w:val="clear" w:color="auto" w:fill="FFFFFF"/>
          <w:lang w:val="en-US"/>
        </w:rPr>
        <w:t>%).</w:t>
      </w:r>
      <w:r w:rsidR="00071C35">
        <w:rPr>
          <w:rFonts w:cstheme="minorHAnsi"/>
          <w:noProof/>
          <w:shd w:val="clear" w:color="auto" w:fill="FFFFFF"/>
          <w:lang w:val="en-US"/>
        </w:rPr>
        <w:t xml:space="preserve"> T</w:t>
      </w:r>
      <w:r w:rsidR="00424834" w:rsidRPr="000706CF">
        <w:rPr>
          <w:rFonts w:cstheme="minorHAnsi"/>
          <w:noProof/>
          <w:shd w:val="clear" w:color="auto" w:fill="FFFFFF"/>
          <w:lang w:val="en-US"/>
        </w:rPr>
        <w:t xml:space="preserve">able 2 shows sample </w:t>
      </w:r>
      <w:r w:rsidR="00D76BCD">
        <w:rPr>
          <w:rFonts w:cstheme="minorHAnsi"/>
          <w:noProof/>
          <w:shd w:val="clear" w:color="auto" w:fill="FFFFFF"/>
          <w:lang w:val="en-US"/>
        </w:rPr>
        <w:t>characteristics</w:t>
      </w:r>
      <w:r w:rsidR="00D76BCD" w:rsidRPr="000706CF">
        <w:rPr>
          <w:rFonts w:cstheme="minorHAnsi"/>
          <w:noProof/>
          <w:shd w:val="clear" w:color="auto" w:fill="FFFFFF"/>
          <w:lang w:val="en-US"/>
        </w:rPr>
        <w:t xml:space="preserve"> </w:t>
      </w:r>
      <w:r w:rsidR="00424834" w:rsidRPr="000706CF">
        <w:rPr>
          <w:rFonts w:cstheme="minorHAnsi"/>
          <w:noProof/>
          <w:shd w:val="clear" w:color="auto" w:fill="FFFFFF"/>
          <w:lang w:val="en-US"/>
        </w:rPr>
        <w:t xml:space="preserve">by diagnostic status of CPTSD/PTSD. </w:t>
      </w:r>
      <w:r w:rsidR="00995C46">
        <w:rPr>
          <w:rFonts w:cstheme="minorHAnsi"/>
          <w:noProof/>
          <w:shd w:val="clear" w:color="auto" w:fill="FFFFFF"/>
          <w:lang w:val="en-US"/>
        </w:rPr>
        <w:t>G</w:t>
      </w:r>
      <w:r w:rsidR="00424834" w:rsidRPr="000706CF">
        <w:rPr>
          <w:rFonts w:cstheme="minorHAnsi"/>
          <w:noProof/>
          <w:shd w:val="clear" w:color="auto" w:fill="FFFFFF"/>
          <w:lang w:val="en-US"/>
        </w:rPr>
        <w:t>ender</w:t>
      </w:r>
      <w:r w:rsidR="00CD2057">
        <w:rPr>
          <w:rFonts w:cstheme="minorHAnsi"/>
          <w:noProof/>
          <w:shd w:val="clear" w:color="auto" w:fill="FFFFFF"/>
          <w:lang w:val="en-US"/>
        </w:rPr>
        <w:t xml:space="preserve">, </w:t>
      </w:r>
      <w:r w:rsidR="00283975">
        <w:rPr>
          <w:rFonts w:cstheme="minorHAnsi"/>
          <w:noProof/>
          <w:shd w:val="clear" w:color="auto" w:fill="FFFFFF"/>
          <w:lang w:val="en-US"/>
        </w:rPr>
        <w:t xml:space="preserve">number of </w:t>
      </w:r>
      <w:r w:rsidR="00CD2057">
        <w:rPr>
          <w:rFonts w:cstheme="minorHAnsi"/>
          <w:noProof/>
          <w:shd w:val="clear" w:color="auto" w:fill="FFFFFF"/>
          <w:lang w:val="en-US"/>
        </w:rPr>
        <w:t>children, adult life</w:t>
      </w:r>
      <w:r w:rsidR="00ED2FF0" w:rsidRPr="000706CF">
        <w:rPr>
          <w:rFonts w:cstheme="minorHAnsi"/>
          <w:noProof/>
          <w:shd w:val="clear" w:color="auto" w:fill="FFFFFF"/>
          <w:lang w:val="en-US"/>
        </w:rPr>
        <w:t xml:space="preserve"> and </w:t>
      </w:r>
      <w:r w:rsidR="00424834" w:rsidRPr="000706CF">
        <w:rPr>
          <w:rFonts w:cstheme="minorHAnsi"/>
          <w:noProof/>
          <w:shd w:val="clear" w:color="auto" w:fill="FFFFFF"/>
          <w:lang w:val="en-US"/>
        </w:rPr>
        <w:t>childhood trauma were not associated with diagnostic status</w:t>
      </w:r>
      <w:r w:rsidR="00196F82">
        <w:rPr>
          <w:rFonts w:cstheme="minorHAnsi"/>
          <w:noProof/>
          <w:shd w:val="clear" w:color="auto" w:fill="FFFFFF"/>
          <w:lang w:val="en-US"/>
        </w:rPr>
        <w:t xml:space="preserve">, but </w:t>
      </w:r>
      <w:r w:rsidR="00283975">
        <w:rPr>
          <w:rFonts w:cstheme="minorHAnsi"/>
          <w:noProof/>
          <w:shd w:val="clear" w:color="auto" w:fill="FFFFFF"/>
          <w:lang w:val="en-US"/>
        </w:rPr>
        <w:t xml:space="preserve">the </w:t>
      </w:r>
      <w:r w:rsidR="00196F82">
        <w:rPr>
          <w:rFonts w:cstheme="minorHAnsi"/>
          <w:noProof/>
          <w:shd w:val="clear" w:color="auto" w:fill="FFFFFF"/>
          <w:lang w:val="en-US"/>
        </w:rPr>
        <w:t>overall difference between the diagnostic groups were found for all other socio-demographic</w:t>
      </w:r>
      <w:r w:rsidR="00CD2057">
        <w:rPr>
          <w:rFonts w:cstheme="minorHAnsi"/>
          <w:noProof/>
          <w:shd w:val="clear" w:color="auto" w:fill="FFFFFF"/>
          <w:lang w:val="en-US"/>
        </w:rPr>
        <w:t xml:space="preserve"> factors as well as having been involved in warfare or combat</w:t>
      </w:r>
      <w:r w:rsidR="00196F82">
        <w:rPr>
          <w:rFonts w:cstheme="minorHAnsi"/>
          <w:noProof/>
          <w:shd w:val="clear" w:color="auto" w:fill="FFFFFF"/>
          <w:lang w:val="en-US"/>
        </w:rPr>
        <w:t>.</w:t>
      </w:r>
    </w:p>
    <w:p w14:paraId="1B2A80C5" w14:textId="61A65E05" w:rsidR="00A66F91" w:rsidRPr="002209D3" w:rsidRDefault="00424834" w:rsidP="002209D3">
      <w:pPr>
        <w:spacing w:after="0" w:line="360" w:lineRule="auto"/>
        <w:ind w:firstLine="1304"/>
        <w:rPr>
          <w:rFonts w:cstheme="minorHAnsi"/>
          <w:noProof/>
          <w:shd w:val="clear" w:color="auto" w:fill="FFFFFF"/>
          <w:lang w:val="en-US"/>
        </w:rPr>
      </w:pPr>
      <w:r w:rsidRPr="006B2054">
        <w:rPr>
          <w:rFonts w:cstheme="minorHAnsi"/>
          <w:noProof/>
          <w:shd w:val="clear" w:color="auto" w:fill="FFFFFF"/>
          <w:lang w:val="en-US"/>
        </w:rPr>
        <w:t xml:space="preserve">Table 3 </w:t>
      </w:r>
      <w:r w:rsidR="004D7067">
        <w:rPr>
          <w:rFonts w:cstheme="minorHAnsi"/>
          <w:noProof/>
          <w:shd w:val="clear" w:color="auto" w:fill="FFFFFF"/>
          <w:lang w:val="en-US"/>
        </w:rPr>
        <w:t>describes comparisons</w:t>
      </w:r>
      <w:r w:rsidRPr="006B2054">
        <w:rPr>
          <w:rFonts w:cstheme="minorHAnsi"/>
          <w:noProof/>
          <w:shd w:val="clear" w:color="auto" w:fill="FFFFFF"/>
          <w:lang w:val="en-US"/>
        </w:rPr>
        <w:t xml:space="preserve"> in psychological status</w:t>
      </w:r>
      <w:r w:rsidR="00BC3153">
        <w:rPr>
          <w:rFonts w:cstheme="minorHAnsi"/>
          <w:noProof/>
          <w:shd w:val="clear" w:color="auto" w:fill="FFFFFF"/>
          <w:lang w:val="en-US"/>
        </w:rPr>
        <w:t>,</w:t>
      </w:r>
      <w:r w:rsidRPr="006B2054">
        <w:rPr>
          <w:rFonts w:cstheme="minorHAnsi"/>
          <w:noProof/>
          <w:shd w:val="clear" w:color="auto" w:fill="FFFFFF"/>
          <w:lang w:val="en-US"/>
        </w:rPr>
        <w:t xml:space="preserve"> addictive behaviour </w:t>
      </w:r>
      <w:r w:rsidR="00BC3153">
        <w:rPr>
          <w:rFonts w:cstheme="minorHAnsi"/>
          <w:noProof/>
          <w:shd w:val="clear" w:color="auto" w:fill="FFFFFF"/>
          <w:lang w:val="en-US"/>
        </w:rPr>
        <w:t>and functional status acr</w:t>
      </w:r>
      <w:r w:rsidR="00007706">
        <w:rPr>
          <w:rFonts w:cstheme="minorHAnsi"/>
          <w:noProof/>
          <w:shd w:val="clear" w:color="auto" w:fill="FFFFFF"/>
          <w:lang w:val="en-US"/>
        </w:rPr>
        <w:t>o</w:t>
      </w:r>
      <w:r w:rsidR="00BC3153">
        <w:rPr>
          <w:rFonts w:cstheme="minorHAnsi"/>
          <w:noProof/>
          <w:shd w:val="clear" w:color="auto" w:fill="FFFFFF"/>
          <w:lang w:val="en-US"/>
        </w:rPr>
        <w:t>ss the three diagnostic groups</w:t>
      </w:r>
      <w:r w:rsidRPr="000D16DC">
        <w:rPr>
          <w:rFonts w:cstheme="minorHAnsi"/>
          <w:noProof/>
          <w:shd w:val="clear" w:color="auto" w:fill="FFFFFF"/>
          <w:lang w:val="en-US"/>
        </w:rPr>
        <w:t xml:space="preserve">. </w:t>
      </w:r>
      <w:r w:rsidR="00BC3153">
        <w:rPr>
          <w:rFonts w:cstheme="minorHAnsi"/>
          <w:noProof/>
          <w:shd w:val="clear" w:color="auto" w:fill="FFFFFF"/>
          <w:lang w:val="en-US"/>
        </w:rPr>
        <w:t>Statistically significant differences between those with CPTSD</w:t>
      </w:r>
      <w:r w:rsidR="00007706">
        <w:rPr>
          <w:rFonts w:cstheme="minorHAnsi"/>
          <w:noProof/>
          <w:shd w:val="clear" w:color="auto" w:fill="FFFFFF"/>
          <w:lang w:val="en-US"/>
        </w:rPr>
        <w:t>,</w:t>
      </w:r>
      <w:r w:rsidR="00BC3153">
        <w:rPr>
          <w:rFonts w:cstheme="minorHAnsi"/>
          <w:noProof/>
          <w:shd w:val="clear" w:color="auto" w:fill="FFFFFF"/>
          <w:lang w:val="en-US"/>
        </w:rPr>
        <w:t xml:space="preserve"> PTSD and no </w:t>
      </w:r>
      <w:r w:rsidR="001E5605">
        <w:rPr>
          <w:rFonts w:cstheme="minorHAnsi"/>
          <w:noProof/>
          <w:shd w:val="clear" w:color="auto" w:fill="FFFFFF"/>
          <w:lang w:val="en-US"/>
        </w:rPr>
        <w:t>trauma</w:t>
      </w:r>
      <w:r w:rsidR="00BC3153">
        <w:rPr>
          <w:rFonts w:cstheme="minorHAnsi"/>
          <w:noProof/>
          <w:shd w:val="clear" w:color="auto" w:fill="FFFFFF"/>
          <w:lang w:val="en-US"/>
        </w:rPr>
        <w:t xml:space="preserve"> disorder were found for all </w:t>
      </w:r>
      <w:r w:rsidR="004D7067">
        <w:rPr>
          <w:rFonts w:cstheme="minorHAnsi"/>
          <w:noProof/>
          <w:shd w:val="clear" w:color="auto" w:fill="FFFFFF"/>
          <w:lang w:val="en-US"/>
        </w:rPr>
        <w:t>variables</w:t>
      </w:r>
      <w:r w:rsidR="00BC3153">
        <w:rPr>
          <w:rFonts w:cstheme="minorHAnsi"/>
          <w:noProof/>
          <w:shd w:val="clear" w:color="auto" w:fill="FFFFFF"/>
          <w:lang w:val="en-US"/>
        </w:rPr>
        <w:t xml:space="preserve"> except </w:t>
      </w:r>
      <w:r w:rsidR="002209D3">
        <w:rPr>
          <w:rFonts w:cstheme="minorHAnsi"/>
          <w:noProof/>
          <w:shd w:val="clear" w:color="auto" w:fill="FFFFFF"/>
          <w:lang w:val="en-US"/>
        </w:rPr>
        <w:t>alcohol intake</w:t>
      </w:r>
      <w:r w:rsidRPr="000D16DC">
        <w:rPr>
          <w:rFonts w:cstheme="minorHAnsi"/>
          <w:noProof/>
          <w:shd w:val="clear" w:color="auto" w:fill="FFFFFF"/>
          <w:lang w:val="en-US"/>
        </w:rPr>
        <w:t xml:space="preserve"> </w:t>
      </w:r>
      <w:r w:rsidR="002209D3">
        <w:rPr>
          <w:rFonts w:cstheme="minorHAnsi"/>
          <w:noProof/>
          <w:shd w:val="clear" w:color="auto" w:fill="FFFFFF"/>
          <w:lang w:val="en-US"/>
        </w:rPr>
        <w:t xml:space="preserve">and </w:t>
      </w:r>
      <w:r w:rsidRPr="000D16DC">
        <w:rPr>
          <w:rFonts w:cstheme="minorHAnsi"/>
          <w:noProof/>
          <w:shd w:val="clear" w:color="auto" w:fill="FFFFFF"/>
          <w:lang w:val="en-US"/>
        </w:rPr>
        <w:t xml:space="preserve">use of </w:t>
      </w:r>
      <w:r w:rsidR="004D7067">
        <w:rPr>
          <w:rFonts w:cstheme="minorHAnsi"/>
          <w:noProof/>
          <w:shd w:val="clear" w:color="auto" w:fill="FFFFFF"/>
          <w:lang w:val="en-US"/>
        </w:rPr>
        <w:t>cannabis</w:t>
      </w:r>
      <w:r w:rsidRPr="000D16DC">
        <w:rPr>
          <w:rFonts w:cstheme="minorHAnsi"/>
          <w:noProof/>
          <w:shd w:val="clear" w:color="auto" w:fill="FFFFFF"/>
          <w:lang w:val="en-US"/>
        </w:rPr>
        <w:t>/other drugs</w:t>
      </w:r>
      <w:r w:rsidR="00BC3153">
        <w:rPr>
          <w:rFonts w:cstheme="minorHAnsi"/>
          <w:noProof/>
          <w:shd w:val="clear" w:color="auto" w:fill="FFFFFF"/>
          <w:lang w:val="en-US"/>
        </w:rPr>
        <w:t>. Post hoc tests showed that psycholocial and funtional status was significantly worse among participants with CPTSD</w:t>
      </w:r>
      <w:r w:rsidR="002209D3">
        <w:rPr>
          <w:rFonts w:cstheme="minorHAnsi"/>
          <w:noProof/>
          <w:shd w:val="clear" w:color="auto" w:fill="FFFFFF"/>
          <w:lang w:val="en-US"/>
        </w:rPr>
        <w:t xml:space="preserve"> compared to participants with PTSD or</w:t>
      </w:r>
      <w:r w:rsidR="00BC3153">
        <w:rPr>
          <w:rFonts w:cstheme="minorHAnsi"/>
          <w:noProof/>
          <w:shd w:val="clear" w:color="auto" w:fill="FFFFFF"/>
          <w:lang w:val="en-US"/>
        </w:rPr>
        <w:t xml:space="preserve"> no </w:t>
      </w:r>
      <w:r w:rsidR="001E5605">
        <w:rPr>
          <w:rFonts w:cstheme="minorHAnsi"/>
          <w:noProof/>
          <w:shd w:val="clear" w:color="auto" w:fill="FFFFFF"/>
          <w:lang w:val="en-US"/>
        </w:rPr>
        <w:t>trauma</w:t>
      </w:r>
      <w:r w:rsidR="00BC3153">
        <w:rPr>
          <w:rFonts w:cstheme="minorHAnsi"/>
          <w:noProof/>
          <w:shd w:val="clear" w:color="auto" w:fill="FFFFFF"/>
          <w:lang w:val="en-US"/>
        </w:rPr>
        <w:t xml:space="preserve"> disorder. The PTSD and no </w:t>
      </w:r>
      <w:r w:rsidR="001E5605">
        <w:rPr>
          <w:rFonts w:cstheme="minorHAnsi"/>
          <w:noProof/>
          <w:shd w:val="clear" w:color="auto" w:fill="FFFFFF"/>
          <w:lang w:val="en-US"/>
        </w:rPr>
        <w:t>trauma</w:t>
      </w:r>
      <w:r w:rsidR="00BC3153">
        <w:rPr>
          <w:rFonts w:cstheme="minorHAnsi"/>
          <w:noProof/>
          <w:shd w:val="clear" w:color="auto" w:fill="FFFFFF"/>
          <w:lang w:val="en-US"/>
        </w:rPr>
        <w:t xml:space="preserve"> d</w:t>
      </w:r>
      <w:r w:rsidR="002209D3">
        <w:rPr>
          <w:rFonts w:cstheme="minorHAnsi"/>
          <w:noProof/>
          <w:shd w:val="clear" w:color="auto" w:fill="FFFFFF"/>
          <w:lang w:val="en-US"/>
        </w:rPr>
        <w:t>isorder groups only differed with regard to</w:t>
      </w:r>
      <w:r w:rsidR="00BC3153">
        <w:rPr>
          <w:rFonts w:cstheme="minorHAnsi"/>
          <w:noProof/>
          <w:shd w:val="clear" w:color="auto" w:fill="FFFFFF"/>
          <w:lang w:val="en-US"/>
        </w:rPr>
        <w:t xml:space="preserve"> anxiety</w:t>
      </w:r>
      <w:r w:rsidR="004D7067">
        <w:rPr>
          <w:rFonts w:cstheme="minorHAnsi"/>
          <w:noProof/>
          <w:shd w:val="clear" w:color="auto" w:fill="FFFFFF"/>
          <w:lang w:val="en-US"/>
        </w:rPr>
        <w:t>,</w:t>
      </w:r>
      <w:r w:rsidR="00676958">
        <w:rPr>
          <w:rFonts w:cstheme="minorHAnsi"/>
          <w:noProof/>
          <w:shd w:val="clear" w:color="auto" w:fill="FFFFFF"/>
          <w:lang w:val="en-US"/>
        </w:rPr>
        <w:t xml:space="preserve"> </w:t>
      </w:r>
      <w:r w:rsidR="00BC3153">
        <w:rPr>
          <w:rFonts w:cstheme="minorHAnsi"/>
          <w:noProof/>
          <w:shd w:val="clear" w:color="auto" w:fill="FFFFFF"/>
          <w:lang w:val="en-US"/>
        </w:rPr>
        <w:t xml:space="preserve">stress </w:t>
      </w:r>
      <w:r w:rsidR="00676958">
        <w:rPr>
          <w:rFonts w:cstheme="minorHAnsi"/>
          <w:noProof/>
          <w:shd w:val="clear" w:color="auto" w:fill="FFFFFF"/>
          <w:lang w:val="en-US"/>
        </w:rPr>
        <w:t>score</w:t>
      </w:r>
      <w:r w:rsidR="00007706">
        <w:rPr>
          <w:rFonts w:cstheme="minorHAnsi"/>
          <w:noProof/>
          <w:shd w:val="clear" w:color="auto" w:fill="FFFFFF"/>
          <w:lang w:val="en-US"/>
        </w:rPr>
        <w:t>s</w:t>
      </w:r>
      <w:r w:rsidR="001927A6">
        <w:rPr>
          <w:rFonts w:cstheme="minorHAnsi"/>
          <w:noProof/>
          <w:shd w:val="clear" w:color="auto" w:fill="FFFFFF"/>
          <w:lang w:val="en-US"/>
        </w:rPr>
        <w:t xml:space="preserve"> and  </w:t>
      </w:r>
      <w:r w:rsidR="00007706">
        <w:rPr>
          <w:rFonts w:cstheme="minorHAnsi"/>
          <w:noProof/>
          <w:shd w:val="clear" w:color="auto" w:fill="FFFFFF"/>
          <w:lang w:val="en-US"/>
        </w:rPr>
        <w:t>quality of life</w:t>
      </w:r>
      <w:r w:rsidR="004D7067">
        <w:rPr>
          <w:rFonts w:cstheme="minorHAnsi"/>
          <w:noProof/>
          <w:shd w:val="clear" w:color="auto" w:fill="FFFFFF"/>
          <w:lang w:val="en-US"/>
        </w:rPr>
        <w:t>;</w:t>
      </w:r>
      <w:r w:rsidR="00BF6AE3">
        <w:rPr>
          <w:rFonts w:cstheme="minorHAnsi"/>
          <w:noProof/>
          <w:shd w:val="clear" w:color="auto" w:fill="FFFFFF"/>
          <w:lang w:val="en-US"/>
        </w:rPr>
        <w:t xml:space="preserve"> </w:t>
      </w:r>
      <w:r w:rsidR="00BC3153">
        <w:rPr>
          <w:rFonts w:cstheme="minorHAnsi"/>
          <w:noProof/>
          <w:shd w:val="clear" w:color="auto" w:fill="FFFFFF"/>
          <w:lang w:val="en-US"/>
        </w:rPr>
        <w:t>those with PTSD were worse off.</w:t>
      </w:r>
    </w:p>
    <w:p w14:paraId="3839A486" w14:textId="496636D0" w:rsidR="00D35903" w:rsidRPr="00D35903" w:rsidRDefault="001927A6" w:rsidP="00D35903">
      <w:pPr>
        <w:spacing w:after="0" w:line="360" w:lineRule="auto"/>
        <w:ind w:firstLine="1304"/>
        <w:rPr>
          <w:lang w:val="en-US"/>
        </w:rPr>
      </w:pPr>
      <w:r>
        <w:rPr>
          <w:rFonts w:cstheme="minorHAnsi"/>
          <w:noProof/>
          <w:shd w:val="clear" w:color="auto" w:fill="FFFFFF"/>
          <w:lang w:val="en-US"/>
        </w:rPr>
        <w:t xml:space="preserve">Only </w:t>
      </w:r>
      <w:r w:rsidR="004D7067">
        <w:rPr>
          <w:rFonts w:cstheme="minorHAnsi"/>
          <w:noProof/>
          <w:shd w:val="clear" w:color="auto" w:fill="FFFFFF"/>
          <w:lang w:val="en-US"/>
        </w:rPr>
        <w:t xml:space="preserve">statistically significant </w:t>
      </w:r>
      <w:r>
        <w:rPr>
          <w:rFonts w:cstheme="minorHAnsi"/>
          <w:noProof/>
          <w:shd w:val="clear" w:color="auto" w:fill="FFFFFF"/>
          <w:lang w:val="en-US"/>
        </w:rPr>
        <w:t xml:space="preserve">variables </w:t>
      </w:r>
      <w:r w:rsidR="004D7067">
        <w:rPr>
          <w:rFonts w:cstheme="minorHAnsi"/>
          <w:noProof/>
          <w:shd w:val="clear" w:color="auto" w:fill="FFFFFF"/>
          <w:lang w:val="en-US"/>
        </w:rPr>
        <w:t>from the univariate analysis</w:t>
      </w:r>
      <w:r w:rsidR="00424834" w:rsidRPr="000D16DC">
        <w:rPr>
          <w:rFonts w:cstheme="minorHAnsi"/>
          <w:noProof/>
          <w:shd w:val="clear" w:color="auto" w:fill="FFFFFF"/>
          <w:lang w:val="en-US"/>
        </w:rPr>
        <w:t xml:space="preserve"> we</w:t>
      </w:r>
      <w:r>
        <w:rPr>
          <w:rFonts w:cstheme="minorHAnsi"/>
          <w:noProof/>
          <w:shd w:val="clear" w:color="auto" w:fill="FFFFFF"/>
          <w:lang w:val="en-US"/>
        </w:rPr>
        <w:t xml:space="preserve">re included in </w:t>
      </w:r>
      <w:r w:rsidR="00C75697">
        <w:rPr>
          <w:rFonts w:cstheme="minorHAnsi"/>
          <w:noProof/>
          <w:shd w:val="clear" w:color="auto" w:fill="FFFFFF"/>
          <w:lang w:val="en-US"/>
        </w:rPr>
        <w:t>the multinomial regression analysis</w:t>
      </w:r>
      <w:r w:rsidR="0075394F">
        <w:rPr>
          <w:rFonts w:cstheme="minorHAnsi"/>
          <w:noProof/>
          <w:shd w:val="clear" w:color="auto" w:fill="FFFFFF"/>
          <w:lang w:val="en-US"/>
        </w:rPr>
        <w:t xml:space="preserve"> (with the exception of information on adult life and childhood trauma)</w:t>
      </w:r>
      <w:r>
        <w:rPr>
          <w:rFonts w:cstheme="minorHAnsi"/>
          <w:noProof/>
          <w:shd w:val="clear" w:color="auto" w:fill="FFFFFF"/>
          <w:lang w:val="en-US"/>
        </w:rPr>
        <w:t xml:space="preserve">. </w:t>
      </w:r>
      <w:r w:rsidR="00E049F1" w:rsidRPr="006F727A">
        <w:rPr>
          <w:rFonts w:eastAsia="Times New Roman" w:cstheme="minorHAnsi"/>
          <w:lang w:val="en-US" w:eastAsia="en-GB"/>
        </w:rPr>
        <w:t xml:space="preserve">Both models shown in Table 4 were statistically significant </w:t>
      </w:r>
      <w:r w:rsidR="0075394F" w:rsidRPr="00763B44">
        <w:rPr>
          <w:rFonts w:eastAsia="Times New Roman" w:cstheme="minorHAnsi"/>
          <w:lang w:val="en-US" w:eastAsia="en-GB"/>
        </w:rPr>
        <w:t>(Model 2: Likelihood ratio χ2(20) = 11</w:t>
      </w:r>
      <w:r w:rsidR="0075394F" w:rsidRPr="006770C3">
        <w:rPr>
          <w:rFonts w:eastAsia="Times New Roman" w:cstheme="minorHAnsi"/>
          <w:lang w:val="en-US" w:eastAsia="en-GB"/>
        </w:rPr>
        <w:t xml:space="preserve">0.479, p &lt;0.0001. Nagelkerke= 0.198 indicating 19.8% of variance in group membership was explained). </w:t>
      </w:r>
      <w:r w:rsidR="00E049F1" w:rsidRPr="006F727A">
        <w:rPr>
          <w:rFonts w:eastAsia="Times New Roman" w:cstheme="minorHAnsi"/>
          <w:lang w:val="en-US" w:eastAsia="en-GB"/>
        </w:rPr>
        <w:t xml:space="preserve"> The likelihood of PTSD was not related to </w:t>
      </w:r>
      <w:r w:rsidR="001E5605">
        <w:rPr>
          <w:rFonts w:eastAsia="Times New Roman" w:cstheme="minorHAnsi"/>
          <w:lang w:val="en-US" w:eastAsia="en-GB"/>
        </w:rPr>
        <w:t xml:space="preserve">number of </w:t>
      </w:r>
      <w:r w:rsidR="00E049F1" w:rsidRPr="006F727A">
        <w:rPr>
          <w:rFonts w:eastAsia="Times New Roman" w:cstheme="minorHAnsi"/>
          <w:lang w:val="en-US" w:eastAsia="en-GB"/>
        </w:rPr>
        <w:t>traum</w:t>
      </w:r>
      <w:r w:rsidR="00AC090E">
        <w:rPr>
          <w:rFonts w:eastAsia="Times New Roman" w:cstheme="minorHAnsi"/>
          <w:lang w:val="en-US" w:eastAsia="en-GB"/>
        </w:rPr>
        <w:t>at</w:t>
      </w:r>
      <w:r w:rsidR="00E73CE7">
        <w:rPr>
          <w:rFonts w:eastAsia="Times New Roman" w:cstheme="minorHAnsi"/>
          <w:lang w:val="en-US" w:eastAsia="en-GB"/>
        </w:rPr>
        <w:t xml:space="preserve">ic life events </w:t>
      </w:r>
      <w:r w:rsidR="00E049F1" w:rsidRPr="006F727A">
        <w:rPr>
          <w:rFonts w:eastAsia="Times New Roman" w:cstheme="minorHAnsi"/>
          <w:lang w:val="en-US" w:eastAsia="en-GB"/>
        </w:rPr>
        <w:t xml:space="preserve">neither in model 1 </w:t>
      </w:r>
      <w:r w:rsidR="00E049F1">
        <w:rPr>
          <w:rFonts w:eastAsia="Times New Roman" w:cstheme="minorHAnsi"/>
          <w:lang w:val="en-US" w:eastAsia="en-GB"/>
        </w:rPr>
        <w:t>n</w:t>
      </w:r>
      <w:r w:rsidR="00E049F1" w:rsidRPr="006F727A">
        <w:rPr>
          <w:rFonts w:eastAsia="Times New Roman" w:cstheme="minorHAnsi"/>
          <w:lang w:val="en-US" w:eastAsia="en-GB"/>
        </w:rPr>
        <w:t xml:space="preserve">or </w:t>
      </w:r>
      <w:r w:rsidR="00E049F1">
        <w:rPr>
          <w:rFonts w:eastAsia="Times New Roman" w:cstheme="minorHAnsi"/>
          <w:lang w:val="en-US" w:eastAsia="en-GB"/>
        </w:rPr>
        <w:t xml:space="preserve">in </w:t>
      </w:r>
      <w:r w:rsidR="00E049F1" w:rsidRPr="006F727A">
        <w:rPr>
          <w:rFonts w:eastAsia="Times New Roman" w:cstheme="minorHAnsi"/>
          <w:lang w:val="en-US" w:eastAsia="en-GB"/>
        </w:rPr>
        <w:t xml:space="preserve">model 2. </w:t>
      </w:r>
      <w:r w:rsidR="001E5605">
        <w:rPr>
          <w:rFonts w:eastAsia="Times New Roman" w:cstheme="minorHAnsi"/>
          <w:lang w:val="en-US" w:eastAsia="en-GB"/>
        </w:rPr>
        <w:t>Older</w:t>
      </w:r>
      <w:r w:rsidR="00E049F1" w:rsidRPr="006F727A">
        <w:rPr>
          <w:rFonts w:eastAsia="Times New Roman" w:cstheme="minorHAnsi"/>
          <w:lang w:val="en-US" w:eastAsia="en-GB"/>
        </w:rPr>
        <w:t xml:space="preserve"> age (OR: 1.0</w:t>
      </w:r>
      <w:r w:rsidR="00712297">
        <w:rPr>
          <w:rFonts w:eastAsia="Times New Roman" w:cstheme="minorHAnsi"/>
          <w:lang w:val="en-US" w:eastAsia="en-GB"/>
        </w:rPr>
        <w:t>7</w:t>
      </w:r>
      <w:r w:rsidR="00E049F1" w:rsidRPr="006F727A">
        <w:rPr>
          <w:rFonts w:eastAsia="Times New Roman" w:cstheme="minorHAnsi"/>
          <w:lang w:val="en-US" w:eastAsia="en-GB"/>
        </w:rPr>
        <w:t>, p&lt;0.001) and receiving sickness benefits (OR 3.</w:t>
      </w:r>
      <w:r w:rsidR="00712297">
        <w:rPr>
          <w:rFonts w:eastAsia="Times New Roman" w:cstheme="minorHAnsi"/>
          <w:lang w:val="en-US" w:eastAsia="en-GB"/>
        </w:rPr>
        <w:t>28</w:t>
      </w:r>
      <w:r w:rsidR="00E049F1" w:rsidRPr="006F727A">
        <w:rPr>
          <w:rFonts w:eastAsia="Times New Roman" w:cstheme="minorHAnsi"/>
          <w:lang w:val="en-US" w:eastAsia="en-GB"/>
        </w:rPr>
        <w:t xml:space="preserve">, p&lt;0.01) </w:t>
      </w:r>
      <w:r w:rsidR="001E5605">
        <w:rPr>
          <w:rFonts w:eastAsia="Times New Roman" w:cstheme="minorHAnsi"/>
          <w:lang w:val="en-US" w:eastAsia="en-GB"/>
        </w:rPr>
        <w:t xml:space="preserve">was associated with </w:t>
      </w:r>
      <w:r w:rsidR="00D32FE2">
        <w:rPr>
          <w:rFonts w:eastAsia="Times New Roman" w:cstheme="minorHAnsi"/>
          <w:lang w:val="en-US" w:eastAsia="en-GB"/>
        </w:rPr>
        <w:lastRenderedPageBreak/>
        <w:t>increased</w:t>
      </w:r>
      <w:r w:rsidR="00E049F1" w:rsidRPr="006F727A">
        <w:rPr>
          <w:rFonts w:eastAsia="Times New Roman" w:cstheme="minorHAnsi"/>
          <w:lang w:val="en-US" w:eastAsia="en-GB"/>
        </w:rPr>
        <w:t xml:space="preserve"> likelihood of PTSD. </w:t>
      </w:r>
      <w:r w:rsidR="00E73CE7">
        <w:rPr>
          <w:rFonts w:eastAsia="Times New Roman" w:cstheme="minorHAnsi"/>
          <w:lang w:val="en-US" w:eastAsia="en-GB"/>
        </w:rPr>
        <w:t>H</w:t>
      </w:r>
      <w:r w:rsidR="00E049F1" w:rsidRPr="006F727A">
        <w:rPr>
          <w:rFonts w:eastAsia="Times New Roman" w:cstheme="minorHAnsi"/>
          <w:lang w:val="en-US" w:eastAsia="en-GB"/>
        </w:rPr>
        <w:t xml:space="preserve">aving experienced warfare or combat traumas increased the likelihood of CPTSD </w:t>
      </w:r>
      <w:r w:rsidR="000A6FE6">
        <w:rPr>
          <w:rFonts w:eastAsia="Times New Roman" w:cstheme="minorHAnsi"/>
          <w:lang w:val="en-US" w:eastAsia="en-GB"/>
        </w:rPr>
        <w:t>(</w:t>
      </w:r>
      <w:r w:rsidR="00E049F1" w:rsidRPr="006F727A">
        <w:rPr>
          <w:rFonts w:eastAsia="Times New Roman" w:cstheme="minorHAnsi"/>
          <w:lang w:val="en-US" w:eastAsia="en-GB"/>
        </w:rPr>
        <w:t>model 2</w:t>
      </w:r>
      <w:r>
        <w:rPr>
          <w:rFonts w:eastAsia="Times New Roman" w:cstheme="minorHAnsi"/>
          <w:lang w:val="en-US" w:eastAsia="en-GB"/>
        </w:rPr>
        <w:t>,</w:t>
      </w:r>
      <w:r w:rsidR="00E049F1" w:rsidRPr="006F727A">
        <w:rPr>
          <w:rFonts w:eastAsia="Times New Roman" w:cstheme="minorHAnsi"/>
          <w:lang w:val="en-US" w:eastAsia="en-GB"/>
        </w:rPr>
        <w:t xml:space="preserve"> OR</w:t>
      </w:r>
      <w:r>
        <w:rPr>
          <w:rFonts w:eastAsia="Times New Roman" w:cstheme="minorHAnsi"/>
          <w:lang w:val="en-US" w:eastAsia="en-GB"/>
        </w:rPr>
        <w:t xml:space="preserve">: </w:t>
      </w:r>
      <w:r w:rsidR="00E049F1" w:rsidRPr="006F727A">
        <w:rPr>
          <w:rFonts w:eastAsia="Times New Roman" w:cstheme="minorHAnsi"/>
          <w:lang w:val="en-US" w:eastAsia="en-GB"/>
        </w:rPr>
        <w:t>1.</w:t>
      </w:r>
      <w:r w:rsidR="00FD1CF2">
        <w:rPr>
          <w:rFonts w:eastAsia="Times New Roman" w:cstheme="minorHAnsi"/>
          <w:lang w:val="en-US" w:eastAsia="en-GB"/>
        </w:rPr>
        <w:t>27</w:t>
      </w:r>
      <w:r w:rsidR="000A6FE6">
        <w:rPr>
          <w:rFonts w:eastAsia="Times New Roman" w:cstheme="minorHAnsi"/>
          <w:lang w:val="en-US" w:eastAsia="en-GB"/>
        </w:rPr>
        <w:t>,</w:t>
      </w:r>
      <w:r w:rsidR="00E049F1" w:rsidRPr="006F727A">
        <w:rPr>
          <w:rFonts w:eastAsia="Times New Roman" w:cstheme="minorHAnsi"/>
          <w:lang w:val="en-US" w:eastAsia="en-GB"/>
        </w:rPr>
        <w:t xml:space="preserve"> p&lt;0.05). Also </w:t>
      </w:r>
      <w:r w:rsidR="001E5605">
        <w:rPr>
          <w:rFonts w:eastAsia="Times New Roman" w:cstheme="minorHAnsi"/>
          <w:lang w:val="en-US" w:eastAsia="en-GB"/>
        </w:rPr>
        <w:t>older</w:t>
      </w:r>
      <w:r w:rsidR="00E049F1" w:rsidRPr="006F727A">
        <w:rPr>
          <w:rFonts w:eastAsia="Times New Roman" w:cstheme="minorHAnsi"/>
          <w:lang w:val="en-US" w:eastAsia="en-GB"/>
        </w:rPr>
        <w:t xml:space="preserve"> age (</w:t>
      </w:r>
      <w:r w:rsidR="00712297">
        <w:rPr>
          <w:rFonts w:eastAsia="Times New Roman" w:cstheme="minorHAnsi"/>
          <w:lang w:val="en-US" w:eastAsia="en-GB"/>
        </w:rPr>
        <w:t xml:space="preserve">OR: </w:t>
      </w:r>
      <w:r w:rsidR="00E049F1" w:rsidRPr="006F727A">
        <w:rPr>
          <w:rFonts w:eastAsia="Times New Roman" w:cstheme="minorHAnsi"/>
          <w:lang w:val="en-US" w:eastAsia="en-GB"/>
        </w:rPr>
        <w:t>1.03, p&lt;0.0</w:t>
      </w:r>
      <w:r w:rsidR="00712297">
        <w:rPr>
          <w:rFonts w:eastAsia="Times New Roman" w:cstheme="minorHAnsi"/>
          <w:lang w:val="en-US" w:eastAsia="en-GB"/>
        </w:rPr>
        <w:t>1</w:t>
      </w:r>
      <w:r w:rsidR="00E049F1" w:rsidRPr="006F727A">
        <w:rPr>
          <w:rFonts w:eastAsia="Times New Roman" w:cstheme="minorHAnsi"/>
          <w:lang w:val="en-US" w:eastAsia="en-GB"/>
        </w:rPr>
        <w:t>), being single (OR: 1.</w:t>
      </w:r>
      <w:r w:rsidR="00FD1CF2">
        <w:rPr>
          <w:rFonts w:eastAsia="Times New Roman" w:cstheme="minorHAnsi"/>
          <w:lang w:val="en-US" w:eastAsia="en-GB"/>
        </w:rPr>
        <w:t>8</w:t>
      </w:r>
      <w:r w:rsidR="00712297">
        <w:rPr>
          <w:rFonts w:eastAsia="Times New Roman" w:cstheme="minorHAnsi"/>
          <w:lang w:val="en-US" w:eastAsia="en-GB"/>
        </w:rPr>
        <w:t>0</w:t>
      </w:r>
      <w:r w:rsidR="002209D3">
        <w:rPr>
          <w:rFonts w:eastAsia="Times New Roman" w:cstheme="minorHAnsi"/>
          <w:lang w:val="en-US" w:eastAsia="en-GB"/>
        </w:rPr>
        <w:t xml:space="preserve">, p&lt;0.01), </w:t>
      </w:r>
      <w:r w:rsidR="00E049F1" w:rsidRPr="006F727A">
        <w:rPr>
          <w:rFonts w:eastAsia="Times New Roman" w:cstheme="minorHAnsi"/>
          <w:lang w:val="en-US" w:eastAsia="en-GB"/>
        </w:rPr>
        <w:t>receiving sickness benefits (OR 1.</w:t>
      </w:r>
      <w:r w:rsidR="00712297">
        <w:rPr>
          <w:rFonts w:eastAsia="Times New Roman" w:cstheme="minorHAnsi"/>
          <w:lang w:val="en-US" w:eastAsia="en-GB"/>
        </w:rPr>
        <w:t>7</w:t>
      </w:r>
      <w:r w:rsidR="00FD1CF2" w:rsidRPr="006F727A">
        <w:rPr>
          <w:rFonts w:eastAsia="Times New Roman" w:cstheme="minorHAnsi"/>
          <w:lang w:val="en-US" w:eastAsia="en-GB"/>
        </w:rPr>
        <w:t>8</w:t>
      </w:r>
      <w:r w:rsidR="00E049F1" w:rsidRPr="006F727A">
        <w:rPr>
          <w:rFonts w:eastAsia="Times New Roman" w:cstheme="minorHAnsi"/>
          <w:lang w:val="en-US" w:eastAsia="en-GB"/>
        </w:rPr>
        <w:t>, p&lt;0.05), and having experienced trauma 10 or more years ago (</w:t>
      </w:r>
      <w:r>
        <w:rPr>
          <w:rFonts w:eastAsia="Times New Roman" w:cstheme="minorHAnsi"/>
          <w:lang w:val="en-US" w:eastAsia="en-GB"/>
        </w:rPr>
        <w:t xml:space="preserve">OR </w:t>
      </w:r>
      <w:r w:rsidR="00E049F1" w:rsidRPr="006F727A">
        <w:rPr>
          <w:rFonts w:eastAsia="Times New Roman" w:cstheme="minorHAnsi"/>
          <w:lang w:val="en-US" w:eastAsia="en-GB"/>
        </w:rPr>
        <w:t>2.</w:t>
      </w:r>
      <w:r w:rsidR="00FD1CF2" w:rsidRPr="006F727A">
        <w:rPr>
          <w:rFonts w:eastAsia="Times New Roman" w:cstheme="minorHAnsi"/>
          <w:lang w:val="en-US" w:eastAsia="en-GB"/>
        </w:rPr>
        <w:t>9</w:t>
      </w:r>
      <w:r w:rsidR="00712297">
        <w:rPr>
          <w:rFonts w:eastAsia="Times New Roman" w:cstheme="minorHAnsi"/>
          <w:lang w:val="en-US" w:eastAsia="en-GB"/>
        </w:rPr>
        <w:t>5</w:t>
      </w:r>
      <w:r w:rsidR="00E049F1" w:rsidRPr="006F727A">
        <w:rPr>
          <w:rFonts w:eastAsia="Times New Roman" w:cstheme="minorHAnsi"/>
          <w:lang w:val="en-US" w:eastAsia="en-GB"/>
        </w:rPr>
        <w:t xml:space="preserve">, p&lt;0.01) significantly increased the likelihood of CPTSD </w:t>
      </w:r>
      <w:r w:rsidR="001E5605">
        <w:rPr>
          <w:rFonts w:eastAsia="Times New Roman" w:cstheme="minorHAnsi"/>
          <w:lang w:val="en-US" w:eastAsia="en-GB"/>
        </w:rPr>
        <w:t>compared to</w:t>
      </w:r>
      <w:r w:rsidR="00E049F1" w:rsidRPr="006F727A">
        <w:rPr>
          <w:rFonts w:eastAsia="Times New Roman" w:cstheme="minorHAnsi"/>
          <w:lang w:val="en-US" w:eastAsia="en-GB"/>
        </w:rPr>
        <w:t xml:space="preserve"> </w:t>
      </w:r>
      <w:r w:rsidR="001E5605">
        <w:rPr>
          <w:rFonts w:eastAsia="Times New Roman" w:cstheme="minorHAnsi"/>
          <w:lang w:val="en-US" w:eastAsia="en-GB"/>
        </w:rPr>
        <w:t>no trauma</w:t>
      </w:r>
      <w:r w:rsidR="00CF32A6">
        <w:rPr>
          <w:rFonts w:eastAsia="Times New Roman" w:cstheme="minorHAnsi"/>
          <w:lang w:val="en-US" w:eastAsia="en-GB"/>
        </w:rPr>
        <w:t xml:space="preserve"> </w:t>
      </w:r>
      <w:r w:rsidR="00E049F1" w:rsidRPr="006F727A">
        <w:rPr>
          <w:rFonts w:eastAsia="Times New Roman" w:cstheme="minorHAnsi"/>
          <w:lang w:val="en-US" w:eastAsia="en-GB"/>
        </w:rPr>
        <w:t>disorder.</w:t>
      </w:r>
    </w:p>
    <w:p w14:paraId="1669890A" w14:textId="570BCB3C" w:rsidR="00D35903" w:rsidRPr="007D4326" w:rsidRDefault="00D35903" w:rsidP="00D35903">
      <w:pPr>
        <w:pStyle w:val="Overskrift2"/>
        <w:rPr>
          <w:rFonts w:asciiTheme="minorHAnsi" w:hAnsiTheme="minorHAnsi" w:cstheme="minorHAnsi"/>
          <w:sz w:val="24"/>
          <w:szCs w:val="24"/>
        </w:rPr>
      </w:pPr>
      <w:r>
        <w:rPr>
          <w:rFonts w:asciiTheme="minorHAnsi" w:hAnsiTheme="minorHAnsi" w:cstheme="minorHAnsi"/>
          <w:sz w:val="24"/>
          <w:szCs w:val="24"/>
        </w:rPr>
        <w:t xml:space="preserve">Discussion </w:t>
      </w:r>
    </w:p>
    <w:p w14:paraId="66F6F818" w14:textId="51A46FAD" w:rsidR="0024273D" w:rsidRPr="006C1839" w:rsidRDefault="0024273D" w:rsidP="0024273D">
      <w:pPr>
        <w:spacing w:after="0" w:line="360" w:lineRule="auto"/>
        <w:rPr>
          <w:b/>
          <w:lang w:val="en-US"/>
        </w:rPr>
      </w:pPr>
      <w:r w:rsidRPr="006C1839">
        <w:rPr>
          <w:b/>
          <w:lang w:val="en-US"/>
        </w:rPr>
        <w:t>Main findings</w:t>
      </w:r>
    </w:p>
    <w:p w14:paraId="433A2A6D" w14:textId="44E627F9" w:rsidR="007117B3" w:rsidRDefault="006D1E03" w:rsidP="0024273D">
      <w:pPr>
        <w:spacing w:after="0" w:line="360" w:lineRule="auto"/>
        <w:rPr>
          <w:lang w:val="en-US"/>
        </w:rPr>
      </w:pPr>
      <w:r>
        <w:rPr>
          <w:lang w:val="en-US"/>
        </w:rPr>
        <w:t xml:space="preserve">In a large sample of previously deployed treatment-seeking Danish soldiers and veterans, our </w:t>
      </w:r>
      <w:r w:rsidR="0024273D" w:rsidRPr="00F70D29">
        <w:rPr>
          <w:lang w:val="en-US"/>
        </w:rPr>
        <w:t xml:space="preserve">results showed </w:t>
      </w:r>
      <w:r w:rsidR="00E93D7F">
        <w:rPr>
          <w:lang w:val="en-US"/>
        </w:rPr>
        <w:t xml:space="preserve">that 31.4% met criteria for probable CPTSD and 13.0% for PTSD. </w:t>
      </w:r>
      <w:r w:rsidR="0024273D" w:rsidRPr="000E2C83">
        <w:rPr>
          <w:lang w:val="en-US"/>
        </w:rPr>
        <w:t xml:space="preserve">CPTSD was independently associated with having experienced warfare or combat, </w:t>
      </w:r>
      <w:r w:rsidR="000A6FE6">
        <w:rPr>
          <w:lang w:val="en-US"/>
        </w:rPr>
        <w:t>longer duration</w:t>
      </w:r>
      <w:r w:rsidR="0024273D" w:rsidRPr="000E2C83">
        <w:rPr>
          <w:lang w:val="en-US"/>
        </w:rPr>
        <w:t xml:space="preserve"> since traumatic exposure, and being s</w:t>
      </w:r>
      <w:r w:rsidR="0024273D" w:rsidRPr="000E2C83">
        <w:rPr>
          <w:rFonts w:cstheme="minorHAnsi"/>
          <w:lang w:val="en-US"/>
        </w:rPr>
        <w:t>ingle. S</w:t>
      </w:r>
      <w:r w:rsidR="0024273D" w:rsidRPr="000E2C83">
        <w:rPr>
          <w:lang w:val="en-US"/>
        </w:rPr>
        <w:t>hared risk factor</w:t>
      </w:r>
      <w:r w:rsidR="0024273D">
        <w:rPr>
          <w:lang w:val="en-US"/>
        </w:rPr>
        <w:t>s</w:t>
      </w:r>
      <w:r w:rsidR="0024273D" w:rsidRPr="000E2C83">
        <w:rPr>
          <w:lang w:val="en-US"/>
        </w:rPr>
        <w:t xml:space="preserve"> associated with PTSD and CPTSD were </w:t>
      </w:r>
      <w:r w:rsidR="001E5605">
        <w:rPr>
          <w:lang w:val="en-US"/>
        </w:rPr>
        <w:t>older</w:t>
      </w:r>
      <w:r w:rsidR="0024273D" w:rsidRPr="000E2C83">
        <w:rPr>
          <w:lang w:val="en-US"/>
        </w:rPr>
        <w:t xml:space="preserve"> age and receiving sickness benefits</w:t>
      </w:r>
      <w:r w:rsidR="00AD32E0">
        <w:rPr>
          <w:lang w:val="en-US"/>
        </w:rPr>
        <w:t>;</w:t>
      </w:r>
      <w:r w:rsidR="0024273D" w:rsidRPr="000E2C83">
        <w:rPr>
          <w:lang w:val="en-US"/>
        </w:rPr>
        <w:t xml:space="preserve"> </w:t>
      </w:r>
      <w:r w:rsidR="00AD32E0">
        <w:rPr>
          <w:lang w:val="en-US"/>
        </w:rPr>
        <w:t xml:space="preserve">however, </w:t>
      </w:r>
      <w:r w:rsidR="0024273D" w:rsidRPr="000E2C83">
        <w:rPr>
          <w:lang w:val="en-US"/>
        </w:rPr>
        <w:t xml:space="preserve">both were more strongly associated with PTSD than CPTSD. </w:t>
      </w:r>
      <w:r w:rsidR="006C1839">
        <w:rPr>
          <w:lang w:val="en-US"/>
        </w:rPr>
        <w:t xml:space="preserve">When </w:t>
      </w:r>
      <w:r w:rsidR="006C1839" w:rsidRPr="00D80D39">
        <w:rPr>
          <w:lang w:val="en-US"/>
        </w:rPr>
        <w:t xml:space="preserve">comparing </w:t>
      </w:r>
      <w:r w:rsidR="006129A5">
        <w:rPr>
          <w:lang w:val="en-US"/>
        </w:rPr>
        <w:t xml:space="preserve">participants </w:t>
      </w:r>
      <w:r w:rsidR="006C1839" w:rsidRPr="00D80D39">
        <w:rPr>
          <w:lang w:val="en-US"/>
        </w:rPr>
        <w:t xml:space="preserve">with </w:t>
      </w:r>
      <w:r w:rsidR="006C1839">
        <w:rPr>
          <w:lang w:val="en-US"/>
        </w:rPr>
        <w:t xml:space="preserve">no </w:t>
      </w:r>
      <w:r w:rsidR="001E5605">
        <w:rPr>
          <w:lang w:val="en-US"/>
        </w:rPr>
        <w:t xml:space="preserve">trauma </w:t>
      </w:r>
      <w:r w:rsidR="006704B7">
        <w:rPr>
          <w:lang w:val="en-US"/>
        </w:rPr>
        <w:t>disorder</w:t>
      </w:r>
      <w:r w:rsidR="006C1839">
        <w:rPr>
          <w:lang w:val="en-US"/>
        </w:rPr>
        <w:t>, PTSD</w:t>
      </w:r>
      <w:r w:rsidR="005819B1">
        <w:rPr>
          <w:lang w:val="en-US"/>
        </w:rPr>
        <w:t xml:space="preserve"> and</w:t>
      </w:r>
      <w:r w:rsidR="006C1839" w:rsidRPr="00D80D39">
        <w:rPr>
          <w:lang w:val="en-US"/>
        </w:rPr>
        <w:t xml:space="preserve"> CPTSD, </w:t>
      </w:r>
      <w:r w:rsidR="006129A5">
        <w:rPr>
          <w:lang w:val="en-US"/>
        </w:rPr>
        <w:t xml:space="preserve">those </w:t>
      </w:r>
      <w:r w:rsidR="006C1839" w:rsidRPr="00D80D39">
        <w:rPr>
          <w:lang w:val="en-US"/>
        </w:rPr>
        <w:t>with</w:t>
      </w:r>
      <w:r w:rsidR="006C1839">
        <w:rPr>
          <w:lang w:val="en-US"/>
        </w:rPr>
        <w:t xml:space="preserve"> </w:t>
      </w:r>
      <w:r w:rsidR="006C1839" w:rsidRPr="00D80D39">
        <w:rPr>
          <w:lang w:val="en-US"/>
        </w:rPr>
        <w:t xml:space="preserve">CPTSD reported </w:t>
      </w:r>
      <w:r w:rsidR="007117B3">
        <w:rPr>
          <w:lang w:val="en-US"/>
        </w:rPr>
        <w:t xml:space="preserve">more functional impairment </w:t>
      </w:r>
      <w:r w:rsidR="006C1839">
        <w:rPr>
          <w:lang w:val="en-US"/>
        </w:rPr>
        <w:t>(</w:t>
      </w:r>
      <w:r w:rsidR="007117B3">
        <w:rPr>
          <w:lang w:val="en-US"/>
        </w:rPr>
        <w:t>poorer self-rated health, more use of psychotropic medic</w:t>
      </w:r>
      <w:r w:rsidR="006704B7">
        <w:rPr>
          <w:lang w:val="en-US"/>
        </w:rPr>
        <w:t xml:space="preserve">ation, </w:t>
      </w:r>
      <w:r w:rsidR="007117B3">
        <w:rPr>
          <w:lang w:val="en-US"/>
        </w:rPr>
        <w:t>and receiving sickness benefit more often</w:t>
      </w:r>
      <w:r w:rsidR="006C1839">
        <w:rPr>
          <w:lang w:val="en-US"/>
        </w:rPr>
        <w:t>), and more</w:t>
      </w:r>
      <w:r w:rsidR="00193D1A">
        <w:rPr>
          <w:lang w:val="en-US"/>
        </w:rPr>
        <w:t xml:space="preserve"> symptoms of</w:t>
      </w:r>
      <w:r w:rsidR="006C1839">
        <w:rPr>
          <w:lang w:val="en-US"/>
        </w:rPr>
        <w:t xml:space="preserve"> </w:t>
      </w:r>
      <w:r w:rsidR="00193D1A">
        <w:rPr>
          <w:lang w:val="en-US"/>
        </w:rPr>
        <w:t xml:space="preserve">depression and anxiety, </w:t>
      </w:r>
      <w:r w:rsidR="007117B3">
        <w:rPr>
          <w:lang w:val="en-US"/>
        </w:rPr>
        <w:t>and</w:t>
      </w:r>
      <w:r w:rsidR="00193D1A">
        <w:rPr>
          <w:lang w:val="en-US"/>
        </w:rPr>
        <w:t xml:space="preserve"> more</w:t>
      </w:r>
      <w:r w:rsidR="007117B3">
        <w:rPr>
          <w:lang w:val="en-US"/>
        </w:rPr>
        <w:t xml:space="preserve"> suicide attempts compared to veterans with PTSD or no </w:t>
      </w:r>
      <w:r w:rsidR="001E5605">
        <w:rPr>
          <w:lang w:val="en-US"/>
        </w:rPr>
        <w:t>trauma</w:t>
      </w:r>
      <w:r w:rsidR="007117B3">
        <w:rPr>
          <w:lang w:val="en-US"/>
        </w:rPr>
        <w:t xml:space="preserve"> disorder. </w:t>
      </w:r>
    </w:p>
    <w:p w14:paraId="3326A056" w14:textId="77777777" w:rsidR="00BA2F8F" w:rsidRPr="00AD0111" w:rsidRDefault="00BA2F8F" w:rsidP="00BA2F8F">
      <w:pPr>
        <w:spacing w:after="0" w:line="360" w:lineRule="auto"/>
        <w:rPr>
          <w:lang w:val="en-US"/>
        </w:rPr>
      </w:pPr>
    </w:p>
    <w:p w14:paraId="6BE1D729" w14:textId="02EB7B3D" w:rsidR="00BA2F8F" w:rsidRPr="006C1839" w:rsidRDefault="00BA2F8F" w:rsidP="00BA2F8F">
      <w:pPr>
        <w:spacing w:after="0" w:line="360" w:lineRule="auto"/>
        <w:rPr>
          <w:b/>
          <w:lang w:val="en-US"/>
        </w:rPr>
      </w:pPr>
      <w:r w:rsidRPr="006C1839">
        <w:rPr>
          <w:b/>
          <w:lang w:val="en-US"/>
        </w:rPr>
        <w:t xml:space="preserve">Comparison with other studies </w:t>
      </w:r>
    </w:p>
    <w:p w14:paraId="1CFC7320" w14:textId="74568265" w:rsidR="004A5DCC" w:rsidRDefault="00450D1A" w:rsidP="00827FF8">
      <w:pPr>
        <w:spacing w:after="0" w:line="360" w:lineRule="auto"/>
        <w:rPr>
          <w:rFonts w:cstheme="minorHAnsi"/>
          <w:lang w:val="en-GB"/>
        </w:rPr>
      </w:pPr>
      <w:r>
        <w:rPr>
          <w:rFonts w:cstheme="minorHAnsi"/>
          <w:lang w:val="en-GB"/>
        </w:rPr>
        <w:t xml:space="preserve">Our finding that </w:t>
      </w:r>
      <w:r w:rsidR="00BA2F8F">
        <w:rPr>
          <w:rFonts w:cstheme="minorHAnsi"/>
          <w:lang w:val="en-GB"/>
        </w:rPr>
        <w:t>CPTSD was a more common diagnosis than PTSD</w:t>
      </w:r>
      <w:r>
        <w:rPr>
          <w:rFonts w:cstheme="minorHAnsi"/>
          <w:lang w:val="en-GB"/>
        </w:rPr>
        <w:t xml:space="preserve"> </w:t>
      </w:r>
      <w:r w:rsidR="00BA2F8F">
        <w:rPr>
          <w:rFonts w:cstheme="minorHAnsi"/>
          <w:lang w:val="en-GB"/>
        </w:rPr>
        <w:t>is in line with findings from other treatment</w:t>
      </w:r>
      <w:r w:rsidR="00214FFB">
        <w:rPr>
          <w:rFonts w:cstheme="minorHAnsi"/>
          <w:lang w:val="en-GB"/>
        </w:rPr>
        <w:t>-</w:t>
      </w:r>
      <w:r w:rsidR="00BA2F8F">
        <w:rPr>
          <w:rFonts w:cstheme="minorHAnsi"/>
          <w:lang w:val="en-GB"/>
        </w:rPr>
        <w:t xml:space="preserve">seeking populations of civilians </w:t>
      </w:r>
      <w:r w:rsidR="00DE60D3" w:rsidRPr="00927D5F">
        <w:rPr>
          <w:rFonts w:ascii="Calibri" w:hAnsi="Calibri" w:cs="Calibri"/>
          <w:lang w:val="en-US"/>
        </w:rPr>
        <w:t>(Brewin et al., 2017)</w:t>
      </w:r>
      <w:r w:rsidR="00BA2F8F">
        <w:rPr>
          <w:rFonts w:cstheme="minorHAnsi"/>
          <w:lang w:val="en-GB"/>
        </w:rPr>
        <w:t xml:space="preserve"> and veterans</w:t>
      </w:r>
      <w:r w:rsidR="006963C2">
        <w:rPr>
          <w:rFonts w:cstheme="minorHAnsi"/>
          <w:lang w:val="en-GB"/>
        </w:rPr>
        <w:t xml:space="preserve"> </w:t>
      </w:r>
      <w:r w:rsidR="00DE60D3" w:rsidRPr="00927D5F">
        <w:rPr>
          <w:rFonts w:ascii="Calibri" w:hAnsi="Calibri" w:cs="Calibri"/>
          <w:lang w:val="en-US"/>
        </w:rPr>
        <w:t>(Letica-Crepulja et al., 2020; Murphy et al., 2021)</w:t>
      </w:r>
      <w:r w:rsidR="006963C2">
        <w:rPr>
          <w:rFonts w:cstheme="minorHAnsi"/>
          <w:lang w:val="en-GB"/>
        </w:rPr>
        <w:t xml:space="preserve">. </w:t>
      </w:r>
      <w:r w:rsidR="00BA2F8F">
        <w:rPr>
          <w:rFonts w:cstheme="minorHAnsi"/>
          <w:lang w:val="en-GB"/>
        </w:rPr>
        <w:t>While PTSD is often a more common diagnosis than CPTSD in nat</w:t>
      </w:r>
      <w:r w:rsidR="00CD6C2C">
        <w:rPr>
          <w:rFonts w:cstheme="minorHAnsi"/>
          <w:lang w:val="en-GB"/>
        </w:rPr>
        <w:t>ionally representative samples</w:t>
      </w:r>
      <w:r w:rsidR="00BA2F8F">
        <w:rPr>
          <w:rFonts w:cstheme="minorHAnsi"/>
          <w:lang w:val="en-GB"/>
        </w:rPr>
        <w:t>, CPTSD is often more commonly reported in clinical s</w:t>
      </w:r>
      <w:r w:rsidR="001A7371">
        <w:rPr>
          <w:rFonts w:cstheme="minorHAnsi"/>
          <w:lang w:val="en-GB"/>
        </w:rPr>
        <w:t>amples</w:t>
      </w:r>
      <w:r w:rsidR="00D27A83">
        <w:rPr>
          <w:rFonts w:cstheme="minorHAnsi"/>
          <w:lang w:val="en-GB"/>
        </w:rPr>
        <w:t xml:space="preserve"> </w:t>
      </w:r>
      <w:r w:rsidR="00DE60D3" w:rsidRPr="008C2BCD">
        <w:rPr>
          <w:rFonts w:ascii="Calibri" w:hAnsi="Calibri" w:cs="Calibri"/>
          <w:lang w:val="en-US"/>
        </w:rPr>
        <w:t>(Brewin et al., 2017)</w:t>
      </w:r>
      <w:r w:rsidR="00BA2F8F">
        <w:rPr>
          <w:rFonts w:cstheme="minorHAnsi"/>
          <w:lang w:val="en-GB"/>
        </w:rPr>
        <w:t>.</w:t>
      </w:r>
    </w:p>
    <w:p w14:paraId="3A740048" w14:textId="1B303628" w:rsidR="00CD5926" w:rsidRPr="0034128E" w:rsidRDefault="004A5DCC" w:rsidP="0034128E">
      <w:pPr>
        <w:spacing w:after="0" w:line="360" w:lineRule="auto"/>
        <w:ind w:firstLine="1304"/>
        <w:rPr>
          <w:lang w:val="en-US"/>
        </w:rPr>
      </w:pPr>
      <w:r>
        <w:rPr>
          <w:rFonts w:cstheme="minorHAnsi"/>
          <w:lang w:val="en-GB"/>
        </w:rPr>
        <w:t xml:space="preserve">The present study found exposure to warfare or combat to be an independent risk factor for CPTSD. </w:t>
      </w:r>
      <w:r w:rsidR="00C071B1">
        <w:rPr>
          <w:rFonts w:cstheme="minorHAnsi"/>
          <w:lang w:val="en-GB"/>
        </w:rPr>
        <w:t xml:space="preserve">Military deployment to armed conflicts involves constant threat-to life, and elevated </w:t>
      </w:r>
      <w:r w:rsidR="001F6F3C">
        <w:rPr>
          <w:rFonts w:cstheme="minorHAnsi"/>
          <w:lang w:val="en-GB"/>
        </w:rPr>
        <w:t xml:space="preserve">prevalence </w:t>
      </w:r>
      <w:r w:rsidR="00C071B1">
        <w:rPr>
          <w:rFonts w:cstheme="minorHAnsi"/>
          <w:lang w:val="en-GB"/>
        </w:rPr>
        <w:t>rates of CPTSD have been reported in veteran cohorts after service</w:t>
      </w:r>
      <w:r w:rsidR="001F6F3C">
        <w:rPr>
          <w:rFonts w:cstheme="minorHAnsi"/>
          <w:lang w:val="en-GB"/>
        </w:rPr>
        <w:t xml:space="preserve"> </w:t>
      </w:r>
      <w:r w:rsidR="00DE60D3" w:rsidRPr="00927D5F">
        <w:rPr>
          <w:rFonts w:ascii="Calibri" w:hAnsi="Calibri" w:cs="Calibri"/>
          <w:lang w:val="en-US"/>
        </w:rPr>
        <w:t>(Zerach et al., 2019)</w:t>
      </w:r>
      <w:r w:rsidR="001F6F3C">
        <w:rPr>
          <w:rFonts w:cstheme="minorHAnsi"/>
          <w:lang w:val="en-GB"/>
        </w:rPr>
        <w:t xml:space="preserve">. While previous </w:t>
      </w:r>
      <w:r w:rsidR="0019195C" w:rsidRPr="008B6BE7">
        <w:rPr>
          <w:rFonts w:cstheme="minorHAnsi"/>
          <w:lang w:val="en-US"/>
        </w:rPr>
        <w:t>research has found childhood interpersonal trauma to be a risk factor for CPTSD</w:t>
      </w:r>
      <w:r w:rsidR="0034128E">
        <w:rPr>
          <w:rFonts w:cstheme="minorHAnsi"/>
          <w:lang w:val="en-US"/>
        </w:rPr>
        <w:t xml:space="preserve"> </w:t>
      </w:r>
      <w:r w:rsidR="00C76CB7" w:rsidRPr="00F20930">
        <w:rPr>
          <w:rFonts w:ascii="Calibri" w:hAnsi="Calibri" w:cs="Calibri"/>
          <w:lang w:val="en-US"/>
        </w:rPr>
        <w:t>(Cloitre et al., 2013; Hyland et al., 2017a; Karatzias et al., 2017; Karatzias, Hyland, et al., 2019)</w:t>
      </w:r>
      <w:r w:rsidR="0034128E" w:rsidRPr="00F20930">
        <w:rPr>
          <w:rFonts w:cstheme="minorHAnsi"/>
          <w:lang w:val="en-US"/>
        </w:rPr>
        <w:t xml:space="preserve">, </w:t>
      </w:r>
      <w:r w:rsidR="0019195C" w:rsidRPr="00F20930">
        <w:rPr>
          <w:rFonts w:cstheme="minorHAnsi"/>
          <w:lang w:val="en-US"/>
        </w:rPr>
        <w:t>also in military samples</w:t>
      </w:r>
      <w:r w:rsidR="0034128E" w:rsidRPr="00F20930">
        <w:rPr>
          <w:rFonts w:cstheme="minorHAnsi"/>
          <w:lang w:val="en-US"/>
        </w:rPr>
        <w:t xml:space="preserve"> </w:t>
      </w:r>
      <w:r w:rsidR="00DE60D3" w:rsidRPr="00927D5F">
        <w:rPr>
          <w:rFonts w:ascii="Calibri" w:hAnsi="Calibri" w:cs="Calibri"/>
          <w:lang w:val="en-US"/>
        </w:rPr>
        <w:t>(Folke et al., 2019; Murphy et al., 2020)</w:t>
      </w:r>
      <w:r w:rsidR="001F6F3C">
        <w:rPr>
          <w:rFonts w:cstheme="minorHAnsi"/>
          <w:lang w:val="en-US"/>
        </w:rPr>
        <w:t>, t</w:t>
      </w:r>
      <w:r w:rsidR="00E84176">
        <w:rPr>
          <w:rFonts w:cstheme="minorHAnsi"/>
          <w:lang w:val="en-GB"/>
        </w:rPr>
        <w:t xml:space="preserve">his was not found in the present study. The TLEQ </w:t>
      </w:r>
      <w:r w:rsidR="00184FF7">
        <w:rPr>
          <w:rFonts w:cstheme="minorHAnsi"/>
          <w:lang w:val="en-GB"/>
        </w:rPr>
        <w:t>provides</w:t>
      </w:r>
      <w:r w:rsidR="00E84176">
        <w:rPr>
          <w:rFonts w:cstheme="minorHAnsi"/>
          <w:lang w:val="en-GB"/>
        </w:rPr>
        <w:t xml:space="preserve"> information on witnessing violence in the family, physical punishment, and sexual abuse, but not emotional abuse and emotional neglect during childhood, </w:t>
      </w:r>
      <w:r w:rsidR="00184FF7">
        <w:rPr>
          <w:rFonts w:cstheme="minorHAnsi"/>
          <w:lang w:val="en-GB"/>
        </w:rPr>
        <w:t>which</w:t>
      </w:r>
      <w:r w:rsidR="00E84176">
        <w:rPr>
          <w:rFonts w:cstheme="minorHAnsi"/>
          <w:lang w:val="en-GB"/>
        </w:rPr>
        <w:t xml:space="preserve"> have previously </w:t>
      </w:r>
      <w:r w:rsidR="00184FF7">
        <w:rPr>
          <w:rFonts w:cstheme="minorHAnsi"/>
          <w:lang w:val="en-GB"/>
        </w:rPr>
        <w:t xml:space="preserve">been </w:t>
      </w:r>
      <w:r w:rsidR="00E84176">
        <w:rPr>
          <w:rFonts w:cstheme="minorHAnsi"/>
          <w:lang w:val="en-GB"/>
        </w:rPr>
        <w:t xml:space="preserve">shown </w:t>
      </w:r>
      <w:r w:rsidR="00283975">
        <w:rPr>
          <w:rFonts w:cstheme="minorHAnsi"/>
          <w:lang w:val="en-GB"/>
        </w:rPr>
        <w:t xml:space="preserve">to have </w:t>
      </w:r>
      <w:r w:rsidR="00E84176">
        <w:rPr>
          <w:rFonts w:cstheme="minorHAnsi"/>
          <w:lang w:val="en-GB"/>
        </w:rPr>
        <w:t>high predictive power</w:t>
      </w:r>
      <w:r w:rsidR="00895823">
        <w:rPr>
          <w:rFonts w:cstheme="minorHAnsi"/>
          <w:lang w:val="en-GB"/>
        </w:rPr>
        <w:t xml:space="preserve"> </w:t>
      </w:r>
      <w:r w:rsidR="00283975">
        <w:rPr>
          <w:rFonts w:cstheme="minorHAnsi"/>
          <w:lang w:val="en-GB"/>
        </w:rPr>
        <w:t>for</w:t>
      </w:r>
      <w:r w:rsidR="00895823">
        <w:rPr>
          <w:rFonts w:cstheme="minorHAnsi"/>
          <w:lang w:val="en-GB"/>
        </w:rPr>
        <w:t xml:space="preserve"> CPTSD</w:t>
      </w:r>
      <w:r w:rsidR="00E84176">
        <w:rPr>
          <w:rFonts w:cstheme="minorHAnsi"/>
          <w:lang w:val="en-GB"/>
        </w:rPr>
        <w:t xml:space="preserve"> </w:t>
      </w:r>
      <w:r w:rsidR="00DE60D3" w:rsidRPr="00FD2287">
        <w:rPr>
          <w:rFonts w:ascii="Calibri" w:hAnsi="Calibri" w:cs="Calibri"/>
          <w:lang w:val="en-US"/>
        </w:rPr>
        <w:t>(Karatzias et al., 2017; Knefel et al., 2015)</w:t>
      </w:r>
      <w:r w:rsidR="0034128E">
        <w:rPr>
          <w:rFonts w:cstheme="minorHAnsi"/>
          <w:lang w:val="en-GB"/>
        </w:rPr>
        <w:t xml:space="preserve">. </w:t>
      </w:r>
      <w:r w:rsidR="00895823">
        <w:rPr>
          <w:rFonts w:cstheme="minorHAnsi"/>
          <w:lang w:val="en-GB"/>
        </w:rPr>
        <w:t>This</w:t>
      </w:r>
      <w:r w:rsidR="009A7E56">
        <w:rPr>
          <w:rFonts w:cstheme="minorHAnsi"/>
          <w:lang w:val="en-GB"/>
        </w:rPr>
        <w:t xml:space="preserve"> could partially explain</w:t>
      </w:r>
      <w:r w:rsidR="00DB1ED1">
        <w:rPr>
          <w:rFonts w:cstheme="minorHAnsi"/>
          <w:lang w:val="en-GB"/>
        </w:rPr>
        <w:t xml:space="preserve"> the lack of association between childhood adversities and CPTSD in our study</w:t>
      </w:r>
      <w:r w:rsidR="00895823">
        <w:rPr>
          <w:rFonts w:cstheme="minorHAnsi"/>
          <w:lang w:val="en-GB"/>
        </w:rPr>
        <w:t>.</w:t>
      </w:r>
    </w:p>
    <w:p w14:paraId="7005ECE6" w14:textId="02D0257E" w:rsidR="009B66C5" w:rsidRPr="005D6531" w:rsidRDefault="001D0D43" w:rsidP="005D6531">
      <w:pPr>
        <w:spacing w:after="0" w:line="360" w:lineRule="auto"/>
        <w:ind w:firstLine="1304"/>
        <w:rPr>
          <w:rFonts w:cstheme="minorHAnsi"/>
          <w:lang w:val="en-GB"/>
        </w:rPr>
      </w:pPr>
      <w:r>
        <w:rPr>
          <w:rFonts w:cstheme="minorHAnsi"/>
          <w:lang w:val="en-GB"/>
        </w:rPr>
        <w:lastRenderedPageBreak/>
        <w:t>In line with other studies,</w:t>
      </w:r>
      <w:r w:rsidR="00B373A1">
        <w:rPr>
          <w:rFonts w:cstheme="minorHAnsi"/>
          <w:lang w:val="en-GB"/>
        </w:rPr>
        <w:t xml:space="preserve"> the present study found</w:t>
      </w:r>
      <w:r w:rsidR="0024273D">
        <w:rPr>
          <w:rFonts w:cstheme="minorHAnsi"/>
          <w:lang w:val="en-GB"/>
        </w:rPr>
        <w:t xml:space="preserve"> </w:t>
      </w:r>
      <w:r w:rsidR="00311405">
        <w:rPr>
          <w:rFonts w:cstheme="minorHAnsi"/>
          <w:lang w:val="en-GB"/>
        </w:rPr>
        <w:t xml:space="preserve">that longer duration since </w:t>
      </w:r>
      <w:r w:rsidR="00B373A1">
        <w:rPr>
          <w:rFonts w:cstheme="minorHAnsi"/>
          <w:lang w:val="en-GB"/>
        </w:rPr>
        <w:t>traumatic exposure</w:t>
      </w:r>
      <w:r w:rsidR="001B7BFD">
        <w:rPr>
          <w:rFonts w:cstheme="minorHAnsi"/>
          <w:lang w:val="en-GB"/>
        </w:rPr>
        <w:t xml:space="preserve"> </w:t>
      </w:r>
      <w:r w:rsidR="00C76CB7" w:rsidRPr="00F20930">
        <w:rPr>
          <w:rFonts w:ascii="Calibri" w:hAnsi="Calibri" w:cs="Calibri"/>
          <w:lang w:val="en-US"/>
        </w:rPr>
        <w:t>(Karatzias, Hyland, et al., 2019; Murphy et al., 2021)</w:t>
      </w:r>
      <w:r w:rsidR="0024273D" w:rsidRPr="00F20930">
        <w:rPr>
          <w:rFonts w:cstheme="minorHAnsi"/>
          <w:lang w:val="en-US"/>
        </w:rPr>
        <w:t xml:space="preserve"> and being single</w:t>
      </w:r>
      <w:r w:rsidR="00746281" w:rsidRPr="00F20930">
        <w:rPr>
          <w:rFonts w:cstheme="minorHAnsi"/>
          <w:lang w:val="en-US"/>
        </w:rPr>
        <w:t xml:space="preserve"> </w:t>
      </w:r>
      <w:r w:rsidR="00DE60D3" w:rsidRPr="00C76CB7">
        <w:rPr>
          <w:rFonts w:ascii="Calibri" w:hAnsi="Calibri" w:cs="Calibri"/>
          <w:lang w:val="en-US"/>
        </w:rPr>
        <w:t>(Karatzias et al., 2016)</w:t>
      </w:r>
      <w:r w:rsidR="0024273D" w:rsidRPr="00C76CB7">
        <w:rPr>
          <w:rFonts w:cstheme="minorHAnsi"/>
          <w:lang w:val="en-US"/>
        </w:rPr>
        <w:t xml:space="preserve"> increase</w:t>
      </w:r>
      <w:r w:rsidR="00311405" w:rsidRPr="00C76CB7">
        <w:rPr>
          <w:rFonts w:cstheme="minorHAnsi"/>
          <w:lang w:val="en-US"/>
        </w:rPr>
        <w:t>d</w:t>
      </w:r>
      <w:r w:rsidR="0024273D" w:rsidRPr="00C76CB7">
        <w:rPr>
          <w:rFonts w:cstheme="minorHAnsi"/>
          <w:lang w:val="en-US"/>
        </w:rPr>
        <w:t xml:space="preserve"> the risk </w:t>
      </w:r>
      <w:r w:rsidR="00311405" w:rsidRPr="00C76CB7">
        <w:rPr>
          <w:rFonts w:cstheme="minorHAnsi"/>
          <w:lang w:val="en-US"/>
        </w:rPr>
        <w:t>of</w:t>
      </w:r>
      <w:r w:rsidR="0024273D" w:rsidRPr="00C76CB7">
        <w:rPr>
          <w:rFonts w:cstheme="minorHAnsi"/>
          <w:lang w:val="en-US"/>
        </w:rPr>
        <w:t xml:space="preserve"> CPTSD. </w:t>
      </w:r>
      <w:r w:rsidR="000A20B6" w:rsidRPr="000A20B6">
        <w:rPr>
          <w:rFonts w:cstheme="minorHAnsi"/>
          <w:lang w:val="en-US"/>
        </w:rPr>
        <w:t xml:space="preserve">The DSO symptoms of CPTSD describe difficulties engaging in relationships, and previous studies </w:t>
      </w:r>
      <w:r w:rsidR="00311405">
        <w:rPr>
          <w:rFonts w:cstheme="minorHAnsi"/>
          <w:lang w:val="en-US"/>
        </w:rPr>
        <w:t xml:space="preserve">also </w:t>
      </w:r>
      <w:r w:rsidR="000A20B6" w:rsidRPr="000A20B6">
        <w:rPr>
          <w:rFonts w:cstheme="minorHAnsi"/>
          <w:lang w:val="en-US"/>
        </w:rPr>
        <w:t>reported that individuals with CPTSD were more l</w:t>
      </w:r>
      <w:r w:rsidR="001A7371">
        <w:rPr>
          <w:rFonts w:cstheme="minorHAnsi"/>
          <w:lang w:val="en-US"/>
        </w:rPr>
        <w:t>ikely to be unmarried and live</w:t>
      </w:r>
      <w:r w:rsidR="000A20B6" w:rsidRPr="000A20B6">
        <w:rPr>
          <w:rFonts w:cstheme="minorHAnsi"/>
          <w:lang w:val="en-US"/>
        </w:rPr>
        <w:t xml:space="preserve"> alone</w:t>
      </w:r>
      <w:r w:rsidR="00FD2287">
        <w:rPr>
          <w:rFonts w:cstheme="minorHAnsi"/>
          <w:lang w:val="en-US"/>
        </w:rPr>
        <w:t xml:space="preserve"> </w:t>
      </w:r>
      <w:r w:rsidR="00FD2287" w:rsidRPr="00F20930">
        <w:rPr>
          <w:rFonts w:ascii="Calibri" w:hAnsi="Calibri" w:cs="Calibri"/>
          <w:lang w:val="en-US"/>
        </w:rPr>
        <w:t>(Cloitre et al., 2013; Folke et al., 2019, 2021; Hyland et al., 2017b; Palic et al., 2016)</w:t>
      </w:r>
      <w:r w:rsidR="000A20B6" w:rsidRPr="00F20930">
        <w:rPr>
          <w:rFonts w:cstheme="minorHAnsi"/>
          <w:lang w:val="en-US"/>
        </w:rPr>
        <w:t xml:space="preserve">. </w:t>
      </w:r>
      <w:r w:rsidR="00895823">
        <w:rPr>
          <w:rFonts w:cstheme="minorHAnsi"/>
          <w:lang w:val="en-GB"/>
        </w:rPr>
        <w:t>Older</w:t>
      </w:r>
      <w:r w:rsidR="0024273D">
        <w:rPr>
          <w:rFonts w:cstheme="minorHAnsi"/>
          <w:lang w:val="en-GB"/>
        </w:rPr>
        <w:t xml:space="preserve"> age and receiving sickness benefit were shared risk factors for both PTSD and CPTSD, but </w:t>
      </w:r>
      <w:r w:rsidR="000A20B6">
        <w:rPr>
          <w:rFonts w:cstheme="minorHAnsi"/>
          <w:lang w:val="en-GB"/>
        </w:rPr>
        <w:t xml:space="preserve">being more strongly associated with </w:t>
      </w:r>
      <w:r w:rsidR="001B7BFD">
        <w:rPr>
          <w:rFonts w:cstheme="minorHAnsi"/>
          <w:lang w:val="en-GB"/>
        </w:rPr>
        <w:t>PTSD than CPTSD.</w:t>
      </w:r>
      <w:r w:rsidR="001E554F">
        <w:rPr>
          <w:rFonts w:cstheme="minorHAnsi"/>
          <w:lang w:val="en-GB"/>
        </w:rPr>
        <w:t xml:space="preserve"> </w:t>
      </w:r>
      <w:r w:rsidR="009B66C5">
        <w:rPr>
          <w:rFonts w:cstheme="minorHAnsi"/>
          <w:lang w:val="en-GB"/>
        </w:rPr>
        <w:t>In line with</w:t>
      </w:r>
      <w:r w:rsidR="000A20B6">
        <w:rPr>
          <w:rFonts w:cstheme="minorHAnsi"/>
          <w:lang w:val="en-GB"/>
        </w:rPr>
        <w:t xml:space="preserve"> previous studies in treatment</w:t>
      </w:r>
      <w:r w:rsidR="00214FFB">
        <w:rPr>
          <w:rFonts w:cstheme="minorHAnsi"/>
          <w:lang w:val="en-GB"/>
        </w:rPr>
        <w:t>-</w:t>
      </w:r>
      <w:r w:rsidR="000A20B6">
        <w:rPr>
          <w:rFonts w:cstheme="minorHAnsi"/>
          <w:lang w:val="en-GB"/>
        </w:rPr>
        <w:t>seeking veterans</w:t>
      </w:r>
      <w:r w:rsidR="009F1283">
        <w:rPr>
          <w:rFonts w:cstheme="minorHAnsi"/>
          <w:lang w:val="en-GB"/>
        </w:rPr>
        <w:t xml:space="preserve"> </w:t>
      </w:r>
      <w:r w:rsidR="00DE60D3" w:rsidRPr="00927D5F">
        <w:rPr>
          <w:rFonts w:ascii="Calibri" w:hAnsi="Calibri" w:cs="Calibri"/>
          <w:lang w:val="en-US"/>
        </w:rPr>
        <w:t>(Letica-Crepulja et al., 2020; Murphy et al., 2021)</w:t>
      </w:r>
      <w:r w:rsidR="009B66C5">
        <w:rPr>
          <w:lang w:val="en-US"/>
        </w:rPr>
        <w:t>, there appeared to be clear evidence of increased functional impairmen</w:t>
      </w:r>
      <w:r w:rsidR="001A7371">
        <w:rPr>
          <w:lang w:val="en-US"/>
        </w:rPr>
        <w:t>t associated with</w:t>
      </w:r>
      <w:r w:rsidR="009B66C5">
        <w:rPr>
          <w:lang w:val="en-US"/>
        </w:rPr>
        <w:t xml:space="preserve"> CPTSD</w:t>
      </w:r>
      <w:r w:rsidR="004631A8">
        <w:rPr>
          <w:lang w:val="en-US"/>
        </w:rPr>
        <w:t>,</w:t>
      </w:r>
      <w:r w:rsidR="001A7371">
        <w:rPr>
          <w:lang w:val="en-US"/>
        </w:rPr>
        <w:t xml:space="preserve"> as </w:t>
      </w:r>
      <w:r w:rsidR="006129A5">
        <w:rPr>
          <w:lang w:val="en-US"/>
        </w:rPr>
        <w:t xml:space="preserve">participants </w:t>
      </w:r>
      <w:r w:rsidR="009B66C5">
        <w:rPr>
          <w:lang w:val="en-US"/>
        </w:rPr>
        <w:t xml:space="preserve">with CPTSD were more likely to report </w:t>
      </w:r>
      <w:r w:rsidR="004631A8">
        <w:rPr>
          <w:lang w:val="en-US"/>
        </w:rPr>
        <w:t>poorer self-rated health, more use of psychotropic medic</w:t>
      </w:r>
      <w:r w:rsidR="00B3003F">
        <w:rPr>
          <w:lang w:val="en-US"/>
        </w:rPr>
        <w:t xml:space="preserve">ation, </w:t>
      </w:r>
      <w:r w:rsidR="004631A8">
        <w:rPr>
          <w:lang w:val="en-US"/>
        </w:rPr>
        <w:t xml:space="preserve">and receiving sickness benefit more often than veterans with PTSD or no PTSD disorder. </w:t>
      </w:r>
    </w:p>
    <w:p w14:paraId="20937636" w14:textId="54BE8D45" w:rsidR="00D07F9B" w:rsidRDefault="009B66C5" w:rsidP="00D07F9B">
      <w:pPr>
        <w:spacing w:after="0" w:line="360" w:lineRule="auto"/>
        <w:ind w:firstLine="1304"/>
        <w:rPr>
          <w:lang w:val="en-US"/>
        </w:rPr>
      </w:pPr>
      <w:r>
        <w:rPr>
          <w:lang w:val="en-US"/>
        </w:rPr>
        <w:t>A picture also emerged suggesting that those with CPTSD were more likely to report comorbidities</w:t>
      </w:r>
      <w:r w:rsidR="001F41A0">
        <w:rPr>
          <w:lang w:val="en-US"/>
        </w:rPr>
        <w:t xml:space="preserve"> (see post hoc</w:t>
      </w:r>
      <w:r w:rsidR="00061628">
        <w:rPr>
          <w:lang w:val="en-US"/>
        </w:rPr>
        <w:t xml:space="preserve"> analyses in Table 3)</w:t>
      </w:r>
      <w:r>
        <w:rPr>
          <w:lang w:val="en-US"/>
        </w:rPr>
        <w:t xml:space="preserve">. When </w:t>
      </w:r>
      <w:r w:rsidRPr="00D80D39">
        <w:rPr>
          <w:lang w:val="en-US"/>
        </w:rPr>
        <w:t xml:space="preserve">comparing </w:t>
      </w:r>
      <w:r w:rsidR="00D80D39" w:rsidRPr="00D80D39">
        <w:rPr>
          <w:lang w:val="en-US"/>
        </w:rPr>
        <w:t xml:space="preserve">between </w:t>
      </w:r>
      <w:r w:rsidR="006129A5">
        <w:rPr>
          <w:lang w:val="en-US"/>
        </w:rPr>
        <w:t xml:space="preserve">participants </w:t>
      </w:r>
      <w:r w:rsidR="00D80D39" w:rsidRPr="00D80D39">
        <w:rPr>
          <w:lang w:val="en-US"/>
        </w:rPr>
        <w:t xml:space="preserve">with </w:t>
      </w:r>
      <w:r w:rsidR="003F41CB">
        <w:rPr>
          <w:lang w:val="en-US"/>
        </w:rPr>
        <w:t xml:space="preserve">no </w:t>
      </w:r>
      <w:r w:rsidR="00895823">
        <w:rPr>
          <w:lang w:val="en-US"/>
        </w:rPr>
        <w:t>trauma disorder</w:t>
      </w:r>
      <w:r w:rsidR="003F41CB">
        <w:rPr>
          <w:lang w:val="en-US"/>
        </w:rPr>
        <w:t>, PTSD</w:t>
      </w:r>
      <w:r w:rsidR="00D80D39" w:rsidRPr="00D80D39">
        <w:rPr>
          <w:lang w:val="en-US"/>
        </w:rPr>
        <w:t xml:space="preserve"> and those with</w:t>
      </w:r>
      <w:r w:rsidR="005A52C7">
        <w:rPr>
          <w:lang w:val="en-US"/>
        </w:rPr>
        <w:t xml:space="preserve"> </w:t>
      </w:r>
      <w:r w:rsidR="00D80D39" w:rsidRPr="00D80D39">
        <w:rPr>
          <w:lang w:val="en-US"/>
        </w:rPr>
        <w:t xml:space="preserve">CPTSD, </w:t>
      </w:r>
      <w:r w:rsidR="003F41CB">
        <w:rPr>
          <w:lang w:val="en-US"/>
        </w:rPr>
        <w:t xml:space="preserve">veterans </w:t>
      </w:r>
      <w:r w:rsidR="00D80D39" w:rsidRPr="00D80D39">
        <w:rPr>
          <w:lang w:val="en-US"/>
        </w:rPr>
        <w:t>with CPTSD reported higher scores for common mental health difficulties (</w:t>
      </w:r>
      <w:r w:rsidR="00270E26">
        <w:rPr>
          <w:lang w:val="en-US"/>
        </w:rPr>
        <w:t>depression/</w:t>
      </w:r>
      <w:r w:rsidR="00D80D39" w:rsidRPr="00D80D39">
        <w:rPr>
          <w:lang w:val="en-US"/>
        </w:rPr>
        <w:t>anxiety</w:t>
      </w:r>
      <w:r w:rsidR="00270E26">
        <w:rPr>
          <w:lang w:val="en-US"/>
        </w:rPr>
        <w:t>/stress severity</w:t>
      </w:r>
      <w:r w:rsidR="00D80D39" w:rsidRPr="00D80D39">
        <w:rPr>
          <w:lang w:val="en-US"/>
        </w:rPr>
        <w:t xml:space="preserve">). There </w:t>
      </w:r>
      <w:r w:rsidR="00061628">
        <w:rPr>
          <w:lang w:val="en-US"/>
        </w:rPr>
        <w:t xml:space="preserve">was </w:t>
      </w:r>
      <w:r w:rsidR="00D80D39" w:rsidRPr="00D80D39">
        <w:rPr>
          <w:lang w:val="en-US"/>
        </w:rPr>
        <w:t xml:space="preserve">also evidence for </w:t>
      </w:r>
      <w:r w:rsidR="00D80D39">
        <w:rPr>
          <w:lang w:val="en-US"/>
        </w:rPr>
        <w:t xml:space="preserve">more suicide attempts (ever or within </w:t>
      </w:r>
      <w:r w:rsidR="004C0763">
        <w:rPr>
          <w:lang w:val="en-US"/>
        </w:rPr>
        <w:t xml:space="preserve">the </w:t>
      </w:r>
      <w:r w:rsidR="00D80D39">
        <w:rPr>
          <w:lang w:val="en-US"/>
        </w:rPr>
        <w:t>last year) for veterans with CPTSD compared t</w:t>
      </w:r>
      <w:r w:rsidR="00465B79">
        <w:rPr>
          <w:lang w:val="en-US"/>
        </w:rPr>
        <w:t>o the</w:t>
      </w:r>
      <w:r w:rsidR="005A52C7">
        <w:rPr>
          <w:lang w:val="en-US"/>
        </w:rPr>
        <w:t xml:space="preserve"> other groups. </w:t>
      </w:r>
      <w:r w:rsidR="00061628">
        <w:rPr>
          <w:lang w:val="en-US"/>
        </w:rPr>
        <w:t>Among those with CPTSD</w:t>
      </w:r>
      <w:r w:rsidR="00895823">
        <w:rPr>
          <w:lang w:val="en-US"/>
        </w:rPr>
        <w:t>,</w:t>
      </w:r>
      <w:r w:rsidR="00061628">
        <w:rPr>
          <w:lang w:val="en-US"/>
        </w:rPr>
        <w:t xml:space="preserve"> </w:t>
      </w:r>
      <w:r w:rsidR="006C1839" w:rsidRPr="000E2C83">
        <w:rPr>
          <w:lang w:val="en-US"/>
        </w:rPr>
        <w:t xml:space="preserve">30.2% reported suicide attempts, compared to </w:t>
      </w:r>
      <w:r w:rsidR="00FD1CF2">
        <w:rPr>
          <w:lang w:val="en-US"/>
        </w:rPr>
        <w:t>9.0</w:t>
      </w:r>
      <w:r w:rsidR="006C1839" w:rsidRPr="000E2C83">
        <w:rPr>
          <w:lang w:val="en-US"/>
        </w:rPr>
        <w:t>% of those wi</w:t>
      </w:r>
      <w:r w:rsidR="001F41A0">
        <w:rPr>
          <w:lang w:val="en-US"/>
        </w:rPr>
        <w:t>th PTSD, and 10.8% of those with no</w:t>
      </w:r>
      <w:r w:rsidR="00061628">
        <w:rPr>
          <w:lang w:val="en-US"/>
        </w:rPr>
        <w:t xml:space="preserve"> </w:t>
      </w:r>
      <w:r w:rsidR="00895823">
        <w:rPr>
          <w:lang w:val="en-US"/>
        </w:rPr>
        <w:t>trauma</w:t>
      </w:r>
      <w:r w:rsidR="006C1839" w:rsidRPr="000E2C83">
        <w:rPr>
          <w:lang w:val="en-US"/>
        </w:rPr>
        <w:t xml:space="preserve"> disorder. </w:t>
      </w:r>
      <w:r w:rsidR="00A30DE5">
        <w:rPr>
          <w:lang w:val="en-US"/>
        </w:rPr>
        <w:t>O</w:t>
      </w:r>
      <w:r w:rsidR="002F6ED4">
        <w:rPr>
          <w:lang w:val="en-US"/>
        </w:rPr>
        <w:t>ur r</w:t>
      </w:r>
      <w:r w:rsidR="00A30DE5">
        <w:rPr>
          <w:lang w:val="en-US"/>
        </w:rPr>
        <w:t>esults are consistent with previous</w:t>
      </w:r>
      <w:r w:rsidR="002F6ED4">
        <w:rPr>
          <w:lang w:val="en-US"/>
        </w:rPr>
        <w:t xml:space="preserve"> findings</w:t>
      </w:r>
      <w:r w:rsidR="006332AC">
        <w:rPr>
          <w:lang w:val="en-US"/>
        </w:rPr>
        <w:t xml:space="preserve"> </w:t>
      </w:r>
      <w:r w:rsidR="00FD2287" w:rsidRPr="00FD2287">
        <w:rPr>
          <w:rFonts w:ascii="Calibri" w:hAnsi="Calibri" w:cs="Calibri"/>
          <w:lang w:val="en-US"/>
        </w:rPr>
        <w:t>(Folke et al., 2019, 2021; Hyland et al., 2017a; Spikol et al., 2022)</w:t>
      </w:r>
      <w:r w:rsidR="004C0763">
        <w:rPr>
          <w:lang w:val="en-US"/>
        </w:rPr>
        <w:t>,</w:t>
      </w:r>
      <w:r w:rsidR="006332AC">
        <w:rPr>
          <w:lang w:val="en-US"/>
        </w:rPr>
        <w:t xml:space="preserve"> </w:t>
      </w:r>
      <w:r w:rsidR="002F6ED4">
        <w:rPr>
          <w:lang w:val="en-US"/>
        </w:rPr>
        <w:t xml:space="preserve">suggesting </w:t>
      </w:r>
      <w:r w:rsidR="00220B3F">
        <w:rPr>
          <w:lang w:val="en-US"/>
        </w:rPr>
        <w:t>high rates of comorbidity</w:t>
      </w:r>
      <w:r w:rsidR="002F6ED4">
        <w:rPr>
          <w:lang w:val="en-US"/>
        </w:rPr>
        <w:t xml:space="preserve"> </w:t>
      </w:r>
      <w:r w:rsidR="00220B3F">
        <w:rPr>
          <w:lang w:val="en-US"/>
        </w:rPr>
        <w:t xml:space="preserve">with anxiety, depression, and self-injuries/suicidal ideation </w:t>
      </w:r>
      <w:r w:rsidR="005A52C7">
        <w:rPr>
          <w:lang w:val="en-US"/>
        </w:rPr>
        <w:t>in CPTSD</w:t>
      </w:r>
      <w:r w:rsidR="006332AC">
        <w:rPr>
          <w:lang w:val="en-US"/>
        </w:rPr>
        <w:t xml:space="preserve"> </w:t>
      </w:r>
      <w:r w:rsidR="00FD2287" w:rsidRPr="00FD2287">
        <w:rPr>
          <w:rFonts w:ascii="Calibri" w:hAnsi="Calibri" w:cs="Calibri"/>
          <w:lang w:val="en-US"/>
        </w:rPr>
        <w:t>(Hyland et al., 2017a)</w:t>
      </w:r>
      <w:r w:rsidR="006332AC">
        <w:rPr>
          <w:lang w:val="en-US"/>
        </w:rPr>
        <w:t>.</w:t>
      </w:r>
      <w:r w:rsidR="00220B3F">
        <w:rPr>
          <w:lang w:val="en-US"/>
        </w:rPr>
        <w:t xml:space="preserve"> </w:t>
      </w:r>
    </w:p>
    <w:p w14:paraId="64E2A04E" w14:textId="755CB7A4" w:rsidR="006332AC" w:rsidRDefault="006332AC" w:rsidP="006332AC">
      <w:pPr>
        <w:spacing w:after="0" w:line="360" w:lineRule="auto"/>
        <w:rPr>
          <w:lang w:val="en-US"/>
        </w:rPr>
      </w:pPr>
    </w:p>
    <w:p w14:paraId="00FE06EB" w14:textId="164265B5" w:rsidR="006332AC" w:rsidRDefault="0082787C" w:rsidP="006332AC">
      <w:pPr>
        <w:spacing w:after="0" w:line="360" w:lineRule="auto"/>
        <w:rPr>
          <w:b/>
          <w:lang w:val="en-US"/>
        </w:rPr>
      </w:pPr>
      <w:r>
        <w:rPr>
          <w:b/>
          <w:lang w:val="en-US"/>
        </w:rPr>
        <w:t>Strengths and l</w:t>
      </w:r>
      <w:r w:rsidR="006332AC" w:rsidRPr="006332AC">
        <w:rPr>
          <w:b/>
          <w:lang w:val="en-US"/>
        </w:rPr>
        <w:t>imitations</w:t>
      </w:r>
    </w:p>
    <w:p w14:paraId="6B4191AA" w14:textId="36388AB2" w:rsidR="009F15FB" w:rsidRDefault="003A186D" w:rsidP="00204518">
      <w:pPr>
        <w:spacing w:after="0" w:line="360" w:lineRule="auto"/>
        <w:rPr>
          <w:lang w:val="en-US"/>
        </w:rPr>
      </w:pPr>
      <w:r w:rsidRPr="0082787C">
        <w:rPr>
          <w:lang w:val="en-US"/>
        </w:rPr>
        <w:t xml:space="preserve">A </w:t>
      </w:r>
      <w:r>
        <w:rPr>
          <w:lang w:val="en-US"/>
        </w:rPr>
        <w:t xml:space="preserve">notable </w:t>
      </w:r>
      <w:r w:rsidRPr="0082787C">
        <w:rPr>
          <w:lang w:val="en-US"/>
        </w:rPr>
        <w:t xml:space="preserve">strength of the current </w:t>
      </w:r>
      <w:r>
        <w:rPr>
          <w:lang w:val="en-US"/>
        </w:rPr>
        <w:t>study i</w:t>
      </w:r>
      <w:r w:rsidRPr="0082787C">
        <w:rPr>
          <w:lang w:val="en-US"/>
        </w:rPr>
        <w:t xml:space="preserve">s </w:t>
      </w:r>
      <w:r w:rsidR="00750119">
        <w:rPr>
          <w:lang w:val="en-US"/>
        </w:rPr>
        <w:t>the identification of</w:t>
      </w:r>
      <w:r>
        <w:rPr>
          <w:lang w:val="en-US"/>
        </w:rPr>
        <w:t xml:space="preserve"> risk factors and comorbidities associated with I</w:t>
      </w:r>
      <w:r w:rsidRPr="0082787C">
        <w:rPr>
          <w:lang w:val="en-US"/>
        </w:rPr>
        <w:t>CD-11 PTSD and CPTSD in a large sample of treatment-seeking veterans with a history of war</w:t>
      </w:r>
      <w:r>
        <w:rPr>
          <w:lang w:val="en-US"/>
        </w:rPr>
        <w:t>-</w:t>
      </w:r>
      <w:r w:rsidRPr="0082787C">
        <w:rPr>
          <w:lang w:val="en-US"/>
        </w:rPr>
        <w:t>related trauma</w:t>
      </w:r>
      <w:r w:rsidR="00963A4B">
        <w:rPr>
          <w:lang w:val="en-US"/>
        </w:rPr>
        <w:t>. Previous studies in military samples</w:t>
      </w:r>
      <w:r w:rsidR="00824A90">
        <w:rPr>
          <w:lang w:val="en-US"/>
        </w:rPr>
        <w:t xml:space="preserve"> </w:t>
      </w:r>
      <w:r w:rsidR="00DE60D3" w:rsidRPr="00927D5F">
        <w:rPr>
          <w:rFonts w:ascii="Calibri" w:hAnsi="Calibri" w:cs="Calibri"/>
          <w:lang w:val="en-US"/>
        </w:rPr>
        <w:t>(Letica-Crepulja et al., 2020; Murphy et al., 2021)</w:t>
      </w:r>
      <w:r w:rsidR="00824A90">
        <w:rPr>
          <w:lang w:val="en-US"/>
        </w:rPr>
        <w:t xml:space="preserve"> </w:t>
      </w:r>
      <w:r w:rsidR="00963A4B">
        <w:rPr>
          <w:lang w:val="en-US"/>
        </w:rPr>
        <w:t xml:space="preserve">have been conducted in relatively small samples, limiting their </w:t>
      </w:r>
      <w:r w:rsidRPr="0082787C">
        <w:rPr>
          <w:lang w:val="en-US"/>
        </w:rPr>
        <w:t>gener</w:t>
      </w:r>
      <w:r w:rsidR="00963A4B">
        <w:rPr>
          <w:lang w:val="en-US"/>
        </w:rPr>
        <w:t xml:space="preserve">alizability to the wider </w:t>
      </w:r>
      <w:r w:rsidRPr="0082787C">
        <w:rPr>
          <w:lang w:val="en-US"/>
        </w:rPr>
        <w:t>population</w:t>
      </w:r>
      <w:r w:rsidR="00963A4B">
        <w:rPr>
          <w:lang w:val="en-US"/>
        </w:rPr>
        <w:t xml:space="preserve"> of military veterans</w:t>
      </w:r>
      <w:r w:rsidR="00BA4EBE">
        <w:rPr>
          <w:lang w:val="en-US"/>
        </w:rPr>
        <w:t>.</w:t>
      </w:r>
      <w:r w:rsidR="00963A4B">
        <w:rPr>
          <w:lang w:val="en-US"/>
        </w:rPr>
        <w:t xml:space="preserve"> </w:t>
      </w:r>
      <w:r w:rsidR="0082787C" w:rsidRPr="0082787C">
        <w:rPr>
          <w:lang w:val="en-US"/>
        </w:rPr>
        <w:t xml:space="preserve">Nonetheless, there were several limitations. </w:t>
      </w:r>
      <w:r w:rsidR="00492871">
        <w:rPr>
          <w:lang w:val="en-US"/>
        </w:rPr>
        <w:t xml:space="preserve">First, </w:t>
      </w:r>
      <w:r w:rsidR="00DC70E7">
        <w:rPr>
          <w:lang w:val="en-US"/>
        </w:rPr>
        <w:t>all data were co</w:t>
      </w:r>
      <w:r w:rsidR="00BA466A">
        <w:rPr>
          <w:lang w:val="en-US"/>
        </w:rPr>
        <w:t xml:space="preserve">llected via self-reports which provide evidence of probable diagnosis rather than </w:t>
      </w:r>
      <w:r w:rsidR="00283975">
        <w:rPr>
          <w:lang w:val="en-US"/>
        </w:rPr>
        <w:t xml:space="preserve">actual </w:t>
      </w:r>
      <w:r w:rsidR="00BA466A">
        <w:rPr>
          <w:lang w:val="en-US"/>
        </w:rPr>
        <w:t xml:space="preserve">diagnosis. </w:t>
      </w:r>
      <w:r w:rsidR="00243FB1">
        <w:rPr>
          <w:lang w:val="en-US"/>
        </w:rPr>
        <w:t xml:space="preserve">Moreover, </w:t>
      </w:r>
      <w:r w:rsidR="0099059B">
        <w:rPr>
          <w:lang w:val="en-US"/>
        </w:rPr>
        <w:t>over-</w:t>
      </w:r>
      <w:r w:rsidR="00243FB1">
        <w:rPr>
          <w:lang w:val="en-US"/>
        </w:rPr>
        <w:t xml:space="preserve"> and </w:t>
      </w:r>
      <w:r w:rsidR="0099059B">
        <w:rPr>
          <w:lang w:val="en-US"/>
        </w:rPr>
        <w:t>under</w:t>
      </w:r>
      <w:r w:rsidR="00243FB1">
        <w:rPr>
          <w:lang w:val="en-US"/>
        </w:rPr>
        <w:t>reporting</w:t>
      </w:r>
      <w:r w:rsidR="00CD42C0">
        <w:rPr>
          <w:lang w:val="en-US"/>
        </w:rPr>
        <w:t xml:space="preserve"> of symptoms is </w:t>
      </w:r>
      <w:r w:rsidR="00243FB1">
        <w:rPr>
          <w:lang w:val="en-US"/>
        </w:rPr>
        <w:t>possib</w:t>
      </w:r>
      <w:r w:rsidR="00283975">
        <w:rPr>
          <w:lang w:val="en-US"/>
        </w:rPr>
        <w:t>le in self-rated data</w:t>
      </w:r>
      <w:r w:rsidR="00243FB1">
        <w:rPr>
          <w:lang w:val="en-US"/>
        </w:rPr>
        <w:t xml:space="preserve">. </w:t>
      </w:r>
      <w:r w:rsidR="00BA466A">
        <w:rPr>
          <w:lang w:val="en-US"/>
        </w:rPr>
        <w:t>The findings thus</w:t>
      </w:r>
      <w:r w:rsidR="00DC70E7">
        <w:rPr>
          <w:lang w:val="en-US"/>
        </w:rPr>
        <w:t xml:space="preserve"> require replication with clinician-administered interviews. </w:t>
      </w:r>
      <w:r w:rsidR="00492871">
        <w:rPr>
          <w:lang w:val="en-US"/>
        </w:rPr>
        <w:t xml:space="preserve">Second, the study was based on cross-sectional data and it is not known </w:t>
      </w:r>
      <w:r w:rsidR="00492871" w:rsidRPr="003204A8">
        <w:rPr>
          <w:lang w:val="en-US"/>
        </w:rPr>
        <w:t xml:space="preserve">whether the </w:t>
      </w:r>
      <w:r w:rsidR="003204A8" w:rsidRPr="003204A8">
        <w:rPr>
          <w:lang w:val="en-US"/>
        </w:rPr>
        <w:t>sociod</w:t>
      </w:r>
      <w:r w:rsidR="00492871" w:rsidRPr="003204A8">
        <w:rPr>
          <w:lang w:val="en-US"/>
        </w:rPr>
        <w:t>emographic</w:t>
      </w:r>
      <w:r w:rsidR="003204A8" w:rsidRPr="003204A8">
        <w:rPr>
          <w:lang w:val="en-US"/>
        </w:rPr>
        <w:t xml:space="preserve">, psychological </w:t>
      </w:r>
      <w:r w:rsidR="00492871" w:rsidRPr="003204A8">
        <w:rPr>
          <w:lang w:val="en-US"/>
        </w:rPr>
        <w:t>and functional characteristics are causes</w:t>
      </w:r>
      <w:r w:rsidR="003204A8">
        <w:rPr>
          <w:lang w:val="en-US"/>
        </w:rPr>
        <w:t xml:space="preserve"> or consequences (or both) of C</w:t>
      </w:r>
      <w:r w:rsidR="000F3186">
        <w:rPr>
          <w:lang w:val="en-US"/>
        </w:rPr>
        <w:t>/</w:t>
      </w:r>
      <w:r w:rsidR="00492871" w:rsidRPr="003204A8">
        <w:rPr>
          <w:lang w:val="en-US"/>
        </w:rPr>
        <w:t>PTSD.</w:t>
      </w:r>
      <w:r w:rsidR="00243FB1">
        <w:rPr>
          <w:lang w:val="en-US"/>
        </w:rPr>
        <w:t xml:space="preserve"> Third, the sample consisted primarily of males, limiting generalizability to female veterans. </w:t>
      </w:r>
      <w:r w:rsidR="00492871" w:rsidRPr="003204A8">
        <w:rPr>
          <w:lang w:val="en-US"/>
        </w:rPr>
        <w:t xml:space="preserve"> </w:t>
      </w:r>
      <w:r w:rsidR="00492871">
        <w:rPr>
          <w:lang w:val="en-US"/>
        </w:rPr>
        <w:t xml:space="preserve">Finally, </w:t>
      </w:r>
      <w:r w:rsidR="009F15FB">
        <w:rPr>
          <w:lang w:val="en-US"/>
        </w:rPr>
        <w:lastRenderedPageBreak/>
        <w:t>adverse childhood experiences were reported using a relatively narrow measure of childhood trauma</w:t>
      </w:r>
      <w:r w:rsidR="00492871">
        <w:rPr>
          <w:lang w:val="en-US"/>
        </w:rPr>
        <w:t xml:space="preserve">, which might explain the </w:t>
      </w:r>
      <w:r w:rsidR="009E61C5">
        <w:rPr>
          <w:lang w:val="en-US"/>
        </w:rPr>
        <w:t>lack of association between childhood adversities and CPTSD</w:t>
      </w:r>
      <w:r w:rsidR="00492871">
        <w:rPr>
          <w:lang w:val="en-US"/>
        </w:rPr>
        <w:t xml:space="preserve"> in this study. </w:t>
      </w:r>
    </w:p>
    <w:p w14:paraId="33CF2AB7" w14:textId="77777777" w:rsidR="00492871" w:rsidRDefault="00492871" w:rsidP="00204518">
      <w:pPr>
        <w:spacing w:after="0" w:line="360" w:lineRule="auto"/>
        <w:rPr>
          <w:lang w:val="en-US"/>
        </w:rPr>
      </w:pPr>
    </w:p>
    <w:p w14:paraId="0665E8B5" w14:textId="1026992E" w:rsidR="00204518" w:rsidRDefault="003C464D" w:rsidP="00204518">
      <w:pPr>
        <w:spacing w:after="0" w:line="360" w:lineRule="auto"/>
        <w:rPr>
          <w:lang w:val="en-US"/>
        </w:rPr>
      </w:pPr>
      <w:r w:rsidRPr="000D16DC">
        <w:rPr>
          <w:rFonts w:cstheme="minorHAnsi"/>
          <w:b/>
          <w:lang w:val="en-US"/>
        </w:rPr>
        <w:t>Conclusion</w:t>
      </w:r>
      <w:r w:rsidR="00204518">
        <w:rPr>
          <w:rFonts w:cstheme="minorHAnsi"/>
          <w:b/>
          <w:lang w:val="en-US"/>
        </w:rPr>
        <w:t xml:space="preserve"> and clinical implications</w:t>
      </w:r>
    </w:p>
    <w:p w14:paraId="3CFAA32A" w14:textId="77777777" w:rsidR="00382A8E" w:rsidRDefault="00204518" w:rsidP="00382A8E">
      <w:pPr>
        <w:spacing w:after="0" w:line="360" w:lineRule="auto"/>
        <w:rPr>
          <w:lang w:val="en-US"/>
        </w:rPr>
      </w:pPr>
      <w:r>
        <w:rPr>
          <w:lang w:val="en-US"/>
        </w:rPr>
        <w:t>This</w:t>
      </w:r>
      <w:r w:rsidR="00824A90">
        <w:rPr>
          <w:lang w:val="en-US"/>
        </w:rPr>
        <w:t xml:space="preserve"> study explored </w:t>
      </w:r>
      <w:r>
        <w:rPr>
          <w:lang w:val="en-US"/>
        </w:rPr>
        <w:t>risk factors and comorbidities of ICD-11 PTSD and CPTSD in a large</w:t>
      </w:r>
      <w:r w:rsidR="00D21826">
        <w:rPr>
          <w:lang w:val="en-US"/>
        </w:rPr>
        <w:t xml:space="preserve"> clinical</w:t>
      </w:r>
      <w:r>
        <w:rPr>
          <w:lang w:val="en-US"/>
        </w:rPr>
        <w:t xml:space="preserve"> sample of</w:t>
      </w:r>
      <w:r w:rsidR="00D21826">
        <w:rPr>
          <w:lang w:val="en-US"/>
        </w:rPr>
        <w:t xml:space="preserve"> military </w:t>
      </w:r>
      <w:r>
        <w:rPr>
          <w:lang w:val="en-US"/>
        </w:rPr>
        <w:t>veterans. Findings support the proposition that prolonged trauma of a</w:t>
      </w:r>
      <w:r w:rsidR="00036BCD">
        <w:rPr>
          <w:lang w:val="en-US"/>
        </w:rPr>
        <w:t>n</w:t>
      </w:r>
      <w:r>
        <w:rPr>
          <w:lang w:val="en-US"/>
        </w:rPr>
        <w:t xml:space="preserve"> interpersonal </w:t>
      </w:r>
      <w:r w:rsidR="002C73F2">
        <w:rPr>
          <w:lang w:val="en-US"/>
        </w:rPr>
        <w:t xml:space="preserve">nature, </w:t>
      </w:r>
      <w:r>
        <w:rPr>
          <w:lang w:val="en-US"/>
        </w:rPr>
        <w:t>such as being exposed to combat or war</w:t>
      </w:r>
      <w:r w:rsidR="002C73F2">
        <w:rPr>
          <w:lang w:val="en-US"/>
        </w:rPr>
        <w:t>,</w:t>
      </w:r>
      <w:r>
        <w:rPr>
          <w:lang w:val="en-US"/>
        </w:rPr>
        <w:t xml:space="preserve"> is related to CPTSD symptoms years </w:t>
      </w:r>
      <w:r w:rsidR="00061628">
        <w:rPr>
          <w:lang w:val="en-US"/>
        </w:rPr>
        <w:t xml:space="preserve">after </w:t>
      </w:r>
      <w:r>
        <w:rPr>
          <w:lang w:val="en-US"/>
        </w:rPr>
        <w:t xml:space="preserve">returning from international deployment. </w:t>
      </w:r>
      <w:r w:rsidR="00D77238">
        <w:rPr>
          <w:lang w:val="en-US"/>
        </w:rPr>
        <w:t xml:space="preserve">Moreover, veterans </w:t>
      </w:r>
      <w:r w:rsidR="00D77238" w:rsidRPr="00D80D39">
        <w:rPr>
          <w:lang w:val="en-US"/>
        </w:rPr>
        <w:t>with</w:t>
      </w:r>
      <w:r w:rsidR="00D77238">
        <w:rPr>
          <w:lang w:val="en-US"/>
        </w:rPr>
        <w:t xml:space="preserve"> </w:t>
      </w:r>
      <w:r w:rsidR="00D77238" w:rsidRPr="00D80D39">
        <w:rPr>
          <w:lang w:val="en-US"/>
        </w:rPr>
        <w:t xml:space="preserve">CPTSD reported </w:t>
      </w:r>
      <w:r w:rsidR="00D77238">
        <w:rPr>
          <w:lang w:val="en-US"/>
        </w:rPr>
        <w:t>more functional impairment, and more comorbidities compared to veterans w</w:t>
      </w:r>
      <w:r w:rsidR="00382A8E">
        <w:rPr>
          <w:lang w:val="en-US"/>
        </w:rPr>
        <w:t>ith PTSD or no trauma disorder.</w:t>
      </w:r>
    </w:p>
    <w:p w14:paraId="664A43E9" w14:textId="67A517C2" w:rsidR="00D77238" w:rsidRDefault="00D77238" w:rsidP="00382A8E">
      <w:pPr>
        <w:spacing w:after="0" w:line="360" w:lineRule="auto"/>
        <w:ind w:firstLine="1304"/>
        <w:rPr>
          <w:lang w:val="en-US"/>
        </w:rPr>
      </w:pPr>
      <w:r>
        <w:rPr>
          <w:lang w:val="en-US"/>
        </w:rPr>
        <w:t xml:space="preserve">Although CPTSD is a more debilitating condition than PTSD, there is only limited evidence for its treatment. </w:t>
      </w:r>
      <w:r w:rsidR="0035614F">
        <w:rPr>
          <w:lang w:val="en-US"/>
        </w:rPr>
        <w:t xml:space="preserve">While some studies suggest </w:t>
      </w:r>
      <w:r w:rsidR="0035614F" w:rsidRPr="0043380F">
        <w:rPr>
          <w:lang w:val="en-US"/>
        </w:rPr>
        <w:t>that most individuals classified as having CPTSD</w:t>
      </w:r>
      <w:r w:rsidR="0035614F">
        <w:rPr>
          <w:lang w:val="en-US"/>
        </w:rPr>
        <w:t xml:space="preserve"> benefit from intensive trauma-focused treatment</w:t>
      </w:r>
      <w:r w:rsidR="00C76CB7">
        <w:rPr>
          <w:lang w:val="en-US"/>
        </w:rPr>
        <w:t xml:space="preserve"> </w:t>
      </w:r>
      <w:r w:rsidR="00C76CB7" w:rsidRPr="00C76CB7">
        <w:rPr>
          <w:rFonts w:ascii="Calibri" w:hAnsi="Calibri" w:cs="Calibri"/>
          <w:lang w:val="en-US"/>
        </w:rPr>
        <w:t>(Voorendonk et al., 2020)</w:t>
      </w:r>
      <w:r w:rsidR="00C76CB7">
        <w:rPr>
          <w:lang w:val="en-US"/>
        </w:rPr>
        <w:t xml:space="preserve">, </w:t>
      </w:r>
      <w:r w:rsidR="0035614F">
        <w:rPr>
          <w:lang w:val="en-US"/>
        </w:rPr>
        <w:t>there is also evidence suggesting that existing trauma-focused treatments are less efficient for CPTSD symptoms following childhood trauma</w:t>
      </w:r>
      <w:r w:rsidR="00B00BD4">
        <w:rPr>
          <w:lang w:val="en-US"/>
        </w:rPr>
        <w:t xml:space="preserve"> </w:t>
      </w:r>
      <w:r w:rsidR="00B00BD4" w:rsidRPr="00C76CB7">
        <w:rPr>
          <w:rFonts w:ascii="Calibri" w:hAnsi="Calibri" w:cs="Calibri"/>
          <w:lang w:val="en-US"/>
        </w:rPr>
        <w:t>(Karatzias, Murphy, et al., 2019)</w:t>
      </w:r>
      <w:r w:rsidR="00B00BD4">
        <w:rPr>
          <w:lang w:val="en-US"/>
        </w:rPr>
        <w:t>.</w:t>
      </w:r>
      <w:r w:rsidR="00524266">
        <w:rPr>
          <w:lang w:val="en-US"/>
        </w:rPr>
        <w:t xml:space="preserve"> </w:t>
      </w:r>
      <w:r>
        <w:rPr>
          <w:lang w:val="en-US"/>
        </w:rPr>
        <w:t xml:space="preserve">There is now an urgent need to explore the effectiveness of existing and new interventions for CPTSD in general and </w:t>
      </w:r>
      <w:r w:rsidR="00382A8E">
        <w:rPr>
          <w:lang w:val="en-US"/>
        </w:rPr>
        <w:t xml:space="preserve">in </w:t>
      </w:r>
      <w:r>
        <w:rPr>
          <w:lang w:val="en-US"/>
        </w:rPr>
        <w:t xml:space="preserve">military </w:t>
      </w:r>
      <w:r w:rsidR="00382A8E">
        <w:rPr>
          <w:lang w:val="en-US"/>
        </w:rPr>
        <w:t>populations</w:t>
      </w:r>
      <w:r>
        <w:rPr>
          <w:lang w:val="en-US"/>
        </w:rPr>
        <w:t>.</w:t>
      </w:r>
    </w:p>
    <w:p w14:paraId="49BA7F27" w14:textId="77777777" w:rsidR="004F4E27" w:rsidRDefault="004F4E27" w:rsidP="00D771B3">
      <w:pPr>
        <w:spacing w:after="0" w:line="360" w:lineRule="auto"/>
        <w:rPr>
          <w:rFonts w:cstheme="minorHAnsi"/>
          <w:b/>
          <w:sz w:val="24"/>
          <w:szCs w:val="24"/>
          <w:lang w:val="en-US"/>
        </w:rPr>
      </w:pPr>
    </w:p>
    <w:p w14:paraId="02F058B8" w14:textId="0CEF9A91" w:rsidR="003C464D" w:rsidRPr="006A053B" w:rsidRDefault="003C464D" w:rsidP="00D771B3">
      <w:pPr>
        <w:spacing w:after="0" w:line="360" w:lineRule="auto"/>
        <w:rPr>
          <w:rFonts w:cstheme="minorHAnsi"/>
          <w:b/>
          <w:lang w:val="en-US"/>
        </w:rPr>
      </w:pPr>
      <w:r w:rsidRPr="006A053B">
        <w:rPr>
          <w:rFonts w:cstheme="minorHAnsi"/>
          <w:b/>
          <w:lang w:val="en-US"/>
        </w:rPr>
        <w:t>Acknowledgements</w:t>
      </w:r>
    </w:p>
    <w:p w14:paraId="5988316E" w14:textId="1F2FB9C5" w:rsidR="003C464D" w:rsidRPr="0036526F" w:rsidRDefault="003C464D" w:rsidP="00D771B3">
      <w:pPr>
        <w:spacing w:after="0" w:line="360" w:lineRule="auto"/>
        <w:rPr>
          <w:rFonts w:cstheme="minorHAnsi"/>
          <w:lang w:val="en-GB"/>
        </w:rPr>
      </w:pPr>
      <w:r w:rsidRPr="000D16DC">
        <w:rPr>
          <w:rFonts w:cstheme="minorHAnsi"/>
          <w:lang w:val="en-US"/>
        </w:rPr>
        <w:t>We would like to thank the participants who took part in this study and staff at the Danish Veterans Centre who supported data collection</w:t>
      </w:r>
      <w:r w:rsidR="0036526F">
        <w:rPr>
          <w:rFonts w:cstheme="minorHAnsi"/>
          <w:lang w:val="en-US"/>
        </w:rPr>
        <w:t xml:space="preserve"> and management, especially Bjarke </w:t>
      </w:r>
      <w:r w:rsidR="006129A5">
        <w:rPr>
          <w:rFonts w:cstheme="minorHAnsi"/>
          <w:lang w:val="en-US"/>
        </w:rPr>
        <w:t xml:space="preserve">Wæhrens </w:t>
      </w:r>
      <w:r w:rsidR="0036526F">
        <w:rPr>
          <w:rFonts w:cstheme="minorHAnsi"/>
          <w:lang w:val="en-US"/>
        </w:rPr>
        <w:t>Schmidt</w:t>
      </w:r>
      <w:r w:rsidRPr="000D16DC">
        <w:rPr>
          <w:rFonts w:cstheme="minorHAnsi"/>
          <w:lang w:val="en-US"/>
        </w:rPr>
        <w:t xml:space="preserve">. </w:t>
      </w:r>
    </w:p>
    <w:p w14:paraId="0F60D8F4" w14:textId="64FB12DA" w:rsidR="001526C8" w:rsidRDefault="001526C8" w:rsidP="00D771B3">
      <w:pPr>
        <w:spacing w:after="0" w:line="360" w:lineRule="auto"/>
        <w:rPr>
          <w:rFonts w:cstheme="minorHAnsi"/>
          <w:lang w:val="en-US"/>
        </w:rPr>
      </w:pPr>
    </w:p>
    <w:p w14:paraId="71FCF573" w14:textId="3A09AD60" w:rsidR="001526C8" w:rsidRPr="006A053B" w:rsidRDefault="001526C8" w:rsidP="00D771B3">
      <w:pPr>
        <w:spacing w:after="0" w:line="360" w:lineRule="auto"/>
        <w:rPr>
          <w:rFonts w:cstheme="minorHAnsi"/>
          <w:b/>
          <w:lang w:val="en-US"/>
        </w:rPr>
      </w:pPr>
      <w:r w:rsidRPr="006A053B">
        <w:rPr>
          <w:rFonts w:cstheme="minorHAnsi"/>
          <w:b/>
          <w:lang w:val="en-US"/>
        </w:rPr>
        <w:t>Author Contributions</w:t>
      </w:r>
    </w:p>
    <w:p w14:paraId="22E4C8E6" w14:textId="6235E5E6" w:rsidR="001526C8" w:rsidRPr="00722391" w:rsidRDefault="001526C8" w:rsidP="00D771B3">
      <w:pPr>
        <w:spacing w:after="0" w:line="360" w:lineRule="auto"/>
        <w:rPr>
          <w:lang w:val="en-US"/>
        </w:rPr>
      </w:pPr>
      <w:r>
        <w:rPr>
          <w:rFonts w:cstheme="minorHAnsi"/>
          <w:lang w:val="en-US"/>
        </w:rPr>
        <w:t xml:space="preserve">SF and ABSN </w:t>
      </w:r>
      <w:r w:rsidRPr="001526C8">
        <w:rPr>
          <w:lang w:val="en-US"/>
        </w:rPr>
        <w:t xml:space="preserve">conceptualized the manuscript. </w:t>
      </w:r>
      <w:r>
        <w:rPr>
          <w:lang w:val="en-US"/>
        </w:rPr>
        <w:t xml:space="preserve">ABSN </w:t>
      </w:r>
      <w:r w:rsidRPr="001526C8">
        <w:rPr>
          <w:lang w:val="en-US"/>
        </w:rPr>
        <w:t>conducted the statistical analysis</w:t>
      </w:r>
      <w:r w:rsidR="00722391">
        <w:rPr>
          <w:lang w:val="en-US"/>
        </w:rPr>
        <w:t xml:space="preserve"> with support from LRN</w:t>
      </w:r>
      <w:r w:rsidRPr="001526C8">
        <w:rPr>
          <w:lang w:val="en-US"/>
        </w:rPr>
        <w:t xml:space="preserve"> and</w:t>
      </w:r>
      <w:r>
        <w:rPr>
          <w:lang w:val="en-US"/>
        </w:rPr>
        <w:t xml:space="preserve"> SF </w:t>
      </w:r>
      <w:r w:rsidRPr="001526C8">
        <w:rPr>
          <w:lang w:val="en-US"/>
        </w:rPr>
        <w:t>wrote the first draft of the manuscript. All authors contributed to and have approved the final manuscript.</w:t>
      </w:r>
    </w:p>
    <w:p w14:paraId="7877378A" w14:textId="64B3FC76" w:rsidR="00D771B3" w:rsidRDefault="00D771B3" w:rsidP="00D771B3">
      <w:pPr>
        <w:spacing w:after="0" w:line="360" w:lineRule="auto"/>
        <w:rPr>
          <w:rFonts w:cstheme="minorHAnsi"/>
          <w:b/>
          <w:lang w:val="en-US"/>
        </w:rPr>
      </w:pPr>
    </w:p>
    <w:p w14:paraId="7742769B" w14:textId="7934C505" w:rsidR="003C464D" w:rsidRPr="006A053B" w:rsidRDefault="003C464D" w:rsidP="00D771B3">
      <w:pPr>
        <w:spacing w:after="0" w:line="360" w:lineRule="auto"/>
        <w:rPr>
          <w:rFonts w:cstheme="minorHAnsi"/>
          <w:b/>
          <w:lang w:val="en-US"/>
        </w:rPr>
      </w:pPr>
      <w:r w:rsidRPr="006A053B">
        <w:rPr>
          <w:rFonts w:cstheme="minorHAnsi"/>
          <w:b/>
          <w:lang w:val="en-US"/>
        </w:rPr>
        <w:t>Funding</w:t>
      </w:r>
    </w:p>
    <w:p w14:paraId="4BCD1943" w14:textId="3FDEF900" w:rsidR="003C464D" w:rsidRDefault="003C464D" w:rsidP="00D771B3">
      <w:pPr>
        <w:spacing w:after="0" w:line="360" w:lineRule="auto"/>
        <w:rPr>
          <w:rFonts w:cstheme="minorHAnsi"/>
          <w:lang w:val="en-US"/>
        </w:rPr>
      </w:pPr>
      <w:r w:rsidRPr="000D16DC">
        <w:rPr>
          <w:rFonts w:cstheme="minorHAnsi"/>
          <w:lang w:val="en-US"/>
        </w:rPr>
        <w:t xml:space="preserve">This work was not supported by any funding. </w:t>
      </w:r>
    </w:p>
    <w:p w14:paraId="3062A304" w14:textId="77777777" w:rsidR="00875E32" w:rsidRDefault="00875E32" w:rsidP="00FF73F4">
      <w:pPr>
        <w:spacing w:after="0" w:line="360" w:lineRule="auto"/>
        <w:rPr>
          <w:rFonts w:cstheme="minorHAnsi"/>
          <w:b/>
          <w:lang w:val="en-US"/>
        </w:rPr>
      </w:pPr>
    </w:p>
    <w:p w14:paraId="060432C5" w14:textId="69A314D2" w:rsidR="00FF73F4" w:rsidRPr="00C01C6F" w:rsidRDefault="00FF73F4" w:rsidP="00FF73F4">
      <w:pPr>
        <w:spacing w:after="0" w:line="360" w:lineRule="auto"/>
        <w:rPr>
          <w:rFonts w:cstheme="minorHAnsi"/>
          <w:b/>
          <w:lang w:val="en-US"/>
        </w:rPr>
      </w:pPr>
      <w:r w:rsidRPr="00C01C6F">
        <w:rPr>
          <w:rFonts w:cstheme="minorHAnsi"/>
          <w:b/>
          <w:lang w:val="en-US"/>
        </w:rPr>
        <w:t>Data availability statement</w:t>
      </w:r>
    </w:p>
    <w:p w14:paraId="6A1C70AD" w14:textId="77777777" w:rsidR="00FF73F4" w:rsidRDefault="00FF73F4" w:rsidP="00FF73F4">
      <w:pPr>
        <w:spacing w:after="0" w:line="360" w:lineRule="auto"/>
        <w:rPr>
          <w:rFonts w:cstheme="minorHAnsi"/>
          <w:b/>
          <w:lang w:val="en-US"/>
        </w:rPr>
      </w:pPr>
      <w:r w:rsidRPr="000D16DC">
        <w:rPr>
          <w:rFonts w:cstheme="minorHAnsi"/>
          <w:lang w:val="en-US"/>
        </w:rPr>
        <w:t>Due to privacy and data protection regulations of the Danish Defense, data from the current study cannot be shared.</w:t>
      </w:r>
      <w:r w:rsidRPr="000D16DC">
        <w:rPr>
          <w:rFonts w:cstheme="minorHAnsi"/>
          <w:b/>
          <w:lang w:val="en-US"/>
        </w:rPr>
        <w:t xml:space="preserve"> </w:t>
      </w:r>
    </w:p>
    <w:p w14:paraId="6803488B" w14:textId="7B31F122" w:rsidR="00FF73F4" w:rsidRDefault="00FF73F4" w:rsidP="00D771B3">
      <w:pPr>
        <w:spacing w:after="0" w:line="360" w:lineRule="auto"/>
        <w:rPr>
          <w:rFonts w:cstheme="minorHAnsi"/>
          <w:lang w:val="en-US"/>
        </w:rPr>
      </w:pPr>
    </w:p>
    <w:p w14:paraId="4C4AC89B" w14:textId="5218B091" w:rsidR="00FF73F4" w:rsidRPr="00875E32" w:rsidRDefault="00875E32" w:rsidP="00875E32">
      <w:pPr>
        <w:pStyle w:val="Overskrift2"/>
        <w:rPr>
          <w:rFonts w:asciiTheme="minorHAnsi" w:hAnsiTheme="minorHAnsi" w:cstheme="minorHAnsi"/>
          <w:sz w:val="24"/>
          <w:szCs w:val="24"/>
        </w:rPr>
      </w:pPr>
      <w:r>
        <w:rPr>
          <w:rFonts w:asciiTheme="minorHAnsi" w:hAnsiTheme="minorHAnsi" w:cstheme="minorHAnsi"/>
          <w:sz w:val="24"/>
          <w:szCs w:val="24"/>
        </w:rPr>
        <w:lastRenderedPageBreak/>
        <w:t xml:space="preserve">Declarations </w:t>
      </w:r>
    </w:p>
    <w:p w14:paraId="215511E0" w14:textId="16F83D0D" w:rsidR="00FF73F4" w:rsidRPr="00C01C6F" w:rsidRDefault="00FF73F4" w:rsidP="00FF73F4">
      <w:pPr>
        <w:spacing w:after="0" w:line="360" w:lineRule="auto"/>
        <w:rPr>
          <w:rFonts w:cstheme="minorHAnsi"/>
          <w:b/>
          <w:lang w:val="en-US"/>
        </w:rPr>
      </w:pPr>
      <w:r>
        <w:rPr>
          <w:rFonts w:cstheme="minorHAnsi"/>
          <w:b/>
          <w:lang w:val="en-US"/>
        </w:rPr>
        <w:t>Conflict of interest</w:t>
      </w:r>
    </w:p>
    <w:p w14:paraId="579B7047" w14:textId="77777777" w:rsidR="00FF73F4" w:rsidRPr="000D16DC" w:rsidRDefault="00FF73F4" w:rsidP="00FF73F4">
      <w:pPr>
        <w:spacing w:after="0" w:line="360" w:lineRule="auto"/>
        <w:rPr>
          <w:rFonts w:cstheme="minorHAnsi"/>
          <w:lang w:val="en-US"/>
        </w:rPr>
      </w:pPr>
      <w:r>
        <w:rPr>
          <w:rFonts w:cstheme="minorHAnsi"/>
          <w:lang w:val="en-US"/>
        </w:rPr>
        <w:t>The authors declare that they have n</w:t>
      </w:r>
      <w:r w:rsidRPr="000D16DC">
        <w:rPr>
          <w:rFonts w:cstheme="minorHAnsi"/>
          <w:lang w:val="en-US"/>
        </w:rPr>
        <w:t xml:space="preserve">o conflict of interest. </w:t>
      </w:r>
    </w:p>
    <w:p w14:paraId="352A8242" w14:textId="77777777" w:rsidR="00D771B3" w:rsidRDefault="00D771B3" w:rsidP="00D771B3">
      <w:pPr>
        <w:spacing w:after="0" w:line="360" w:lineRule="auto"/>
        <w:rPr>
          <w:rFonts w:cstheme="minorHAnsi"/>
          <w:b/>
          <w:lang w:val="en-US"/>
        </w:rPr>
      </w:pPr>
    </w:p>
    <w:p w14:paraId="164EEA0C" w14:textId="10B970D6" w:rsidR="003C464D" w:rsidRPr="008C1EA8" w:rsidRDefault="003C464D" w:rsidP="00D771B3">
      <w:pPr>
        <w:spacing w:after="0" w:line="360" w:lineRule="auto"/>
        <w:rPr>
          <w:rFonts w:cstheme="minorHAnsi"/>
          <w:b/>
          <w:lang w:val="en-US"/>
        </w:rPr>
      </w:pPr>
      <w:r w:rsidRPr="008C1EA8">
        <w:rPr>
          <w:rFonts w:cstheme="minorHAnsi"/>
          <w:b/>
          <w:lang w:val="en-US"/>
        </w:rPr>
        <w:t>Ethical approval</w:t>
      </w:r>
    </w:p>
    <w:p w14:paraId="32791CB2" w14:textId="76A76805" w:rsidR="00D771B3" w:rsidRPr="00AE1449" w:rsidRDefault="003C464D" w:rsidP="00D771B3">
      <w:pPr>
        <w:spacing w:after="0" w:line="360" w:lineRule="auto"/>
        <w:rPr>
          <w:rFonts w:cstheme="minorHAnsi"/>
          <w:lang w:val="en-US"/>
        </w:rPr>
      </w:pPr>
      <w:r w:rsidRPr="000D16DC">
        <w:rPr>
          <w:rFonts w:cstheme="minorHAnsi"/>
          <w:lang w:val="en-US"/>
        </w:rPr>
        <w:t xml:space="preserve">In Denmark, studies </w:t>
      </w:r>
      <w:r w:rsidRPr="000C7429">
        <w:rPr>
          <w:rFonts w:cstheme="minorHAnsi"/>
          <w:lang w:val="en-US"/>
        </w:rPr>
        <w:t xml:space="preserve">that do not include interventions or human biological material should not be subjected to the National Committee on Health Research Ethics. </w:t>
      </w:r>
      <w:r w:rsidRPr="00F675D7">
        <w:rPr>
          <w:rFonts w:cstheme="minorHAnsi"/>
          <w:lang w:val="en-US"/>
        </w:rPr>
        <w:t xml:space="preserve">All participants provided informed consent. </w:t>
      </w:r>
    </w:p>
    <w:p w14:paraId="7417D8C7" w14:textId="74253877" w:rsidR="00E00824" w:rsidRPr="00F675D7" w:rsidRDefault="005958DA" w:rsidP="0059303F">
      <w:pPr>
        <w:spacing w:line="360" w:lineRule="auto"/>
        <w:rPr>
          <w:rFonts w:cstheme="minorHAnsi"/>
          <w:b/>
          <w:sz w:val="24"/>
          <w:szCs w:val="24"/>
          <w:lang w:val="en-US"/>
        </w:rPr>
      </w:pPr>
      <w:r>
        <w:rPr>
          <w:rFonts w:cstheme="minorHAnsi"/>
          <w:b/>
          <w:sz w:val="24"/>
          <w:szCs w:val="24"/>
          <w:lang w:val="en-US"/>
        </w:rPr>
        <w:br w:type="column"/>
      </w:r>
      <w:r w:rsidR="003C464D" w:rsidRPr="00F675D7">
        <w:rPr>
          <w:rFonts w:cstheme="minorHAnsi"/>
          <w:b/>
          <w:sz w:val="24"/>
          <w:szCs w:val="24"/>
          <w:lang w:val="en-US"/>
        </w:rPr>
        <w:lastRenderedPageBreak/>
        <w:t>References</w:t>
      </w:r>
    </w:p>
    <w:p w14:paraId="2854E7E8" w14:textId="06F3A615" w:rsidR="00C76CB7" w:rsidRPr="00C76CB7" w:rsidRDefault="00C76CB7" w:rsidP="00C76CB7">
      <w:pPr>
        <w:pStyle w:val="Bibliografi"/>
        <w:rPr>
          <w:rFonts w:ascii="Calibri" w:hAnsi="Calibri" w:cs="Calibri"/>
          <w:lang w:val="en-US"/>
        </w:rPr>
      </w:pPr>
      <w:r w:rsidRPr="000F6D06">
        <w:rPr>
          <w:rFonts w:ascii="Calibri" w:hAnsi="Calibri" w:cs="Calibri"/>
          <w:lang w:val="en-US"/>
        </w:rPr>
        <w:t xml:space="preserve">Andersen, S. B., Madsen, T., Karstoft, K.-I., Elklit, A., Nordentoft, M., &amp; Bertelsen, M. (2013). </w:t>
      </w:r>
      <w:r w:rsidRPr="00C76CB7">
        <w:rPr>
          <w:rFonts w:ascii="Calibri" w:hAnsi="Calibri" w:cs="Calibri"/>
          <w:i/>
          <w:iCs/>
        </w:rPr>
        <w:t>Efter Afghanistan – rapport over soldaters psykiske velbefindende to et halvt år efter hjemkomst [After Afghanistan – Danish veterans’ mental wellbeing 2.5 years after homecoming]</w:t>
      </w:r>
      <w:r w:rsidRPr="00C76CB7">
        <w:rPr>
          <w:rFonts w:ascii="Calibri" w:hAnsi="Calibri" w:cs="Calibri"/>
        </w:rPr>
        <w:t xml:space="preserve">. </w:t>
      </w:r>
      <w:r w:rsidRPr="00C76CB7">
        <w:rPr>
          <w:rFonts w:ascii="Calibri" w:hAnsi="Calibri" w:cs="Calibri"/>
          <w:lang w:val="en-US"/>
        </w:rPr>
        <w:t>Danish Veteran Centre.</w:t>
      </w:r>
    </w:p>
    <w:p w14:paraId="5C517749" w14:textId="303E6BB8"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Barkley, R. A., &amp; Murphy, K. R. (2006). </w:t>
      </w:r>
      <w:r w:rsidRPr="00C76CB7">
        <w:rPr>
          <w:rFonts w:ascii="Calibri" w:hAnsi="Calibri" w:cs="Calibri"/>
          <w:i/>
          <w:iCs/>
          <w:lang w:val="en-US"/>
        </w:rPr>
        <w:t>Attention-deficit hyperactivity disord</w:t>
      </w:r>
      <w:r w:rsidR="00524266">
        <w:rPr>
          <w:rFonts w:ascii="Calibri" w:hAnsi="Calibri" w:cs="Calibri"/>
          <w:i/>
          <w:iCs/>
          <w:lang w:val="en-US"/>
        </w:rPr>
        <w:t>er: A clinical workbook, 3rd ed</w:t>
      </w:r>
      <w:r w:rsidRPr="00C76CB7">
        <w:rPr>
          <w:rFonts w:ascii="Calibri" w:hAnsi="Calibri" w:cs="Calibri"/>
          <w:lang w:val="en-US"/>
        </w:rPr>
        <w:t>. Guilford Press.</w:t>
      </w:r>
    </w:p>
    <w:p w14:paraId="3C5A1AB7"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Brewin, C. R., Cloitre, M., Hyland, P., Shevlin, M., Maercker, A., Bryant, R. A., Humayun, A., Jones, L. M., Kagee, A., Rousseau, C., Somasundaram, D., Suzuki, Y., Wessely, S., van Ommeren, M., &amp; Reed, G. M. (2017). A review of current evidence regarding the ICD-11 proposals for diagnosing PTSD and complex PTSD. </w:t>
      </w:r>
      <w:r w:rsidRPr="00C76CB7">
        <w:rPr>
          <w:rFonts w:ascii="Calibri" w:hAnsi="Calibri" w:cs="Calibri"/>
          <w:i/>
          <w:iCs/>
          <w:lang w:val="en-US"/>
        </w:rPr>
        <w:t>Clinical Psychology Review</w:t>
      </w:r>
      <w:r w:rsidRPr="00C76CB7">
        <w:rPr>
          <w:rFonts w:ascii="Calibri" w:hAnsi="Calibri" w:cs="Calibri"/>
          <w:lang w:val="en-US"/>
        </w:rPr>
        <w:t xml:space="preserve">, </w:t>
      </w:r>
      <w:r w:rsidRPr="00C76CB7">
        <w:rPr>
          <w:rFonts w:ascii="Calibri" w:hAnsi="Calibri" w:cs="Calibri"/>
          <w:i/>
          <w:iCs/>
          <w:lang w:val="en-US"/>
        </w:rPr>
        <w:t>58</w:t>
      </w:r>
      <w:r w:rsidRPr="00C76CB7">
        <w:rPr>
          <w:rFonts w:ascii="Calibri" w:hAnsi="Calibri" w:cs="Calibri"/>
          <w:lang w:val="en-US"/>
        </w:rPr>
        <w:t>, 1–15. https://doi.org/10.1016/j.cpr.2017.09.001</w:t>
      </w:r>
    </w:p>
    <w:p w14:paraId="67BFA73C"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Cloitre, M. (2020). ICD-11 complex post-traumatic stress disorder: Simplifying diagnosis in trauma populations. </w:t>
      </w:r>
      <w:r w:rsidRPr="00C76CB7">
        <w:rPr>
          <w:rFonts w:ascii="Calibri" w:hAnsi="Calibri" w:cs="Calibri"/>
          <w:i/>
          <w:iCs/>
          <w:lang w:val="en-US"/>
        </w:rPr>
        <w:t>The British Journal of Psychiatry</w:t>
      </w:r>
      <w:r w:rsidRPr="00C76CB7">
        <w:rPr>
          <w:rFonts w:ascii="Calibri" w:hAnsi="Calibri" w:cs="Calibri"/>
          <w:lang w:val="en-US"/>
        </w:rPr>
        <w:t xml:space="preserve">, </w:t>
      </w:r>
      <w:r w:rsidRPr="00C76CB7">
        <w:rPr>
          <w:rFonts w:ascii="Calibri" w:hAnsi="Calibri" w:cs="Calibri"/>
          <w:i/>
          <w:iCs/>
          <w:lang w:val="en-US"/>
        </w:rPr>
        <w:t>216</w:t>
      </w:r>
      <w:r w:rsidRPr="00C76CB7">
        <w:rPr>
          <w:rFonts w:ascii="Calibri" w:hAnsi="Calibri" w:cs="Calibri"/>
          <w:lang w:val="en-US"/>
        </w:rPr>
        <w:t>(3), 129–131. https://doi.org/10.1192/bjp.2020.43</w:t>
      </w:r>
    </w:p>
    <w:p w14:paraId="3E7F90F3"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Cloitre, M., Garvert, D. W., Brewin, C. R., Bryant, R. A., &amp; Maercker, A. (2013). Evidence for proposed ICD-11 PTSD and complex PTSD: A latent profile analysis. </w:t>
      </w:r>
      <w:r w:rsidRPr="00C76CB7">
        <w:rPr>
          <w:rFonts w:ascii="Calibri" w:hAnsi="Calibri" w:cs="Calibri"/>
          <w:i/>
          <w:iCs/>
          <w:lang w:val="en-US"/>
        </w:rPr>
        <w:t>European Journal of Psychotraumatology</w:t>
      </w:r>
      <w:r w:rsidRPr="00C76CB7">
        <w:rPr>
          <w:rFonts w:ascii="Calibri" w:hAnsi="Calibri" w:cs="Calibri"/>
          <w:lang w:val="en-US"/>
        </w:rPr>
        <w:t xml:space="preserve">, </w:t>
      </w:r>
      <w:r w:rsidRPr="00C76CB7">
        <w:rPr>
          <w:rFonts w:ascii="Calibri" w:hAnsi="Calibri" w:cs="Calibri"/>
          <w:i/>
          <w:iCs/>
          <w:lang w:val="en-US"/>
        </w:rPr>
        <w:t>4</w:t>
      </w:r>
      <w:r w:rsidRPr="00C76CB7">
        <w:rPr>
          <w:rFonts w:ascii="Calibri" w:hAnsi="Calibri" w:cs="Calibri"/>
          <w:lang w:val="en-US"/>
        </w:rPr>
        <w:t>(1), 20706. https://doi.org/10.3402/ejpt.v4i0.20706</w:t>
      </w:r>
    </w:p>
    <w:p w14:paraId="3EE88030"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Cloitre, M., Shevlin, M., Brewin, C. R., Bisson, J. I., Roberts, N. P., Maercker, A., Karatzias, T., &amp; Hyland, P. (2018). The International Trauma Questionnaire: Development of a self-report measure of ICD-11 PTSD and complex PTSD. </w:t>
      </w:r>
      <w:r w:rsidRPr="00C76CB7">
        <w:rPr>
          <w:rFonts w:ascii="Calibri" w:hAnsi="Calibri" w:cs="Calibri"/>
          <w:i/>
          <w:iCs/>
          <w:lang w:val="en-US"/>
        </w:rPr>
        <w:t>Acta Psychiatrica Scandinavica</w:t>
      </w:r>
      <w:r w:rsidRPr="00C76CB7">
        <w:rPr>
          <w:rFonts w:ascii="Calibri" w:hAnsi="Calibri" w:cs="Calibri"/>
          <w:lang w:val="en-US"/>
        </w:rPr>
        <w:t xml:space="preserve">, </w:t>
      </w:r>
      <w:r w:rsidRPr="00C76CB7">
        <w:rPr>
          <w:rFonts w:ascii="Calibri" w:hAnsi="Calibri" w:cs="Calibri"/>
          <w:i/>
          <w:iCs/>
          <w:lang w:val="en-US"/>
        </w:rPr>
        <w:t>138</w:t>
      </w:r>
      <w:r w:rsidRPr="00C76CB7">
        <w:rPr>
          <w:rFonts w:ascii="Calibri" w:hAnsi="Calibri" w:cs="Calibri"/>
          <w:lang w:val="en-US"/>
        </w:rPr>
        <w:t>(6), 536–546. https://doi.org/10.1111/acps.12956</w:t>
      </w:r>
    </w:p>
    <w:p w14:paraId="788A76F8"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Ekholm, O., Hesse, U., Davidsen, M., &amp; Kjøller, M. (2009). The study design and characteristics of the Danish national health interview surveys. </w:t>
      </w:r>
      <w:r w:rsidRPr="00C76CB7">
        <w:rPr>
          <w:rFonts w:ascii="Calibri" w:hAnsi="Calibri" w:cs="Calibri"/>
          <w:i/>
          <w:iCs/>
          <w:lang w:val="en-US"/>
        </w:rPr>
        <w:t>Scandinavian Journal of Public Health</w:t>
      </w:r>
      <w:r w:rsidRPr="00C76CB7">
        <w:rPr>
          <w:rFonts w:ascii="Calibri" w:hAnsi="Calibri" w:cs="Calibri"/>
          <w:lang w:val="en-US"/>
        </w:rPr>
        <w:t xml:space="preserve">, </w:t>
      </w:r>
      <w:r w:rsidRPr="00C76CB7">
        <w:rPr>
          <w:rFonts w:ascii="Calibri" w:hAnsi="Calibri" w:cs="Calibri"/>
          <w:i/>
          <w:iCs/>
          <w:lang w:val="en-US"/>
        </w:rPr>
        <w:t>37</w:t>
      </w:r>
      <w:r w:rsidRPr="00C76CB7">
        <w:rPr>
          <w:rFonts w:ascii="Calibri" w:hAnsi="Calibri" w:cs="Calibri"/>
          <w:lang w:val="en-US"/>
        </w:rPr>
        <w:t>(7), 758–765. https://doi.org/10.1177/1403494809341095</w:t>
      </w:r>
    </w:p>
    <w:p w14:paraId="7302F782" w14:textId="77777777" w:rsidR="00C76CB7" w:rsidRPr="00C76CB7" w:rsidRDefault="00C76CB7" w:rsidP="00C76CB7">
      <w:pPr>
        <w:pStyle w:val="Bibliografi"/>
        <w:rPr>
          <w:rFonts w:ascii="Calibri" w:hAnsi="Calibri" w:cs="Calibri"/>
        </w:rPr>
      </w:pPr>
      <w:r w:rsidRPr="00C76CB7">
        <w:rPr>
          <w:rFonts w:ascii="Calibri" w:hAnsi="Calibri" w:cs="Calibri"/>
          <w:lang w:val="en-US"/>
        </w:rPr>
        <w:lastRenderedPageBreak/>
        <w:t xml:space="preserve">Facer-Irwin, E., Karatzias, T., Bird, A., Blackwood, N., &amp; MacManus, D. (2021). PTSD and complex PTSD in sentenced male prisoners in the UK: Prevalence, trauma antecedents, and psychiatric comorbidities. </w:t>
      </w:r>
      <w:r w:rsidRPr="00C76CB7">
        <w:rPr>
          <w:rFonts w:ascii="Calibri" w:hAnsi="Calibri" w:cs="Calibri"/>
          <w:i/>
          <w:iCs/>
        </w:rPr>
        <w:t>Psychological Medicine</w:t>
      </w:r>
      <w:r w:rsidRPr="00C76CB7">
        <w:rPr>
          <w:rFonts w:ascii="Calibri" w:hAnsi="Calibri" w:cs="Calibri"/>
        </w:rPr>
        <w:t>, 1–11. https://doi.org/10.1017/S0033291720004936</w:t>
      </w:r>
    </w:p>
    <w:p w14:paraId="53DE3A53" w14:textId="77777777" w:rsidR="00C76CB7" w:rsidRPr="00C76CB7" w:rsidRDefault="00C76CB7" w:rsidP="00C76CB7">
      <w:pPr>
        <w:pStyle w:val="Bibliografi"/>
        <w:rPr>
          <w:rFonts w:ascii="Calibri" w:hAnsi="Calibri" w:cs="Calibri"/>
          <w:lang w:val="en-US"/>
        </w:rPr>
      </w:pPr>
      <w:r w:rsidRPr="00C76CB7">
        <w:rPr>
          <w:rFonts w:ascii="Calibri" w:hAnsi="Calibri" w:cs="Calibri"/>
        </w:rPr>
        <w:t xml:space="preserve">Folke, S., Nielsen, A. B. S., Andersen, S. B., Karatzias, T., &amp; Karstoft, K. I. (2019). </w:t>
      </w:r>
      <w:r w:rsidRPr="00C76CB7">
        <w:rPr>
          <w:rFonts w:ascii="Calibri" w:hAnsi="Calibri" w:cs="Calibri"/>
          <w:lang w:val="en-US"/>
        </w:rPr>
        <w:t xml:space="preserve">ICD-11 PTSD and complex PTSD in treatment-seeking Danish veterans: A latent profile analysis. </w:t>
      </w:r>
      <w:r w:rsidRPr="00C76CB7">
        <w:rPr>
          <w:rFonts w:ascii="Calibri" w:hAnsi="Calibri" w:cs="Calibri"/>
          <w:i/>
          <w:iCs/>
          <w:lang w:val="en-US"/>
        </w:rPr>
        <w:t>European Journal of Psychotraumatology</w:t>
      </w:r>
      <w:r w:rsidRPr="00C76CB7">
        <w:rPr>
          <w:rFonts w:ascii="Calibri" w:hAnsi="Calibri" w:cs="Calibri"/>
          <w:lang w:val="en-US"/>
        </w:rPr>
        <w:t xml:space="preserve">, </w:t>
      </w:r>
      <w:r w:rsidRPr="00C76CB7">
        <w:rPr>
          <w:rFonts w:ascii="Calibri" w:hAnsi="Calibri" w:cs="Calibri"/>
          <w:i/>
          <w:iCs/>
          <w:lang w:val="en-US"/>
        </w:rPr>
        <w:t>10</w:t>
      </w:r>
      <w:r w:rsidRPr="00C76CB7">
        <w:rPr>
          <w:rFonts w:ascii="Calibri" w:hAnsi="Calibri" w:cs="Calibri"/>
          <w:lang w:val="en-US"/>
        </w:rPr>
        <w:t>(1), 1686806. https://doi.org/10.1080/20008198.2019.1686806</w:t>
      </w:r>
    </w:p>
    <w:p w14:paraId="0F7064FC"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Folke, S., Nielsen, A. B. S., &amp; Karstoft, K.-I. (2021). PTSD and complex PTSD in treatment-seeking Danish soldiers: A replication of Folke et al. (2019) using the International Trauma Questionnaire. </w:t>
      </w:r>
      <w:r w:rsidRPr="00C76CB7">
        <w:rPr>
          <w:rFonts w:ascii="Calibri" w:hAnsi="Calibri" w:cs="Calibri"/>
          <w:i/>
          <w:iCs/>
          <w:lang w:val="en-US"/>
        </w:rPr>
        <w:t>European Journal of Psychotraumatology</w:t>
      </w:r>
      <w:r w:rsidRPr="00C76CB7">
        <w:rPr>
          <w:rFonts w:ascii="Calibri" w:hAnsi="Calibri" w:cs="Calibri"/>
          <w:lang w:val="en-US"/>
        </w:rPr>
        <w:t xml:space="preserve">, </w:t>
      </w:r>
      <w:r w:rsidRPr="00C76CB7">
        <w:rPr>
          <w:rFonts w:ascii="Calibri" w:hAnsi="Calibri" w:cs="Calibri"/>
          <w:i/>
          <w:iCs/>
          <w:lang w:val="en-US"/>
        </w:rPr>
        <w:t>12</w:t>
      </w:r>
      <w:r w:rsidRPr="00C76CB7">
        <w:rPr>
          <w:rFonts w:ascii="Calibri" w:hAnsi="Calibri" w:cs="Calibri"/>
          <w:lang w:val="en-US"/>
        </w:rPr>
        <w:t>(1), 1930703. https://doi.org/10.1080/20008198.2021.1930703</w:t>
      </w:r>
    </w:p>
    <w:p w14:paraId="65DEE16D" w14:textId="77777777" w:rsidR="00C76CB7" w:rsidRPr="00C76CB7" w:rsidRDefault="00C76CB7" w:rsidP="00C76CB7">
      <w:pPr>
        <w:pStyle w:val="Bibliografi"/>
        <w:rPr>
          <w:rFonts w:ascii="Calibri" w:hAnsi="Calibri" w:cs="Calibri"/>
          <w:lang w:val="en-US"/>
        </w:rPr>
      </w:pPr>
      <w:r w:rsidRPr="00C76CB7">
        <w:rPr>
          <w:rFonts w:ascii="Calibri" w:hAnsi="Calibri" w:cs="Calibri"/>
        </w:rPr>
        <w:t xml:space="preserve">Hansen, M., Vægter, H. B., Cloitre, M., &amp; Andersen, T. E. (2021). </w:t>
      </w:r>
      <w:r w:rsidRPr="00C76CB7">
        <w:rPr>
          <w:rFonts w:ascii="Calibri" w:hAnsi="Calibri" w:cs="Calibri"/>
          <w:lang w:val="en-US"/>
        </w:rPr>
        <w:t xml:space="preserve">Validation of the Danish International Trauma Questionnaire for posttraumatic stress disorder in chronic pain patients using clinician-rated diagnostic interviews. </w:t>
      </w:r>
      <w:r w:rsidRPr="00C76CB7">
        <w:rPr>
          <w:rFonts w:ascii="Calibri" w:hAnsi="Calibri" w:cs="Calibri"/>
          <w:i/>
          <w:iCs/>
          <w:lang w:val="en-US"/>
        </w:rPr>
        <w:t>European Journal of Psychotraumatology</w:t>
      </w:r>
      <w:r w:rsidRPr="00C76CB7">
        <w:rPr>
          <w:rFonts w:ascii="Calibri" w:hAnsi="Calibri" w:cs="Calibri"/>
          <w:lang w:val="en-US"/>
        </w:rPr>
        <w:t xml:space="preserve">, </w:t>
      </w:r>
      <w:r w:rsidRPr="00C76CB7">
        <w:rPr>
          <w:rFonts w:ascii="Calibri" w:hAnsi="Calibri" w:cs="Calibri"/>
          <w:i/>
          <w:iCs/>
          <w:lang w:val="en-US"/>
        </w:rPr>
        <w:t>12</w:t>
      </w:r>
      <w:r w:rsidRPr="00C76CB7">
        <w:rPr>
          <w:rFonts w:ascii="Calibri" w:hAnsi="Calibri" w:cs="Calibri"/>
          <w:lang w:val="en-US"/>
        </w:rPr>
        <w:t>(1). https://doi.org/10.1080/20008198.2021.1880747</w:t>
      </w:r>
    </w:p>
    <w:p w14:paraId="327AF02F"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Hitch, C., Toner, P., &amp; Armour, C. (2020, oktober 1). </w:t>
      </w:r>
      <w:r w:rsidRPr="00C76CB7">
        <w:rPr>
          <w:rFonts w:ascii="Calibri" w:hAnsi="Calibri" w:cs="Calibri"/>
          <w:i/>
          <w:iCs/>
          <w:lang w:val="en-US"/>
        </w:rPr>
        <w:t>Latent class analysis of Northern Ireland veterans regarding mental health and alcohol issues: Society for the Study of Addiction</w:t>
      </w:r>
      <w:r w:rsidRPr="00C76CB7">
        <w:rPr>
          <w:rFonts w:ascii="Calibri" w:hAnsi="Calibri" w:cs="Calibri"/>
          <w:lang w:val="en-US"/>
        </w:rPr>
        <w:t>.</w:t>
      </w:r>
    </w:p>
    <w:p w14:paraId="315D0FE5"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Hyland, P., Murphy, J., Shevlin, M., Vallières, F., McElroy, E., Elklit, A., Christoffersen, M., &amp; Cloitre, M. (2017a). Variation in post-traumatic response: The role of trauma type in predicting ICD-11 PTSD and CPTSD symptoms. </w:t>
      </w:r>
      <w:r w:rsidRPr="00C76CB7">
        <w:rPr>
          <w:rFonts w:ascii="Calibri" w:hAnsi="Calibri" w:cs="Calibri"/>
          <w:i/>
          <w:iCs/>
          <w:lang w:val="en-US"/>
        </w:rPr>
        <w:t>Social Psychiatry and Psychiatric Epidemiology</w:t>
      </w:r>
      <w:r w:rsidRPr="00C76CB7">
        <w:rPr>
          <w:rFonts w:ascii="Calibri" w:hAnsi="Calibri" w:cs="Calibri"/>
          <w:lang w:val="en-US"/>
        </w:rPr>
        <w:t>. https://doi.org/10.1007/s00127-017-1350-8</w:t>
      </w:r>
    </w:p>
    <w:p w14:paraId="5A378F58"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Hyland, P., Murphy, J., Shevlin, M., Vallières, F., McElroy, E., Elklit, A., Christoffersen, M., &amp; Cloitre, M. (2017b). Variation in post-traumatic response: The role of trauma type in predicting ICD-11 PTSD and CPTSD symptoms. </w:t>
      </w:r>
      <w:r w:rsidRPr="00C76CB7">
        <w:rPr>
          <w:rFonts w:ascii="Calibri" w:hAnsi="Calibri" w:cs="Calibri"/>
          <w:i/>
          <w:iCs/>
          <w:lang w:val="en-US"/>
        </w:rPr>
        <w:t>Social Psychiatry and Psychiatric Epidemiology</w:t>
      </w:r>
      <w:r w:rsidRPr="00C76CB7">
        <w:rPr>
          <w:rFonts w:ascii="Calibri" w:hAnsi="Calibri" w:cs="Calibri"/>
          <w:lang w:val="en-US"/>
        </w:rPr>
        <w:t>. https://doi.org/10.1007/s00127-017-1350-8</w:t>
      </w:r>
    </w:p>
    <w:p w14:paraId="208303EE"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lastRenderedPageBreak/>
        <w:t xml:space="preserve">Hyland, P., Shevlin, M., Fyvie, C., &amp; Karatzias, T. (2018). Posttraumatic Stress Disorder and Complex Posttraumatic Stress Disorder in DSM‐5 and ICD‐11: Clinical and Behavioral Correlates. </w:t>
      </w:r>
      <w:r w:rsidRPr="00C76CB7">
        <w:rPr>
          <w:rFonts w:ascii="Calibri" w:hAnsi="Calibri" w:cs="Calibri"/>
          <w:i/>
          <w:iCs/>
          <w:lang w:val="en-US"/>
        </w:rPr>
        <w:t>Journal of Traumatic Stress</w:t>
      </w:r>
      <w:r w:rsidRPr="00C76CB7">
        <w:rPr>
          <w:rFonts w:ascii="Calibri" w:hAnsi="Calibri" w:cs="Calibri"/>
          <w:lang w:val="en-US"/>
        </w:rPr>
        <w:t xml:space="preserve">, </w:t>
      </w:r>
      <w:r w:rsidRPr="00C76CB7">
        <w:rPr>
          <w:rFonts w:ascii="Calibri" w:hAnsi="Calibri" w:cs="Calibri"/>
          <w:i/>
          <w:iCs/>
          <w:lang w:val="en-US"/>
        </w:rPr>
        <w:t>31</w:t>
      </w:r>
      <w:r w:rsidRPr="00C76CB7">
        <w:rPr>
          <w:rFonts w:ascii="Calibri" w:hAnsi="Calibri" w:cs="Calibri"/>
          <w:lang w:val="en-US"/>
        </w:rPr>
        <w:t>(2), Article 2. http://dx.doi.org/10.1002/jts.22272</w:t>
      </w:r>
    </w:p>
    <w:p w14:paraId="5D3A7695"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Karatzias, T., Hyland, P., Bradley, A., Cloitre, M., Roberts, N., Bisson, J., &amp; Shevlin, M. (2019). Risk factors and comorbidity of ICD‐11 PTSD and complex PTSD: Findings from a trauma‐exposed population based sample of adults in the United Kingdom. </w:t>
      </w:r>
      <w:r w:rsidRPr="00C76CB7">
        <w:rPr>
          <w:rFonts w:ascii="Calibri" w:hAnsi="Calibri" w:cs="Calibri"/>
          <w:i/>
          <w:iCs/>
          <w:lang w:val="en-US"/>
        </w:rPr>
        <w:t>Depression and Anxiety</w:t>
      </w:r>
      <w:r w:rsidRPr="00C76CB7">
        <w:rPr>
          <w:rFonts w:ascii="Calibri" w:hAnsi="Calibri" w:cs="Calibri"/>
          <w:lang w:val="en-US"/>
        </w:rPr>
        <w:t xml:space="preserve">, </w:t>
      </w:r>
      <w:r w:rsidRPr="00C76CB7">
        <w:rPr>
          <w:rFonts w:ascii="Calibri" w:hAnsi="Calibri" w:cs="Calibri"/>
          <w:i/>
          <w:iCs/>
          <w:lang w:val="en-US"/>
        </w:rPr>
        <w:t>36</w:t>
      </w:r>
      <w:r w:rsidRPr="00C76CB7">
        <w:rPr>
          <w:rFonts w:ascii="Calibri" w:hAnsi="Calibri" w:cs="Calibri"/>
          <w:lang w:val="en-US"/>
        </w:rPr>
        <w:t>. https://doi.org/10.1002/da.22934</w:t>
      </w:r>
    </w:p>
    <w:p w14:paraId="26E42A04"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Karatzias, T., Murphy, P., Cloitre, M., Bisson, J., Roberts, N., Shevlin, M., Hyland, P., Maercker, A., Ben-Ezra, M., Coventry, P., Mason-Roberts, S., Bradley, A., &amp; Hutton, P. (2019). Psychological interventions for ICD-11 complex PTSD symptoms: Systematic review and meta-analysis. </w:t>
      </w:r>
      <w:r w:rsidRPr="00C76CB7">
        <w:rPr>
          <w:rFonts w:ascii="Calibri" w:hAnsi="Calibri" w:cs="Calibri"/>
          <w:i/>
          <w:iCs/>
          <w:lang w:val="en-US"/>
        </w:rPr>
        <w:t>Psychological Medicine</w:t>
      </w:r>
      <w:r w:rsidRPr="00C76CB7">
        <w:rPr>
          <w:rFonts w:ascii="Calibri" w:hAnsi="Calibri" w:cs="Calibri"/>
          <w:lang w:val="en-US"/>
        </w:rPr>
        <w:t xml:space="preserve">, </w:t>
      </w:r>
      <w:r w:rsidRPr="00C76CB7">
        <w:rPr>
          <w:rFonts w:ascii="Calibri" w:hAnsi="Calibri" w:cs="Calibri"/>
          <w:i/>
          <w:iCs/>
          <w:lang w:val="en-US"/>
        </w:rPr>
        <w:t>49</w:t>
      </w:r>
      <w:r w:rsidRPr="00C76CB7">
        <w:rPr>
          <w:rFonts w:ascii="Calibri" w:hAnsi="Calibri" w:cs="Calibri"/>
          <w:lang w:val="en-US"/>
        </w:rPr>
        <w:t>(11), 1761–1775. https://doi.org/10.1017/S0033291719000436</w:t>
      </w:r>
    </w:p>
    <w:p w14:paraId="1A2CA6E9"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Karatzias, T., Shevlin, M., Fyvie, C., Hyland, P., Efthymiadou, E., Wilson, D., Roberts, N., Bisson, J. I., Brewin, C. R., &amp; Cloitre, M. (2016). An initial psychometric assessment of an ICD-11 based measure of PTSD and complex PTSD (ICD-TQ): Evidence of construct validity. </w:t>
      </w:r>
      <w:r w:rsidRPr="00C76CB7">
        <w:rPr>
          <w:rFonts w:ascii="Calibri" w:hAnsi="Calibri" w:cs="Calibri"/>
          <w:i/>
          <w:iCs/>
          <w:lang w:val="en-US"/>
        </w:rPr>
        <w:t>Journal of Anxiety Disorders</w:t>
      </w:r>
      <w:r w:rsidRPr="00C76CB7">
        <w:rPr>
          <w:rFonts w:ascii="Calibri" w:hAnsi="Calibri" w:cs="Calibri"/>
          <w:lang w:val="en-US"/>
        </w:rPr>
        <w:t xml:space="preserve">, </w:t>
      </w:r>
      <w:r w:rsidRPr="00C76CB7">
        <w:rPr>
          <w:rFonts w:ascii="Calibri" w:hAnsi="Calibri" w:cs="Calibri"/>
          <w:i/>
          <w:iCs/>
          <w:lang w:val="en-US"/>
        </w:rPr>
        <w:t>44</w:t>
      </w:r>
      <w:r w:rsidRPr="00C76CB7">
        <w:rPr>
          <w:rFonts w:ascii="Calibri" w:hAnsi="Calibri" w:cs="Calibri"/>
          <w:lang w:val="en-US"/>
        </w:rPr>
        <w:t>, 73–79. https://doi.org/10.1016/j.janxdis.2016.10.009</w:t>
      </w:r>
    </w:p>
    <w:p w14:paraId="3E0BE8C0"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Karatzias, T., Shevlin, M., Fyvie, C., Hyland, P., Efthymiadou, E., Wilson, D., Roberts, N., Bisson, J. I., Brewin, C. R., &amp; Cloitre, M. (2017). Evidence of distinct profiles of Posttraumatic Stress Disorder (PTSD) and Complex Posttraumatic Stress Disorder (CPTSD) based on the new ICD-11 Trauma Questionnaire (ICD-TQ). </w:t>
      </w:r>
      <w:r w:rsidRPr="00C76CB7">
        <w:rPr>
          <w:rFonts w:ascii="Calibri" w:hAnsi="Calibri" w:cs="Calibri"/>
          <w:i/>
          <w:iCs/>
          <w:lang w:val="en-US"/>
        </w:rPr>
        <w:t>Journal of Affective Disorders</w:t>
      </w:r>
      <w:r w:rsidRPr="00C76CB7">
        <w:rPr>
          <w:rFonts w:ascii="Calibri" w:hAnsi="Calibri" w:cs="Calibri"/>
          <w:lang w:val="en-US"/>
        </w:rPr>
        <w:t xml:space="preserve">, </w:t>
      </w:r>
      <w:r w:rsidRPr="00C76CB7">
        <w:rPr>
          <w:rFonts w:ascii="Calibri" w:hAnsi="Calibri" w:cs="Calibri"/>
          <w:i/>
          <w:iCs/>
          <w:lang w:val="en-US"/>
        </w:rPr>
        <w:t>207</w:t>
      </w:r>
      <w:r w:rsidRPr="00C76CB7">
        <w:rPr>
          <w:rFonts w:ascii="Calibri" w:hAnsi="Calibri" w:cs="Calibri"/>
          <w:lang w:val="en-US"/>
        </w:rPr>
        <w:t>, 181–187. https://doi.org/10.1016/j.jad.2016.09.032</w:t>
      </w:r>
    </w:p>
    <w:p w14:paraId="69ECD8C0"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Knefel, M., Garvert, D. W., Cloitre, M., &amp; Lueger-Schuster, B. (2015). Update to an evaluation of ICD-11 PTSD and complex PTSD criteria in a sample of adult survivors of childhood institutional abuse by Knefel &amp; Lueger-Schuster (2013): A latent profile analysis. </w:t>
      </w:r>
      <w:r w:rsidRPr="00C76CB7">
        <w:rPr>
          <w:rFonts w:ascii="Calibri" w:hAnsi="Calibri" w:cs="Calibri"/>
          <w:i/>
          <w:iCs/>
          <w:lang w:val="en-US"/>
        </w:rPr>
        <w:t>European Journal of Psychotraumatology</w:t>
      </w:r>
      <w:r w:rsidRPr="00C76CB7">
        <w:rPr>
          <w:rFonts w:ascii="Calibri" w:hAnsi="Calibri" w:cs="Calibri"/>
          <w:lang w:val="en-US"/>
        </w:rPr>
        <w:t xml:space="preserve">, </w:t>
      </w:r>
      <w:r w:rsidRPr="00C76CB7">
        <w:rPr>
          <w:rFonts w:ascii="Calibri" w:hAnsi="Calibri" w:cs="Calibri"/>
          <w:i/>
          <w:iCs/>
          <w:lang w:val="en-US"/>
        </w:rPr>
        <w:t>6</w:t>
      </w:r>
      <w:r w:rsidRPr="00C76CB7">
        <w:rPr>
          <w:rFonts w:ascii="Calibri" w:hAnsi="Calibri" w:cs="Calibri"/>
          <w:lang w:val="en-US"/>
        </w:rPr>
        <w:t>(1), 25290. https://doi.org/10.3402/ejpt.v6.25290</w:t>
      </w:r>
    </w:p>
    <w:p w14:paraId="3E443722"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Kubany, E. S., Leisen, M. B., Kaplan, A. S., Watson, S. B., Haynes, S. N., Owens, J. a., &amp; Burns, K. (2000). Development and preliminary validation of a brief broad-spectrum measure of trauma exposure: </w:t>
      </w:r>
      <w:r w:rsidRPr="00C76CB7">
        <w:rPr>
          <w:rFonts w:ascii="Calibri" w:hAnsi="Calibri" w:cs="Calibri"/>
          <w:lang w:val="en-US"/>
        </w:rPr>
        <w:lastRenderedPageBreak/>
        <w:t xml:space="preserve">The Traumatic Life Events Questionnaire. </w:t>
      </w:r>
      <w:r w:rsidRPr="00C76CB7">
        <w:rPr>
          <w:rFonts w:ascii="Calibri" w:hAnsi="Calibri" w:cs="Calibri"/>
          <w:i/>
          <w:iCs/>
          <w:lang w:val="en-US"/>
        </w:rPr>
        <w:t>Psychological Assessment</w:t>
      </w:r>
      <w:r w:rsidRPr="00C76CB7">
        <w:rPr>
          <w:rFonts w:ascii="Calibri" w:hAnsi="Calibri" w:cs="Calibri"/>
          <w:lang w:val="en-US"/>
        </w:rPr>
        <w:t xml:space="preserve">, </w:t>
      </w:r>
      <w:r w:rsidRPr="00C76CB7">
        <w:rPr>
          <w:rFonts w:ascii="Calibri" w:hAnsi="Calibri" w:cs="Calibri"/>
          <w:i/>
          <w:iCs/>
          <w:lang w:val="en-US"/>
        </w:rPr>
        <w:t>12</w:t>
      </w:r>
      <w:r w:rsidRPr="00C76CB7">
        <w:rPr>
          <w:rFonts w:ascii="Calibri" w:hAnsi="Calibri" w:cs="Calibri"/>
          <w:lang w:val="en-US"/>
        </w:rPr>
        <w:t>(2), 210–224. https://doi.org/10.1037//1040-3590.12.2.210</w:t>
      </w:r>
    </w:p>
    <w:p w14:paraId="5A03F714"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Letica-Crepulja, M., Stevanović, A., Protuđer, M., Grahovac Juretić, T., Rebić, J., &amp; Frančišković, T. (2020). Complex PTSD among treatment-seeking veterans with PTSD. </w:t>
      </w:r>
      <w:r w:rsidRPr="00C76CB7">
        <w:rPr>
          <w:rFonts w:ascii="Calibri" w:hAnsi="Calibri" w:cs="Calibri"/>
          <w:i/>
          <w:iCs/>
          <w:lang w:val="en-US"/>
        </w:rPr>
        <w:t>European Journal of Psychotraumatology</w:t>
      </w:r>
      <w:r w:rsidRPr="00C76CB7">
        <w:rPr>
          <w:rFonts w:ascii="Calibri" w:hAnsi="Calibri" w:cs="Calibri"/>
          <w:lang w:val="en-US"/>
        </w:rPr>
        <w:t xml:space="preserve">, </w:t>
      </w:r>
      <w:r w:rsidRPr="00C76CB7">
        <w:rPr>
          <w:rFonts w:ascii="Calibri" w:hAnsi="Calibri" w:cs="Calibri"/>
          <w:i/>
          <w:iCs/>
          <w:lang w:val="en-US"/>
        </w:rPr>
        <w:t>11</w:t>
      </w:r>
      <w:r w:rsidRPr="00C76CB7">
        <w:rPr>
          <w:rFonts w:ascii="Calibri" w:hAnsi="Calibri" w:cs="Calibri"/>
          <w:lang w:val="en-US"/>
        </w:rPr>
        <w:t>(1), 1716593. https://doi.org/10.1080/20008198.2020.1716593</w:t>
      </w:r>
    </w:p>
    <w:p w14:paraId="652AB166"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Lovibond, S. M., &amp; Lovibond, P. F. (1995). </w:t>
      </w:r>
      <w:r w:rsidRPr="00C76CB7">
        <w:rPr>
          <w:rFonts w:ascii="Calibri" w:hAnsi="Calibri" w:cs="Calibri"/>
          <w:i/>
          <w:iCs/>
          <w:lang w:val="en-US"/>
        </w:rPr>
        <w:t>Manual for the Depression Anxiety Stress Scales</w:t>
      </w:r>
      <w:r w:rsidRPr="00C76CB7">
        <w:rPr>
          <w:rFonts w:ascii="Calibri" w:hAnsi="Calibri" w:cs="Calibri"/>
          <w:lang w:val="en-US"/>
        </w:rPr>
        <w:t>. Psychology Foundation.</w:t>
      </w:r>
    </w:p>
    <w:p w14:paraId="31E48EEA"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Maercker, A., Brewin, C. R., Bryant, R. A., Cloitre, M., Van Ommeren, M., Jones, L. M., Humayan, A., Kagee, A., Llosa, A. E., Rousseau, C., Somasundaram, D. J., Souza, R., Suzuki, Y., Weissbecker, I., Wessely, S. C., First, M. B., &amp; Reed, G. M. (2013). Diagnosis and classification of disorders specifically associated with stress: Proposals for ICD-11. </w:t>
      </w:r>
      <w:r w:rsidRPr="00C76CB7">
        <w:rPr>
          <w:rFonts w:ascii="Calibri" w:hAnsi="Calibri" w:cs="Calibri"/>
          <w:i/>
          <w:iCs/>
          <w:lang w:val="en-US"/>
        </w:rPr>
        <w:t>World Psychiatry</w:t>
      </w:r>
      <w:r w:rsidRPr="00C76CB7">
        <w:rPr>
          <w:rFonts w:ascii="Calibri" w:hAnsi="Calibri" w:cs="Calibri"/>
          <w:lang w:val="en-US"/>
        </w:rPr>
        <w:t>. https://doi.org/10.1002/wps.20057</w:t>
      </w:r>
    </w:p>
    <w:p w14:paraId="284B8053"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Murphy, D., Karatzias, T., Busuttil, W., Greenberg, N., &amp; Shevlin, M. (2021). ICD-11 posttraumatic stress disorder (PTSD) and complex PTSD (CPTSD) in treatment seeking veterans: Risk factors and comorbidity. </w:t>
      </w:r>
      <w:r w:rsidRPr="00C76CB7">
        <w:rPr>
          <w:rFonts w:ascii="Calibri" w:hAnsi="Calibri" w:cs="Calibri"/>
          <w:i/>
          <w:iCs/>
          <w:lang w:val="en-US"/>
        </w:rPr>
        <w:t>Social Psychiatry and Psychiatric Epidemiology</w:t>
      </w:r>
      <w:r w:rsidRPr="00C76CB7">
        <w:rPr>
          <w:rFonts w:ascii="Calibri" w:hAnsi="Calibri" w:cs="Calibri"/>
          <w:lang w:val="en-US"/>
        </w:rPr>
        <w:t xml:space="preserve">, </w:t>
      </w:r>
      <w:r w:rsidRPr="00C76CB7">
        <w:rPr>
          <w:rFonts w:ascii="Calibri" w:hAnsi="Calibri" w:cs="Calibri"/>
          <w:i/>
          <w:iCs/>
          <w:lang w:val="en-US"/>
        </w:rPr>
        <w:t>56</w:t>
      </w:r>
      <w:r w:rsidRPr="00C76CB7">
        <w:rPr>
          <w:rFonts w:ascii="Calibri" w:hAnsi="Calibri" w:cs="Calibri"/>
          <w:lang w:val="en-US"/>
        </w:rPr>
        <w:t>(7), 1289–1298. https://doi.org/10.1007/s00127-021-02028-6</w:t>
      </w:r>
    </w:p>
    <w:p w14:paraId="7386B768"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Murphy, D., Shevlin, M., Pearson, E., Greenberg, N., Wessely, S., Busuttil, W., &amp; Karatzias, T. (2020). A validation study of the International Trauma Questionnaire to assess post-traumatic stress disorder in treatment-seeking veterans. </w:t>
      </w:r>
      <w:r w:rsidRPr="00C76CB7">
        <w:rPr>
          <w:rFonts w:ascii="Calibri" w:hAnsi="Calibri" w:cs="Calibri"/>
          <w:i/>
          <w:iCs/>
          <w:lang w:val="en-US"/>
        </w:rPr>
        <w:t>The British Journal of Psychiatry</w:t>
      </w:r>
      <w:r w:rsidRPr="00C76CB7">
        <w:rPr>
          <w:rFonts w:ascii="Calibri" w:hAnsi="Calibri" w:cs="Calibri"/>
          <w:lang w:val="en-US"/>
        </w:rPr>
        <w:t xml:space="preserve">, </w:t>
      </w:r>
      <w:r w:rsidRPr="00C76CB7">
        <w:rPr>
          <w:rFonts w:ascii="Calibri" w:hAnsi="Calibri" w:cs="Calibri"/>
          <w:i/>
          <w:iCs/>
          <w:lang w:val="en-US"/>
        </w:rPr>
        <w:t>216</w:t>
      </w:r>
      <w:r w:rsidRPr="00C76CB7">
        <w:rPr>
          <w:rFonts w:ascii="Calibri" w:hAnsi="Calibri" w:cs="Calibri"/>
          <w:lang w:val="en-US"/>
        </w:rPr>
        <w:t>(3), 132–137. https://doi.org/10.1192/bjp.2020.9</w:t>
      </w:r>
    </w:p>
    <w:p w14:paraId="12370705" w14:textId="77777777" w:rsidR="00C76CB7" w:rsidRPr="00C76CB7" w:rsidRDefault="00C76CB7" w:rsidP="00C76CB7">
      <w:pPr>
        <w:pStyle w:val="Bibliografi"/>
        <w:rPr>
          <w:rFonts w:ascii="Calibri" w:hAnsi="Calibri" w:cs="Calibri"/>
        </w:rPr>
      </w:pPr>
      <w:r w:rsidRPr="00C76CB7">
        <w:rPr>
          <w:rFonts w:ascii="Calibri" w:hAnsi="Calibri" w:cs="Calibri"/>
          <w:lang w:val="en-US"/>
        </w:rPr>
        <w:t xml:space="preserve">Ottosen, M. H., &amp; Østergaard, S. V. (2018). </w:t>
      </w:r>
      <w:r w:rsidRPr="00C76CB7">
        <w:rPr>
          <w:rFonts w:ascii="Calibri" w:hAnsi="Calibri" w:cs="Calibri"/>
          <w:i/>
          <w:iCs/>
        </w:rPr>
        <w:t>Psykisk partnervold: En kvantitativ kortlægning</w:t>
      </w:r>
      <w:r w:rsidRPr="00C76CB7">
        <w:rPr>
          <w:rFonts w:ascii="Calibri" w:hAnsi="Calibri" w:cs="Calibri"/>
        </w:rPr>
        <w:t xml:space="preserve"> (1. udg.). VIVE-Det Nationale Forsknings-og Analysecenter for Velfærd.</w:t>
      </w:r>
    </w:p>
    <w:p w14:paraId="64151691" w14:textId="77777777" w:rsidR="00C76CB7" w:rsidRPr="00C76CB7" w:rsidRDefault="00C76CB7" w:rsidP="00C76CB7">
      <w:pPr>
        <w:pStyle w:val="Bibliografi"/>
        <w:rPr>
          <w:rFonts w:ascii="Calibri" w:hAnsi="Calibri" w:cs="Calibri"/>
          <w:lang w:val="en-US"/>
        </w:rPr>
      </w:pPr>
      <w:r w:rsidRPr="00C76CB7">
        <w:rPr>
          <w:rFonts w:ascii="Calibri" w:hAnsi="Calibri" w:cs="Calibri"/>
        </w:rPr>
        <w:t xml:space="preserve">Palic, S., Zerach, G., Shevlin, M., Zeligman, Z., Elklit, A., &amp; Solomon, Z. (2016). </w:t>
      </w:r>
      <w:r w:rsidRPr="00C76CB7">
        <w:rPr>
          <w:rFonts w:ascii="Calibri" w:hAnsi="Calibri" w:cs="Calibri"/>
          <w:lang w:val="en-US"/>
        </w:rPr>
        <w:t xml:space="preserve">Evidence of complex posttraumatic stress disorder (CPTSD) across populations with prolonged trauma of varying interpersonal intensity and ages of exposure. </w:t>
      </w:r>
      <w:r w:rsidRPr="00C76CB7">
        <w:rPr>
          <w:rFonts w:ascii="Calibri" w:hAnsi="Calibri" w:cs="Calibri"/>
          <w:i/>
          <w:iCs/>
          <w:lang w:val="en-US"/>
        </w:rPr>
        <w:t>Psychiatry Research</w:t>
      </w:r>
      <w:r w:rsidRPr="00C76CB7">
        <w:rPr>
          <w:rFonts w:ascii="Calibri" w:hAnsi="Calibri" w:cs="Calibri"/>
          <w:lang w:val="en-US"/>
        </w:rPr>
        <w:t xml:space="preserve">, </w:t>
      </w:r>
      <w:r w:rsidRPr="00C76CB7">
        <w:rPr>
          <w:rFonts w:ascii="Calibri" w:hAnsi="Calibri" w:cs="Calibri"/>
          <w:i/>
          <w:iCs/>
          <w:lang w:val="en-US"/>
        </w:rPr>
        <w:t>246</w:t>
      </w:r>
      <w:r w:rsidRPr="00C76CB7">
        <w:rPr>
          <w:rFonts w:ascii="Calibri" w:hAnsi="Calibri" w:cs="Calibri"/>
          <w:lang w:val="en-US"/>
        </w:rPr>
        <w:t>, 692–699. https://doi.org/10.1016/j.psychres.2016.10.062</w:t>
      </w:r>
    </w:p>
    <w:p w14:paraId="180FAB05"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lastRenderedPageBreak/>
        <w:t xml:space="preserve">Redican, E., Nolan, E., Hyland, P., Cloitre, M., McBride, O., Karatzias, T., Murphy, J., &amp; Shevlin, M. (2021). A systematic literature review of factor analytic and mixture models of ICD-11 PTSD and CPTSD using the International Trauma Questionnaire. </w:t>
      </w:r>
      <w:r w:rsidRPr="00C76CB7">
        <w:rPr>
          <w:rFonts w:ascii="Calibri" w:hAnsi="Calibri" w:cs="Calibri"/>
          <w:i/>
          <w:iCs/>
          <w:lang w:val="en-US"/>
        </w:rPr>
        <w:t>Journal of Anxiety Disorders</w:t>
      </w:r>
      <w:r w:rsidRPr="00C76CB7">
        <w:rPr>
          <w:rFonts w:ascii="Calibri" w:hAnsi="Calibri" w:cs="Calibri"/>
          <w:lang w:val="en-US"/>
        </w:rPr>
        <w:t xml:space="preserve">, </w:t>
      </w:r>
      <w:r w:rsidRPr="00C76CB7">
        <w:rPr>
          <w:rFonts w:ascii="Calibri" w:hAnsi="Calibri" w:cs="Calibri"/>
          <w:i/>
          <w:iCs/>
          <w:lang w:val="en-US"/>
        </w:rPr>
        <w:t>79</w:t>
      </w:r>
      <w:r w:rsidRPr="00C76CB7">
        <w:rPr>
          <w:rFonts w:ascii="Calibri" w:hAnsi="Calibri" w:cs="Calibri"/>
          <w:lang w:val="en-US"/>
        </w:rPr>
        <w:t>, 102381. https://doi.org/10.1016/j.janxdis.2021.102381</w:t>
      </w:r>
    </w:p>
    <w:p w14:paraId="2C209956"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Saunders, J. B., Aasland, O. G., Babor, T. F., De La Fuente, J. R., &amp; Grant, M. (1993). Development of the Alcohol Use Disorders Identification Test (AUDIT): WHO Collaborative Project on Early Detection of Persons with Harmful Alcohol Consumption-II. </w:t>
      </w:r>
      <w:r w:rsidRPr="00C76CB7">
        <w:rPr>
          <w:rFonts w:ascii="Calibri" w:hAnsi="Calibri" w:cs="Calibri"/>
          <w:i/>
          <w:iCs/>
          <w:lang w:val="en-US"/>
        </w:rPr>
        <w:t>Addiction</w:t>
      </w:r>
      <w:r w:rsidRPr="00C76CB7">
        <w:rPr>
          <w:rFonts w:ascii="Calibri" w:hAnsi="Calibri" w:cs="Calibri"/>
          <w:lang w:val="en-US"/>
        </w:rPr>
        <w:t xml:space="preserve">, </w:t>
      </w:r>
      <w:r w:rsidRPr="00C76CB7">
        <w:rPr>
          <w:rFonts w:ascii="Calibri" w:hAnsi="Calibri" w:cs="Calibri"/>
          <w:i/>
          <w:iCs/>
          <w:lang w:val="en-US"/>
        </w:rPr>
        <w:t>88</w:t>
      </w:r>
      <w:r w:rsidRPr="00C76CB7">
        <w:rPr>
          <w:rFonts w:ascii="Calibri" w:hAnsi="Calibri" w:cs="Calibri"/>
          <w:lang w:val="en-US"/>
        </w:rPr>
        <w:t>(6), 791–804. https://doi.org/10.1111/j.1360-0443.1993.tb02093.x</w:t>
      </w:r>
    </w:p>
    <w:p w14:paraId="79A74CC2"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Schmidtke, A., Bille-Brahe, U., DeLeo, D., &amp; Kerkhof, A. (2004). </w:t>
      </w:r>
      <w:r w:rsidRPr="00C76CB7">
        <w:rPr>
          <w:rFonts w:ascii="Calibri" w:hAnsi="Calibri" w:cs="Calibri"/>
          <w:i/>
          <w:iCs/>
          <w:lang w:val="en-US"/>
        </w:rPr>
        <w:t>Suicidal behaviour in Europe: Results from the WHO/EURO Multicentre Study on Suicidal Behaviour</w:t>
      </w:r>
      <w:r w:rsidRPr="00C76CB7">
        <w:rPr>
          <w:rFonts w:ascii="Calibri" w:hAnsi="Calibri" w:cs="Calibri"/>
          <w:lang w:val="en-US"/>
        </w:rPr>
        <w:t xml:space="preserve"> (s. xii, 288). Hogrefe &amp; Huber Publishers.</w:t>
      </w:r>
    </w:p>
    <w:p w14:paraId="2238AA7C"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Spikol, E., Robinson, M., McGlinchey, E., Ross, J., &amp; Armour, C. (2022). Exploring complex-PTSD comorbidity in trauma-exposed Northern Ireland veterans. </w:t>
      </w:r>
      <w:r w:rsidRPr="00C76CB7">
        <w:rPr>
          <w:rFonts w:ascii="Calibri" w:hAnsi="Calibri" w:cs="Calibri"/>
          <w:i/>
          <w:iCs/>
          <w:lang w:val="en-US"/>
        </w:rPr>
        <w:t>European Journal of Psychotraumatology</w:t>
      </w:r>
      <w:r w:rsidRPr="00C76CB7">
        <w:rPr>
          <w:rFonts w:ascii="Calibri" w:hAnsi="Calibri" w:cs="Calibri"/>
          <w:lang w:val="en-US"/>
        </w:rPr>
        <w:t xml:space="preserve">, </w:t>
      </w:r>
      <w:r w:rsidRPr="00C76CB7">
        <w:rPr>
          <w:rFonts w:ascii="Calibri" w:hAnsi="Calibri" w:cs="Calibri"/>
          <w:i/>
          <w:iCs/>
          <w:lang w:val="en-US"/>
        </w:rPr>
        <w:t>13</w:t>
      </w:r>
      <w:r w:rsidRPr="00C76CB7">
        <w:rPr>
          <w:rFonts w:ascii="Calibri" w:hAnsi="Calibri" w:cs="Calibri"/>
          <w:lang w:val="en-US"/>
        </w:rPr>
        <w:t>(1), 2046953. https://doi.org/10.1080/20008198.2022.2046953</w:t>
      </w:r>
    </w:p>
    <w:p w14:paraId="72F12232"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Topp, C. W., Østergaard, S. D., Søndergaard, S., &amp; Bech, P. (2015). The WHO-5 well-being index: A systematic review of the literature. </w:t>
      </w:r>
      <w:r w:rsidRPr="00C76CB7">
        <w:rPr>
          <w:rFonts w:ascii="Calibri" w:hAnsi="Calibri" w:cs="Calibri"/>
          <w:i/>
          <w:iCs/>
          <w:lang w:val="en-US"/>
        </w:rPr>
        <w:t>Psychotherapy and Psychosomatics</w:t>
      </w:r>
      <w:r w:rsidRPr="00C76CB7">
        <w:rPr>
          <w:rFonts w:ascii="Calibri" w:hAnsi="Calibri" w:cs="Calibri"/>
          <w:lang w:val="en-US"/>
        </w:rPr>
        <w:t xml:space="preserve">, </w:t>
      </w:r>
      <w:r w:rsidRPr="00C76CB7">
        <w:rPr>
          <w:rFonts w:ascii="Calibri" w:hAnsi="Calibri" w:cs="Calibri"/>
          <w:i/>
          <w:iCs/>
          <w:lang w:val="en-US"/>
        </w:rPr>
        <w:t>84</w:t>
      </w:r>
      <w:r w:rsidRPr="00C76CB7">
        <w:rPr>
          <w:rFonts w:ascii="Calibri" w:hAnsi="Calibri" w:cs="Calibri"/>
          <w:lang w:val="en-US"/>
        </w:rPr>
        <w:t>(3), 167–176. https://doi.org/10.1159/000376585</w:t>
      </w:r>
    </w:p>
    <w:p w14:paraId="27B9DF7D"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Voorendonk, E. M., De Jongh, A., Rozendaal, L., &amp; Van Minnen, A. (2020). Trauma-focused treatment outcome for complex PTSD patients: Results of an intensive treatment programme. </w:t>
      </w:r>
      <w:r w:rsidRPr="00C76CB7">
        <w:rPr>
          <w:rFonts w:ascii="Calibri" w:hAnsi="Calibri" w:cs="Calibri"/>
          <w:i/>
          <w:iCs/>
          <w:lang w:val="en-US"/>
        </w:rPr>
        <w:t>European Journal of Psychotraumatology</w:t>
      </w:r>
      <w:r w:rsidRPr="00C76CB7">
        <w:rPr>
          <w:rFonts w:ascii="Calibri" w:hAnsi="Calibri" w:cs="Calibri"/>
          <w:lang w:val="en-US"/>
        </w:rPr>
        <w:t xml:space="preserve">, </w:t>
      </w:r>
      <w:r w:rsidRPr="00C76CB7">
        <w:rPr>
          <w:rFonts w:ascii="Calibri" w:hAnsi="Calibri" w:cs="Calibri"/>
          <w:i/>
          <w:iCs/>
          <w:lang w:val="en-US"/>
        </w:rPr>
        <w:t>11</w:t>
      </w:r>
      <w:r w:rsidRPr="00C76CB7">
        <w:rPr>
          <w:rFonts w:ascii="Calibri" w:hAnsi="Calibri" w:cs="Calibri"/>
          <w:lang w:val="en-US"/>
        </w:rPr>
        <w:t>(1), 1783955. https://doi.org/10.1080/20008198.2020.1783955</w:t>
      </w:r>
    </w:p>
    <w:p w14:paraId="20BF73B0"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Ware, J. E., &amp; Sherbourn, C. D. (1992). The MOS 36-Item Short-Form Health Survey (SF-36): I. Conceptual Framework and Item Selection. </w:t>
      </w:r>
      <w:r w:rsidRPr="00C76CB7">
        <w:rPr>
          <w:rFonts w:ascii="Calibri" w:hAnsi="Calibri" w:cs="Calibri"/>
          <w:i/>
          <w:iCs/>
          <w:lang w:val="en-US"/>
        </w:rPr>
        <w:t>Medical Care</w:t>
      </w:r>
      <w:r w:rsidRPr="00C76CB7">
        <w:rPr>
          <w:rFonts w:ascii="Calibri" w:hAnsi="Calibri" w:cs="Calibri"/>
          <w:lang w:val="en-US"/>
        </w:rPr>
        <w:t xml:space="preserve">, </w:t>
      </w:r>
      <w:r w:rsidRPr="00C76CB7">
        <w:rPr>
          <w:rFonts w:ascii="Calibri" w:hAnsi="Calibri" w:cs="Calibri"/>
          <w:i/>
          <w:iCs/>
          <w:lang w:val="en-US"/>
        </w:rPr>
        <w:t>30</w:t>
      </w:r>
      <w:r w:rsidRPr="00C76CB7">
        <w:rPr>
          <w:rFonts w:ascii="Calibri" w:hAnsi="Calibri" w:cs="Calibri"/>
          <w:lang w:val="en-US"/>
        </w:rPr>
        <w:t>(6), 473–483.</w:t>
      </w:r>
    </w:p>
    <w:p w14:paraId="6BC5E008" w14:textId="77777777" w:rsidR="00C76CB7" w:rsidRPr="00C76CB7" w:rsidRDefault="00C76CB7" w:rsidP="00C76CB7">
      <w:pPr>
        <w:pStyle w:val="Bibliografi"/>
        <w:rPr>
          <w:rFonts w:ascii="Calibri" w:hAnsi="Calibri" w:cs="Calibri"/>
          <w:lang w:val="en-US"/>
        </w:rPr>
      </w:pPr>
      <w:r w:rsidRPr="00C76CB7">
        <w:rPr>
          <w:rFonts w:ascii="Calibri" w:hAnsi="Calibri" w:cs="Calibri"/>
          <w:lang w:val="en-US"/>
        </w:rPr>
        <w:t xml:space="preserve">World Health Organization. (2018). </w:t>
      </w:r>
      <w:r w:rsidRPr="00C76CB7">
        <w:rPr>
          <w:rFonts w:ascii="Calibri" w:hAnsi="Calibri" w:cs="Calibri"/>
          <w:i/>
          <w:iCs/>
          <w:lang w:val="en-US"/>
        </w:rPr>
        <w:t>International classification of diseases for mortality and morbidity statistics</w:t>
      </w:r>
      <w:r w:rsidRPr="00C76CB7">
        <w:rPr>
          <w:rFonts w:ascii="Calibri" w:hAnsi="Calibri" w:cs="Calibri"/>
          <w:lang w:val="en-US"/>
        </w:rPr>
        <w:t xml:space="preserve"> (11. udg.). https://icd.who.int/browse11/l-m/en</w:t>
      </w:r>
    </w:p>
    <w:p w14:paraId="21307C7C" w14:textId="77777777" w:rsidR="00C76CB7" w:rsidRPr="001E554F" w:rsidRDefault="00C76CB7" w:rsidP="00C76CB7">
      <w:pPr>
        <w:pStyle w:val="Bibliografi"/>
        <w:rPr>
          <w:rFonts w:ascii="Calibri" w:hAnsi="Calibri" w:cs="Calibri"/>
          <w:lang w:val="en-US"/>
        </w:rPr>
      </w:pPr>
      <w:r w:rsidRPr="00C76CB7">
        <w:rPr>
          <w:rFonts w:ascii="Calibri" w:hAnsi="Calibri" w:cs="Calibri"/>
          <w:lang w:val="en-US"/>
        </w:rPr>
        <w:lastRenderedPageBreak/>
        <w:t xml:space="preserve">Zerach, G., Shevlin, M., Cloitre, M., &amp; Solomon, Z. (2019). Complex posttraumatic stress disorder (CPTSD) following captivity: A 24-year longitudinal study. </w:t>
      </w:r>
      <w:r w:rsidRPr="001E554F">
        <w:rPr>
          <w:rFonts w:ascii="Calibri" w:hAnsi="Calibri" w:cs="Calibri"/>
          <w:i/>
          <w:iCs/>
          <w:lang w:val="en-US"/>
        </w:rPr>
        <w:t>European Journal of Psychotraumatology</w:t>
      </w:r>
      <w:r w:rsidRPr="001E554F">
        <w:rPr>
          <w:rFonts w:ascii="Calibri" w:hAnsi="Calibri" w:cs="Calibri"/>
          <w:lang w:val="en-US"/>
        </w:rPr>
        <w:t xml:space="preserve">, </w:t>
      </w:r>
      <w:r w:rsidRPr="001E554F">
        <w:rPr>
          <w:rFonts w:ascii="Calibri" w:hAnsi="Calibri" w:cs="Calibri"/>
          <w:i/>
          <w:iCs/>
          <w:lang w:val="en-US"/>
        </w:rPr>
        <w:t>10</w:t>
      </w:r>
      <w:r w:rsidRPr="001E554F">
        <w:rPr>
          <w:rFonts w:ascii="Calibri" w:hAnsi="Calibri" w:cs="Calibri"/>
          <w:lang w:val="en-US"/>
        </w:rPr>
        <w:t>(1), 1616488. https://doi.org/10.1080/20008198.2019.1616488</w:t>
      </w:r>
    </w:p>
    <w:p w14:paraId="265F8AA1" w14:textId="0B59969C" w:rsidR="004431F6" w:rsidRPr="00333E10" w:rsidRDefault="004431F6" w:rsidP="0059303F">
      <w:pPr>
        <w:spacing w:line="360" w:lineRule="auto"/>
        <w:rPr>
          <w:rFonts w:cstheme="minorHAnsi"/>
          <w:b/>
          <w:lang w:val="en-US"/>
        </w:rPr>
      </w:pPr>
    </w:p>
    <w:p w14:paraId="51E44506" w14:textId="77777777" w:rsidR="00E00824" w:rsidRPr="00333E10" w:rsidRDefault="00E00824" w:rsidP="0059303F">
      <w:pPr>
        <w:spacing w:line="360" w:lineRule="auto"/>
        <w:rPr>
          <w:rFonts w:cstheme="minorHAnsi"/>
          <w:b/>
          <w:lang w:val="en-US"/>
        </w:rPr>
      </w:pPr>
    </w:p>
    <w:p w14:paraId="1F8736F9" w14:textId="77777777" w:rsidR="00CE79A0" w:rsidRPr="00763B44" w:rsidRDefault="00E00824" w:rsidP="00CE79A0">
      <w:pPr>
        <w:spacing w:line="360" w:lineRule="auto"/>
        <w:rPr>
          <w:rFonts w:cstheme="minorHAnsi"/>
          <w:b/>
          <w:sz w:val="24"/>
          <w:szCs w:val="24"/>
          <w:lang w:val="en-GB"/>
        </w:rPr>
      </w:pPr>
      <w:r w:rsidRPr="00D668F5">
        <w:rPr>
          <w:rFonts w:cstheme="minorHAnsi"/>
          <w:b/>
          <w:lang w:val="en-US"/>
        </w:rPr>
        <w:br w:type="column"/>
      </w:r>
      <w:r w:rsidR="00CE79A0" w:rsidRPr="00763B44">
        <w:rPr>
          <w:rFonts w:cstheme="minorHAnsi"/>
          <w:b/>
          <w:sz w:val="24"/>
          <w:szCs w:val="24"/>
          <w:lang w:val="en-GB"/>
        </w:rPr>
        <w:lastRenderedPageBreak/>
        <w:t>Tables</w:t>
      </w:r>
    </w:p>
    <w:p w14:paraId="2154BA36" w14:textId="77777777" w:rsidR="00CE79A0" w:rsidRPr="00763B44" w:rsidRDefault="00CE79A0" w:rsidP="00CE79A0">
      <w:pPr>
        <w:spacing w:after="0" w:line="240" w:lineRule="auto"/>
        <w:rPr>
          <w:rFonts w:eastAsia="Times New Roman" w:cstheme="minorHAnsi"/>
          <w:b/>
          <w:lang w:val="en-US" w:eastAsia="en-GB"/>
        </w:rPr>
      </w:pPr>
      <w:r w:rsidRPr="00763B44">
        <w:rPr>
          <w:rFonts w:eastAsia="Times New Roman" w:cstheme="minorHAnsi"/>
          <w:b/>
          <w:lang w:val="en-US" w:eastAsia="en-GB"/>
        </w:rPr>
        <w:t>Table 1. Sample demographic characteristics (</w:t>
      </w:r>
      <w:r w:rsidRPr="00763B44">
        <w:rPr>
          <w:rFonts w:eastAsia="Times New Roman" w:cstheme="minorHAnsi"/>
          <w:b/>
          <w:i/>
          <w:lang w:val="en-US" w:eastAsia="en-GB"/>
        </w:rPr>
        <w:t>N=</w:t>
      </w:r>
      <w:r w:rsidRPr="00763B44">
        <w:rPr>
          <w:rFonts w:eastAsia="Times New Roman" w:cstheme="minorHAnsi"/>
          <w:b/>
          <w:lang w:val="en-US" w:eastAsia="en-GB"/>
        </w:rPr>
        <w:t>599)</w:t>
      </w:r>
    </w:p>
    <w:p w14:paraId="4A787598" w14:textId="77777777" w:rsidR="00CE79A0" w:rsidRPr="00763B44" w:rsidRDefault="00CE79A0" w:rsidP="00CE79A0">
      <w:pPr>
        <w:spacing w:after="0" w:line="240" w:lineRule="auto"/>
        <w:rPr>
          <w:rFonts w:cstheme="minorHAnsi"/>
          <w:lang w:val="en-US"/>
        </w:rPr>
      </w:pPr>
    </w:p>
    <w:tbl>
      <w:tblPr>
        <w:tblW w:w="7946" w:type="dxa"/>
        <w:tblInd w:w="108" w:type="dxa"/>
        <w:tblLook w:val="04A0" w:firstRow="1" w:lastRow="0" w:firstColumn="1" w:lastColumn="0" w:noHBand="0" w:noVBand="1"/>
      </w:tblPr>
      <w:tblGrid>
        <w:gridCol w:w="4962"/>
        <w:gridCol w:w="2984"/>
      </w:tblGrid>
      <w:tr w:rsidR="00CE79A0" w:rsidRPr="00763B44" w14:paraId="64843F5F" w14:textId="77777777" w:rsidTr="000B101B">
        <w:trPr>
          <w:trHeight w:val="625"/>
        </w:trPr>
        <w:tc>
          <w:tcPr>
            <w:tcW w:w="4962" w:type="dxa"/>
            <w:tcBorders>
              <w:top w:val="single" w:sz="4" w:space="0" w:color="auto"/>
              <w:bottom w:val="single" w:sz="4" w:space="0" w:color="auto"/>
            </w:tcBorders>
            <w:shd w:val="clear" w:color="auto" w:fill="auto"/>
            <w:vAlign w:val="center"/>
            <w:hideMark/>
          </w:tcPr>
          <w:p w14:paraId="0A44291B" w14:textId="77777777" w:rsidR="00CE79A0" w:rsidRPr="00763B44" w:rsidRDefault="00CE79A0" w:rsidP="000B101B">
            <w:pPr>
              <w:spacing w:after="0" w:line="240" w:lineRule="auto"/>
              <w:rPr>
                <w:rFonts w:eastAsia="Times New Roman" w:cstheme="minorHAnsi"/>
                <w:b/>
                <w:bCs/>
                <w:lang w:eastAsia="en-GB"/>
              </w:rPr>
            </w:pPr>
            <w:r w:rsidRPr="00763B44">
              <w:rPr>
                <w:rFonts w:eastAsia="Times New Roman" w:cstheme="minorHAnsi"/>
                <w:b/>
                <w:bCs/>
                <w:lang w:eastAsia="en-GB"/>
              </w:rPr>
              <w:t>Variable</w:t>
            </w:r>
          </w:p>
        </w:tc>
        <w:tc>
          <w:tcPr>
            <w:tcW w:w="2984" w:type="dxa"/>
            <w:tcBorders>
              <w:top w:val="single" w:sz="4" w:space="0" w:color="auto"/>
              <w:bottom w:val="single" w:sz="4" w:space="0" w:color="auto"/>
            </w:tcBorders>
            <w:shd w:val="clear" w:color="auto" w:fill="auto"/>
            <w:vAlign w:val="center"/>
            <w:hideMark/>
          </w:tcPr>
          <w:p w14:paraId="73E99EF6" w14:textId="77777777" w:rsidR="00CE79A0" w:rsidRPr="00763B44" w:rsidRDefault="00CE79A0" w:rsidP="000B101B">
            <w:pPr>
              <w:spacing w:after="0" w:line="240" w:lineRule="auto"/>
              <w:jc w:val="center"/>
              <w:rPr>
                <w:rFonts w:eastAsia="Times New Roman" w:cstheme="minorHAnsi"/>
                <w:b/>
                <w:bCs/>
                <w:lang w:eastAsia="en-GB"/>
              </w:rPr>
            </w:pPr>
            <w:r w:rsidRPr="00763B44">
              <w:rPr>
                <w:rFonts w:eastAsia="Times New Roman" w:cstheme="minorHAnsi"/>
                <w:b/>
                <w:bCs/>
                <w:lang w:eastAsia="en-GB"/>
              </w:rPr>
              <w:t>Mean (SD)/Number (%)</w:t>
            </w:r>
          </w:p>
        </w:tc>
      </w:tr>
      <w:tr w:rsidR="00CE79A0" w:rsidRPr="00763B44" w14:paraId="60777BFC" w14:textId="77777777" w:rsidTr="000B101B">
        <w:trPr>
          <w:trHeight w:val="313"/>
        </w:trPr>
        <w:tc>
          <w:tcPr>
            <w:tcW w:w="4962" w:type="dxa"/>
            <w:tcBorders>
              <w:top w:val="single" w:sz="4" w:space="0" w:color="auto"/>
              <w:bottom w:val="nil"/>
            </w:tcBorders>
            <w:shd w:val="clear" w:color="auto" w:fill="auto"/>
            <w:vAlign w:val="center"/>
          </w:tcPr>
          <w:p w14:paraId="40801107" w14:textId="77777777" w:rsidR="00CE79A0" w:rsidRPr="00763B44" w:rsidRDefault="00CE79A0" w:rsidP="000B101B">
            <w:pPr>
              <w:spacing w:after="0" w:line="240" w:lineRule="auto"/>
              <w:rPr>
                <w:rFonts w:eastAsia="Times New Roman" w:cstheme="minorHAnsi"/>
                <w:lang w:eastAsia="en-GB"/>
              </w:rPr>
            </w:pPr>
            <w:r w:rsidRPr="00763B44">
              <w:rPr>
                <w:rFonts w:eastAsia="Times New Roman" w:cstheme="minorHAnsi"/>
                <w:lang w:eastAsia="en-GB"/>
              </w:rPr>
              <w:t>Gender (male)</w:t>
            </w:r>
          </w:p>
        </w:tc>
        <w:tc>
          <w:tcPr>
            <w:tcW w:w="2984" w:type="dxa"/>
            <w:tcBorders>
              <w:top w:val="single" w:sz="4" w:space="0" w:color="auto"/>
              <w:bottom w:val="nil"/>
            </w:tcBorders>
            <w:shd w:val="clear" w:color="auto" w:fill="auto"/>
            <w:vAlign w:val="center"/>
          </w:tcPr>
          <w:p w14:paraId="0C1A1A81" w14:textId="77777777" w:rsidR="00CE79A0" w:rsidRPr="00763B44" w:rsidRDefault="00CE79A0" w:rsidP="000B101B">
            <w:pPr>
              <w:spacing w:after="0" w:line="240" w:lineRule="auto"/>
              <w:jc w:val="center"/>
              <w:rPr>
                <w:rFonts w:eastAsia="Times New Roman" w:cstheme="minorHAnsi"/>
                <w:lang w:eastAsia="en-GB"/>
              </w:rPr>
            </w:pPr>
            <w:r w:rsidRPr="00763B44">
              <w:rPr>
                <w:rFonts w:eastAsia="Times New Roman" w:cstheme="minorHAnsi"/>
                <w:lang w:eastAsia="en-GB"/>
              </w:rPr>
              <w:t>562 (93.8%)</w:t>
            </w:r>
          </w:p>
        </w:tc>
      </w:tr>
      <w:tr w:rsidR="00CE79A0" w:rsidRPr="00763B44" w14:paraId="425A7BC3" w14:textId="77777777" w:rsidTr="000B101B">
        <w:trPr>
          <w:trHeight w:val="313"/>
        </w:trPr>
        <w:tc>
          <w:tcPr>
            <w:tcW w:w="4962" w:type="dxa"/>
            <w:tcBorders>
              <w:top w:val="nil"/>
              <w:bottom w:val="nil"/>
            </w:tcBorders>
            <w:shd w:val="clear" w:color="auto" w:fill="auto"/>
            <w:vAlign w:val="center"/>
            <w:hideMark/>
          </w:tcPr>
          <w:p w14:paraId="62DC6A6E" w14:textId="77777777" w:rsidR="00CE79A0" w:rsidRPr="00763B44" w:rsidRDefault="00CE79A0" w:rsidP="000B101B">
            <w:pPr>
              <w:spacing w:after="0" w:line="240" w:lineRule="auto"/>
              <w:rPr>
                <w:rFonts w:eastAsia="Times New Roman" w:cstheme="minorHAnsi"/>
                <w:lang w:eastAsia="en-GB"/>
              </w:rPr>
            </w:pPr>
            <w:r w:rsidRPr="00763B44">
              <w:rPr>
                <w:rFonts w:eastAsia="Times New Roman" w:cstheme="minorHAnsi"/>
                <w:lang w:eastAsia="en-GB"/>
              </w:rPr>
              <w:t>Age (Mean (SD))</w:t>
            </w:r>
          </w:p>
        </w:tc>
        <w:tc>
          <w:tcPr>
            <w:tcW w:w="2984" w:type="dxa"/>
            <w:tcBorders>
              <w:top w:val="nil"/>
              <w:bottom w:val="nil"/>
            </w:tcBorders>
            <w:shd w:val="clear" w:color="auto" w:fill="auto"/>
            <w:vAlign w:val="center"/>
            <w:hideMark/>
          </w:tcPr>
          <w:p w14:paraId="3CEBEFC7" w14:textId="77777777" w:rsidR="00CE79A0" w:rsidRPr="00763B44" w:rsidRDefault="00CE79A0" w:rsidP="000B101B">
            <w:pPr>
              <w:spacing w:after="0" w:line="240" w:lineRule="auto"/>
              <w:jc w:val="center"/>
              <w:rPr>
                <w:rFonts w:eastAsia="Times New Roman" w:cstheme="minorHAnsi"/>
                <w:lang w:eastAsia="en-GB"/>
              </w:rPr>
            </w:pPr>
            <w:r w:rsidRPr="00763B44">
              <w:rPr>
                <w:rFonts w:eastAsia="Times New Roman" w:cstheme="minorHAnsi"/>
                <w:lang w:eastAsia="en-GB"/>
              </w:rPr>
              <w:t>39.9 (9.7)</w:t>
            </w:r>
          </w:p>
        </w:tc>
      </w:tr>
      <w:tr w:rsidR="00CE79A0" w:rsidRPr="00763B44" w14:paraId="21E02E24" w14:textId="77777777" w:rsidTr="000B101B">
        <w:trPr>
          <w:trHeight w:val="313"/>
        </w:trPr>
        <w:tc>
          <w:tcPr>
            <w:tcW w:w="4962" w:type="dxa"/>
            <w:tcBorders>
              <w:top w:val="nil"/>
              <w:bottom w:val="nil"/>
            </w:tcBorders>
            <w:shd w:val="clear" w:color="auto" w:fill="auto"/>
            <w:vAlign w:val="center"/>
            <w:hideMark/>
          </w:tcPr>
          <w:p w14:paraId="244AB2D8" w14:textId="77777777" w:rsidR="00CE79A0" w:rsidRPr="00763B44" w:rsidRDefault="00CE79A0" w:rsidP="000B101B">
            <w:pPr>
              <w:spacing w:after="0" w:line="240" w:lineRule="auto"/>
              <w:rPr>
                <w:rFonts w:eastAsia="Times New Roman" w:cstheme="minorHAnsi"/>
                <w:lang w:val="en-US" w:eastAsia="en-GB"/>
              </w:rPr>
            </w:pPr>
            <w:r w:rsidRPr="00763B44">
              <w:rPr>
                <w:rFonts w:eastAsia="Times New Roman" w:cstheme="minorHAnsi"/>
                <w:lang w:val="en-US" w:eastAsia="en-GB"/>
              </w:rPr>
              <w:t>Marital status (single)</w:t>
            </w:r>
          </w:p>
        </w:tc>
        <w:tc>
          <w:tcPr>
            <w:tcW w:w="2984" w:type="dxa"/>
            <w:tcBorders>
              <w:top w:val="nil"/>
              <w:bottom w:val="nil"/>
            </w:tcBorders>
            <w:shd w:val="clear" w:color="auto" w:fill="auto"/>
            <w:vAlign w:val="center"/>
            <w:hideMark/>
          </w:tcPr>
          <w:p w14:paraId="60BBDB7D" w14:textId="77777777" w:rsidR="00CE79A0" w:rsidRPr="00763B44" w:rsidRDefault="00CE79A0" w:rsidP="000B101B">
            <w:pPr>
              <w:spacing w:after="0" w:line="240" w:lineRule="auto"/>
              <w:jc w:val="center"/>
              <w:rPr>
                <w:rFonts w:eastAsia="Times New Roman" w:cstheme="minorHAnsi"/>
                <w:lang w:eastAsia="en-GB"/>
              </w:rPr>
            </w:pPr>
            <w:r w:rsidRPr="00763B44">
              <w:rPr>
                <w:rFonts w:eastAsia="Times New Roman" w:cstheme="minorHAnsi"/>
                <w:lang w:eastAsia="en-GB"/>
              </w:rPr>
              <w:t>148 (24.7%)</w:t>
            </w:r>
          </w:p>
        </w:tc>
      </w:tr>
      <w:tr w:rsidR="00CE79A0" w:rsidRPr="00763B44" w14:paraId="2FF94B9E" w14:textId="77777777" w:rsidTr="000B101B">
        <w:trPr>
          <w:trHeight w:val="313"/>
        </w:trPr>
        <w:tc>
          <w:tcPr>
            <w:tcW w:w="4962" w:type="dxa"/>
            <w:tcBorders>
              <w:top w:val="nil"/>
              <w:bottom w:val="nil"/>
            </w:tcBorders>
            <w:shd w:val="clear" w:color="auto" w:fill="auto"/>
            <w:vAlign w:val="center"/>
            <w:hideMark/>
          </w:tcPr>
          <w:p w14:paraId="3056EBDA" w14:textId="77777777" w:rsidR="00CE79A0" w:rsidRPr="00763B44" w:rsidRDefault="00CE79A0" w:rsidP="000B101B">
            <w:pPr>
              <w:spacing w:after="0" w:line="240" w:lineRule="auto"/>
              <w:rPr>
                <w:rFonts w:eastAsia="Times New Roman" w:cstheme="minorHAnsi"/>
                <w:lang w:eastAsia="en-GB"/>
              </w:rPr>
            </w:pPr>
            <w:r w:rsidRPr="00763B44">
              <w:rPr>
                <w:rFonts w:eastAsia="Times New Roman" w:cstheme="minorHAnsi"/>
                <w:lang w:eastAsia="en-GB"/>
              </w:rPr>
              <w:t>Children (yes)</w:t>
            </w:r>
          </w:p>
        </w:tc>
        <w:tc>
          <w:tcPr>
            <w:tcW w:w="2984" w:type="dxa"/>
            <w:tcBorders>
              <w:top w:val="nil"/>
              <w:bottom w:val="nil"/>
            </w:tcBorders>
            <w:shd w:val="clear" w:color="auto" w:fill="auto"/>
            <w:vAlign w:val="center"/>
            <w:hideMark/>
          </w:tcPr>
          <w:p w14:paraId="11A2DCB2" w14:textId="77777777" w:rsidR="00CE79A0" w:rsidRPr="00763B44" w:rsidRDefault="00CE79A0" w:rsidP="000B101B">
            <w:pPr>
              <w:spacing w:after="0" w:line="240" w:lineRule="auto"/>
              <w:jc w:val="center"/>
              <w:rPr>
                <w:rFonts w:eastAsia="Times New Roman" w:cstheme="minorHAnsi"/>
                <w:lang w:eastAsia="en-GB"/>
              </w:rPr>
            </w:pPr>
            <w:r w:rsidRPr="00763B44">
              <w:rPr>
                <w:rFonts w:eastAsia="Times New Roman" w:cstheme="minorHAnsi"/>
                <w:lang w:eastAsia="en-GB"/>
              </w:rPr>
              <w:t>413 (68.9%)</w:t>
            </w:r>
          </w:p>
        </w:tc>
      </w:tr>
      <w:tr w:rsidR="00CE79A0" w:rsidRPr="00763B44" w14:paraId="641DA6E2" w14:textId="77777777" w:rsidTr="000B101B">
        <w:trPr>
          <w:trHeight w:val="313"/>
        </w:trPr>
        <w:tc>
          <w:tcPr>
            <w:tcW w:w="4962" w:type="dxa"/>
            <w:tcBorders>
              <w:top w:val="nil"/>
              <w:bottom w:val="nil"/>
            </w:tcBorders>
            <w:shd w:val="clear" w:color="auto" w:fill="auto"/>
            <w:vAlign w:val="center"/>
            <w:hideMark/>
          </w:tcPr>
          <w:p w14:paraId="09D6B3A9" w14:textId="77777777" w:rsidR="00CE79A0" w:rsidRPr="00763B44" w:rsidRDefault="00CE79A0" w:rsidP="000B101B">
            <w:pPr>
              <w:spacing w:after="0" w:line="240" w:lineRule="auto"/>
              <w:rPr>
                <w:rFonts w:eastAsia="Times New Roman" w:cstheme="minorHAnsi"/>
                <w:lang w:eastAsia="en-GB"/>
              </w:rPr>
            </w:pPr>
            <w:r w:rsidRPr="00763B44">
              <w:rPr>
                <w:rFonts w:eastAsia="Times New Roman" w:cstheme="minorHAnsi"/>
                <w:lang w:eastAsia="en-GB"/>
              </w:rPr>
              <w:t>Employment</w:t>
            </w:r>
          </w:p>
        </w:tc>
        <w:tc>
          <w:tcPr>
            <w:tcW w:w="2984" w:type="dxa"/>
            <w:tcBorders>
              <w:top w:val="nil"/>
              <w:bottom w:val="nil"/>
            </w:tcBorders>
            <w:shd w:val="clear" w:color="auto" w:fill="auto"/>
            <w:vAlign w:val="center"/>
            <w:hideMark/>
          </w:tcPr>
          <w:p w14:paraId="0CB703E9" w14:textId="77777777" w:rsidR="00CE79A0" w:rsidRPr="00763B44" w:rsidRDefault="00CE79A0" w:rsidP="000B101B">
            <w:pPr>
              <w:spacing w:after="0" w:line="240" w:lineRule="auto"/>
              <w:jc w:val="center"/>
              <w:rPr>
                <w:rFonts w:eastAsia="Times New Roman" w:cstheme="minorHAnsi"/>
                <w:lang w:eastAsia="en-GB"/>
              </w:rPr>
            </w:pPr>
          </w:p>
        </w:tc>
      </w:tr>
      <w:tr w:rsidR="00CE79A0" w:rsidRPr="00763B44" w14:paraId="4A2B76AE" w14:textId="77777777" w:rsidTr="000B101B">
        <w:trPr>
          <w:trHeight w:val="310"/>
        </w:trPr>
        <w:tc>
          <w:tcPr>
            <w:tcW w:w="4962" w:type="dxa"/>
            <w:tcBorders>
              <w:top w:val="nil"/>
              <w:bottom w:val="nil"/>
            </w:tcBorders>
            <w:shd w:val="clear" w:color="auto" w:fill="auto"/>
            <w:vAlign w:val="center"/>
            <w:hideMark/>
          </w:tcPr>
          <w:p w14:paraId="60981081" w14:textId="77777777" w:rsidR="00CE79A0" w:rsidRPr="00763B44" w:rsidRDefault="00CE79A0" w:rsidP="000B101B">
            <w:pPr>
              <w:spacing w:after="0" w:line="240" w:lineRule="auto"/>
              <w:rPr>
                <w:rFonts w:eastAsia="Times New Roman" w:cstheme="minorHAnsi"/>
                <w:i/>
                <w:iCs/>
                <w:lang w:eastAsia="en-GB"/>
              </w:rPr>
            </w:pPr>
            <w:r w:rsidRPr="00763B44">
              <w:rPr>
                <w:rFonts w:eastAsia="Times New Roman" w:cstheme="minorHAnsi"/>
                <w:i/>
                <w:iCs/>
                <w:lang w:eastAsia="en-GB"/>
              </w:rPr>
              <w:t>Unemployed</w:t>
            </w:r>
          </w:p>
        </w:tc>
        <w:tc>
          <w:tcPr>
            <w:tcW w:w="2984" w:type="dxa"/>
            <w:tcBorders>
              <w:top w:val="nil"/>
              <w:bottom w:val="nil"/>
            </w:tcBorders>
            <w:shd w:val="clear" w:color="auto" w:fill="auto"/>
            <w:vAlign w:val="center"/>
            <w:hideMark/>
          </w:tcPr>
          <w:p w14:paraId="44BE0DFD" w14:textId="77777777" w:rsidR="00CE79A0" w:rsidRPr="00763B44" w:rsidRDefault="00CE79A0" w:rsidP="000B101B">
            <w:pPr>
              <w:spacing w:after="0" w:line="240" w:lineRule="auto"/>
              <w:jc w:val="center"/>
              <w:rPr>
                <w:rFonts w:eastAsia="Times New Roman" w:cstheme="minorHAnsi"/>
                <w:lang w:eastAsia="en-GB"/>
              </w:rPr>
            </w:pPr>
            <w:r w:rsidRPr="00763B44">
              <w:rPr>
                <w:rFonts w:eastAsia="Times New Roman" w:cstheme="minorHAnsi"/>
                <w:lang w:eastAsia="en-GB"/>
              </w:rPr>
              <w:t>27 (4.5%)</w:t>
            </w:r>
          </w:p>
        </w:tc>
      </w:tr>
      <w:tr w:rsidR="00CE79A0" w:rsidRPr="00763B44" w14:paraId="09974AEE" w14:textId="77777777" w:rsidTr="000B101B">
        <w:trPr>
          <w:trHeight w:val="310"/>
        </w:trPr>
        <w:tc>
          <w:tcPr>
            <w:tcW w:w="4962" w:type="dxa"/>
            <w:tcBorders>
              <w:top w:val="nil"/>
              <w:bottom w:val="nil"/>
            </w:tcBorders>
            <w:shd w:val="clear" w:color="auto" w:fill="auto"/>
            <w:vAlign w:val="center"/>
            <w:hideMark/>
          </w:tcPr>
          <w:p w14:paraId="0074CDE7" w14:textId="77777777" w:rsidR="00CE79A0" w:rsidRPr="00763B44" w:rsidRDefault="00CE79A0" w:rsidP="000B101B">
            <w:pPr>
              <w:spacing w:after="0" w:line="240" w:lineRule="auto"/>
              <w:rPr>
                <w:rFonts w:eastAsia="Times New Roman" w:cstheme="minorHAnsi"/>
                <w:i/>
                <w:iCs/>
                <w:lang w:eastAsia="en-GB"/>
              </w:rPr>
            </w:pPr>
            <w:r w:rsidRPr="00763B44">
              <w:rPr>
                <w:rFonts w:eastAsia="Times New Roman" w:cstheme="minorHAnsi"/>
                <w:i/>
                <w:iCs/>
                <w:lang w:eastAsia="en-GB"/>
              </w:rPr>
              <w:t>Receiving sickness benefits</w:t>
            </w:r>
          </w:p>
        </w:tc>
        <w:tc>
          <w:tcPr>
            <w:tcW w:w="2984" w:type="dxa"/>
            <w:tcBorders>
              <w:top w:val="nil"/>
              <w:bottom w:val="nil"/>
            </w:tcBorders>
            <w:shd w:val="clear" w:color="auto" w:fill="auto"/>
            <w:vAlign w:val="center"/>
            <w:hideMark/>
          </w:tcPr>
          <w:p w14:paraId="1C0BBE7C" w14:textId="77777777" w:rsidR="00CE79A0" w:rsidRPr="00763B44" w:rsidRDefault="00CE79A0" w:rsidP="000B101B">
            <w:pPr>
              <w:spacing w:after="0" w:line="240" w:lineRule="auto"/>
              <w:jc w:val="center"/>
              <w:rPr>
                <w:rFonts w:eastAsia="Times New Roman" w:cstheme="minorHAnsi"/>
                <w:lang w:eastAsia="en-GB"/>
              </w:rPr>
            </w:pPr>
            <w:r w:rsidRPr="00763B44">
              <w:rPr>
                <w:rFonts w:eastAsia="Times New Roman" w:cstheme="minorHAnsi"/>
                <w:lang w:eastAsia="en-GB"/>
              </w:rPr>
              <w:t>88 (14.7%)</w:t>
            </w:r>
          </w:p>
        </w:tc>
      </w:tr>
      <w:tr w:rsidR="00CE79A0" w:rsidRPr="00763B44" w14:paraId="3CD5E8B4" w14:textId="77777777" w:rsidTr="000B101B">
        <w:trPr>
          <w:trHeight w:val="313"/>
        </w:trPr>
        <w:tc>
          <w:tcPr>
            <w:tcW w:w="4962" w:type="dxa"/>
            <w:tcBorders>
              <w:top w:val="nil"/>
              <w:bottom w:val="nil"/>
            </w:tcBorders>
            <w:shd w:val="clear" w:color="auto" w:fill="auto"/>
            <w:vAlign w:val="center"/>
            <w:hideMark/>
          </w:tcPr>
          <w:p w14:paraId="0C224E10" w14:textId="77777777" w:rsidR="00CE79A0" w:rsidRPr="00763B44" w:rsidRDefault="00CE79A0" w:rsidP="000B101B">
            <w:pPr>
              <w:spacing w:after="0" w:line="240" w:lineRule="auto"/>
              <w:rPr>
                <w:rFonts w:eastAsia="Times New Roman" w:cstheme="minorHAnsi"/>
                <w:lang w:eastAsia="en-GB"/>
              </w:rPr>
            </w:pPr>
            <w:r w:rsidRPr="00763B44">
              <w:rPr>
                <w:rFonts w:eastAsia="Times New Roman" w:cstheme="minorHAnsi"/>
                <w:lang w:eastAsia="en-GB"/>
              </w:rPr>
              <w:t>Currently using psychotropic medicine</w:t>
            </w:r>
          </w:p>
        </w:tc>
        <w:tc>
          <w:tcPr>
            <w:tcW w:w="2984" w:type="dxa"/>
            <w:tcBorders>
              <w:top w:val="nil"/>
              <w:bottom w:val="nil"/>
            </w:tcBorders>
            <w:shd w:val="clear" w:color="auto" w:fill="auto"/>
            <w:vAlign w:val="center"/>
            <w:hideMark/>
          </w:tcPr>
          <w:p w14:paraId="1B19837C" w14:textId="77777777" w:rsidR="00CE79A0" w:rsidRPr="00763B44" w:rsidRDefault="00CE79A0" w:rsidP="000B101B">
            <w:pPr>
              <w:spacing w:after="0" w:line="240" w:lineRule="auto"/>
              <w:jc w:val="center"/>
              <w:rPr>
                <w:rFonts w:eastAsia="Times New Roman" w:cstheme="minorHAnsi"/>
                <w:lang w:eastAsia="en-GB"/>
              </w:rPr>
            </w:pPr>
            <w:r w:rsidRPr="00763B44">
              <w:rPr>
                <w:rFonts w:eastAsia="Times New Roman" w:cstheme="minorHAnsi"/>
                <w:lang w:eastAsia="en-GB"/>
              </w:rPr>
              <w:t>145 (24.2%)</w:t>
            </w:r>
          </w:p>
        </w:tc>
      </w:tr>
      <w:tr w:rsidR="00CE79A0" w:rsidRPr="00763B44" w14:paraId="747319FD" w14:textId="77777777" w:rsidTr="000B101B">
        <w:trPr>
          <w:trHeight w:val="313"/>
        </w:trPr>
        <w:tc>
          <w:tcPr>
            <w:tcW w:w="4962" w:type="dxa"/>
            <w:tcBorders>
              <w:top w:val="nil"/>
              <w:bottom w:val="nil"/>
            </w:tcBorders>
            <w:shd w:val="clear" w:color="auto" w:fill="auto"/>
            <w:vAlign w:val="center"/>
            <w:hideMark/>
          </w:tcPr>
          <w:p w14:paraId="754D0982" w14:textId="77777777" w:rsidR="00CE79A0" w:rsidRPr="00763B44" w:rsidRDefault="00CE79A0" w:rsidP="000B101B">
            <w:pPr>
              <w:spacing w:after="0" w:line="240" w:lineRule="auto"/>
              <w:rPr>
                <w:rFonts w:eastAsia="Times New Roman" w:cstheme="minorHAnsi"/>
                <w:lang w:eastAsia="en-GB"/>
              </w:rPr>
            </w:pPr>
            <w:r w:rsidRPr="00763B44">
              <w:rPr>
                <w:rFonts w:eastAsia="Times New Roman" w:cstheme="minorHAnsi"/>
                <w:lang w:eastAsia="en-GB"/>
              </w:rPr>
              <w:t>Trauma</w:t>
            </w:r>
          </w:p>
        </w:tc>
        <w:tc>
          <w:tcPr>
            <w:tcW w:w="2984" w:type="dxa"/>
            <w:tcBorders>
              <w:top w:val="nil"/>
              <w:bottom w:val="nil"/>
            </w:tcBorders>
            <w:shd w:val="clear" w:color="auto" w:fill="auto"/>
            <w:vAlign w:val="center"/>
            <w:hideMark/>
          </w:tcPr>
          <w:p w14:paraId="2772A6BB" w14:textId="77777777" w:rsidR="00CE79A0" w:rsidRPr="00763B44" w:rsidRDefault="00CE79A0" w:rsidP="000B101B">
            <w:pPr>
              <w:spacing w:after="0" w:line="240" w:lineRule="auto"/>
              <w:jc w:val="center"/>
              <w:rPr>
                <w:rFonts w:eastAsia="Times New Roman" w:cstheme="minorHAnsi"/>
                <w:lang w:eastAsia="en-GB"/>
              </w:rPr>
            </w:pPr>
          </w:p>
        </w:tc>
      </w:tr>
      <w:tr w:rsidR="00CE79A0" w:rsidRPr="00763B44" w14:paraId="33B4DAC1" w14:textId="77777777" w:rsidTr="000B101B">
        <w:trPr>
          <w:trHeight w:val="310"/>
        </w:trPr>
        <w:tc>
          <w:tcPr>
            <w:tcW w:w="4962" w:type="dxa"/>
            <w:tcBorders>
              <w:top w:val="nil"/>
              <w:bottom w:val="nil"/>
            </w:tcBorders>
            <w:shd w:val="clear" w:color="auto" w:fill="auto"/>
            <w:vAlign w:val="center"/>
            <w:hideMark/>
          </w:tcPr>
          <w:p w14:paraId="7EB8F8BD" w14:textId="77777777" w:rsidR="00CE79A0" w:rsidRPr="00763B44" w:rsidRDefault="00CE79A0" w:rsidP="000B101B">
            <w:pPr>
              <w:spacing w:after="0" w:line="240" w:lineRule="auto"/>
              <w:rPr>
                <w:rFonts w:eastAsia="Times New Roman" w:cstheme="minorHAnsi"/>
                <w:i/>
                <w:iCs/>
                <w:lang w:eastAsia="en-GB"/>
              </w:rPr>
            </w:pPr>
            <w:r w:rsidRPr="00763B44">
              <w:rPr>
                <w:rFonts w:eastAsia="Times New Roman" w:cstheme="minorHAnsi"/>
                <w:i/>
                <w:iCs/>
                <w:lang w:eastAsia="en-GB"/>
              </w:rPr>
              <w:t>Childhood trauma</w:t>
            </w:r>
          </w:p>
        </w:tc>
        <w:tc>
          <w:tcPr>
            <w:tcW w:w="2984" w:type="dxa"/>
            <w:tcBorders>
              <w:top w:val="nil"/>
              <w:bottom w:val="nil"/>
            </w:tcBorders>
            <w:shd w:val="clear" w:color="auto" w:fill="auto"/>
            <w:vAlign w:val="center"/>
            <w:hideMark/>
          </w:tcPr>
          <w:p w14:paraId="192B785A" w14:textId="77777777" w:rsidR="00CE79A0" w:rsidRPr="00763B44" w:rsidRDefault="00CE79A0" w:rsidP="000B101B">
            <w:pPr>
              <w:spacing w:after="0" w:line="240" w:lineRule="auto"/>
              <w:jc w:val="center"/>
              <w:rPr>
                <w:rFonts w:eastAsia="Times New Roman" w:cstheme="minorHAnsi"/>
                <w:lang w:eastAsia="en-GB"/>
              </w:rPr>
            </w:pPr>
            <w:r w:rsidRPr="00763B44">
              <w:rPr>
                <w:rFonts w:eastAsia="Times New Roman" w:cstheme="minorHAnsi"/>
                <w:lang w:eastAsia="en-GB"/>
              </w:rPr>
              <w:t>154 (25.7%)</w:t>
            </w:r>
          </w:p>
        </w:tc>
      </w:tr>
      <w:tr w:rsidR="00CE79A0" w:rsidRPr="00763B44" w14:paraId="534936BF" w14:textId="77777777" w:rsidTr="000B101B">
        <w:trPr>
          <w:trHeight w:val="310"/>
        </w:trPr>
        <w:tc>
          <w:tcPr>
            <w:tcW w:w="4962" w:type="dxa"/>
            <w:tcBorders>
              <w:top w:val="nil"/>
              <w:bottom w:val="nil"/>
            </w:tcBorders>
            <w:shd w:val="clear" w:color="auto" w:fill="auto"/>
            <w:vAlign w:val="center"/>
            <w:hideMark/>
          </w:tcPr>
          <w:p w14:paraId="3C38F195" w14:textId="77777777" w:rsidR="00CE79A0" w:rsidRPr="00763B44" w:rsidRDefault="00CE79A0" w:rsidP="000B101B">
            <w:pPr>
              <w:spacing w:after="0" w:line="240" w:lineRule="auto"/>
              <w:rPr>
                <w:rFonts w:eastAsia="Times New Roman" w:cstheme="minorHAnsi"/>
                <w:i/>
                <w:iCs/>
                <w:lang w:val="en-US" w:eastAsia="en-GB"/>
              </w:rPr>
            </w:pPr>
            <w:r w:rsidRPr="00763B44">
              <w:rPr>
                <w:rFonts w:eastAsia="Times New Roman" w:cstheme="minorHAnsi"/>
                <w:i/>
                <w:iCs/>
                <w:lang w:val="en-US" w:eastAsia="en-GB"/>
              </w:rPr>
              <w:t>At least one other adult life trauma</w:t>
            </w:r>
          </w:p>
        </w:tc>
        <w:tc>
          <w:tcPr>
            <w:tcW w:w="2984" w:type="dxa"/>
            <w:tcBorders>
              <w:top w:val="nil"/>
              <w:bottom w:val="nil"/>
            </w:tcBorders>
            <w:shd w:val="clear" w:color="auto" w:fill="auto"/>
            <w:vAlign w:val="center"/>
            <w:hideMark/>
          </w:tcPr>
          <w:p w14:paraId="6F98C84D" w14:textId="77777777" w:rsidR="00CE79A0" w:rsidRPr="00763B44" w:rsidRDefault="00CE79A0" w:rsidP="000B101B">
            <w:pPr>
              <w:spacing w:after="0" w:line="240" w:lineRule="auto"/>
              <w:jc w:val="center"/>
              <w:rPr>
                <w:rFonts w:eastAsia="Times New Roman" w:cstheme="minorHAnsi"/>
                <w:lang w:eastAsia="en-GB"/>
              </w:rPr>
            </w:pPr>
            <w:r w:rsidRPr="00763B44">
              <w:rPr>
                <w:rFonts w:eastAsia="Times New Roman" w:cstheme="minorHAnsi"/>
                <w:lang w:eastAsia="en-GB"/>
              </w:rPr>
              <w:t>599 (100%)</w:t>
            </w:r>
          </w:p>
        </w:tc>
      </w:tr>
      <w:tr w:rsidR="00CE79A0" w:rsidRPr="00763B44" w14:paraId="66147AD9" w14:textId="77777777" w:rsidTr="000B101B">
        <w:trPr>
          <w:trHeight w:val="310"/>
        </w:trPr>
        <w:tc>
          <w:tcPr>
            <w:tcW w:w="4962" w:type="dxa"/>
            <w:tcBorders>
              <w:top w:val="nil"/>
              <w:bottom w:val="nil"/>
            </w:tcBorders>
            <w:shd w:val="clear" w:color="auto" w:fill="auto"/>
            <w:vAlign w:val="center"/>
            <w:hideMark/>
          </w:tcPr>
          <w:p w14:paraId="3AC61222" w14:textId="77777777" w:rsidR="00CE79A0" w:rsidRPr="00763B44" w:rsidRDefault="00CE79A0" w:rsidP="000B101B">
            <w:pPr>
              <w:spacing w:after="0" w:line="240" w:lineRule="auto"/>
              <w:rPr>
                <w:rFonts w:eastAsia="Times New Roman" w:cstheme="minorHAnsi"/>
                <w:i/>
                <w:iCs/>
                <w:lang w:val="en-US" w:eastAsia="en-GB"/>
              </w:rPr>
            </w:pPr>
            <w:r w:rsidRPr="00763B44">
              <w:rPr>
                <w:rFonts w:eastAsia="Times New Roman" w:cstheme="minorHAnsi"/>
                <w:i/>
                <w:iCs/>
                <w:lang w:val="en-US" w:eastAsia="en-GB"/>
              </w:rPr>
              <w:t>Combat</w:t>
            </w:r>
          </w:p>
        </w:tc>
        <w:tc>
          <w:tcPr>
            <w:tcW w:w="2984" w:type="dxa"/>
            <w:tcBorders>
              <w:top w:val="nil"/>
              <w:bottom w:val="nil"/>
            </w:tcBorders>
            <w:shd w:val="clear" w:color="auto" w:fill="auto"/>
            <w:vAlign w:val="center"/>
            <w:hideMark/>
          </w:tcPr>
          <w:p w14:paraId="5BB26689" w14:textId="77777777" w:rsidR="00CE79A0" w:rsidRPr="00763B44" w:rsidRDefault="00CE79A0" w:rsidP="000B101B">
            <w:pPr>
              <w:spacing w:after="0" w:line="240" w:lineRule="auto"/>
              <w:jc w:val="center"/>
              <w:rPr>
                <w:rFonts w:eastAsia="Times New Roman" w:cstheme="minorHAnsi"/>
                <w:lang w:eastAsia="en-GB"/>
              </w:rPr>
            </w:pPr>
            <w:r w:rsidRPr="00763B44">
              <w:rPr>
                <w:rFonts w:eastAsia="Times New Roman" w:cstheme="minorHAnsi"/>
                <w:lang w:eastAsia="en-GB"/>
              </w:rPr>
              <w:t>479 (80,0%)</w:t>
            </w:r>
          </w:p>
        </w:tc>
      </w:tr>
      <w:tr w:rsidR="00CE79A0" w:rsidRPr="00763B44" w14:paraId="08104811" w14:textId="77777777" w:rsidTr="000B101B">
        <w:trPr>
          <w:trHeight w:val="310"/>
        </w:trPr>
        <w:tc>
          <w:tcPr>
            <w:tcW w:w="4962" w:type="dxa"/>
            <w:tcBorders>
              <w:top w:val="nil"/>
              <w:bottom w:val="nil"/>
            </w:tcBorders>
            <w:shd w:val="clear" w:color="auto" w:fill="auto"/>
            <w:vAlign w:val="center"/>
            <w:hideMark/>
          </w:tcPr>
          <w:p w14:paraId="3AB9B1F2" w14:textId="77777777" w:rsidR="00CE79A0" w:rsidRPr="00763B44" w:rsidRDefault="00CE79A0" w:rsidP="000B101B">
            <w:pPr>
              <w:spacing w:after="0" w:line="240" w:lineRule="auto"/>
              <w:rPr>
                <w:rFonts w:eastAsia="Times New Roman" w:cstheme="minorHAnsi"/>
                <w:lang w:val="en-US" w:eastAsia="en-GB"/>
              </w:rPr>
            </w:pPr>
            <w:r w:rsidRPr="00763B44">
              <w:rPr>
                <w:rFonts w:eastAsia="Times New Roman" w:cstheme="minorHAnsi"/>
                <w:lang w:val="en-US" w:eastAsia="en-GB"/>
              </w:rPr>
              <w:t>PTSD according to ICD-11 criteria</w:t>
            </w:r>
          </w:p>
        </w:tc>
        <w:tc>
          <w:tcPr>
            <w:tcW w:w="2984" w:type="dxa"/>
            <w:tcBorders>
              <w:top w:val="nil"/>
              <w:bottom w:val="nil"/>
            </w:tcBorders>
            <w:shd w:val="clear" w:color="auto" w:fill="auto"/>
            <w:vAlign w:val="center"/>
            <w:hideMark/>
          </w:tcPr>
          <w:p w14:paraId="00EC65F6" w14:textId="77777777" w:rsidR="00CE79A0" w:rsidRPr="00763B44" w:rsidRDefault="00CE79A0" w:rsidP="000B101B">
            <w:pPr>
              <w:spacing w:after="0" w:line="240" w:lineRule="auto"/>
              <w:jc w:val="center"/>
              <w:rPr>
                <w:rFonts w:eastAsia="Times New Roman" w:cstheme="minorHAnsi"/>
                <w:lang w:eastAsia="en-GB"/>
              </w:rPr>
            </w:pPr>
            <w:r w:rsidRPr="00763B44">
              <w:rPr>
                <w:rFonts w:eastAsia="Times New Roman" w:cstheme="minorHAnsi"/>
                <w:lang w:eastAsia="en-GB"/>
              </w:rPr>
              <w:t>78 (13.0%)</w:t>
            </w:r>
          </w:p>
        </w:tc>
      </w:tr>
      <w:tr w:rsidR="00CE79A0" w:rsidRPr="00763B44" w14:paraId="2A6E81D6" w14:textId="77777777" w:rsidTr="000B101B">
        <w:trPr>
          <w:trHeight w:val="325"/>
        </w:trPr>
        <w:tc>
          <w:tcPr>
            <w:tcW w:w="4962" w:type="dxa"/>
            <w:tcBorders>
              <w:top w:val="nil"/>
              <w:bottom w:val="single" w:sz="8" w:space="0" w:color="000000"/>
            </w:tcBorders>
            <w:shd w:val="clear" w:color="auto" w:fill="auto"/>
            <w:vAlign w:val="center"/>
            <w:hideMark/>
          </w:tcPr>
          <w:p w14:paraId="73A96268" w14:textId="77777777" w:rsidR="00CE79A0" w:rsidRPr="00763B44" w:rsidRDefault="00CE79A0" w:rsidP="000B101B">
            <w:pPr>
              <w:spacing w:after="0" w:line="240" w:lineRule="auto"/>
              <w:rPr>
                <w:rFonts w:eastAsia="Times New Roman" w:cstheme="minorHAnsi"/>
                <w:lang w:val="en-US" w:eastAsia="en-GB"/>
              </w:rPr>
            </w:pPr>
            <w:r w:rsidRPr="00763B44">
              <w:rPr>
                <w:rFonts w:eastAsia="Times New Roman" w:cstheme="minorHAnsi"/>
                <w:lang w:val="en-US" w:eastAsia="en-GB"/>
              </w:rPr>
              <w:t>CPTSD according to ICD-11 criteria</w:t>
            </w:r>
          </w:p>
        </w:tc>
        <w:tc>
          <w:tcPr>
            <w:tcW w:w="2984" w:type="dxa"/>
            <w:tcBorders>
              <w:top w:val="nil"/>
              <w:bottom w:val="single" w:sz="8" w:space="0" w:color="000000"/>
            </w:tcBorders>
            <w:shd w:val="clear" w:color="auto" w:fill="auto"/>
            <w:vAlign w:val="center"/>
            <w:hideMark/>
          </w:tcPr>
          <w:p w14:paraId="443117E5" w14:textId="77777777" w:rsidR="00CE79A0" w:rsidRPr="00763B44" w:rsidRDefault="00CE79A0" w:rsidP="000B101B">
            <w:pPr>
              <w:spacing w:after="0" w:line="240" w:lineRule="auto"/>
              <w:jc w:val="center"/>
              <w:rPr>
                <w:rFonts w:eastAsia="Times New Roman" w:cstheme="minorHAnsi"/>
                <w:lang w:eastAsia="en-GB"/>
              </w:rPr>
            </w:pPr>
            <w:r w:rsidRPr="00763B44">
              <w:rPr>
                <w:rFonts w:eastAsia="Times New Roman" w:cstheme="minorHAnsi"/>
                <w:lang w:eastAsia="en-GB"/>
              </w:rPr>
              <w:t>188 (31.4%)</w:t>
            </w:r>
          </w:p>
        </w:tc>
      </w:tr>
    </w:tbl>
    <w:p w14:paraId="6C77B9D1" w14:textId="77777777" w:rsidR="00CE79A0" w:rsidRPr="00763B44" w:rsidRDefault="00CE79A0" w:rsidP="00CE79A0">
      <w:pPr>
        <w:rPr>
          <w:rFonts w:cstheme="minorHAnsi"/>
          <w:lang w:val="en-GB"/>
        </w:rPr>
      </w:pPr>
      <w:r w:rsidRPr="00763B44">
        <w:rPr>
          <w:rFonts w:cstheme="minorHAnsi"/>
          <w:shd w:val="clear" w:color="auto" w:fill="FFFFFF"/>
          <w:lang w:val="en-US"/>
        </w:rPr>
        <w:t>Notes: Values are N (%) unless stated otherwise, SD = Standard deviation.</w:t>
      </w:r>
      <w:r w:rsidRPr="00763B44">
        <w:rPr>
          <w:rFonts w:cstheme="minorHAnsi"/>
          <w:noProof/>
          <w:shd w:val="clear" w:color="auto" w:fill="FFFFFF"/>
          <w:lang w:val="en-US"/>
        </w:rPr>
        <w:t xml:space="preserve"> </w:t>
      </w:r>
      <w:r w:rsidRPr="00763B44">
        <w:rPr>
          <w:rFonts w:cstheme="minorHAnsi"/>
          <w:lang w:val="en-GB"/>
        </w:rPr>
        <w:br w:type="page"/>
      </w:r>
    </w:p>
    <w:p w14:paraId="48208747" w14:textId="77777777" w:rsidR="00CE79A0" w:rsidRPr="00763B44" w:rsidRDefault="00CE79A0" w:rsidP="00CE79A0">
      <w:pPr>
        <w:spacing w:after="0" w:line="240" w:lineRule="auto"/>
        <w:rPr>
          <w:rFonts w:cstheme="minorHAnsi"/>
          <w:lang w:val="en-GB"/>
        </w:rPr>
        <w:sectPr w:rsidR="00CE79A0" w:rsidRPr="00763B44">
          <w:headerReference w:type="default" r:id="rId14"/>
          <w:footerReference w:type="default" r:id="rId15"/>
          <w:pgSz w:w="11906" w:h="16838"/>
          <w:pgMar w:top="1701" w:right="1134" w:bottom="1701" w:left="1134" w:header="708" w:footer="708" w:gutter="0"/>
          <w:cols w:space="708"/>
          <w:docGrid w:linePitch="360"/>
        </w:sectPr>
      </w:pPr>
    </w:p>
    <w:p w14:paraId="22F28E7A" w14:textId="77777777" w:rsidR="00CE79A0" w:rsidRPr="00763B44" w:rsidRDefault="00CE79A0" w:rsidP="00CE79A0">
      <w:pPr>
        <w:spacing w:after="0" w:line="240" w:lineRule="auto"/>
        <w:rPr>
          <w:rFonts w:eastAsia="Times New Roman" w:cstheme="minorHAnsi"/>
          <w:b/>
          <w:bCs/>
          <w:lang w:val="en-US" w:eastAsia="en-GB"/>
        </w:rPr>
      </w:pPr>
      <w:r w:rsidRPr="00763B44">
        <w:rPr>
          <w:rFonts w:eastAsia="Times New Roman" w:cstheme="minorHAnsi"/>
          <w:b/>
          <w:bCs/>
          <w:lang w:val="en-US" w:eastAsia="en-GB"/>
        </w:rPr>
        <w:lastRenderedPageBreak/>
        <w:t>Table 2. Socio-demographic and trauma risk factors and association with diagnostic status</w:t>
      </w:r>
    </w:p>
    <w:p w14:paraId="4E50B66F" w14:textId="77777777" w:rsidR="00CE79A0" w:rsidRPr="00763B44" w:rsidRDefault="00CE79A0" w:rsidP="00CE79A0">
      <w:pPr>
        <w:spacing w:after="0" w:line="240" w:lineRule="auto"/>
        <w:rPr>
          <w:rFonts w:cstheme="minorHAnsi"/>
          <w:lang w:val="en-US"/>
        </w:rPr>
      </w:pPr>
    </w:p>
    <w:tbl>
      <w:tblPr>
        <w:tblW w:w="5000" w:type="pct"/>
        <w:tblLayout w:type="fixed"/>
        <w:tblCellMar>
          <w:left w:w="28" w:type="dxa"/>
          <w:right w:w="28" w:type="dxa"/>
        </w:tblCellMar>
        <w:tblLook w:val="04A0" w:firstRow="1" w:lastRow="0" w:firstColumn="1" w:lastColumn="0" w:noHBand="0" w:noVBand="1"/>
      </w:tblPr>
      <w:tblGrid>
        <w:gridCol w:w="2707"/>
        <w:gridCol w:w="979"/>
        <w:gridCol w:w="993"/>
        <w:gridCol w:w="850"/>
        <w:gridCol w:w="850"/>
        <w:gridCol w:w="709"/>
        <w:gridCol w:w="424"/>
        <w:gridCol w:w="993"/>
        <w:gridCol w:w="1133"/>
      </w:tblGrid>
      <w:tr w:rsidR="00CE79A0" w:rsidRPr="00F20930" w14:paraId="00DAA011" w14:textId="77777777" w:rsidTr="00FE6DB1">
        <w:trPr>
          <w:trHeight w:val="830"/>
        </w:trPr>
        <w:tc>
          <w:tcPr>
            <w:tcW w:w="1404" w:type="pct"/>
            <w:tcBorders>
              <w:top w:val="single" w:sz="4" w:space="0" w:color="auto"/>
              <w:bottom w:val="single" w:sz="4" w:space="0" w:color="auto"/>
            </w:tcBorders>
            <w:vAlign w:val="bottom"/>
            <w:hideMark/>
          </w:tcPr>
          <w:p w14:paraId="0973B18B" w14:textId="77777777" w:rsidR="00CE79A0" w:rsidRPr="00763B44" w:rsidRDefault="00CE79A0" w:rsidP="000B101B">
            <w:pPr>
              <w:spacing w:after="0" w:line="240" w:lineRule="auto"/>
              <w:rPr>
                <w:rFonts w:eastAsia="Times New Roman" w:cstheme="minorHAnsi"/>
                <w:b/>
                <w:lang w:val="en-GB" w:eastAsia="en-GB"/>
              </w:rPr>
            </w:pPr>
            <w:r w:rsidRPr="00763B44">
              <w:rPr>
                <w:rFonts w:eastAsia="Times New Roman" w:cstheme="minorHAnsi"/>
                <w:b/>
                <w:lang w:val="en-GB" w:eastAsia="en-GB"/>
              </w:rPr>
              <w:t>Variable</w:t>
            </w:r>
          </w:p>
        </w:tc>
        <w:tc>
          <w:tcPr>
            <w:tcW w:w="508" w:type="pct"/>
            <w:tcBorders>
              <w:top w:val="single" w:sz="4" w:space="0" w:color="auto"/>
              <w:bottom w:val="single" w:sz="4" w:space="0" w:color="auto"/>
            </w:tcBorders>
            <w:vAlign w:val="bottom"/>
            <w:hideMark/>
          </w:tcPr>
          <w:p w14:paraId="366EE695" w14:textId="77777777" w:rsidR="00CE79A0" w:rsidRPr="00763B44" w:rsidRDefault="00CE79A0" w:rsidP="000B101B">
            <w:pPr>
              <w:spacing w:after="0" w:line="240" w:lineRule="auto"/>
              <w:jc w:val="center"/>
              <w:rPr>
                <w:rFonts w:eastAsia="Times New Roman" w:cstheme="minorHAnsi"/>
                <w:b/>
                <w:bCs/>
                <w:lang w:eastAsia="en-GB"/>
              </w:rPr>
            </w:pPr>
            <w:r w:rsidRPr="00763B44">
              <w:rPr>
                <w:rFonts w:eastAsia="Times New Roman" w:cstheme="minorHAnsi"/>
                <w:b/>
                <w:bCs/>
                <w:lang w:eastAsia="en-GB"/>
              </w:rPr>
              <w:t>No trauma condition</w:t>
            </w:r>
          </w:p>
          <w:p w14:paraId="5790A7BC" w14:textId="77777777" w:rsidR="00CE79A0" w:rsidRPr="00763B44" w:rsidRDefault="00CE79A0" w:rsidP="000B101B">
            <w:pPr>
              <w:spacing w:after="0" w:line="240" w:lineRule="auto"/>
              <w:jc w:val="center"/>
              <w:rPr>
                <w:rFonts w:eastAsia="Times New Roman" w:cstheme="minorHAnsi"/>
                <w:b/>
                <w:bCs/>
                <w:lang w:eastAsia="en-GB"/>
              </w:rPr>
            </w:pPr>
            <w:r w:rsidRPr="00763B44">
              <w:rPr>
                <w:rFonts w:eastAsia="Times New Roman" w:cstheme="minorHAnsi"/>
                <w:b/>
                <w:bCs/>
                <w:lang w:eastAsia="en-GB"/>
              </w:rPr>
              <w:t>(</w:t>
            </w:r>
            <w:r w:rsidRPr="00763B44">
              <w:rPr>
                <w:rFonts w:eastAsia="Times New Roman" w:cstheme="minorHAnsi"/>
                <w:b/>
                <w:bCs/>
                <w:i/>
                <w:lang w:eastAsia="en-GB"/>
              </w:rPr>
              <w:t>N=</w:t>
            </w:r>
            <w:r w:rsidRPr="00763B44">
              <w:rPr>
                <w:rFonts w:eastAsia="Times New Roman" w:cstheme="minorHAnsi"/>
                <w:b/>
                <w:bCs/>
                <w:lang w:eastAsia="en-GB"/>
              </w:rPr>
              <w:t>333)</w:t>
            </w:r>
          </w:p>
        </w:tc>
        <w:tc>
          <w:tcPr>
            <w:tcW w:w="515" w:type="pct"/>
            <w:tcBorders>
              <w:top w:val="single" w:sz="4" w:space="0" w:color="auto"/>
              <w:bottom w:val="single" w:sz="4" w:space="0" w:color="auto"/>
            </w:tcBorders>
            <w:vAlign w:val="bottom"/>
            <w:hideMark/>
          </w:tcPr>
          <w:p w14:paraId="637FCDAF" w14:textId="77777777" w:rsidR="00CE79A0" w:rsidRPr="00763B44" w:rsidRDefault="00CE79A0" w:rsidP="000B101B">
            <w:pPr>
              <w:spacing w:after="0" w:line="240" w:lineRule="auto"/>
              <w:jc w:val="center"/>
              <w:rPr>
                <w:rFonts w:eastAsia="Times New Roman" w:cstheme="minorHAnsi"/>
                <w:b/>
                <w:bCs/>
                <w:lang w:eastAsia="en-GB"/>
              </w:rPr>
            </w:pPr>
            <w:r w:rsidRPr="00763B44">
              <w:rPr>
                <w:rFonts w:eastAsia="Times New Roman" w:cstheme="minorHAnsi"/>
                <w:b/>
                <w:bCs/>
                <w:lang w:eastAsia="en-GB"/>
              </w:rPr>
              <w:t>PTSD</w:t>
            </w:r>
          </w:p>
          <w:p w14:paraId="39028C1D" w14:textId="77777777" w:rsidR="00CE79A0" w:rsidRPr="00763B44" w:rsidRDefault="00CE79A0" w:rsidP="000B101B">
            <w:pPr>
              <w:spacing w:after="0" w:line="240" w:lineRule="auto"/>
              <w:jc w:val="center"/>
              <w:rPr>
                <w:rFonts w:eastAsia="Times New Roman" w:cstheme="minorHAnsi"/>
                <w:b/>
                <w:bCs/>
                <w:lang w:eastAsia="en-GB"/>
              </w:rPr>
            </w:pPr>
            <w:r w:rsidRPr="00763B44">
              <w:rPr>
                <w:rFonts w:eastAsia="Times New Roman" w:cstheme="minorHAnsi"/>
                <w:b/>
                <w:bCs/>
                <w:lang w:eastAsia="en-GB"/>
              </w:rPr>
              <w:t>(</w:t>
            </w:r>
            <w:r w:rsidRPr="00763B44">
              <w:rPr>
                <w:rFonts w:eastAsia="Times New Roman" w:cstheme="minorHAnsi"/>
                <w:b/>
                <w:bCs/>
                <w:i/>
                <w:lang w:eastAsia="en-GB"/>
              </w:rPr>
              <w:t>N=</w:t>
            </w:r>
            <w:r w:rsidRPr="00763B44">
              <w:rPr>
                <w:rFonts w:eastAsia="Times New Roman" w:cstheme="minorHAnsi"/>
                <w:b/>
                <w:bCs/>
                <w:lang w:eastAsia="en-GB"/>
              </w:rPr>
              <w:t>78)</w:t>
            </w:r>
          </w:p>
        </w:tc>
        <w:tc>
          <w:tcPr>
            <w:tcW w:w="441" w:type="pct"/>
            <w:tcBorders>
              <w:top w:val="single" w:sz="4" w:space="0" w:color="auto"/>
              <w:bottom w:val="single" w:sz="4" w:space="0" w:color="auto"/>
            </w:tcBorders>
            <w:vAlign w:val="bottom"/>
            <w:hideMark/>
          </w:tcPr>
          <w:p w14:paraId="31C610B3" w14:textId="77777777" w:rsidR="00CE79A0" w:rsidRPr="00763B44" w:rsidRDefault="00CE79A0" w:rsidP="000B101B">
            <w:pPr>
              <w:spacing w:after="0" w:line="240" w:lineRule="auto"/>
              <w:jc w:val="center"/>
              <w:rPr>
                <w:rFonts w:eastAsia="Times New Roman" w:cstheme="minorHAnsi"/>
                <w:b/>
                <w:bCs/>
                <w:lang w:eastAsia="en-GB"/>
              </w:rPr>
            </w:pPr>
            <w:r w:rsidRPr="00763B44">
              <w:rPr>
                <w:rFonts w:eastAsia="Times New Roman" w:cstheme="minorHAnsi"/>
                <w:b/>
                <w:bCs/>
                <w:lang w:eastAsia="en-GB"/>
              </w:rPr>
              <w:t>CPTSD</w:t>
            </w:r>
          </w:p>
          <w:p w14:paraId="167B668A" w14:textId="77777777" w:rsidR="00CE79A0" w:rsidRPr="00763B44" w:rsidRDefault="00CE79A0" w:rsidP="000B101B">
            <w:pPr>
              <w:spacing w:after="0" w:line="240" w:lineRule="auto"/>
              <w:jc w:val="center"/>
              <w:rPr>
                <w:rFonts w:eastAsia="Times New Roman" w:cstheme="minorHAnsi"/>
                <w:b/>
                <w:bCs/>
                <w:lang w:eastAsia="en-GB"/>
              </w:rPr>
            </w:pPr>
            <w:r w:rsidRPr="00763B44">
              <w:rPr>
                <w:rFonts w:eastAsia="Times New Roman" w:cstheme="minorHAnsi"/>
                <w:b/>
                <w:bCs/>
                <w:lang w:eastAsia="en-GB"/>
              </w:rPr>
              <w:t>(</w:t>
            </w:r>
            <w:r w:rsidRPr="00763B44">
              <w:rPr>
                <w:rFonts w:eastAsia="Times New Roman" w:cstheme="minorHAnsi"/>
                <w:b/>
                <w:bCs/>
                <w:i/>
                <w:lang w:eastAsia="en-GB"/>
              </w:rPr>
              <w:t>N=</w:t>
            </w:r>
            <w:r w:rsidRPr="00763B44">
              <w:rPr>
                <w:rFonts w:eastAsia="Times New Roman" w:cstheme="minorHAnsi"/>
                <w:b/>
                <w:bCs/>
                <w:lang w:eastAsia="en-GB"/>
              </w:rPr>
              <w:t>188)</w:t>
            </w:r>
          </w:p>
        </w:tc>
        <w:tc>
          <w:tcPr>
            <w:tcW w:w="441" w:type="pct"/>
            <w:tcBorders>
              <w:top w:val="single" w:sz="4" w:space="0" w:color="auto"/>
              <w:bottom w:val="single" w:sz="4" w:space="0" w:color="auto"/>
            </w:tcBorders>
            <w:vAlign w:val="bottom"/>
          </w:tcPr>
          <w:p w14:paraId="171988DD" w14:textId="77777777" w:rsidR="00CE79A0" w:rsidRPr="00763B44" w:rsidRDefault="00CE79A0" w:rsidP="000B101B">
            <w:pPr>
              <w:spacing w:after="0" w:line="240" w:lineRule="auto"/>
              <w:jc w:val="center"/>
              <w:rPr>
                <w:rFonts w:eastAsia="Times New Roman" w:cstheme="minorHAnsi"/>
                <w:b/>
                <w:bCs/>
                <w:lang w:eastAsia="en-GB"/>
              </w:rPr>
            </w:pPr>
            <w:r w:rsidRPr="00763B44">
              <w:rPr>
                <w:rFonts w:eastAsia="Times New Roman" w:cstheme="minorHAnsi"/>
                <w:b/>
                <w:bCs/>
                <w:lang w:eastAsia="en-GB"/>
              </w:rPr>
              <w:t>Total</w:t>
            </w:r>
          </w:p>
          <w:p w14:paraId="49A439C3" w14:textId="77777777" w:rsidR="00CE79A0" w:rsidRPr="00763B44" w:rsidRDefault="00CE79A0" w:rsidP="000B101B">
            <w:pPr>
              <w:spacing w:after="0" w:line="240" w:lineRule="auto"/>
              <w:jc w:val="center"/>
              <w:rPr>
                <w:rFonts w:eastAsia="Times New Roman" w:cstheme="minorHAnsi"/>
                <w:b/>
                <w:bCs/>
                <w:lang w:eastAsia="en-GB"/>
              </w:rPr>
            </w:pPr>
            <w:r w:rsidRPr="00763B44">
              <w:rPr>
                <w:rFonts w:eastAsia="Times New Roman" w:cstheme="minorHAnsi"/>
                <w:b/>
                <w:bCs/>
                <w:lang w:eastAsia="en-GB"/>
              </w:rPr>
              <w:t>(</w:t>
            </w:r>
            <w:r w:rsidRPr="00763B44">
              <w:rPr>
                <w:rFonts w:eastAsia="Times New Roman" w:cstheme="minorHAnsi"/>
                <w:b/>
                <w:bCs/>
                <w:i/>
                <w:lang w:eastAsia="en-GB"/>
              </w:rPr>
              <w:t>N=</w:t>
            </w:r>
            <w:r w:rsidRPr="00763B44">
              <w:rPr>
                <w:rFonts w:eastAsia="Times New Roman" w:cstheme="minorHAnsi"/>
                <w:b/>
                <w:bCs/>
                <w:lang w:eastAsia="en-GB"/>
              </w:rPr>
              <w:t>599)</w:t>
            </w:r>
          </w:p>
        </w:tc>
        <w:tc>
          <w:tcPr>
            <w:tcW w:w="368" w:type="pct"/>
            <w:tcBorders>
              <w:top w:val="single" w:sz="4" w:space="0" w:color="auto"/>
              <w:bottom w:val="single" w:sz="4" w:space="0" w:color="auto"/>
            </w:tcBorders>
            <w:vAlign w:val="bottom"/>
          </w:tcPr>
          <w:p w14:paraId="3C48BF83" w14:textId="77777777" w:rsidR="00CE79A0" w:rsidRPr="00763B44" w:rsidRDefault="00CE79A0" w:rsidP="000B101B">
            <w:pPr>
              <w:spacing w:after="0" w:line="240" w:lineRule="auto"/>
              <w:jc w:val="center"/>
              <w:rPr>
                <w:rFonts w:eastAsia="Times New Roman" w:cstheme="minorHAnsi"/>
                <w:b/>
                <w:bCs/>
                <w:lang w:eastAsia="en-GB"/>
              </w:rPr>
            </w:pPr>
            <w:r w:rsidRPr="00763B44">
              <w:rPr>
                <w:rFonts w:eastAsia="Times New Roman" w:cstheme="minorHAnsi"/>
                <w:b/>
                <w:bCs/>
                <w:lang w:eastAsia="en-GB"/>
              </w:rPr>
              <w:t>χ2</w:t>
            </w:r>
          </w:p>
        </w:tc>
        <w:tc>
          <w:tcPr>
            <w:tcW w:w="220" w:type="pct"/>
            <w:tcBorders>
              <w:top w:val="single" w:sz="4" w:space="0" w:color="auto"/>
              <w:bottom w:val="single" w:sz="4" w:space="0" w:color="auto"/>
            </w:tcBorders>
            <w:vAlign w:val="bottom"/>
          </w:tcPr>
          <w:p w14:paraId="4DE7DDFB" w14:textId="77777777" w:rsidR="00CE79A0" w:rsidRPr="00763B44" w:rsidRDefault="00CE79A0" w:rsidP="000B101B">
            <w:pPr>
              <w:spacing w:after="0" w:line="240" w:lineRule="auto"/>
              <w:jc w:val="center"/>
              <w:rPr>
                <w:rFonts w:eastAsia="Times New Roman" w:cstheme="minorHAnsi"/>
                <w:b/>
                <w:bCs/>
                <w:lang w:eastAsia="en-GB"/>
              </w:rPr>
            </w:pPr>
            <w:r w:rsidRPr="00763B44">
              <w:rPr>
                <w:rFonts w:eastAsia="Times New Roman" w:cstheme="minorHAnsi"/>
                <w:b/>
                <w:bCs/>
                <w:lang w:eastAsia="en-GB"/>
              </w:rPr>
              <w:t>df</w:t>
            </w:r>
          </w:p>
        </w:tc>
        <w:tc>
          <w:tcPr>
            <w:tcW w:w="515" w:type="pct"/>
            <w:tcBorders>
              <w:top w:val="single" w:sz="4" w:space="0" w:color="auto"/>
              <w:bottom w:val="single" w:sz="4" w:space="0" w:color="auto"/>
            </w:tcBorders>
            <w:vAlign w:val="bottom"/>
          </w:tcPr>
          <w:p w14:paraId="533BB468" w14:textId="77777777" w:rsidR="00CE79A0" w:rsidRPr="00763B44" w:rsidRDefault="00CE79A0" w:rsidP="000B101B">
            <w:pPr>
              <w:spacing w:after="0" w:line="240" w:lineRule="auto"/>
              <w:jc w:val="center"/>
              <w:rPr>
                <w:rFonts w:eastAsia="Times New Roman" w:cstheme="minorHAnsi"/>
                <w:b/>
                <w:bCs/>
                <w:lang w:val="en-GB" w:eastAsia="en-GB"/>
              </w:rPr>
            </w:pPr>
            <w:r w:rsidRPr="00763B44">
              <w:rPr>
                <w:rFonts w:eastAsia="Times New Roman" w:cstheme="minorHAnsi"/>
                <w:b/>
                <w:bCs/>
                <w:lang w:val="en-GB" w:eastAsia="en-GB"/>
              </w:rPr>
              <w:t>Overall difference</w:t>
            </w:r>
          </w:p>
          <w:p w14:paraId="3484EBE6" w14:textId="77777777" w:rsidR="00CE79A0" w:rsidRPr="00763B44" w:rsidRDefault="00CE79A0" w:rsidP="000B101B">
            <w:pPr>
              <w:spacing w:after="0" w:line="240" w:lineRule="auto"/>
              <w:jc w:val="center"/>
              <w:rPr>
                <w:rFonts w:eastAsia="Times New Roman" w:cstheme="minorHAnsi"/>
                <w:b/>
                <w:bCs/>
                <w:lang w:val="en-GB" w:eastAsia="en-GB"/>
              </w:rPr>
            </w:pPr>
            <w:r w:rsidRPr="00763B44">
              <w:rPr>
                <w:rFonts w:eastAsia="Times New Roman" w:cstheme="minorHAnsi"/>
                <w:b/>
                <w:bCs/>
                <w:lang w:val="en-GB" w:eastAsia="en-GB"/>
              </w:rPr>
              <w:t>btwn. No, PTSD,</w:t>
            </w:r>
          </w:p>
          <w:p w14:paraId="6A5AA288" w14:textId="77777777" w:rsidR="00CE79A0" w:rsidRPr="00763B44" w:rsidRDefault="00CE79A0" w:rsidP="000B101B">
            <w:pPr>
              <w:spacing w:after="0" w:line="240" w:lineRule="auto"/>
              <w:jc w:val="center"/>
              <w:rPr>
                <w:rFonts w:eastAsia="Times New Roman" w:cstheme="minorHAnsi"/>
                <w:b/>
                <w:bCs/>
                <w:lang w:eastAsia="en-GB"/>
              </w:rPr>
            </w:pPr>
            <w:r w:rsidRPr="00763B44">
              <w:rPr>
                <w:rFonts w:eastAsia="Times New Roman" w:cstheme="minorHAnsi"/>
                <w:b/>
                <w:bCs/>
                <w:lang w:eastAsia="en-GB"/>
              </w:rPr>
              <w:t>CPTSD</w:t>
            </w:r>
          </w:p>
          <w:p w14:paraId="321A1C4A" w14:textId="77777777" w:rsidR="00CE79A0" w:rsidRPr="00763B44" w:rsidRDefault="00CE79A0" w:rsidP="000B101B">
            <w:pPr>
              <w:spacing w:after="0" w:line="240" w:lineRule="auto"/>
              <w:jc w:val="center"/>
              <w:rPr>
                <w:rFonts w:eastAsia="Times New Roman" w:cstheme="minorHAnsi"/>
                <w:b/>
                <w:bCs/>
                <w:lang w:eastAsia="en-GB"/>
              </w:rPr>
            </w:pPr>
            <w:r w:rsidRPr="00763B44">
              <w:rPr>
                <w:rFonts w:eastAsia="Times New Roman" w:cstheme="minorHAnsi"/>
                <w:b/>
                <w:bCs/>
                <w:lang w:eastAsia="en-GB"/>
              </w:rPr>
              <w:t>P-value</w:t>
            </w:r>
          </w:p>
        </w:tc>
        <w:tc>
          <w:tcPr>
            <w:tcW w:w="588" w:type="pct"/>
            <w:tcBorders>
              <w:top w:val="single" w:sz="4" w:space="0" w:color="auto"/>
              <w:bottom w:val="single" w:sz="4" w:space="0" w:color="auto"/>
            </w:tcBorders>
          </w:tcPr>
          <w:p w14:paraId="2EBC1767" w14:textId="77777777" w:rsidR="00CE79A0" w:rsidRPr="00CE79A0" w:rsidRDefault="00CE79A0" w:rsidP="000B101B">
            <w:pPr>
              <w:spacing w:after="0" w:line="240" w:lineRule="auto"/>
              <w:jc w:val="center"/>
              <w:rPr>
                <w:rFonts w:eastAsia="Times New Roman" w:cstheme="minorHAnsi"/>
                <w:b/>
                <w:bCs/>
                <w:lang w:val="en-GB" w:eastAsia="en-GB"/>
              </w:rPr>
            </w:pPr>
            <w:r w:rsidRPr="00763B44">
              <w:rPr>
                <w:rFonts w:eastAsia="Times New Roman" w:cstheme="minorHAnsi"/>
                <w:b/>
                <w:bCs/>
                <w:lang w:val="en-GB" w:eastAsia="en-GB"/>
              </w:rPr>
              <w:t>After Holm</w:t>
            </w:r>
            <w:r w:rsidRPr="00785B7B">
              <w:rPr>
                <w:rFonts w:eastAsia="Times New Roman" w:cstheme="minorHAnsi"/>
                <w:b/>
                <w:bCs/>
                <w:lang w:val="en-GB" w:eastAsia="en-GB"/>
              </w:rPr>
              <w:t xml:space="preserve"> </w:t>
            </w:r>
            <w:r w:rsidRPr="00CE79A0">
              <w:rPr>
                <w:rFonts w:eastAsia="Times New Roman" w:cstheme="minorHAnsi"/>
                <w:b/>
                <w:bCs/>
                <w:lang w:val="en-GB" w:eastAsia="en-GB"/>
              </w:rPr>
              <w:t>Bonferroni correction: Evaluation of significance</w:t>
            </w:r>
          </w:p>
        </w:tc>
      </w:tr>
      <w:tr w:rsidR="00CE79A0" w:rsidRPr="00763B44" w14:paraId="3E8E30E0" w14:textId="77777777" w:rsidTr="00FE6DB1">
        <w:trPr>
          <w:trHeight w:val="41"/>
        </w:trPr>
        <w:tc>
          <w:tcPr>
            <w:tcW w:w="1404" w:type="pct"/>
            <w:noWrap/>
            <w:vAlign w:val="center"/>
          </w:tcPr>
          <w:p w14:paraId="5E3B50E4" w14:textId="77777777" w:rsidR="00CE79A0" w:rsidRPr="00763B44" w:rsidRDefault="00CE79A0" w:rsidP="000B101B">
            <w:pPr>
              <w:spacing w:after="0" w:line="240" w:lineRule="auto"/>
              <w:rPr>
                <w:rFonts w:eastAsia="Times New Roman" w:cstheme="minorHAnsi"/>
                <w:i/>
                <w:iCs/>
                <w:lang w:val="en-US" w:eastAsia="en-GB"/>
              </w:rPr>
            </w:pPr>
            <w:r w:rsidRPr="00763B44">
              <w:rPr>
                <w:rFonts w:eastAsia="Times New Roman" w:cstheme="minorHAnsi"/>
                <w:i/>
                <w:iCs/>
                <w:lang w:val="en-US" w:eastAsia="en-GB"/>
              </w:rPr>
              <w:t>Gender (male)</w:t>
            </w:r>
          </w:p>
        </w:tc>
        <w:tc>
          <w:tcPr>
            <w:tcW w:w="508" w:type="pct"/>
            <w:noWrap/>
            <w:vAlign w:val="center"/>
          </w:tcPr>
          <w:p w14:paraId="249B14D2"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314 (94.3%)</w:t>
            </w:r>
          </w:p>
        </w:tc>
        <w:tc>
          <w:tcPr>
            <w:tcW w:w="515" w:type="pct"/>
            <w:noWrap/>
            <w:vAlign w:val="center"/>
          </w:tcPr>
          <w:p w14:paraId="6C7A80FF"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72 (92.3%)</w:t>
            </w:r>
          </w:p>
        </w:tc>
        <w:tc>
          <w:tcPr>
            <w:tcW w:w="441" w:type="pct"/>
            <w:noWrap/>
            <w:vAlign w:val="center"/>
          </w:tcPr>
          <w:p w14:paraId="32B3A622"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176 (93.6%)</w:t>
            </w:r>
          </w:p>
        </w:tc>
        <w:tc>
          <w:tcPr>
            <w:tcW w:w="441" w:type="pct"/>
            <w:vAlign w:val="center"/>
          </w:tcPr>
          <w:p w14:paraId="30F9249E"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562 (93.8%)</w:t>
            </w:r>
          </w:p>
        </w:tc>
        <w:tc>
          <w:tcPr>
            <w:tcW w:w="368" w:type="pct"/>
            <w:vAlign w:val="center"/>
          </w:tcPr>
          <w:p w14:paraId="60FE9910"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0.450</w:t>
            </w:r>
          </w:p>
        </w:tc>
        <w:tc>
          <w:tcPr>
            <w:tcW w:w="220" w:type="pct"/>
            <w:noWrap/>
            <w:vAlign w:val="center"/>
          </w:tcPr>
          <w:p w14:paraId="2242E896"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2</w:t>
            </w:r>
          </w:p>
        </w:tc>
        <w:tc>
          <w:tcPr>
            <w:tcW w:w="515" w:type="pct"/>
            <w:vAlign w:val="center"/>
          </w:tcPr>
          <w:p w14:paraId="7BE179F0"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0.7983</w:t>
            </w:r>
          </w:p>
        </w:tc>
        <w:tc>
          <w:tcPr>
            <w:tcW w:w="588" w:type="pct"/>
            <w:vAlign w:val="center"/>
          </w:tcPr>
          <w:p w14:paraId="140FD5EA"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Not sig.</w:t>
            </w:r>
          </w:p>
        </w:tc>
      </w:tr>
      <w:tr w:rsidR="00CE79A0" w:rsidRPr="00763B44" w14:paraId="69B1E48D" w14:textId="77777777" w:rsidTr="00FE6DB1">
        <w:trPr>
          <w:trHeight w:val="86"/>
        </w:trPr>
        <w:tc>
          <w:tcPr>
            <w:tcW w:w="1404" w:type="pct"/>
            <w:noWrap/>
            <w:vAlign w:val="center"/>
            <w:hideMark/>
          </w:tcPr>
          <w:p w14:paraId="6FF5C40F" w14:textId="77777777" w:rsidR="00CE79A0" w:rsidRPr="00763B44" w:rsidRDefault="00CE79A0" w:rsidP="000B101B">
            <w:pPr>
              <w:spacing w:after="0" w:line="240" w:lineRule="auto"/>
              <w:rPr>
                <w:rFonts w:eastAsia="Times New Roman" w:cstheme="minorHAnsi"/>
                <w:i/>
                <w:iCs/>
                <w:lang w:val="en-US" w:eastAsia="en-GB"/>
              </w:rPr>
            </w:pPr>
            <w:r w:rsidRPr="00763B44">
              <w:rPr>
                <w:rFonts w:eastAsia="Times New Roman" w:cstheme="minorHAnsi"/>
                <w:i/>
                <w:iCs/>
                <w:lang w:val="en-US" w:eastAsia="en-GB"/>
              </w:rPr>
              <w:t>Age (Mean (SD))</w:t>
            </w:r>
          </w:p>
        </w:tc>
        <w:tc>
          <w:tcPr>
            <w:tcW w:w="508" w:type="pct"/>
            <w:noWrap/>
            <w:vAlign w:val="center"/>
            <w:hideMark/>
          </w:tcPr>
          <w:p w14:paraId="426F669D"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37.6 (9.4)</w:t>
            </w:r>
          </w:p>
        </w:tc>
        <w:tc>
          <w:tcPr>
            <w:tcW w:w="515" w:type="pct"/>
            <w:noWrap/>
            <w:vAlign w:val="center"/>
            <w:hideMark/>
          </w:tcPr>
          <w:p w14:paraId="46C075EB"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44.9 (10.8)</w:t>
            </w:r>
          </w:p>
        </w:tc>
        <w:tc>
          <w:tcPr>
            <w:tcW w:w="441" w:type="pct"/>
            <w:noWrap/>
            <w:vAlign w:val="center"/>
            <w:hideMark/>
          </w:tcPr>
          <w:p w14:paraId="60788CE3"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41.7 (8.7)</w:t>
            </w:r>
          </w:p>
        </w:tc>
        <w:tc>
          <w:tcPr>
            <w:tcW w:w="441" w:type="pct"/>
            <w:vAlign w:val="center"/>
          </w:tcPr>
          <w:p w14:paraId="0BC1DC7A"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39.9 (9.7)</w:t>
            </w:r>
          </w:p>
        </w:tc>
        <w:tc>
          <w:tcPr>
            <w:tcW w:w="368" w:type="pct"/>
            <w:vAlign w:val="center"/>
          </w:tcPr>
          <w:p w14:paraId="2733D909" w14:textId="77777777" w:rsidR="00CE79A0" w:rsidRPr="00763B44" w:rsidRDefault="00CE79A0" w:rsidP="000B101B">
            <w:pPr>
              <w:spacing w:after="0" w:line="240" w:lineRule="auto"/>
              <w:jc w:val="center"/>
              <w:rPr>
                <w:rFonts w:eastAsia="Times New Roman" w:cstheme="minorHAnsi"/>
                <w:vertAlign w:val="superscript"/>
                <w:lang w:val="en-US" w:eastAsia="en-GB"/>
              </w:rPr>
            </w:pPr>
            <w:r w:rsidRPr="00763B44">
              <w:rPr>
                <w:rFonts w:eastAsia="Times New Roman" w:cstheme="minorHAnsi"/>
                <w:lang w:val="en-US" w:eastAsia="en-GB"/>
              </w:rPr>
              <w:t>24.93</w:t>
            </w:r>
            <w:r w:rsidRPr="00763B44">
              <w:rPr>
                <w:rFonts w:eastAsia="Times New Roman" w:cstheme="minorHAnsi"/>
                <w:vertAlign w:val="superscript"/>
                <w:lang w:val="en-US" w:eastAsia="en-GB"/>
              </w:rPr>
              <w:t>a</w:t>
            </w:r>
          </w:p>
        </w:tc>
        <w:tc>
          <w:tcPr>
            <w:tcW w:w="220" w:type="pct"/>
            <w:noWrap/>
            <w:vAlign w:val="center"/>
          </w:tcPr>
          <w:p w14:paraId="0B1A0843"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2</w:t>
            </w:r>
          </w:p>
        </w:tc>
        <w:tc>
          <w:tcPr>
            <w:tcW w:w="515" w:type="pct"/>
            <w:vAlign w:val="center"/>
          </w:tcPr>
          <w:p w14:paraId="00BBAB97"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&lt;0.0001</w:t>
            </w:r>
            <w:r w:rsidRPr="00763B44">
              <w:rPr>
                <w:rFonts w:eastAsia="Times New Roman" w:cstheme="minorHAnsi"/>
                <w:vertAlign w:val="superscript"/>
                <w:lang w:val="en-US" w:eastAsia="en-GB"/>
              </w:rPr>
              <w:t>b</w:t>
            </w:r>
          </w:p>
        </w:tc>
        <w:tc>
          <w:tcPr>
            <w:tcW w:w="588" w:type="pct"/>
            <w:vAlign w:val="center"/>
          </w:tcPr>
          <w:p w14:paraId="3AB26AA4"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Sig.</w:t>
            </w:r>
          </w:p>
        </w:tc>
      </w:tr>
      <w:tr w:rsidR="00CE79A0" w:rsidRPr="00763B44" w14:paraId="7BB0D991" w14:textId="77777777" w:rsidTr="00FE6DB1">
        <w:trPr>
          <w:trHeight w:val="41"/>
        </w:trPr>
        <w:tc>
          <w:tcPr>
            <w:tcW w:w="1404" w:type="pct"/>
            <w:noWrap/>
            <w:vAlign w:val="center"/>
            <w:hideMark/>
          </w:tcPr>
          <w:p w14:paraId="6899EBC2" w14:textId="77777777" w:rsidR="00CE79A0" w:rsidRPr="00763B44" w:rsidRDefault="00CE79A0" w:rsidP="000B101B">
            <w:pPr>
              <w:spacing w:after="0" w:line="240" w:lineRule="auto"/>
              <w:rPr>
                <w:rFonts w:eastAsia="Times New Roman" w:cstheme="minorHAnsi"/>
                <w:i/>
                <w:iCs/>
                <w:lang w:val="en-US" w:eastAsia="en-GB"/>
              </w:rPr>
            </w:pPr>
            <w:r w:rsidRPr="00763B44">
              <w:rPr>
                <w:rFonts w:eastAsia="Times New Roman" w:cstheme="minorHAnsi"/>
                <w:i/>
                <w:iCs/>
                <w:lang w:val="en-US" w:eastAsia="en-GB"/>
              </w:rPr>
              <w:t>Marital status (single)</w:t>
            </w:r>
          </w:p>
        </w:tc>
        <w:tc>
          <w:tcPr>
            <w:tcW w:w="508" w:type="pct"/>
            <w:noWrap/>
            <w:vAlign w:val="center"/>
            <w:hideMark/>
          </w:tcPr>
          <w:p w14:paraId="73F658F3"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74 (22.2%)</w:t>
            </w:r>
          </w:p>
        </w:tc>
        <w:tc>
          <w:tcPr>
            <w:tcW w:w="515" w:type="pct"/>
            <w:noWrap/>
            <w:vAlign w:val="center"/>
            <w:hideMark/>
          </w:tcPr>
          <w:p w14:paraId="4CBF5C8F"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12 (15.4%)</w:t>
            </w:r>
          </w:p>
        </w:tc>
        <w:tc>
          <w:tcPr>
            <w:tcW w:w="441" w:type="pct"/>
            <w:noWrap/>
            <w:vAlign w:val="center"/>
            <w:hideMark/>
          </w:tcPr>
          <w:p w14:paraId="644EC492"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62 (33.0%)</w:t>
            </w:r>
          </w:p>
        </w:tc>
        <w:tc>
          <w:tcPr>
            <w:tcW w:w="441" w:type="pct"/>
            <w:vAlign w:val="center"/>
          </w:tcPr>
          <w:p w14:paraId="3CD80116"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148 (24.7%)</w:t>
            </w:r>
          </w:p>
        </w:tc>
        <w:tc>
          <w:tcPr>
            <w:tcW w:w="368" w:type="pct"/>
            <w:vAlign w:val="center"/>
          </w:tcPr>
          <w:p w14:paraId="45AE7FFC"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11.664</w:t>
            </w:r>
          </w:p>
        </w:tc>
        <w:tc>
          <w:tcPr>
            <w:tcW w:w="220" w:type="pct"/>
            <w:noWrap/>
            <w:vAlign w:val="center"/>
            <w:hideMark/>
          </w:tcPr>
          <w:p w14:paraId="5270BBF7"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2</w:t>
            </w:r>
          </w:p>
        </w:tc>
        <w:tc>
          <w:tcPr>
            <w:tcW w:w="515" w:type="pct"/>
            <w:vAlign w:val="center"/>
          </w:tcPr>
          <w:p w14:paraId="49E7CF44"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0.0029</w:t>
            </w:r>
          </w:p>
        </w:tc>
        <w:tc>
          <w:tcPr>
            <w:tcW w:w="588" w:type="pct"/>
            <w:vAlign w:val="center"/>
          </w:tcPr>
          <w:p w14:paraId="5D074A0E"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Sig.</w:t>
            </w:r>
          </w:p>
        </w:tc>
      </w:tr>
      <w:tr w:rsidR="00CE79A0" w:rsidRPr="00763B44" w14:paraId="486F256D" w14:textId="77777777" w:rsidTr="00FE6DB1">
        <w:trPr>
          <w:trHeight w:val="177"/>
        </w:trPr>
        <w:tc>
          <w:tcPr>
            <w:tcW w:w="1404" w:type="pct"/>
            <w:noWrap/>
            <w:vAlign w:val="center"/>
            <w:hideMark/>
          </w:tcPr>
          <w:p w14:paraId="4A9791C0" w14:textId="77777777" w:rsidR="00CE79A0" w:rsidRPr="00763B44" w:rsidRDefault="00CE79A0" w:rsidP="000B101B">
            <w:pPr>
              <w:spacing w:after="0" w:line="240" w:lineRule="auto"/>
              <w:rPr>
                <w:rFonts w:eastAsia="Times New Roman" w:cstheme="minorHAnsi"/>
                <w:i/>
                <w:iCs/>
                <w:lang w:val="en-US" w:eastAsia="en-GB"/>
              </w:rPr>
            </w:pPr>
            <w:r w:rsidRPr="00763B44">
              <w:rPr>
                <w:rFonts w:eastAsia="Times New Roman" w:cstheme="minorHAnsi"/>
                <w:i/>
                <w:iCs/>
                <w:lang w:val="en-US" w:eastAsia="en-GB"/>
              </w:rPr>
              <w:t>Children (yes)</w:t>
            </w:r>
          </w:p>
        </w:tc>
        <w:tc>
          <w:tcPr>
            <w:tcW w:w="508" w:type="pct"/>
            <w:noWrap/>
            <w:vAlign w:val="center"/>
            <w:hideMark/>
          </w:tcPr>
          <w:p w14:paraId="33BF592E"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214 (64.3%)</w:t>
            </w:r>
          </w:p>
        </w:tc>
        <w:tc>
          <w:tcPr>
            <w:tcW w:w="515" w:type="pct"/>
            <w:noWrap/>
            <w:vAlign w:val="center"/>
            <w:hideMark/>
          </w:tcPr>
          <w:p w14:paraId="4ECCF8CD"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61 (78.2%)</w:t>
            </w:r>
          </w:p>
        </w:tc>
        <w:tc>
          <w:tcPr>
            <w:tcW w:w="441" w:type="pct"/>
            <w:noWrap/>
            <w:vAlign w:val="center"/>
            <w:hideMark/>
          </w:tcPr>
          <w:p w14:paraId="2871A811"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138 (73.4%)</w:t>
            </w:r>
          </w:p>
        </w:tc>
        <w:tc>
          <w:tcPr>
            <w:tcW w:w="441" w:type="pct"/>
            <w:vAlign w:val="center"/>
          </w:tcPr>
          <w:p w14:paraId="2B49549E"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413 (68.9%)</w:t>
            </w:r>
          </w:p>
        </w:tc>
        <w:tc>
          <w:tcPr>
            <w:tcW w:w="368" w:type="pct"/>
            <w:vAlign w:val="center"/>
          </w:tcPr>
          <w:p w14:paraId="373FECF8"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8.278</w:t>
            </w:r>
          </w:p>
        </w:tc>
        <w:tc>
          <w:tcPr>
            <w:tcW w:w="220" w:type="pct"/>
            <w:noWrap/>
            <w:vAlign w:val="center"/>
            <w:hideMark/>
          </w:tcPr>
          <w:p w14:paraId="2A72A915"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2</w:t>
            </w:r>
          </w:p>
        </w:tc>
        <w:tc>
          <w:tcPr>
            <w:tcW w:w="515" w:type="pct"/>
            <w:vAlign w:val="center"/>
          </w:tcPr>
          <w:p w14:paraId="0BCD4CF2"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0.0159</w:t>
            </w:r>
          </w:p>
        </w:tc>
        <w:tc>
          <w:tcPr>
            <w:tcW w:w="588" w:type="pct"/>
            <w:vAlign w:val="center"/>
          </w:tcPr>
          <w:p w14:paraId="5E0D89DF" w14:textId="77777777" w:rsidR="00CE79A0" w:rsidRPr="00785B7B"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Not</w:t>
            </w:r>
            <w:r w:rsidRPr="00785B7B">
              <w:rPr>
                <w:rFonts w:eastAsia="Times New Roman" w:cstheme="minorHAnsi"/>
                <w:lang w:val="en-US" w:eastAsia="en-GB"/>
              </w:rPr>
              <w:t xml:space="preserve"> sig.</w:t>
            </w:r>
          </w:p>
        </w:tc>
      </w:tr>
      <w:tr w:rsidR="00CE79A0" w:rsidRPr="00763B44" w14:paraId="4CD7E26F" w14:textId="77777777" w:rsidTr="00FE6DB1">
        <w:trPr>
          <w:trHeight w:val="41"/>
        </w:trPr>
        <w:tc>
          <w:tcPr>
            <w:tcW w:w="1404" w:type="pct"/>
            <w:noWrap/>
            <w:vAlign w:val="center"/>
            <w:hideMark/>
          </w:tcPr>
          <w:p w14:paraId="6AFB9246" w14:textId="77777777" w:rsidR="00CE79A0" w:rsidRPr="00763B44" w:rsidRDefault="00CE79A0" w:rsidP="000B101B">
            <w:pPr>
              <w:spacing w:after="0" w:line="240" w:lineRule="auto"/>
              <w:rPr>
                <w:rFonts w:eastAsia="Times New Roman" w:cstheme="minorHAnsi"/>
                <w:i/>
                <w:iCs/>
                <w:lang w:val="en-US" w:eastAsia="en-GB"/>
              </w:rPr>
            </w:pPr>
            <w:r w:rsidRPr="00763B44">
              <w:rPr>
                <w:rFonts w:eastAsia="Times New Roman" w:cstheme="minorHAnsi"/>
                <w:i/>
                <w:iCs/>
                <w:lang w:val="en-US" w:eastAsia="en-GB"/>
              </w:rPr>
              <w:t>Employment Status</w:t>
            </w:r>
          </w:p>
        </w:tc>
        <w:tc>
          <w:tcPr>
            <w:tcW w:w="508" w:type="pct"/>
            <w:noWrap/>
            <w:vAlign w:val="center"/>
            <w:hideMark/>
          </w:tcPr>
          <w:p w14:paraId="502772CD" w14:textId="77777777" w:rsidR="00CE79A0" w:rsidRPr="00763B44" w:rsidRDefault="00CE79A0" w:rsidP="000B101B">
            <w:pPr>
              <w:spacing w:after="0" w:line="240" w:lineRule="auto"/>
              <w:jc w:val="center"/>
              <w:rPr>
                <w:rFonts w:eastAsia="Times New Roman" w:cstheme="minorHAnsi"/>
                <w:lang w:val="en-US" w:eastAsia="en-GB"/>
              </w:rPr>
            </w:pPr>
          </w:p>
        </w:tc>
        <w:tc>
          <w:tcPr>
            <w:tcW w:w="515" w:type="pct"/>
            <w:noWrap/>
            <w:vAlign w:val="center"/>
            <w:hideMark/>
          </w:tcPr>
          <w:p w14:paraId="146C078E" w14:textId="77777777" w:rsidR="00CE79A0" w:rsidRPr="00763B44" w:rsidRDefault="00CE79A0" w:rsidP="000B101B">
            <w:pPr>
              <w:spacing w:after="0" w:line="240" w:lineRule="auto"/>
              <w:jc w:val="center"/>
              <w:rPr>
                <w:rFonts w:eastAsia="Times New Roman" w:cstheme="minorHAnsi"/>
                <w:lang w:val="en-US" w:eastAsia="en-GB"/>
              </w:rPr>
            </w:pPr>
          </w:p>
        </w:tc>
        <w:tc>
          <w:tcPr>
            <w:tcW w:w="441" w:type="pct"/>
            <w:noWrap/>
            <w:vAlign w:val="center"/>
            <w:hideMark/>
          </w:tcPr>
          <w:p w14:paraId="0F6A8757" w14:textId="77777777" w:rsidR="00CE79A0" w:rsidRPr="00763B44" w:rsidRDefault="00CE79A0" w:rsidP="000B101B">
            <w:pPr>
              <w:spacing w:after="0" w:line="240" w:lineRule="auto"/>
              <w:jc w:val="center"/>
              <w:rPr>
                <w:rFonts w:eastAsia="Times New Roman" w:cstheme="minorHAnsi"/>
                <w:lang w:val="en-US" w:eastAsia="en-GB"/>
              </w:rPr>
            </w:pPr>
          </w:p>
        </w:tc>
        <w:tc>
          <w:tcPr>
            <w:tcW w:w="441" w:type="pct"/>
            <w:vAlign w:val="center"/>
          </w:tcPr>
          <w:p w14:paraId="04D6C34A" w14:textId="77777777" w:rsidR="00CE79A0" w:rsidRPr="00763B44" w:rsidRDefault="00CE79A0" w:rsidP="000B101B">
            <w:pPr>
              <w:spacing w:after="0" w:line="240" w:lineRule="auto"/>
              <w:jc w:val="center"/>
              <w:rPr>
                <w:rFonts w:eastAsia="Times New Roman" w:cstheme="minorHAnsi"/>
                <w:lang w:val="en-US" w:eastAsia="en-GB"/>
              </w:rPr>
            </w:pPr>
          </w:p>
        </w:tc>
        <w:tc>
          <w:tcPr>
            <w:tcW w:w="368" w:type="pct"/>
            <w:vAlign w:val="center"/>
          </w:tcPr>
          <w:p w14:paraId="3E0EA794"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22.883</w:t>
            </w:r>
          </w:p>
        </w:tc>
        <w:tc>
          <w:tcPr>
            <w:tcW w:w="220" w:type="pct"/>
            <w:noWrap/>
            <w:vAlign w:val="center"/>
            <w:hideMark/>
          </w:tcPr>
          <w:p w14:paraId="533FAD5C"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4</w:t>
            </w:r>
          </w:p>
        </w:tc>
        <w:tc>
          <w:tcPr>
            <w:tcW w:w="515" w:type="pct"/>
            <w:vAlign w:val="center"/>
          </w:tcPr>
          <w:p w14:paraId="4CEA7F08"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0.0001</w:t>
            </w:r>
          </w:p>
        </w:tc>
        <w:tc>
          <w:tcPr>
            <w:tcW w:w="588" w:type="pct"/>
            <w:vAlign w:val="center"/>
          </w:tcPr>
          <w:p w14:paraId="5B18433A"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Sig.</w:t>
            </w:r>
          </w:p>
        </w:tc>
      </w:tr>
      <w:tr w:rsidR="00CE79A0" w:rsidRPr="00763B44" w14:paraId="16FF64D1" w14:textId="77777777" w:rsidTr="00FE6DB1">
        <w:trPr>
          <w:trHeight w:val="41"/>
        </w:trPr>
        <w:tc>
          <w:tcPr>
            <w:tcW w:w="1404" w:type="pct"/>
            <w:noWrap/>
            <w:vAlign w:val="center"/>
            <w:hideMark/>
          </w:tcPr>
          <w:p w14:paraId="1116986A" w14:textId="77777777" w:rsidR="00CE79A0" w:rsidRPr="00763B44" w:rsidRDefault="00CE79A0" w:rsidP="000B101B">
            <w:pPr>
              <w:spacing w:after="0" w:line="240" w:lineRule="auto"/>
              <w:rPr>
                <w:rFonts w:eastAsia="Times New Roman" w:cstheme="minorHAnsi"/>
                <w:lang w:val="en-US" w:eastAsia="en-GB"/>
              </w:rPr>
            </w:pPr>
            <w:r w:rsidRPr="00763B44">
              <w:rPr>
                <w:rFonts w:eastAsia="Times New Roman" w:cstheme="minorHAnsi"/>
                <w:lang w:val="en-US" w:eastAsia="en-GB"/>
              </w:rPr>
              <w:t>Unemployed</w:t>
            </w:r>
          </w:p>
        </w:tc>
        <w:tc>
          <w:tcPr>
            <w:tcW w:w="508" w:type="pct"/>
            <w:noWrap/>
            <w:vAlign w:val="center"/>
            <w:hideMark/>
          </w:tcPr>
          <w:p w14:paraId="2AE1D70D"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11 (3.3%)</w:t>
            </w:r>
          </w:p>
        </w:tc>
        <w:tc>
          <w:tcPr>
            <w:tcW w:w="515" w:type="pct"/>
            <w:noWrap/>
            <w:vAlign w:val="center"/>
            <w:hideMark/>
          </w:tcPr>
          <w:p w14:paraId="3503DE92"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5 (6.4%)</w:t>
            </w:r>
          </w:p>
        </w:tc>
        <w:tc>
          <w:tcPr>
            <w:tcW w:w="441" w:type="pct"/>
            <w:noWrap/>
            <w:vAlign w:val="center"/>
            <w:hideMark/>
          </w:tcPr>
          <w:p w14:paraId="707E6080"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11 (5.9%)</w:t>
            </w:r>
          </w:p>
        </w:tc>
        <w:tc>
          <w:tcPr>
            <w:tcW w:w="441" w:type="pct"/>
            <w:vAlign w:val="center"/>
          </w:tcPr>
          <w:p w14:paraId="3B490A0F"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27 (4.5%)</w:t>
            </w:r>
          </w:p>
        </w:tc>
        <w:tc>
          <w:tcPr>
            <w:tcW w:w="368" w:type="pct"/>
            <w:vAlign w:val="center"/>
          </w:tcPr>
          <w:p w14:paraId="7C13A927" w14:textId="77777777" w:rsidR="00CE79A0" w:rsidRPr="00763B44" w:rsidRDefault="00CE79A0" w:rsidP="000B101B">
            <w:pPr>
              <w:spacing w:after="0" w:line="240" w:lineRule="auto"/>
              <w:jc w:val="center"/>
              <w:rPr>
                <w:rFonts w:eastAsia="Times New Roman" w:cstheme="minorHAnsi"/>
                <w:lang w:val="en-US" w:eastAsia="en-GB"/>
              </w:rPr>
            </w:pPr>
          </w:p>
        </w:tc>
        <w:tc>
          <w:tcPr>
            <w:tcW w:w="220" w:type="pct"/>
            <w:noWrap/>
            <w:vAlign w:val="center"/>
            <w:hideMark/>
          </w:tcPr>
          <w:p w14:paraId="194D36DB" w14:textId="77777777" w:rsidR="00CE79A0" w:rsidRPr="00763B44" w:rsidRDefault="00CE79A0" w:rsidP="000B101B">
            <w:pPr>
              <w:spacing w:after="0" w:line="240" w:lineRule="auto"/>
              <w:jc w:val="center"/>
              <w:rPr>
                <w:rFonts w:eastAsia="Times New Roman" w:cstheme="minorHAnsi"/>
                <w:lang w:val="en-US" w:eastAsia="en-GB"/>
              </w:rPr>
            </w:pPr>
          </w:p>
        </w:tc>
        <w:tc>
          <w:tcPr>
            <w:tcW w:w="515" w:type="pct"/>
            <w:vAlign w:val="center"/>
          </w:tcPr>
          <w:p w14:paraId="423E226F" w14:textId="77777777" w:rsidR="00CE79A0" w:rsidRPr="00763B44" w:rsidRDefault="00CE79A0" w:rsidP="000B101B">
            <w:pPr>
              <w:spacing w:after="0" w:line="240" w:lineRule="auto"/>
              <w:jc w:val="center"/>
              <w:rPr>
                <w:rFonts w:eastAsia="Times New Roman" w:cstheme="minorHAnsi"/>
                <w:lang w:val="en-US" w:eastAsia="en-GB"/>
              </w:rPr>
            </w:pPr>
          </w:p>
        </w:tc>
        <w:tc>
          <w:tcPr>
            <w:tcW w:w="588" w:type="pct"/>
            <w:vAlign w:val="center"/>
          </w:tcPr>
          <w:p w14:paraId="64BBE2F9" w14:textId="77777777" w:rsidR="00CE79A0" w:rsidRPr="00763B44" w:rsidRDefault="00CE79A0" w:rsidP="000B101B">
            <w:pPr>
              <w:spacing w:after="0" w:line="240" w:lineRule="auto"/>
              <w:jc w:val="center"/>
              <w:rPr>
                <w:rFonts w:eastAsia="Times New Roman" w:cstheme="minorHAnsi"/>
                <w:lang w:val="en-US" w:eastAsia="en-GB"/>
              </w:rPr>
            </w:pPr>
          </w:p>
        </w:tc>
      </w:tr>
      <w:tr w:rsidR="00CE79A0" w:rsidRPr="00763B44" w14:paraId="6F5756AC" w14:textId="77777777" w:rsidTr="00FE6DB1">
        <w:trPr>
          <w:trHeight w:val="232"/>
        </w:trPr>
        <w:tc>
          <w:tcPr>
            <w:tcW w:w="1404" w:type="pct"/>
            <w:noWrap/>
            <w:vAlign w:val="center"/>
            <w:hideMark/>
          </w:tcPr>
          <w:p w14:paraId="5ECB7127" w14:textId="77777777" w:rsidR="00CE79A0" w:rsidRPr="00763B44" w:rsidRDefault="00CE79A0" w:rsidP="000B101B">
            <w:pPr>
              <w:spacing w:after="0" w:line="240" w:lineRule="auto"/>
              <w:rPr>
                <w:rFonts w:eastAsia="Times New Roman" w:cstheme="minorHAnsi"/>
                <w:lang w:val="en-US" w:eastAsia="en-GB"/>
              </w:rPr>
            </w:pPr>
            <w:r w:rsidRPr="00763B44">
              <w:rPr>
                <w:rFonts w:eastAsia="Times New Roman" w:cstheme="minorHAnsi"/>
                <w:lang w:val="en-US" w:eastAsia="en-GB"/>
              </w:rPr>
              <w:t>Receiving sickness benefits</w:t>
            </w:r>
          </w:p>
        </w:tc>
        <w:tc>
          <w:tcPr>
            <w:tcW w:w="508" w:type="pct"/>
            <w:noWrap/>
            <w:vAlign w:val="center"/>
            <w:hideMark/>
          </w:tcPr>
          <w:p w14:paraId="3DC0CD18"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31 (9.3%)</w:t>
            </w:r>
          </w:p>
        </w:tc>
        <w:tc>
          <w:tcPr>
            <w:tcW w:w="515" w:type="pct"/>
            <w:noWrap/>
            <w:vAlign w:val="center"/>
            <w:hideMark/>
          </w:tcPr>
          <w:p w14:paraId="2888E916"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20 (25.6%)</w:t>
            </w:r>
          </w:p>
        </w:tc>
        <w:tc>
          <w:tcPr>
            <w:tcW w:w="441" w:type="pct"/>
            <w:noWrap/>
            <w:vAlign w:val="center"/>
            <w:hideMark/>
          </w:tcPr>
          <w:p w14:paraId="2762C2E4"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37 (19.7%)</w:t>
            </w:r>
          </w:p>
        </w:tc>
        <w:tc>
          <w:tcPr>
            <w:tcW w:w="441" w:type="pct"/>
            <w:vAlign w:val="center"/>
          </w:tcPr>
          <w:p w14:paraId="12DB6CC3"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88 (14.7%)</w:t>
            </w:r>
          </w:p>
        </w:tc>
        <w:tc>
          <w:tcPr>
            <w:tcW w:w="368" w:type="pct"/>
            <w:vAlign w:val="center"/>
          </w:tcPr>
          <w:p w14:paraId="06E836B5" w14:textId="77777777" w:rsidR="00CE79A0" w:rsidRPr="00763B44" w:rsidRDefault="00CE79A0" w:rsidP="000B101B">
            <w:pPr>
              <w:spacing w:after="0" w:line="240" w:lineRule="auto"/>
              <w:jc w:val="center"/>
              <w:rPr>
                <w:rFonts w:eastAsia="Times New Roman" w:cstheme="minorHAnsi"/>
                <w:lang w:val="en-US" w:eastAsia="en-GB"/>
              </w:rPr>
            </w:pPr>
          </w:p>
        </w:tc>
        <w:tc>
          <w:tcPr>
            <w:tcW w:w="220" w:type="pct"/>
            <w:noWrap/>
            <w:vAlign w:val="center"/>
            <w:hideMark/>
          </w:tcPr>
          <w:p w14:paraId="15876445" w14:textId="77777777" w:rsidR="00CE79A0" w:rsidRPr="00763B44" w:rsidRDefault="00CE79A0" w:rsidP="000B101B">
            <w:pPr>
              <w:spacing w:after="0" w:line="240" w:lineRule="auto"/>
              <w:jc w:val="center"/>
              <w:rPr>
                <w:rFonts w:eastAsia="Times New Roman" w:cstheme="minorHAnsi"/>
                <w:lang w:val="en-US" w:eastAsia="en-GB"/>
              </w:rPr>
            </w:pPr>
          </w:p>
        </w:tc>
        <w:tc>
          <w:tcPr>
            <w:tcW w:w="515" w:type="pct"/>
            <w:vAlign w:val="center"/>
          </w:tcPr>
          <w:p w14:paraId="061E6C7C" w14:textId="77777777" w:rsidR="00CE79A0" w:rsidRPr="00763B44" w:rsidRDefault="00CE79A0" w:rsidP="000B101B">
            <w:pPr>
              <w:spacing w:after="0" w:line="240" w:lineRule="auto"/>
              <w:jc w:val="center"/>
              <w:rPr>
                <w:rFonts w:eastAsia="Times New Roman" w:cstheme="minorHAnsi"/>
                <w:lang w:val="en-US" w:eastAsia="en-GB"/>
              </w:rPr>
            </w:pPr>
          </w:p>
        </w:tc>
        <w:tc>
          <w:tcPr>
            <w:tcW w:w="588" w:type="pct"/>
            <w:vAlign w:val="center"/>
          </w:tcPr>
          <w:p w14:paraId="5834741D" w14:textId="77777777" w:rsidR="00CE79A0" w:rsidRPr="00763B44" w:rsidRDefault="00CE79A0" w:rsidP="000B101B">
            <w:pPr>
              <w:spacing w:after="0" w:line="240" w:lineRule="auto"/>
              <w:jc w:val="center"/>
              <w:rPr>
                <w:rFonts w:eastAsia="Times New Roman" w:cstheme="minorHAnsi"/>
                <w:lang w:val="en-US" w:eastAsia="en-GB"/>
              </w:rPr>
            </w:pPr>
          </w:p>
        </w:tc>
      </w:tr>
      <w:tr w:rsidR="00CE79A0" w:rsidRPr="00763B44" w14:paraId="6D604ABC" w14:textId="77777777" w:rsidTr="00FE6DB1">
        <w:trPr>
          <w:trHeight w:val="84"/>
        </w:trPr>
        <w:tc>
          <w:tcPr>
            <w:tcW w:w="1404" w:type="pct"/>
            <w:vAlign w:val="center"/>
          </w:tcPr>
          <w:p w14:paraId="04A4F209" w14:textId="77777777" w:rsidR="00CE79A0" w:rsidRPr="00763B44" w:rsidRDefault="00CE79A0" w:rsidP="000B101B">
            <w:pPr>
              <w:spacing w:after="0" w:line="240" w:lineRule="auto"/>
              <w:rPr>
                <w:rFonts w:eastAsia="Times New Roman" w:cstheme="minorHAnsi"/>
                <w:lang w:val="en-US" w:eastAsia="en-GB"/>
              </w:rPr>
            </w:pPr>
            <w:r w:rsidRPr="00763B44">
              <w:rPr>
                <w:rFonts w:eastAsia="Times New Roman" w:cstheme="minorHAnsi"/>
                <w:lang w:val="en-US" w:eastAsia="en-GB"/>
              </w:rPr>
              <w:t>Possible childhood ADHD score (Median (IQR))</w:t>
            </w:r>
          </w:p>
        </w:tc>
        <w:tc>
          <w:tcPr>
            <w:tcW w:w="508" w:type="pct"/>
            <w:noWrap/>
            <w:vAlign w:val="center"/>
          </w:tcPr>
          <w:p w14:paraId="46E5E5F6"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1 (0-3)</w:t>
            </w:r>
          </w:p>
        </w:tc>
        <w:tc>
          <w:tcPr>
            <w:tcW w:w="515" w:type="pct"/>
            <w:noWrap/>
            <w:vAlign w:val="center"/>
          </w:tcPr>
          <w:p w14:paraId="7CB3EC06"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0 (0-2)</w:t>
            </w:r>
          </w:p>
        </w:tc>
        <w:tc>
          <w:tcPr>
            <w:tcW w:w="441" w:type="pct"/>
            <w:noWrap/>
            <w:vAlign w:val="center"/>
          </w:tcPr>
          <w:p w14:paraId="1D72A455"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1 (0-2)</w:t>
            </w:r>
          </w:p>
        </w:tc>
        <w:tc>
          <w:tcPr>
            <w:tcW w:w="441" w:type="pct"/>
            <w:vAlign w:val="center"/>
          </w:tcPr>
          <w:p w14:paraId="521717FC"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1 (0-2)</w:t>
            </w:r>
          </w:p>
        </w:tc>
        <w:tc>
          <w:tcPr>
            <w:tcW w:w="368" w:type="pct"/>
            <w:vAlign w:val="center"/>
          </w:tcPr>
          <w:p w14:paraId="5B0006D9"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3.318</w:t>
            </w:r>
          </w:p>
        </w:tc>
        <w:tc>
          <w:tcPr>
            <w:tcW w:w="220" w:type="pct"/>
            <w:noWrap/>
            <w:vAlign w:val="center"/>
          </w:tcPr>
          <w:p w14:paraId="2B1386AE"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2</w:t>
            </w:r>
          </w:p>
        </w:tc>
        <w:tc>
          <w:tcPr>
            <w:tcW w:w="515" w:type="pct"/>
            <w:vAlign w:val="center"/>
          </w:tcPr>
          <w:p w14:paraId="27227E81" w14:textId="77777777" w:rsidR="00CE79A0" w:rsidRPr="00763B44" w:rsidRDefault="00CE79A0" w:rsidP="000B101B">
            <w:pPr>
              <w:spacing w:after="0" w:line="240" w:lineRule="auto"/>
              <w:jc w:val="center"/>
              <w:rPr>
                <w:rFonts w:cstheme="minorHAnsi"/>
                <w:lang w:val="en-US"/>
              </w:rPr>
            </w:pPr>
            <w:r w:rsidRPr="00763B44">
              <w:rPr>
                <w:rFonts w:cstheme="minorHAnsi"/>
                <w:lang w:val="en-US"/>
              </w:rPr>
              <w:t>0.1903</w:t>
            </w:r>
            <w:r w:rsidRPr="00763B44">
              <w:rPr>
                <w:rFonts w:eastAsia="Times New Roman" w:cstheme="minorHAnsi"/>
                <w:vertAlign w:val="superscript"/>
                <w:lang w:val="en-US" w:eastAsia="en-GB"/>
              </w:rPr>
              <w:t>c</w:t>
            </w:r>
          </w:p>
        </w:tc>
        <w:tc>
          <w:tcPr>
            <w:tcW w:w="588" w:type="pct"/>
            <w:vAlign w:val="center"/>
          </w:tcPr>
          <w:p w14:paraId="715BE4AA" w14:textId="77777777" w:rsidR="00CE79A0" w:rsidRPr="00763B44" w:rsidRDefault="00CE79A0" w:rsidP="000B101B">
            <w:pPr>
              <w:spacing w:after="0" w:line="240" w:lineRule="auto"/>
              <w:jc w:val="center"/>
              <w:rPr>
                <w:rFonts w:cstheme="minorHAnsi"/>
                <w:lang w:val="en-US"/>
              </w:rPr>
            </w:pPr>
            <w:r w:rsidRPr="00763B44">
              <w:rPr>
                <w:rFonts w:cstheme="minorHAnsi"/>
                <w:lang w:val="en-US"/>
              </w:rPr>
              <w:t>Not sig.</w:t>
            </w:r>
          </w:p>
        </w:tc>
      </w:tr>
      <w:tr w:rsidR="00CE79A0" w:rsidRPr="00763B44" w14:paraId="009D6612" w14:textId="77777777" w:rsidTr="00FE6DB1">
        <w:trPr>
          <w:trHeight w:val="41"/>
        </w:trPr>
        <w:tc>
          <w:tcPr>
            <w:tcW w:w="1404" w:type="pct"/>
            <w:vAlign w:val="center"/>
            <w:hideMark/>
          </w:tcPr>
          <w:p w14:paraId="22200D9A" w14:textId="77777777" w:rsidR="00CE79A0" w:rsidRPr="00763B44" w:rsidRDefault="00CE79A0" w:rsidP="000B101B">
            <w:pPr>
              <w:spacing w:after="0" w:line="240" w:lineRule="auto"/>
              <w:rPr>
                <w:rFonts w:eastAsia="Times New Roman" w:cstheme="minorHAnsi"/>
                <w:i/>
                <w:iCs/>
                <w:lang w:val="en-US" w:eastAsia="en-GB"/>
              </w:rPr>
            </w:pPr>
            <w:r w:rsidRPr="00763B44">
              <w:rPr>
                <w:rFonts w:eastAsia="Times New Roman" w:cstheme="minorHAnsi"/>
                <w:i/>
                <w:iCs/>
                <w:lang w:val="en-US" w:eastAsia="en-GB"/>
              </w:rPr>
              <w:t>Trauma</w:t>
            </w:r>
          </w:p>
        </w:tc>
        <w:tc>
          <w:tcPr>
            <w:tcW w:w="508" w:type="pct"/>
            <w:noWrap/>
            <w:vAlign w:val="center"/>
            <w:hideMark/>
          </w:tcPr>
          <w:p w14:paraId="42B697CD" w14:textId="77777777" w:rsidR="00CE79A0" w:rsidRPr="00763B44" w:rsidRDefault="00CE79A0" w:rsidP="000B101B">
            <w:pPr>
              <w:spacing w:after="0" w:line="240" w:lineRule="auto"/>
              <w:jc w:val="center"/>
              <w:rPr>
                <w:rFonts w:eastAsia="Times New Roman" w:cstheme="minorHAnsi"/>
                <w:lang w:val="en-US" w:eastAsia="en-GB"/>
              </w:rPr>
            </w:pPr>
          </w:p>
        </w:tc>
        <w:tc>
          <w:tcPr>
            <w:tcW w:w="515" w:type="pct"/>
            <w:noWrap/>
            <w:vAlign w:val="center"/>
            <w:hideMark/>
          </w:tcPr>
          <w:p w14:paraId="71EA588E" w14:textId="77777777" w:rsidR="00CE79A0" w:rsidRPr="00763B44" w:rsidRDefault="00CE79A0" w:rsidP="000B101B">
            <w:pPr>
              <w:spacing w:after="0" w:line="240" w:lineRule="auto"/>
              <w:jc w:val="center"/>
              <w:rPr>
                <w:rFonts w:eastAsia="Times New Roman" w:cstheme="minorHAnsi"/>
                <w:lang w:val="en-US" w:eastAsia="en-GB"/>
              </w:rPr>
            </w:pPr>
          </w:p>
        </w:tc>
        <w:tc>
          <w:tcPr>
            <w:tcW w:w="441" w:type="pct"/>
            <w:noWrap/>
            <w:vAlign w:val="center"/>
            <w:hideMark/>
          </w:tcPr>
          <w:p w14:paraId="46542B8F" w14:textId="77777777" w:rsidR="00CE79A0" w:rsidRPr="00763B44" w:rsidRDefault="00CE79A0" w:rsidP="000B101B">
            <w:pPr>
              <w:spacing w:after="0" w:line="240" w:lineRule="auto"/>
              <w:jc w:val="center"/>
              <w:rPr>
                <w:rFonts w:eastAsia="Times New Roman" w:cstheme="minorHAnsi"/>
                <w:lang w:val="en-US" w:eastAsia="en-GB"/>
              </w:rPr>
            </w:pPr>
          </w:p>
        </w:tc>
        <w:tc>
          <w:tcPr>
            <w:tcW w:w="441" w:type="pct"/>
            <w:vAlign w:val="center"/>
          </w:tcPr>
          <w:p w14:paraId="2617DD0D" w14:textId="77777777" w:rsidR="00CE79A0" w:rsidRPr="00763B44" w:rsidRDefault="00CE79A0" w:rsidP="000B101B">
            <w:pPr>
              <w:spacing w:after="0" w:line="240" w:lineRule="auto"/>
              <w:jc w:val="center"/>
              <w:rPr>
                <w:rFonts w:eastAsia="Times New Roman" w:cstheme="minorHAnsi"/>
                <w:lang w:val="en-US" w:eastAsia="en-GB"/>
              </w:rPr>
            </w:pPr>
          </w:p>
        </w:tc>
        <w:tc>
          <w:tcPr>
            <w:tcW w:w="368" w:type="pct"/>
            <w:vAlign w:val="center"/>
          </w:tcPr>
          <w:p w14:paraId="7C87F5DD" w14:textId="77777777" w:rsidR="00CE79A0" w:rsidRPr="00763B44" w:rsidRDefault="00CE79A0" w:rsidP="000B101B">
            <w:pPr>
              <w:spacing w:after="0" w:line="240" w:lineRule="auto"/>
              <w:jc w:val="center"/>
              <w:rPr>
                <w:rFonts w:eastAsia="Times New Roman" w:cstheme="minorHAnsi"/>
                <w:lang w:val="en-US" w:eastAsia="en-GB"/>
              </w:rPr>
            </w:pPr>
          </w:p>
        </w:tc>
        <w:tc>
          <w:tcPr>
            <w:tcW w:w="220" w:type="pct"/>
            <w:noWrap/>
            <w:vAlign w:val="center"/>
            <w:hideMark/>
          </w:tcPr>
          <w:p w14:paraId="06F01DB1" w14:textId="77777777" w:rsidR="00CE79A0" w:rsidRPr="00763B44" w:rsidRDefault="00CE79A0" w:rsidP="000B101B">
            <w:pPr>
              <w:spacing w:after="0" w:line="240" w:lineRule="auto"/>
              <w:jc w:val="center"/>
              <w:rPr>
                <w:rFonts w:eastAsia="Times New Roman" w:cstheme="minorHAnsi"/>
                <w:lang w:val="en-US" w:eastAsia="en-GB"/>
              </w:rPr>
            </w:pPr>
          </w:p>
        </w:tc>
        <w:tc>
          <w:tcPr>
            <w:tcW w:w="515" w:type="pct"/>
            <w:vAlign w:val="center"/>
          </w:tcPr>
          <w:p w14:paraId="44AFD343" w14:textId="77777777" w:rsidR="00CE79A0" w:rsidRPr="00763B44" w:rsidRDefault="00CE79A0" w:rsidP="000B101B">
            <w:pPr>
              <w:spacing w:after="0" w:line="240" w:lineRule="auto"/>
              <w:jc w:val="center"/>
              <w:rPr>
                <w:rFonts w:eastAsia="Times New Roman" w:cstheme="minorHAnsi"/>
                <w:lang w:val="en-US" w:eastAsia="en-GB"/>
              </w:rPr>
            </w:pPr>
          </w:p>
        </w:tc>
        <w:tc>
          <w:tcPr>
            <w:tcW w:w="588" w:type="pct"/>
            <w:vAlign w:val="center"/>
          </w:tcPr>
          <w:p w14:paraId="28488184" w14:textId="77777777" w:rsidR="00CE79A0" w:rsidRPr="00763B44" w:rsidRDefault="00CE79A0" w:rsidP="000B101B">
            <w:pPr>
              <w:spacing w:after="0" w:line="240" w:lineRule="auto"/>
              <w:jc w:val="center"/>
              <w:rPr>
                <w:rFonts w:eastAsia="Times New Roman" w:cstheme="minorHAnsi"/>
                <w:lang w:val="en-US" w:eastAsia="en-GB"/>
              </w:rPr>
            </w:pPr>
          </w:p>
        </w:tc>
      </w:tr>
      <w:tr w:rsidR="00CE79A0" w:rsidRPr="00763B44" w14:paraId="11C718BC" w14:textId="77777777" w:rsidTr="00FE6DB1">
        <w:trPr>
          <w:trHeight w:val="41"/>
        </w:trPr>
        <w:tc>
          <w:tcPr>
            <w:tcW w:w="1404" w:type="pct"/>
            <w:vAlign w:val="center"/>
            <w:hideMark/>
          </w:tcPr>
          <w:p w14:paraId="31616E19" w14:textId="77777777" w:rsidR="00CE79A0" w:rsidRPr="00763B44" w:rsidRDefault="00CE79A0" w:rsidP="000B101B">
            <w:pPr>
              <w:spacing w:after="0" w:line="240" w:lineRule="auto"/>
              <w:rPr>
                <w:rFonts w:eastAsia="Times New Roman" w:cstheme="minorHAnsi"/>
                <w:lang w:val="en-US" w:eastAsia="en-GB"/>
              </w:rPr>
            </w:pPr>
            <w:r w:rsidRPr="00763B44">
              <w:rPr>
                <w:rFonts w:eastAsia="Times New Roman" w:cstheme="minorHAnsi"/>
                <w:lang w:val="en-US" w:eastAsia="en-GB"/>
              </w:rPr>
              <w:t>Childhood traumas (Median(IQR))</w:t>
            </w:r>
          </w:p>
        </w:tc>
        <w:tc>
          <w:tcPr>
            <w:tcW w:w="508" w:type="pct"/>
            <w:noWrap/>
            <w:vAlign w:val="center"/>
            <w:hideMark/>
          </w:tcPr>
          <w:p w14:paraId="01C97959"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0 (0-0)</w:t>
            </w:r>
          </w:p>
        </w:tc>
        <w:tc>
          <w:tcPr>
            <w:tcW w:w="515" w:type="pct"/>
            <w:noWrap/>
            <w:vAlign w:val="center"/>
            <w:hideMark/>
          </w:tcPr>
          <w:p w14:paraId="2940F628"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0 (0-1)</w:t>
            </w:r>
          </w:p>
        </w:tc>
        <w:tc>
          <w:tcPr>
            <w:tcW w:w="441" w:type="pct"/>
            <w:noWrap/>
            <w:vAlign w:val="center"/>
            <w:hideMark/>
          </w:tcPr>
          <w:p w14:paraId="3C301BD0"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0 (0-1)</w:t>
            </w:r>
          </w:p>
        </w:tc>
        <w:tc>
          <w:tcPr>
            <w:tcW w:w="441" w:type="pct"/>
            <w:vAlign w:val="center"/>
          </w:tcPr>
          <w:p w14:paraId="1CA7C109"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0 (0-1)</w:t>
            </w:r>
          </w:p>
        </w:tc>
        <w:tc>
          <w:tcPr>
            <w:tcW w:w="368" w:type="pct"/>
            <w:vAlign w:val="center"/>
          </w:tcPr>
          <w:p w14:paraId="6AA5368E"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2.073</w:t>
            </w:r>
          </w:p>
        </w:tc>
        <w:tc>
          <w:tcPr>
            <w:tcW w:w="220" w:type="pct"/>
            <w:noWrap/>
            <w:vAlign w:val="center"/>
          </w:tcPr>
          <w:p w14:paraId="5F2ADFF1"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2</w:t>
            </w:r>
          </w:p>
        </w:tc>
        <w:tc>
          <w:tcPr>
            <w:tcW w:w="515" w:type="pct"/>
            <w:vAlign w:val="center"/>
          </w:tcPr>
          <w:p w14:paraId="0ADE1225"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0.3547</w:t>
            </w:r>
            <w:r w:rsidRPr="00763B44">
              <w:rPr>
                <w:rFonts w:eastAsia="Times New Roman" w:cstheme="minorHAnsi"/>
                <w:vertAlign w:val="superscript"/>
                <w:lang w:val="en-US" w:eastAsia="en-GB"/>
              </w:rPr>
              <w:t>c</w:t>
            </w:r>
          </w:p>
        </w:tc>
        <w:tc>
          <w:tcPr>
            <w:tcW w:w="588" w:type="pct"/>
            <w:vAlign w:val="center"/>
          </w:tcPr>
          <w:p w14:paraId="046AD702"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Not sig.</w:t>
            </w:r>
          </w:p>
        </w:tc>
      </w:tr>
      <w:tr w:rsidR="00CE79A0" w:rsidRPr="00763B44" w14:paraId="6B61616C" w14:textId="77777777" w:rsidTr="00FE6DB1">
        <w:trPr>
          <w:trHeight w:val="41"/>
        </w:trPr>
        <w:tc>
          <w:tcPr>
            <w:tcW w:w="1404" w:type="pct"/>
            <w:vAlign w:val="center"/>
          </w:tcPr>
          <w:p w14:paraId="1E0C8FD5" w14:textId="77777777" w:rsidR="00CE79A0" w:rsidRPr="00763B44" w:rsidRDefault="00CE79A0" w:rsidP="000B101B">
            <w:pPr>
              <w:spacing w:after="0" w:line="240" w:lineRule="auto"/>
              <w:rPr>
                <w:rFonts w:eastAsia="Times New Roman" w:cstheme="minorHAnsi"/>
                <w:lang w:val="en-US" w:eastAsia="en-GB"/>
              </w:rPr>
            </w:pPr>
            <w:r w:rsidRPr="00763B44">
              <w:rPr>
                <w:rFonts w:cstheme="minorHAnsi"/>
                <w:lang w:val="en-US"/>
              </w:rPr>
              <w:t xml:space="preserve">Warfare or combat </w:t>
            </w:r>
            <w:r w:rsidRPr="00763B44">
              <w:rPr>
                <w:rFonts w:eastAsia="Times New Roman" w:cstheme="minorHAnsi"/>
                <w:lang w:val="en-US" w:eastAsia="en-GB"/>
              </w:rPr>
              <w:t>(Median(IQR))</w:t>
            </w:r>
          </w:p>
        </w:tc>
        <w:tc>
          <w:tcPr>
            <w:tcW w:w="508" w:type="pct"/>
            <w:noWrap/>
          </w:tcPr>
          <w:p w14:paraId="62F6A64F"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eastAsia="en-GB"/>
              </w:rPr>
              <w:t>3 (1-6)</w:t>
            </w:r>
          </w:p>
        </w:tc>
        <w:tc>
          <w:tcPr>
            <w:tcW w:w="515" w:type="pct"/>
            <w:noWrap/>
          </w:tcPr>
          <w:p w14:paraId="2B570CED"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eastAsia="en-GB"/>
              </w:rPr>
              <w:t>4 (1-6)</w:t>
            </w:r>
          </w:p>
        </w:tc>
        <w:tc>
          <w:tcPr>
            <w:tcW w:w="441" w:type="pct"/>
            <w:noWrap/>
          </w:tcPr>
          <w:p w14:paraId="4597ACF9"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eastAsia="en-GB"/>
              </w:rPr>
              <w:t>6 (1-6)</w:t>
            </w:r>
          </w:p>
        </w:tc>
        <w:tc>
          <w:tcPr>
            <w:tcW w:w="441" w:type="pct"/>
          </w:tcPr>
          <w:p w14:paraId="66D3B43B" w14:textId="77777777" w:rsidR="00CE79A0" w:rsidRPr="00763B44" w:rsidRDefault="00CE79A0" w:rsidP="000B101B">
            <w:pPr>
              <w:spacing w:after="0" w:line="240" w:lineRule="auto"/>
              <w:jc w:val="center"/>
              <w:rPr>
                <w:rFonts w:cstheme="minorHAnsi"/>
                <w:lang w:val="en-US"/>
              </w:rPr>
            </w:pPr>
            <w:r w:rsidRPr="00763B44">
              <w:rPr>
                <w:rFonts w:cstheme="minorHAnsi"/>
              </w:rPr>
              <w:t>5 (1-6)</w:t>
            </w:r>
          </w:p>
        </w:tc>
        <w:tc>
          <w:tcPr>
            <w:tcW w:w="368" w:type="pct"/>
          </w:tcPr>
          <w:p w14:paraId="62B62B3A"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eastAsia="en-GB"/>
              </w:rPr>
              <w:t>11.178</w:t>
            </w:r>
          </w:p>
        </w:tc>
        <w:tc>
          <w:tcPr>
            <w:tcW w:w="220" w:type="pct"/>
            <w:noWrap/>
          </w:tcPr>
          <w:p w14:paraId="01A52A37"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eastAsia="en-GB"/>
              </w:rPr>
              <w:t>2</w:t>
            </w:r>
          </w:p>
        </w:tc>
        <w:tc>
          <w:tcPr>
            <w:tcW w:w="515" w:type="pct"/>
          </w:tcPr>
          <w:p w14:paraId="385120CD"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eastAsia="en-GB"/>
              </w:rPr>
              <w:t>0.0037</w:t>
            </w:r>
            <w:r w:rsidRPr="00763B44">
              <w:rPr>
                <w:rFonts w:eastAsia="Times New Roman" w:cstheme="minorHAnsi"/>
                <w:vertAlign w:val="superscript"/>
                <w:lang w:eastAsia="en-GB"/>
              </w:rPr>
              <w:t>c</w:t>
            </w:r>
          </w:p>
        </w:tc>
        <w:tc>
          <w:tcPr>
            <w:tcW w:w="588" w:type="pct"/>
            <w:vAlign w:val="center"/>
          </w:tcPr>
          <w:p w14:paraId="1B642162" w14:textId="77777777" w:rsidR="00CE79A0" w:rsidRPr="00763B44" w:rsidRDefault="00CE79A0" w:rsidP="000B101B">
            <w:pPr>
              <w:spacing w:after="0" w:line="240" w:lineRule="auto"/>
              <w:jc w:val="center"/>
              <w:rPr>
                <w:rFonts w:eastAsia="Times New Roman" w:cstheme="minorHAnsi"/>
                <w:lang w:eastAsia="en-GB"/>
              </w:rPr>
            </w:pPr>
            <w:r w:rsidRPr="00763B44">
              <w:rPr>
                <w:rFonts w:eastAsia="Times New Roman" w:cstheme="minorHAnsi"/>
                <w:lang w:eastAsia="en-GB"/>
              </w:rPr>
              <w:t>Sig.</w:t>
            </w:r>
          </w:p>
        </w:tc>
      </w:tr>
      <w:tr w:rsidR="00CE79A0" w:rsidRPr="00763B44" w14:paraId="6F42F126" w14:textId="77777777" w:rsidTr="00FE6DB1">
        <w:trPr>
          <w:trHeight w:val="41"/>
        </w:trPr>
        <w:tc>
          <w:tcPr>
            <w:tcW w:w="1404" w:type="pct"/>
            <w:vAlign w:val="center"/>
            <w:hideMark/>
          </w:tcPr>
          <w:p w14:paraId="11E36E9D" w14:textId="77777777" w:rsidR="00CE79A0" w:rsidRPr="00763B44" w:rsidRDefault="00CE79A0" w:rsidP="000B101B">
            <w:pPr>
              <w:spacing w:after="0" w:line="240" w:lineRule="auto"/>
              <w:rPr>
                <w:rFonts w:eastAsia="Times New Roman" w:cstheme="minorHAnsi"/>
                <w:lang w:val="en-US" w:eastAsia="en-GB"/>
              </w:rPr>
            </w:pPr>
            <w:r w:rsidRPr="00763B44">
              <w:rPr>
                <w:rFonts w:eastAsia="Times New Roman" w:cstheme="minorHAnsi"/>
                <w:lang w:val="en-US" w:eastAsia="en-GB"/>
              </w:rPr>
              <w:t>Adult life traumas (Median(IQR))</w:t>
            </w:r>
          </w:p>
        </w:tc>
        <w:tc>
          <w:tcPr>
            <w:tcW w:w="508" w:type="pct"/>
            <w:noWrap/>
            <w:hideMark/>
          </w:tcPr>
          <w:p w14:paraId="5D17329C"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eastAsia="en-GB"/>
              </w:rPr>
              <w:t>7 (4-13)</w:t>
            </w:r>
          </w:p>
        </w:tc>
        <w:tc>
          <w:tcPr>
            <w:tcW w:w="515" w:type="pct"/>
            <w:noWrap/>
            <w:hideMark/>
          </w:tcPr>
          <w:p w14:paraId="5DFD5FA4"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eastAsia="en-GB"/>
              </w:rPr>
              <w:t>8 (4-14)</w:t>
            </w:r>
          </w:p>
        </w:tc>
        <w:tc>
          <w:tcPr>
            <w:tcW w:w="441" w:type="pct"/>
            <w:noWrap/>
            <w:hideMark/>
          </w:tcPr>
          <w:p w14:paraId="5C4AEFAB"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GB" w:eastAsia="en-GB"/>
              </w:rPr>
              <w:t>9.5 (4-17)</w:t>
            </w:r>
          </w:p>
        </w:tc>
        <w:tc>
          <w:tcPr>
            <w:tcW w:w="441" w:type="pct"/>
          </w:tcPr>
          <w:p w14:paraId="41D94BD6"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GB"/>
              </w:rPr>
              <w:t>8 (4-15)</w:t>
            </w:r>
          </w:p>
        </w:tc>
        <w:tc>
          <w:tcPr>
            <w:tcW w:w="368" w:type="pct"/>
          </w:tcPr>
          <w:p w14:paraId="483F2CFB"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GB" w:eastAsia="en-GB"/>
              </w:rPr>
              <w:t>8.481</w:t>
            </w:r>
          </w:p>
        </w:tc>
        <w:tc>
          <w:tcPr>
            <w:tcW w:w="220" w:type="pct"/>
            <w:noWrap/>
            <w:hideMark/>
          </w:tcPr>
          <w:p w14:paraId="3AAD63AA"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GB" w:eastAsia="en-GB"/>
              </w:rPr>
              <w:t>2</w:t>
            </w:r>
          </w:p>
        </w:tc>
        <w:tc>
          <w:tcPr>
            <w:tcW w:w="515" w:type="pct"/>
          </w:tcPr>
          <w:p w14:paraId="28D5395D"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GB" w:eastAsia="en-GB"/>
              </w:rPr>
              <w:t>0.0144</w:t>
            </w:r>
            <w:r w:rsidRPr="00763B44">
              <w:rPr>
                <w:rFonts w:eastAsia="Times New Roman" w:cstheme="minorHAnsi"/>
                <w:vertAlign w:val="superscript"/>
                <w:lang w:val="en-GB" w:eastAsia="en-GB"/>
              </w:rPr>
              <w:t>c</w:t>
            </w:r>
          </w:p>
        </w:tc>
        <w:tc>
          <w:tcPr>
            <w:tcW w:w="588" w:type="pct"/>
            <w:vAlign w:val="center"/>
          </w:tcPr>
          <w:p w14:paraId="17067F00" w14:textId="77777777" w:rsidR="00CE79A0" w:rsidRPr="00763B44" w:rsidRDefault="00CE79A0" w:rsidP="000B101B">
            <w:pPr>
              <w:spacing w:after="0" w:line="240" w:lineRule="auto"/>
              <w:jc w:val="center"/>
              <w:rPr>
                <w:rFonts w:eastAsia="Times New Roman" w:cstheme="minorHAnsi"/>
                <w:lang w:val="en-GB" w:eastAsia="en-GB"/>
              </w:rPr>
            </w:pPr>
            <w:r w:rsidRPr="00763B44">
              <w:rPr>
                <w:rFonts w:eastAsia="Times New Roman" w:cstheme="minorHAnsi"/>
                <w:lang w:val="en-GB" w:eastAsia="en-GB"/>
              </w:rPr>
              <w:t>Not sig.</w:t>
            </w:r>
          </w:p>
        </w:tc>
      </w:tr>
      <w:tr w:rsidR="00CE79A0" w:rsidRPr="00763B44" w14:paraId="7E444F94" w14:textId="77777777" w:rsidTr="00FE6DB1">
        <w:trPr>
          <w:trHeight w:val="66"/>
        </w:trPr>
        <w:tc>
          <w:tcPr>
            <w:tcW w:w="1404" w:type="pct"/>
            <w:vAlign w:val="center"/>
          </w:tcPr>
          <w:p w14:paraId="762A29F3" w14:textId="77777777" w:rsidR="00CE79A0" w:rsidRPr="00763B44" w:rsidRDefault="00CE79A0" w:rsidP="000B101B">
            <w:pPr>
              <w:spacing w:after="0" w:line="240" w:lineRule="auto"/>
              <w:rPr>
                <w:rFonts w:eastAsia="Times New Roman" w:cstheme="minorHAnsi"/>
                <w:i/>
                <w:iCs/>
                <w:lang w:val="en-US" w:eastAsia="en-GB"/>
              </w:rPr>
            </w:pPr>
            <w:r w:rsidRPr="00763B44">
              <w:rPr>
                <w:rFonts w:eastAsia="Times New Roman" w:cstheme="minorHAnsi"/>
                <w:i/>
                <w:iCs/>
                <w:lang w:val="en-US" w:eastAsia="en-GB"/>
              </w:rPr>
              <w:t>Time before contacting MPD &gt;5 years</w:t>
            </w:r>
          </w:p>
        </w:tc>
        <w:tc>
          <w:tcPr>
            <w:tcW w:w="508" w:type="pct"/>
            <w:noWrap/>
            <w:vAlign w:val="center"/>
          </w:tcPr>
          <w:p w14:paraId="4A9845E3"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GB" w:eastAsia="en-GB"/>
              </w:rPr>
              <w:t>137 (41.1%)</w:t>
            </w:r>
          </w:p>
        </w:tc>
        <w:tc>
          <w:tcPr>
            <w:tcW w:w="515" w:type="pct"/>
            <w:noWrap/>
            <w:vAlign w:val="center"/>
          </w:tcPr>
          <w:p w14:paraId="4EBE03FC"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GB" w:eastAsia="en-GB"/>
              </w:rPr>
              <w:t>52 (66.7%)</w:t>
            </w:r>
          </w:p>
        </w:tc>
        <w:tc>
          <w:tcPr>
            <w:tcW w:w="441" w:type="pct"/>
            <w:noWrap/>
            <w:vAlign w:val="center"/>
          </w:tcPr>
          <w:p w14:paraId="6AABB150"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GB" w:eastAsia="en-GB"/>
              </w:rPr>
              <w:t>107 (56.9%)</w:t>
            </w:r>
          </w:p>
        </w:tc>
        <w:tc>
          <w:tcPr>
            <w:tcW w:w="441" w:type="pct"/>
            <w:vAlign w:val="center"/>
          </w:tcPr>
          <w:p w14:paraId="57BE30F0" w14:textId="77777777" w:rsidR="00CE79A0" w:rsidRPr="00763B44" w:rsidRDefault="00CE79A0" w:rsidP="000B101B">
            <w:pPr>
              <w:spacing w:after="0" w:line="240" w:lineRule="auto"/>
              <w:jc w:val="center"/>
              <w:rPr>
                <w:rFonts w:cstheme="minorHAnsi"/>
                <w:lang w:val="en-US"/>
              </w:rPr>
            </w:pPr>
            <w:r w:rsidRPr="00763B44">
              <w:rPr>
                <w:rFonts w:cstheme="minorHAnsi"/>
                <w:lang w:val="en-GB"/>
              </w:rPr>
              <w:t>296 (49.4%)</w:t>
            </w:r>
          </w:p>
        </w:tc>
        <w:tc>
          <w:tcPr>
            <w:tcW w:w="368" w:type="pct"/>
            <w:vAlign w:val="center"/>
          </w:tcPr>
          <w:p w14:paraId="36685017"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GB" w:eastAsia="en-GB"/>
              </w:rPr>
              <w:t>22.63</w:t>
            </w:r>
            <w:r w:rsidRPr="00763B44">
              <w:rPr>
                <w:rFonts w:eastAsia="Times New Roman" w:cstheme="minorHAnsi"/>
                <w:lang w:eastAsia="en-GB"/>
              </w:rPr>
              <w:t>7</w:t>
            </w:r>
          </w:p>
        </w:tc>
        <w:tc>
          <w:tcPr>
            <w:tcW w:w="220" w:type="pct"/>
            <w:noWrap/>
            <w:vAlign w:val="center"/>
          </w:tcPr>
          <w:p w14:paraId="5AD54138"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eastAsia="en-GB"/>
              </w:rPr>
              <w:t>2</w:t>
            </w:r>
          </w:p>
        </w:tc>
        <w:tc>
          <w:tcPr>
            <w:tcW w:w="515" w:type="pct"/>
            <w:vAlign w:val="center"/>
          </w:tcPr>
          <w:p w14:paraId="4233EA65"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eastAsia="en-GB"/>
              </w:rPr>
              <w:t>&lt;0.0001</w:t>
            </w:r>
          </w:p>
        </w:tc>
        <w:tc>
          <w:tcPr>
            <w:tcW w:w="588" w:type="pct"/>
            <w:vAlign w:val="center"/>
          </w:tcPr>
          <w:p w14:paraId="5CB3F17E" w14:textId="77777777" w:rsidR="00CE79A0" w:rsidRPr="00763B44" w:rsidRDefault="00CE79A0" w:rsidP="000B101B">
            <w:pPr>
              <w:spacing w:after="0" w:line="240" w:lineRule="auto"/>
              <w:jc w:val="center"/>
              <w:rPr>
                <w:rFonts w:eastAsia="Times New Roman" w:cstheme="minorHAnsi"/>
                <w:lang w:eastAsia="en-GB"/>
              </w:rPr>
            </w:pPr>
            <w:r w:rsidRPr="00763B44">
              <w:rPr>
                <w:rFonts w:eastAsia="Times New Roman" w:cstheme="minorHAnsi"/>
                <w:lang w:eastAsia="en-GB"/>
              </w:rPr>
              <w:t>Sig.</w:t>
            </w:r>
          </w:p>
        </w:tc>
      </w:tr>
      <w:tr w:rsidR="00CE79A0" w:rsidRPr="00763B44" w14:paraId="291AA5CE" w14:textId="77777777" w:rsidTr="00FE6DB1">
        <w:trPr>
          <w:trHeight w:val="66"/>
        </w:trPr>
        <w:tc>
          <w:tcPr>
            <w:tcW w:w="1404" w:type="pct"/>
            <w:vAlign w:val="center"/>
          </w:tcPr>
          <w:p w14:paraId="1DADD4AF" w14:textId="77777777" w:rsidR="00CE79A0" w:rsidRPr="00763B44" w:rsidRDefault="00CE79A0" w:rsidP="000B101B">
            <w:pPr>
              <w:spacing w:after="0" w:line="240" w:lineRule="auto"/>
              <w:rPr>
                <w:rFonts w:eastAsia="Times New Roman" w:cstheme="minorHAnsi"/>
                <w:i/>
                <w:iCs/>
                <w:lang w:val="en-US" w:eastAsia="en-GB"/>
              </w:rPr>
            </w:pPr>
            <w:r w:rsidRPr="00763B44">
              <w:rPr>
                <w:rFonts w:eastAsia="Times New Roman" w:cstheme="minorHAnsi"/>
                <w:i/>
                <w:iCs/>
                <w:lang w:val="en-US" w:eastAsia="en-GB"/>
              </w:rPr>
              <w:t>Time since traumatic event</w:t>
            </w:r>
          </w:p>
        </w:tc>
        <w:tc>
          <w:tcPr>
            <w:tcW w:w="508" w:type="pct"/>
            <w:noWrap/>
            <w:vAlign w:val="center"/>
          </w:tcPr>
          <w:p w14:paraId="30C4F10D" w14:textId="77777777" w:rsidR="00CE79A0" w:rsidRPr="00763B44" w:rsidRDefault="00CE79A0" w:rsidP="000B101B">
            <w:pPr>
              <w:spacing w:after="0" w:line="240" w:lineRule="auto"/>
              <w:jc w:val="center"/>
              <w:rPr>
                <w:rFonts w:eastAsia="Times New Roman" w:cstheme="minorHAnsi"/>
                <w:lang w:val="en-US" w:eastAsia="en-GB"/>
              </w:rPr>
            </w:pPr>
          </w:p>
        </w:tc>
        <w:tc>
          <w:tcPr>
            <w:tcW w:w="515" w:type="pct"/>
            <w:noWrap/>
            <w:vAlign w:val="center"/>
          </w:tcPr>
          <w:p w14:paraId="0E605166" w14:textId="77777777" w:rsidR="00CE79A0" w:rsidRPr="00763B44" w:rsidRDefault="00CE79A0" w:rsidP="000B101B">
            <w:pPr>
              <w:spacing w:after="0" w:line="240" w:lineRule="auto"/>
              <w:jc w:val="center"/>
              <w:rPr>
                <w:rFonts w:eastAsia="Times New Roman" w:cstheme="minorHAnsi"/>
                <w:lang w:val="en-US" w:eastAsia="en-GB"/>
              </w:rPr>
            </w:pPr>
          </w:p>
        </w:tc>
        <w:tc>
          <w:tcPr>
            <w:tcW w:w="441" w:type="pct"/>
            <w:noWrap/>
            <w:vAlign w:val="center"/>
          </w:tcPr>
          <w:p w14:paraId="201F6915" w14:textId="77777777" w:rsidR="00CE79A0" w:rsidRPr="00763B44" w:rsidRDefault="00CE79A0" w:rsidP="000B101B">
            <w:pPr>
              <w:spacing w:after="0" w:line="240" w:lineRule="auto"/>
              <w:jc w:val="center"/>
              <w:rPr>
                <w:rFonts w:eastAsia="Times New Roman" w:cstheme="minorHAnsi"/>
                <w:lang w:val="en-US" w:eastAsia="en-GB"/>
              </w:rPr>
            </w:pPr>
          </w:p>
        </w:tc>
        <w:tc>
          <w:tcPr>
            <w:tcW w:w="441" w:type="pct"/>
            <w:vAlign w:val="center"/>
          </w:tcPr>
          <w:p w14:paraId="700F18DA" w14:textId="77777777" w:rsidR="00CE79A0" w:rsidRPr="00763B44" w:rsidRDefault="00CE79A0" w:rsidP="000B101B">
            <w:pPr>
              <w:spacing w:after="0" w:line="240" w:lineRule="auto"/>
              <w:jc w:val="center"/>
              <w:rPr>
                <w:rFonts w:cstheme="minorHAnsi"/>
                <w:lang w:val="en-US"/>
              </w:rPr>
            </w:pPr>
          </w:p>
        </w:tc>
        <w:tc>
          <w:tcPr>
            <w:tcW w:w="368" w:type="pct"/>
            <w:vAlign w:val="center"/>
          </w:tcPr>
          <w:p w14:paraId="0E395551"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43.432</w:t>
            </w:r>
          </w:p>
        </w:tc>
        <w:tc>
          <w:tcPr>
            <w:tcW w:w="220" w:type="pct"/>
            <w:noWrap/>
            <w:vAlign w:val="center"/>
          </w:tcPr>
          <w:p w14:paraId="488AAA1D"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4</w:t>
            </w:r>
          </w:p>
        </w:tc>
        <w:tc>
          <w:tcPr>
            <w:tcW w:w="515" w:type="pct"/>
            <w:vAlign w:val="center"/>
          </w:tcPr>
          <w:p w14:paraId="0AAD0264"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&lt;0.0001</w:t>
            </w:r>
          </w:p>
        </w:tc>
        <w:tc>
          <w:tcPr>
            <w:tcW w:w="588" w:type="pct"/>
            <w:vAlign w:val="center"/>
          </w:tcPr>
          <w:p w14:paraId="2A41605D"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Sig.</w:t>
            </w:r>
          </w:p>
        </w:tc>
      </w:tr>
      <w:tr w:rsidR="00CE79A0" w:rsidRPr="00763B44" w14:paraId="0D255209" w14:textId="77777777" w:rsidTr="00FE6DB1">
        <w:trPr>
          <w:trHeight w:val="66"/>
        </w:trPr>
        <w:tc>
          <w:tcPr>
            <w:tcW w:w="1404" w:type="pct"/>
            <w:vAlign w:val="center"/>
          </w:tcPr>
          <w:p w14:paraId="7E579764" w14:textId="77777777" w:rsidR="00CE79A0" w:rsidRPr="00763B44" w:rsidRDefault="00CE79A0" w:rsidP="000B101B">
            <w:pPr>
              <w:spacing w:after="0" w:line="240" w:lineRule="auto"/>
              <w:rPr>
                <w:rFonts w:eastAsia="Times New Roman" w:cstheme="minorHAnsi"/>
                <w:lang w:val="en-US" w:eastAsia="en-GB"/>
              </w:rPr>
            </w:pPr>
            <w:r w:rsidRPr="00763B44">
              <w:rPr>
                <w:rFonts w:cstheme="minorHAnsi"/>
                <w:lang w:val="en-US"/>
              </w:rPr>
              <w:t>Up to 12 months ago</w:t>
            </w:r>
          </w:p>
        </w:tc>
        <w:tc>
          <w:tcPr>
            <w:tcW w:w="508" w:type="pct"/>
            <w:noWrap/>
            <w:vAlign w:val="center"/>
          </w:tcPr>
          <w:p w14:paraId="0157C314"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77 (23.1%)</w:t>
            </w:r>
          </w:p>
        </w:tc>
        <w:tc>
          <w:tcPr>
            <w:tcW w:w="515" w:type="pct"/>
            <w:noWrap/>
            <w:vAlign w:val="center"/>
          </w:tcPr>
          <w:p w14:paraId="1EE39189"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7 (9.0%)</w:t>
            </w:r>
          </w:p>
        </w:tc>
        <w:tc>
          <w:tcPr>
            <w:tcW w:w="441" w:type="pct"/>
            <w:noWrap/>
            <w:vAlign w:val="center"/>
          </w:tcPr>
          <w:p w14:paraId="1B530240"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18 (9.6%)</w:t>
            </w:r>
          </w:p>
        </w:tc>
        <w:tc>
          <w:tcPr>
            <w:tcW w:w="441" w:type="pct"/>
            <w:vAlign w:val="center"/>
          </w:tcPr>
          <w:p w14:paraId="5A8A092F" w14:textId="77777777" w:rsidR="00CE79A0" w:rsidRPr="00763B44" w:rsidRDefault="00CE79A0" w:rsidP="000B101B">
            <w:pPr>
              <w:spacing w:after="0" w:line="240" w:lineRule="auto"/>
              <w:jc w:val="center"/>
              <w:rPr>
                <w:rFonts w:cstheme="minorHAnsi"/>
                <w:lang w:val="en-US"/>
              </w:rPr>
            </w:pPr>
            <w:r w:rsidRPr="00763B44">
              <w:rPr>
                <w:rFonts w:cstheme="minorHAnsi"/>
                <w:lang w:val="en-US"/>
              </w:rPr>
              <w:t>102 (17.0%)</w:t>
            </w:r>
          </w:p>
        </w:tc>
        <w:tc>
          <w:tcPr>
            <w:tcW w:w="368" w:type="pct"/>
            <w:vAlign w:val="center"/>
          </w:tcPr>
          <w:p w14:paraId="7C8F2D8B" w14:textId="77777777" w:rsidR="00CE79A0" w:rsidRPr="00763B44" w:rsidRDefault="00CE79A0" w:rsidP="000B101B">
            <w:pPr>
              <w:spacing w:after="0" w:line="240" w:lineRule="auto"/>
              <w:jc w:val="center"/>
              <w:rPr>
                <w:rFonts w:eastAsia="Times New Roman" w:cstheme="minorHAnsi"/>
                <w:lang w:val="en-US" w:eastAsia="en-GB"/>
              </w:rPr>
            </w:pPr>
          </w:p>
        </w:tc>
        <w:tc>
          <w:tcPr>
            <w:tcW w:w="220" w:type="pct"/>
            <w:noWrap/>
            <w:vAlign w:val="center"/>
          </w:tcPr>
          <w:p w14:paraId="1BD3315F" w14:textId="77777777" w:rsidR="00CE79A0" w:rsidRPr="00763B44" w:rsidRDefault="00CE79A0" w:rsidP="000B101B">
            <w:pPr>
              <w:spacing w:after="0" w:line="240" w:lineRule="auto"/>
              <w:jc w:val="center"/>
              <w:rPr>
                <w:rFonts w:eastAsia="Times New Roman" w:cstheme="minorHAnsi"/>
                <w:lang w:val="en-US" w:eastAsia="en-GB"/>
              </w:rPr>
            </w:pPr>
          </w:p>
        </w:tc>
        <w:tc>
          <w:tcPr>
            <w:tcW w:w="515" w:type="pct"/>
            <w:vAlign w:val="center"/>
          </w:tcPr>
          <w:p w14:paraId="1019D75E" w14:textId="77777777" w:rsidR="00CE79A0" w:rsidRPr="00763B44" w:rsidRDefault="00CE79A0" w:rsidP="000B101B">
            <w:pPr>
              <w:spacing w:after="0" w:line="240" w:lineRule="auto"/>
              <w:jc w:val="center"/>
              <w:rPr>
                <w:rFonts w:eastAsia="Times New Roman" w:cstheme="minorHAnsi"/>
                <w:lang w:val="en-US" w:eastAsia="en-GB"/>
              </w:rPr>
            </w:pPr>
          </w:p>
        </w:tc>
        <w:tc>
          <w:tcPr>
            <w:tcW w:w="588" w:type="pct"/>
          </w:tcPr>
          <w:p w14:paraId="4A67DA0F" w14:textId="77777777" w:rsidR="00CE79A0" w:rsidRPr="00763B44" w:rsidRDefault="00CE79A0" w:rsidP="000B101B">
            <w:pPr>
              <w:spacing w:after="0" w:line="240" w:lineRule="auto"/>
              <w:jc w:val="center"/>
              <w:rPr>
                <w:rFonts w:eastAsia="Times New Roman" w:cstheme="minorHAnsi"/>
                <w:lang w:val="en-US" w:eastAsia="en-GB"/>
              </w:rPr>
            </w:pPr>
          </w:p>
        </w:tc>
      </w:tr>
      <w:tr w:rsidR="00CE79A0" w:rsidRPr="00763B44" w14:paraId="547361AA" w14:textId="77777777" w:rsidTr="00FE6DB1">
        <w:trPr>
          <w:trHeight w:val="66"/>
        </w:trPr>
        <w:tc>
          <w:tcPr>
            <w:tcW w:w="1404" w:type="pct"/>
            <w:vAlign w:val="center"/>
          </w:tcPr>
          <w:p w14:paraId="6BC8DBEA" w14:textId="77777777" w:rsidR="00CE79A0" w:rsidRPr="00763B44" w:rsidRDefault="00CE79A0" w:rsidP="000B101B">
            <w:pPr>
              <w:spacing w:after="0" w:line="240" w:lineRule="auto"/>
              <w:rPr>
                <w:rFonts w:eastAsia="Times New Roman" w:cstheme="minorHAnsi"/>
                <w:lang w:val="en-US" w:eastAsia="en-GB"/>
              </w:rPr>
            </w:pPr>
            <w:r w:rsidRPr="00763B44">
              <w:rPr>
                <w:rFonts w:cstheme="minorHAnsi"/>
                <w:lang w:val="en-US"/>
              </w:rPr>
              <w:t>1 to 10 years ago</w:t>
            </w:r>
          </w:p>
        </w:tc>
        <w:tc>
          <w:tcPr>
            <w:tcW w:w="508" w:type="pct"/>
            <w:noWrap/>
            <w:vAlign w:val="center"/>
          </w:tcPr>
          <w:p w14:paraId="13A98623"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130 (39.0%)</w:t>
            </w:r>
          </w:p>
        </w:tc>
        <w:tc>
          <w:tcPr>
            <w:tcW w:w="515" w:type="pct"/>
            <w:noWrap/>
            <w:vAlign w:val="center"/>
          </w:tcPr>
          <w:p w14:paraId="698BB65E"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21 (26.9%)</w:t>
            </w:r>
          </w:p>
        </w:tc>
        <w:tc>
          <w:tcPr>
            <w:tcW w:w="441" w:type="pct"/>
            <w:noWrap/>
            <w:vAlign w:val="center"/>
          </w:tcPr>
          <w:p w14:paraId="2FE02332"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50 (26.6%)</w:t>
            </w:r>
          </w:p>
        </w:tc>
        <w:tc>
          <w:tcPr>
            <w:tcW w:w="441" w:type="pct"/>
            <w:vAlign w:val="center"/>
          </w:tcPr>
          <w:p w14:paraId="44B2EFFC" w14:textId="77777777" w:rsidR="00CE79A0" w:rsidRPr="00763B44" w:rsidRDefault="00CE79A0" w:rsidP="000B101B">
            <w:pPr>
              <w:spacing w:after="0" w:line="240" w:lineRule="auto"/>
              <w:jc w:val="center"/>
              <w:rPr>
                <w:rFonts w:cstheme="minorHAnsi"/>
                <w:lang w:val="en-US"/>
              </w:rPr>
            </w:pPr>
            <w:r w:rsidRPr="00763B44">
              <w:rPr>
                <w:rFonts w:cstheme="minorHAnsi"/>
                <w:lang w:val="en-US"/>
              </w:rPr>
              <w:t>201 (33.6%)</w:t>
            </w:r>
          </w:p>
        </w:tc>
        <w:tc>
          <w:tcPr>
            <w:tcW w:w="368" w:type="pct"/>
            <w:vAlign w:val="center"/>
          </w:tcPr>
          <w:p w14:paraId="1FAD6094" w14:textId="77777777" w:rsidR="00CE79A0" w:rsidRPr="00763B44" w:rsidRDefault="00CE79A0" w:rsidP="000B101B">
            <w:pPr>
              <w:spacing w:after="0" w:line="240" w:lineRule="auto"/>
              <w:jc w:val="center"/>
              <w:rPr>
                <w:rFonts w:eastAsia="Times New Roman" w:cstheme="minorHAnsi"/>
                <w:lang w:val="en-US" w:eastAsia="en-GB"/>
              </w:rPr>
            </w:pPr>
          </w:p>
        </w:tc>
        <w:tc>
          <w:tcPr>
            <w:tcW w:w="220" w:type="pct"/>
            <w:noWrap/>
            <w:vAlign w:val="center"/>
          </w:tcPr>
          <w:p w14:paraId="595ED2EC" w14:textId="77777777" w:rsidR="00CE79A0" w:rsidRPr="00763B44" w:rsidRDefault="00CE79A0" w:rsidP="000B101B">
            <w:pPr>
              <w:spacing w:after="0" w:line="240" w:lineRule="auto"/>
              <w:jc w:val="center"/>
              <w:rPr>
                <w:rFonts w:eastAsia="Times New Roman" w:cstheme="minorHAnsi"/>
                <w:lang w:val="en-US" w:eastAsia="en-GB"/>
              </w:rPr>
            </w:pPr>
          </w:p>
        </w:tc>
        <w:tc>
          <w:tcPr>
            <w:tcW w:w="515" w:type="pct"/>
            <w:vAlign w:val="center"/>
          </w:tcPr>
          <w:p w14:paraId="25CE9AAD" w14:textId="77777777" w:rsidR="00CE79A0" w:rsidRPr="00763B44" w:rsidRDefault="00CE79A0" w:rsidP="000B101B">
            <w:pPr>
              <w:spacing w:after="0" w:line="240" w:lineRule="auto"/>
              <w:jc w:val="center"/>
              <w:rPr>
                <w:rFonts w:eastAsia="Times New Roman" w:cstheme="minorHAnsi"/>
                <w:lang w:val="en-US" w:eastAsia="en-GB"/>
              </w:rPr>
            </w:pPr>
          </w:p>
        </w:tc>
        <w:tc>
          <w:tcPr>
            <w:tcW w:w="588" w:type="pct"/>
          </w:tcPr>
          <w:p w14:paraId="0210AAC1" w14:textId="77777777" w:rsidR="00CE79A0" w:rsidRPr="00763B44" w:rsidRDefault="00CE79A0" w:rsidP="000B101B">
            <w:pPr>
              <w:spacing w:after="0" w:line="240" w:lineRule="auto"/>
              <w:jc w:val="center"/>
              <w:rPr>
                <w:rFonts w:eastAsia="Times New Roman" w:cstheme="minorHAnsi"/>
                <w:lang w:val="en-US" w:eastAsia="en-GB"/>
              </w:rPr>
            </w:pPr>
          </w:p>
        </w:tc>
      </w:tr>
      <w:tr w:rsidR="00CE79A0" w:rsidRPr="00763B44" w14:paraId="46DE7395" w14:textId="77777777" w:rsidTr="00FE6DB1">
        <w:trPr>
          <w:trHeight w:val="53"/>
        </w:trPr>
        <w:tc>
          <w:tcPr>
            <w:tcW w:w="1404" w:type="pct"/>
            <w:tcBorders>
              <w:bottom w:val="single" w:sz="4" w:space="0" w:color="auto"/>
            </w:tcBorders>
            <w:vAlign w:val="center"/>
          </w:tcPr>
          <w:p w14:paraId="69768F66" w14:textId="77777777" w:rsidR="00CE79A0" w:rsidRPr="00763B44" w:rsidRDefault="00CE79A0" w:rsidP="000B101B">
            <w:pPr>
              <w:spacing w:after="0" w:line="240" w:lineRule="auto"/>
              <w:rPr>
                <w:rFonts w:eastAsia="Times New Roman" w:cstheme="minorHAnsi"/>
                <w:lang w:val="en-US" w:eastAsia="en-GB"/>
              </w:rPr>
            </w:pPr>
            <w:r w:rsidRPr="00763B44">
              <w:rPr>
                <w:rFonts w:cstheme="minorHAnsi"/>
                <w:lang w:val="en-US"/>
              </w:rPr>
              <w:t>10 or more years ago</w:t>
            </w:r>
          </w:p>
        </w:tc>
        <w:tc>
          <w:tcPr>
            <w:tcW w:w="508" w:type="pct"/>
            <w:tcBorders>
              <w:bottom w:val="single" w:sz="4" w:space="0" w:color="auto"/>
            </w:tcBorders>
            <w:noWrap/>
            <w:vAlign w:val="center"/>
          </w:tcPr>
          <w:p w14:paraId="04682854"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126 (37.8%)</w:t>
            </w:r>
          </w:p>
        </w:tc>
        <w:tc>
          <w:tcPr>
            <w:tcW w:w="515" w:type="pct"/>
            <w:tcBorders>
              <w:bottom w:val="single" w:sz="4" w:space="0" w:color="auto"/>
            </w:tcBorders>
            <w:noWrap/>
            <w:vAlign w:val="center"/>
          </w:tcPr>
          <w:p w14:paraId="2ADFE40D"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50 (64.1%)</w:t>
            </w:r>
          </w:p>
        </w:tc>
        <w:tc>
          <w:tcPr>
            <w:tcW w:w="441" w:type="pct"/>
            <w:tcBorders>
              <w:bottom w:val="single" w:sz="4" w:space="0" w:color="auto"/>
            </w:tcBorders>
            <w:noWrap/>
            <w:vAlign w:val="center"/>
          </w:tcPr>
          <w:p w14:paraId="6A3C8FC7"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120 (63.8%)</w:t>
            </w:r>
          </w:p>
        </w:tc>
        <w:tc>
          <w:tcPr>
            <w:tcW w:w="441" w:type="pct"/>
            <w:tcBorders>
              <w:bottom w:val="single" w:sz="4" w:space="0" w:color="auto"/>
            </w:tcBorders>
            <w:vAlign w:val="center"/>
          </w:tcPr>
          <w:p w14:paraId="3064A2F4" w14:textId="77777777" w:rsidR="00CE79A0" w:rsidRPr="00763B44" w:rsidRDefault="00CE79A0" w:rsidP="000B101B">
            <w:pPr>
              <w:spacing w:after="0" w:line="240" w:lineRule="auto"/>
              <w:jc w:val="center"/>
              <w:rPr>
                <w:rFonts w:cstheme="minorHAnsi"/>
                <w:lang w:val="en-US"/>
              </w:rPr>
            </w:pPr>
            <w:r w:rsidRPr="00763B44">
              <w:rPr>
                <w:rFonts w:cstheme="minorHAnsi"/>
                <w:lang w:val="en-US"/>
              </w:rPr>
              <w:t>296(49.4%)</w:t>
            </w:r>
          </w:p>
        </w:tc>
        <w:tc>
          <w:tcPr>
            <w:tcW w:w="368" w:type="pct"/>
            <w:tcBorders>
              <w:bottom w:val="single" w:sz="4" w:space="0" w:color="auto"/>
            </w:tcBorders>
            <w:vAlign w:val="center"/>
          </w:tcPr>
          <w:p w14:paraId="1FCC466E" w14:textId="77777777" w:rsidR="00CE79A0" w:rsidRPr="00763B44" w:rsidRDefault="00CE79A0" w:rsidP="000B101B">
            <w:pPr>
              <w:spacing w:after="0" w:line="240" w:lineRule="auto"/>
              <w:jc w:val="center"/>
              <w:rPr>
                <w:rFonts w:eastAsia="Times New Roman" w:cstheme="minorHAnsi"/>
                <w:lang w:val="en-US" w:eastAsia="en-GB"/>
              </w:rPr>
            </w:pPr>
          </w:p>
        </w:tc>
        <w:tc>
          <w:tcPr>
            <w:tcW w:w="220" w:type="pct"/>
            <w:tcBorders>
              <w:bottom w:val="single" w:sz="4" w:space="0" w:color="auto"/>
            </w:tcBorders>
            <w:noWrap/>
            <w:vAlign w:val="center"/>
          </w:tcPr>
          <w:p w14:paraId="7AB6B0FD" w14:textId="77777777" w:rsidR="00CE79A0" w:rsidRPr="00763B44" w:rsidRDefault="00CE79A0" w:rsidP="000B101B">
            <w:pPr>
              <w:spacing w:after="0" w:line="240" w:lineRule="auto"/>
              <w:jc w:val="center"/>
              <w:rPr>
                <w:rFonts w:eastAsia="Times New Roman" w:cstheme="minorHAnsi"/>
                <w:lang w:val="en-US" w:eastAsia="en-GB"/>
              </w:rPr>
            </w:pPr>
          </w:p>
        </w:tc>
        <w:tc>
          <w:tcPr>
            <w:tcW w:w="515" w:type="pct"/>
            <w:tcBorders>
              <w:bottom w:val="single" w:sz="4" w:space="0" w:color="auto"/>
            </w:tcBorders>
            <w:vAlign w:val="center"/>
          </w:tcPr>
          <w:p w14:paraId="4DB0E19B" w14:textId="77777777" w:rsidR="00CE79A0" w:rsidRPr="00763B44" w:rsidRDefault="00CE79A0" w:rsidP="000B101B">
            <w:pPr>
              <w:spacing w:after="0" w:line="240" w:lineRule="auto"/>
              <w:jc w:val="center"/>
              <w:rPr>
                <w:rFonts w:eastAsia="Times New Roman" w:cstheme="minorHAnsi"/>
                <w:lang w:val="en-US" w:eastAsia="en-GB"/>
              </w:rPr>
            </w:pPr>
          </w:p>
        </w:tc>
        <w:tc>
          <w:tcPr>
            <w:tcW w:w="588" w:type="pct"/>
            <w:tcBorders>
              <w:bottom w:val="single" w:sz="4" w:space="0" w:color="auto"/>
            </w:tcBorders>
          </w:tcPr>
          <w:p w14:paraId="15CBCF5A" w14:textId="77777777" w:rsidR="00CE79A0" w:rsidRPr="00763B44" w:rsidRDefault="00CE79A0" w:rsidP="000B101B">
            <w:pPr>
              <w:spacing w:after="0" w:line="240" w:lineRule="auto"/>
              <w:jc w:val="center"/>
              <w:rPr>
                <w:rFonts w:eastAsia="Times New Roman" w:cstheme="minorHAnsi"/>
                <w:lang w:val="en-US" w:eastAsia="en-GB"/>
              </w:rPr>
            </w:pPr>
          </w:p>
        </w:tc>
      </w:tr>
    </w:tbl>
    <w:p w14:paraId="5F04E455" w14:textId="77777777" w:rsidR="00CE79A0" w:rsidRPr="00763B44" w:rsidRDefault="00CE79A0" w:rsidP="00CE79A0">
      <w:pPr>
        <w:autoSpaceDE w:val="0"/>
        <w:autoSpaceDN w:val="0"/>
        <w:adjustRightInd w:val="0"/>
        <w:spacing w:after="0" w:line="240" w:lineRule="auto"/>
        <w:rPr>
          <w:rFonts w:cstheme="minorHAnsi"/>
          <w:shd w:val="clear" w:color="auto" w:fill="FFFFFF"/>
          <w:lang w:val="en-US"/>
        </w:rPr>
      </w:pPr>
      <w:r w:rsidRPr="00763B44">
        <w:rPr>
          <w:rFonts w:cstheme="minorHAnsi"/>
          <w:shd w:val="clear" w:color="auto" w:fill="FFFFFF"/>
          <w:lang w:val="en-US"/>
        </w:rPr>
        <w:t xml:space="preserve">Notes: Values are N (%) unless stated otherwise, SD = Standard deviation, IQR = Interquartile range, </w:t>
      </w:r>
      <w:r w:rsidRPr="00763B44">
        <w:rPr>
          <w:rFonts w:cstheme="minorHAnsi"/>
          <w:shd w:val="clear" w:color="auto" w:fill="FFFFFF"/>
          <w:vertAlign w:val="superscript"/>
          <w:lang w:val="en-US"/>
        </w:rPr>
        <w:t>a</w:t>
      </w:r>
      <w:r w:rsidRPr="00763B44">
        <w:rPr>
          <w:rFonts w:cstheme="minorHAnsi"/>
          <w:shd w:val="clear" w:color="auto" w:fill="FFFFFF"/>
          <w:lang w:val="en-US"/>
        </w:rPr>
        <w:t xml:space="preserve">= F-value, </w:t>
      </w:r>
      <w:r w:rsidRPr="00763B44">
        <w:rPr>
          <w:rFonts w:cstheme="minorHAnsi"/>
          <w:shd w:val="clear" w:color="auto" w:fill="FFFFFF"/>
          <w:vertAlign w:val="superscript"/>
          <w:lang w:val="en-US"/>
        </w:rPr>
        <w:t>b</w:t>
      </w:r>
      <w:r w:rsidRPr="00763B44">
        <w:rPr>
          <w:rFonts w:cstheme="minorHAnsi"/>
          <w:shd w:val="clear" w:color="auto" w:fill="FFFFFF"/>
          <w:lang w:val="en-US"/>
        </w:rPr>
        <w:t xml:space="preserve"> = Anova,</w:t>
      </w:r>
      <w:r w:rsidRPr="00763B44">
        <w:rPr>
          <w:rFonts w:eastAsia="Times New Roman" w:cstheme="minorHAnsi"/>
          <w:vertAlign w:val="superscript"/>
          <w:lang w:val="en-US" w:eastAsia="en-GB"/>
        </w:rPr>
        <w:t xml:space="preserve"> c</w:t>
      </w:r>
      <w:r w:rsidRPr="00763B44">
        <w:rPr>
          <w:rFonts w:cstheme="minorHAnsi"/>
          <w:shd w:val="clear" w:color="auto" w:fill="FFFFFF"/>
          <w:lang w:val="en-US"/>
        </w:rPr>
        <w:t xml:space="preserve"> = Kruskal-Wallis Test.</w:t>
      </w:r>
    </w:p>
    <w:p w14:paraId="59B87C7A" w14:textId="77777777" w:rsidR="00CE79A0" w:rsidRPr="00763B44" w:rsidRDefault="00CE79A0" w:rsidP="00CE79A0">
      <w:pPr>
        <w:rPr>
          <w:rFonts w:cstheme="minorHAnsi"/>
          <w:shd w:val="clear" w:color="auto" w:fill="FFFFFF"/>
          <w:lang w:val="en-US"/>
        </w:rPr>
      </w:pPr>
      <w:r w:rsidRPr="00763B44">
        <w:rPr>
          <w:rFonts w:cstheme="minorHAnsi"/>
          <w:shd w:val="clear" w:color="auto" w:fill="FFFFFF"/>
          <w:lang w:val="en-US"/>
        </w:rPr>
        <w:br w:type="page"/>
      </w:r>
    </w:p>
    <w:p w14:paraId="158C27DE" w14:textId="77777777" w:rsidR="00CE79A0" w:rsidRPr="00763B44" w:rsidRDefault="00CE79A0" w:rsidP="00CE79A0">
      <w:pPr>
        <w:autoSpaceDE w:val="0"/>
        <w:autoSpaceDN w:val="0"/>
        <w:adjustRightInd w:val="0"/>
        <w:spacing w:after="0" w:line="240" w:lineRule="auto"/>
        <w:rPr>
          <w:rFonts w:eastAsia="Times New Roman" w:cstheme="minorHAnsi"/>
          <w:b/>
          <w:bCs/>
          <w:lang w:val="en-US" w:eastAsia="en-GB"/>
        </w:rPr>
      </w:pPr>
      <w:r w:rsidRPr="00763B44">
        <w:rPr>
          <w:rFonts w:eastAsia="Times New Roman" w:cstheme="minorHAnsi"/>
          <w:b/>
          <w:bCs/>
          <w:lang w:val="en-US" w:eastAsia="en-GB"/>
        </w:rPr>
        <w:lastRenderedPageBreak/>
        <w:t>Table 3. Differences between diagnostic groups on psychological and clinical variables</w:t>
      </w:r>
    </w:p>
    <w:p w14:paraId="3CE2376E" w14:textId="77777777" w:rsidR="00CE79A0" w:rsidRPr="00763B44" w:rsidRDefault="00CE79A0" w:rsidP="00CE79A0">
      <w:pPr>
        <w:autoSpaceDE w:val="0"/>
        <w:autoSpaceDN w:val="0"/>
        <w:adjustRightInd w:val="0"/>
        <w:spacing w:after="0" w:line="240" w:lineRule="auto"/>
        <w:rPr>
          <w:rFonts w:eastAsia="Times New Roman" w:cstheme="minorHAnsi"/>
          <w:b/>
          <w:bCs/>
          <w:lang w:val="en-US"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0"/>
        <w:gridCol w:w="1011"/>
        <w:gridCol w:w="911"/>
        <w:gridCol w:w="911"/>
        <w:gridCol w:w="1113"/>
        <w:gridCol w:w="2126"/>
        <w:gridCol w:w="707"/>
        <w:gridCol w:w="1009"/>
      </w:tblGrid>
      <w:tr w:rsidR="00CE79A0" w:rsidRPr="00763B44" w14:paraId="4E8E6ED6" w14:textId="77777777" w:rsidTr="000B101B">
        <w:trPr>
          <w:trHeight w:val="830"/>
        </w:trPr>
        <w:tc>
          <w:tcPr>
            <w:tcW w:w="956" w:type="pct"/>
            <w:shd w:val="clear" w:color="auto" w:fill="auto"/>
            <w:vAlign w:val="bottom"/>
            <w:hideMark/>
          </w:tcPr>
          <w:p w14:paraId="4D755140" w14:textId="77777777" w:rsidR="00CE79A0" w:rsidRPr="00763B44" w:rsidRDefault="00CE79A0" w:rsidP="000B101B">
            <w:pPr>
              <w:spacing w:after="0" w:line="240" w:lineRule="auto"/>
              <w:rPr>
                <w:rFonts w:eastAsia="Times New Roman" w:cstheme="minorHAnsi"/>
                <w:lang w:val="en-US" w:eastAsia="en-GB"/>
              </w:rPr>
            </w:pPr>
            <w:r w:rsidRPr="00763B44">
              <w:rPr>
                <w:rFonts w:eastAsia="Times New Roman" w:cstheme="minorHAnsi"/>
                <w:b/>
                <w:bCs/>
                <w:lang w:val="en-US" w:eastAsia="en-GB"/>
              </w:rPr>
              <w:t>Variable</w:t>
            </w:r>
          </w:p>
        </w:tc>
        <w:tc>
          <w:tcPr>
            <w:tcW w:w="525" w:type="pct"/>
            <w:shd w:val="clear" w:color="auto" w:fill="auto"/>
            <w:vAlign w:val="bottom"/>
            <w:hideMark/>
          </w:tcPr>
          <w:p w14:paraId="28BAD95F" w14:textId="77777777" w:rsidR="00CE79A0" w:rsidRPr="00763B44" w:rsidRDefault="00CE79A0" w:rsidP="000B101B">
            <w:pPr>
              <w:spacing w:after="0" w:line="240" w:lineRule="auto"/>
              <w:jc w:val="center"/>
              <w:rPr>
                <w:rFonts w:eastAsia="Times New Roman" w:cstheme="minorHAnsi"/>
                <w:b/>
                <w:bCs/>
                <w:lang w:val="en-US" w:eastAsia="en-GB"/>
              </w:rPr>
            </w:pPr>
            <w:r w:rsidRPr="00763B44">
              <w:rPr>
                <w:rFonts w:eastAsia="Times New Roman" w:cstheme="minorHAnsi"/>
                <w:b/>
                <w:bCs/>
                <w:lang w:val="en-US" w:eastAsia="en-GB"/>
              </w:rPr>
              <w:t>No trauma condition</w:t>
            </w:r>
            <w:r w:rsidRPr="00763B44">
              <w:rPr>
                <w:rFonts w:eastAsia="Times New Roman" w:cstheme="minorHAnsi"/>
                <w:vertAlign w:val="superscript"/>
                <w:lang w:val="en-US" w:eastAsia="en-GB"/>
              </w:rPr>
              <w:t>a</w:t>
            </w:r>
          </w:p>
          <w:p w14:paraId="2331D22D" w14:textId="77777777" w:rsidR="00CE79A0" w:rsidRPr="00763B44" w:rsidRDefault="00CE79A0" w:rsidP="000B101B">
            <w:pPr>
              <w:spacing w:after="0" w:line="240" w:lineRule="auto"/>
              <w:jc w:val="center"/>
              <w:rPr>
                <w:rFonts w:eastAsia="Times New Roman" w:cstheme="minorHAnsi"/>
                <w:b/>
                <w:bCs/>
                <w:lang w:val="en-US" w:eastAsia="en-GB"/>
              </w:rPr>
            </w:pPr>
            <w:r w:rsidRPr="00763B44">
              <w:rPr>
                <w:rFonts w:eastAsia="Times New Roman" w:cstheme="minorHAnsi"/>
                <w:b/>
                <w:bCs/>
                <w:lang w:val="en-US" w:eastAsia="en-GB"/>
              </w:rPr>
              <w:t>(</w:t>
            </w:r>
            <w:r w:rsidRPr="00763B44">
              <w:rPr>
                <w:rFonts w:eastAsia="Times New Roman" w:cstheme="minorHAnsi"/>
                <w:b/>
                <w:bCs/>
                <w:i/>
                <w:lang w:val="en-US" w:eastAsia="en-GB"/>
              </w:rPr>
              <w:t>N=</w:t>
            </w:r>
            <w:r w:rsidRPr="00763B44">
              <w:rPr>
                <w:rFonts w:eastAsia="Times New Roman" w:cstheme="minorHAnsi"/>
                <w:b/>
                <w:bCs/>
                <w:lang w:val="en-US" w:eastAsia="en-GB"/>
              </w:rPr>
              <w:t>333)</w:t>
            </w:r>
          </w:p>
        </w:tc>
        <w:tc>
          <w:tcPr>
            <w:tcW w:w="473" w:type="pct"/>
            <w:shd w:val="clear" w:color="auto" w:fill="auto"/>
            <w:vAlign w:val="bottom"/>
            <w:hideMark/>
          </w:tcPr>
          <w:p w14:paraId="4958D8D2" w14:textId="77777777" w:rsidR="00CE79A0" w:rsidRPr="00763B44" w:rsidRDefault="00CE79A0" w:rsidP="000B101B">
            <w:pPr>
              <w:spacing w:after="0" w:line="240" w:lineRule="auto"/>
              <w:jc w:val="center"/>
              <w:rPr>
                <w:rFonts w:eastAsia="Times New Roman" w:cstheme="minorHAnsi"/>
                <w:b/>
                <w:bCs/>
                <w:lang w:val="en-US" w:eastAsia="en-GB"/>
              </w:rPr>
            </w:pPr>
            <w:r w:rsidRPr="00763B44">
              <w:rPr>
                <w:rFonts w:eastAsia="Times New Roman" w:cstheme="minorHAnsi"/>
                <w:b/>
                <w:bCs/>
                <w:lang w:val="en-US" w:eastAsia="en-GB"/>
              </w:rPr>
              <w:t>PTSD</w:t>
            </w:r>
            <w:r w:rsidRPr="00763B44">
              <w:rPr>
                <w:rFonts w:eastAsia="Times New Roman" w:cstheme="minorHAnsi"/>
                <w:vertAlign w:val="superscript"/>
                <w:lang w:val="en-US" w:eastAsia="en-GB"/>
              </w:rPr>
              <w:t>b</w:t>
            </w:r>
          </w:p>
          <w:p w14:paraId="7082CD46" w14:textId="77777777" w:rsidR="00CE79A0" w:rsidRPr="00763B44" w:rsidRDefault="00CE79A0" w:rsidP="000B101B">
            <w:pPr>
              <w:spacing w:after="0" w:line="240" w:lineRule="auto"/>
              <w:jc w:val="center"/>
              <w:rPr>
                <w:rFonts w:eastAsia="Times New Roman" w:cstheme="minorHAnsi"/>
                <w:b/>
                <w:bCs/>
                <w:lang w:val="en-US" w:eastAsia="en-GB"/>
              </w:rPr>
            </w:pPr>
            <w:r w:rsidRPr="00763B44">
              <w:rPr>
                <w:rFonts w:eastAsia="Times New Roman" w:cstheme="minorHAnsi"/>
                <w:b/>
                <w:bCs/>
                <w:lang w:val="en-US" w:eastAsia="en-GB"/>
              </w:rPr>
              <w:t>(</w:t>
            </w:r>
            <w:r w:rsidRPr="00763B44">
              <w:rPr>
                <w:rFonts w:eastAsia="Times New Roman" w:cstheme="minorHAnsi"/>
                <w:b/>
                <w:bCs/>
                <w:i/>
                <w:lang w:val="en-US" w:eastAsia="en-GB"/>
              </w:rPr>
              <w:t>N=</w:t>
            </w:r>
            <w:r w:rsidRPr="00763B44">
              <w:rPr>
                <w:rFonts w:eastAsia="Times New Roman" w:cstheme="minorHAnsi"/>
                <w:b/>
                <w:bCs/>
                <w:lang w:val="en-US" w:eastAsia="en-GB"/>
              </w:rPr>
              <w:t>78)</w:t>
            </w:r>
          </w:p>
        </w:tc>
        <w:tc>
          <w:tcPr>
            <w:tcW w:w="473" w:type="pct"/>
            <w:shd w:val="clear" w:color="auto" w:fill="auto"/>
            <w:vAlign w:val="bottom"/>
            <w:hideMark/>
          </w:tcPr>
          <w:p w14:paraId="6509E03A" w14:textId="77777777" w:rsidR="00CE79A0" w:rsidRPr="00763B44" w:rsidRDefault="00CE79A0" w:rsidP="000B101B">
            <w:pPr>
              <w:spacing w:after="0" w:line="240" w:lineRule="auto"/>
              <w:jc w:val="center"/>
              <w:rPr>
                <w:rFonts w:eastAsia="Times New Roman" w:cstheme="minorHAnsi"/>
                <w:b/>
                <w:bCs/>
                <w:lang w:val="en-US" w:eastAsia="en-GB"/>
              </w:rPr>
            </w:pPr>
            <w:r w:rsidRPr="00763B44">
              <w:rPr>
                <w:rFonts w:eastAsia="Times New Roman" w:cstheme="minorHAnsi"/>
                <w:b/>
                <w:bCs/>
                <w:lang w:val="en-US" w:eastAsia="en-GB"/>
              </w:rPr>
              <w:t>CPTSD</w:t>
            </w:r>
            <w:r w:rsidRPr="00763B44">
              <w:rPr>
                <w:rFonts w:eastAsia="Times New Roman" w:cstheme="minorHAnsi"/>
                <w:vertAlign w:val="superscript"/>
                <w:lang w:val="en-US" w:eastAsia="en-GB"/>
              </w:rPr>
              <w:t>c</w:t>
            </w:r>
          </w:p>
          <w:p w14:paraId="46EBFD31" w14:textId="77777777" w:rsidR="00CE79A0" w:rsidRPr="00763B44" w:rsidRDefault="00CE79A0" w:rsidP="000B101B">
            <w:pPr>
              <w:spacing w:after="0" w:line="240" w:lineRule="auto"/>
              <w:jc w:val="center"/>
              <w:rPr>
                <w:rFonts w:eastAsia="Times New Roman" w:cstheme="minorHAnsi"/>
                <w:b/>
                <w:bCs/>
                <w:lang w:val="en-US" w:eastAsia="en-GB"/>
              </w:rPr>
            </w:pPr>
            <w:r w:rsidRPr="00763B44">
              <w:rPr>
                <w:rFonts w:eastAsia="Times New Roman" w:cstheme="minorHAnsi"/>
                <w:b/>
                <w:bCs/>
                <w:lang w:val="en-US" w:eastAsia="en-GB"/>
              </w:rPr>
              <w:t>(</w:t>
            </w:r>
            <w:r w:rsidRPr="00763B44">
              <w:rPr>
                <w:rFonts w:eastAsia="Times New Roman" w:cstheme="minorHAnsi"/>
                <w:b/>
                <w:bCs/>
                <w:i/>
                <w:lang w:val="en-US" w:eastAsia="en-GB"/>
              </w:rPr>
              <w:t>N=</w:t>
            </w:r>
            <w:r w:rsidRPr="00763B44">
              <w:rPr>
                <w:rFonts w:eastAsia="Times New Roman" w:cstheme="minorHAnsi"/>
                <w:b/>
                <w:bCs/>
                <w:lang w:val="en-US" w:eastAsia="en-GB"/>
              </w:rPr>
              <w:t>188)</w:t>
            </w:r>
          </w:p>
        </w:tc>
        <w:tc>
          <w:tcPr>
            <w:tcW w:w="578" w:type="pct"/>
            <w:vAlign w:val="bottom"/>
          </w:tcPr>
          <w:p w14:paraId="665D1EC2" w14:textId="77777777" w:rsidR="00CE79A0" w:rsidRPr="00763B44" w:rsidRDefault="00CE79A0" w:rsidP="000B101B">
            <w:pPr>
              <w:spacing w:after="0" w:line="240" w:lineRule="auto"/>
              <w:jc w:val="center"/>
              <w:rPr>
                <w:rFonts w:eastAsia="Times New Roman" w:cstheme="minorHAnsi"/>
                <w:b/>
                <w:bCs/>
                <w:lang w:val="en-US" w:eastAsia="en-GB"/>
              </w:rPr>
            </w:pPr>
            <w:r w:rsidRPr="00763B44">
              <w:rPr>
                <w:rFonts w:eastAsia="Times New Roman" w:cstheme="minorHAnsi"/>
                <w:b/>
                <w:bCs/>
                <w:lang w:val="en-US" w:eastAsia="en-GB"/>
              </w:rPr>
              <w:t>Total</w:t>
            </w:r>
          </w:p>
          <w:p w14:paraId="1D71F024" w14:textId="77777777" w:rsidR="00CE79A0" w:rsidRPr="00763B44" w:rsidRDefault="00CE79A0" w:rsidP="000B101B">
            <w:pPr>
              <w:spacing w:after="0" w:line="240" w:lineRule="auto"/>
              <w:jc w:val="center"/>
              <w:rPr>
                <w:rFonts w:eastAsia="Times New Roman" w:cstheme="minorHAnsi"/>
                <w:b/>
                <w:bCs/>
                <w:lang w:val="en-US" w:eastAsia="en-GB"/>
              </w:rPr>
            </w:pPr>
            <w:r w:rsidRPr="00763B44">
              <w:rPr>
                <w:rFonts w:eastAsia="Times New Roman" w:cstheme="minorHAnsi"/>
                <w:b/>
                <w:bCs/>
                <w:lang w:val="en-US" w:eastAsia="en-GB"/>
              </w:rPr>
              <w:t>(</w:t>
            </w:r>
            <w:r w:rsidRPr="00763B44">
              <w:rPr>
                <w:rFonts w:eastAsia="Times New Roman" w:cstheme="minorHAnsi"/>
                <w:b/>
                <w:bCs/>
                <w:i/>
                <w:lang w:val="en-US" w:eastAsia="en-GB"/>
              </w:rPr>
              <w:t>N=</w:t>
            </w:r>
            <w:r w:rsidRPr="00763B44">
              <w:rPr>
                <w:rFonts w:eastAsia="Times New Roman" w:cstheme="minorHAnsi"/>
                <w:b/>
                <w:bCs/>
                <w:lang w:val="en-US" w:eastAsia="en-GB"/>
              </w:rPr>
              <w:t>599)</w:t>
            </w:r>
          </w:p>
        </w:tc>
        <w:tc>
          <w:tcPr>
            <w:tcW w:w="1104" w:type="pct"/>
            <w:vAlign w:val="bottom"/>
          </w:tcPr>
          <w:p w14:paraId="37164BA0" w14:textId="77777777" w:rsidR="00CE79A0" w:rsidRPr="00763B44" w:rsidRDefault="00CE79A0" w:rsidP="000B101B">
            <w:pPr>
              <w:spacing w:after="0" w:line="240" w:lineRule="auto"/>
              <w:jc w:val="center"/>
              <w:rPr>
                <w:rFonts w:eastAsia="Times New Roman" w:cstheme="minorHAnsi"/>
                <w:b/>
                <w:bCs/>
                <w:lang w:val="en-US" w:eastAsia="en-GB"/>
              </w:rPr>
            </w:pPr>
            <w:r w:rsidRPr="00763B44">
              <w:rPr>
                <w:rFonts w:eastAsia="Times New Roman" w:cstheme="minorHAnsi"/>
                <w:b/>
                <w:bCs/>
                <w:lang w:val="en-US" w:eastAsia="en-GB"/>
              </w:rPr>
              <w:t>Test result</w:t>
            </w:r>
          </w:p>
        </w:tc>
        <w:tc>
          <w:tcPr>
            <w:tcW w:w="367" w:type="pct"/>
            <w:vAlign w:val="bottom"/>
          </w:tcPr>
          <w:p w14:paraId="6D601BF4" w14:textId="77777777" w:rsidR="00CE79A0" w:rsidRPr="00CE79A0" w:rsidRDefault="00CE79A0" w:rsidP="000B101B">
            <w:pPr>
              <w:spacing w:after="0" w:line="240" w:lineRule="auto"/>
              <w:jc w:val="center"/>
              <w:rPr>
                <w:rFonts w:eastAsia="Times New Roman" w:cstheme="minorHAnsi"/>
                <w:b/>
                <w:bCs/>
                <w:lang w:val="en-US" w:eastAsia="en-GB"/>
              </w:rPr>
            </w:pPr>
            <w:r w:rsidRPr="00763B44">
              <w:rPr>
                <w:rFonts w:eastAsia="Times New Roman" w:cstheme="minorHAnsi"/>
                <w:b/>
                <w:bCs/>
                <w:lang w:val="en-GB" w:eastAsia="en-GB"/>
              </w:rPr>
              <w:t>After Holm-Bonfer-</w:t>
            </w:r>
            <w:r w:rsidRPr="00CE79A0">
              <w:rPr>
                <w:rFonts w:eastAsia="Times New Roman" w:cstheme="minorHAnsi"/>
                <w:b/>
                <w:bCs/>
                <w:lang w:val="en-GB" w:eastAsia="en-GB"/>
              </w:rPr>
              <w:t>roni                                               correc-tion: Evalua-tion of   signify-cance</w:t>
            </w:r>
          </w:p>
        </w:tc>
        <w:tc>
          <w:tcPr>
            <w:tcW w:w="524" w:type="pct"/>
            <w:vAlign w:val="bottom"/>
          </w:tcPr>
          <w:p w14:paraId="1B1D4FE3" w14:textId="77777777" w:rsidR="00CE79A0" w:rsidRPr="00763B44" w:rsidRDefault="00CE79A0" w:rsidP="000B101B">
            <w:pPr>
              <w:spacing w:after="0" w:line="240" w:lineRule="auto"/>
              <w:jc w:val="center"/>
              <w:rPr>
                <w:rFonts w:eastAsia="Times New Roman" w:cstheme="minorHAnsi"/>
                <w:b/>
                <w:bCs/>
                <w:lang w:val="en-US" w:eastAsia="en-GB"/>
              </w:rPr>
            </w:pPr>
            <w:r w:rsidRPr="00763B44">
              <w:rPr>
                <w:rFonts w:eastAsia="Times New Roman" w:cstheme="minorHAnsi"/>
                <w:b/>
                <w:bCs/>
                <w:lang w:val="en-US" w:eastAsia="en-GB"/>
              </w:rPr>
              <w:t>Post hoc</w:t>
            </w:r>
          </w:p>
        </w:tc>
      </w:tr>
      <w:tr w:rsidR="00CE79A0" w:rsidRPr="00763B44" w14:paraId="57E82D12" w14:textId="77777777" w:rsidTr="000B101B">
        <w:trPr>
          <w:trHeight w:val="313"/>
        </w:trPr>
        <w:tc>
          <w:tcPr>
            <w:tcW w:w="956" w:type="pct"/>
            <w:shd w:val="clear" w:color="auto" w:fill="auto"/>
            <w:noWrap/>
            <w:vAlign w:val="center"/>
            <w:hideMark/>
          </w:tcPr>
          <w:p w14:paraId="493EEA7F" w14:textId="77777777" w:rsidR="00CE79A0" w:rsidRPr="00763B44" w:rsidRDefault="00CE79A0" w:rsidP="000B101B">
            <w:pPr>
              <w:spacing w:after="0" w:line="240" w:lineRule="auto"/>
              <w:rPr>
                <w:rFonts w:eastAsia="Times New Roman" w:cstheme="minorHAnsi"/>
                <w:lang w:val="en-US" w:eastAsia="en-GB"/>
              </w:rPr>
            </w:pPr>
            <w:r w:rsidRPr="00763B44">
              <w:rPr>
                <w:rFonts w:eastAsia="Times New Roman" w:cstheme="minorHAnsi"/>
                <w:lang w:val="en-US" w:eastAsia="en-GB"/>
              </w:rPr>
              <w:t>Depression score (Mean (SD))</w:t>
            </w:r>
          </w:p>
        </w:tc>
        <w:tc>
          <w:tcPr>
            <w:tcW w:w="525" w:type="pct"/>
            <w:shd w:val="clear" w:color="auto" w:fill="auto"/>
            <w:noWrap/>
            <w:vAlign w:val="center"/>
            <w:hideMark/>
          </w:tcPr>
          <w:p w14:paraId="0DB6F36A"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15.9 (10.4)*</w:t>
            </w:r>
          </w:p>
        </w:tc>
        <w:tc>
          <w:tcPr>
            <w:tcW w:w="473" w:type="pct"/>
            <w:shd w:val="clear" w:color="auto" w:fill="auto"/>
            <w:noWrap/>
            <w:vAlign w:val="center"/>
            <w:hideMark/>
          </w:tcPr>
          <w:p w14:paraId="3EA4E4DA"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15.2 (7.6)</w:t>
            </w:r>
          </w:p>
        </w:tc>
        <w:tc>
          <w:tcPr>
            <w:tcW w:w="473" w:type="pct"/>
            <w:shd w:val="clear" w:color="auto" w:fill="auto"/>
            <w:noWrap/>
            <w:vAlign w:val="center"/>
            <w:hideMark/>
          </w:tcPr>
          <w:p w14:paraId="56EC53A3"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28.7 (8.3)</w:t>
            </w:r>
          </w:p>
        </w:tc>
        <w:tc>
          <w:tcPr>
            <w:tcW w:w="578" w:type="pct"/>
            <w:vAlign w:val="center"/>
          </w:tcPr>
          <w:p w14:paraId="43518941" w14:textId="77777777" w:rsidR="00CE79A0" w:rsidRPr="00763B44" w:rsidRDefault="00CE79A0" w:rsidP="000B101B">
            <w:pPr>
              <w:spacing w:after="0" w:line="240" w:lineRule="auto"/>
              <w:jc w:val="center"/>
              <w:rPr>
                <w:rFonts w:cstheme="minorHAnsi"/>
                <w:lang w:val="en-US"/>
              </w:rPr>
            </w:pPr>
            <w:r w:rsidRPr="00763B44">
              <w:rPr>
                <w:rFonts w:cstheme="minorHAnsi"/>
                <w:lang w:val="en-US"/>
              </w:rPr>
              <w:t>19.8 (11.2)</w:t>
            </w:r>
            <w:r w:rsidRPr="00763B44">
              <w:rPr>
                <w:rFonts w:eastAsia="Times New Roman" w:cstheme="minorHAnsi"/>
                <w:lang w:val="en-US" w:eastAsia="en-GB"/>
              </w:rPr>
              <w:t>*</w:t>
            </w:r>
          </w:p>
        </w:tc>
        <w:tc>
          <w:tcPr>
            <w:tcW w:w="1104" w:type="pct"/>
            <w:shd w:val="clear" w:color="auto" w:fill="auto"/>
            <w:vAlign w:val="center"/>
          </w:tcPr>
          <w:p w14:paraId="2A0B51D0"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F</w:t>
            </w:r>
            <w:r w:rsidRPr="00763B44">
              <w:rPr>
                <w:rFonts w:eastAsia="Times New Roman" w:cstheme="minorHAnsi"/>
                <w:vertAlign w:val="superscript"/>
                <w:lang w:val="en-US" w:eastAsia="en-GB"/>
              </w:rPr>
              <w:t>a</w:t>
            </w:r>
            <w:r w:rsidRPr="00763B44">
              <w:rPr>
                <w:rFonts w:cstheme="minorHAnsi"/>
                <w:lang w:val="en-US"/>
              </w:rPr>
              <w:t xml:space="preserve"> (2, 598) = 118.94, p&lt;0.0001</w:t>
            </w:r>
          </w:p>
        </w:tc>
        <w:tc>
          <w:tcPr>
            <w:tcW w:w="367" w:type="pct"/>
            <w:vAlign w:val="center"/>
          </w:tcPr>
          <w:p w14:paraId="0F4E722E" w14:textId="77777777" w:rsidR="00CE79A0" w:rsidRPr="00763B44" w:rsidRDefault="00CE79A0" w:rsidP="000B101B">
            <w:pPr>
              <w:spacing w:after="0" w:line="240" w:lineRule="auto"/>
              <w:jc w:val="center"/>
              <w:rPr>
                <w:rFonts w:cstheme="minorHAnsi"/>
                <w:lang w:val="en-US"/>
              </w:rPr>
            </w:pPr>
            <w:r w:rsidRPr="00763B44">
              <w:rPr>
                <w:rFonts w:cstheme="minorHAnsi"/>
                <w:lang w:val="en-US"/>
              </w:rPr>
              <w:t>Sig.</w:t>
            </w:r>
          </w:p>
        </w:tc>
        <w:tc>
          <w:tcPr>
            <w:tcW w:w="524" w:type="pct"/>
            <w:vAlign w:val="center"/>
          </w:tcPr>
          <w:p w14:paraId="4F7F0B7A"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c&gt;a,b</w:t>
            </w:r>
          </w:p>
        </w:tc>
      </w:tr>
      <w:tr w:rsidR="00CE79A0" w:rsidRPr="00763B44" w14:paraId="6BE47A73" w14:textId="77777777" w:rsidTr="000B101B">
        <w:trPr>
          <w:trHeight w:val="313"/>
        </w:trPr>
        <w:tc>
          <w:tcPr>
            <w:tcW w:w="956" w:type="pct"/>
            <w:shd w:val="clear" w:color="auto" w:fill="auto"/>
            <w:noWrap/>
            <w:vAlign w:val="center"/>
            <w:hideMark/>
          </w:tcPr>
          <w:p w14:paraId="0115FF02" w14:textId="77777777" w:rsidR="00CE79A0" w:rsidRPr="00763B44" w:rsidRDefault="00CE79A0" w:rsidP="000B101B">
            <w:pPr>
              <w:spacing w:after="0" w:line="240" w:lineRule="auto"/>
              <w:rPr>
                <w:rFonts w:eastAsia="Times New Roman" w:cstheme="minorHAnsi"/>
                <w:lang w:val="en-US" w:eastAsia="en-GB"/>
              </w:rPr>
            </w:pPr>
            <w:r w:rsidRPr="00763B44">
              <w:rPr>
                <w:rFonts w:eastAsia="Times New Roman" w:cstheme="minorHAnsi"/>
                <w:lang w:val="en-US" w:eastAsia="en-GB"/>
              </w:rPr>
              <w:t>Anxiety score (Mean (SD))</w:t>
            </w:r>
          </w:p>
        </w:tc>
        <w:tc>
          <w:tcPr>
            <w:tcW w:w="525" w:type="pct"/>
            <w:shd w:val="clear" w:color="auto" w:fill="auto"/>
            <w:noWrap/>
            <w:vAlign w:val="center"/>
            <w:hideMark/>
          </w:tcPr>
          <w:p w14:paraId="43E49FAE"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8.6 (7.1)*</w:t>
            </w:r>
          </w:p>
        </w:tc>
        <w:tc>
          <w:tcPr>
            <w:tcW w:w="473" w:type="pct"/>
            <w:shd w:val="clear" w:color="auto" w:fill="auto"/>
            <w:noWrap/>
            <w:vAlign w:val="center"/>
            <w:hideMark/>
          </w:tcPr>
          <w:p w14:paraId="34CEB9A5"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14.4 (7.4)</w:t>
            </w:r>
          </w:p>
        </w:tc>
        <w:tc>
          <w:tcPr>
            <w:tcW w:w="473" w:type="pct"/>
            <w:shd w:val="clear" w:color="auto" w:fill="auto"/>
            <w:noWrap/>
            <w:vAlign w:val="center"/>
            <w:hideMark/>
          </w:tcPr>
          <w:p w14:paraId="79B4AF4D"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20.6 (8.3)</w:t>
            </w:r>
          </w:p>
        </w:tc>
        <w:tc>
          <w:tcPr>
            <w:tcW w:w="578" w:type="pct"/>
            <w:vAlign w:val="center"/>
          </w:tcPr>
          <w:p w14:paraId="23B61E4D" w14:textId="77777777" w:rsidR="00CE79A0" w:rsidRPr="00763B44" w:rsidRDefault="00CE79A0" w:rsidP="000B101B">
            <w:pPr>
              <w:spacing w:after="0" w:line="240" w:lineRule="auto"/>
              <w:jc w:val="center"/>
              <w:rPr>
                <w:rFonts w:cstheme="minorHAnsi"/>
                <w:lang w:val="en-US"/>
              </w:rPr>
            </w:pPr>
            <w:r w:rsidRPr="00763B44">
              <w:rPr>
                <w:rFonts w:cstheme="minorHAnsi"/>
                <w:lang w:val="en-US"/>
              </w:rPr>
              <w:t>13.1 (9.3)</w:t>
            </w:r>
          </w:p>
        </w:tc>
        <w:tc>
          <w:tcPr>
            <w:tcW w:w="1104" w:type="pct"/>
            <w:shd w:val="clear" w:color="auto" w:fill="auto"/>
            <w:vAlign w:val="center"/>
          </w:tcPr>
          <w:p w14:paraId="1CB5373B"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F</w:t>
            </w:r>
            <w:r w:rsidRPr="00763B44">
              <w:rPr>
                <w:rFonts w:eastAsia="Times New Roman" w:cstheme="minorHAnsi"/>
                <w:vertAlign w:val="superscript"/>
                <w:lang w:val="en-US" w:eastAsia="en-GB"/>
              </w:rPr>
              <w:t>a</w:t>
            </w:r>
            <w:r w:rsidRPr="00763B44">
              <w:rPr>
                <w:rFonts w:cstheme="minorHAnsi"/>
                <w:lang w:val="en-US"/>
              </w:rPr>
              <w:t xml:space="preserve"> (2, 598) = 154.57, p&lt;0.0001</w:t>
            </w:r>
          </w:p>
        </w:tc>
        <w:tc>
          <w:tcPr>
            <w:tcW w:w="367" w:type="pct"/>
            <w:vAlign w:val="center"/>
          </w:tcPr>
          <w:p w14:paraId="6F14A24E"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Sig.</w:t>
            </w:r>
          </w:p>
        </w:tc>
        <w:tc>
          <w:tcPr>
            <w:tcW w:w="524" w:type="pct"/>
            <w:vAlign w:val="center"/>
          </w:tcPr>
          <w:p w14:paraId="05A37C4E"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c</w:t>
            </w:r>
            <w:r w:rsidRPr="00763B44">
              <w:rPr>
                <w:rFonts w:cstheme="minorHAnsi"/>
                <w:lang w:val="en-US"/>
              </w:rPr>
              <w:t>&gt;a,b and b&gt;a</w:t>
            </w:r>
          </w:p>
        </w:tc>
      </w:tr>
      <w:tr w:rsidR="00CE79A0" w:rsidRPr="00763B44" w14:paraId="4B312282" w14:textId="77777777" w:rsidTr="000B101B">
        <w:trPr>
          <w:trHeight w:val="313"/>
        </w:trPr>
        <w:tc>
          <w:tcPr>
            <w:tcW w:w="956" w:type="pct"/>
            <w:shd w:val="clear" w:color="auto" w:fill="auto"/>
            <w:noWrap/>
            <w:vAlign w:val="center"/>
            <w:hideMark/>
          </w:tcPr>
          <w:p w14:paraId="373A7DDF" w14:textId="77777777" w:rsidR="00CE79A0" w:rsidRPr="00763B44" w:rsidRDefault="00CE79A0" w:rsidP="000B101B">
            <w:pPr>
              <w:spacing w:after="0" w:line="240" w:lineRule="auto"/>
              <w:rPr>
                <w:rFonts w:eastAsia="Times New Roman" w:cstheme="minorHAnsi"/>
                <w:lang w:val="en-US" w:eastAsia="en-GB"/>
              </w:rPr>
            </w:pPr>
            <w:r w:rsidRPr="00763B44">
              <w:rPr>
                <w:rFonts w:eastAsia="Times New Roman" w:cstheme="minorHAnsi"/>
                <w:lang w:val="en-US" w:eastAsia="en-GB"/>
              </w:rPr>
              <w:t>Stress score (Mean (SD))</w:t>
            </w:r>
          </w:p>
        </w:tc>
        <w:tc>
          <w:tcPr>
            <w:tcW w:w="525" w:type="pct"/>
            <w:shd w:val="clear" w:color="auto" w:fill="auto"/>
            <w:noWrap/>
            <w:vAlign w:val="center"/>
            <w:hideMark/>
          </w:tcPr>
          <w:p w14:paraId="59FBA3A9"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16.6 (8.6)*</w:t>
            </w:r>
          </w:p>
        </w:tc>
        <w:tc>
          <w:tcPr>
            <w:tcW w:w="473" w:type="pct"/>
            <w:shd w:val="clear" w:color="auto" w:fill="auto"/>
            <w:noWrap/>
            <w:vAlign w:val="center"/>
            <w:hideMark/>
          </w:tcPr>
          <w:p w14:paraId="25C26775"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21.4 (8.4)</w:t>
            </w:r>
          </w:p>
        </w:tc>
        <w:tc>
          <w:tcPr>
            <w:tcW w:w="473" w:type="pct"/>
            <w:shd w:val="clear" w:color="auto" w:fill="auto"/>
            <w:noWrap/>
            <w:vAlign w:val="center"/>
            <w:hideMark/>
          </w:tcPr>
          <w:p w14:paraId="2E07BDE9"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28.1 (8.0)</w:t>
            </w:r>
          </w:p>
        </w:tc>
        <w:tc>
          <w:tcPr>
            <w:tcW w:w="578" w:type="pct"/>
            <w:vAlign w:val="center"/>
          </w:tcPr>
          <w:p w14:paraId="7A0D5547" w14:textId="77777777" w:rsidR="00CE79A0" w:rsidRPr="00763B44" w:rsidRDefault="00CE79A0" w:rsidP="000B101B">
            <w:pPr>
              <w:spacing w:after="0" w:line="240" w:lineRule="auto"/>
              <w:jc w:val="center"/>
              <w:rPr>
                <w:rFonts w:cstheme="minorHAnsi"/>
                <w:lang w:val="en-US"/>
              </w:rPr>
            </w:pPr>
            <w:r w:rsidRPr="00763B44">
              <w:rPr>
                <w:rFonts w:cstheme="minorHAnsi"/>
                <w:lang w:val="en-US"/>
              </w:rPr>
              <w:t>20.9 (9.8)</w:t>
            </w:r>
          </w:p>
        </w:tc>
        <w:tc>
          <w:tcPr>
            <w:tcW w:w="1104" w:type="pct"/>
            <w:shd w:val="clear" w:color="auto" w:fill="auto"/>
            <w:vAlign w:val="center"/>
          </w:tcPr>
          <w:p w14:paraId="6C8D897D"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F</w:t>
            </w:r>
            <w:r w:rsidRPr="00763B44">
              <w:rPr>
                <w:rFonts w:eastAsia="Times New Roman" w:cstheme="minorHAnsi"/>
                <w:vertAlign w:val="superscript"/>
                <w:lang w:val="en-US" w:eastAsia="en-GB"/>
              </w:rPr>
              <w:t>a</w:t>
            </w:r>
            <w:r w:rsidRPr="00763B44">
              <w:rPr>
                <w:rFonts w:cstheme="minorHAnsi"/>
                <w:lang w:val="en-US"/>
              </w:rPr>
              <w:t xml:space="preserve"> (2, 598) = 112.70, p&lt;0.0001</w:t>
            </w:r>
          </w:p>
        </w:tc>
        <w:tc>
          <w:tcPr>
            <w:tcW w:w="367" w:type="pct"/>
            <w:vAlign w:val="center"/>
          </w:tcPr>
          <w:p w14:paraId="0CE074A1"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Sig.</w:t>
            </w:r>
          </w:p>
        </w:tc>
        <w:tc>
          <w:tcPr>
            <w:tcW w:w="524" w:type="pct"/>
            <w:vAlign w:val="center"/>
          </w:tcPr>
          <w:p w14:paraId="19E6ED7A"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c</w:t>
            </w:r>
            <w:r w:rsidRPr="00763B44">
              <w:rPr>
                <w:rFonts w:cstheme="minorHAnsi"/>
                <w:lang w:val="en-US"/>
              </w:rPr>
              <w:t>&gt;a,b and b&gt;a</w:t>
            </w:r>
          </w:p>
        </w:tc>
      </w:tr>
      <w:tr w:rsidR="00CE79A0" w:rsidRPr="00763B44" w14:paraId="5DB80A31" w14:textId="77777777" w:rsidTr="000B101B">
        <w:trPr>
          <w:trHeight w:val="310"/>
        </w:trPr>
        <w:tc>
          <w:tcPr>
            <w:tcW w:w="956" w:type="pct"/>
            <w:shd w:val="clear" w:color="auto" w:fill="auto"/>
            <w:noWrap/>
            <w:vAlign w:val="center"/>
          </w:tcPr>
          <w:p w14:paraId="3705B01E" w14:textId="77777777" w:rsidR="00CE79A0" w:rsidRPr="00763B44" w:rsidRDefault="00CE79A0" w:rsidP="000B101B">
            <w:pPr>
              <w:spacing w:after="0" w:line="240" w:lineRule="auto"/>
              <w:rPr>
                <w:rFonts w:eastAsia="Times New Roman" w:cstheme="minorHAnsi"/>
                <w:lang w:val="en-US" w:eastAsia="en-GB"/>
              </w:rPr>
            </w:pPr>
            <w:r w:rsidRPr="00763B44">
              <w:rPr>
                <w:rFonts w:cstheme="minorHAnsi"/>
                <w:lang w:val="en-US"/>
              </w:rPr>
              <w:t>Currently using psychotropic medicine</w:t>
            </w:r>
          </w:p>
        </w:tc>
        <w:tc>
          <w:tcPr>
            <w:tcW w:w="525" w:type="pct"/>
            <w:shd w:val="clear" w:color="auto" w:fill="auto"/>
            <w:noWrap/>
            <w:vAlign w:val="center"/>
          </w:tcPr>
          <w:p w14:paraId="70422F09"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52 (15.6%)</w:t>
            </w:r>
          </w:p>
        </w:tc>
        <w:tc>
          <w:tcPr>
            <w:tcW w:w="473" w:type="pct"/>
            <w:shd w:val="clear" w:color="auto" w:fill="auto"/>
            <w:noWrap/>
            <w:vAlign w:val="center"/>
          </w:tcPr>
          <w:p w14:paraId="361358B1"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18 (23.1%)</w:t>
            </w:r>
          </w:p>
        </w:tc>
        <w:tc>
          <w:tcPr>
            <w:tcW w:w="473" w:type="pct"/>
            <w:shd w:val="clear" w:color="auto" w:fill="auto"/>
            <w:noWrap/>
            <w:vAlign w:val="center"/>
          </w:tcPr>
          <w:p w14:paraId="1F3E51D9"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75 (39.9%)</w:t>
            </w:r>
          </w:p>
        </w:tc>
        <w:tc>
          <w:tcPr>
            <w:tcW w:w="578" w:type="pct"/>
            <w:vAlign w:val="center"/>
          </w:tcPr>
          <w:p w14:paraId="34D6B99D" w14:textId="77777777" w:rsidR="00CE79A0" w:rsidRPr="00763B44" w:rsidRDefault="00CE79A0" w:rsidP="000B101B">
            <w:pPr>
              <w:spacing w:after="0" w:line="240" w:lineRule="auto"/>
              <w:jc w:val="center"/>
              <w:rPr>
                <w:rFonts w:cstheme="minorHAnsi"/>
                <w:lang w:val="en-US"/>
              </w:rPr>
            </w:pPr>
            <w:r w:rsidRPr="00763B44">
              <w:rPr>
                <w:rFonts w:eastAsia="Times New Roman" w:cstheme="minorHAnsi"/>
                <w:lang w:val="en-US" w:eastAsia="en-GB"/>
              </w:rPr>
              <w:t>145 (24.2%)</w:t>
            </w:r>
          </w:p>
        </w:tc>
        <w:tc>
          <w:tcPr>
            <w:tcW w:w="1104" w:type="pct"/>
            <w:shd w:val="clear" w:color="auto" w:fill="auto"/>
            <w:vAlign w:val="center"/>
          </w:tcPr>
          <w:p w14:paraId="2C9B9653" w14:textId="77777777" w:rsidR="00CE79A0" w:rsidRPr="00763B44" w:rsidRDefault="00CE79A0" w:rsidP="000B101B">
            <w:pPr>
              <w:spacing w:after="0" w:line="240" w:lineRule="auto"/>
              <w:jc w:val="center"/>
              <w:rPr>
                <w:rFonts w:eastAsia="Times New Roman" w:cstheme="minorHAnsi"/>
                <w:bCs/>
                <w:highlight w:val="yellow"/>
                <w:lang w:val="en-US" w:eastAsia="en-GB"/>
              </w:rPr>
            </w:pPr>
            <w:r w:rsidRPr="00763B44">
              <w:rPr>
                <w:rFonts w:eastAsia="Times New Roman" w:cstheme="minorHAnsi"/>
                <w:bCs/>
                <w:lang w:val="en-US" w:eastAsia="en-GB"/>
              </w:rPr>
              <w:t xml:space="preserve">χ2 (2, 599) = </w:t>
            </w:r>
            <w:r w:rsidRPr="00763B44">
              <w:rPr>
                <w:rFonts w:eastAsia="Times New Roman" w:cstheme="minorHAnsi"/>
                <w:lang w:val="en-US" w:eastAsia="en-GB"/>
              </w:rPr>
              <w:t>38.665, p</w:t>
            </w:r>
            <w:r w:rsidRPr="00763B44">
              <w:rPr>
                <w:rFonts w:cstheme="minorHAnsi"/>
                <w:lang w:val="en-US"/>
              </w:rPr>
              <w:t>&lt;0.0001</w:t>
            </w:r>
          </w:p>
        </w:tc>
        <w:tc>
          <w:tcPr>
            <w:tcW w:w="367" w:type="pct"/>
            <w:vAlign w:val="center"/>
          </w:tcPr>
          <w:p w14:paraId="67E2C345" w14:textId="77777777" w:rsidR="00CE79A0" w:rsidRPr="00763B44" w:rsidRDefault="00CE79A0" w:rsidP="000B101B">
            <w:pPr>
              <w:spacing w:after="0" w:line="240" w:lineRule="auto"/>
              <w:jc w:val="center"/>
              <w:rPr>
                <w:rFonts w:cstheme="minorHAnsi"/>
                <w:lang w:val="en-US"/>
              </w:rPr>
            </w:pPr>
            <w:r w:rsidRPr="00763B44">
              <w:rPr>
                <w:rFonts w:cstheme="minorHAnsi"/>
                <w:lang w:val="en-US"/>
              </w:rPr>
              <w:t>Sig.</w:t>
            </w:r>
          </w:p>
        </w:tc>
        <w:tc>
          <w:tcPr>
            <w:tcW w:w="524" w:type="pct"/>
            <w:vAlign w:val="center"/>
          </w:tcPr>
          <w:p w14:paraId="016A1519" w14:textId="77777777" w:rsidR="00CE79A0" w:rsidRPr="00763B44" w:rsidRDefault="00CE79A0" w:rsidP="000B101B">
            <w:pPr>
              <w:spacing w:after="0" w:line="240" w:lineRule="auto"/>
              <w:jc w:val="center"/>
              <w:rPr>
                <w:rFonts w:eastAsia="Times New Roman" w:cstheme="minorHAnsi"/>
                <w:highlight w:val="yellow"/>
                <w:lang w:val="en-US" w:eastAsia="en-GB"/>
              </w:rPr>
            </w:pPr>
            <w:r w:rsidRPr="00763B44">
              <w:rPr>
                <w:rFonts w:cstheme="minorHAnsi"/>
                <w:lang w:val="en-US"/>
              </w:rPr>
              <w:t>c&gt;a,b</w:t>
            </w:r>
          </w:p>
        </w:tc>
      </w:tr>
      <w:tr w:rsidR="00CE79A0" w:rsidRPr="00763B44" w14:paraId="1FF17679" w14:textId="77777777" w:rsidTr="000B101B">
        <w:trPr>
          <w:trHeight w:val="310"/>
        </w:trPr>
        <w:tc>
          <w:tcPr>
            <w:tcW w:w="956" w:type="pct"/>
            <w:shd w:val="clear" w:color="auto" w:fill="auto"/>
            <w:noWrap/>
            <w:vAlign w:val="center"/>
            <w:hideMark/>
          </w:tcPr>
          <w:p w14:paraId="786BD6C9" w14:textId="77777777" w:rsidR="00CE79A0" w:rsidRPr="00763B44" w:rsidRDefault="00CE79A0" w:rsidP="000B101B">
            <w:pPr>
              <w:spacing w:after="0" w:line="240" w:lineRule="auto"/>
              <w:rPr>
                <w:rFonts w:eastAsia="Times New Roman" w:cstheme="minorHAnsi"/>
                <w:lang w:val="en-US" w:eastAsia="en-GB"/>
              </w:rPr>
            </w:pPr>
            <w:r w:rsidRPr="00763B44">
              <w:rPr>
                <w:rFonts w:eastAsia="Times New Roman" w:cstheme="minorHAnsi"/>
                <w:lang w:val="en-US" w:eastAsia="en-GB"/>
              </w:rPr>
              <w:t>Number of standard drinks per week (Median (IQR))</w:t>
            </w:r>
          </w:p>
        </w:tc>
        <w:tc>
          <w:tcPr>
            <w:tcW w:w="525" w:type="pct"/>
            <w:shd w:val="clear" w:color="auto" w:fill="auto"/>
            <w:noWrap/>
            <w:vAlign w:val="center"/>
            <w:hideMark/>
          </w:tcPr>
          <w:p w14:paraId="5C1BD248"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2.3 (0.5-8.0)</w:t>
            </w:r>
          </w:p>
        </w:tc>
        <w:tc>
          <w:tcPr>
            <w:tcW w:w="473" w:type="pct"/>
            <w:shd w:val="clear" w:color="auto" w:fill="auto"/>
            <w:noWrap/>
            <w:vAlign w:val="center"/>
            <w:hideMark/>
          </w:tcPr>
          <w:p w14:paraId="325EF856"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2.3 (0.5-8.0)</w:t>
            </w:r>
          </w:p>
        </w:tc>
        <w:tc>
          <w:tcPr>
            <w:tcW w:w="473" w:type="pct"/>
            <w:shd w:val="clear" w:color="auto" w:fill="auto"/>
            <w:noWrap/>
            <w:vAlign w:val="center"/>
            <w:hideMark/>
          </w:tcPr>
          <w:p w14:paraId="0069CF77"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2.4 (0.3-9.0)</w:t>
            </w:r>
          </w:p>
        </w:tc>
        <w:tc>
          <w:tcPr>
            <w:tcW w:w="578" w:type="pct"/>
            <w:vAlign w:val="center"/>
          </w:tcPr>
          <w:p w14:paraId="7648C1FF" w14:textId="77777777" w:rsidR="00CE79A0" w:rsidRPr="00763B44" w:rsidRDefault="00CE79A0" w:rsidP="000B101B">
            <w:pPr>
              <w:spacing w:after="0" w:line="240" w:lineRule="auto"/>
              <w:jc w:val="center"/>
              <w:rPr>
                <w:rFonts w:cstheme="minorHAnsi"/>
                <w:lang w:val="en-US"/>
              </w:rPr>
            </w:pPr>
            <w:r w:rsidRPr="00763B44">
              <w:rPr>
                <w:rFonts w:cstheme="minorHAnsi"/>
                <w:lang w:val="en-US"/>
              </w:rPr>
              <w:t>2.3 (0.5-8.0)</w:t>
            </w:r>
          </w:p>
        </w:tc>
        <w:tc>
          <w:tcPr>
            <w:tcW w:w="1104" w:type="pct"/>
            <w:shd w:val="clear" w:color="auto" w:fill="auto"/>
            <w:vAlign w:val="center"/>
          </w:tcPr>
          <w:p w14:paraId="60475590"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bCs/>
                <w:lang w:val="en-US" w:eastAsia="en-GB"/>
              </w:rPr>
              <w:t>χ2</w:t>
            </w:r>
            <w:r w:rsidRPr="00763B44">
              <w:rPr>
                <w:rFonts w:eastAsia="Times New Roman" w:cstheme="minorHAnsi"/>
                <w:vertAlign w:val="superscript"/>
                <w:lang w:val="en-US" w:eastAsia="en-GB"/>
              </w:rPr>
              <w:t>a</w:t>
            </w:r>
            <w:r w:rsidRPr="00763B44">
              <w:rPr>
                <w:rFonts w:eastAsia="Times New Roman" w:cstheme="minorHAnsi"/>
                <w:bCs/>
                <w:lang w:val="en-US" w:eastAsia="en-GB"/>
              </w:rPr>
              <w:t xml:space="preserve"> (2, 599) = </w:t>
            </w:r>
            <w:r w:rsidRPr="00763B44">
              <w:rPr>
                <w:rFonts w:cstheme="minorHAnsi"/>
                <w:lang w:val="en-US"/>
              </w:rPr>
              <w:t>0.394,</w:t>
            </w:r>
            <w:r w:rsidRPr="00763B44">
              <w:rPr>
                <w:rFonts w:eastAsia="Times New Roman" w:cstheme="minorHAnsi"/>
                <w:lang w:val="en-US" w:eastAsia="en-GB"/>
              </w:rPr>
              <w:t xml:space="preserve"> p=0.8212</w:t>
            </w:r>
          </w:p>
        </w:tc>
        <w:tc>
          <w:tcPr>
            <w:tcW w:w="367" w:type="pct"/>
            <w:vAlign w:val="center"/>
          </w:tcPr>
          <w:p w14:paraId="2BAA5C31"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Not sig.</w:t>
            </w:r>
          </w:p>
        </w:tc>
        <w:tc>
          <w:tcPr>
            <w:tcW w:w="524" w:type="pct"/>
            <w:vAlign w:val="center"/>
          </w:tcPr>
          <w:p w14:paraId="419F8656"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w:t>
            </w:r>
          </w:p>
        </w:tc>
      </w:tr>
      <w:tr w:rsidR="00CE79A0" w:rsidRPr="00763B44" w14:paraId="7FBC7E43" w14:textId="77777777" w:rsidTr="000B101B">
        <w:trPr>
          <w:trHeight w:val="310"/>
        </w:trPr>
        <w:tc>
          <w:tcPr>
            <w:tcW w:w="956" w:type="pct"/>
            <w:shd w:val="clear" w:color="auto" w:fill="auto"/>
            <w:noWrap/>
            <w:vAlign w:val="center"/>
          </w:tcPr>
          <w:p w14:paraId="0D5AC2A6" w14:textId="77777777" w:rsidR="00CE79A0" w:rsidRPr="00763B44" w:rsidRDefault="00CE79A0" w:rsidP="000B101B">
            <w:pPr>
              <w:spacing w:after="0" w:line="240" w:lineRule="auto"/>
              <w:rPr>
                <w:rFonts w:eastAsia="Times New Roman" w:cstheme="minorHAnsi"/>
                <w:lang w:val="en-US" w:eastAsia="en-GB"/>
              </w:rPr>
            </w:pPr>
            <w:r w:rsidRPr="00763B44">
              <w:rPr>
                <w:rFonts w:eastAsia="Times New Roman" w:cstheme="minorHAnsi"/>
                <w:lang w:val="en-US" w:eastAsia="en-GB"/>
              </w:rPr>
              <w:t>Actual use of cannabis /other drugs</w:t>
            </w:r>
          </w:p>
        </w:tc>
        <w:tc>
          <w:tcPr>
            <w:tcW w:w="525" w:type="pct"/>
            <w:shd w:val="clear" w:color="auto" w:fill="auto"/>
            <w:noWrap/>
            <w:vAlign w:val="center"/>
          </w:tcPr>
          <w:p w14:paraId="6DEA00BE"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37 (11.1%)</w:t>
            </w:r>
          </w:p>
        </w:tc>
        <w:tc>
          <w:tcPr>
            <w:tcW w:w="473" w:type="pct"/>
            <w:shd w:val="clear" w:color="auto" w:fill="auto"/>
            <w:noWrap/>
            <w:vAlign w:val="center"/>
          </w:tcPr>
          <w:p w14:paraId="452B59D5"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9 (11.5%)</w:t>
            </w:r>
          </w:p>
        </w:tc>
        <w:tc>
          <w:tcPr>
            <w:tcW w:w="473" w:type="pct"/>
            <w:shd w:val="clear" w:color="auto" w:fill="auto"/>
            <w:noWrap/>
            <w:vAlign w:val="center"/>
          </w:tcPr>
          <w:p w14:paraId="2B220DEE"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20 (10.6%)</w:t>
            </w:r>
          </w:p>
        </w:tc>
        <w:tc>
          <w:tcPr>
            <w:tcW w:w="578" w:type="pct"/>
            <w:vAlign w:val="center"/>
          </w:tcPr>
          <w:p w14:paraId="547D3D39" w14:textId="77777777" w:rsidR="00CE79A0" w:rsidRPr="00763B44" w:rsidRDefault="00CE79A0" w:rsidP="000B101B">
            <w:pPr>
              <w:spacing w:after="0" w:line="240" w:lineRule="auto"/>
              <w:jc w:val="center"/>
              <w:rPr>
                <w:rFonts w:cstheme="minorHAnsi"/>
                <w:lang w:val="en-US"/>
              </w:rPr>
            </w:pPr>
            <w:r w:rsidRPr="00763B44">
              <w:rPr>
                <w:rFonts w:cstheme="minorHAnsi"/>
                <w:lang w:val="en-US"/>
              </w:rPr>
              <w:t>66 (11.0%)</w:t>
            </w:r>
          </w:p>
        </w:tc>
        <w:tc>
          <w:tcPr>
            <w:tcW w:w="1104" w:type="pct"/>
            <w:shd w:val="clear" w:color="auto" w:fill="auto"/>
            <w:vAlign w:val="center"/>
          </w:tcPr>
          <w:p w14:paraId="63A2A4C6" w14:textId="77777777" w:rsidR="00CE79A0" w:rsidRPr="00763B44" w:rsidRDefault="00CE79A0" w:rsidP="000B101B">
            <w:pPr>
              <w:spacing w:after="0" w:line="240" w:lineRule="auto"/>
              <w:jc w:val="center"/>
              <w:rPr>
                <w:rFonts w:eastAsia="Times New Roman" w:cstheme="minorHAnsi"/>
                <w:bCs/>
                <w:lang w:val="en-US" w:eastAsia="en-GB"/>
              </w:rPr>
            </w:pPr>
            <w:r w:rsidRPr="00763B44">
              <w:rPr>
                <w:rFonts w:eastAsia="Times New Roman" w:cstheme="minorHAnsi"/>
                <w:bCs/>
                <w:lang w:val="en-US" w:eastAsia="en-GB"/>
              </w:rPr>
              <w:t xml:space="preserve">χ2 (2, 599) = </w:t>
            </w:r>
            <w:r w:rsidRPr="00763B44">
              <w:rPr>
                <w:rFonts w:eastAsia="Times New Roman" w:cstheme="minorHAnsi"/>
                <w:lang w:val="en-US" w:eastAsia="en-GB"/>
              </w:rPr>
              <w:t>0.0521, p=0.9743</w:t>
            </w:r>
          </w:p>
        </w:tc>
        <w:tc>
          <w:tcPr>
            <w:tcW w:w="367" w:type="pct"/>
            <w:vAlign w:val="center"/>
          </w:tcPr>
          <w:p w14:paraId="71981D70"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Not sig.</w:t>
            </w:r>
          </w:p>
        </w:tc>
        <w:tc>
          <w:tcPr>
            <w:tcW w:w="524" w:type="pct"/>
            <w:vAlign w:val="center"/>
          </w:tcPr>
          <w:p w14:paraId="73AE45E6"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w:t>
            </w:r>
          </w:p>
        </w:tc>
      </w:tr>
      <w:tr w:rsidR="00CE79A0" w:rsidRPr="00763B44" w14:paraId="6486AB97" w14:textId="77777777" w:rsidTr="000B101B">
        <w:trPr>
          <w:trHeight w:val="310"/>
        </w:trPr>
        <w:tc>
          <w:tcPr>
            <w:tcW w:w="956" w:type="pct"/>
            <w:shd w:val="clear" w:color="auto" w:fill="auto"/>
            <w:noWrap/>
            <w:vAlign w:val="center"/>
            <w:hideMark/>
          </w:tcPr>
          <w:p w14:paraId="7D44DE53" w14:textId="77777777" w:rsidR="00CE79A0" w:rsidRPr="00763B44" w:rsidRDefault="00CE79A0" w:rsidP="000B101B">
            <w:pPr>
              <w:spacing w:after="0" w:line="240" w:lineRule="auto"/>
              <w:rPr>
                <w:rFonts w:eastAsia="Times New Roman" w:cstheme="minorHAnsi"/>
                <w:lang w:val="en-US" w:eastAsia="en-GB"/>
              </w:rPr>
            </w:pPr>
            <w:r w:rsidRPr="00763B44">
              <w:rPr>
                <w:rFonts w:eastAsia="Times New Roman" w:cstheme="minorHAnsi"/>
                <w:lang w:val="en-US" w:eastAsia="en-GB"/>
              </w:rPr>
              <w:t>Self-rated general health (fair/poor)</w:t>
            </w:r>
          </w:p>
        </w:tc>
        <w:tc>
          <w:tcPr>
            <w:tcW w:w="525" w:type="pct"/>
            <w:shd w:val="clear" w:color="auto" w:fill="auto"/>
            <w:noWrap/>
            <w:vAlign w:val="center"/>
            <w:hideMark/>
          </w:tcPr>
          <w:p w14:paraId="56121E72"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113 (34.0%)*</w:t>
            </w:r>
          </w:p>
        </w:tc>
        <w:tc>
          <w:tcPr>
            <w:tcW w:w="473" w:type="pct"/>
            <w:shd w:val="clear" w:color="auto" w:fill="auto"/>
            <w:noWrap/>
            <w:vAlign w:val="center"/>
            <w:hideMark/>
          </w:tcPr>
          <w:p w14:paraId="1026E4D7"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32 (41.0%)</w:t>
            </w:r>
          </w:p>
        </w:tc>
        <w:tc>
          <w:tcPr>
            <w:tcW w:w="473" w:type="pct"/>
            <w:shd w:val="clear" w:color="auto" w:fill="auto"/>
            <w:noWrap/>
            <w:vAlign w:val="center"/>
            <w:hideMark/>
          </w:tcPr>
          <w:p w14:paraId="3F25D563"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127 (67.6%)</w:t>
            </w:r>
          </w:p>
        </w:tc>
        <w:tc>
          <w:tcPr>
            <w:tcW w:w="578" w:type="pct"/>
            <w:vAlign w:val="center"/>
          </w:tcPr>
          <w:p w14:paraId="2978032B" w14:textId="77777777" w:rsidR="00CE79A0" w:rsidRPr="00763B44" w:rsidRDefault="00CE79A0" w:rsidP="000B101B">
            <w:pPr>
              <w:spacing w:after="0" w:line="240" w:lineRule="auto"/>
              <w:jc w:val="center"/>
              <w:rPr>
                <w:rFonts w:cstheme="minorHAnsi"/>
                <w:lang w:val="en-US"/>
              </w:rPr>
            </w:pPr>
            <w:r w:rsidRPr="00763B44">
              <w:rPr>
                <w:rFonts w:cstheme="minorHAnsi"/>
                <w:lang w:val="en-US"/>
              </w:rPr>
              <w:t>272 (45.5%)*</w:t>
            </w:r>
          </w:p>
        </w:tc>
        <w:tc>
          <w:tcPr>
            <w:tcW w:w="1104" w:type="pct"/>
            <w:shd w:val="clear" w:color="auto" w:fill="auto"/>
            <w:vAlign w:val="center"/>
          </w:tcPr>
          <w:p w14:paraId="7C1E580B"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bCs/>
                <w:lang w:val="en-US" w:eastAsia="en-GB"/>
              </w:rPr>
              <w:t xml:space="preserve">χ2 (2, 598) = </w:t>
            </w:r>
            <w:r w:rsidRPr="00763B44">
              <w:rPr>
                <w:rFonts w:cstheme="minorHAnsi"/>
                <w:lang w:val="en-US"/>
              </w:rPr>
              <w:t>55.099, p</w:t>
            </w:r>
            <w:r w:rsidRPr="00763B44">
              <w:rPr>
                <w:rFonts w:eastAsia="Times New Roman" w:cstheme="minorHAnsi"/>
                <w:lang w:val="en-US" w:eastAsia="en-GB"/>
              </w:rPr>
              <w:t>&lt;0.0001</w:t>
            </w:r>
          </w:p>
        </w:tc>
        <w:tc>
          <w:tcPr>
            <w:tcW w:w="367" w:type="pct"/>
            <w:vAlign w:val="center"/>
          </w:tcPr>
          <w:p w14:paraId="33248C84" w14:textId="77777777" w:rsidR="00CE79A0" w:rsidRPr="00763B44" w:rsidRDefault="00CE79A0" w:rsidP="000B101B">
            <w:pPr>
              <w:spacing w:after="0" w:line="240" w:lineRule="auto"/>
              <w:jc w:val="center"/>
              <w:rPr>
                <w:rFonts w:cstheme="minorHAnsi"/>
                <w:lang w:val="en-US"/>
              </w:rPr>
            </w:pPr>
            <w:r w:rsidRPr="00763B44">
              <w:rPr>
                <w:rFonts w:cstheme="minorHAnsi"/>
                <w:lang w:val="en-US"/>
              </w:rPr>
              <w:t>Sig.</w:t>
            </w:r>
          </w:p>
        </w:tc>
        <w:tc>
          <w:tcPr>
            <w:tcW w:w="524" w:type="pct"/>
            <w:vAlign w:val="center"/>
          </w:tcPr>
          <w:p w14:paraId="1C2F7ACC"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c&gt;a,b</w:t>
            </w:r>
          </w:p>
        </w:tc>
      </w:tr>
      <w:tr w:rsidR="00CE79A0" w:rsidRPr="00763B44" w14:paraId="2E0A8BBA" w14:textId="77777777" w:rsidTr="000B101B">
        <w:trPr>
          <w:trHeight w:val="310"/>
        </w:trPr>
        <w:tc>
          <w:tcPr>
            <w:tcW w:w="956" w:type="pct"/>
            <w:shd w:val="clear" w:color="auto" w:fill="auto"/>
            <w:noWrap/>
            <w:vAlign w:val="center"/>
            <w:hideMark/>
          </w:tcPr>
          <w:p w14:paraId="1D71A4A3" w14:textId="77777777" w:rsidR="00CE79A0" w:rsidRPr="00763B44" w:rsidRDefault="00CE79A0" w:rsidP="000B101B">
            <w:pPr>
              <w:spacing w:after="0" w:line="240" w:lineRule="auto"/>
              <w:rPr>
                <w:rFonts w:eastAsia="Times New Roman" w:cstheme="minorHAnsi"/>
                <w:lang w:val="en-US" w:eastAsia="en-GB"/>
              </w:rPr>
            </w:pPr>
            <w:r w:rsidRPr="00763B44">
              <w:rPr>
                <w:rFonts w:eastAsia="Times New Roman" w:cstheme="minorHAnsi"/>
                <w:lang w:val="en-US" w:eastAsia="en-GB"/>
              </w:rPr>
              <w:t>WHO-5 score (Mean (SD))</w:t>
            </w:r>
          </w:p>
        </w:tc>
        <w:tc>
          <w:tcPr>
            <w:tcW w:w="525" w:type="pct"/>
            <w:shd w:val="clear" w:color="auto" w:fill="auto"/>
            <w:noWrap/>
            <w:vAlign w:val="center"/>
            <w:hideMark/>
          </w:tcPr>
          <w:p w14:paraId="2BC5C075"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36.4 (20.6)</w:t>
            </w:r>
          </w:p>
        </w:tc>
        <w:tc>
          <w:tcPr>
            <w:tcW w:w="473" w:type="pct"/>
            <w:shd w:val="clear" w:color="auto" w:fill="auto"/>
            <w:noWrap/>
            <w:vAlign w:val="center"/>
            <w:hideMark/>
          </w:tcPr>
          <w:p w14:paraId="5C7507AB"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30.6 (13.9)*</w:t>
            </w:r>
          </w:p>
        </w:tc>
        <w:tc>
          <w:tcPr>
            <w:tcW w:w="473" w:type="pct"/>
            <w:shd w:val="clear" w:color="auto" w:fill="auto"/>
            <w:noWrap/>
            <w:vAlign w:val="center"/>
            <w:hideMark/>
          </w:tcPr>
          <w:p w14:paraId="10B409AF"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19.2 (14.5)</w:t>
            </w:r>
          </w:p>
        </w:tc>
        <w:tc>
          <w:tcPr>
            <w:tcW w:w="578" w:type="pct"/>
            <w:vAlign w:val="center"/>
          </w:tcPr>
          <w:p w14:paraId="65E43AE4" w14:textId="77777777" w:rsidR="00CE79A0" w:rsidRPr="00763B44" w:rsidRDefault="00CE79A0" w:rsidP="000B101B">
            <w:pPr>
              <w:spacing w:after="0" w:line="240" w:lineRule="auto"/>
              <w:jc w:val="center"/>
              <w:rPr>
                <w:rFonts w:cstheme="minorHAnsi"/>
                <w:lang w:val="en-US"/>
              </w:rPr>
            </w:pPr>
            <w:r w:rsidRPr="00763B44">
              <w:rPr>
                <w:rFonts w:cstheme="minorHAnsi"/>
                <w:lang w:val="en-US"/>
              </w:rPr>
              <w:t>30.2 (19.7)*</w:t>
            </w:r>
          </w:p>
        </w:tc>
        <w:tc>
          <w:tcPr>
            <w:tcW w:w="1104" w:type="pct"/>
            <w:shd w:val="clear" w:color="auto" w:fill="auto"/>
            <w:vAlign w:val="center"/>
          </w:tcPr>
          <w:p w14:paraId="7FB41F21"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bCs/>
                <w:lang w:val="en-US" w:eastAsia="en-GB"/>
              </w:rPr>
              <w:t>F</w:t>
            </w:r>
            <w:r w:rsidRPr="00763B44">
              <w:rPr>
                <w:rFonts w:eastAsia="Times New Roman" w:cstheme="minorHAnsi"/>
                <w:vertAlign w:val="superscript"/>
                <w:lang w:val="en-US" w:eastAsia="en-GB"/>
              </w:rPr>
              <w:t>a</w:t>
            </w:r>
            <w:r w:rsidRPr="00763B44">
              <w:rPr>
                <w:rFonts w:eastAsia="Times New Roman" w:cstheme="minorHAnsi"/>
                <w:bCs/>
                <w:lang w:val="en-US" w:eastAsia="en-GB"/>
              </w:rPr>
              <w:t xml:space="preserve"> (2, 598) = </w:t>
            </w:r>
            <w:r w:rsidRPr="00763B44">
              <w:rPr>
                <w:rFonts w:cstheme="minorHAnsi"/>
                <w:lang w:val="en-US"/>
              </w:rPr>
              <w:t>54.50, p</w:t>
            </w:r>
            <w:r w:rsidRPr="00763B44">
              <w:rPr>
                <w:rFonts w:eastAsia="Times New Roman" w:cstheme="minorHAnsi"/>
                <w:lang w:val="en-US" w:eastAsia="en-GB"/>
              </w:rPr>
              <w:t>&lt;0.0001</w:t>
            </w:r>
          </w:p>
        </w:tc>
        <w:tc>
          <w:tcPr>
            <w:tcW w:w="367" w:type="pct"/>
            <w:vAlign w:val="center"/>
          </w:tcPr>
          <w:p w14:paraId="3C1B412E" w14:textId="77777777" w:rsidR="00CE79A0" w:rsidRPr="00763B44" w:rsidRDefault="00CE79A0" w:rsidP="000B101B">
            <w:pPr>
              <w:spacing w:after="0" w:line="240" w:lineRule="auto"/>
              <w:jc w:val="center"/>
              <w:rPr>
                <w:rFonts w:cstheme="minorHAnsi"/>
                <w:lang w:val="en-US"/>
              </w:rPr>
            </w:pPr>
            <w:r w:rsidRPr="00763B44">
              <w:rPr>
                <w:rFonts w:cstheme="minorHAnsi"/>
                <w:lang w:val="en-US"/>
              </w:rPr>
              <w:t>Sig.</w:t>
            </w:r>
          </w:p>
        </w:tc>
        <w:tc>
          <w:tcPr>
            <w:tcW w:w="524" w:type="pct"/>
            <w:vAlign w:val="center"/>
          </w:tcPr>
          <w:p w14:paraId="7CA055DA"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c&lt;a,b and b&lt;a</w:t>
            </w:r>
          </w:p>
        </w:tc>
      </w:tr>
      <w:tr w:rsidR="00CE79A0" w:rsidRPr="00763B44" w14:paraId="65830DCC" w14:textId="77777777" w:rsidTr="000B101B">
        <w:trPr>
          <w:trHeight w:val="130"/>
        </w:trPr>
        <w:tc>
          <w:tcPr>
            <w:tcW w:w="956" w:type="pct"/>
            <w:shd w:val="clear" w:color="auto" w:fill="auto"/>
            <w:vAlign w:val="center"/>
            <w:hideMark/>
          </w:tcPr>
          <w:p w14:paraId="659F180A" w14:textId="77777777" w:rsidR="00CE79A0" w:rsidRPr="00763B44" w:rsidRDefault="00CE79A0" w:rsidP="000B101B">
            <w:pPr>
              <w:spacing w:after="0" w:line="240" w:lineRule="auto"/>
              <w:rPr>
                <w:rFonts w:eastAsia="Times New Roman" w:cstheme="minorHAnsi"/>
                <w:lang w:val="en-US" w:eastAsia="en-GB"/>
              </w:rPr>
            </w:pPr>
            <w:r w:rsidRPr="00763B44">
              <w:rPr>
                <w:rFonts w:eastAsia="Times New Roman" w:cstheme="minorHAnsi"/>
                <w:lang w:val="en-US" w:eastAsia="en-GB"/>
              </w:rPr>
              <w:t>Suicide attempt ever or within last year</w:t>
            </w:r>
          </w:p>
        </w:tc>
        <w:tc>
          <w:tcPr>
            <w:tcW w:w="525" w:type="pct"/>
            <w:shd w:val="clear" w:color="auto" w:fill="auto"/>
            <w:noWrap/>
            <w:vAlign w:val="center"/>
            <w:hideMark/>
          </w:tcPr>
          <w:p w14:paraId="236A1DB0"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36 (10.8%)</w:t>
            </w:r>
          </w:p>
        </w:tc>
        <w:tc>
          <w:tcPr>
            <w:tcW w:w="473" w:type="pct"/>
            <w:shd w:val="clear" w:color="auto" w:fill="auto"/>
            <w:noWrap/>
            <w:vAlign w:val="center"/>
            <w:hideMark/>
          </w:tcPr>
          <w:p w14:paraId="3901AB8D"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7 (9.0%)</w:t>
            </w:r>
          </w:p>
        </w:tc>
        <w:tc>
          <w:tcPr>
            <w:tcW w:w="473" w:type="pct"/>
            <w:shd w:val="clear" w:color="auto" w:fill="auto"/>
            <w:noWrap/>
            <w:vAlign w:val="center"/>
            <w:hideMark/>
          </w:tcPr>
          <w:p w14:paraId="101F060F"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lang w:val="en-US" w:eastAsia="en-GB"/>
              </w:rPr>
              <w:t>57 (30.2)</w:t>
            </w:r>
          </w:p>
        </w:tc>
        <w:tc>
          <w:tcPr>
            <w:tcW w:w="578" w:type="pct"/>
            <w:vAlign w:val="center"/>
          </w:tcPr>
          <w:p w14:paraId="11382C04" w14:textId="77777777" w:rsidR="00CE79A0" w:rsidRPr="00763B44" w:rsidRDefault="00CE79A0" w:rsidP="000B101B">
            <w:pPr>
              <w:spacing w:after="0" w:line="240" w:lineRule="auto"/>
              <w:jc w:val="center"/>
              <w:rPr>
                <w:rFonts w:cstheme="minorHAnsi"/>
                <w:lang w:val="en-US"/>
              </w:rPr>
            </w:pPr>
            <w:r w:rsidRPr="00763B44">
              <w:rPr>
                <w:rFonts w:cstheme="minorHAnsi"/>
                <w:lang w:val="en-US"/>
              </w:rPr>
              <w:t>100 (16.7)</w:t>
            </w:r>
          </w:p>
        </w:tc>
        <w:tc>
          <w:tcPr>
            <w:tcW w:w="1104" w:type="pct"/>
            <w:shd w:val="clear" w:color="auto" w:fill="auto"/>
            <w:vAlign w:val="center"/>
          </w:tcPr>
          <w:p w14:paraId="32FD62A1" w14:textId="77777777" w:rsidR="00CE79A0" w:rsidRPr="00763B44" w:rsidRDefault="00CE79A0" w:rsidP="000B101B">
            <w:pPr>
              <w:spacing w:after="0" w:line="240" w:lineRule="auto"/>
              <w:jc w:val="center"/>
              <w:rPr>
                <w:rFonts w:eastAsia="Times New Roman" w:cstheme="minorHAnsi"/>
                <w:lang w:val="en-US" w:eastAsia="en-GB"/>
              </w:rPr>
            </w:pPr>
            <w:r w:rsidRPr="00763B44">
              <w:rPr>
                <w:rFonts w:eastAsia="Times New Roman" w:cstheme="minorHAnsi"/>
                <w:bCs/>
                <w:lang w:val="en-US" w:eastAsia="en-GB"/>
              </w:rPr>
              <w:t xml:space="preserve">χ2 (2, 599) = </w:t>
            </w:r>
            <w:r w:rsidRPr="00763B44">
              <w:rPr>
                <w:rFonts w:cstheme="minorHAnsi"/>
                <w:lang w:val="en-US"/>
              </w:rPr>
              <w:t>36.725, p p</w:t>
            </w:r>
            <w:r w:rsidRPr="00763B44">
              <w:rPr>
                <w:rFonts w:eastAsia="Times New Roman" w:cstheme="minorHAnsi"/>
                <w:lang w:val="en-US" w:eastAsia="en-GB"/>
              </w:rPr>
              <w:t>&lt;0.0001</w:t>
            </w:r>
          </w:p>
        </w:tc>
        <w:tc>
          <w:tcPr>
            <w:tcW w:w="367" w:type="pct"/>
            <w:vAlign w:val="center"/>
          </w:tcPr>
          <w:p w14:paraId="3DBD97C6" w14:textId="77777777" w:rsidR="00CE79A0" w:rsidRPr="00763B44" w:rsidRDefault="00CE79A0" w:rsidP="000B101B">
            <w:pPr>
              <w:spacing w:after="0" w:line="240" w:lineRule="auto"/>
              <w:jc w:val="center"/>
              <w:rPr>
                <w:rFonts w:cstheme="minorHAnsi"/>
                <w:lang w:val="en-US"/>
              </w:rPr>
            </w:pPr>
            <w:r w:rsidRPr="00763B44">
              <w:rPr>
                <w:rFonts w:cstheme="minorHAnsi"/>
                <w:lang w:val="en-US"/>
              </w:rPr>
              <w:t>Sig.</w:t>
            </w:r>
          </w:p>
        </w:tc>
        <w:tc>
          <w:tcPr>
            <w:tcW w:w="524" w:type="pct"/>
            <w:vAlign w:val="center"/>
          </w:tcPr>
          <w:p w14:paraId="2D74663D" w14:textId="77777777" w:rsidR="00CE79A0" w:rsidRPr="00763B44" w:rsidRDefault="00CE79A0" w:rsidP="000B101B">
            <w:pPr>
              <w:spacing w:after="0" w:line="240" w:lineRule="auto"/>
              <w:jc w:val="center"/>
              <w:rPr>
                <w:rFonts w:eastAsia="Times New Roman" w:cstheme="minorHAnsi"/>
                <w:lang w:val="en-US" w:eastAsia="en-GB"/>
              </w:rPr>
            </w:pPr>
            <w:r w:rsidRPr="00763B44">
              <w:rPr>
                <w:rFonts w:cstheme="minorHAnsi"/>
                <w:lang w:val="en-US"/>
              </w:rPr>
              <w:t>c&gt;a,b</w:t>
            </w:r>
          </w:p>
        </w:tc>
      </w:tr>
    </w:tbl>
    <w:p w14:paraId="6FB52A91" w14:textId="77777777" w:rsidR="00CE79A0" w:rsidRPr="00763B44" w:rsidRDefault="00CE79A0" w:rsidP="00CE79A0">
      <w:pPr>
        <w:autoSpaceDE w:val="0"/>
        <w:autoSpaceDN w:val="0"/>
        <w:adjustRightInd w:val="0"/>
        <w:spacing w:after="0" w:line="240" w:lineRule="auto"/>
        <w:rPr>
          <w:rFonts w:cstheme="minorHAnsi"/>
          <w:shd w:val="clear" w:color="auto" w:fill="FFFFFF"/>
          <w:lang w:val="en-US"/>
        </w:rPr>
      </w:pPr>
      <w:r w:rsidRPr="00763B44">
        <w:rPr>
          <w:rFonts w:eastAsia="Times New Roman" w:cstheme="minorHAnsi"/>
          <w:lang w:val="en-US" w:eastAsia="en-GB"/>
        </w:rPr>
        <w:t xml:space="preserve">Notes: * indicate 1 person has missing value. </w:t>
      </w:r>
      <w:r w:rsidRPr="00763B44">
        <w:rPr>
          <w:rFonts w:cstheme="minorHAnsi"/>
          <w:shd w:val="clear" w:color="auto" w:fill="FFFFFF"/>
          <w:lang w:val="en-US"/>
        </w:rPr>
        <w:t xml:space="preserve">Values are N(%) unless stated otherwise, SD = Standard deviation, IQR = Interquartile range, </w:t>
      </w:r>
      <w:r w:rsidRPr="00763B44">
        <w:rPr>
          <w:rFonts w:eastAsia="Times New Roman" w:cstheme="minorHAnsi"/>
          <w:vertAlign w:val="superscript"/>
          <w:lang w:val="en-US" w:eastAsia="en-GB"/>
        </w:rPr>
        <w:t xml:space="preserve">a </w:t>
      </w:r>
      <w:r w:rsidRPr="00763B44">
        <w:rPr>
          <w:rFonts w:cstheme="minorHAnsi"/>
          <w:shd w:val="clear" w:color="auto" w:fill="FFFFFF"/>
          <w:lang w:val="en-US"/>
        </w:rPr>
        <w:t>= Anova.</w:t>
      </w:r>
      <w:r w:rsidRPr="00763B44">
        <w:rPr>
          <w:rFonts w:eastAsia="Times New Roman" w:cstheme="minorHAnsi"/>
          <w:vertAlign w:val="superscript"/>
          <w:lang w:val="en-US" w:eastAsia="en-GB"/>
        </w:rPr>
        <w:t xml:space="preserve"> </w:t>
      </w:r>
    </w:p>
    <w:p w14:paraId="595081FD" w14:textId="77777777" w:rsidR="00030076" w:rsidRPr="00763B44" w:rsidRDefault="00CE79A0" w:rsidP="00030076">
      <w:pPr>
        <w:spacing w:line="360" w:lineRule="auto"/>
        <w:rPr>
          <w:rFonts w:ascii="Times New Roman" w:hAnsi="Times New Roman" w:cs="Times New Roman"/>
          <w:b/>
          <w:sz w:val="20"/>
          <w:szCs w:val="20"/>
          <w:lang w:val="en-US"/>
        </w:rPr>
      </w:pPr>
      <w:r w:rsidRPr="00763B44">
        <w:rPr>
          <w:rFonts w:cstheme="minorHAnsi"/>
          <w:b/>
          <w:lang w:val="en-US"/>
        </w:rPr>
        <w:br w:type="column"/>
      </w:r>
      <w:r w:rsidR="00030076" w:rsidRPr="00763B44">
        <w:rPr>
          <w:rFonts w:eastAsia="Times New Roman" w:cstheme="minorHAnsi"/>
          <w:b/>
          <w:bCs/>
          <w:lang w:val="en-US" w:eastAsia="en-GB"/>
        </w:rPr>
        <w:lastRenderedPageBreak/>
        <w:t>Table 4</w:t>
      </w:r>
      <w:r w:rsidR="00030076">
        <w:rPr>
          <w:rFonts w:eastAsia="Times New Roman" w:cstheme="minorHAnsi"/>
          <w:b/>
          <w:bCs/>
          <w:lang w:val="en-US" w:eastAsia="en-GB"/>
        </w:rPr>
        <w:t>.</w:t>
      </w:r>
      <w:r w:rsidR="00030076" w:rsidRPr="00763B44">
        <w:rPr>
          <w:rFonts w:eastAsia="Times New Roman" w:cstheme="minorHAnsi"/>
          <w:b/>
          <w:bCs/>
          <w:lang w:val="en-US" w:eastAsia="en-GB"/>
        </w:rPr>
        <w:t xml:space="preserve"> Multinomial logistic regression results predicting CPTSD (CPTSD </w:t>
      </w:r>
      <w:r w:rsidR="00030076" w:rsidRPr="00763B44">
        <w:rPr>
          <w:rFonts w:eastAsia="Times New Roman" w:cstheme="minorHAnsi"/>
          <w:b/>
          <w:bCs/>
          <w:i/>
          <w:lang w:val="en-US" w:eastAsia="en-GB"/>
        </w:rPr>
        <w:t>N</w:t>
      </w:r>
      <w:r w:rsidR="00030076" w:rsidRPr="00763B44">
        <w:rPr>
          <w:rFonts w:eastAsia="Times New Roman" w:cstheme="minorHAnsi"/>
          <w:b/>
          <w:bCs/>
          <w:lang w:val="en-US" w:eastAsia="en-GB"/>
        </w:rPr>
        <w:t xml:space="preserve">=188; reference = no PTSD disorder </w:t>
      </w:r>
      <w:r w:rsidR="00030076" w:rsidRPr="00763B44">
        <w:rPr>
          <w:rFonts w:eastAsia="Times New Roman" w:cstheme="minorHAnsi"/>
          <w:b/>
          <w:bCs/>
          <w:i/>
          <w:lang w:val="en-US" w:eastAsia="en-GB"/>
        </w:rPr>
        <w:t>N</w:t>
      </w:r>
      <w:r w:rsidR="00030076" w:rsidRPr="00763B44">
        <w:rPr>
          <w:rFonts w:eastAsia="Times New Roman" w:cstheme="minorHAnsi"/>
          <w:b/>
          <w:bCs/>
          <w:lang w:val="en-US" w:eastAsia="en-GB"/>
        </w:rPr>
        <w:t xml:space="preserve">=333) and PTSD (PTSD </w:t>
      </w:r>
      <w:r w:rsidR="00030076" w:rsidRPr="00763B44">
        <w:rPr>
          <w:rFonts w:eastAsia="Times New Roman" w:cstheme="minorHAnsi"/>
          <w:b/>
          <w:bCs/>
          <w:i/>
          <w:lang w:val="en-US" w:eastAsia="en-GB"/>
        </w:rPr>
        <w:t>N</w:t>
      </w:r>
      <w:r w:rsidR="00030076" w:rsidRPr="00763B44">
        <w:rPr>
          <w:rFonts w:eastAsia="Times New Roman" w:cstheme="minorHAnsi"/>
          <w:b/>
          <w:bCs/>
          <w:lang w:val="en-US" w:eastAsia="en-GB"/>
        </w:rPr>
        <w:t xml:space="preserve">=78; reference = no PTSD </w:t>
      </w:r>
      <w:r w:rsidR="00030076" w:rsidRPr="00763B44">
        <w:rPr>
          <w:rFonts w:eastAsia="Times New Roman" w:cstheme="minorHAnsi"/>
          <w:b/>
          <w:bCs/>
          <w:i/>
          <w:lang w:val="en-US" w:eastAsia="en-GB"/>
        </w:rPr>
        <w:t>N=</w:t>
      </w:r>
      <w:r w:rsidR="00030076" w:rsidRPr="00763B44">
        <w:rPr>
          <w:rFonts w:eastAsia="Times New Roman" w:cstheme="minorHAnsi"/>
          <w:b/>
          <w:bCs/>
          <w:lang w:val="en-US" w:eastAsia="en-GB"/>
        </w:rPr>
        <w:t>333)</w:t>
      </w:r>
    </w:p>
    <w:tbl>
      <w:tblPr>
        <w:tblW w:w="5000" w:type="pct"/>
        <w:tblLayout w:type="fixed"/>
        <w:tblCellMar>
          <w:left w:w="70" w:type="dxa"/>
          <w:right w:w="70" w:type="dxa"/>
        </w:tblCellMar>
        <w:tblLook w:val="04A0" w:firstRow="1" w:lastRow="0" w:firstColumn="1" w:lastColumn="0" w:noHBand="0" w:noVBand="1"/>
      </w:tblPr>
      <w:tblGrid>
        <w:gridCol w:w="3772"/>
        <w:gridCol w:w="1209"/>
        <w:gridCol w:w="1610"/>
        <w:gridCol w:w="1509"/>
        <w:gridCol w:w="1538"/>
      </w:tblGrid>
      <w:tr w:rsidR="00030076" w:rsidRPr="005958DA" w14:paraId="0CC4A9A7" w14:textId="77777777" w:rsidTr="00991A60">
        <w:trPr>
          <w:trHeight w:val="315"/>
        </w:trPr>
        <w:tc>
          <w:tcPr>
            <w:tcW w:w="1957" w:type="pct"/>
            <w:tcBorders>
              <w:top w:val="single" w:sz="4" w:space="0" w:color="auto"/>
              <w:left w:val="nil"/>
              <w:bottom w:val="single" w:sz="8" w:space="0" w:color="auto"/>
              <w:right w:val="nil"/>
            </w:tcBorders>
            <w:shd w:val="clear" w:color="auto" w:fill="auto"/>
            <w:noWrap/>
            <w:vAlign w:val="bottom"/>
            <w:hideMark/>
          </w:tcPr>
          <w:p w14:paraId="0097ACAB" w14:textId="77777777" w:rsidR="00030076" w:rsidRPr="00763B44" w:rsidRDefault="00030076" w:rsidP="00991A60">
            <w:pPr>
              <w:spacing w:after="0" w:line="240" w:lineRule="auto"/>
              <w:rPr>
                <w:rFonts w:ascii="Calibri" w:eastAsia="Times New Roman" w:hAnsi="Calibri" w:cs="Times New Roman"/>
                <w:b/>
                <w:bCs/>
                <w:lang w:val="en-US" w:eastAsia="da-DK"/>
              </w:rPr>
            </w:pPr>
            <w:r w:rsidRPr="00763B44">
              <w:rPr>
                <w:rFonts w:ascii="Calibri" w:eastAsia="Times New Roman" w:hAnsi="Calibri" w:cs="Times New Roman"/>
                <w:b/>
                <w:bCs/>
                <w:lang w:val="en-US" w:eastAsia="da-DK"/>
              </w:rPr>
              <w:t>Predictors</w:t>
            </w:r>
          </w:p>
        </w:tc>
        <w:tc>
          <w:tcPr>
            <w:tcW w:w="627" w:type="pct"/>
            <w:tcBorders>
              <w:top w:val="single" w:sz="4" w:space="0" w:color="auto"/>
              <w:left w:val="nil"/>
              <w:bottom w:val="single" w:sz="8" w:space="0" w:color="auto"/>
              <w:right w:val="nil"/>
            </w:tcBorders>
            <w:shd w:val="clear" w:color="auto" w:fill="auto"/>
            <w:noWrap/>
            <w:vAlign w:val="center"/>
            <w:hideMark/>
          </w:tcPr>
          <w:p w14:paraId="55C7C2DC" w14:textId="77777777" w:rsidR="00030076" w:rsidRPr="00763B44" w:rsidRDefault="00030076" w:rsidP="00991A60">
            <w:pPr>
              <w:spacing w:before="120" w:after="0" w:line="240" w:lineRule="auto"/>
              <w:jc w:val="center"/>
              <w:rPr>
                <w:rFonts w:ascii="Calibri" w:eastAsia="Times New Roman" w:hAnsi="Calibri" w:cs="Times New Roman"/>
                <w:b/>
                <w:bCs/>
                <w:lang w:val="en-US" w:eastAsia="da-DK"/>
              </w:rPr>
            </w:pPr>
            <w:r w:rsidRPr="00763B44">
              <w:rPr>
                <w:rFonts w:ascii="Calibri" w:eastAsia="Times New Roman" w:hAnsi="Calibri" w:cs="Times New Roman"/>
                <w:b/>
                <w:bCs/>
                <w:lang w:val="en-US" w:eastAsia="da-DK"/>
              </w:rPr>
              <w:t>PTSD (OR(CI))</w:t>
            </w:r>
          </w:p>
          <w:p w14:paraId="6B8B483D" w14:textId="77777777" w:rsidR="00030076" w:rsidRPr="00763B44" w:rsidRDefault="00030076" w:rsidP="00991A60">
            <w:pPr>
              <w:spacing w:after="120" w:line="240" w:lineRule="auto"/>
              <w:jc w:val="center"/>
              <w:rPr>
                <w:rFonts w:ascii="Calibri" w:eastAsia="Times New Roman" w:hAnsi="Calibri" w:cs="Times New Roman"/>
                <w:b/>
                <w:bCs/>
                <w:lang w:val="en-US" w:eastAsia="da-DK"/>
              </w:rPr>
            </w:pPr>
            <w:r w:rsidRPr="00763B44">
              <w:rPr>
                <w:rFonts w:ascii="Calibri" w:eastAsia="Times New Roman" w:hAnsi="Calibri" w:cs="Times New Roman"/>
                <w:b/>
                <w:bCs/>
                <w:lang w:val="en-US" w:eastAsia="da-DK"/>
              </w:rPr>
              <w:t>Model 1</w:t>
            </w:r>
          </w:p>
        </w:tc>
        <w:tc>
          <w:tcPr>
            <w:tcW w:w="835" w:type="pct"/>
            <w:tcBorders>
              <w:top w:val="single" w:sz="4" w:space="0" w:color="auto"/>
              <w:left w:val="nil"/>
              <w:bottom w:val="single" w:sz="8" w:space="0" w:color="auto"/>
              <w:right w:val="nil"/>
            </w:tcBorders>
            <w:vAlign w:val="center"/>
          </w:tcPr>
          <w:p w14:paraId="595F3B0E" w14:textId="77777777" w:rsidR="00030076" w:rsidRPr="00763B44" w:rsidRDefault="00030076" w:rsidP="00991A60">
            <w:pPr>
              <w:spacing w:after="0" w:line="240" w:lineRule="auto"/>
              <w:jc w:val="center"/>
              <w:rPr>
                <w:rFonts w:ascii="Calibri" w:eastAsia="Times New Roman" w:hAnsi="Calibri" w:cs="Times New Roman"/>
                <w:b/>
                <w:bCs/>
                <w:lang w:val="en-US" w:eastAsia="da-DK"/>
              </w:rPr>
            </w:pPr>
            <w:r w:rsidRPr="00763B44">
              <w:rPr>
                <w:rFonts w:ascii="Calibri" w:eastAsia="Times New Roman" w:hAnsi="Calibri" w:cs="Times New Roman"/>
                <w:b/>
                <w:bCs/>
                <w:lang w:val="en-US" w:eastAsia="da-DK"/>
              </w:rPr>
              <w:t>PTSD (OR(CI))</w:t>
            </w:r>
          </w:p>
          <w:p w14:paraId="35695B55" w14:textId="77777777" w:rsidR="00030076" w:rsidRPr="00763B44" w:rsidRDefault="00030076" w:rsidP="00991A60">
            <w:pPr>
              <w:spacing w:after="0" w:line="240" w:lineRule="auto"/>
              <w:jc w:val="center"/>
              <w:rPr>
                <w:rFonts w:ascii="Calibri" w:eastAsia="Times New Roman" w:hAnsi="Calibri" w:cs="Times New Roman"/>
                <w:b/>
                <w:bCs/>
                <w:lang w:val="en-US" w:eastAsia="da-DK"/>
              </w:rPr>
            </w:pPr>
            <w:r w:rsidRPr="00763B44">
              <w:rPr>
                <w:rFonts w:ascii="Calibri" w:eastAsia="Times New Roman" w:hAnsi="Calibri" w:cs="Times New Roman"/>
                <w:b/>
                <w:bCs/>
                <w:lang w:val="en-US" w:eastAsia="da-DK"/>
              </w:rPr>
              <w:t>Model 2</w:t>
            </w:r>
          </w:p>
        </w:tc>
        <w:tc>
          <w:tcPr>
            <w:tcW w:w="783" w:type="pct"/>
            <w:tcBorders>
              <w:top w:val="single" w:sz="4" w:space="0" w:color="auto"/>
              <w:left w:val="nil"/>
              <w:bottom w:val="single" w:sz="8" w:space="0" w:color="auto"/>
              <w:right w:val="nil"/>
            </w:tcBorders>
            <w:shd w:val="clear" w:color="auto" w:fill="auto"/>
            <w:noWrap/>
            <w:vAlign w:val="center"/>
            <w:hideMark/>
          </w:tcPr>
          <w:p w14:paraId="25E19E27" w14:textId="77777777" w:rsidR="00030076" w:rsidRPr="00763B44" w:rsidRDefault="00030076" w:rsidP="00991A60">
            <w:pPr>
              <w:spacing w:after="0" w:line="240" w:lineRule="auto"/>
              <w:jc w:val="center"/>
              <w:rPr>
                <w:rFonts w:ascii="Calibri" w:eastAsia="Times New Roman" w:hAnsi="Calibri" w:cs="Times New Roman"/>
                <w:b/>
                <w:bCs/>
                <w:lang w:val="en-US" w:eastAsia="da-DK"/>
              </w:rPr>
            </w:pPr>
            <w:r w:rsidRPr="00763B44">
              <w:rPr>
                <w:rFonts w:ascii="Calibri" w:eastAsia="Times New Roman" w:hAnsi="Calibri" w:cs="Times New Roman"/>
                <w:b/>
                <w:bCs/>
                <w:lang w:val="en-US" w:eastAsia="da-DK"/>
              </w:rPr>
              <w:t>CPTSD (OR(CI))</w:t>
            </w:r>
          </w:p>
          <w:p w14:paraId="5B7D0293" w14:textId="77777777" w:rsidR="00030076" w:rsidRPr="00763B44" w:rsidRDefault="00030076" w:rsidP="00991A60">
            <w:pPr>
              <w:spacing w:after="0" w:line="240" w:lineRule="auto"/>
              <w:jc w:val="center"/>
              <w:rPr>
                <w:rFonts w:ascii="Calibri" w:eastAsia="Times New Roman" w:hAnsi="Calibri" w:cs="Times New Roman"/>
                <w:b/>
                <w:bCs/>
                <w:lang w:val="en-US" w:eastAsia="da-DK"/>
              </w:rPr>
            </w:pPr>
            <w:r w:rsidRPr="00763B44">
              <w:rPr>
                <w:rFonts w:ascii="Calibri" w:eastAsia="Times New Roman" w:hAnsi="Calibri" w:cs="Times New Roman"/>
                <w:b/>
                <w:bCs/>
                <w:lang w:val="en-US" w:eastAsia="da-DK"/>
              </w:rPr>
              <w:t>Model 1</w:t>
            </w:r>
          </w:p>
        </w:tc>
        <w:tc>
          <w:tcPr>
            <w:tcW w:w="798" w:type="pct"/>
            <w:tcBorders>
              <w:top w:val="single" w:sz="4" w:space="0" w:color="auto"/>
              <w:left w:val="nil"/>
              <w:bottom w:val="single" w:sz="8" w:space="0" w:color="auto"/>
              <w:right w:val="nil"/>
            </w:tcBorders>
            <w:vAlign w:val="center"/>
          </w:tcPr>
          <w:p w14:paraId="65D8BB62" w14:textId="77777777" w:rsidR="00030076" w:rsidRPr="00CE79A0" w:rsidRDefault="00030076" w:rsidP="00991A60">
            <w:pPr>
              <w:spacing w:after="0" w:line="240" w:lineRule="auto"/>
              <w:jc w:val="center"/>
              <w:rPr>
                <w:rFonts w:ascii="Calibri" w:eastAsia="Times New Roman" w:hAnsi="Calibri" w:cs="Times New Roman"/>
                <w:b/>
                <w:bCs/>
                <w:lang w:val="en-US" w:eastAsia="da-DK"/>
              </w:rPr>
            </w:pPr>
            <w:r w:rsidRPr="00CE79A0">
              <w:rPr>
                <w:rFonts w:ascii="Calibri" w:eastAsia="Times New Roman" w:hAnsi="Calibri" w:cs="Times New Roman"/>
                <w:b/>
                <w:bCs/>
                <w:lang w:val="en-US" w:eastAsia="da-DK"/>
              </w:rPr>
              <w:t>CPTSD (OR(CI))</w:t>
            </w:r>
          </w:p>
          <w:p w14:paraId="469993B7" w14:textId="77777777" w:rsidR="00030076" w:rsidRPr="00CE79A0" w:rsidRDefault="00030076" w:rsidP="00991A60">
            <w:pPr>
              <w:spacing w:after="0" w:line="240" w:lineRule="auto"/>
              <w:jc w:val="center"/>
              <w:rPr>
                <w:rFonts w:ascii="Calibri" w:eastAsia="Times New Roman" w:hAnsi="Calibri" w:cs="Times New Roman"/>
                <w:b/>
                <w:bCs/>
                <w:lang w:val="en-US" w:eastAsia="da-DK"/>
              </w:rPr>
            </w:pPr>
            <w:r w:rsidRPr="00CE79A0">
              <w:rPr>
                <w:rFonts w:ascii="Calibri" w:eastAsia="Times New Roman" w:hAnsi="Calibri" w:cs="Times New Roman"/>
                <w:b/>
                <w:bCs/>
                <w:lang w:val="en-US" w:eastAsia="da-DK"/>
              </w:rPr>
              <w:t>Model 2</w:t>
            </w:r>
          </w:p>
        </w:tc>
      </w:tr>
      <w:tr w:rsidR="00030076" w:rsidRPr="005958DA" w14:paraId="0C7BCDC3" w14:textId="77777777" w:rsidTr="00991A60">
        <w:trPr>
          <w:trHeight w:val="300"/>
        </w:trPr>
        <w:tc>
          <w:tcPr>
            <w:tcW w:w="1957" w:type="pct"/>
            <w:tcBorders>
              <w:top w:val="nil"/>
              <w:left w:val="nil"/>
              <w:bottom w:val="nil"/>
              <w:right w:val="nil"/>
            </w:tcBorders>
            <w:shd w:val="clear" w:color="auto" w:fill="auto"/>
            <w:noWrap/>
            <w:vAlign w:val="center"/>
            <w:hideMark/>
          </w:tcPr>
          <w:p w14:paraId="6FAD1ACC" w14:textId="77777777" w:rsidR="00030076" w:rsidRPr="00763B44" w:rsidRDefault="00030076" w:rsidP="00991A60">
            <w:pPr>
              <w:spacing w:after="0" w:line="240" w:lineRule="auto"/>
              <w:rPr>
                <w:rFonts w:ascii="Calibri" w:eastAsia="Times New Roman" w:hAnsi="Calibri" w:cs="Times New Roman"/>
                <w:lang w:val="en-US" w:eastAsia="da-DK"/>
              </w:rPr>
            </w:pPr>
            <w:r w:rsidRPr="00763B44">
              <w:rPr>
                <w:rFonts w:eastAsia="Times New Roman" w:cstheme="minorHAnsi"/>
                <w:lang w:val="en-US" w:eastAsia="en-GB"/>
              </w:rPr>
              <w:t>Trauma</w:t>
            </w:r>
          </w:p>
        </w:tc>
        <w:tc>
          <w:tcPr>
            <w:tcW w:w="627" w:type="pct"/>
            <w:tcBorders>
              <w:top w:val="nil"/>
              <w:left w:val="nil"/>
              <w:bottom w:val="nil"/>
              <w:right w:val="nil"/>
            </w:tcBorders>
            <w:shd w:val="clear" w:color="auto" w:fill="auto"/>
            <w:noWrap/>
            <w:vAlign w:val="center"/>
            <w:hideMark/>
          </w:tcPr>
          <w:p w14:paraId="5EE9E79D" w14:textId="77777777" w:rsidR="00030076" w:rsidRPr="00763B44" w:rsidRDefault="00030076" w:rsidP="00991A60">
            <w:pPr>
              <w:spacing w:after="0" w:line="240" w:lineRule="auto"/>
              <w:jc w:val="center"/>
              <w:rPr>
                <w:rFonts w:ascii="Calibri" w:eastAsia="Times New Roman" w:hAnsi="Calibri" w:cs="Times New Roman"/>
                <w:lang w:val="en-US" w:eastAsia="da-DK"/>
              </w:rPr>
            </w:pPr>
          </w:p>
        </w:tc>
        <w:tc>
          <w:tcPr>
            <w:tcW w:w="835" w:type="pct"/>
            <w:tcBorders>
              <w:top w:val="nil"/>
              <w:left w:val="nil"/>
              <w:bottom w:val="nil"/>
              <w:right w:val="nil"/>
            </w:tcBorders>
            <w:vAlign w:val="center"/>
          </w:tcPr>
          <w:p w14:paraId="4E675444" w14:textId="77777777" w:rsidR="00030076" w:rsidRPr="00CE79A0" w:rsidRDefault="00030076" w:rsidP="00991A60">
            <w:pPr>
              <w:spacing w:after="0" w:line="240" w:lineRule="auto"/>
              <w:jc w:val="center"/>
              <w:rPr>
                <w:rFonts w:ascii="Calibri" w:eastAsia="Times New Roman" w:hAnsi="Calibri" w:cs="Times New Roman"/>
                <w:lang w:val="en-US" w:eastAsia="da-DK"/>
              </w:rPr>
            </w:pPr>
          </w:p>
        </w:tc>
        <w:tc>
          <w:tcPr>
            <w:tcW w:w="783" w:type="pct"/>
            <w:tcBorders>
              <w:top w:val="nil"/>
              <w:left w:val="nil"/>
              <w:bottom w:val="nil"/>
              <w:right w:val="nil"/>
            </w:tcBorders>
            <w:shd w:val="clear" w:color="auto" w:fill="auto"/>
            <w:noWrap/>
            <w:vAlign w:val="center"/>
          </w:tcPr>
          <w:p w14:paraId="6D18938F" w14:textId="77777777" w:rsidR="00030076" w:rsidRPr="00763B44" w:rsidRDefault="00030076" w:rsidP="00991A60">
            <w:pPr>
              <w:spacing w:after="0" w:line="240" w:lineRule="auto"/>
              <w:jc w:val="center"/>
              <w:rPr>
                <w:rFonts w:ascii="Calibri" w:eastAsia="Times New Roman" w:hAnsi="Calibri" w:cs="Times New Roman"/>
                <w:lang w:val="en-US" w:eastAsia="da-DK"/>
              </w:rPr>
            </w:pPr>
          </w:p>
        </w:tc>
        <w:tc>
          <w:tcPr>
            <w:tcW w:w="798" w:type="pct"/>
            <w:tcBorders>
              <w:top w:val="nil"/>
              <w:left w:val="nil"/>
              <w:bottom w:val="nil"/>
              <w:right w:val="nil"/>
            </w:tcBorders>
            <w:vAlign w:val="center"/>
          </w:tcPr>
          <w:p w14:paraId="62E1D380" w14:textId="77777777" w:rsidR="00030076" w:rsidRPr="00CE79A0" w:rsidRDefault="00030076" w:rsidP="00991A60">
            <w:pPr>
              <w:spacing w:after="0" w:line="240" w:lineRule="auto"/>
              <w:jc w:val="center"/>
              <w:rPr>
                <w:rFonts w:ascii="Calibri" w:eastAsia="Times New Roman" w:hAnsi="Calibri" w:cs="Times New Roman"/>
                <w:lang w:val="en-US" w:eastAsia="da-DK"/>
              </w:rPr>
            </w:pPr>
          </w:p>
        </w:tc>
      </w:tr>
      <w:tr w:rsidR="00030076" w:rsidRPr="00763B44" w14:paraId="01799675" w14:textId="77777777" w:rsidTr="00991A60">
        <w:trPr>
          <w:trHeight w:val="300"/>
        </w:trPr>
        <w:tc>
          <w:tcPr>
            <w:tcW w:w="1957" w:type="pct"/>
            <w:tcBorders>
              <w:top w:val="nil"/>
              <w:left w:val="nil"/>
              <w:bottom w:val="nil"/>
              <w:right w:val="nil"/>
            </w:tcBorders>
            <w:shd w:val="clear" w:color="auto" w:fill="auto"/>
            <w:noWrap/>
            <w:vAlign w:val="center"/>
            <w:hideMark/>
          </w:tcPr>
          <w:p w14:paraId="049179C6" w14:textId="77777777" w:rsidR="00030076" w:rsidRPr="00763B44" w:rsidRDefault="00030076" w:rsidP="00991A60">
            <w:pPr>
              <w:spacing w:after="0" w:line="240" w:lineRule="auto"/>
              <w:rPr>
                <w:rFonts w:ascii="Calibri" w:eastAsia="Times New Roman" w:hAnsi="Calibri" w:cs="Times New Roman"/>
                <w:i/>
                <w:iCs/>
                <w:lang w:val="en-US" w:eastAsia="da-DK"/>
              </w:rPr>
            </w:pPr>
            <w:r w:rsidRPr="00763B44">
              <w:rPr>
                <w:rFonts w:eastAsia="Times New Roman" w:cstheme="minorHAnsi"/>
                <w:i/>
                <w:iCs/>
                <w:lang w:val="en-US" w:eastAsia="en-GB"/>
              </w:rPr>
              <w:t>Childhood traumas</w:t>
            </w:r>
          </w:p>
        </w:tc>
        <w:tc>
          <w:tcPr>
            <w:tcW w:w="627" w:type="pct"/>
            <w:tcBorders>
              <w:top w:val="nil"/>
              <w:left w:val="nil"/>
              <w:bottom w:val="nil"/>
              <w:right w:val="nil"/>
            </w:tcBorders>
            <w:shd w:val="clear" w:color="auto" w:fill="auto"/>
            <w:noWrap/>
            <w:vAlign w:val="center"/>
            <w:hideMark/>
          </w:tcPr>
          <w:p w14:paraId="5BF962CA" w14:textId="77777777" w:rsidR="00030076" w:rsidRPr="00763B44" w:rsidRDefault="00030076" w:rsidP="00991A60">
            <w:pPr>
              <w:spacing w:after="0" w:line="240" w:lineRule="auto"/>
              <w:jc w:val="center"/>
              <w:rPr>
                <w:rFonts w:ascii="Calibri" w:eastAsia="Times New Roman" w:hAnsi="Calibri" w:cs="Times New Roman"/>
                <w:lang w:val="en-US" w:eastAsia="da-DK"/>
              </w:rPr>
            </w:pPr>
            <w:r w:rsidRPr="00763B44">
              <w:rPr>
                <w:rFonts w:ascii="Calibri" w:eastAsia="Times New Roman" w:hAnsi="Calibri" w:cs="Times New Roman"/>
                <w:lang w:val="en-US" w:eastAsia="da-DK"/>
              </w:rPr>
              <w:t>0.90 (0.68-1.21)</w:t>
            </w:r>
          </w:p>
        </w:tc>
        <w:tc>
          <w:tcPr>
            <w:tcW w:w="835" w:type="pct"/>
            <w:tcBorders>
              <w:top w:val="nil"/>
              <w:left w:val="nil"/>
              <w:bottom w:val="nil"/>
              <w:right w:val="nil"/>
            </w:tcBorders>
            <w:vAlign w:val="center"/>
          </w:tcPr>
          <w:p w14:paraId="094FD2A0" w14:textId="77777777" w:rsidR="00030076" w:rsidRPr="00CE79A0" w:rsidRDefault="00030076" w:rsidP="00991A60">
            <w:pPr>
              <w:spacing w:after="0" w:line="240" w:lineRule="auto"/>
              <w:jc w:val="center"/>
              <w:rPr>
                <w:rFonts w:ascii="Calibri" w:eastAsia="Times New Roman" w:hAnsi="Calibri" w:cs="Times New Roman"/>
                <w:lang w:val="en-US" w:eastAsia="da-DK"/>
              </w:rPr>
            </w:pPr>
            <w:r w:rsidRPr="00CE79A0">
              <w:rPr>
                <w:rFonts w:ascii="Calibri" w:eastAsia="Times New Roman" w:hAnsi="Calibri" w:cs="Times New Roman"/>
                <w:lang w:val="en-US" w:eastAsia="da-DK"/>
              </w:rPr>
              <w:t>0.88 (0.64-1.19)</w:t>
            </w:r>
          </w:p>
        </w:tc>
        <w:tc>
          <w:tcPr>
            <w:tcW w:w="783" w:type="pct"/>
            <w:tcBorders>
              <w:top w:val="nil"/>
              <w:left w:val="nil"/>
              <w:bottom w:val="nil"/>
              <w:right w:val="nil"/>
            </w:tcBorders>
            <w:shd w:val="clear" w:color="auto" w:fill="auto"/>
            <w:noWrap/>
            <w:vAlign w:val="center"/>
            <w:hideMark/>
          </w:tcPr>
          <w:p w14:paraId="56500589" w14:textId="77777777" w:rsidR="00030076" w:rsidRPr="00763B44" w:rsidRDefault="00030076" w:rsidP="00991A60">
            <w:pPr>
              <w:spacing w:after="0" w:line="240" w:lineRule="auto"/>
              <w:jc w:val="center"/>
              <w:rPr>
                <w:rFonts w:ascii="Calibri" w:eastAsia="Times New Roman" w:hAnsi="Calibri" w:cs="Times New Roman"/>
                <w:lang w:val="en-US" w:eastAsia="da-DK"/>
              </w:rPr>
            </w:pPr>
            <w:r w:rsidRPr="00763B44">
              <w:rPr>
                <w:rFonts w:ascii="Calibri" w:eastAsia="Times New Roman" w:hAnsi="Calibri" w:cs="Times New Roman"/>
                <w:lang w:val="en-US" w:eastAsia="da-DK"/>
              </w:rPr>
              <w:t>0.98 (0.82-1.19)</w:t>
            </w:r>
          </w:p>
        </w:tc>
        <w:tc>
          <w:tcPr>
            <w:tcW w:w="798" w:type="pct"/>
            <w:tcBorders>
              <w:top w:val="nil"/>
              <w:left w:val="nil"/>
              <w:bottom w:val="nil"/>
              <w:right w:val="nil"/>
            </w:tcBorders>
            <w:vAlign w:val="center"/>
          </w:tcPr>
          <w:p w14:paraId="56F14890" w14:textId="77777777" w:rsidR="00030076" w:rsidRPr="00CE79A0" w:rsidRDefault="00030076" w:rsidP="00991A60">
            <w:pPr>
              <w:spacing w:after="0" w:line="240" w:lineRule="auto"/>
              <w:jc w:val="center"/>
              <w:rPr>
                <w:rFonts w:ascii="Calibri" w:eastAsia="Times New Roman" w:hAnsi="Calibri" w:cs="Times New Roman"/>
                <w:lang w:val="en-US" w:eastAsia="da-DK"/>
              </w:rPr>
            </w:pPr>
            <w:r w:rsidRPr="00CE79A0">
              <w:rPr>
                <w:rFonts w:ascii="Calibri" w:eastAsia="Times New Roman" w:hAnsi="Calibri" w:cs="Times New Roman"/>
                <w:lang w:val="en-US" w:eastAsia="da-DK"/>
              </w:rPr>
              <w:t>0.99 (0.81-1.20)</w:t>
            </w:r>
          </w:p>
        </w:tc>
      </w:tr>
      <w:tr w:rsidR="00030076" w:rsidRPr="00763B44" w14:paraId="206D0498" w14:textId="77777777" w:rsidTr="00991A60">
        <w:trPr>
          <w:trHeight w:val="300"/>
        </w:trPr>
        <w:tc>
          <w:tcPr>
            <w:tcW w:w="1957" w:type="pct"/>
            <w:tcBorders>
              <w:top w:val="nil"/>
              <w:left w:val="nil"/>
              <w:bottom w:val="nil"/>
              <w:right w:val="nil"/>
            </w:tcBorders>
            <w:shd w:val="clear" w:color="auto" w:fill="auto"/>
            <w:noWrap/>
            <w:vAlign w:val="center"/>
            <w:hideMark/>
          </w:tcPr>
          <w:p w14:paraId="308DA753" w14:textId="77777777" w:rsidR="00030076" w:rsidRPr="00763B44" w:rsidRDefault="00030076" w:rsidP="00991A60">
            <w:pPr>
              <w:spacing w:after="0" w:line="240" w:lineRule="auto"/>
              <w:rPr>
                <w:rFonts w:ascii="Calibri" w:eastAsia="Times New Roman" w:hAnsi="Calibri" w:cs="Times New Roman"/>
                <w:i/>
                <w:iCs/>
                <w:lang w:val="en-US" w:eastAsia="da-DK"/>
              </w:rPr>
            </w:pPr>
            <w:r w:rsidRPr="00763B44">
              <w:rPr>
                <w:rFonts w:cstheme="minorHAnsi"/>
                <w:i/>
                <w:iCs/>
                <w:lang w:val="en-US"/>
              </w:rPr>
              <w:t>Warfare or combat</w:t>
            </w:r>
          </w:p>
        </w:tc>
        <w:tc>
          <w:tcPr>
            <w:tcW w:w="627" w:type="pct"/>
            <w:tcBorders>
              <w:top w:val="nil"/>
              <w:left w:val="nil"/>
              <w:bottom w:val="nil"/>
              <w:right w:val="nil"/>
            </w:tcBorders>
            <w:shd w:val="clear" w:color="auto" w:fill="auto"/>
            <w:noWrap/>
            <w:vAlign w:val="center"/>
            <w:hideMark/>
          </w:tcPr>
          <w:p w14:paraId="4558E40F" w14:textId="77777777" w:rsidR="00030076" w:rsidRPr="00763B44" w:rsidRDefault="00030076" w:rsidP="00991A60">
            <w:pPr>
              <w:spacing w:after="0" w:line="240" w:lineRule="auto"/>
              <w:jc w:val="center"/>
              <w:rPr>
                <w:rFonts w:ascii="Calibri" w:eastAsia="Times New Roman" w:hAnsi="Calibri" w:cs="Times New Roman"/>
                <w:lang w:val="en-US" w:eastAsia="da-DK"/>
              </w:rPr>
            </w:pPr>
            <w:r w:rsidRPr="00763B44">
              <w:rPr>
                <w:rFonts w:ascii="Calibri" w:eastAsia="Times New Roman" w:hAnsi="Calibri" w:cs="Times New Roman"/>
                <w:lang w:val="en-US" w:eastAsia="da-DK"/>
              </w:rPr>
              <w:t>1.07 (0.83-1.38)</w:t>
            </w:r>
          </w:p>
        </w:tc>
        <w:tc>
          <w:tcPr>
            <w:tcW w:w="835" w:type="pct"/>
            <w:tcBorders>
              <w:top w:val="nil"/>
              <w:left w:val="nil"/>
              <w:bottom w:val="nil"/>
              <w:right w:val="nil"/>
            </w:tcBorders>
            <w:vAlign w:val="center"/>
          </w:tcPr>
          <w:p w14:paraId="7E31EEAC" w14:textId="77777777" w:rsidR="00030076" w:rsidRPr="00CE79A0" w:rsidRDefault="00030076" w:rsidP="00991A60">
            <w:pPr>
              <w:spacing w:after="0" w:line="240" w:lineRule="auto"/>
              <w:jc w:val="center"/>
              <w:rPr>
                <w:rFonts w:ascii="Calibri" w:eastAsia="Times New Roman" w:hAnsi="Calibri" w:cs="Times New Roman"/>
                <w:lang w:val="en-US" w:eastAsia="da-DK"/>
              </w:rPr>
            </w:pPr>
            <w:r w:rsidRPr="00CE79A0">
              <w:rPr>
                <w:rFonts w:ascii="Calibri" w:eastAsia="Times New Roman" w:hAnsi="Calibri" w:cs="Times New Roman"/>
                <w:lang w:val="en-US" w:eastAsia="da-DK"/>
              </w:rPr>
              <w:t>1.08 (0.82-1.42)</w:t>
            </w:r>
          </w:p>
        </w:tc>
        <w:tc>
          <w:tcPr>
            <w:tcW w:w="783" w:type="pct"/>
            <w:tcBorders>
              <w:top w:val="nil"/>
              <w:left w:val="nil"/>
              <w:bottom w:val="nil"/>
              <w:right w:val="nil"/>
            </w:tcBorders>
            <w:shd w:val="clear" w:color="auto" w:fill="auto"/>
            <w:noWrap/>
            <w:vAlign w:val="center"/>
            <w:hideMark/>
          </w:tcPr>
          <w:p w14:paraId="5C9E2F20" w14:textId="77777777" w:rsidR="00030076" w:rsidRPr="00763B44" w:rsidRDefault="00030076" w:rsidP="00991A60">
            <w:pPr>
              <w:spacing w:after="0" w:line="240" w:lineRule="auto"/>
              <w:jc w:val="center"/>
              <w:rPr>
                <w:rFonts w:ascii="Calibri" w:eastAsia="Times New Roman" w:hAnsi="Calibri" w:cs="Times New Roman"/>
                <w:lang w:val="en-US" w:eastAsia="da-DK"/>
              </w:rPr>
            </w:pPr>
            <w:r w:rsidRPr="00763B44">
              <w:rPr>
                <w:rFonts w:ascii="Calibri" w:eastAsia="Times New Roman" w:hAnsi="Calibri" w:cs="Times New Roman"/>
                <w:lang w:val="en-US" w:eastAsia="da-DK"/>
              </w:rPr>
              <w:t>1.30 (1.08-1.57)**</w:t>
            </w:r>
          </w:p>
        </w:tc>
        <w:tc>
          <w:tcPr>
            <w:tcW w:w="798" w:type="pct"/>
            <w:tcBorders>
              <w:top w:val="nil"/>
              <w:left w:val="nil"/>
              <w:bottom w:val="nil"/>
              <w:right w:val="nil"/>
            </w:tcBorders>
            <w:vAlign w:val="center"/>
          </w:tcPr>
          <w:p w14:paraId="3B82B52B" w14:textId="77777777" w:rsidR="00030076" w:rsidRPr="00CE79A0" w:rsidRDefault="00030076" w:rsidP="00991A60">
            <w:pPr>
              <w:spacing w:after="0" w:line="240" w:lineRule="auto"/>
              <w:jc w:val="center"/>
              <w:rPr>
                <w:rFonts w:ascii="Calibri" w:eastAsia="Times New Roman" w:hAnsi="Calibri" w:cs="Times New Roman"/>
                <w:lang w:val="en-US" w:eastAsia="da-DK"/>
              </w:rPr>
            </w:pPr>
            <w:r w:rsidRPr="00CE79A0">
              <w:rPr>
                <w:rFonts w:ascii="Calibri" w:eastAsia="Times New Roman" w:hAnsi="Calibri" w:cs="Times New Roman"/>
                <w:lang w:val="en-US" w:eastAsia="da-DK"/>
              </w:rPr>
              <w:t>1.27 (1.04-1.56)*</w:t>
            </w:r>
          </w:p>
        </w:tc>
      </w:tr>
      <w:tr w:rsidR="00030076" w:rsidRPr="00763B44" w14:paraId="76644F8C" w14:textId="77777777" w:rsidTr="00991A60">
        <w:trPr>
          <w:trHeight w:val="300"/>
        </w:trPr>
        <w:tc>
          <w:tcPr>
            <w:tcW w:w="1957" w:type="pct"/>
            <w:tcBorders>
              <w:top w:val="nil"/>
              <w:left w:val="nil"/>
              <w:bottom w:val="nil"/>
              <w:right w:val="nil"/>
            </w:tcBorders>
            <w:shd w:val="clear" w:color="auto" w:fill="auto"/>
            <w:noWrap/>
            <w:vAlign w:val="center"/>
            <w:hideMark/>
          </w:tcPr>
          <w:p w14:paraId="11560A1F" w14:textId="77777777" w:rsidR="00030076" w:rsidRPr="00763B44" w:rsidRDefault="00030076" w:rsidP="00991A60">
            <w:pPr>
              <w:spacing w:after="0" w:line="240" w:lineRule="auto"/>
              <w:rPr>
                <w:rFonts w:ascii="Calibri" w:eastAsia="Times New Roman" w:hAnsi="Calibri" w:cs="Times New Roman"/>
                <w:i/>
                <w:iCs/>
                <w:lang w:val="en-US" w:eastAsia="da-DK"/>
              </w:rPr>
            </w:pPr>
            <w:r w:rsidRPr="00763B44">
              <w:rPr>
                <w:rFonts w:eastAsia="Times New Roman" w:cstheme="minorHAnsi"/>
                <w:i/>
                <w:iCs/>
                <w:lang w:val="en-US" w:eastAsia="en-GB"/>
              </w:rPr>
              <w:t>Adult life traumas</w:t>
            </w:r>
          </w:p>
        </w:tc>
        <w:tc>
          <w:tcPr>
            <w:tcW w:w="627" w:type="pct"/>
            <w:tcBorders>
              <w:top w:val="nil"/>
              <w:left w:val="nil"/>
              <w:bottom w:val="nil"/>
              <w:right w:val="nil"/>
            </w:tcBorders>
            <w:shd w:val="clear" w:color="auto" w:fill="auto"/>
            <w:noWrap/>
            <w:vAlign w:val="center"/>
            <w:hideMark/>
          </w:tcPr>
          <w:p w14:paraId="2CCF0501" w14:textId="77777777" w:rsidR="00030076" w:rsidRPr="00763B44" w:rsidRDefault="00030076" w:rsidP="00991A60">
            <w:pPr>
              <w:spacing w:after="0" w:line="240" w:lineRule="auto"/>
              <w:jc w:val="center"/>
              <w:rPr>
                <w:rFonts w:ascii="Calibri" w:eastAsia="Times New Roman" w:hAnsi="Calibri" w:cs="Times New Roman"/>
                <w:lang w:val="en-US" w:eastAsia="da-DK"/>
              </w:rPr>
            </w:pPr>
            <w:r w:rsidRPr="00763B44">
              <w:rPr>
                <w:rFonts w:ascii="Calibri" w:eastAsia="Times New Roman" w:hAnsi="Calibri" w:cs="Times New Roman"/>
                <w:lang w:val="en-US" w:eastAsia="da-DK"/>
              </w:rPr>
              <w:t>1.11 (0.84-1.46)</w:t>
            </w:r>
          </w:p>
        </w:tc>
        <w:tc>
          <w:tcPr>
            <w:tcW w:w="835" w:type="pct"/>
            <w:tcBorders>
              <w:top w:val="nil"/>
              <w:left w:val="nil"/>
              <w:bottom w:val="nil"/>
              <w:right w:val="nil"/>
            </w:tcBorders>
            <w:vAlign w:val="center"/>
          </w:tcPr>
          <w:p w14:paraId="1CFFC49E" w14:textId="77777777" w:rsidR="00030076" w:rsidRPr="00CE79A0" w:rsidRDefault="00030076" w:rsidP="00991A60">
            <w:pPr>
              <w:spacing w:after="0" w:line="240" w:lineRule="auto"/>
              <w:jc w:val="center"/>
              <w:rPr>
                <w:rFonts w:ascii="Calibri" w:eastAsia="Times New Roman" w:hAnsi="Calibri" w:cs="Times New Roman"/>
                <w:lang w:val="en-US" w:eastAsia="da-DK"/>
              </w:rPr>
            </w:pPr>
            <w:r w:rsidRPr="00CE79A0">
              <w:rPr>
                <w:rFonts w:ascii="Calibri" w:eastAsia="Times New Roman" w:hAnsi="Calibri" w:cs="Times New Roman"/>
                <w:lang w:val="en-US" w:eastAsia="da-DK"/>
              </w:rPr>
              <w:t>0.95 (0.71-1.28)</w:t>
            </w:r>
          </w:p>
        </w:tc>
        <w:tc>
          <w:tcPr>
            <w:tcW w:w="783" w:type="pct"/>
            <w:tcBorders>
              <w:top w:val="nil"/>
              <w:left w:val="nil"/>
              <w:bottom w:val="nil"/>
              <w:right w:val="nil"/>
            </w:tcBorders>
            <w:shd w:val="clear" w:color="auto" w:fill="auto"/>
            <w:noWrap/>
            <w:vAlign w:val="center"/>
            <w:hideMark/>
          </w:tcPr>
          <w:p w14:paraId="1B269F4B" w14:textId="77777777" w:rsidR="00030076" w:rsidRPr="00763B44" w:rsidRDefault="00030076" w:rsidP="00991A60">
            <w:pPr>
              <w:spacing w:after="0" w:line="240" w:lineRule="auto"/>
              <w:jc w:val="center"/>
              <w:rPr>
                <w:rFonts w:ascii="Calibri" w:eastAsia="Times New Roman" w:hAnsi="Calibri" w:cs="Times New Roman"/>
                <w:lang w:val="en-US" w:eastAsia="da-DK"/>
              </w:rPr>
            </w:pPr>
            <w:r w:rsidRPr="00763B44">
              <w:rPr>
                <w:rFonts w:ascii="Calibri" w:eastAsia="Times New Roman" w:hAnsi="Calibri" w:cs="Times New Roman"/>
                <w:lang w:val="en-US" w:eastAsia="da-DK"/>
              </w:rPr>
              <w:t>1.28 (1.06-1.56)*</w:t>
            </w:r>
          </w:p>
        </w:tc>
        <w:tc>
          <w:tcPr>
            <w:tcW w:w="798" w:type="pct"/>
            <w:tcBorders>
              <w:top w:val="nil"/>
              <w:left w:val="nil"/>
              <w:bottom w:val="nil"/>
              <w:right w:val="nil"/>
            </w:tcBorders>
            <w:vAlign w:val="center"/>
          </w:tcPr>
          <w:p w14:paraId="33B9B512" w14:textId="77777777" w:rsidR="00030076" w:rsidRPr="00CE79A0" w:rsidRDefault="00030076" w:rsidP="00991A60">
            <w:pPr>
              <w:spacing w:after="0" w:line="240" w:lineRule="auto"/>
              <w:jc w:val="center"/>
              <w:rPr>
                <w:rFonts w:ascii="Calibri" w:eastAsia="Times New Roman" w:hAnsi="Calibri" w:cs="Times New Roman"/>
                <w:lang w:val="en-US" w:eastAsia="da-DK"/>
              </w:rPr>
            </w:pPr>
            <w:r w:rsidRPr="00CE79A0">
              <w:rPr>
                <w:rFonts w:ascii="Calibri" w:eastAsia="Times New Roman" w:hAnsi="Calibri" w:cs="Times New Roman"/>
                <w:lang w:val="en-US" w:eastAsia="da-DK"/>
              </w:rPr>
              <w:t>1.18 (0.97-1.45)</w:t>
            </w:r>
          </w:p>
        </w:tc>
      </w:tr>
      <w:tr w:rsidR="00030076" w:rsidRPr="00763B44" w14:paraId="0838B5BB" w14:textId="77777777" w:rsidTr="00991A60">
        <w:trPr>
          <w:trHeight w:val="300"/>
        </w:trPr>
        <w:tc>
          <w:tcPr>
            <w:tcW w:w="1957" w:type="pct"/>
            <w:tcBorders>
              <w:top w:val="nil"/>
              <w:left w:val="nil"/>
              <w:bottom w:val="nil"/>
              <w:right w:val="nil"/>
            </w:tcBorders>
            <w:shd w:val="clear" w:color="auto" w:fill="auto"/>
            <w:noWrap/>
            <w:vAlign w:val="center"/>
            <w:hideMark/>
          </w:tcPr>
          <w:p w14:paraId="014CB02A" w14:textId="77777777" w:rsidR="00030076" w:rsidRPr="00763B44" w:rsidRDefault="00030076" w:rsidP="00991A60">
            <w:pPr>
              <w:spacing w:after="0" w:line="240" w:lineRule="auto"/>
              <w:rPr>
                <w:rFonts w:ascii="Calibri" w:eastAsia="Times New Roman" w:hAnsi="Calibri" w:cs="Times New Roman"/>
                <w:lang w:val="en-US" w:eastAsia="da-DK"/>
              </w:rPr>
            </w:pPr>
            <w:r w:rsidRPr="00763B44">
              <w:rPr>
                <w:rFonts w:eastAsia="Times New Roman" w:cstheme="minorHAnsi"/>
                <w:lang w:val="en-US" w:eastAsia="en-GB"/>
              </w:rPr>
              <w:t xml:space="preserve">Age </w:t>
            </w:r>
          </w:p>
        </w:tc>
        <w:tc>
          <w:tcPr>
            <w:tcW w:w="627" w:type="pct"/>
            <w:tcBorders>
              <w:top w:val="nil"/>
              <w:left w:val="nil"/>
              <w:bottom w:val="nil"/>
              <w:right w:val="nil"/>
            </w:tcBorders>
            <w:shd w:val="clear" w:color="auto" w:fill="auto"/>
            <w:noWrap/>
            <w:vAlign w:val="center"/>
          </w:tcPr>
          <w:p w14:paraId="760EE9EF" w14:textId="77777777" w:rsidR="00030076" w:rsidRPr="00763B44" w:rsidRDefault="00030076" w:rsidP="00991A60">
            <w:pPr>
              <w:spacing w:after="0" w:line="240" w:lineRule="auto"/>
              <w:jc w:val="center"/>
              <w:rPr>
                <w:rFonts w:ascii="Calibri" w:eastAsia="Times New Roman" w:hAnsi="Calibri" w:cs="Times New Roman"/>
                <w:lang w:val="en-US" w:eastAsia="da-DK"/>
              </w:rPr>
            </w:pPr>
          </w:p>
        </w:tc>
        <w:tc>
          <w:tcPr>
            <w:tcW w:w="835" w:type="pct"/>
            <w:tcBorders>
              <w:top w:val="nil"/>
              <w:left w:val="nil"/>
              <w:bottom w:val="nil"/>
              <w:right w:val="nil"/>
            </w:tcBorders>
            <w:vAlign w:val="center"/>
          </w:tcPr>
          <w:p w14:paraId="35317C3F" w14:textId="77777777" w:rsidR="00030076" w:rsidRPr="00CE79A0" w:rsidRDefault="00030076" w:rsidP="00991A60">
            <w:pPr>
              <w:spacing w:after="0" w:line="240" w:lineRule="auto"/>
              <w:jc w:val="center"/>
              <w:rPr>
                <w:rFonts w:ascii="Calibri" w:eastAsia="Times New Roman" w:hAnsi="Calibri" w:cs="Times New Roman"/>
                <w:lang w:val="en-US" w:eastAsia="da-DK"/>
              </w:rPr>
            </w:pPr>
            <w:r w:rsidRPr="00CE79A0">
              <w:rPr>
                <w:rFonts w:ascii="Calibri" w:eastAsia="Times New Roman" w:hAnsi="Calibri" w:cs="Times New Roman"/>
                <w:lang w:val="en-US" w:eastAsia="da-DK"/>
              </w:rPr>
              <w:t>1.07 (1.04-1.10)***</w:t>
            </w:r>
          </w:p>
        </w:tc>
        <w:tc>
          <w:tcPr>
            <w:tcW w:w="783" w:type="pct"/>
            <w:tcBorders>
              <w:top w:val="nil"/>
              <w:left w:val="nil"/>
              <w:bottom w:val="nil"/>
              <w:right w:val="nil"/>
            </w:tcBorders>
            <w:shd w:val="clear" w:color="auto" w:fill="auto"/>
            <w:noWrap/>
            <w:vAlign w:val="center"/>
          </w:tcPr>
          <w:p w14:paraId="46785D05" w14:textId="77777777" w:rsidR="00030076" w:rsidRPr="00763B44" w:rsidRDefault="00030076" w:rsidP="00991A60">
            <w:pPr>
              <w:spacing w:after="0" w:line="240" w:lineRule="auto"/>
              <w:jc w:val="center"/>
              <w:rPr>
                <w:rFonts w:ascii="Calibri" w:eastAsia="Times New Roman" w:hAnsi="Calibri" w:cs="Times New Roman"/>
                <w:lang w:val="en-US" w:eastAsia="da-DK"/>
              </w:rPr>
            </w:pPr>
          </w:p>
        </w:tc>
        <w:tc>
          <w:tcPr>
            <w:tcW w:w="798" w:type="pct"/>
            <w:tcBorders>
              <w:top w:val="nil"/>
              <w:left w:val="nil"/>
              <w:bottom w:val="nil"/>
              <w:right w:val="nil"/>
            </w:tcBorders>
            <w:vAlign w:val="center"/>
          </w:tcPr>
          <w:p w14:paraId="12956462" w14:textId="77777777" w:rsidR="00030076" w:rsidRPr="00CE79A0" w:rsidRDefault="00030076" w:rsidP="00991A60">
            <w:pPr>
              <w:spacing w:after="0" w:line="240" w:lineRule="auto"/>
              <w:jc w:val="center"/>
              <w:rPr>
                <w:rFonts w:ascii="Calibri" w:eastAsia="Times New Roman" w:hAnsi="Calibri" w:cs="Times New Roman"/>
                <w:lang w:val="en-US" w:eastAsia="da-DK"/>
              </w:rPr>
            </w:pPr>
            <w:r w:rsidRPr="00CE79A0">
              <w:rPr>
                <w:rFonts w:ascii="Calibri" w:eastAsia="Times New Roman" w:hAnsi="Calibri" w:cs="Times New Roman"/>
                <w:lang w:val="en-US" w:eastAsia="da-DK"/>
              </w:rPr>
              <w:t>1.03 (1.01-1.06)**</w:t>
            </w:r>
          </w:p>
        </w:tc>
      </w:tr>
      <w:tr w:rsidR="00030076" w:rsidRPr="00F20930" w14:paraId="327CA2EE" w14:textId="77777777" w:rsidTr="00991A60">
        <w:trPr>
          <w:trHeight w:val="300"/>
        </w:trPr>
        <w:tc>
          <w:tcPr>
            <w:tcW w:w="1957" w:type="pct"/>
            <w:tcBorders>
              <w:top w:val="nil"/>
              <w:left w:val="nil"/>
              <w:bottom w:val="nil"/>
              <w:right w:val="nil"/>
            </w:tcBorders>
            <w:shd w:val="clear" w:color="auto" w:fill="auto"/>
            <w:noWrap/>
            <w:vAlign w:val="center"/>
            <w:hideMark/>
          </w:tcPr>
          <w:p w14:paraId="02A08E45" w14:textId="77777777" w:rsidR="00030076" w:rsidRPr="00763B44" w:rsidRDefault="00030076" w:rsidP="00991A60">
            <w:pPr>
              <w:spacing w:after="0" w:line="240" w:lineRule="auto"/>
              <w:rPr>
                <w:rFonts w:ascii="Calibri" w:eastAsia="Times New Roman" w:hAnsi="Calibri" w:cs="Times New Roman"/>
                <w:lang w:val="en-US" w:eastAsia="da-DK"/>
              </w:rPr>
            </w:pPr>
            <w:r w:rsidRPr="00763B44">
              <w:rPr>
                <w:rFonts w:eastAsia="Times New Roman" w:cstheme="minorHAnsi"/>
                <w:lang w:val="en-US" w:eastAsia="en-GB"/>
              </w:rPr>
              <w:t>Marital status (ref: In a relationship)</w:t>
            </w:r>
          </w:p>
        </w:tc>
        <w:tc>
          <w:tcPr>
            <w:tcW w:w="627" w:type="pct"/>
            <w:tcBorders>
              <w:top w:val="nil"/>
              <w:left w:val="nil"/>
              <w:bottom w:val="nil"/>
              <w:right w:val="nil"/>
            </w:tcBorders>
            <w:shd w:val="clear" w:color="auto" w:fill="auto"/>
            <w:noWrap/>
            <w:vAlign w:val="center"/>
          </w:tcPr>
          <w:p w14:paraId="647E9D8B" w14:textId="77777777" w:rsidR="00030076" w:rsidRPr="00763B44" w:rsidRDefault="00030076" w:rsidP="00991A60">
            <w:pPr>
              <w:spacing w:after="0" w:line="240" w:lineRule="auto"/>
              <w:jc w:val="center"/>
              <w:rPr>
                <w:rFonts w:ascii="Calibri" w:eastAsia="Times New Roman" w:hAnsi="Calibri" w:cs="Times New Roman"/>
                <w:lang w:val="en-US" w:eastAsia="da-DK"/>
              </w:rPr>
            </w:pPr>
          </w:p>
        </w:tc>
        <w:tc>
          <w:tcPr>
            <w:tcW w:w="835" w:type="pct"/>
            <w:tcBorders>
              <w:top w:val="nil"/>
              <w:left w:val="nil"/>
              <w:bottom w:val="nil"/>
              <w:right w:val="nil"/>
            </w:tcBorders>
            <w:vAlign w:val="center"/>
          </w:tcPr>
          <w:p w14:paraId="686ECB57" w14:textId="77777777" w:rsidR="00030076" w:rsidRPr="00CE79A0" w:rsidRDefault="00030076" w:rsidP="00991A60">
            <w:pPr>
              <w:spacing w:after="0" w:line="240" w:lineRule="auto"/>
              <w:jc w:val="center"/>
              <w:rPr>
                <w:rFonts w:ascii="Calibri" w:eastAsia="Times New Roman" w:hAnsi="Calibri" w:cs="Times New Roman"/>
                <w:lang w:val="en-US" w:eastAsia="da-DK"/>
              </w:rPr>
            </w:pPr>
          </w:p>
        </w:tc>
        <w:tc>
          <w:tcPr>
            <w:tcW w:w="783" w:type="pct"/>
            <w:tcBorders>
              <w:top w:val="nil"/>
              <w:left w:val="nil"/>
              <w:bottom w:val="nil"/>
              <w:right w:val="nil"/>
            </w:tcBorders>
            <w:shd w:val="clear" w:color="auto" w:fill="auto"/>
            <w:noWrap/>
            <w:vAlign w:val="center"/>
          </w:tcPr>
          <w:p w14:paraId="7D7BC462" w14:textId="77777777" w:rsidR="00030076" w:rsidRPr="00763B44" w:rsidRDefault="00030076" w:rsidP="00991A60">
            <w:pPr>
              <w:spacing w:after="0" w:line="240" w:lineRule="auto"/>
              <w:jc w:val="center"/>
              <w:rPr>
                <w:rFonts w:ascii="Calibri" w:eastAsia="Times New Roman" w:hAnsi="Calibri" w:cs="Times New Roman"/>
                <w:lang w:val="en-US" w:eastAsia="da-DK"/>
              </w:rPr>
            </w:pPr>
          </w:p>
        </w:tc>
        <w:tc>
          <w:tcPr>
            <w:tcW w:w="798" w:type="pct"/>
            <w:tcBorders>
              <w:top w:val="nil"/>
              <w:left w:val="nil"/>
              <w:bottom w:val="nil"/>
              <w:right w:val="nil"/>
            </w:tcBorders>
            <w:vAlign w:val="center"/>
          </w:tcPr>
          <w:p w14:paraId="1029E681" w14:textId="77777777" w:rsidR="00030076" w:rsidRPr="00CE79A0" w:rsidRDefault="00030076" w:rsidP="00991A60">
            <w:pPr>
              <w:spacing w:after="0" w:line="240" w:lineRule="auto"/>
              <w:jc w:val="center"/>
              <w:rPr>
                <w:rFonts w:ascii="Calibri" w:eastAsia="Times New Roman" w:hAnsi="Calibri" w:cs="Times New Roman"/>
                <w:lang w:val="en-US" w:eastAsia="da-DK"/>
              </w:rPr>
            </w:pPr>
          </w:p>
        </w:tc>
      </w:tr>
      <w:tr w:rsidR="00030076" w:rsidRPr="00763B44" w14:paraId="0C41D0F9" w14:textId="77777777" w:rsidTr="00991A60">
        <w:trPr>
          <w:trHeight w:val="300"/>
        </w:trPr>
        <w:tc>
          <w:tcPr>
            <w:tcW w:w="1957" w:type="pct"/>
            <w:tcBorders>
              <w:top w:val="nil"/>
              <w:left w:val="nil"/>
              <w:bottom w:val="nil"/>
              <w:right w:val="nil"/>
            </w:tcBorders>
            <w:shd w:val="clear" w:color="auto" w:fill="auto"/>
            <w:noWrap/>
            <w:vAlign w:val="center"/>
          </w:tcPr>
          <w:p w14:paraId="7283438C" w14:textId="77777777" w:rsidR="00030076" w:rsidRPr="00763B44" w:rsidDel="00575FE4" w:rsidRDefault="00030076" w:rsidP="00991A60">
            <w:pPr>
              <w:spacing w:after="0" w:line="240" w:lineRule="auto"/>
              <w:rPr>
                <w:rFonts w:eastAsia="Times New Roman" w:cstheme="minorHAnsi"/>
                <w:lang w:val="en-US" w:eastAsia="en-GB"/>
              </w:rPr>
            </w:pPr>
            <w:r w:rsidRPr="00763B44">
              <w:rPr>
                <w:rFonts w:eastAsia="Times New Roman" w:cstheme="minorHAnsi"/>
                <w:i/>
                <w:iCs/>
                <w:lang w:val="en-US" w:eastAsia="en-GB"/>
              </w:rPr>
              <w:t>Being single</w:t>
            </w:r>
          </w:p>
        </w:tc>
        <w:tc>
          <w:tcPr>
            <w:tcW w:w="627" w:type="pct"/>
            <w:tcBorders>
              <w:top w:val="nil"/>
              <w:left w:val="nil"/>
              <w:bottom w:val="nil"/>
              <w:right w:val="nil"/>
            </w:tcBorders>
            <w:shd w:val="clear" w:color="auto" w:fill="auto"/>
            <w:noWrap/>
            <w:vAlign w:val="center"/>
          </w:tcPr>
          <w:p w14:paraId="30C34FD1" w14:textId="77777777" w:rsidR="00030076" w:rsidRPr="00763B44" w:rsidRDefault="00030076" w:rsidP="00991A60">
            <w:pPr>
              <w:spacing w:after="0" w:line="240" w:lineRule="auto"/>
              <w:jc w:val="center"/>
              <w:rPr>
                <w:rFonts w:ascii="Calibri" w:eastAsia="Times New Roman" w:hAnsi="Calibri" w:cs="Times New Roman"/>
                <w:lang w:val="en-US" w:eastAsia="da-DK"/>
              </w:rPr>
            </w:pPr>
          </w:p>
        </w:tc>
        <w:tc>
          <w:tcPr>
            <w:tcW w:w="835" w:type="pct"/>
            <w:tcBorders>
              <w:top w:val="nil"/>
              <w:left w:val="nil"/>
              <w:bottom w:val="nil"/>
              <w:right w:val="nil"/>
            </w:tcBorders>
            <w:vAlign w:val="center"/>
          </w:tcPr>
          <w:p w14:paraId="4FD9C570" w14:textId="77777777" w:rsidR="00030076" w:rsidRPr="00CE79A0" w:rsidRDefault="00030076" w:rsidP="00991A60">
            <w:pPr>
              <w:spacing w:after="0" w:line="240" w:lineRule="auto"/>
              <w:jc w:val="center"/>
              <w:rPr>
                <w:rFonts w:ascii="Calibri" w:eastAsia="Times New Roman" w:hAnsi="Calibri" w:cs="Times New Roman"/>
                <w:lang w:val="en-US" w:eastAsia="da-DK"/>
              </w:rPr>
            </w:pPr>
            <w:r w:rsidRPr="00CE79A0">
              <w:rPr>
                <w:rFonts w:ascii="Calibri" w:eastAsia="Times New Roman" w:hAnsi="Calibri" w:cs="Times New Roman"/>
                <w:lang w:val="en-US" w:eastAsia="da-DK"/>
              </w:rPr>
              <w:t>0.65 (0.32-1.32)</w:t>
            </w:r>
          </w:p>
        </w:tc>
        <w:tc>
          <w:tcPr>
            <w:tcW w:w="783" w:type="pct"/>
            <w:tcBorders>
              <w:top w:val="nil"/>
              <w:left w:val="nil"/>
              <w:bottom w:val="nil"/>
              <w:right w:val="nil"/>
            </w:tcBorders>
            <w:shd w:val="clear" w:color="auto" w:fill="auto"/>
            <w:noWrap/>
            <w:vAlign w:val="center"/>
          </w:tcPr>
          <w:p w14:paraId="70784296" w14:textId="77777777" w:rsidR="00030076" w:rsidRPr="00763B44" w:rsidRDefault="00030076" w:rsidP="00991A60">
            <w:pPr>
              <w:spacing w:after="0" w:line="240" w:lineRule="auto"/>
              <w:jc w:val="center"/>
              <w:rPr>
                <w:rFonts w:ascii="Calibri" w:eastAsia="Times New Roman" w:hAnsi="Calibri" w:cs="Times New Roman"/>
                <w:lang w:val="en-US" w:eastAsia="da-DK"/>
              </w:rPr>
            </w:pPr>
          </w:p>
        </w:tc>
        <w:tc>
          <w:tcPr>
            <w:tcW w:w="798" w:type="pct"/>
            <w:tcBorders>
              <w:top w:val="nil"/>
              <w:left w:val="nil"/>
              <w:bottom w:val="nil"/>
              <w:right w:val="nil"/>
            </w:tcBorders>
            <w:vAlign w:val="center"/>
          </w:tcPr>
          <w:p w14:paraId="509F59B8" w14:textId="77777777" w:rsidR="00030076" w:rsidRPr="00CE79A0" w:rsidRDefault="00030076" w:rsidP="00991A60">
            <w:pPr>
              <w:spacing w:after="0" w:line="240" w:lineRule="auto"/>
              <w:jc w:val="center"/>
              <w:rPr>
                <w:rFonts w:ascii="Calibri" w:eastAsia="Times New Roman" w:hAnsi="Calibri" w:cs="Times New Roman"/>
                <w:lang w:val="en-US" w:eastAsia="da-DK"/>
              </w:rPr>
            </w:pPr>
            <w:r w:rsidRPr="00CE79A0">
              <w:rPr>
                <w:rFonts w:ascii="Calibri" w:eastAsia="Times New Roman" w:hAnsi="Calibri" w:cs="Times New Roman"/>
                <w:lang w:val="en-US" w:eastAsia="da-DK"/>
              </w:rPr>
              <w:t>1.79 (1.16-2.76)**</w:t>
            </w:r>
          </w:p>
        </w:tc>
      </w:tr>
      <w:tr w:rsidR="00030076" w:rsidRPr="00F20930" w14:paraId="741421B6" w14:textId="77777777" w:rsidTr="00991A60">
        <w:trPr>
          <w:trHeight w:val="315"/>
        </w:trPr>
        <w:tc>
          <w:tcPr>
            <w:tcW w:w="1957" w:type="pct"/>
            <w:tcBorders>
              <w:top w:val="nil"/>
              <w:left w:val="nil"/>
              <w:bottom w:val="nil"/>
              <w:right w:val="nil"/>
            </w:tcBorders>
            <w:shd w:val="clear" w:color="auto" w:fill="auto"/>
            <w:noWrap/>
            <w:vAlign w:val="center"/>
          </w:tcPr>
          <w:p w14:paraId="53FA8DDD" w14:textId="77777777" w:rsidR="00030076" w:rsidRPr="00763B44" w:rsidRDefault="00030076" w:rsidP="00991A60">
            <w:pPr>
              <w:spacing w:after="0" w:line="240" w:lineRule="auto"/>
              <w:rPr>
                <w:rFonts w:eastAsia="Times New Roman" w:cstheme="minorHAnsi"/>
                <w:lang w:val="en-US" w:eastAsia="en-GB"/>
              </w:rPr>
            </w:pPr>
            <w:r w:rsidRPr="00763B44">
              <w:rPr>
                <w:rFonts w:eastAsia="Times New Roman" w:cstheme="minorHAnsi"/>
                <w:lang w:val="en-US" w:eastAsia="en-GB"/>
              </w:rPr>
              <w:t>Employment status (ref=Working/education)</w:t>
            </w:r>
          </w:p>
        </w:tc>
        <w:tc>
          <w:tcPr>
            <w:tcW w:w="627" w:type="pct"/>
            <w:tcBorders>
              <w:top w:val="nil"/>
              <w:left w:val="nil"/>
              <w:bottom w:val="nil"/>
              <w:right w:val="nil"/>
            </w:tcBorders>
            <w:shd w:val="clear" w:color="auto" w:fill="auto"/>
            <w:noWrap/>
            <w:vAlign w:val="center"/>
          </w:tcPr>
          <w:p w14:paraId="4E2133F9" w14:textId="77777777" w:rsidR="00030076" w:rsidRPr="00763B44" w:rsidRDefault="00030076" w:rsidP="00991A60">
            <w:pPr>
              <w:spacing w:after="0" w:line="240" w:lineRule="auto"/>
              <w:jc w:val="center"/>
              <w:rPr>
                <w:rFonts w:ascii="Calibri" w:eastAsia="Times New Roman" w:hAnsi="Calibri" w:cs="Times New Roman"/>
                <w:lang w:val="en-US" w:eastAsia="da-DK"/>
              </w:rPr>
            </w:pPr>
          </w:p>
        </w:tc>
        <w:tc>
          <w:tcPr>
            <w:tcW w:w="835" w:type="pct"/>
            <w:tcBorders>
              <w:top w:val="nil"/>
              <w:left w:val="nil"/>
              <w:bottom w:val="nil"/>
              <w:right w:val="nil"/>
            </w:tcBorders>
            <w:vAlign w:val="center"/>
          </w:tcPr>
          <w:p w14:paraId="6AD3A561" w14:textId="77777777" w:rsidR="00030076" w:rsidRPr="00CE79A0" w:rsidRDefault="00030076" w:rsidP="00991A60">
            <w:pPr>
              <w:spacing w:after="0" w:line="240" w:lineRule="auto"/>
              <w:jc w:val="center"/>
              <w:rPr>
                <w:rFonts w:ascii="Calibri" w:eastAsia="Times New Roman" w:hAnsi="Calibri" w:cs="Times New Roman"/>
                <w:lang w:val="en-US" w:eastAsia="da-DK"/>
              </w:rPr>
            </w:pPr>
          </w:p>
        </w:tc>
        <w:tc>
          <w:tcPr>
            <w:tcW w:w="783" w:type="pct"/>
            <w:tcBorders>
              <w:top w:val="nil"/>
              <w:left w:val="nil"/>
              <w:bottom w:val="nil"/>
              <w:right w:val="nil"/>
            </w:tcBorders>
            <w:shd w:val="clear" w:color="auto" w:fill="auto"/>
            <w:noWrap/>
            <w:vAlign w:val="center"/>
          </w:tcPr>
          <w:p w14:paraId="547C76D8" w14:textId="77777777" w:rsidR="00030076" w:rsidRPr="00763B44" w:rsidRDefault="00030076" w:rsidP="00991A60">
            <w:pPr>
              <w:spacing w:after="0" w:line="240" w:lineRule="auto"/>
              <w:jc w:val="center"/>
              <w:rPr>
                <w:rFonts w:ascii="Calibri" w:eastAsia="Times New Roman" w:hAnsi="Calibri" w:cs="Times New Roman"/>
                <w:lang w:val="en-US" w:eastAsia="da-DK"/>
              </w:rPr>
            </w:pPr>
          </w:p>
        </w:tc>
        <w:tc>
          <w:tcPr>
            <w:tcW w:w="798" w:type="pct"/>
            <w:tcBorders>
              <w:top w:val="nil"/>
              <w:left w:val="nil"/>
              <w:bottom w:val="nil"/>
              <w:right w:val="nil"/>
            </w:tcBorders>
            <w:vAlign w:val="center"/>
          </w:tcPr>
          <w:p w14:paraId="45E81901" w14:textId="77777777" w:rsidR="00030076" w:rsidRPr="00CE79A0" w:rsidRDefault="00030076" w:rsidP="00991A60">
            <w:pPr>
              <w:spacing w:after="0" w:line="240" w:lineRule="auto"/>
              <w:jc w:val="center"/>
              <w:rPr>
                <w:rFonts w:ascii="Calibri" w:eastAsia="Times New Roman" w:hAnsi="Calibri" w:cs="Times New Roman"/>
                <w:lang w:val="en-US" w:eastAsia="da-DK"/>
              </w:rPr>
            </w:pPr>
          </w:p>
        </w:tc>
      </w:tr>
      <w:tr w:rsidR="00030076" w:rsidRPr="00763B44" w14:paraId="18318B7D" w14:textId="77777777" w:rsidTr="00991A60">
        <w:trPr>
          <w:trHeight w:val="315"/>
        </w:trPr>
        <w:tc>
          <w:tcPr>
            <w:tcW w:w="1957" w:type="pct"/>
            <w:tcBorders>
              <w:top w:val="nil"/>
              <w:left w:val="nil"/>
              <w:bottom w:val="nil"/>
              <w:right w:val="nil"/>
            </w:tcBorders>
            <w:shd w:val="clear" w:color="auto" w:fill="auto"/>
            <w:noWrap/>
            <w:vAlign w:val="center"/>
          </w:tcPr>
          <w:p w14:paraId="435E47F7" w14:textId="77777777" w:rsidR="00030076" w:rsidRPr="00763B44" w:rsidRDefault="00030076" w:rsidP="00991A60">
            <w:pPr>
              <w:spacing w:after="0" w:line="240" w:lineRule="auto"/>
              <w:rPr>
                <w:rFonts w:eastAsia="Times New Roman" w:cstheme="minorHAnsi"/>
                <w:i/>
                <w:iCs/>
                <w:lang w:eastAsia="en-GB"/>
              </w:rPr>
            </w:pPr>
            <w:r w:rsidRPr="00763B44">
              <w:rPr>
                <w:rFonts w:eastAsia="Times New Roman" w:cstheme="minorHAnsi"/>
                <w:i/>
                <w:iCs/>
                <w:lang w:val="en-US" w:eastAsia="en-GB"/>
              </w:rPr>
              <w:t>Unemployed</w:t>
            </w:r>
          </w:p>
        </w:tc>
        <w:tc>
          <w:tcPr>
            <w:tcW w:w="627" w:type="pct"/>
            <w:tcBorders>
              <w:top w:val="nil"/>
              <w:left w:val="nil"/>
              <w:bottom w:val="nil"/>
              <w:right w:val="nil"/>
            </w:tcBorders>
            <w:shd w:val="clear" w:color="auto" w:fill="auto"/>
            <w:noWrap/>
            <w:vAlign w:val="center"/>
          </w:tcPr>
          <w:p w14:paraId="12FBAA85" w14:textId="77777777" w:rsidR="00030076" w:rsidRPr="00763B44" w:rsidRDefault="00030076" w:rsidP="00991A60">
            <w:pPr>
              <w:spacing w:after="0" w:line="240" w:lineRule="auto"/>
              <w:jc w:val="center"/>
              <w:rPr>
                <w:rFonts w:ascii="Calibri" w:eastAsia="Times New Roman" w:hAnsi="Calibri" w:cs="Times New Roman"/>
                <w:lang w:val="en-US" w:eastAsia="da-DK"/>
              </w:rPr>
            </w:pPr>
          </w:p>
        </w:tc>
        <w:tc>
          <w:tcPr>
            <w:tcW w:w="835" w:type="pct"/>
            <w:tcBorders>
              <w:top w:val="nil"/>
              <w:left w:val="nil"/>
              <w:bottom w:val="nil"/>
              <w:right w:val="nil"/>
            </w:tcBorders>
            <w:vAlign w:val="center"/>
          </w:tcPr>
          <w:p w14:paraId="5BC97759" w14:textId="77777777" w:rsidR="00030076" w:rsidRPr="00CE79A0" w:rsidRDefault="00030076" w:rsidP="00991A60">
            <w:pPr>
              <w:spacing w:after="0" w:line="240" w:lineRule="auto"/>
              <w:jc w:val="center"/>
              <w:rPr>
                <w:rFonts w:ascii="Calibri" w:eastAsia="Times New Roman" w:hAnsi="Calibri" w:cs="Times New Roman"/>
                <w:lang w:val="en-US" w:eastAsia="da-DK"/>
              </w:rPr>
            </w:pPr>
            <w:r w:rsidRPr="00CE79A0">
              <w:rPr>
                <w:rFonts w:ascii="Calibri" w:eastAsia="Times New Roman" w:hAnsi="Calibri" w:cs="Times New Roman"/>
                <w:lang w:val="en-US" w:eastAsia="da-DK"/>
              </w:rPr>
              <w:t>2.14 (0.67-6.80)</w:t>
            </w:r>
          </w:p>
        </w:tc>
        <w:tc>
          <w:tcPr>
            <w:tcW w:w="783" w:type="pct"/>
            <w:tcBorders>
              <w:top w:val="nil"/>
              <w:left w:val="nil"/>
              <w:bottom w:val="nil"/>
              <w:right w:val="nil"/>
            </w:tcBorders>
            <w:shd w:val="clear" w:color="auto" w:fill="auto"/>
            <w:noWrap/>
            <w:vAlign w:val="center"/>
          </w:tcPr>
          <w:p w14:paraId="5AF472AA" w14:textId="77777777" w:rsidR="00030076" w:rsidRPr="00763B44" w:rsidRDefault="00030076" w:rsidP="00991A60">
            <w:pPr>
              <w:spacing w:after="0" w:line="240" w:lineRule="auto"/>
              <w:jc w:val="center"/>
              <w:rPr>
                <w:rFonts w:ascii="Calibri" w:eastAsia="Times New Roman" w:hAnsi="Calibri" w:cs="Times New Roman"/>
                <w:lang w:val="en-US" w:eastAsia="da-DK"/>
              </w:rPr>
            </w:pPr>
          </w:p>
        </w:tc>
        <w:tc>
          <w:tcPr>
            <w:tcW w:w="798" w:type="pct"/>
            <w:tcBorders>
              <w:top w:val="nil"/>
              <w:left w:val="nil"/>
              <w:bottom w:val="nil"/>
              <w:right w:val="nil"/>
            </w:tcBorders>
            <w:vAlign w:val="center"/>
          </w:tcPr>
          <w:p w14:paraId="6EDFBBB9" w14:textId="77777777" w:rsidR="00030076" w:rsidRPr="00CE79A0" w:rsidRDefault="00030076" w:rsidP="00991A60">
            <w:pPr>
              <w:spacing w:after="0" w:line="240" w:lineRule="auto"/>
              <w:jc w:val="center"/>
              <w:rPr>
                <w:rFonts w:ascii="Calibri" w:eastAsia="Times New Roman" w:hAnsi="Calibri" w:cs="Times New Roman"/>
                <w:lang w:val="en-US" w:eastAsia="da-DK"/>
              </w:rPr>
            </w:pPr>
            <w:r w:rsidRPr="00CE79A0">
              <w:rPr>
                <w:rFonts w:ascii="Calibri" w:eastAsia="Times New Roman" w:hAnsi="Calibri" w:cs="Times New Roman"/>
                <w:lang w:val="en-US" w:eastAsia="da-DK"/>
              </w:rPr>
              <w:t>1.93 (0.78-4.76)</w:t>
            </w:r>
          </w:p>
        </w:tc>
      </w:tr>
      <w:tr w:rsidR="00030076" w:rsidRPr="00763B44" w14:paraId="2D71BBD4" w14:textId="77777777" w:rsidTr="00991A60">
        <w:trPr>
          <w:trHeight w:val="315"/>
        </w:trPr>
        <w:tc>
          <w:tcPr>
            <w:tcW w:w="1957" w:type="pct"/>
            <w:tcBorders>
              <w:top w:val="nil"/>
              <w:left w:val="nil"/>
              <w:bottom w:val="nil"/>
              <w:right w:val="nil"/>
            </w:tcBorders>
            <w:shd w:val="clear" w:color="auto" w:fill="auto"/>
            <w:noWrap/>
            <w:vAlign w:val="center"/>
          </w:tcPr>
          <w:p w14:paraId="3FC107D0" w14:textId="77777777" w:rsidR="00030076" w:rsidRPr="00763B44" w:rsidRDefault="00030076" w:rsidP="00991A60">
            <w:pPr>
              <w:spacing w:after="0" w:line="240" w:lineRule="auto"/>
              <w:rPr>
                <w:rFonts w:eastAsia="Times New Roman" w:cstheme="minorHAnsi"/>
                <w:i/>
                <w:iCs/>
                <w:lang w:eastAsia="en-GB"/>
              </w:rPr>
            </w:pPr>
            <w:r w:rsidRPr="00763B44">
              <w:rPr>
                <w:rFonts w:eastAsia="Times New Roman" w:cstheme="minorHAnsi"/>
                <w:i/>
                <w:iCs/>
                <w:lang w:val="en-US" w:eastAsia="en-GB"/>
              </w:rPr>
              <w:t>Receiving sickness benefits</w:t>
            </w:r>
          </w:p>
        </w:tc>
        <w:tc>
          <w:tcPr>
            <w:tcW w:w="627" w:type="pct"/>
            <w:tcBorders>
              <w:top w:val="nil"/>
              <w:left w:val="nil"/>
              <w:bottom w:val="nil"/>
              <w:right w:val="nil"/>
            </w:tcBorders>
            <w:shd w:val="clear" w:color="auto" w:fill="auto"/>
            <w:noWrap/>
            <w:vAlign w:val="center"/>
          </w:tcPr>
          <w:p w14:paraId="6B558263" w14:textId="77777777" w:rsidR="00030076" w:rsidRPr="00763B44" w:rsidRDefault="00030076" w:rsidP="00991A60">
            <w:pPr>
              <w:spacing w:after="0" w:line="240" w:lineRule="auto"/>
              <w:jc w:val="center"/>
              <w:rPr>
                <w:rFonts w:ascii="Calibri" w:eastAsia="Times New Roman" w:hAnsi="Calibri" w:cs="Times New Roman"/>
                <w:lang w:val="en-US" w:eastAsia="da-DK"/>
              </w:rPr>
            </w:pPr>
          </w:p>
        </w:tc>
        <w:tc>
          <w:tcPr>
            <w:tcW w:w="835" w:type="pct"/>
            <w:tcBorders>
              <w:top w:val="nil"/>
              <w:left w:val="nil"/>
              <w:bottom w:val="nil"/>
              <w:right w:val="nil"/>
            </w:tcBorders>
            <w:vAlign w:val="center"/>
          </w:tcPr>
          <w:p w14:paraId="4A780946" w14:textId="77777777" w:rsidR="00030076" w:rsidRPr="00CE79A0" w:rsidRDefault="00030076" w:rsidP="00991A60">
            <w:pPr>
              <w:spacing w:after="0" w:line="240" w:lineRule="auto"/>
              <w:jc w:val="center"/>
              <w:rPr>
                <w:rFonts w:ascii="Calibri" w:eastAsia="Times New Roman" w:hAnsi="Calibri" w:cs="Times New Roman"/>
                <w:lang w:val="en-US" w:eastAsia="da-DK"/>
              </w:rPr>
            </w:pPr>
            <w:r w:rsidRPr="00CE79A0">
              <w:rPr>
                <w:rFonts w:ascii="Calibri" w:eastAsia="Times New Roman" w:hAnsi="Calibri" w:cs="Times New Roman"/>
                <w:lang w:val="en-US" w:eastAsia="da-DK"/>
              </w:rPr>
              <w:t>3.28 (1.67-6.47)**</w:t>
            </w:r>
          </w:p>
        </w:tc>
        <w:tc>
          <w:tcPr>
            <w:tcW w:w="783" w:type="pct"/>
            <w:tcBorders>
              <w:top w:val="nil"/>
              <w:left w:val="nil"/>
              <w:bottom w:val="nil"/>
              <w:right w:val="nil"/>
            </w:tcBorders>
            <w:shd w:val="clear" w:color="auto" w:fill="auto"/>
            <w:noWrap/>
            <w:vAlign w:val="center"/>
          </w:tcPr>
          <w:p w14:paraId="7A089F43" w14:textId="77777777" w:rsidR="00030076" w:rsidRPr="00763B44" w:rsidRDefault="00030076" w:rsidP="00991A60">
            <w:pPr>
              <w:spacing w:after="0" w:line="240" w:lineRule="auto"/>
              <w:jc w:val="center"/>
              <w:rPr>
                <w:rFonts w:ascii="Calibri" w:eastAsia="Times New Roman" w:hAnsi="Calibri" w:cs="Times New Roman"/>
                <w:lang w:val="en-US" w:eastAsia="da-DK"/>
              </w:rPr>
            </w:pPr>
          </w:p>
        </w:tc>
        <w:tc>
          <w:tcPr>
            <w:tcW w:w="798" w:type="pct"/>
            <w:tcBorders>
              <w:top w:val="nil"/>
              <w:left w:val="nil"/>
              <w:bottom w:val="nil"/>
              <w:right w:val="nil"/>
            </w:tcBorders>
            <w:vAlign w:val="center"/>
          </w:tcPr>
          <w:p w14:paraId="37D2CF91" w14:textId="77777777" w:rsidR="00030076" w:rsidRPr="00CE79A0" w:rsidRDefault="00030076" w:rsidP="00991A60">
            <w:pPr>
              <w:spacing w:after="0" w:line="240" w:lineRule="auto"/>
              <w:jc w:val="center"/>
              <w:rPr>
                <w:rFonts w:ascii="Calibri" w:eastAsia="Times New Roman" w:hAnsi="Calibri" w:cs="Times New Roman"/>
                <w:lang w:val="en-US" w:eastAsia="da-DK"/>
              </w:rPr>
            </w:pPr>
            <w:r w:rsidRPr="00CE79A0">
              <w:rPr>
                <w:rFonts w:ascii="Calibri" w:eastAsia="Times New Roman" w:hAnsi="Calibri" w:cs="Times New Roman"/>
                <w:lang w:val="en-US" w:eastAsia="da-DK"/>
              </w:rPr>
              <w:t>1.78 (1.03-3.08)*</w:t>
            </w:r>
          </w:p>
        </w:tc>
      </w:tr>
      <w:tr w:rsidR="00030076" w:rsidRPr="00763B44" w14:paraId="6845FC3E" w14:textId="77777777" w:rsidTr="00991A60">
        <w:trPr>
          <w:trHeight w:val="315"/>
        </w:trPr>
        <w:tc>
          <w:tcPr>
            <w:tcW w:w="1957" w:type="pct"/>
            <w:tcBorders>
              <w:top w:val="nil"/>
              <w:left w:val="nil"/>
              <w:bottom w:val="nil"/>
              <w:right w:val="nil"/>
            </w:tcBorders>
            <w:shd w:val="clear" w:color="auto" w:fill="auto"/>
            <w:noWrap/>
            <w:vAlign w:val="center"/>
          </w:tcPr>
          <w:p w14:paraId="7F3F78CC" w14:textId="77777777" w:rsidR="00030076" w:rsidRPr="00763B44" w:rsidRDefault="00030076" w:rsidP="00991A60">
            <w:pPr>
              <w:spacing w:after="0" w:line="240" w:lineRule="auto"/>
              <w:rPr>
                <w:rFonts w:eastAsia="Times New Roman" w:cstheme="minorHAnsi"/>
                <w:lang w:val="en-GB" w:eastAsia="en-GB"/>
              </w:rPr>
            </w:pPr>
            <w:r w:rsidRPr="00763B44">
              <w:rPr>
                <w:rFonts w:eastAsia="Times New Roman" w:cstheme="minorHAnsi"/>
                <w:lang w:val="en-US" w:eastAsia="en-GB"/>
              </w:rPr>
              <w:t>Time before contacting MPD &gt;5 years (ref=yes)</w:t>
            </w:r>
            <w:r w:rsidRPr="00763B44">
              <w:rPr>
                <w:rFonts w:ascii="Courier New" w:hAnsi="Courier New" w:cs="Courier New"/>
                <w:sz w:val="20"/>
                <w:szCs w:val="20"/>
                <w:shd w:val="clear" w:color="auto" w:fill="FFFFFF"/>
                <w:lang w:val="en-GB"/>
              </w:rPr>
              <w:t xml:space="preserve"> </w:t>
            </w:r>
          </w:p>
        </w:tc>
        <w:tc>
          <w:tcPr>
            <w:tcW w:w="627" w:type="pct"/>
            <w:tcBorders>
              <w:top w:val="nil"/>
              <w:left w:val="nil"/>
              <w:bottom w:val="nil"/>
              <w:right w:val="nil"/>
            </w:tcBorders>
            <w:shd w:val="clear" w:color="auto" w:fill="auto"/>
            <w:noWrap/>
            <w:vAlign w:val="center"/>
          </w:tcPr>
          <w:p w14:paraId="410A2092" w14:textId="77777777" w:rsidR="00030076" w:rsidRPr="00763B44" w:rsidRDefault="00030076" w:rsidP="00991A60">
            <w:pPr>
              <w:spacing w:after="0" w:line="240" w:lineRule="auto"/>
              <w:jc w:val="center"/>
              <w:rPr>
                <w:rFonts w:ascii="Calibri" w:eastAsia="Times New Roman" w:hAnsi="Calibri" w:cs="Times New Roman"/>
                <w:lang w:val="en-US" w:eastAsia="da-DK"/>
              </w:rPr>
            </w:pPr>
          </w:p>
        </w:tc>
        <w:tc>
          <w:tcPr>
            <w:tcW w:w="835" w:type="pct"/>
            <w:tcBorders>
              <w:top w:val="nil"/>
              <w:left w:val="nil"/>
              <w:bottom w:val="nil"/>
              <w:right w:val="nil"/>
            </w:tcBorders>
            <w:vAlign w:val="center"/>
          </w:tcPr>
          <w:p w14:paraId="3C90619F" w14:textId="77777777" w:rsidR="00030076" w:rsidRPr="00CE79A0" w:rsidRDefault="00030076" w:rsidP="00991A60">
            <w:pPr>
              <w:spacing w:after="0" w:line="240" w:lineRule="auto"/>
              <w:jc w:val="center"/>
              <w:rPr>
                <w:rFonts w:ascii="Calibri" w:eastAsia="Times New Roman" w:hAnsi="Calibri" w:cs="Times New Roman"/>
                <w:lang w:val="en-US" w:eastAsia="da-DK"/>
              </w:rPr>
            </w:pPr>
            <w:r w:rsidRPr="00CE79A0">
              <w:rPr>
                <w:rFonts w:ascii="Calibri" w:eastAsia="Times New Roman" w:hAnsi="Calibri" w:cs="Times New Roman"/>
                <w:lang w:val="en-US" w:eastAsia="da-DK"/>
              </w:rPr>
              <w:t>0.64 (0.34-1.23)</w:t>
            </w:r>
          </w:p>
        </w:tc>
        <w:tc>
          <w:tcPr>
            <w:tcW w:w="783" w:type="pct"/>
            <w:tcBorders>
              <w:top w:val="nil"/>
              <w:left w:val="nil"/>
              <w:bottom w:val="nil"/>
              <w:right w:val="nil"/>
            </w:tcBorders>
            <w:shd w:val="clear" w:color="auto" w:fill="auto"/>
            <w:noWrap/>
            <w:vAlign w:val="center"/>
          </w:tcPr>
          <w:p w14:paraId="09FDEFC6" w14:textId="77777777" w:rsidR="00030076" w:rsidRPr="00763B44" w:rsidRDefault="00030076" w:rsidP="00991A60">
            <w:pPr>
              <w:spacing w:after="0" w:line="240" w:lineRule="auto"/>
              <w:jc w:val="center"/>
              <w:rPr>
                <w:rFonts w:ascii="Calibri" w:eastAsia="Times New Roman" w:hAnsi="Calibri" w:cs="Times New Roman"/>
                <w:lang w:val="en-US" w:eastAsia="da-DK"/>
              </w:rPr>
            </w:pPr>
          </w:p>
        </w:tc>
        <w:tc>
          <w:tcPr>
            <w:tcW w:w="798" w:type="pct"/>
            <w:tcBorders>
              <w:top w:val="nil"/>
              <w:left w:val="nil"/>
              <w:bottom w:val="nil"/>
              <w:right w:val="nil"/>
            </w:tcBorders>
            <w:vAlign w:val="center"/>
          </w:tcPr>
          <w:p w14:paraId="6DE43EB1" w14:textId="77777777" w:rsidR="00030076" w:rsidRPr="00CE79A0" w:rsidRDefault="00030076" w:rsidP="00991A60">
            <w:pPr>
              <w:spacing w:after="0" w:line="240" w:lineRule="auto"/>
              <w:jc w:val="center"/>
              <w:rPr>
                <w:rFonts w:ascii="Calibri" w:eastAsia="Times New Roman" w:hAnsi="Calibri" w:cs="Times New Roman"/>
                <w:lang w:val="en-US" w:eastAsia="da-DK"/>
              </w:rPr>
            </w:pPr>
            <w:r w:rsidRPr="00CE79A0">
              <w:rPr>
                <w:rFonts w:ascii="Calibri" w:eastAsia="Times New Roman" w:hAnsi="Calibri" w:cs="Times New Roman"/>
                <w:lang w:val="en-US" w:eastAsia="da-DK"/>
              </w:rPr>
              <w:t>1.08 (0.69-1.69)</w:t>
            </w:r>
          </w:p>
        </w:tc>
      </w:tr>
      <w:tr w:rsidR="00030076" w:rsidRPr="00F20930" w14:paraId="4C0DB523" w14:textId="77777777" w:rsidTr="00991A60">
        <w:trPr>
          <w:trHeight w:val="315"/>
        </w:trPr>
        <w:tc>
          <w:tcPr>
            <w:tcW w:w="1957" w:type="pct"/>
            <w:tcBorders>
              <w:top w:val="nil"/>
              <w:left w:val="nil"/>
              <w:bottom w:val="nil"/>
              <w:right w:val="nil"/>
            </w:tcBorders>
            <w:shd w:val="clear" w:color="auto" w:fill="auto"/>
            <w:noWrap/>
            <w:vAlign w:val="center"/>
          </w:tcPr>
          <w:p w14:paraId="5FEABEBF" w14:textId="77777777" w:rsidR="00030076" w:rsidRPr="00763B44" w:rsidRDefault="00030076" w:rsidP="00991A60">
            <w:pPr>
              <w:spacing w:after="0" w:line="240" w:lineRule="auto"/>
              <w:rPr>
                <w:rFonts w:eastAsia="Times New Roman" w:cstheme="minorHAnsi"/>
                <w:lang w:val="en-GB" w:eastAsia="en-GB"/>
              </w:rPr>
            </w:pPr>
            <w:r w:rsidRPr="00763B44">
              <w:rPr>
                <w:rFonts w:eastAsia="Times New Roman" w:cstheme="minorHAnsi"/>
                <w:lang w:val="en-US" w:eastAsia="en-GB"/>
              </w:rPr>
              <w:t>Time of trauma event (ref = Up to 12 months ago)</w:t>
            </w:r>
          </w:p>
        </w:tc>
        <w:tc>
          <w:tcPr>
            <w:tcW w:w="627" w:type="pct"/>
            <w:tcBorders>
              <w:top w:val="nil"/>
              <w:left w:val="nil"/>
              <w:bottom w:val="nil"/>
              <w:right w:val="nil"/>
            </w:tcBorders>
            <w:shd w:val="clear" w:color="auto" w:fill="auto"/>
            <w:noWrap/>
            <w:vAlign w:val="center"/>
          </w:tcPr>
          <w:p w14:paraId="4BA498A0" w14:textId="77777777" w:rsidR="00030076" w:rsidRPr="00763B44" w:rsidRDefault="00030076" w:rsidP="00991A60">
            <w:pPr>
              <w:spacing w:after="0" w:line="240" w:lineRule="auto"/>
              <w:jc w:val="center"/>
              <w:rPr>
                <w:rFonts w:ascii="Calibri" w:eastAsia="Times New Roman" w:hAnsi="Calibri" w:cs="Times New Roman"/>
                <w:lang w:val="en-GB" w:eastAsia="da-DK"/>
              </w:rPr>
            </w:pPr>
          </w:p>
        </w:tc>
        <w:tc>
          <w:tcPr>
            <w:tcW w:w="835" w:type="pct"/>
            <w:tcBorders>
              <w:top w:val="nil"/>
              <w:left w:val="nil"/>
              <w:bottom w:val="nil"/>
              <w:right w:val="nil"/>
            </w:tcBorders>
            <w:vAlign w:val="center"/>
          </w:tcPr>
          <w:p w14:paraId="048019E8" w14:textId="77777777" w:rsidR="00030076" w:rsidRPr="00CE79A0" w:rsidRDefault="00030076" w:rsidP="00991A60">
            <w:pPr>
              <w:spacing w:after="0" w:line="240" w:lineRule="auto"/>
              <w:jc w:val="center"/>
              <w:rPr>
                <w:rFonts w:ascii="Calibri" w:eastAsia="Times New Roman" w:hAnsi="Calibri" w:cs="Times New Roman"/>
                <w:lang w:val="en-GB" w:eastAsia="da-DK"/>
              </w:rPr>
            </w:pPr>
          </w:p>
        </w:tc>
        <w:tc>
          <w:tcPr>
            <w:tcW w:w="783" w:type="pct"/>
            <w:tcBorders>
              <w:top w:val="nil"/>
              <w:left w:val="nil"/>
              <w:bottom w:val="nil"/>
              <w:right w:val="nil"/>
            </w:tcBorders>
            <w:shd w:val="clear" w:color="auto" w:fill="auto"/>
            <w:noWrap/>
            <w:vAlign w:val="center"/>
          </w:tcPr>
          <w:p w14:paraId="416E7C59" w14:textId="77777777" w:rsidR="00030076" w:rsidRPr="00763B44" w:rsidRDefault="00030076" w:rsidP="00991A60">
            <w:pPr>
              <w:spacing w:after="0" w:line="240" w:lineRule="auto"/>
              <w:jc w:val="center"/>
              <w:rPr>
                <w:rFonts w:ascii="Calibri" w:eastAsia="Times New Roman" w:hAnsi="Calibri" w:cs="Times New Roman"/>
                <w:lang w:val="en-GB" w:eastAsia="da-DK"/>
              </w:rPr>
            </w:pPr>
          </w:p>
        </w:tc>
        <w:tc>
          <w:tcPr>
            <w:tcW w:w="798" w:type="pct"/>
            <w:tcBorders>
              <w:top w:val="nil"/>
              <w:left w:val="nil"/>
              <w:bottom w:val="nil"/>
              <w:right w:val="nil"/>
            </w:tcBorders>
            <w:vAlign w:val="center"/>
          </w:tcPr>
          <w:p w14:paraId="46A53C78" w14:textId="77777777" w:rsidR="00030076" w:rsidRPr="00CE79A0" w:rsidRDefault="00030076" w:rsidP="00991A60">
            <w:pPr>
              <w:spacing w:after="0" w:line="240" w:lineRule="auto"/>
              <w:jc w:val="center"/>
              <w:rPr>
                <w:rFonts w:ascii="Calibri" w:eastAsia="Times New Roman" w:hAnsi="Calibri" w:cs="Times New Roman"/>
                <w:lang w:val="en-GB" w:eastAsia="da-DK"/>
              </w:rPr>
            </w:pPr>
          </w:p>
        </w:tc>
      </w:tr>
      <w:tr w:rsidR="00030076" w:rsidRPr="00763B44" w14:paraId="714E64B4" w14:textId="77777777" w:rsidTr="00991A60">
        <w:trPr>
          <w:trHeight w:val="315"/>
        </w:trPr>
        <w:tc>
          <w:tcPr>
            <w:tcW w:w="1957" w:type="pct"/>
            <w:tcBorders>
              <w:top w:val="nil"/>
              <w:left w:val="nil"/>
              <w:right w:val="nil"/>
            </w:tcBorders>
            <w:shd w:val="clear" w:color="auto" w:fill="auto"/>
            <w:noWrap/>
            <w:vAlign w:val="center"/>
          </w:tcPr>
          <w:p w14:paraId="44EAEEFC" w14:textId="77777777" w:rsidR="00030076" w:rsidRPr="00763B44" w:rsidRDefault="00030076" w:rsidP="00991A60">
            <w:pPr>
              <w:spacing w:after="0" w:line="240" w:lineRule="auto"/>
              <w:rPr>
                <w:rFonts w:eastAsia="Times New Roman" w:cstheme="minorHAnsi"/>
                <w:i/>
                <w:iCs/>
                <w:lang w:val="en-US" w:eastAsia="en-GB"/>
              </w:rPr>
            </w:pPr>
            <w:r w:rsidRPr="00763B44">
              <w:rPr>
                <w:rFonts w:eastAsia="Times New Roman" w:cstheme="minorHAnsi"/>
                <w:i/>
                <w:iCs/>
                <w:lang w:val="en-US" w:eastAsia="en-GB"/>
              </w:rPr>
              <w:t>1 to 10 years ago</w:t>
            </w:r>
          </w:p>
        </w:tc>
        <w:tc>
          <w:tcPr>
            <w:tcW w:w="627" w:type="pct"/>
            <w:tcBorders>
              <w:top w:val="nil"/>
              <w:left w:val="nil"/>
              <w:right w:val="nil"/>
            </w:tcBorders>
            <w:shd w:val="clear" w:color="auto" w:fill="auto"/>
            <w:noWrap/>
            <w:vAlign w:val="center"/>
          </w:tcPr>
          <w:p w14:paraId="03DF0946" w14:textId="77777777" w:rsidR="00030076" w:rsidRPr="00763B44" w:rsidRDefault="00030076" w:rsidP="00991A60">
            <w:pPr>
              <w:spacing w:after="0" w:line="240" w:lineRule="auto"/>
              <w:jc w:val="center"/>
              <w:rPr>
                <w:rFonts w:ascii="Calibri" w:eastAsia="Times New Roman" w:hAnsi="Calibri" w:cs="Times New Roman"/>
                <w:lang w:val="en-US" w:eastAsia="da-DK"/>
              </w:rPr>
            </w:pPr>
          </w:p>
        </w:tc>
        <w:tc>
          <w:tcPr>
            <w:tcW w:w="835" w:type="pct"/>
            <w:tcBorders>
              <w:top w:val="nil"/>
              <w:left w:val="nil"/>
              <w:right w:val="nil"/>
            </w:tcBorders>
            <w:vAlign w:val="center"/>
          </w:tcPr>
          <w:p w14:paraId="1E738019" w14:textId="77777777" w:rsidR="00030076" w:rsidRPr="00CE79A0" w:rsidRDefault="00030076" w:rsidP="00991A60">
            <w:pPr>
              <w:spacing w:after="0" w:line="240" w:lineRule="auto"/>
              <w:jc w:val="center"/>
              <w:rPr>
                <w:rFonts w:ascii="Calibri" w:eastAsia="Times New Roman" w:hAnsi="Calibri" w:cs="Times New Roman"/>
                <w:lang w:val="en-US" w:eastAsia="da-DK"/>
              </w:rPr>
            </w:pPr>
            <w:r w:rsidRPr="00CE79A0">
              <w:rPr>
                <w:rFonts w:ascii="Calibri" w:eastAsia="Times New Roman" w:hAnsi="Calibri" w:cs="Times New Roman"/>
                <w:lang w:val="en-US" w:eastAsia="da-DK"/>
              </w:rPr>
              <w:t>1.22 (0.45-3.29)</w:t>
            </w:r>
          </w:p>
        </w:tc>
        <w:tc>
          <w:tcPr>
            <w:tcW w:w="783" w:type="pct"/>
            <w:tcBorders>
              <w:top w:val="nil"/>
              <w:left w:val="nil"/>
              <w:right w:val="nil"/>
            </w:tcBorders>
            <w:shd w:val="clear" w:color="auto" w:fill="auto"/>
            <w:noWrap/>
            <w:vAlign w:val="center"/>
          </w:tcPr>
          <w:p w14:paraId="5006055D" w14:textId="77777777" w:rsidR="00030076" w:rsidRPr="00763B44" w:rsidRDefault="00030076" w:rsidP="00991A60">
            <w:pPr>
              <w:spacing w:after="0" w:line="240" w:lineRule="auto"/>
              <w:jc w:val="center"/>
              <w:rPr>
                <w:rFonts w:ascii="Calibri" w:eastAsia="Times New Roman" w:hAnsi="Calibri" w:cs="Times New Roman"/>
                <w:lang w:val="en-US" w:eastAsia="da-DK"/>
              </w:rPr>
            </w:pPr>
          </w:p>
        </w:tc>
        <w:tc>
          <w:tcPr>
            <w:tcW w:w="798" w:type="pct"/>
            <w:tcBorders>
              <w:top w:val="nil"/>
              <w:left w:val="nil"/>
              <w:right w:val="nil"/>
            </w:tcBorders>
            <w:vAlign w:val="center"/>
          </w:tcPr>
          <w:p w14:paraId="1208A92A" w14:textId="77777777" w:rsidR="00030076" w:rsidRPr="00CE79A0" w:rsidRDefault="00030076" w:rsidP="00991A60">
            <w:pPr>
              <w:spacing w:after="0" w:line="240" w:lineRule="auto"/>
              <w:jc w:val="center"/>
              <w:rPr>
                <w:rFonts w:ascii="Calibri" w:eastAsia="Times New Roman" w:hAnsi="Calibri" w:cs="Times New Roman"/>
                <w:lang w:val="en-US" w:eastAsia="da-DK"/>
              </w:rPr>
            </w:pPr>
            <w:r w:rsidRPr="00CE79A0">
              <w:rPr>
                <w:rFonts w:ascii="Calibri" w:eastAsia="Times New Roman" w:hAnsi="Calibri" w:cs="Times New Roman"/>
                <w:lang w:val="en-US" w:eastAsia="da-DK"/>
              </w:rPr>
              <w:t>1.50 (0.77-2.92)</w:t>
            </w:r>
          </w:p>
        </w:tc>
      </w:tr>
      <w:tr w:rsidR="00030076" w:rsidRPr="00763B44" w14:paraId="54E0FEDA" w14:textId="77777777" w:rsidTr="00991A60">
        <w:trPr>
          <w:trHeight w:val="315"/>
        </w:trPr>
        <w:tc>
          <w:tcPr>
            <w:tcW w:w="1957" w:type="pct"/>
            <w:tcBorders>
              <w:top w:val="nil"/>
              <w:left w:val="nil"/>
              <w:bottom w:val="single" w:sz="4" w:space="0" w:color="auto"/>
              <w:right w:val="nil"/>
            </w:tcBorders>
            <w:shd w:val="clear" w:color="auto" w:fill="auto"/>
            <w:noWrap/>
            <w:vAlign w:val="center"/>
          </w:tcPr>
          <w:p w14:paraId="677A5349" w14:textId="77777777" w:rsidR="00030076" w:rsidRPr="002235CD" w:rsidRDefault="00030076" w:rsidP="00991A60">
            <w:pPr>
              <w:spacing w:after="0" w:line="240" w:lineRule="auto"/>
              <w:rPr>
                <w:rFonts w:eastAsia="Times New Roman" w:cstheme="minorHAnsi"/>
                <w:i/>
                <w:iCs/>
                <w:lang w:val="en-US" w:eastAsia="en-GB"/>
              </w:rPr>
            </w:pPr>
            <w:r w:rsidRPr="000E24CF">
              <w:rPr>
                <w:rFonts w:cstheme="minorHAnsi"/>
                <w:i/>
                <w:lang w:val="en-US"/>
              </w:rPr>
              <w:t>10 or more years ago</w:t>
            </w:r>
          </w:p>
        </w:tc>
        <w:tc>
          <w:tcPr>
            <w:tcW w:w="627" w:type="pct"/>
            <w:tcBorders>
              <w:top w:val="nil"/>
              <w:left w:val="nil"/>
              <w:bottom w:val="single" w:sz="4" w:space="0" w:color="auto"/>
              <w:right w:val="nil"/>
            </w:tcBorders>
            <w:shd w:val="clear" w:color="auto" w:fill="auto"/>
            <w:noWrap/>
            <w:vAlign w:val="center"/>
          </w:tcPr>
          <w:p w14:paraId="5ADA0823" w14:textId="77777777" w:rsidR="00030076" w:rsidRPr="00763B44" w:rsidRDefault="00030076" w:rsidP="00991A60">
            <w:pPr>
              <w:spacing w:after="0" w:line="240" w:lineRule="auto"/>
              <w:jc w:val="center"/>
              <w:rPr>
                <w:rFonts w:ascii="Calibri" w:eastAsia="Times New Roman" w:hAnsi="Calibri" w:cs="Times New Roman"/>
                <w:lang w:val="en-US" w:eastAsia="da-DK"/>
              </w:rPr>
            </w:pPr>
          </w:p>
        </w:tc>
        <w:tc>
          <w:tcPr>
            <w:tcW w:w="835" w:type="pct"/>
            <w:tcBorders>
              <w:top w:val="nil"/>
              <w:left w:val="nil"/>
              <w:bottom w:val="single" w:sz="4" w:space="0" w:color="auto"/>
              <w:right w:val="nil"/>
            </w:tcBorders>
            <w:vAlign w:val="center"/>
          </w:tcPr>
          <w:p w14:paraId="797700C7" w14:textId="77777777" w:rsidR="00030076" w:rsidRPr="00CE79A0" w:rsidRDefault="00030076" w:rsidP="00991A60">
            <w:pPr>
              <w:spacing w:after="0" w:line="240" w:lineRule="auto"/>
              <w:jc w:val="center"/>
              <w:rPr>
                <w:rFonts w:ascii="Calibri" w:eastAsia="Times New Roman" w:hAnsi="Calibri" w:cs="Times New Roman"/>
                <w:lang w:val="en-US" w:eastAsia="da-DK"/>
              </w:rPr>
            </w:pPr>
            <w:r w:rsidRPr="00CE79A0">
              <w:rPr>
                <w:rFonts w:ascii="Calibri" w:eastAsia="Times New Roman" w:hAnsi="Calibri" w:cs="Times New Roman"/>
                <w:lang w:val="en-US" w:eastAsia="da-DK"/>
              </w:rPr>
              <w:t>1.55 (0.56-4.33)</w:t>
            </w:r>
          </w:p>
        </w:tc>
        <w:tc>
          <w:tcPr>
            <w:tcW w:w="783" w:type="pct"/>
            <w:tcBorders>
              <w:top w:val="nil"/>
              <w:left w:val="nil"/>
              <w:bottom w:val="single" w:sz="4" w:space="0" w:color="auto"/>
              <w:right w:val="nil"/>
            </w:tcBorders>
            <w:shd w:val="clear" w:color="auto" w:fill="auto"/>
            <w:noWrap/>
            <w:vAlign w:val="center"/>
          </w:tcPr>
          <w:p w14:paraId="6565B8DE" w14:textId="77777777" w:rsidR="00030076" w:rsidRPr="00763B44" w:rsidRDefault="00030076" w:rsidP="00991A60">
            <w:pPr>
              <w:spacing w:after="0" w:line="240" w:lineRule="auto"/>
              <w:jc w:val="center"/>
              <w:rPr>
                <w:rFonts w:ascii="Calibri" w:eastAsia="Times New Roman" w:hAnsi="Calibri" w:cs="Times New Roman"/>
                <w:lang w:val="en-US" w:eastAsia="da-DK"/>
              </w:rPr>
            </w:pPr>
          </w:p>
        </w:tc>
        <w:tc>
          <w:tcPr>
            <w:tcW w:w="798" w:type="pct"/>
            <w:tcBorders>
              <w:top w:val="nil"/>
              <w:left w:val="nil"/>
              <w:bottom w:val="single" w:sz="4" w:space="0" w:color="auto"/>
              <w:right w:val="nil"/>
            </w:tcBorders>
            <w:vAlign w:val="center"/>
          </w:tcPr>
          <w:p w14:paraId="0A72101E" w14:textId="77777777" w:rsidR="00030076" w:rsidRPr="00CE79A0" w:rsidRDefault="00030076" w:rsidP="00991A60">
            <w:pPr>
              <w:tabs>
                <w:tab w:val="right" w:pos="2247"/>
              </w:tabs>
              <w:spacing w:after="0" w:line="240" w:lineRule="auto"/>
              <w:jc w:val="center"/>
              <w:rPr>
                <w:rFonts w:ascii="Calibri" w:eastAsia="Times New Roman" w:hAnsi="Calibri" w:cs="Times New Roman"/>
                <w:lang w:val="en-US" w:eastAsia="da-DK"/>
              </w:rPr>
            </w:pPr>
            <w:r w:rsidRPr="00CE79A0">
              <w:rPr>
                <w:rFonts w:ascii="Calibri" w:eastAsia="Times New Roman" w:hAnsi="Calibri" w:cs="Times New Roman"/>
                <w:lang w:val="en-US" w:eastAsia="da-DK"/>
              </w:rPr>
              <w:t>2.95 (1.49-5.85)**</w:t>
            </w:r>
          </w:p>
        </w:tc>
      </w:tr>
    </w:tbl>
    <w:p w14:paraId="569DD4A0" w14:textId="77777777" w:rsidR="00030076" w:rsidRPr="00763B44" w:rsidRDefault="00030076" w:rsidP="00030076">
      <w:pPr>
        <w:rPr>
          <w:rFonts w:ascii="Calibri" w:eastAsia="Times New Roman" w:hAnsi="Calibri" w:cs="Times New Roman"/>
          <w:lang w:val="en-US" w:eastAsia="da-DK"/>
        </w:rPr>
      </w:pPr>
      <w:r w:rsidRPr="00763B44">
        <w:rPr>
          <w:rFonts w:ascii="Calibri" w:eastAsia="Times New Roman" w:hAnsi="Calibri" w:cs="Times New Roman"/>
          <w:lang w:val="en-US" w:eastAsia="da-DK"/>
        </w:rPr>
        <w:t>Notes: OR (CI) = Odds ratio with 95% Confidence Intervals (CIs). P-values: *=p&lt;0.05, **=p&lt;0.01, ***=p&lt;0.001</w:t>
      </w:r>
    </w:p>
    <w:p w14:paraId="5EDEF2EA" w14:textId="1DAA4939" w:rsidR="00CE79A0" w:rsidRPr="00763B44" w:rsidRDefault="00CE79A0" w:rsidP="00030076">
      <w:pPr>
        <w:spacing w:line="360" w:lineRule="auto"/>
        <w:rPr>
          <w:rFonts w:ascii="Calibri" w:eastAsia="Times New Roman" w:hAnsi="Calibri" w:cs="Times New Roman"/>
          <w:lang w:val="en-US" w:eastAsia="da-DK"/>
        </w:rPr>
      </w:pPr>
    </w:p>
    <w:p w14:paraId="5CD73838" w14:textId="10F0C740" w:rsidR="00E00824" w:rsidRPr="00CE79A0" w:rsidRDefault="00E00824" w:rsidP="00CE79A0">
      <w:pPr>
        <w:spacing w:after="200" w:line="276" w:lineRule="auto"/>
        <w:rPr>
          <w:rFonts w:eastAsia="Times New Roman" w:cstheme="minorHAnsi"/>
          <w:b/>
          <w:bCs/>
          <w:lang w:val="en-US" w:eastAsia="en-GB"/>
        </w:rPr>
      </w:pPr>
    </w:p>
    <w:sectPr w:rsidR="00E00824" w:rsidRPr="00CE79A0" w:rsidSect="00CE79A0">
      <w:headerReference w:type="default" r:id="rId16"/>
      <w:footerReference w:type="default" r:id="rId17"/>
      <w:pgSz w:w="11906" w:h="16838"/>
      <w:pgMar w:top="1701" w:right="1134" w:bottom="1701"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041AE6" w16cid:durableId="27EFC940"/>
  <w16cid:commentId w16cid:paraId="0B57FD61" w16cid:durableId="27EFC941"/>
  <w16cid:commentId w16cid:paraId="274DF1C5" w16cid:durableId="27EFC94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C8118" w14:textId="77777777" w:rsidR="00707B6B" w:rsidRDefault="00707B6B" w:rsidP="00F11B5C">
      <w:pPr>
        <w:spacing w:after="0" w:line="240" w:lineRule="auto"/>
      </w:pPr>
      <w:r>
        <w:separator/>
      </w:r>
    </w:p>
  </w:endnote>
  <w:endnote w:type="continuationSeparator" w:id="0">
    <w:p w14:paraId="7F9B16C6" w14:textId="77777777" w:rsidR="00707B6B" w:rsidRDefault="00707B6B" w:rsidP="00F11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972617"/>
      <w:docPartObj>
        <w:docPartGallery w:val="Page Numbers (Bottom of Page)"/>
        <w:docPartUnique/>
      </w:docPartObj>
    </w:sdtPr>
    <w:sdtEndPr>
      <w:rPr>
        <w:sz w:val="20"/>
      </w:rPr>
    </w:sdtEndPr>
    <w:sdtContent>
      <w:p w14:paraId="3ED0B919" w14:textId="2C63BE92" w:rsidR="00DD62FF" w:rsidRPr="00E60946" w:rsidRDefault="00DD62FF">
        <w:pPr>
          <w:pStyle w:val="Sidefod"/>
          <w:jc w:val="right"/>
          <w:rPr>
            <w:sz w:val="20"/>
          </w:rPr>
        </w:pPr>
        <w:r w:rsidRPr="00E60946">
          <w:rPr>
            <w:sz w:val="20"/>
          </w:rPr>
          <w:fldChar w:fldCharType="begin"/>
        </w:r>
        <w:r w:rsidRPr="00E60946">
          <w:rPr>
            <w:sz w:val="20"/>
          </w:rPr>
          <w:instrText>PAGE   \* MERGEFORMAT</w:instrText>
        </w:r>
        <w:r w:rsidRPr="00E60946">
          <w:rPr>
            <w:sz w:val="20"/>
          </w:rPr>
          <w:fldChar w:fldCharType="separate"/>
        </w:r>
        <w:r w:rsidR="008C53F8">
          <w:rPr>
            <w:noProof/>
            <w:sz w:val="20"/>
          </w:rPr>
          <w:t>1</w:t>
        </w:r>
        <w:r w:rsidRPr="00E60946">
          <w:rPr>
            <w:sz w:val="20"/>
          </w:rPr>
          <w:fldChar w:fldCharType="end"/>
        </w:r>
      </w:p>
    </w:sdtContent>
  </w:sdt>
  <w:p w14:paraId="6859D45D" w14:textId="77777777" w:rsidR="00DD62FF" w:rsidRDefault="00DD62FF">
    <w:pPr>
      <w:pStyle w:val="Sidefo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964128"/>
      <w:docPartObj>
        <w:docPartGallery w:val="Page Numbers (Bottom of Page)"/>
        <w:docPartUnique/>
      </w:docPartObj>
    </w:sdtPr>
    <w:sdtEndPr/>
    <w:sdtContent>
      <w:p w14:paraId="1D73B5CF" w14:textId="3006D12A" w:rsidR="00DD62FF" w:rsidRDefault="00DD62FF">
        <w:pPr>
          <w:pStyle w:val="Sidefod"/>
          <w:jc w:val="right"/>
        </w:pPr>
        <w:r>
          <w:fldChar w:fldCharType="begin"/>
        </w:r>
        <w:r>
          <w:instrText>PAGE   \* MERGEFORMAT</w:instrText>
        </w:r>
        <w:r>
          <w:fldChar w:fldCharType="separate"/>
        </w:r>
        <w:r w:rsidR="008C53F8">
          <w:rPr>
            <w:noProof/>
          </w:rPr>
          <w:t>20</w:t>
        </w:r>
        <w:r>
          <w:fldChar w:fldCharType="end"/>
        </w:r>
      </w:p>
    </w:sdtContent>
  </w:sdt>
  <w:p w14:paraId="7B1294F2" w14:textId="77777777" w:rsidR="00DD62FF" w:rsidRDefault="00DD62FF">
    <w:pPr>
      <w:pStyle w:val="Sidefo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4237" w14:textId="77777777" w:rsidR="00707B6B" w:rsidRDefault="00707B6B" w:rsidP="00F11B5C">
      <w:pPr>
        <w:spacing w:after="0" w:line="240" w:lineRule="auto"/>
      </w:pPr>
      <w:r>
        <w:separator/>
      </w:r>
    </w:p>
  </w:footnote>
  <w:footnote w:type="continuationSeparator" w:id="0">
    <w:p w14:paraId="70E28DB8" w14:textId="77777777" w:rsidR="00707B6B" w:rsidRDefault="00707B6B" w:rsidP="00F11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16D00" w14:textId="77777777" w:rsidR="00DD62FF" w:rsidRDefault="00DD62FF">
    <w:pPr>
      <w:pStyle w:val="Sidehoved"/>
    </w:pPr>
    <w:r>
      <w:ptab w:relativeTo="margin" w:alignment="center" w:leader="none"/>
    </w:r>
    <w:r>
      <w:ptab w:relativeTo="margin" w:alignment="right" w:leader="none"/>
    </w:r>
    <w:r>
      <w:rPr>
        <w:lang w:val="sv-SE"/>
      </w:rPr>
      <w:t>CPTSD Military Risk Factors, Comorbidity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58B33" w14:textId="77777777" w:rsidR="00DD62FF" w:rsidRPr="00F80804" w:rsidRDefault="00DD62FF">
    <w:pPr>
      <w:pStyle w:val="Sidehoved"/>
      <w:rPr>
        <w:lang w:val="sv-SE"/>
      </w:rPr>
    </w:pPr>
    <w:r>
      <w:ptab w:relativeTo="margin" w:alignment="center" w:leader="none"/>
    </w:r>
    <w:r w:rsidRPr="00F80804">
      <w:rPr>
        <w:lang w:val="sv-SE"/>
      </w:rPr>
      <w:t xml:space="preserve">                                        </w:t>
    </w:r>
    <w:r>
      <w:rPr>
        <w:lang w:val="sv-SE"/>
      </w:rPr>
      <w:t>CPTSD Military Risk Factors, Comorbidity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73B"/>
    <w:multiLevelType w:val="multilevel"/>
    <w:tmpl w:val="30B8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D5886"/>
    <w:multiLevelType w:val="hybridMultilevel"/>
    <w:tmpl w:val="93BC2D5A"/>
    <w:lvl w:ilvl="0" w:tplc="0809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06CD0DC7"/>
    <w:multiLevelType w:val="hybridMultilevel"/>
    <w:tmpl w:val="92C04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86A60"/>
    <w:multiLevelType w:val="hybridMultilevel"/>
    <w:tmpl w:val="44F6084C"/>
    <w:lvl w:ilvl="0" w:tplc="B1A6AE38">
      <w:start w:val="1"/>
      <w:numFmt w:val="bullet"/>
      <w:lvlText w:val="-"/>
      <w:lvlJc w:val="left"/>
      <w:pPr>
        <w:tabs>
          <w:tab w:val="num" w:pos="720"/>
        </w:tabs>
        <w:ind w:left="720" w:hanging="360"/>
      </w:pPr>
      <w:rPr>
        <w:rFonts w:ascii="Times New Roman" w:hAnsi="Times New Roman" w:hint="default"/>
      </w:rPr>
    </w:lvl>
    <w:lvl w:ilvl="1" w:tplc="4B00D30E" w:tentative="1">
      <w:start w:val="1"/>
      <w:numFmt w:val="bullet"/>
      <w:lvlText w:val="-"/>
      <w:lvlJc w:val="left"/>
      <w:pPr>
        <w:tabs>
          <w:tab w:val="num" w:pos="1440"/>
        </w:tabs>
        <w:ind w:left="1440" w:hanging="360"/>
      </w:pPr>
      <w:rPr>
        <w:rFonts w:ascii="Times New Roman" w:hAnsi="Times New Roman" w:hint="default"/>
      </w:rPr>
    </w:lvl>
    <w:lvl w:ilvl="2" w:tplc="3DFAF6C4" w:tentative="1">
      <w:start w:val="1"/>
      <w:numFmt w:val="bullet"/>
      <w:lvlText w:val="-"/>
      <w:lvlJc w:val="left"/>
      <w:pPr>
        <w:tabs>
          <w:tab w:val="num" w:pos="2160"/>
        </w:tabs>
        <w:ind w:left="2160" w:hanging="360"/>
      </w:pPr>
      <w:rPr>
        <w:rFonts w:ascii="Times New Roman" w:hAnsi="Times New Roman" w:hint="default"/>
      </w:rPr>
    </w:lvl>
    <w:lvl w:ilvl="3" w:tplc="6C5C794E" w:tentative="1">
      <w:start w:val="1"/>
      <w:numFmt w:val="bullet"/>
      <w:lvlText w:val="-"/>
      <w:lvlJc w:val="left"/>
      <w:pPr>
        <w:tabs>
          <w:tab w:val="num" w:pos="2880"/>
        </w:tabs>
        <w:ind w:left="2880" w:hanging="360"/>
      </w:pPr>
      <w:rPr>
        <w:rFonts w:ascii="Times New Roman" w:hAnsi="Times New Roman" w:hint="default"/>
      </w:rPr>
    </w:lvl>
    <w:lvl w:ilvl="4" w:tplc="05B8E5F2" w:tentative="1">
      <w:start w:val="1"/>
      <w:numFmt w:val="bullet"/>
      <w:lvlText w:val="-"/>
      <w:lvlJc w:val="left"/>
      <w:pPr>
        <w:tabs>
          <w:tab w:val="num" w:pos="3600"/>
        </w:tabs>
        <w:ind w:left="3600" w:hanging="360"/>
      </w:pPr>
      <w:rPr>
        <w:rFonts w:ascii="Times New Roman" w:hAnsi="Times New Roman" w:hint="default"/>
      </w:rPr>
    </w:lvl>
    <w:lvl w:ilvl="5" w:tplc="F33C0198" w:tentative="1">
      <w:start w:val="1"/>
      <w:numFmt w:val="bullet"/>
      <w:lvlText w:val="-"/>
      <w:lvlJc w:val="left"/>
      <w:pPr>
        <w:tabs>
          <w:tab w:val="num" w:pos="4320"/>
        </w:tabs>
        <w:ind w:left="4320" w:hanging="360"/>
      </w:pPr>
      <w:rPr>
        <w:rFonts w:ascii="Times New Roman" w:hAnsi="Times New Roman" w:hint="default"/>
      </w:rPr>
    </w:lvl>
    <w:lvl w:ilvl="6" w:tplc="7CA0ABEE" w:tentative="1">
      <w:start w:val="1"/>
      <w:numFmt w:val="bullet"/>
      <w:lvlText w:val="-"/>
      <w:lvlJc w:val="left"/>
      <w:pPr>
        <w:tabs>
          <w:tab w:val="num" w:pos="5040"/>
        </w:tabs>
        <w:ind w:left="5040" w:hanging="360"/>
      </w:pPr>
      <w:rPr>
        <w:rFonts w:ascii="Times New Roman" w:hAnsi="Times New Roman" w:hint="default"/>
      </w:rPr>
    </w:lvl>
    <w:lvl w:ilvl="7" w:tplc="5FCED81C" w:tentative="1">
      <w:start w:val="1"/>
      <w:numFmt w:val="bullet"/>
      <w:lvlText w:val="-"/>
      <w:lvlJc w:val="left"/>
      <w:pPr>
        <w:tabs>
          <w:tab w:val="num" w:pos="5760"/>
        </w:tabs>
        <w:ind w:left="5760" w:hanging="360"/>
      </w:pPr>
      <w:rPr>
        <w:rFonts w:ascii="Times New Roman" w:hAnsi="Times New Roman" w:hint="default"/>
      </w:rPr>
    </w:lvl>
    <w:lvl w:ilvl="8" w:tplc="40C6648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2204F1"/>
    <w:multiLevelType w:val="hybridMultilevel"/>
    <w:tmpl w:val="98B870CA"/>
    <w:lvl w:ilvl="0" w:tplc="0788630E">
      <w:numFmt w:val="bullet"/>
      <w:lvlText w:val="–"/>
      <w:lvlJc w:val="left"/>
      <w:pPr>
        <w:ind w:left="720" w:hanging="360"/>
      </w:pPr>
      <w:rPr>
        <w:rFonts w:ascii="Arial Narrow" w:eastAsia="Times New Roman"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48374E"/>
    <w:multiLevelType w:val="hybridMultilevel"/>
    <w:tmpl w:val="4D66C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CB6E99"/>
    <w:multiLevelType w:val="multilevel"/>
    <w:tmpl w:val="886A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47067"/>
    <w:multiLevelType w:val="multilevel"/>
    <w:tmpl w:val="F6386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EF2CA6"/>
    <w:multiLevelType w:val="hybridMultilevel"/>
    <w:tmpl w:val="0D6E9864"/>
    <w:lvl w:ilvl="0" w:tplc="B6BE1BB4">
      <w:start w:val="1"/>
      <w:numFmt w:val="bullet"/>
      <w:lvlText w:val="-"/>
      <w:lvlJc w:val="left"/>
      <w:pPr>
        <w:ind w:left="458" w:hanging="360"/>
      </w:pPr>
      <w:rPr>
        <w:rFonts w:ascii="Calibri" w:eastAsiaTheme="minorHAnsi" w:hAnsi="Calibri" w:cs="Calibri" w:hint="default"/>
      </w:rPr>
    </w:lvl>
    <w:lvl w:ilvl="1" w:tplc="04090003" w:tentative="1">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9" w15:restartNumberingAfterBreak="0">
    <w:nsid w:val="1CEB1071"/>
    <w:multiLevelType w:val="multilevel"/>
    <w:tmpl w:val="F348A1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0A22114"/>
    <w:multiLevelType w:val="hybridMultilevel"/>
    <w:tmpl w:val="BD8E7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4B7CE4"/>
    <w:multiLevelType w:val="hybridMultilevel"/>
    <w:tmpl w:val="4D66C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B60C25"/>
    <w:multiLevelType w:val="hybridMultilevel"/>
    <w:tmpl w:val="71AC3540"/>
    <w:lvl w:ilvl="0" w:tplc="6780181C">
      <w:numFmt w:val="bullet"/>
      <w:lvlText w:val=""/>
      <w:lvlJc w:val="left"/>
      <w:pPr>
        <w:ind w:left="480" w:hanging="360"/>
      </w:pPr>
      <w:rPr>
        <w:rFonts w:ascii="Symbol" w:eastAsiaTheme="minorHAnsi" w:hAnsi="Symbol" w:cstheme="minorBidi" w:hint="default"/>
        <w:b/>
        <w:i w:val="0"/>
        <w:sz w:val="26"/>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 w15:restartNumberingAfterBreak="0">
    <w:nsid w:val="2DC47DC3"/>
    <w:multiLevelType w:val="hybridMultilevel"/>
    <w:tmpl w:val="5832EFDA"/>
    <w:lvl w:ilvl="0" w:tplc="51E664FA">
      <w:start w:val="2"/>
      <w:numFmt w:val="bullet"/>
      <w:lvlText w:val="-"/>
      <w:lvlJc w:val="left"/>
      <w:pPr>
        <w:ind w:left="458" w:hanging="360"/>
      </w:pPr>
      <w:rPr>
        <w:rFonts w:ascii="Calibri" w:eastAsiaTheme="minorHAnsi" w:hAnsi="Calibri" w:cs="Calibri" w:hint="default"/>
      </w:rPr>
    </w:lvl>
    <w:lvl w:ilvl="1" w:tplc="04090003" w:tentative="1">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14" w15:restartNumberingAfterBreak="0">
    <w:nsid w:val="30932FD9"/>
    <w:multiLevelType w:val="hybridMultilevel"/>
    <w:tmpl w:val="4D66C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0948DA"/>
    <w:multiLevelType w:val="hybridMultilevel"/>
    <w:tmpl w:val="4D66C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4F662E"/>
    <w:multiLevelType w:val="hybridMultilevel"/>
    <w:tmpl w:val="5F1E9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641706"/>
    <w:multiLevelType w:val="hybridMultilevel"/>
    <w:tmpl w:val="A4AE4B9E"/>
    <w:lvl w:ilvl="0" w:tplc="9552D0E0">
      <w:numFmt w:val="bullet"/>
      <w:lvlText w:val="-"/>
      <w:lvlJc w:val="left"/>
      <w:pPr>
        <w:ind w:left="720" w:hanging="360"/>
      </w:pPr>
      <w:rPr>
        <w:rFonts w:ascii="Arial Narrow" w:eastAsia="Times New Roman"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97DCC"/>
    <w:multiLevelType w:val="multilevel"/>
    <w:tmpl w:val="A40E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5D0245"/>
    <w:multiLevelType w:val="hybridMultilevel"/>
    <w:tmpl w:val="9CFCE85A"/>
    <w:lvl w:ilvl="0" w:tplc="444A2672">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49B44B60"/>
    <w:multiLevelType w:val="multilevel"/>
    <w:tmpl w:val="C624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9330C8"/>
    <w:multiLevelType w:val="hybridMultilevel"/>
    <w:tmpl w:val="435A5500"/>
    <w:lvl w:ilvl="0" w:tplc="B6B24C02">
      <w:start w:val="2"/>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2" w15:restartNumberingAfterBreak="0">
    <w:nsid w:val="4CB45A5D"/>
    <w:multiLevelType w:val="hybridMultilevel"/>
    <w:tmpl w:val="6114DA7E"/>
    <w:lvl w:ilvl="0" w:tplc="08090011">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2D0117"/>
    <w:multiLevelType w:val="hybridMultilevel"/>
    <w:tmpl w:val="1CF8BB2A"/>
    <w:lvl w:ilvl="0" w:tplc="07E65B26">
      <w:start w:val="2"/>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4" w15:restartNumberingAfterBreak="0">
    <w:nsid w:val="504F252B"/>
    <w:multiLevelType w:val="hybridMultilevel"/>
    <w:tmpl w:val="9F1A2EEC"/>
    <w:lvl w:ilvl="0" w:tplc="46F48DDC">
      <w:start w:val="4"/>
      <w:numFmt w:val="bullet"/>
      <w:lvlText w:val=""/>
      <w:lvlJc w:val="left"/>
      <w:pPr>
        <w:ind w:left="458" w:hanging="360"/>
      </w:pPr>
      <w:rPr>
        <w:rFonts w:ascii="Symbol" w:eastAsiaTheme="minorHAnsi" w:hAnsi="Symbol" w:cstheme="minorHAnsi" w:hint="default"/>
      </w:rPr>
    </w:lvl>
    <w:lvl w:ilvl="1" w:tplc="04090003" w:tentative="1">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25" w15:restartNumberingAfterBreak="0">
    <w:nsid w:val="50993327"/>
    <w:multiLevelType w:val="hybridMultilevel"/>
    <w:tmpl w:val="46964794"/>
    <w:lvl w:ilvl="0" w:tplc="6FC698E6">
      <w:start w:val="15"/>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07427B"/>
    <w:multiLevelType w:val="multilevel"/>
    <w:tmpl w:val="3B2A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827C95"/>
    <w:multiLevelType w:val="hybridMultilevel"/>
    <w:tmpl w:val="F3AEE2DC"/>
    <w:lvl w:ilvl="0" w:tplc="827A009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D86DBF"/>
    <w:multiLevelType w:val="hybridMultilevel"/>
    <w:tmpl w:val="000C27AC"/>
    <w:lvl w:ilvl="0" w:tplc="0809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9" w15:restartNumberingAfterBreak="0">
    <w:nsid w:val="645901AB"/>
    <w:multiLevelType w:val="multilevel"/>
    <w:tmpl w:val="756C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847618"/>
    <w:multiLevelType w:val="multilevel"/>
    <w:tmpl w:val="AD8A1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D3610"/>
    <w:multiLevelType w:val="hybridMultilevel"/>
    <w:tmpl w:val="ADD8C112"/>
    <w:lvl w:ilvl="0" w:tplc="1AD0FCD8">
      <w:start w:val="1"/>
      <w:numFmt w:val="bullet"/>
      <w:lvlText w:val="-"/>
      <w:lvlJc w:val="left"/>
      <w:pPr>
        <w:ind w:left="458" w:hanging="360"/>
      </w:pPr>
      <w:rPr>
        <w:rFonts w:ascii="Calibri" w:eastAsiaTheme="minorHAnsi" w:hAnsi="Calibri" w:cs="Calibri" w:hint="default"/>
      </w:rPr>
    </w:lvl>
    <w:lvl w:ilvl="1" w:tplc="04090003" w:tentative="1">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32" w15:restartNumberingAfterBreak="0">
    <w:nsid w:val="6A062625"/>
    <w:multiLevelType w:val="hybridMultilevel"/>
    <w:tmpl w:val="E02C8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7D34F2"/>
    <w:multiLevelType w:val="hybridMultilevel"/>
    <w:tmpl w:val="F780A83E"/>
    <w:lvl w:ilvl="0" w:tplc="766EC804">
      <w:start w:val="1"/>
      <w:numFmt w:val="decimal"/>
      <w:lvlText w:val="%1)"/>
      <w:lvlJc w:val="left"/>
      <w:pPr>
        <w:ind w:left="1664" w:hanging="360"/>
      </w:pPr>
      <w:rPr>
        <w:rFonts w:hint="default"/>
      </w:rPr>
    </w:lvl>
    <w:lvl w:ilvl="1" w:tplc="04090019" w:tentative="1">
      <w:start w:val="1"/>
      <w:numFmt w:val="lowerLetter"/>
      <w:lvlText w:val="%2."/>
      <w:lvlJc w:val="left"/>
      <w:pPr>
        <w:ind w:left="2384" w:hanging="360"/>
      </w:pPr>
    </w:lvl>
    <w:lvl w:ilvl="2" w:tplc="0409001B" w:tentative="1">
      <w:start w:val="1"/>
      <w:numFmt w:val="lowerRoman"/>
      <w:lvlText w:val="%3."/>
      <w:lvlJc w:val="right"/>
      <w:pPr>
        <w:ind w:left="3104" w:hanging="180"/>
      </w:pPr>
    </w:lvl>
    <w:lvl w:ilvl="3" w:tplc="0409000F" w:tentative="1">
      <w:start w:val="1"/>
      <w:numFmt w:val="decimal"/>
      <w:lvlText w:val="%4."/>
      <w:lvlJc w:val="left"/>
      <w:pPr>
        <w:ind w:left="3824" w:hanging="360"/>
      </w:pPr>
    </w:lvl>
    <w:lvl w:ilvl="4" w:tplc="04090019" w:tentative="1">
      <w:start w:val="1"/>
      <w:numFmt w:val="lowerLetter"/>
      <w:lvlText w:val="%5."/>
      <w:lvlJc w:val="left"/>
      <w:pPr>
        <w:ind w:left="4544" w:hanging="360"/>
      </w:pPr>
    </w:lvl>
    <w:lvl w:ilvl="5" w:tplc="0409001B" w:tentative="1">
      <w:start w:val="1"/>
      <w:numFmt w:val="lowerRoman"/>
      <w:lvlText w:val="%6."/>
      <w:lvlJc w:val="right"/>
      <w:pPr>
        <w:ind w:left="5264" w:hanging="180"/>
      </w:pPr>
    </w:lvl>
    <w:lvl w:ilvl="6" w:tplc="0409000F" w:tentative="1">
      <w:start w:val="1"/>
      <w:numFmt w:val="decimal"/>
      <w:lvlText w:val="%7."/>
      <w:lvlJc w:val="left"/>
      <w:pPr>
        <w:ind w:left="5984" w:hanging="360"/>
      </w:pPr>
    </w:lvl>
    <w:lvl w:ilvl="7" w:tplc="04090019" w:tentative="1">
      <w:start w:val="1"/>
      <w:numFmt w:val="lowerLetter"/>
      <w:lvlText w:val="%8."/>
      <w:lvlJc w:val="left"/>
      <w:pPr>
        <w:ind w:left="6704" w:hanging="360"/>
      </w:pPr>
    </w:lvl>
    <w:lvl w:ilvl="8" w:tplc="0409001B" w:tentative="1">
      <w:start w:val="1"/>
      <w:numFmt w:val="lowerRoman"/>
      <w:lvlText w:val="%9."/>
      <w:lvlJc w:val="right"/>
      <w:pPr>
        <w:ind w:left="7424" w:hanging="180"/>
      </w:pPr>
    </w:lvl>
  </w:abstractNum>
  <w:abstractNum w:abstractNumId="34" w15:restartNumberingAfterBreak="0">
    <w:nsid w:val="710B019D"/>
    <w:multiLevelType w:val="hybridMultilevel"/>
    <w:tmpl w:val="131426E8"/>
    <w:lvl w:ilvl="0" w:tplc="F942E43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178" w:hanging="360"/>
      </w:pPr>
      <w:rPr>
        <w:rFonts w:ascii="Courier New" w:hAnsi="Courier New" w:cs="Courier New" w:hint="default"/>
      </w:rPr>
    </w:lvl>
    <w:lvl w:ilvl="2" w:tplc="04090005" w:tentative="1">
      <w:start w:val="1"/>
      <w:numFmt w:val="bullet"/>
      <w:lvlText w:val=""/>
      <w:lvlJc w:val="left"/>
      <w:pPr>
        <w:ind w:left="1898" w:hanging="360"/>
      </w:pPr>
      <w:rPr>
        <w:rFonts w:ascii="Wingdings" w:hAnsi="Wingdings" w:hint="default"/>
      </w:rPr>
    </w:lvl>
    <w:lvl w:ilvl="3" w:tplc="04090001" w:tentative="1">
      <w:start w:val="1"/>
      <w:numFmt w:val="bullet"/>
      <w:lvlText w:val=""/>
      <w:lvlJc w:val="left"/>
      <w:pPr>
        <w:ind w:left="2618" w:hanging="360"/>
      </w:pPr>
      <w:rPr>
        <w:rFonts w:ascii="Symbol" w:hAnsi="Symbol" w:hint="default"/>
      </w:rPr>
    </w:lvl>
    <w:lvl w:ilvl="4" w:tplc="04090003" w:tentative="1">
      <w:start w:val="1"/>
      <w:numFmt w:val="bullet"/>
      <w:lvlText w:val="o"/>
      <w:lvlJc w:val="left"/>
      <w:pPr>
        <w:ind w:left="3338" w:hanging="360"/>
      </w:pPr>
      <w:rPr>
        <w:rFonts w:ascii="Courier New" w:hAnsi="Courier New" w:cs="Courier New" w:hint="default"/>
      </w:rPr>
    </w:lvl>
    <w:lvl w:ilvl="5" w:tplc="04090005" w:tentative="1">
      <w:start w:val="1"/>
      <w:numFmt w:val="bullet"/>
      <w:lvlText w:val=""/>
      <w:lvlJc w:val="left"/>
      <w:pPr>
        <w:ind w:left="4058" w:hanging="360"/>
      </w:pPr>
      <w:rPr>
        <w:rFonts w:ascii="Wingdings" w:hAnsi="Wingdings" w:hint="default"/>
      </w:rPr>
    </w:lvl>
    <w:lvl w:ilvl="6" w:tplc="04090001" w:tentative="1">
      <w:start w:val="1"/>
      <w:numFmt w:val="bullet"/>
      <w:lvlText w:val=""/>
      <w:lvlJc w:val="left"/>
      <w:pPr>
        <w:ind w:left="4778" w:hanging="360"/>
      </w:pPr>
      <w:rPr>
        <w:rFonts w:ascii="Symbol" w:hAnsi="Symbol" w:hint="default"/>
      </w:rPr>
    </w:lvl>
    <w:lvl w:ilvl="7" w:tplc="04090003" w:tentative="1">
      <w:start w:val="1"/>
      <w:numFmt w:val="bullet"/>
      <w:lvlText w:val="o"/>
      <w:lvlJc w:val="left"/>
      <w:pPr>
        <w:ind w:left="5498" w:hanging="360"/>
      </w:pPr>
      <w:rPr>
        <w:rFonts w:ascii="Courier New" w:hAnsi="Courier New" w:cs="Courier New" w:hint="default"/>
      </w:rPr>
    </w:lvl>
    <w:lvl w:ilvl="8" w:tplc="04090005" w:tentative="1">
      <w:start w:val="1"/>
      <w:numFmt w:val="bullet"/>
      <w:lvlText w:val=""/>
      <w:lvlJc w:val="left"/>
      <w:pPr>
        <w:ind w:left="6218" w:hanging="360"/>
      </w:pPr>
      <w:rPr>
        <w:rFonts w:ascii="Wingdings" w:hAnsi="Wingdings" w:hint="default"/>
      </w:rPr>
    </w:lvl>
  </w:abstractNum>
  <w:abstractNum w:abstractNumId="35" w15:restartNumberingAfterBreak="0">
    <w:nsid w:val="75E2361E"/>
    <w:multiLevelType w:val="multilevel"/>
    <w:tmpl w:val="AD88A7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F907A40"/>
    <w:multiLevelType w:val="multilevel"/>
    <w:tmpl w:val="6FD2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27"/>
  </w:num>
  <w:num w:numId="4">
    <w:abstractNumId w:val="34"/>
  </w:num>
  <w:num w:numId="5">
    <w:abstractNumId w:val="22"/>
  </w:num>
  <w:num w:numId="6">
    <w:abstractNumId w:val="29"/>
  </w:num>
  <w:num w:numId="7">
    <w:abstractNumId w:val="7"/>
  </w:num>
  <w:num w:numId="8">
    <w:abstractNumId w:val="19"/>
  </w:num>
  <w:num w:numId="9">
    <w:abstractNumId w:val="30"/>
  </w:num>
  <w:num w:numId="10">
    <w:abstractNumId w:val="0"/>
  </w:num>
  <w:num w:numId="11">
    <w:abstractNumId w:val="2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3"/>
  </w:num>
  <w:num w:numId="15">
    <w:abstractNumId w:val="16"/>
  </w:num>
  <w:num w:numId="16">
    <w:abstractNumId w:val="17"/>
  </w:num>
  <w:num w:numId="17">
    <w:abstractNumId w:val="9"/>
  </w:num>
  <w:num w:numId="18">
    <w:abstractNumId w:val="4"/>
  </w:num>
  <w:num w:numId="19">
    <w:abstractNumId w:val="32"/>
  </w:num>
  <w:num w:numId="20">
    <w:abstractNumId w:val="5"/>
  </w:num>
  <w:num w:numId="21">
    <w:abstractNumId w:val="10"/>
  </w:num>
  <w:num w:numId="22">
    <w:abstractNumId w:val="14"/>
  </w:num>
  <w:num w:numId="23">
    <w:abstractNumId w:val="11"/>
  </w:num>
  <w:num w:numId="24">
    <w:abstractNumId w:val="1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6"/>
  </w:num>
  <w:num w:numId="30">
    <w:abstractNumId w:val="18"/>
  </w:num>
  <w:num w:numId="31">
    <w:abstractNumId w:val="35"/>
  </w:num>
  <w:num w:numId="32">
    <w:abstractNumId w:val="8"/>
  </w:num>
  <w:num w:numId="33">
    <w:abstractNumId w:val="2"/>
  </w:num>
  <w:num w:numId="34">
    <w:abstractNumId w:val="31"/>
  </w:num>
  <w:num w:numId="35">
    <w:abstractNumId w:val="3"/>
  </w:num>
  <w:num w:numId="36">
    <w:abstractNumId w:val="24"/>
  </w:num>
  <w:num w:numId="37">
    <w:abstractNumId w:val="33"/>
  </w:num>
  <w:num w:numId="38">
    <w:abstractNumId w:val="26"/>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64D"/>
    <w:rsid w:val="00001A31"/>
    <w:rsid w:val="00006D3A"/>
    <w:rsid w:val="00007706"/>
    <w:rsid w:val="0001374D"/>
    <w:rsid w:val="00016042"/>
    <w:rsid w:val="00016D8B"/>
    <w:rsid w:val="0002362B"/>
    <w:rsid w:val="00023868"/>
    <w:rsid w:val="000239EA"/>
    <w:rsid w:val="0002596E"/>
    <w:rsid w:val="00026867"/>
    <w:rsid w:val="00030076"/>
    <w:rsid w:val="000306FA"/>
    <w:rsid w:val="00031757"/>
    <w:rsid w:val="00031BFD"/>
    <w:rsid w:val="00032A67"/>
    <w:rsid w:val="00036B30"/>
    <w:rsid w:val="00036BCD"/>
    <w:rsid w:val="00044655"/>
    <w:rsid w:val="0005026C"/>
    <w:rsid w:val="000510D1"/>
    <w:rsid w:val="0005146C"/>
    <w:rsid w:val="00051D23"/>
    <w:rsid w:val="00051E62"/>
    <w:rsid w:val="00052FBA"/>
    <w:rsid w:val="00057B65"/>
    <w:rsid w:val="00061628"/>
    <w:rsid w:val="00065D75"/>
    <w:rsid w:val="00067BC2"/>
    <w:rsid w:val="000706CF"/>
    <w:rsid w:val="000711FB"/>
    <w:rsid w:val="00071C35"/>
    <w:rsid w:val="0007402E"/>
    <w:rsid w:val="00077B63"/>
    <w:rsid w:val="000805D9"/>
    <w:rsid w:val="00083C93"/>
    <w:rsid w:val="00092B77"/>
    <w:rsid w:val="00097E0B"/>
    <w:rsid w:val="000A20B6"/>
    <w:rsid w:val="000A3ADB"/>
    <w:rsid w:val="000A49A5"/>
    <w:rsid w:val="000A50CE"/>
    <w:rsid w:val="000A6F5A"/>
    <w:rsid w:val="000A6FE6"/>
    <w:rsid w:val="000B101B"/>
    <w:rsid w:val="000B1FA4"/>
    <w:rsid w:val="000B2E0D"/>
    <w:rsid w:val="000B3C8A"/>
    <w:rsid w:val="000B4B98"/>
    <w:rsid w:val="000B5205"/>
    <w:rsid w:val="000B6C34"/>
    <w:rsid w:val="000C22F0"/>
    <w:rsid w:val="000C26FA"/>
    <w:rsid w:val="000C390D"/>
    <w:rsid w:val="000C4B62"/>
    <w:rsid w:val="000C52B0"/>
    <w:rsid w:val="000C7429"/>
    <w:rsid w:val="000D00E0"/>
    <w:rsid w:val="000D16DC"/>
    <w:rsid w:val="000D6A80"/>
    <w:rsid w:val="000E204C"/>
    <w:rsid w:val="000E4CD7"/>
    <w:rsid w:val="000E520C"/>
    <w:rsid w:val="000E56F2"/>
    <w:rsid w:val="000E797D"/>
    <w:rsid w:val="000F13C9"/>
    <w:rsid w:val="000F3186"/>
    <w:rsid w:val="000F604F"/>
    <w:rsid w:val="000F6D06"/>
    <w:rsid w:val="00104A6D"/>
    <w:rsid w:val="00105B52"/>
    <w:rsid w:val="00107AB6"/>
    <w:rsid w:val="00107E0F"/>
    <w:rsid w:val="00116E99"/>
    <w:rsid w:val="00125C8D"/>
    <w:rsid w:val="00133DA0"/>
    <w:rsid w:val="0013474B"/>
    <w:rsid w:val="00136990"/>
    <w:rsid w:val="00140F0E"/>
    <w:rsid w:val="00141092"/>
    <w:rsid w:val="00142C7C"/>
    <w:rsid w:val="00142FE6"/>
    <w:rsid w:val="00143589"/>
    <w:rsid w:val="001456B1"/>
    <w:rsid w:val="001466E2"/>
    <w:rsid w:val="00146A03"/>
    <w:rsid w:val="001504A1"/>
    <w:rsid w:val="001526C8"/>
    <w:rsid w:val="00152CF5"/>
    <w:rsid w:val="001535FD"/>
    <w:rsid w:val="0015498C"/>
    <w:rsid w:val="00154B9E"/>
    <w:rsid w:val="001558BC"/>
    <w:rsid w:val="00156CDB"/>
    <w:rsid w:val="00161733"/>
    <w:rsid w:val="00166BD8"/>
    <w:rsid w:val="00170357"/>
    <w:rsid w:val="00172688"/>
    <w:rsid w:val="00174A00"/>
    <w:rsid w:val="00175B32"/>
    <w:rsid w:val="001774FD"/>
    <w:rsid w:val="00177891"/>
    <w:rsid w:val="001779FC"/>
    <w:rsid w:val="0018113C"/>
    <w:rsid w:val="001811BD"/>
    <w:rsid w:val="00182D43"/>
    <w:rsid w:val="00183BBB"/>
    <w:rsid w:val="00184FF7"/>
    <w:rsid w:val="001851BD"/>
    <w:rsid w:val="001853F4"/>
    <w:rsid w:val="0019195C"/>
    <w:rsid w:val="001927A6"/>
    <w:rsid w:val="00193D1A"/>
    <w:rsid w:val="00196F82"/>
    <w:rsid w:val="001A2E3E"/>
    <w:rsid w:val="001A3A63"/>
    <w:rsid w:val="001A3C76"/>
    <w:rsid w:val="001A5624"/>
    <w:rsid w:val="001A6C04"/>
    <w:rsid w:val="001A7371"/>
    <w:rsid w:val="001A79F8"/>
    <w:rsid w:val="001B0B82"/>
    <w:rsid w:val="001B2E4D"/>
    <w:rsid w:val="001B3F67"/>
    <w:rsid w:val="001B40BF"/>
    <w:rsid w:val="001B5779"/>
    <w:rsid w:val="001B7BFD"/>
    <w:rsid w:val="001C1382"/>
    <w:rsid w:val="001C358F"/>
    <w:rsid w:val="001D0CC6"/>
    <w:rsid w:val="001D0D43"/>
    <w:rsid w:val="001D186F"/>
    <w:rsid w:val="001D589E"/>
    <w:rsid w:val="001D6CF5"/>
    <w:rsid w:val="001E28C4"/>
    <w:rsid w:val="001E3B4F"/>
    <w:rsid w:val="001E554F"/>
    <w:rsid w:val="001E5605"/>
    <w:rsid w:val="001E7420"/>
    <w:rsid w:val="001E7869"/>
    <w:rsid w:val="001E7CD3"/>
    <w:rsid w:val="001F41A0"/>
    <w:rsid w:val="001F4AC8"/>
    <w:rsid w:val="001F6F3C"/>
    <w:rsid w:val="001F7413"/>
    <w:rsid w:val="00200EA0"/>
    <w:rsid w:val="00203C04"/>
    <w:rsid w:val="00203E55"/>
    <w:rsid w:val="00204518"/>
    <w:rsid w:val="00205B14"/>
    <w:rsid w:val="00214FFB"/>
    <w:rsid w:val="002159A7"/>
    <w:rsid w:val="002209D3"/>
    <w:rsid w:val="00220B3F"/>
    <w:rsid w:val="00221888"/>
    <w:rsid w:val="0022247F"/>
    <w:rsid w:val="0022588D"/>
    <w:rsid w:val="002274DF"/>
    <w:rsid w:val="00231A9E"/>
    <w:rsid w:val="00233043"/>
    <w:rsid w:val="00233094"/>
    <w:rsid w:val="0023332E"/>
    <w:rsid w:val="00235E57"/>
    <w:rsid w:val="00237468"/>
    <w:rsid w:val="00241695"/>
    <w:rsid w:val="0024273D"/>
    <w:rsid w:val="00243990"/>
    <w:rsid w:val="00243FB1"/>
    <w:rsid w:val="00244666"/>
    <w:rsid w:val="00244A32"/>
    <w:rsid w:val="0024715D"/>
    <w:rsid w:val="00266AC1"/>
    <w:rsid w:val="00267406"/>
    <w:rsid w:val="00267721"/>
    <w:rsid w:val="00270BCA"/>
    <w:rsid w:val="00270CDB"/>
    <w:rsid w:val="00270E26"/>
    <w:rsid w:val="0027298E"/>
    <w:rsid w:val="0027459A"/>
    <w:rsid w:val="00275435"/>
    <w:rsid w:val="00283975"/>
    <w:rsid w:val="00283C48"/>
    <w:rsid w:val="00284AA0"/>
    <w:rsid w:val="00285B8A"/>
    <w:rsid w:val="00290B9D"/>
    <w:rsid w:val="002935B3"/>
    <w:rsid w:val="002A07D6"/>
    <w:rsid w:val="002B2B58"/>
    <w:rsid w:val="002B6C89"/>
    <w:rsid w:val="002B6E8E"/>
    <w:rsid w:val="002C37E1"/>
    <w:rsid w:val="002C4BE2"/>
    <w:rsid w:val="002C6EF0"/>
    <w:rsid w:val="002C73F2"/>
    <w:rsid w:val="002C7D97"/>
    <w:rsid w:val="002D1EA9"/>
    <w:rsid w:val="002D7170"/>
    <w:rsid w:val="002E1633"/>
    <w:rsid w:val="002E6BBE"/>
    <w:rsid w:val="002F3109"/>
    <w:rsid w:val="002F336C"/>
    <w:rsid w:val="002F45CD"/>
    <w:rsid w:val="002F6278"/>
    <w:rsid w:val="002F66DC"/>
    <w:rsid w:val="002F6ED4"/>
    <w:rsid w:val="002F7CF7"/>
    <w:rsid w:val="00300ABC"/>
    <w:rsid w:val="0030127D"/>
    <w:rsid w:val="003054FC"/>
    <w:rsid w:val="00310EAA"/>
    <w:rsid w:val="00311405"/>
    <w:rsid w:val="003165CA"/>
    <w:rsid w:val="0031676A"/>
    <w:rsid w:val="003204A8"/>
    <w:rsid w:val="00321B6A"/>
    <w:rsid w:val="0032339F"/>
    <w:rsid w:val="0032464E"/>
    <w:rsid w:val="0032501B"/>
    <w:rsid w:val="003257B3"/>
    <w:rsid w:val="00326889"/>
    <w:rsid w:val="00333979"/>
    <w:rsid w:val="00333E10"/>
    <w:rsid w:val="00335071"/>
    <w:rsid w:val="00336A20"/>
    <w:rsid w:val="0034128E"/>
    <w:rsid w:val="00346DBE"/>
    <w:rsid w:val="00346EF6"/>
    <w:rsid w:val="00347376"/>
    <w:rsid w:val="003473C8"/>
    <w:rsid w:val="0035156C"/>
    <w:rsid w:val="00352BFA"/>
    <w:rsid w:val="00353BE8"/>
    <w:rsid w:val="0035614F"/>
    <w:rsid w:val="003607E6"/>
    <w:rsid w:val="00360BEB"/>
    <w:rsid w:val="00364335"/>
    <w:rsid w:val="0036526F"/>
    <w:rsid w:val="00370B91"/>
    <w:rsid w:val="003737F3"/>
    <w:rsid w:val="00374127"/>
    <w:rsid w:val="00377C5A"/>
    <w:rsid w:val="00377E14"/>
    <w:rsid w:val="0038132E"/>
    <w:rsid w:val="003827D0"/>
    <w:rsid w:val="00382A8E"/>
    <w:rsid w:val="003840D2"/>
    <w:rsid w:val="0039379D"/>
    <w:rsid w:val="00393F9E"/>
    <w:rsid w:val="00395DE8"/>
    <w:rsid w:val="0039606B"/>
    <w:rsid w:val="003A186D"/>
    <w:rsid w:val="003A4D5E"/>
    <w:rsid w:val="003A55E6"/>
    <w:rsid w:val="003A612D"/>
    <w:rsid w:val="003B17E8"/>
    <w:rsid w:val="003B4A81"/>
    <w:rsid w:val="003C166B"/>
    <w:rsid w:val="003C464D"/>
    <w:rsid w:val="003C6EE2"/>
    <w:rsid w:val="003D024B"/>
    <w:rsid w:val="003D08DE"/>
    <w:rsid w:val="003D1B40"/>
    <w:rsid w:val="003D519E"/>
    <w:rsid w:val="003D54EB"/>
    <w:rsid w:val="003D586D"/>
    <w:rsid w:val="003D6373"/>
    <w:rsid w:val="003D6770"/>
    <w:rsid w:val="003E00F3"/>
    <w:rsid w:val="003E47BC"/>
    <w:rsid w:val="003F0CD8"/>
    <w:rsid w:val="003F2C9B"/>
    <w:rsid w:val="003F41CB"/>
    <w:rsid w:val="00401DF7"/>
    <w:rsid w:val="0040360C"/>
    <w:rsid w:val="00406180"/>
    <w:rsid w:val="004160B6"/>
    <w:rsid w:val="00421163"/>
    <w:rsid w:val="00424834"/>
    <w:rsid w:val="0042491D"/>
    <w:rsid w:val="004253CE"/>
    <w:rsid w:val="00425493"/>
    <w:rsid w:val="0042637B"/>
    <w:rsid w:val="004263AC"/>
    <w:rsid w:val="00427B46"/>
    <w:rsid w:val="00430ED3"/>
    <w:rsid w:val="00431FD3"/>
    <w:rsid w:val="00434148"/>
    <w:rsid w:val="00434E78"/>
    <w:rsid w:val="0043695F"/>
    <w:rsid w:val="00437053"/>
    <w:rsid w:val="00441C30"/>
    <w:rsid w:val="004431F6"/>
    <w:rsid w:val="00445359"/>
    <w:rsid w:val="00445563"/>
    <w:rsid w:val="00446025"/>
    <w:rsid w:val="004465C7"/>
    <w:rsid w:val="004501A9"/>
    <w:rsid w:val="00450D1A"/>
    <w:rsid w:val="004570D5"/>
    <w:rsid w:val="00460864"/>
    <w:rsid w:val="00462CB0"/>
    <w:rsid w:val="004631A8"/>
    <w:rsid w:val="0046357E"/>
    <w:rsid w:val="004649CD"/>
    <w:rsid w:val="00464FD4"/>
    <w:rsid w:val="00465B6A"/>
    <w:rsid w:val="00465B79"/>
    <w:rsid w:val="00466EDC"/>
    <w:rsid w:val="00473D5D"/>
    <w:rsid w:val="00477502"/>
    <w:rsid w:val="0047752D"/>
    <w:rsid w:val="00481202"/>
    <w:rsid w:val="004819AA"/>
    <w:rsid w:val="004840CB"/>
    <w:rsid w:val="00484F4B"/>
    <w:rsid w:val="004854A8"/>
    <w:rsid w:val="004863B5"/>
    <w:rsid w:val="00487124"/>
    <w:rsid w:val="00487579"/>
    <w:rsid w:val="00492871"/>
    <w:rsid w:val="0049327B"/>
    <w:rsid w:val="00496D01"/>
    <w:rsid w:val="004A41FA"/>
    <w:rsid w:val="004A51EE"/>
    <w:rsid w:val="004A5DCC"/>
    <w:rsid w:val="004A66C7"/>
    <w:rsid w:val="004A7C57"/>
    <w:rsid w:val="004B31FF"/>
    <w:rsid w:val="004B3408"/>
    <w:rsid w:val="004B4040"/>
    <w:rsid w:val="004B6F5D"/>
    <w:rsid w:val="004B7602"/>
    <w:rsid w:val="004C0763"/>
    <w:rsid w:val="004C0F48"/>
    <w:rsid w:val="004C1D8E"/>
    <w:rsid w:val="004C4080"/>
    <w:rsid w:val="004D2393"/>
    <w:rsid w:val="004D7067"/>
    <w:rsid w:val="004E199A"/>
    <w:rsid w:val="004E3683"/>
    <w:rsid w:val="004E78BF"/>
    <w:rsid w:val="004F0CC8"/>
    <w:rsid w:val="004F29FD"/>
    <w:rsid w:val="004F49C1"/>
    <w:rsid w:val="004F4E27"/>
    <w:rsid w:val="00500941"/>
    <w:rsid w:val="00501BFD"/>
    <w:rsid w:val="00503548"/>
    <w:rsid w:val="00507614"/>
    <w:rsid w:val="00511FC8"/>
    <w:rsid w:val="0051268B"/>
    <w:rsid w:val="005159F5"/>
    <w:rsid w:val="00516DC7"/>
    <w:rsid w:val="00522C67"/>
    <w:rsid w:val="00524266"/>
    <w:rsid w:val="00525EE0"/>
    <w:rsid w:val="005264BE"/>
    <w:rsid w:val="00527AC7"/>
    <w:rsid w:val="00527C48"/>
    <w:rsid w:val="00530E78"/>
    <w:rsid w:val="00531AF0"/>
    <w:rsid w:val="005328F6"/>
    <w:rsid w:val="00535003"/>
    <w:rsid w:val="00540D82"/>
    <w:rsid w:val="00544696"/>
    <w:rsid w:val="00544F7D"/>
    <w:rsid w:val="0054588E"/>
    <w:rsid w:val="0054721C"/>
    <w:rsid w:val="00553BB4"/>
    <w:rsid w:val="005543E0"/>
    <w:rsid w:val="00554662"/>
    <w:rsid w:val="005546FB"/>
    <w:rsid w:val="005551DF"/>
    <w:rsid w:val="005553CB"/>
    <w:rsid w:val="00561900"/>
    <w:rsid w:val="00561C3E"/>
    <w:rsid w:val="00575874"/>
    <w:rsid w:val="00575FE4"/>
    <w:rsid w:val="00581052"/>
    <w:rsid w:val="005819B1"/>
    <w:rsid w:val="00585B13"/>
    <w:rsid w:val="0059303F"/>
    <w:rsid w:val="005958DA"/>
    <w:rsid w:val="005965F2"/>
    <w:rsid w:val="005A5053"/>
    <w:rsid w:val="005A52C7"/>
    <w:rsid w:val="005A7C58"/>
    <w:rsid w:val="005B1EB6"/>
    <w:rsid w:val="005B22F5"/>
    <w:rsid w:val="005B486F"/>
    <w:rsid w:val="005B518D"/>
    <w:rsid w:val="005B5DF7"/>
    <w:rsid w:val="005B632F"/>
    <w:rsid w:val="005B6CAC"/>
    <w:rsid w:val="005B7497"/>
    <w:rsid w:val="005C0747"/>
    <w:rsid w:val="005C264D"/>
    <w:rsid w:val="005C53E1"/>
    <w:rsid w:val="005C5A42"/>
    <w:rsid w:val="005C6BA5"/>
    <w:rsid w:val="005D6531"/>
    <w:rsid w:val="005E149B"/>
    <w:rsid w:val="005E1B9E"/>
    <w:rsid w:val="005E6C60"/>
    <w:rsid w:val="005F59C2"/>
    <w:rsid w:val="005F7265"/>
    <w:rsid w:val="0060609C"/>
    <w:rsid w:val="00611D26"/>
    <w:rsid w:val="006129A5"/>
    <w:rsid w:val="00612CC0"/>
    <w:rsid w:val="0062012B"/>
    <w:rsid w:val="0062112F"/>
    <w:rsid w:val="006332AC"/>
    <w:rsid w:val="00633709"/>
    <w:rsid w:val="00637211"/>
    <w:rsid w:val="0064409B"/>
    <w:rsid w:val="00645398"/>
    <w:rsid w:val="00650DAB"/>
    <w:rsid w:val="00651FD5"/>
    <w:rsid w:val="006525D2"/>
    <w:rsid w:val="00654A7E"/>
    <w:rsid w:val="00655C3D"/>
    <w:rsid w:val="00656E99"/>
    <w:rsid w:val="00661335"/>
    <w:rsid w:val="0066469F"/>
    <w:rsid w:val="00664731"/>
    <w:rsid w:val="00666523"/>
    <w:rsid w:val="006704B7"/>
    <w:rsid w:val="00670D82"/>
    <w:rsid w:val="00670DDC"/>
    <w:rsid w:val="0067513B"/>
    <w:rsid w:val="00676958"/>
    <w:rsid w:val="00680A64"/>
    <w:rsid w:val="00680FF4"/>
    <w:rsid w:val="00682252"/>
    <w:rsid w:val="00683D8F"/>
    <w:rsid w:val="00686FD4"/>
    <w:rsid w:val="006912E1"/>
    <w:rsid w:val="00692B32"/>
    <w:rsid w:val="00692C8E"/>
    <w:rsid w:val="006963C2"/>
    <w:rsid w:val="00697154"/>
    <w:rsid w:val="006A053B"/>
    <w:rsid w:val="006A0D83"/>
    <w:rsid w:val="006A5C5D"/>
    <w:rsid w:val="006A7FE1"/>
    <w:rsid w:val="006B2054"/>
    <w:rsid w:val="006B217B"/>
    <w:rsid w:val="006B34CE"/>
    <w:rsid w:val="006B3F5E"/>
    <w:rsid w:val="006C1839"/>
    <w:rsid w:val="006C1DBE"/>
    <w:rsid w:val="006C2C17"/>
    <w:rsid w:val="006C3C90"/>
    <w:rsid w:val="006C53B4"/>
    <w:rsid w:val="006C6F89"/>
    <w:rsid w:val="006D1E03"/>
    <w:rsid w:val="006D1E4F"/>
    <w:rsid w:val="006E0BCF"/>
    <w:rsid w:val="006E167B"/>
    <w:rsid w:val="006E46B9"/>
    <w:rsid w:val="006F024D"/>
    <w:rsid w:val="006F043A"/>
    <w:rsid w:val="006F33B6"/>
    <w:rsid w:val="006F4A52"/>
    <w:rsid w:val="006F6A19"/>
    <w:rsid w:val="006F727A"/>
    <w:rsid w:val="007014CF"/>
    <w:rsid w:val="00705E80"/>
    <w:rsid w:val="00707B6B"/>
    <w:rsid w:val="0071112E"/>
    <w:rsid w:val="007117B3"/>
    <w:rsid w:val="00712297"/>
    <w:rsid w:val="007134AF"/>
    <w:rsid w:val="007156F2"/>
    <w:rsid w:val="00721D75"/>
    <w:rsid w:val="00722391"/>
    <w:rsid w:val="0072346C"/>
    <w:rsid w:val="007236EF"/>
    <w:rsid w:val="00723B7D"/>
    <w:rsid w:val="00725F2B"/>
    <w:rsid w:val="00726524"/>
    <w:rsid w:val="00726F42"/>
    <w:rsid w:val="007301B4"/>
    <w:rsid w:val="00730255"/>
    <w:rsid w:val="0074184C"/>
    <w:rsid w:val="00742CDE"/>
    <w:rsid w:val="007442C3"/>
    <w:rsid w:val="00746281"/>
    <w:rsid w:val="00750119"/>
    <w:rsid w:val="007515D0"/>
    <w:rsid w:val="0075178A"/>
    <w:rsid w:val="0075394F"/>
    <w:rsid w:val="00756BD4"/>
    <w:rsid w:val="007749A3"/>
    <w:rsid w:val="00775225"/>
    <w:rsid w:val="007766AA"/>
    <w:rsid w:val="00781464"/>
    <w:rsid w:val="00781B92"/>
    <w:rsid w:val="00783597"/>
    <w:rsid w:val="007839C3"/>
    <w:rsid w:val="007906CE"/>
    <w:rsid w:val="007928E4"/>
    <w:rsid w:val="00794B6F"/>
    <w:rsid w:val="007A1655"/>
    <w:rsid w:val="007A2FDA"/>
    <w:rsid w:val="007A6A43"/>
    <w:rsid w:val="007A711A"/>
    <w:rsid w:val="007A7937"/>
    <w:rsid w:val="007B03CA"/>
    <w:rsid w:val="007B29B8"/>
    <w:rsid w:val="007B56FE"/>
    <w:rsid w:val="007C03C1"/>
    <w:rsid w:val="007D1D46"/>
    <w:rsid w:val="007D4326"/>
    <w:rsid w:val="007D5093"/>
    <w:rsid w:val="007D6A21"/>
    <w:rsid w:val="007D75CF"/>
    <w:rsid w:val="007D7C0F"/>
    <w:rsid w:val="007E114E"/>
    <w:rsid w:val="007E3CD6"/>
    <w:rsid w:val="008002CF"/>
    <w:rsid w:val="00800F82"/>
    <w:rsid w:val="00802CAF"/>
    <w:rsid w:val="008161A9"/>
    <w:rsid w:val="00820242"/>
    <w:rsid w:val="00821988"/>
    <w:rsid w:val="00821A7A"/>
    <w:rsid w:val="00824A90"/>
    <w:rsid w:val="0082787C"/>
    <w:rsid w:val="008279B7"/>
    <w:rsid w:val="00827FF8"/>
    <w:rsid w:val="00832765"/>
    <w:rsid w:val="0083377B"/>
    <w:rsid w:val="008346BE"/>
    <w:rsid w:val="00834B1E"/>
    <w:rsid w:val="00841083"/>
    <w:rsid w:val="00842512"/>
    <w:rsid w:val="00843E46"/>
    <w:rsid w:val="00844244"/>
    <w:rsid w:val="00847447"/>
    <w:rsid w:val="00853502"/>
    <w:rsid w:val="00854883"/>
    <w:rsid w:val="00857880"/>
    <w:rsid w:val="00860F91"/>
    <w:rsid w:val="00861BB1"/>
    <w:rsid w:val="00862231"/>
    <w:rsid w:val="00862763"/>
    <w:rsid w:val="008642CD"/>
    <w:rsid w:val="00864A85"/>
    <w:rsid w:val="00870D62"/>
    <w:rsid w:val="00872907"/>
    <w:rsid w:val="00875E32"/>
    <w:rsid w:val="00891444"/>
    <w:rsid w:val="008916E6"/>
    <w:rsid w:val="00895823"/>
    <w:rsid w:val="00896BF2"/>
    <w:rsid w:val="008970E7"/>
    <w:rsid w:val="008A3C31"/>
    <w:rsid w:val="008A5B28"/>
    <w:rsid w:val="008A7C91"/>
    <w:rsid w:val="008B3C5F"/>
    <w:rsid w:val="008B4DFC"/>
    <w:rsid w:val="008B542D"/>
    <w:rsid w:val="008B6BE7"/>
    <w:rsid w:val="008C1EA8"/>
    <w:rsid w:val="008C25D1"/>
    <w:rsid w:val="008C2B4F"/>
    <w:rsid w:val="008C2BCD"/>
    <w:rsid w:val="008C2CBB"/>
    <w:rsid w:val="008C31A9"/>
    <w:rsid w:val="008C42AC"/>
    <w:rsid w:val="008C507D"/>
    <w:rsid w:val="008C53F8"/>
    <w:rsid w:val="008D4E00"/>
    <w:rsid w:val="008D5F33"/>
    <w:rsid w:val="008E1BD2"/>
    <w:rsid w:val="008E5B41"/>
    <w:rsid w:val="008E7713"/>
    <w:rsid w:val="008F2342"/>
    <w:rsid w:val="008F555B"/>
    <w:rsid w:val="0090095D"/>
    <w:rsid w:val="0090337D"/>
    <w:rsid w:val="00903C87"/>
    <w:rsid w:val="0091215D"/>
    <w:rsid w:val="0091300A"/>
    <w:rsid w:val="00915A38"/>
    <w:rsid w:val="0092058E"/>
    <w:rsid w:val="009205F6"/>
    <w:rsid w:val="009254BA"/>
    <w:rsid w:val="00926250"/>
    <w:rsid w:val="00926D87"/>
    <w:rsid w:val="00927219"/>
    <w:rsid w:val="00927D5F"/>
    <w:rsid w:val="00932A3C"/>
    <w:rsid w:val="00933294"/>
    <w:rsid w:val="00937084"/>
    <w:rsid w:val="00950BA7"/>
    <w:rsid w:val="00952B35"/>
    <w:rsid w:val="009552E9"/>
    <w:rsid w:val="00955400"/>
    <w:rsid w:val="00963A4B"/>
    <w:rsid w:val="00966A99"/>
    <w:rsid w:val="009672A8"/>
    <w:rsid w:val="00971486"/>
    <w:rsid w:val="009744C9"/>
    <w:rsid w:val="0097586C"/>
    <w:rsid w:val="00981CC5"/>
    <w:rsid w:val="0098273B"/>
    <w:rsid w:val="009829C3"/>
    <w:rsid w:val="00984DBB"/>
    <w:rsid w:val="0098553E"/>
    <w:rsid w:val="00985DB4"/>
    <w:rsid w:val="0099059B"/>
    <w:rsid w:val="00991D53"/>
    <w:rsid w:val="00991FC3"/>
    <w:rsid w:val="00992B9E"/>
    <w:rsid w:val="00995C46"/>
    <w:rsid w:val="009969D3"/>
    <w:rsid w:val="009A1D8D"/>
    <w:rsid w:val="009A450E"/>
    <w:rsid w:val="009A5227"/>
    <w:rsid w:val="009A7E56"/>
    <w:rsid w:val="009B3BB4"/>
    <w:rsid w:val="009B66C5"/>
    <w:rsid w:val="009B7C2B"/>
    <w:rsid w:val="009C281A"/>
    <w:rsid w:val="009D7F40"/>
    <w:rsid w:val="009E61C5"/>
    <w:rsid w:val="009E669D"/>
    <w:rsid w:val="009E7D57"/>
    <w:rsid w:val="009F1283"/>
    <w:rsid w:val="009F15FB"/>
    <w:rsid w:val="009F3A4E"/>
    <w:rsid w:val="009F3C9D"/>
    <w:rsid w:val="009F4249"/>
    <w:rsid w:val="00A0230E"/>
    <w:rsid w:val="00A05C3E"/>
    <w:rsid w:val="00A05F0E"/>
    <w:rsid w:val="00A156A4"/>
    <w:rsid w:val="00A25842"/>
    <w:rsid w:val="00A27FBD"/>
    <w:rsid w:val="00A30DE5"/>
    <w:rsid w:val="00A32F0E"/>
    <w:rsid w:val="00A348F7"/>
    <w:rsid w:val="00A40959"/>
    <w:rsid w:val="00A41CBA"/>
    <w:rsid w:val="00A43131"/>
    <w:rsid w:val="00A52337"/>
    <w:rsid w:val="00A5695D"/>
    <w:rsid w:val="00A613C9"/>
    <w:rsid w:val="00A614BE"/>
    <w:rsid w:val="00A65DB0"/>
    <w:rsid w:val="00A66A3C"/>
    <w:rsid w:val="00A66F91"/>
    <w:rsid w:val="00A715DF"/>
    <w:rsid w:val="00A7440E"/>
    <w:rsid w:val="00A757CC"/>
    <w:rsid w:val="00A77623"/>
    <w:rsid w:val="00A81C79"/>
    <w:rsid w:val="00A82080"/>
    <w:rsid w:val="00A82240"/>
    <w:rsid w:val="00A93B3D"/>
    <w:rsid w:val="00A93EB3"/>
    <w:rsid w:val="00A94435"/>
    <w:rsid w:val="00A94E3B"/>
    <w:rsid w:val="00A97BFA"/>
    <w:rsid w:val="00AA04B5"/>
    <w:rsid w:val="00AA1C70"/>
    <w:rsid w:val="00AA5E96"/>
    <w:rsid w:val="00AB5B48"/>
    <w:rsid w:val="00AB6FF1"/>
    <w:rsid w:val="00AB7F0F"/>
    <w:rsid w:val="00AC090E"/>
    <w:rsid w:val="00AC177E"/>
    <w:rsid w:val="00AC423E"/>
    <w:rsid w:val="00AD30AA"/>
    <w:rsid w:val="00AD32E0"/>
    <w:rsid w:val="00AD3B47"/>
    <w:rsid w:val="00AD45D8"/>
    <w:rsid w:val="00AD4B09"/>
    <w:rsid w:val="00AD4B91"/>
    <w:rsid w:val="00AE02CD"/>
    <w:rsid w:val="00AE1449"/>
    <w:rsid w:val="00AE35CE"/>
    <w:rsid w:val="00AE4457"/>
    <w:rsid w:val="00AE4753"/>
    <w:rsid w:val="00AF20D8"/>
    <w:rsid w:val="00B00BD4"/>
    <w:rsid w:val="00B032DF"/>
    <w:rsid w:val="00B03EA2"/>
    <w:rsid w:val="00B0797D"/>
    <w:rsid w:val="00B07F93"/>
    <w:rsid w:val="00B11CAA"/>
    <w:rsid w:val="00B1507D"/>
    <w:rsid w:val="00B16E57"/>
    <w:rsid w:val="00B17A7B"/>
    <w:rsid w:val="00B20CFB"/>
    <w:rsid w:val="00B2343F"/>
    <w:rsid w:val="00B2450F"/>
    <w:rsid w:val="00B27F80"/>
    <w:rsid w:val="00B3003F"/>
    <w:rsid w:val="00B30AA1"/>
    <w:rsid w:val="00B3313C"/>
    <w:rsid w:val="00B35662"/>
    <w:rsid w:val="00B3682D"/>
    <w:rsid w:val="00B36992"/>
    <w:rsid w:val="00B373A1"/>
    <w:rsid w:val="00B3791B"/>
    <w:rsid w:val="00B505F6"/>
    <w:rsid w:val="00B505FC"/>
    <w:rsid w:val="00B516B7"/>
    <w:rsid w:val="00B51BE1"/>
    <w:rsid w:val="00B606EA"/>
    <w:rsid w:val="00B617F7"/>
    <w:rsid w:val="00B640A3"/>
    <w:rsid w:val="00B72AED"/>
    <w:rsid w:val="00B7320C"/>
    <w:rsid w:val="00B73625"/>
    <w:rsid w:val="00B76500"/>
    <w:rsid w:val="00B83870"/>
    <w:rsid w:val="00B851F0"/>
    <w:rsid w:val="00B90C9F"/>
    <w:rsid w:val="00B912D6"/>
    <w:rsid w:val="00BA2F8F"/>
    <w:rsid w:val="00BA328D"/>
    <w:rsid w:val="00BA466A"/>
    <w:rsid w:val="00BA48F8"/>
    <w:rsid w:val="00BA4EBE"/>
    <w:rsid w:val="00BA7B62"/>
    <w:rsid w:val="00BB5BD8"/>
    <w:rsid w:val="00BB72F6"/>
    <w:rsid w:val="00BC0B3E"/>
    <w:rsid w:val="00BC0FC3"/>
    <w:rsid w:val="00BC3153"/>
    <w:rsid w:val="00BC5B98"/>
    <w:rsid w:val="00BC6C4A"/>
    <w:rsid w:val="00BD0E01"/>
    <w:rsid w:val="00BD440C"/>
    <w:rsid w:val="00BD6E6A"/>
    <w:rsid w:val="00BE1A50"/>
    <w:rsid w:val="00BE46F7"/>
    <w:rsid w:val="00BE572C"/>
    <w:rsid w:val="00BE6A1E"/>
    <w:rsid w:val="00BF36BB"/>
    <w:rsid w:val="00BF3CA8"/>
    <w:rsid w:val="00BF57E9"/>
    <w:rsid w:val="00BF6AE3"/>
    <w:rsid w:val="00C0231E"/>
    <w:rsid w:val="00C04F3A"/>
    <w:rsid w:val="00C071B1"/>
    <w:rsid w:val="00C106FA"/>
    <w:rsid w:val="00C13508"/>
    <w:rsid w:val="00C158BA"/>
    <w:rsid w:val="00C2125E"/>
    <w:rsid w:val="00C21B4C"/>
    <w:rsid w:val="00C248DA"/>
    <w:rsid w:val="00C352EC"/>
    <w:rsid w:val="00C37FFB"/>
    <w:rsid w:val="00C4029C"/>
    <w:rsid w:val="00C44E80"/>
    <w:rsid w:val="00C52352"/>
    <w:rsid w:val="00C54076"/>
    <w:rsid w:val="00C62330"/>
    <w:rsid w:val="00C659EA"/>
    <w:rsid w:val="00C663F7"/>
    <w:rsid w:val="00C665A2"/>
    <w:rsid w:val="00C66D3E"/>
    <w:rsid w:val="00C675E6"/>
    <w:rsid w:val="00C704A8"/>
    <w:rsid w:val="00C7152A"/>
    <w:rsid w:val="00C727D4"/>
    <w:rsid w:val="00C75697"/>
    <w:rsid w:val="00C76CB7"/>
    <w:rsid w:val="00C774A4"/>
    <w:rsid w:val="00C84DAD"/>
    <w:rsid w:val="00C8774C"/>
    <w:rsid w:val="00C87D5E"/>
    <w:rsid w:val="00CA45DA"/>
    <w:rsid w:val="00CA5A74"/>
    <w:rsid w:val="00CB455C"/>
    <w:rsid w:val="00CB6BC8"/>
    <w:rsid w:val="00CB70C8"/>
    <w:rsid w:val="00CC177B"/>
    <w:rsid w:val="00CC20F8"/>
    <w:rsid w:val="00CC330F"/>
    <w:rsid w:val="00CD2057"/>
    <w:rsid w:val="00CD24B1"/>
    <w:rsid w:val="00CD42C0"/>
    <w:rsid w:val="00CD472C"/>
    <w:rsid w:val="00CD4F13"/>
    <w:rsid w:val="00CD5926"/>
    <w:rsid w:val="00CD69A0"/>
    <w:rsid w:val="00CD6C2C"/>
    <w:rsid w:val="00CE2608"/>
    <w:rsid w:val="00CE31A2"/>
    <w:rsid w:val="00CE6C2C"/>
    <w:rsid w:val="00CE79A0"/>
    <w:rsid w:val="00CF032B"/>
    <w:rsid w:val="00CF056A"/>
    <w:rsid w:val="00CF1F7E"/>
    <w:rsid w:val="00CF2379"/>
    <w:rsid w:val="00CF32A6"/>
    <w:rsid w:val="00CF437E"/>
    <w:rsid w:val="00D00F42"/>
    <w:rsid w:val="00D02761"/>
    <w:rsid w:val="00D0481B"/>
    <w:rsid w:val="00D06170"/>
    <w:rsid w:val="00D07F9B"/>
    <w:rsid w:val="00D15ADA"/>
    <w:rsid w:val="00D1725B"/>
    <w:rsid w:val="00D20E67"/>
    <w:rsid w:val="00D21826"/>
    <w:rsid w:val="00D23C5B"/>
    <w:rsid w:val="00D24461"/>
    <w:rsid w:val="00D248BD"/>
    <w:rsid w:val="00D257F2"/>
    <w:rsid w:val="00D27A83"/>
    <w:rsid w:val="00D3231C"/>
    <w:rsid w:val="00D32E0A"/>
    <w:rsid w:val="00D32FE2"/>
    <w:rsid w:val="00D34430"/>
    <w:rsid w:val="00D35903"/>
    <w:rsid w:val="00D35E98"/>
    <w:rsid w:val="00D36531"/>
    <w:rsid w:val="00D44F2A"/>
    <w:rsid w:val="00D45BD3"/>
    <w:rsid w:val="00D4747D"/>
    <w:rsid w:val="00D50515"/>
    <w:rsid w:val="00D539B1"/>
    <w:rsid w:val="00D6056A"/>
    <w:rsid w:val="00D62087"/>
    <w:rsid w:val="00D6237F"/>
    <w:rsid w:val="00D6512B"/>
    <w:rsid w:val="00D668F5"/>
    <w:rsid w:val="00D66C81"/>
    <w:rsid w:val="00D76AB2"/>
    <w:rsid w:val="00D76BCD"/>
    <w:rsid w:val="00D771B3"/>
    <w:rsid w:val="00D77238"/>
    <w:rsid w:val="00D80D39"/>
    <w:rsid w:val="00D8572F"/>
    <w:rsid w:val="00D866F5"/>
    <w:rsid w:val="00D86730"/>
    <w:rsid w:val="00D87E61"/>
    <w:rsid w:val="00D901B9"/>
    <w:rsid w:val="00D916BB"/>
    <w:rsid w:val="00D9415B"/>
    <w:rsid w:val="00D94831"/>
    <w:rsid w:val="00DA0AAC"/>
    <w:rsid w:val="00DA3916"/>
    <w:rsid w:val="00DA5493"/>
    <w:rsid w:val="00DB1ED1"/>
    <w:rsid w:val="00DB4C3B"/>
    <w:rsid w:val="00DC09BC"/>
    <w:rsid w:val="00DC0CE3"/>
    <w:rsid w:val="00DC46C7"/>
    <w:rsid w:val="00DC5658"/>
    <w:rsid w:val="00DC5DA0"/>
    <w:rsid w:val="00DC68D7"/>
    <w:rsid w:val="00DC70E7"/>
    <w:rsid w:val="00DD0530"/>
    <w:rsid w:val="00DD2277"/>
    <w:rsid w:val="00DD2EFF"/>
    <w:rsid w:val="00DD3E17"/>
    <w:rsid w:val="00DD4385"/>
    <w:rsid w:val="00DD467D"/>
    <w:rsid w:val="00DD54C5"/>
    <w:rsid w:val="00DD57E4"/>
    <w:rsid w:val="00DD62FF"/>
    <w:rsid w:val="00DE0D0F"/>
    <w:rsid w:val="00DE1003"/>
    <w:rsid w:val="00DE1A91"/>
    <w:rsid w:val="00DE2182"/>
    <w:rsid w:val="00DE3D46"/>
    <w:rsid w:val="00DE60D3"/>
    <w:rsid w:val="00DE7681"/>
    <w:rsid w:val="00DF0413"/>
    <w:rsid w:val="00DF1587"/>
    <w:rsid w:val="00DF4603"/>
    <w:rsid w:val="00DF4DF9"/>
    <w:rsid w:val="00E00824"/>
    <w:rsid w:val="00E040AD"/>
    <w:rsid w:val="00E049F1"/>
    <w:rsid w:val="00E06EBB"/>
    <w:rsid w:val="00E12FF6"/>
    <w:rsid w:val="00E14452"/>
    <w:rsid w:val="00E20CCF"/>
    <w:rsid w:val="00E24BF9"/>
    <w:rsid w:val="00E27DA8"/>
    <w:rsid w:val="00E33A1C"/>
    <w:rsid w:val="00E35BB0"/>
    <w:rsid w:val="00E41082"/>
    <w:rsid w:val="00E41F10"/>
    <w:rsid w:val="00E41F12"/>
    <w:rsid w:val="00E42841"/>
    <w:rsid w:val="00E43179"/>
    <w:rsid w:val="00E43466"/>
    <w:rsid w:val="00E435F3"/>
    <w:rsid w:val="00E4501C"/>
    <w:rsid w:val="00E45963"/>
    <w:rsid w:val="00E5066E"/>
    <w:rsid w:val="00E50B37"/>
    <w:rsid w:val="00E57D5C"/>
    <w:rsid w:val="00E65FBC"/>
    <w:rsid w:val="00E705A1"/>
    <w:rsid w:val="00E71839"/>
    <w:rsid w:val="00E72B3A"/>
    <w:rsid w:val="00E732BB"/>
    <w:rsid w:val="00E73CE7"/>
    <w:rsid w:val="00E832ED"/>
    <w:rsid w:val="00E84176"/>
    <w:rsid w:val="00E863CE"/>
    <w:rsid w:val="00E87D89"/>
    <w:rsid w:val="00E93791"/>
    <w:rsid w:val="00E93D7F"/>
    <w:rsid w:val="00E949E2"/>
    <w:rsid w:val="00EA1419"/>
    <w:rsid w:val="00EA2282"/>
    <w:rsid w:val="00EA5CA1"/>
    <w:rsid w:val="00EA68FA"/>
    <w:rsid w:val="00EA6E0B"/>
    <w:rsid w:val="00EB0B74"/>
    <w:rsid w:val="00EB2B44"/>
    <w:rsid w:val="00EB2D84"/>
    <w:rsid w:val="00EB4C87"/>
    <w:rsid w:val="00EB763B"/>
    <w:rsid w:val="00EC059F"/>
    <w:rsid w:val="00EC793A"/>
    <w:rsid w:val="00ED2FF0"/>
    <w:rsid w:val="00ED541D"/>
    <w:rsid w:val="00ED6ECB"/>
    <w:rsid w:val="00EE11AA"/>
    <w:rsid w:val="00EE5F88"/>
    <w:rsid w:val="00EF07BA"/>
    <w:rsid w:val="00F05DEE"/>
    <w:rsid w:val="00F06169"/>
    <w:rsid w:val="00F07600"/>
    <w:rsid w:val="00F07CB8"/>
    <w:rsid w:val="00F11565"/>
    <w:rsid w:val="00F11B5C"/>
    <w:rsid w:val="00F12DDF"/>
    <w:rsid w:val="00F155B5"/>
    <w:rsid w:val="00F15601"/>
    <w:rsid w:val="00F20310"/>
    <w:rsid w:val="00F20930"/>
    <w:rsid w:val="00F20E89"/>
    <w:rsid w:val="00F31CB9"/>
    <w:rsid w:val="00F34535"/>
    <w:rsid w:val="00F35621"/>
    <w:rsid w:val="00F45DFF"/>
    <w:rsid w:val="00F51A01"/>
    <w:rsid w:val="00F52E42"/>
    <w:rsid w:val="00F53F40"/>
    <w:rsid w:val="00F56BCD"/>
    <w:rsid w:val="00F62D4A"/>
    <w:rsid w:val="00F6345A"/>
    <w:rsid w:val="00F6466A"/>
    <w:rsid w:val="00F65BB5"/>
    <w:rsid w:val="00F65FED"/>
    <w:rsid w:val="00F675D7"/>
    <w:rsid w:val="00F70553"/>
    <w:rsid w:val="00F7206F"/>
    <w:rsid w:val="00F72913"/>
    <w:rsid w:val="00F729F0"/>
    <w:rsid w:val="00F72FFA"/>
    <w:rsid w:val="00F75279"/>
    <w:rsid w:val="00F76667"/>
    <w:rsid w:val="00F77655"/>
    <w:rsid w:val="00F80C8A"/>
    <w:rsid w:val="00F80DA6"/>
    <w:rsid w:val="00F82A5D"/>
    <w:rsid w:val="00F84559"/>
    <w:rsid w:val="00F85EEE"/>
    <w:rsid w:val="00F91354"/>
    <w:rsid w:val="00F93128"/>
    <w:rsid w:val="00F954E9"/>
    <w:rsid w:val="00F9753B"/>
    <w:rsid w:val="00F97F88"/>
    <w:rsid w:val="00FA28F2"/>
    <w:rsid w:val="00FA37A8"/>
    <w:rsid w:val="00FA3EAA"/>
    <w:rsid w:val="00FA4226"/>
    <w:rsid w:val="00FB0688"/>
    <w:rsid w:val="00FB1196"/>
    <w:rsid w:val="00FB24AB"/>
    <w:rsid w:val="00FB3CEF"/>
    <w:rsid w:val="00FC1DF9"/>
    <w:rsid w:val="00FC2A1A"/>
    <w:rsid w:val="00FC32A9"/>
    <w:rsid w:val="00FC626E"/>
    <w:rsid w:val="00FC6F46"/>
    <w:rsid w:val="00FC7FF4"/>
    <w:rsid w:val="00FD1CF2"/>
    <w:rsid w:val="00FD2287"/>
    <w:rsid w:val="00FD3434"/>
    <w:rsid w:val="00FD4A02"/>
    <w:rsid w:val="00FE0658"/>
    <w:rsid w:val="00FE6535"/>
    <w:rsid w:val="00FE6DB1"/>
    <w:rsid w:val="00FF2BE2"/>
    <w:rsid w:val="00FF73F4"/>
    <w:rsid w:val="00FF7D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D4E09"/>
  <w15:docId w15:val="{64CA4EAE-4830-42AD-8592-232FFA3A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683"/>
    <w:pPr>
      <w:spacing w:after="160" w:line="259" w:lineRule="auto"/>
    </w:pPr>
  </w:style>
  <w:style w:type="paragraph" w:styleId="Overskrift1">
    <w:name w:val="heading 1"/>
    <w:basedOn w:val="Normal"/>
    <w:next w:val="Normal"/>
    <w:link w:val="Overskrift1Tegn"/>
    <w:uiPriority w:val="9"/>
    <w:qFormat/>
    <w:rsid w:val="00E00824"/>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Overskrift2">
    <w:name w:val="heading 2"/>
    <w:basedOn w:val="Normal"/>
    <w:link w:val="Overskrift2Tegn"/>
    <w:uiPriority w:val="9"/>
    <w:qFormat/>
    <w:rsid w:val="003C464D"/>
    <w:pPr>
      <w:spacing w:before="100" w:beforeAutospacing="1" w:after="100" w:afterAutospacing="1" w:line="240" w:lineRule="auto"/>
      <w:outlineLvl w:val="1"/>
    </w:pPr>
    <w:rPr>
      <w:rFonts w:ascii="Cambria" w:eastAsia="Times New Roman" w:hAnsi="Cambria" w:cs="Times New Roman"/>
      <w:b/>
      <w:bCs/>
      <w:sz w:val="26"/>
      <w:szCs w:val="26"/>
      <w:lang w:val="en-US" w:eastAsia="da-DK"/>
    </w:rPr>
  </w:style>
  <w:style w:type="paragraph" w:styleId="Overskrift3">
    <w:name w:val="heading 3"/>
    <w:basedOn w:val="Overskrift4"/>
    <w:link w:val="Overskrift3Tegn"/>
    <w:uiPriority w:val="9"/>
    <w:qFormat/>
    <w:rsid w:val="003C464D"/>
    <w:pPr>
      <w:keepNext w:val="0"/>
      <w:keepLines w:val="0"/>
      <w:spacing w:before="280" w:line="276" w:lineRule="auto"/>
      <w:outlineLvl w:val="2"/>
    </w:pPr>
    <w:rPr>
      <w:rFonts w:ascii="Cambria" w:eastAsia="Times New Roman" w:hAnsi="Cambria" w:cs="Calibri"/>
      <w:i w:val="0"/>
      <w:iCs w:val="0"/>
      <w:color w:val="000000"/>
      <w:lang w:val="en-US" w:eastAsia="da-DK"/>
    </w:rPr>
  </w:style>
  <w:style w:type="paragraph" w:styleId="Overskrift4">
    <w:name w:val="heading 4"/>
    <w:basedOn w:val="Normal"/>
    <w:next w:val="Normal"/>
    <w:link w:val="Overskrift4Tegn"/>
    <w:uiPriority w:val="9"/>
    <w:semiHidden/>
    <w:unhideWhenUsed/>
    <w:qFormat/>
    <w:rsid w:val="003C46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00824"/>
    <w:rPr>
      <w:rFonts w:asciiTheme="majorHAnsi" w:eastAsiaTheme="majorEastAsia" w:hAnsiTheme="majorHAnsi" w:cstheme="majorBidi"/>
      <w:b/>
      <w:bCs/>
      <w:color w:val="365F91" w:themeColor="accent1" w:themeShade="BF"/>
      <w:sz w:val="28"/>
      <w:szCs w:val="28"/>
      <w:lang w:val="en-GB"/>
    </w:rPr>
  </w:style>
  <w:style w:type="character" w:customStyle="1" w:styleId="Overskrift2Tegn">
    <w:name w:val="Overskrift 2 Tegn"/>
    <w:basedOn w:val="Standardskrifttypeiafsnit"/>
    <w:link w:val="Overskrift2"/>
    <w:uiPriority w:val="9"/>
    <w:rsid w:val="003C464D"/>
    <w:rPr>
      <w:rFonts w:ascii="Cambria" w:eastAsia="Times New Roman" w:hAnsi="Cambria" w:cs="Times New Roman"/>
      <w:b/>
      <w:bCs/>
      <w:sz w:val="26"/>
      <w:szCs w:val="26"/>
      <w:lang w:val="en-US" w:eastAsia="da-DK"/>
    </w:rPr>
  </w:style>
  <w:style w:type="character" w:customStyle="1" w:styleId="Overskrift4Tegn">
    <w:name w:val="Overskrift 4 Tegn"/>
    <w:basedOn w:val="Standardskrifttypeiafsnit"/>
    <w:link w:val="Overskrift4"/>
    <w:uiPriority w:val="9"/>
    <w:rsid w:val="003C464D"/>
    <w:rPr>
      <w:rFonts w:asciiTheme="majorHAnsi" w:eastAsiaTheme="majorEastAsia" w:hAnsiTheme="majorHAnsi" w:cstheme="majorBidi"/>
      <w:b/>
      <w:bCs/>
      <w:i/>
      <w:iCs/>
      <w:color w:val="4F81BD" w:themeColor="accent1"/>
    </w:rPr>
  </w:style>
  <w:style w:type="character" w:customStyle="1" w:styleId="Overskrift3Tegn">
    <w:name w:val="Overskrift 3 Tegn"/>
    <w:basedOn w:val="Standardskrifttypeiafsnit"/>
    <w:link w:val="Overskrift3"/>
    <w:uiPriority w:val="9"/>
    <w:rsid w:val="003C464D"/>
    <w:rPr>
      <w:rFonts w:ascii="Cambria" w:eastAsia="Times New Roman" w:hAnsi="Cambria" w:cs="Calibri"/>
      <w:b/>
      <w:bCs/>
      <w:color w:val="000000"/>
      <w:lang w:val="en-US" w:eastAsia="da-DK"/>
    </w:rPr>
  </w:style>
  <w:style w:type="paragraph" w:styleId="Listeafsnit">
    <w:name w:val="List Paragraph"/>
    <w:basedOn w:val="Normal"/>
    <w:uiPriority w:val="34"/>
    <w:qFormat/>
    <w:rsid w:val="003C464D"/>
    <w:pPr>
      <w:ind w:left="720"/>
      <w:contextualSpacing/>
    </w:pPr>
  </w:style>
  <w:style w:type="paragraph" w:styleId="Sidehoved">
    <w:name w:val="header"/>
    <w:basedOn w:val="Normal"/>
    <w:link w:val="SidehovedTegn"/>
    <w:uiPriority w:val="99"/>
    <w:unhideWhenUsed/>
    <w:rsid w:val="003C464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464D"/>
  </w:style>
  <w:style w:type="paragraph" w:styleId="Sidefod">
    <w:name w:val="footer"/>
    <w:basedOn w:val="Normal"/>
    <w:link w:val="SidefodTegn"/>
    <w:uiPriority w:val="99"/>
    <w:unhideWhenUsed/>
    <w:rsid w:val="003C464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464D"/>
  </w:style>
  <w:style w:type="character" w:styleId="Hyperlink">
    <w:name w:val="Hyperlink"/>
    <w:basedOn w:val="Standardskrifttypeiafsnit"/>
    <w:uiPriority w:val="99"/>
    <w:unhideWhenUsed/>
    <w:rsid w:val="003C464D"/>
    <w:rPr>
      <w:color w:val="0000FF" w:themeColor="hyperlink"/>
      <w:u w:val="single"/>
    </w:rPr>
  </w:style>
  <w:style w:type="character" w:styleId="Kommentarhenvisning">
    <w:name w:val="annotation reference"/>
    <w:basedOn w:val="Standardskrifttypeiafsnit"/>
    <w:uiPriority w:val="99"/>
    <w:semiHidden/>
    <w:unhideWhenUsed/>
    <w:rsid w:val="003C464D"/>
    <w:rPr>
      <w:sz w:val="16"/>
      <w:szCs w:val="16"/>
    </w:rPr>
  </w:style>
  <w:style w:type="paragraph" w:styleId="Kommentartekst">
    <w:name w:val="annotation text"/>
    <w:basedOn w:val="Normal"/>
    <w:link w:val="KommentartekstTegn"/>
    <w:uiPriority w:val="99"/>
    <w:unhideWhenUsed/>
    <w:rsid w:val="003C464D"/>
    <w:pPr>
      <w:spacing w:line="240" w:lineRule="auto"/>
    </w:pPr>
    <w:rPr>
      <w:sz w:val="20"/>
      <w:szCs w:val="20"/>
    </w:rPr>
  </w:style>
  <w:style w:type="character" w:customStyle="1" w:styleId="KommentartekstTegn">
    <w:name w:val="Kommentartekst Tegn"/>
    <w:basedOn w:val="Standardskrifttypeiafsnit"/>
    <w:link w:val="Kommentartekst"/>
    <w:uiPriority w:val="99"/>
    <w:rsid w:val="003C464D"/>
    <w:rPr>
      <w:sz w:val="20"/>
      <w:szCs w:val="20"/>
    </w:rPr>
  </w:style>
  <w:style w:type="paragraph" w:styleId="Markeringsbobletekst">
    <w:name w:val="Balloon Text"/>
    <w:basedOn w:val="Normal"/>
    <w:link w:val="MarkeringsbobletekstTegn"/>
    <w:uiPriority w:val="99"/>
    <w:semiHidden/>
    <w:unhideWhenUsed/>
    <w:rsid w:val="003C464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C464D"/>
    <w:rPr>
      <w:rFonts w:ascii="Tahoma" w:hAnsi="Tahoma" w:cs="Tahoma"/>
      <w:sz w:val="16"/>
      <w:szCs w:val="16"/>
    </w:rPr>
  </w:style>
  <w:style w:type="paragraph" w:styleId="NormalWeb">
    <w:name w:val="Normal (Web)"/>
    <w:basedOn w:val="Normal"/>
    <w:uiPriority w:val="99"/>
    <w:unhideWhenUsed/>
    <w:rsid w:val="004B31F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Kommentaremne">
    <w:name w:val="annotation subject"/>
    <w:basedOn w:val="Kommentartekst"/>
    <w:next w:val="Kommentartekst"/>
    <w:link w:val="KommentaremneTegn"/>
    <w:uiPriority w:val="99"/>
    <w:semiHidden/>
    <w:unhideWhenUsed/>
    <w:rsid w:val="001B0B82"/>
    <w:rPr>
      <w:b/>
      <w:bCs/>
    </w:rPr>
  </w:style>
  <w:style w:type="character" w:customStyle="1" w:styleId="KommentaremneTegn">
    <w:name w:val="Kommentaremne Tegn"/>
    <w:basedOn w:val="KommentartekstTegn"/>
    <w:link w:val="Kommentaremne"/>
    <w:uiPriority w:val="99"/>
    <w:semiHidden/>
    <w:rsid w:val="001B0B82"/>
    <w:rPr>
      <w:b/>
      <w:bCs/>
      <w:sz w:val="20"/>
      <w:szCs w:val="20"/>
    </w:rPr>
  </w:style>
  <w:style w:type="character" w:styleId="Strk">
    <w:name w:val="Strong"/>
    <w:basedOn w:val="Standardskrifttypeiafsnit"/>
    <w:uiPriority w:val="22"/>
    <w:qFormat/>
    <w:rsid w:val="00C66D3E"/>
    <w:rPr>
      <w:b/>
      <w:bCs/>
    </w:rPr>
  </w:style>
  <w:style w:type="paragraph" w:styleId="Bibliografi">
    <w:name w:val="Bibliography"/>
    <w:basedOn w:val="Normal"/>
    <w:next w:val="Normal"/>
    <w:uiPriority w:val="37"/>
    <w:unhideWhenUsed/>
    <w:rsid w:val="00C66D3E"/>
    <w:pPr>
      <w:spacing w:after="0" w:line="480" w:lineRule="auto"/>
      <w:ind w:left="720" w:hanging="720"/>
    </w:pPr>
  </w:style>
  <w:style w:type="character" w:styleId="Fremhv">
    <w:name w:val="Emphasis"/>
    <w:basedOn w:val="Standardskrifttypeiafsnit"/>
    <w:uiPriority w:val="20"/>
    <w:qFormat/>
    <w:rsid w:val="00445359"/>
    <w:rPr>
      <w:i/>
      <w:iCs/>
    </w:rPr>
  </w:style>
  <w:style w:type="character" w:styleId="Fodnotehenvisning">
    <w:name w:val="footnote reference"/>
    <w:basedOn w:val="Standardskrifttypeiafsnit"/>
    <w:uiPriority w:val="99"/>
    <w:semiHidden/>
    <w:unhideWhenUsed/>
    <w:rsid w:val="002B2B58"/>
    <w:rPr>
      <w:vertAlign w:val="superscript"/>
    </w:rPr>
  </w:style>
  <w:style w:type="character" w:customStyle="1" w:styleId="spelle">
    <w:name w:val="spelle"/>
    <w:basedOn w:val="Standardskrifttypeiafsnit"/>
    <w:rsid w:val="004D2393"/>
  </w:style>
  <w:style w:type="paragraph" w:styleId="Brdtekst">
    <w:name w:val="Body Text"/>
    <w:basedOn w:val="Normal"/>
    <w:link w:val="BrdtekstTegn"/>
    <w:rsid w:val="00E00824"/>
    <w:pPr>
      <w:spacing w:after="0" w:line="240" w:lineRule="auto"/>
    </w:pPr>
    <w:rPr>
      <w:rFonts w:ascii="Times New Roman" w:eastAsia="Times New Roman" w:hAnsi="Times New Roman" w:cs="Times New Roman"/>
      <w:b/>
      <w:bCs/>
      <w:szCs w:val="24"/>
    </w:rPr>
  </w:style>
  <w:style w:type="character" w:customStyle="1" w:styleId="BrdtekstTegn">
    <w:name w:val="Brødtekst Tegn"/>
    <w:basedOn w:val="Standardskrifttypeiafsnit"/>
    <w:link w:val="Brdtekst"/>
    <w:rsid w:val="00E00824"/>
    <w:rPr>
      <w:rFonts w:ascii="Times New Roman" w:eastAsia="Times New Roman" w:hAnsi="Times New Roman" w:cs="Times New Roman"/>
      <w:b/>
      <w:bCs/>
      <w:szCs w:val="24"/>
    </w:rPr>
  </w:style>
  <w:style w:type="paragraph" w:styleId="Fodnotetekst">
    <w:name w:val="footnote text"/>
    <w:basedOn w:val="Normal"/>
    <w:link w:val="FodnotetekstTegn"/>
    <w:uiPriority w:val="99"/>
    <w:semiHidden/>
    <w:unhideWhenUsed/>
    <w:rsid w:val="00E00824"/>
    <w:pPr>
      <w:spacing w:after="0" w:line="240" w:lineRule="auto"/>
    </w:pPr>
    <w:rPr>
      <w:sz w:val="20"/>
      <w:szCs w:val="20"/>
      <w:lang w:val="en-GB"/>
    </w:rPr>
  </w:style>
  <w:style w:type="character" w:customStyle="1" w:styleId="FodnotetekstTegn">
    <w:name w:val="Fodnotetekst Tegn"/>
    <w:basedOn w:val="Standardskrifttypeiafsnit"/>
    <w:link w:val="Fodnotetekst"/>
    <w:uiPriority w:val="99"/>
    <w:semiHidden/>
    <w:rsid w:val="00E00824"/>
    <w:rPr>
      <w:sz w:val="20"/>
      <w:szCs w:val="20"/>
      <w:lang w:val="en-GB"/>
    </w:rPr>
  </w:style>
  <w:style w:type="table" w:styleId="Lysskygge">
    <w:name w:val="Light Shading"/>
    <w:basedOn w:val="Tabel-Normal"/>
    <w:uiPriority w:val="60"/>
    <w:rsid w:val="00E00824"/>
    <w:pPr>
      <w:spacing w:after="0" w:line="240" w:lineRule="auto"/>
    </w:pPr>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Gitter">
    <w:name w:val="Table Grid"/>
    <w:basedOn w:val="Tabel-Normal"/>
    <w:uiPriority w:val="59"/>
    <w:rsid w:val="00E0082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D027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871144">
      <w:bodyDiv w:val="1"/>
      <w:marLeft w:val="0"/>
      <w:marRight w:val="0"/>
      <w:marTop w:val="0"/>
      <w:marBottom w:val="0"/>
      <w:divBdr>
        <w:top w:val="none" w:sz="0" w:space="0" w:color="auto"/>
        <w:left w:val="none" w:sz="0" w:space="0" w:color="auto"/>
        <w:bottom w:val="none" w:sz="0" w:space="0" w:color="auto"/>
        <w:right w:val="none" w:sz="0" w:space="0" w:color="auto"/>
      </w:divBdr>
    </w:div>
    <w:div w:id="247421156">
      <w:bodyDiv w:val="1"/>
      <w:marLeft w:val="0"/>
      <w:marRight w:val="0"/>
      <w:marTop w:val="0"/>
      <w:marBottom w:val="0"/>
      <w:divBdr>
        <w:top w:val="none" w:sz="0" w:space="0" w:color="auto"/>
        <w:left w:val="none" w:sz="0" w:space="0" w:color="auto"/>
        <w:bottom w:val="none" w:sz="0" w:space="0" w:color="auto"/>
        <w:right w:val="none" w:sz="0" w:space="0" w:color="auto"/>
      </w:divBdr>
    </w:div>
    <w:div w:id="653141174">
      <w:bodyDiv w:val="1"/>
      <w:marLeft w:val="0"/>
      <w:marRight w:val="0"/>
      <w:marTop w:val="0"/>
      <w:marBottom w:val="0"/>
      <w:divBdr>
        <w:top w:val="none" w:sz="0" w:space="0" w:color="auto"/>
        <w:left w:val="none" w:sz="0" w:space="0" w:color="auto"/>
        <w:bottom w:val="none" w:sz="0" w:space="0" w:color="auto"/>
        <w:right w:val="none" w:sz="0" w:space="0" w:color="auto"/>
      </w:divBdr>
    </w:div>
    <w:div w:id="672419153">
      <w:bodyDiv w:val="1"/>
      <w:marLeft w:val="0"/>
      <w:marRight w:val="0"/>
      <w:marTop w:val="0"/>
      <w:marBottom w:val="0"/>
      <w:divBdr>
        <w:top w:val="none" w:sz="0" w:space="0" w:color="auto"/>
        <w:left w:val="none" w:sz="0" w:space="0" w:color="auto"/>
        <w:bottom w:val="none" w:sz="0" w:space="0" w:color="auto"/>
        <w:right w:val="none" w:sz="0" w:space="0" w:color="auto"/>
      </w:divBdr>
    </w:div>
    <w:div w:id="827330706">
      <w:bodyDiv w:val="1"/>
      <w:marLeft w:val="0"/>
      <w:marRight w:val="0"/>
      <w:marTop w:val="0"/>
      <w:marBottom w:val="0"/>
      <w:divBdr>
        <w:top w:val="none" w:sz="0" w:space="0" w:color="auto"/>
        <w:left w:val="none" w:sz="0" w:space="0" w:color="auto"/>
        <w:bottom w:val="none" w:sz="0" w:space="0" w:color="auto"/>
        <w:right w:val="none" w:sz="0" w:space="0" w:color="auto"/>
      </w:divBdr>
    </w:div>
    <w:div w:id="1247884861">
      <w:bodyDiv w:val="1"/>
      <w:marLeft w:val="0"/>
      <w:marRight w:val="0"/>
      <w:marTop w:val="0"/>
      <w:marBottom w:val="0"/>
      <w:divBdr>
        <w:top w:val="none" w:sz="0" w:space="0" w:color="auto"/>
        <w:left w:val="none" w:sz="0" w:space="0" w:color="auto"/>
        <w:bottom w:val="none" w:sz="0" w:space="0" w:color="auto"/>
        <w:right w:val="none" w:sz="0" w:space="0" w:color="auto"/>
      </w:divBdr>
    </w:div>
    <w:div w:id="1284267153">
      <w:bodyDiv w:val="1"/>
      <w:marLeft w:val="0"/>
      <w:marRight w:val="0"/>
      <w:marTop w:val="0"/>
      <w:marBottom w:val="0"/>
      <w:divBdr>
        <w:top w:val="none" w:sz="0" w:space="0" w:color="auto"/>
        <w:left w:val="none" w:sz="0" w:space="0" w:color="auto"/>
        <w:bottom w:val="none" w:sz="0" w:space="0" w:color="auto"/>
        <w:right w:val="none" w:sz="0" w:space="0" w:color="auto"/>
      </w:divBdr>
    </w:div>
    <w:div w:id="1342001685">
      <w:bodyDiv w:val="1"/>
      <w:marLeft w:val="0"/>
      <w:marRight w:val="0"/>
      <w:marTop w:val="0"/>
      <w:marBottom w:val="0"/>
      <w:divBdr>
        <w:top w:val="none" w:sz="0" w:space="0" w:color="auto"/>
        <w:left w:val="none" w:sz="0" w:space="0" w:color="auto"/>
        <w:bottom w:val="none" w:sz="0" w:space="0" w:color="auto"/>
        <w:right w:val="none" w:sz="0" w:space="0" w:color="auto"/>
      </w:divBdr>
    </w:div>
    <w:div w:id="1388459200">
      <w:bodyDiv w:val="1"/>
      <w:marLeft w:val="0"/>
      <w:marRight w:val="0"/>
      <w:marTop w:val="0"/>
      <w:marBottom w:val="0"/>
      <w:divBdr>
        <w:top w:val="none" w:sz="0" w:space="0" w:color="auto"/>
        <w:left w:val="none" w:sz="0" w:space="0" w:color="auto"/>
        <w:bottom w:val="none" w:sz="0" w:space="0" w:color="auto"/>
        <w:right w:val="none" w:sz="0" w:space="0" w:color="auto"/>
      </w:divBdr>
    </w:div>
    <w:div w:id="1541283329">
      <w:bodyDiv w:val="1"/>
      <w:marLeft w:val="0"/>
      <w:marRight w:val="0"/>
      <w:marTop w:val="0"/>
      <w:marBottom w:val="0"/>
      <w:divBdr>
        <w:top w:val="none" w:sz="0" w:space="0" w:color="auto"/>
        <w:left w:val="none" w:sz="0" w:space="0" w:color="auto"/>
        <w:bottom w:val="none" w:sz="0" w:space="0" w:color="auto"/>
        <w:right w:val="none" w:sz="0" w:space="0" w:color="auto"/>
      </w:divBdr>
    </w:div>
    <w:div w:id="1914973012">
      <w:bodyDiv w:val="1"/>
      <w:marLeft w:val="0"/>
      <w:marRight w:val="0"/>
      <w:marTop w:val="0"/>
      <w:marBottom w:val="0"/>
      <w:divBdr>
        <w:top w:val="none" w:sz="0" w:space="0" w:color="auto"/>
        <w:left w:val="none" w:sz="0" w:space="0" w:color="auto"/>
        <w:bottom w:val="none" w:sz="0" w:space="0" w:color="auto"/>
        <w:right w:val="none" w:sz="0" w:space="0" w:color="auto"/>
      </w:divBdr>
    </w:div>
    <w:div w:id="198365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tc-mpa43@mil.dk" TargetMode="External"/><Relationship Id="rId13" Type="http://schemas.openxmlformats.org/officeDocument/2006/relationships/hyperlink" Target="mailto:vetc-vic004@mil.d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tc-vic14@mil.d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aratzias@napier.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etc-chvic@mil.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etc-vic01@mil.dk" TargetMode="External"/><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5B885-B358-423E-B958-FBA23E37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6608</Words>
  <Characters>37672</Characters>
  <Application>Microsoft Office Word</Application>
  <DocSecurity>0</DocSecurity>
  <Lines>313</Lines>
  <Paragraphs>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Forsvaret</Company>
  <LinksUpToDate>false</LinksUpToDate>
  <CharactersWithSpaces>44192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Folke</dc:creator>
  <cp:keywords/>
  <dc:description/>
  <cp:lastModifiedBy>Sofie Folke</cp:lastModifiedBy>
  <cp:revision>2</cp:revision>
  <dcterms:created xsi:type="dcterms:W3CDTF">2023-04-26T12:44:00Z</dcterms:created>
  <dcterms:modified xsi:type="dcterms:W3CDTF">2023-04-26T12:44:00Z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b488436f-f213-4846-91b0-01ba77fe2675</vt:lpwstr>
  </property>
  <property fmtid="{D5CDD505-2E9C-101B-9397-08002B2CF9AE}" pid="3" name="sdDocumentDate">
    <vt:lpwstr>44358</vt:lpwstr>
  </property>
  <property fmtid="{D5CDD505-2E9C-101B-9397-08002B2CF9AE}" pid="4" name="SD_IntegrationInfoAdded">
    <vt:bool>true</vt:bool>
  </property>
  <property fmtid="{D5CDD505-2E9C-101B-9397-08002B2CF9AE}" pid="5" name="ZOTERO_PREF_1">
    <vt:lpwstr>&lt;data data-version="3" zotero-version="6.0.26"&gt;&lt;session id="iqXGDlfi"/&gt;&lt;style id="http://www.zotero.org/styles/apa" locale="da-DK" hasBibliography="1" bibliographyStyleHasBeenSet="1"/&gt;&lt;prefs&gt;&lt;pref name="fieldType" value="Field"/&gt;&lt;/prefs&gt;&lt;/data&gt;</vt:lpwstr>
  </property>
  <property fmtid="{D5CDD505-2E9C-101B-9397-08002B2CF9AE}" pid="6" name="Mendeley Recent Style Id 0_1">
    <vt:lpwstr>http://www.zotero.org/styles/age-and-ageing</vt:lpwstr>
  </property>
  <property fmtid="{D5CDD505-2E9C-101B-9397-08002B2CF9AE}" pid="7" name="Mendeley Recent Style Name 0_1">
    <vt:lpwstr>Age and Ageing</vt:lpwstr>
  </property>
  <property fmtid="{D5CDD505-2E9C-101B-9397-08002B2CF9AE}" pid="8" name="Mendeley Recent Style Id 1_1">
    <vt:lpwstr>http://www.zotero.org/styles/aktuelle-ernahrungsmedizin</vt:lpwstr>
  </property>
  <property fmtid="{D5CDD505-2E9C-101B-9397-08002B2CF9AE}" pid="9" name="Mendeley Recent Style Name 1_1">
    <vt:lpwstr>Aktuelle Ernährungsmedizin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http://www.zotero.org/styles/bmc-geriatrics</vt:lpwstr>
  </property>
  <property fmtid="{D5CDD505-2E9C-101B-9397-08002B2CF9AE}" pid="13" name="Mendeley Recent Style Name 3_1">
    <vt:lpwstr>BMC Geriatrics</vt:lpwstr>
  </property>
  <property fmtid="{D5CDD505-2E9C-101B-9397-08002B2CF9AE}" pid="14" name="Mendeley Recent Style Id 4_1">
    <vt:lpwstr>http://www.zotero.org/styles/bmc-public-health</vt:lpwstr>
  </property>
  <property fmtid="{D5CDD505-2E9C-101B-9397-08002B2CF9AE}" pid="15" name="Mendeley Recent Style Name 4_1">
    <vt:lpwstr>BMC Public Health</vt:lpwstr>
  </property>
  <property fmtid="{D5CDD505-2E9C-101B-9397-08002B2CF9AE}" pid="16" name="Mendeley Recent Style Id 5_1">
    <vt:lpwstr>http://www.zotero.org/styles/chicago-author-date</vt:lpwstr>
  </property>
  <property fmtid="{D5CDD505-2E9C-101B-9397-08002B2CF9AE}" pid="17" name="Mendeley Recent Style Name 5_1">
    <vt:lpwstr>Chicago Manual of Style 17th edition (author-date)</vt:lpwstr>
  </property>
  <property fmtid="{D5CDD505-2E9C-101B-9397-08002B2CF9AE}" pid="18" name="Mendeley Recent Style Id 6_1">
    <vt:lpwstr>http://www.zotero.org/styles/chicago-note-bibliography</vt:lpwstr>
  </property>
  <property fmtid="{D5CDD505-2E9C-101B-9397-08002B2CF9AE}" pid="19" name="Mendeley Recent Style Name 6_1">
    <vt:lpwstr>Chicago Manual of Style 17th edition (note)</vt:lpwstr>
  </property>
  <property fmtid="{D5CDD505-2E9C-101B-9397-08002B2CF9AE}" pid="20" name="Mendeley Recent Style Id 7_1">
    <vt:lpwstr>http://www.zotero.org/styles/child-indicators-research</vt:lpwstr>
  </property>
  <property fmtid="{D5CDD505-2E9C-101B-9397-08002B2CF9AE}" pid="21" name="Mendeley Recent Style Name 7_1">
    <vt:lpwstr>Child Indicators Research</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y fmtid="{D5CDD505-2E9C-101B-9397-08002B2CF9AE}" pid="26" name="ContentRemapped">
    <vt:lpwstr>true</vt:lpwstr>
  </property>
  <property fmtid="{D5CDD505-2E9C-101B-9397-08002B2CF9AE}" pid="27" name="Klassifikation">
    <vt:lpwstr>IKKE KLASSIFICERET</vt:lpwstr>
  </property>
  <property fmtid="{D5CDD505-2E9C-101B-9397-08002B2CF9AE}" pid="28" name="Maerkning">
    <vt:lpwstr/>
  </property>
  <property fmtid="{D5CDD505-2E9C-101B-9397-08002B2CF9AE}" pid="29" name="MSIP_Label_6a2630e2-1ac5-455e-8217-0156b1936a76_Enabled">
    <vt:lpwstr>true</vt:lpwstr>
  </property>
  <property fmtid="{D5CDD505-2E9C-101B-9397-08002B2CF9AE}" pid="30" name="MSIP_Label_6a2630e2-1ac5-455e-8217-0156b1936a76_SetDate">
    <vt:lpwstr>2023-04-24T11:39:05Z</vt:lpwstr>
  </property>
  <property fmtid="{D5CDD505-2E9C-101B-9397-08002B2CF9AE}" pid="31" name="MSIP_Label_6a2630e2-1ac5-455e-8217-0156b1936a76_Method">
    <vt:lpwstr>Standard</vt:lpwstr>
  </property>
  <property fmtid="{D5CDD505-2E9C-101B-9397-08002B2CF9AE}" pid="32" name="MSIP_Label_6a2630e2-1ac5-455e-8217-0156b1936a76_Name">
    <vt:lpwstr>Notclass</vt:lpwstr>
  </property>
  <property fmtid="{D5CDD505-2E9C-101B-9397-08002B2CF9AE}" pid="33" name="MSIP_Label_6a2630e2-1ac5-455e-8217-0156b1936a76_SiteId">
    <vt:lpwstr>a3927f91-cda1-4696-af89-8c9f1ceffa91</vt:lpwstr>
  </property>
  <property fmtid="{D5CDD505-2E9C-101B-9397-08002B2CF9AE}" pid="34" name="MSIP_Label_6a2630e2-1ac5-455e-8217-0156b1936a76_ActionId">
    <vt:lpwstr>f49d6849-7fc4-4424-b67f-bb6a21c3a6cd</vt:lpwstr>
  </property>
  <property fmtid="{D5CDD505-2E9C-101B-9397-08002B2CF9AE}" pid="35" name="MSIP_Label_6a2630e2-1ac5-455e-8217-0156b1936a76_ContentBits">
    <vt:lpwstr>0</vt:lpwstr>
  </property>
</Properties>
</file>