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6187F" w14:textId="77777777" w:rsidR="00D57977" w:rsidRPr="00E01A9C" w:rsidRDefault="00F324C2" w:rsidP="007E58E4">
      <w:pPr>
        <w:pStyle w:val="Articletitle"/>
      </w:pPr>
      <w:r>
        <w:t>E</w:t>
      </w:r>
      <w:r w:rsidR="00F562B1">
        <w:t xml:space="preserve">ntrepreneurial </w:t>
      </w:r>
      <w:r w:rsidR="00970BA8">
        <w:t>drivers, barriers and enablers</w:t>
      </w:r>
      <w:r w:rsidR="00F562B1">
        <w:t xml:space="preserve"> of</w:t>
      </w:r>
      <w:r w:rsidR="00371031" w:rsidRPr="00E01A9C">
        <w:t xml:space="preserve"> </w:t>
      </w:r>
      <w:r>
        <w:t>computing</w:t>
      </w:r>
      <w:r w:rsidRPr="00E01A9C">
        <w:t xml:space="preserve"> </w:t>
      </w:r>
      <w:r w:rsidR="00371031" w:rsidRPr="00E01A9C">
        <w:t>students</w:t>
      </w:r>
      <w:r>
        <w:t xml:space="preserve">: </w:t>
      </w:r>
      <w:r w:rsidR="00CA5187">
        <w:t xml:space="preserve">gendered </w:t>
      </w:r>
      <w:r>
        <w:t>perspectives from an Australian and UK university</w:t>
      </w:r>
      <w:r w:rsidR="00371031" w:rsidRPr="00E01A9C">
        <w:t xml:space="preserve"> </w:t>
      </w:r>
    </w:p>
    <w:p w14:paraId="1046976E" w14:textId="77777777" w:rsidR="000D47CE" w:rsidRPr="000D47CE" w:rsidRDefault="000D47CE" w:rsidP="000D47CE">
      <w:pPr>
        <w:spacing w:before="240" w:line="360" w:lineRule="auto"/>
        <w:rPr>
          <w:sz w:val="28"/>
        </w:rPr>
      </w:pPr>
      <w:r>
        <w:rPr>
          <w:sz w:val="28"/>
        </w:rPr>
        <w:t xml:space="preserve">Sally </w:t>
      </w:r>
      <w:proofErr w:type="spellStart"/>
      <w:r>
        <w:rPr>
          <w:sz w:val="28"/>
        </w:rPr>
        <w:t>Smith</w:t>
      </w:r>
      <w:r w:rsidRPr="00C95F67">
        <w:rPr>
          <w:sz w:val="28"/>
          <w:vertAlign w:val="superscript"/>
        </w:rPr>
        <w:t>a</w:t>
      </w:r>
      <w:proofErr w:type="spellEnd"/>
      <w:r w:rsidRPr="000D47CE">
        <w:rPr>
          <w:sz w:val="28"/>
        </w:rPr>
        <w:t>*</w:t>
      </w:r>
      <w:r>
        <w:rPr>
          <w:sz w:val="28"/>
        </w:rPr>
        <w:t xml:space="preserve">, Margaret </w:t>
      </w:r>
      <w:proofErr w:type="spellStart"/>
      <w:r>
        <w:rPr>
          <w:sz w:val="28"/>
        </w:rPr>
        <w:t>Hamilton</w:t>
      </w:r>
      <w:r w:rsidRPr="000D47CE">
        <w:rPr>
          <w:sz w:val="28"/>
          <w:vertAlign w:val="superscript"/>
        </w:rPr>
        <w:t>b</w:t>
      </w:r>
      <w:proofErr w:type="spellEnd"/>
      <w:r>
        <w:rPr>
          <w:sz w:val="28"/>
        </w:rPr>
        <w:t xml:space="preserve"> </w:t>
      </w:r>
      <w:r w:rsidRPr="000D47CE">
        <w:rPr>
          <w:sz w:val="28"/>
        </w:rPr>
        <w:t xml:space="preserve">and </w:t>
      </w:r>
      <w:r>
        <w:rPr>
          <w:sz w:val="28"/>
        </w:rPr>
        <w:t xml:space="preserve">Khristin </w:t>
      </w:r>
      <w:proofErr w:type="spellStart"/>
      <w:r>
        <w:rPr>
          <w:sz w:val="28"/>
        </w:rPr>
        <w:t>Fabian</w:t>
      </w:r>
      <w:r>
        <w:rPr>
          <w:sz w:val="28"/>
          <w:vertAlign w:val="superscript"/>
        </w:rPr>
        <w:t>a</w:t>
      </w:r>
      <w:proofErr w:type="spellEnd"/>
    </w:p>
    <w:p w14:paraId="7F2C21E3" w14:textId="77777777" w:rsidR="000D47CE" w:rsidRDefault="000D47CE" w:rsidP="000D47CE">
      <w:pPr>
        <w:spacing w:before="240" w:line="360" w:lineRule="auto"/>
        <w:rPr>
          <w:i/>
        </w:rPr>
      </w:pPr>
      <w:proofErr w:type="spellStart"/>
      <w:r w:rsidRPr="000D47CE">
        <w:rPr>
          <w:i/>
          <w:vertAlign w:val="superscript"/>
        </w:rPr>
        <w:t>a</w:t>
      </w:r>
      <w:r>
        <w:rPr>
          <w:i/>
        </w:rPr>
        <w:t>C</w:t>
      </w:r>
      <w:r w:rsidR="001673BF">
        <w:rPr>
          <w:i/>
        </w:rPr>
        <w:t>entre</w:t>
      </w:r>
      <w:proofErr w:type="spellEnd"/>
      <w:r w:rsidR="001673BF">
        <w:rPr>
          <w:i/>
        </w:rPr>
        <w:t xml:space="preserve"> for Computing Education R</w:t>
      </w:r>
      <w:r>
        <w:rPr>
          <w:i/>
        </w:rPr>
        <w:t>esearch, Edinburgh Napier University, Edinburgh, UK</w:t>
      </w:r>
      <w:r w:rsidRPr="000D47CE">
        <w:rPr>
          <w:i/>
        </w:rPr>
        <w:t xml:space="preserve">; </w:t>
      </w:r>
      <w:proofErr w:type="spellStart"/>
      <w:r w:rsidRPr="000D47CE">
        <w:rPr>
          <w:i/>
          <w:vertAlign w:val="superscript"/>
        </w:rPr>
        <w:t>b</w:t>
      </w:r>
      <w:r w:rsidRPr="000D47CE">
        <w:rPr>
          <w:i/>
        </w:rPr>
        <w:t>Department</w:t>
      </w:r>
      <w:proofErr w:type="spellEnd"/>
      <w:r>
        <w:rPr>
          <w:i/>
        </w:rPr>
        <w:t xml:space="preserve"> of Computer Science</w:t>
      </w:r>
      <w:r w:rsidRPr="000D47CE">
        <w:rPr>
          <w:i/>
        </w:rPr>
        <w:t xml:space="preserve">, </w:t>
      </w:r>
      <w:r>
        <w:rPr>
          <w:i/>
        </w:rPr>
        <w:t>RMIT University</w:t>
      </w:r>
      <w:r w:rsidRPr="000D47CE">
        <w:rPr>
          <w:i/>
        </w:rPr>
        <w:t xml:space="preserve">, </w:t>
      </w:r>
      <w:r>
        <w:rPr>
          <w:i/>
        </w:rPr>
        <w:t>Melbourne</w:t>
      </w:r>
      <w:r w:rsidRPr="000D47CE">
        <w:rPr>
          <w:i/>
        </w:rPr>
        <w:t xml:space="preserve">, </w:t>
      </w:r>
      <w:r>
        <w:rPr>
          <w:i/>
        </w:rPr>
        <w:t xml:space="preserve">Australia </w:t>
      </w:r>
    </w:p>
    <w:p w14:paraId="5B1CF3E1" w14:textId="77777777" w:rsidR="001673BF" w:rsidRDefault="001673BF" w:rsidP="000D47CE">
      <w:pPr>
        <w:spacing w:before="240" w:line="360" w:lineRule="auto"/>
        <w:rPr>
          <w:i/>
        </w:rPr>
      </w:pPr>
      <w:r>
        <w:rPr>
          <w:i/>
        </w:rPr>
        <w:t xml:space="preserve">*Corresponding author </w:t>
      </w:r>
      <w:hyperlink r:id="rId12" w:history="1">
        <w:r w:rsidRPr="006B6D55">
          <w:rPr>
            <w:rStyle w:val="Hyperlink"/>
            <w:i/>
          </w:rPr>
          <w:t>s.smith@napier.ac.uk</w:t>
        </w:r>
      </w:hyperlink>
    </w:p>
    <w:p w14:paraId="00C4E6AB" w14:textId="77777777" w:rsidR="001673BF" w:rsidRDefault="001673BF">
      <w:pPr>
        <w:spacing w:line="240" w:lineRule="auto"/>
      </w:pPr>
      <w:r>
        <w:br w:type="page"/>
      </w:r>
    </w:p>
    <w:p w14:paraId="1CD1DF20" w14:textId="77777777" w:rsidR="001673BF" w:rsidRPr="00C95F67" w:rsidRDefault="001673BF" w:rsidP="00C95F67">
      <w:pPr>
        <w:pStyle w:val="Articletitle"/>
      </w:pPr>
      <w:r>
        <w:lastRenderedPageBreak/>
        <w:t>Entrepreneurial drivers, barriers and enablers of</w:t>
      </w:r>
      <w:r w:rsidRPr="00E01A9C">
        <w:t xml:space="preserve"> </w:t>
      </w:r>
      <w:r>
        <w:t>computing</w:t>
      </w:r>
      <w:r w:rsidRPr="00E01A9C">
        <w:t xml:space="preserve"> students</w:t>
      </w:r>
      <w:r>
        <w:t>: gendered perspectives from an Australian and UK university</w:t>
      </w:r>
      <w:r w:rsidRPr="00E01A9C">
        <w:t xml:space="preserve"> </w:t>
      </w:r>
    </w:p>
    <w:p w14:paraId="3A69A086" w14:textId="77777777" w:rsidR="00D57977" w:rsidRPr="007E58E4" w:rsidRDefault="00D57977" w:rsidP="007E58E4">
      <w:pPr>
        <w:pStyle w:val="Abstract"/>
        <w:rPr>
          <w:b/>
        </w:rPr>
      </w:pPr>
      <w:r w:rsidRPr="007E58E4">
        <w:rPr>
          <w:b/>
        </w:rPr>
        <w:t>Abstract</w:t>
      </w:r>
    </w:p>
    <w:p w14:paraId="0140081E" w14:textId="70C7FA95" w:rsidR="00694EA9" w:rsidRDefault="00F324C2" w:rsidP="007E58E4">
      <w:pPr>
        <w:pStyle w:val="Abstract"/>
      </w:pPr>
      <w:bookmarkStart w:id="0" w:name="_GoBack"/>
      <w:r>
        <w:t>This paper</w:t>
      </w:r>
      <w:r w:rsidR="004C2E66" w:rsidRPr="00E01A9C">
        <w:t xml:space="preserve"> investigate</w:t>
      </w:r>
      <w:r>
        <w:t>s computing</w:t>
      </w:r>
      <w:r w:rsidR="004C2E66" w:rsidRPr="00E01A9C">
        <w:t xml:space="preserve"> </w:t>
      </w:r>
      <w:r w:rsidR="00A51737">
        <w:t xml:space="preserve">students’ entrepreneurial intentions, </w:t>
      </w:r>
      <w:r w:rsidR="003B7C36">
        <w:t xml:space="preserve">motivations, </w:t>
      </w:r>
      <w:r w:rsidR="00A51737">
        <w:t xml:space="preserve">recognisable barriers and encouragements towards </w:t>
      </w:r>
      <w:r w:rsidR="004C2E66" w:rsidRPr="00E01A9C">
        <w:t>entrepreneurship</w:t>
      </w:r>
      <w:r w:rsidR="00CA5187">
        <w:t>, with a focus on gender</w:t>
      </w:r>
      <w:r w:rsidR="004C2E66" w:rsidRPr="00E01A9C">
        <w:t>.</w:t>
      </w:r>
      <w:r w:rsidR="003102C0">
        <w:t xml:space="preserve"> </w:t>
      </w:r>
      <w:r w:rsidR="00604C76" w:rsidRPr="00E01A9C">
        <w:t>Two universities, one in Australia and one in the UK</w:t>
      </w:r>
      <w:r w:rsidR="00AB7C44">
        <w:t xml:space="preserve"> (n=247)</w:t>
      </w:r>
      <w:r w:rsidR="004C2E66" w:rsidRPr="00E01A9C">
        <w:t>,</w:t>
      </w:r>
      <w:r w:rsidR="00604C76" w:rsidRPr="00E01A9C">
        <w:t xml:space="preserve"> were used as locations for the research</w:t>
      </w:r>
      <w:r w:rsidR="005A0E3A" w:rsidRPr="00E01A9C">
        <w:t xml:space="preserve"> to consider two distinct contexts</w:t>
      </w:r>
      <w:r w:rsidR="00604C76" w:rsidRPr="00E01A9C">
        <w:t xml:space="preserve">.  </w:t>
      </w:r>
      <w:r>
        <w:t>In each university</w:t>
      </w:r>
      <w:r w:rsidR="00F562B1">
        <w:t xml:space="preserve"> there were similarly high </w:t>
      </w:r>
      <w:r w:rsidR="00FE38B7">
        <w:t>levels of interest in entrepreneurship</w:t>
      </w:r>
      <w:r w:rsidR="00FE063E">
        <w:t xml:space="preserve"> among </w:t>
      </w:r>
      <w:r>
        <w:t xml:space="preserve">computing </w:t>
      </w:r>
      <w:r w:rsidR="00FE063E">
        <w:t>students</w:t>
      </w:r>
      <w:r w:rsidR="00BB0DF3">
        <w:t>, however some significant differences in responses were found</w:t>
      </w:r>
      <w:r>
        <w:t>, especially between male and female participants</w:t>
      </w:r>
      <w:r w:rsidR="00FE38B7">
        <w:t>.</w:t>
      </w:r>
      <w:r w:rsidR="00954C30">
        <w:t xml:space="preserve"> Job flexibility was a strong motivation for the UK</w:t>
      </w:r>
      <w:r>
        <w:t>-based</w:t>
      </w:r>
      <w:r w:rsidR="00954C30">
        <w:t xml:space="preserve"> femal</w:t>
      </w:r>
      <w:r w:rsidR="003B7C36">
        <w:t>e participants</w:t>
      </w:r>
      <w:r>
        <w:t>;</w:t>
      </w:r>
      <w:r w:rsidR="003B7C36">
        <w:t xml:space="preserve"> while </w:t>
      </w:r>
      <w:r>
        <w:t xml:space="preserve">female participants at the </w:t>
      </w:r>
      <w:r w:rsidR="003B7C36">
        <w:t>Australian</w:t>
      </w:r>
      <w:r w:rsidR="00954C30">
        <w:t xml:space="preserve"> </w:t>
      </w:r>
      <w:r>
        <w:t xml:space="preserve">university </w:t>
      </w:r>
      <w:r w:rsidR="003102C0">
        <w:t>identified</w:t>
      </w:r>
      <w:r w:rsidR="00954C30">
        <w:t xml:space="preserve"> internal barriers (such as lack of confidence </w:t>
      </w:r>
      <w:r w:rsidR="003B7C36">
        <w:t>and experience)</w:t>
      </w:r>
      <w:r w:rsidR="00954C30">
        <w:t xml:space="preserve">. </w:t>
      </w:r>
      <w:r w:rsidR="00C025A2">
        <w:t>E</w:t>
      </w:r>
      <w:r w:rsidR="00FE063E">
        <w:t>nablers to entrepreneurial activity</w:t>
      </w:r>
      <w:r>
        <w:t xml:space="preserve"> were identified, including access to incubators and academic support. D</w:t>
      </w:r>
      <w:r w:rsidRPr="00F324C2">
        <w:t>irecting such support towards computing students</w:t>
      </w:r>
      <w:r>
        <w:t xml:space="preserve">, </w:t>
      </w:r>
      <w:r w:rsidR="000479BE">
        <w:t xml:space="preserve">while </w:t>
      </w:r>
      <w:r>
        <w:t>recognising gender differences</w:t>
      </w:r>
      <w:r w:rsidR="00F94631">
        <w:t xml:space="preserve">, </w:t>
      </w:r>
      <w:r w:rsidR="00F94631" w:rsidRPr="00B72E3C">
        <w:t>could</w:t>
      </w:r>
      <w:r w:rsidRPr="00B72E3C">
        <w:t xml:space="preserve"> </w:t>
      </w:r>
      <w:r w:rsidR="00CA5187" w:rsidRPr="00B72E3C">
        <w:t xml:space="preserve">increase </w:t>
      </w:r>
      <w:r w:rsidR="00693BA7" w:rsidRPr="00B72E3C">
        <w:t xml:space="preserve">interest in, and take-up of, </w:t>
      </w:r>
      <w:r w:rsidR="00BB0DF3" w:rsidRPr="00B72E3C">
        <w:t>entrepreneur</w:t>
      </w:r>
      <w:r w:rsidR="00FE063E" w:rsidRPr="00B72E3C">
        <w:t>ship</w:t>
      </w:r>
      <w:r w:rsidRPr="00B72E3C">
        <w:t>.</w:t>
      </w:r>
      <w:r>
        <w:t xml:space="preserve"> R</w:t>
      </w:r>
      <w:r w:rsidR="005A0E3A" w:rsidRPr="00E01A9C">
        <w:t xml:space="preserve">ecommendations are made regarding </w:t>
      </w:r>
      <w:r w:rsidR="003102C0">
        <w:t>how</w:t>
      </w:r>
      <w:r w:rsidR="005A0E3A" w:rsidRPr="00E01A9C">
        <w:t xml:space="preserve"> u</w:t>
      </w:r>
      <w:r w:rsidR="00604C76" w:rsidRPr="00E01A9C">
        <w:t xml:space="preserve">niversities can </w:t>
      </w:r>
      <w:r>
        <w:t xml:space="preserve">best </w:t>
      </w:r>
      <w:r w:rsidR="00604C76" w:rsidRPr="00E01A9C">
        <w:t>support</w:t>
      </w:r>
      <w:r w:rsidR="003102C0">
        <w:t xml:space="preserve"> would-be</w:t>
      </w:r>
      <w:r w:rsidR="00604C76" w:rsidRPr="00E01A9C">
        <w:t xml:space="preserve"> entrepreneurs and encourage </w:t>
      </w:r>
      <w:r w:rsidR="000479BE">
        <w:t>inclusive</w:t>
      </w:r>
      <w:r w:rsidR="000479BE" w:rsidRPr="00E01A9C">
        <w:t xml:space="preserve"> </w:t>
      </w:r>
      <w:r w:rsidR="004A4F48">
        <w:t>entrepreneurship</w:t>
      </w:r>
      <w:r w:rsidR="004A4F48" w:rsidRPr="00E01A9C">
        <w:t xml:space="preserve"> </w:t>
      </w:r>
      <w:r w:rsidR="00604C76" w:rsidRPr="00E01A9C">
        <w:t>into the future.</w:t>
      </w:r>
    </w:p>
    <w:bookmarkEnd w:id="0"/>
    <w:p w14:paraId="10841103" w14:textId="77777777" w:rsidR="005D2157" w:rsidRDefault="000D47CE" w:rsidP="00C95F67">
      <w:pPr>
        <w:pStyle w:val="Keywords"/>
        <w:rPr>
          <w:b/>
        </w:rPr>
      </w:pPr>
      <w:r>
        <w:t>Keywords</w:t>
      </w:r>
      <w:r w:rsidR="001673BF">
        <w:t>:</w:t>
      </w:r>
      <w:r>
        <w:t xml:space="preserve"> entrepreneurship, computing, students, gender, </w:t>
      </w:r>
      <w:r w:rsidR="001673BF">
        <w:t>IT sector</w:t>
      </w:r>
      <w:r>
        <w:t xml:space="preserve"> </w:t>
      </w:r>
      <w:bookmarkStart w:id="1" w:name="_Toc509320050"/>
      <w:bookmarkStart w:id="2" w:name="_Toc509345813"/>
    </w:p>
    <w:p w14:paraId="358D56B7" w14:textId="77777777" w:rsidR="000611E2" w:rsidRPr="007E58E4" w:rsidRDefault="00E22CC7" w:rsidP="007E58E4">
      <w:pPr>
        <w:pStyle w:val="Heading1"/>
      </w:pPr>
      <w:r w:rsidRPr="007E58E4">
        <w:t>Introduction</w:t>
      </w:r>
      <w:bookmarkEnd w:id="1"/>
      <w:bookmarkEnd w:id="2"/>
    </w:p>
    <w:p w14:paraId="0A44796C" w14:textId="6C249AD0" w:rsidR="001D630A" w:rsidRDefault="00B82AAA" w:rsidP="004939B3">
      <w:pPr>
        <w:pStyle w:val="Paragraph"/>
        <w:rPr>
          <w:lang w:val="en-AU" w:eastAsia="en-AU"/>
        </w:rPr>
      </w:pPr>
      <w:r w:rsidRPr="00CD7710">
        <w:t xml:space="preserve">Entrepreneurship is considered to be key to economic growth and recovery, for example introducing new technology, creating jobs and improving the quality of life </w:t>
      </w:r>
      <w:r w:rsidRPr="004939B3">
        <w:fldChar w:fldCharType="begin" w:fldLock="1"/>
      </w:r>
      <w:r w:rsidRPr="00CD7710">
        <w:instrText>ADDIN CSL_CITATION {"citationItems":[{"id":"ITEM-1","itemData":{"DOI":"10.1093/acprof:oso/9780195183511.001.0001","author":[{"dropping-particle":"","family":"Audretsch","given":"David","non-dropping-particle":"","parse-names":false,"suffix":""},{"dropping-particle":"","family":"Keilbach","given":"Max","non-dropping-particle":"","parse-names":false,"suffix":""},{"dropping-particle":"","family":"Lehmann","given":"Erik E","non-dropping-particle":"","parse-names":false,"suffix":""}],"id":"ITEM-1","issued":{"date-parts":[["2006"]]},"publisher":"Oxford University Press","publisher-place":"Oxford, UK","title":"Entrepreneurship and Economic Growth","type":"book"},"uris":["http://www.mendeley.com/documents/?uuid=ad4a22a4-949c-31d9-b0a7-903134835bec"]},{"id":"ITEM-2","itemData":{"DOI":"10.1007/s11187-018-0038-0","ISSN":"0921-898X","abstract":"This paper analyzes an emergent stream of research shedding light on the institutional factors shaping entrepreneurial activity and its effect on economic growth. This integrative analysis spanning a broad spectrum of diverse literature enables a distinction between two different research lines in the field of entrepreneur-ship. The findings of this study, based on articles from the journals included in the Web of Science database, facilitate a broader comprehension of two separate lines of research, which allows an analysis of the interaction among institutions, entrepreneurship, and economic growth. The systematic literature analysis over the last 25 years (1992-2016) of research reveals that institutions could be related to economic growth through entrepre-neurship, which would open new research questions about what institutional factors are conducive to entre-preneurship, which in turn spurs economic growth. Thus, not only is understanding both complex relationships and their possible sequence useful for planning strategies and public policies, but it is also helpful for advancing and providing new insights in these research fields, which could be complementary and interdisciplinary.","author":[{"dropping-particle":"","family":"Urbano","given":"David","non-dropping-particle":"","parse-names":false,"suffix":""},{"dropping-particle":"","family":"Aparicio","given":"Sebastian","non-dropping-particle":"","parse-names":false,"suffix":""},{"dropping-particle":"","family":"Audretsch","given":"David","non-dropping-particle":"","parse-names":false,"suffix":""}],"container-title":"Small Business Economics","id":"ITEM-2","issued":{"date-parts":[["2018","4","12"]]},"title":"Twenty-five years of research on institutions, entrepreneurship, and economic growth: what has been learned?","type":"article-journal"},"uris":["http://www.mendeley.com/documents/?uuid=1b87c550-ab07-35cd-9f0c-a39120baa903"]}],"mendeley":{"formattedCitation":"(Audretsch, Keilbach, and Lehmann 2006; Urbano, Aparicio, and Audretsch 2018)","plainTextFormattedCitation":"(Audretsch, Keilbach, and Lehmann 2006; Urbano, Aparicio, and Audretsch 2018)","previouslyFormattedCitation":"(Audretsch, Keilbach, and Lehmann 2006; Urbano, Aparicio, and Audretsch 2018)"},"properties":{"noteIndex":0},"schema":"https://github.com/citation-style-language/schema/raw/master/csl-citation.json"}</w:instrText>
      </w:r>
      <w:r w:rsidRPr="004939B3">
        <w:fldChar w:fldCharType="separate"/>
      </w:r>
      <w:r w:rsidRPr="00CD7710">
        <w:rPr>
          <w:noProof/>
        </w:rPr>
        <w:t>(Audretsch, Keilbach, and Lehmann 2006; Urbano, Aparicio, and Audretsch 2018)</w:t>
      </w:r>
      <w:r w:rsidRPr="004939B3">
        <w:fldChar w:fldCharType="end"/>
      </w:r>
      <w:r w:rsidRPr="00CD7710">
        <w:t>. Indeed, t</w:t>
      </w:r>
      <w:r w:rsidR="005A1BCD" w:rsidRPr="00CD7710">
        <w:t>he global economy is changing as a result of technology advances</w:t>
      </w:r>
      <w:r w:rsidR="00EC7202" w:rsidRPr="00CD7710">
        <w:t>,</w:t>
      </w:r>
      <w:r w:rsidR="00F9643A" w:rsidRPr="00CD7710">
        <w:t xml:space="preserve"> including</w:t>
      </w:r>
      <w:r w:rsidR="005A1BCD" w:rsidRPr="00CD7710">
        <w:t xml:space="preserve"> </w:t>
      </w:r>
      <w:r w:rsidR="00F562B1" w:rsidRPr="00CD7710">
        <w:t xml:space="preserve">the emergence of </w:t>
      </w:r>
      <w:r w:rsidR="00FE38B7" w:rsidRPr="00CD7710">
        <w:t xml:space="preserve">new models of </w:t>
      </w:r>
      <w:r w:rsidR="00A51737" w:rsidRPr="00CD7710">
        <w:t>entrepreneurship facilitated</w:t>
      </w:r>
      <w:r w:rsidR="00F9643A" w:rsidRPr="00CD7710">
        <w:t xml:space="preserve"> by </w:t>
      </w:r>
      <w:r w:rsidR="005A1BCD" w:rsidRPr="00CD7710">
        <w:t xml:space="preserve">easy </w:t>
      </w:r>
      <w:r w:rsidR="00F9643A" w:rsidRPr="00CD7710">
        <w:t xml:space="preserve">online </w:t>
      </w:r>
      <w:r w:rsidR="005A1BCD" w:rsidRPr="00CD7710">
        <w:t>access to global markets</w:t>
      </w:r>
      <w:r w:rsidR="00F562B1" w:rsidRPr="00CD7710">
        <w:t xml:space="preserve"> and low financial barriers to entry</w:t>
      </w:r>
      <w:r w:rsidR="00992F04" w:rsidRPr="00CD7710">
        <w:t xml:space="preserve"> </w:t>
      </w:r>
      <w:r w:rsidR="00992F04" w:rsidRPr="004939B3">
        <w:fldChar w:fldCharType="begin" w:fldLock="1"/>
      </w:r>
      <w:r w:rsidR="00F35135" w:rsidRPr="00CD7710">
        <w:instrText>ADDIN CSL_CITATION {"citationItems":[{"id":"ITEM-1","itemData":{"author":[{"dropping-particle":"","family":"OECD","given":"","non-dropping-particle":"","parse-names":false,"suffix":""}],"id":"ITEM-1","issued":{"date-parts":[["2017"]]},"note":"10.1787/entrepreneur_aag-2017-en","publisher":"OECD Publishing","title":"Entrepreneurship at a Glance 2017","type":"book"},"uris":["http://www.mendeley.com/documents/?uuid=4b87e623-bfbb-3a00-b22c-a714a45b10d0"]}],"mendeley":{"formattedCitation":"(OECD 2017)","plainTextFormattedCitation":"(OECD 2017)","previouslyFormattedCitation":"(OECD 2017)"},"properties":{"noteIndex":0},"schema":"https://github.com/citation-style-language/schema/raw/master/csl-citation.json"}</w:instrText>
      </w:r>
      <w:r w:rsidR="00992F04" w:rsidRPr="004939B3">
        <w:fldChar w:fldCharType="separate"/>
      </w:r>
      <w:r w:rsidR="00C75467" w:rsidRPr="00CD7710">
        <w:rPr>
          <w:noProof/>
        </w:rPr>
        <w:t>(OECD 2017)</w:t>
      </w:r>
      <w:r w:rsidR="00992F04" w:rsidRPr="004939B3">
        <w:fldChar w:fldCharType="end"/>
      </w:r>
      <w:r w:rsidR="001447BD" w:rsidRPr="00CD7710">
        <w:t xml:space="preserve">. </w:t>
      </w:r>
      <w:r w:rsidRPr="00CD7710">
        <w:t>Graduates from computing disciplines (including computer science, web development, business computing and artificial intelligence)</w:t>
      </w:r>
      <w:r w:rsidR="00693BA7">
        <w:t xml:space="preserve"> are well-</w:t>
      </w:r>
      <w:r w:rsidRPr="00CD7710">
        <w:t xml:space="preserve">placed to take advantage of these new models </w:t>
      </w:r>
      <w:r w:rsidR="0065492C">
        <w:t xml:space="preserve">by </w:t>
      </w:r>
      <w:r w:rsidR="00693BA7">
        <w:t>leveraging</w:t>
      </w:r>
      <w:r w:rsidR="0065492C" w:rsidRPr="0065492C">
        <w:t xml:space="preserve"> </w:t>
      </w:r>
      <w:r w:rsidRPr="00CD7710">
        <w:t xml:space="preserve">advanced digital skills acquired through university study. </w:t>
      </w:r>
      <w:r w:rsidR="0098373C">
        <w:t>Such individuals</w:t>
      </w:r>
      <w:r w:rsidR="0098373C" w:rsidRPr="00CD7710">
        <w:t xml:space="preserve"> </w:t>
      </w:r>
      <w:r w:rsidRPr="00CD7710">
        <w:t xml:space="preserve">may be well-placed, but factors serve to encourage or discourage entrepreneurship as a </w:t>
      </w:r>
      <w:r w:rsidRPr="00CD7710">
        <w:lastRenderedPageBreak/>
        <w:t>career option</w:t>
      </w:r>
      <w:r w:rsidRPr="0065492C">
        <w:t>.</w:t>
      </w:r>
      <w:r w:rsidR="0065492C" w:rsidRPr="0065492C">
        <w:rPr>
          <w:lang w:val="en-AU" w:eastAsia="en-AU"/>
        </w:rPr>
        <w:t xml:space="preserve"> </w:t>
      </w:r>
      <w:r w:rsidR="004939B3">
        <w:rPr>
          <w:lang w:val="en-AU" w:eastAsia="en-AU"/>
        </w:rPr>
        <w:t>Certainly different subject disciplines yield different results</w:t>
      </w:r>
      <w:r w:rsidR="00946009">
        <w:rPr>
          <w:lang w:val="en-AU" w:eastAsia="en-AU"/>
        </w:rPr>
        <w:t>,</w:t>
      </w:r>
      <w:r w:rsidR="004939B3">
        <w:rPr>
          <w:lang w:val="en-AU" w:eastAsia="en-AU"/>
        </w:rPr>
        <w:t xml:space="preserve"> with fields of study relevant in predicting </w:t>
      </w:r>
      <w:r w:rsidR="0098373C">
        <w:rPr>
          <w:lang w:val="en-AU" w:eastAsia="en-AU"/>
        </w:rPr>
        <w:t xml:space="preserve">levels of interest </w:t>
      </w:r>
      <w:r w:rsidR="000B6513">
        <w:rPr>
          <w:lang w:val="en-AU" w:eastAsia="en-AU"/>
        </w:rPr>
        <w:t>in pursuing entrepreneurship</w:t>
      </w:r>
      <w:r w:rsidR="0098373C">
        <w:rPr>
          <w:lang w:val="en-AU" w:eastAsia="en-AU"/>
        </w:rPr>
        <w:t xml:space="preserve"> </w:t>
      </w:r>
      <w:r w:rsidR="000B6513">
        <w:rPr>
          <w:lang w:val="en-AU" w:eastAsia="en-AU"/>
        </w:rPr>
        <w:t>(</w:t>
      </w:r>
      <w:r w:rsidR="004939B3">
        <w:rPr>
          <w:lang w:val="en-AU" w:eastAsia="en-AU"/>
        </w:rPr>
        <w:t>entrepreneurial intention</w:t>
      </w:r>
      <w:r w:rsidR="000B6513">
        <w:rPr>
          <w:lang w:val="en-AU" w:eastAsia="en-AU"/>
        </w:rPr>
        <w:t>)</w:t>
      </w:r>
      <w:r w:rsidR="004939B3">
        <w:rPr>
          <w:lang w:val="en-AU" w:eastAsia="en-AU"/>
        </w:rPr>
        <w:t xml:space="preserve"> </w:t>
      </w:r>
      <w:r w:rsidR="004939B3">
        <w:rPr>
          <w:lang w:val="en-AU" w:eastAsia="en-AU"/>
        </w:rPr>
        <w:fldChar w:fldCharType="begin" w:fldLock="1"/>
      </w:r>
      <w:r w:rsidR="004939B3">
        <w:rPr>
          <w:lang w:val="en-AU" w:eastAsia="en-AU"/>
        </w:rPr>
        <w:instrText>ADDIN CSL_CITATION {"citationItems":[{"id":"ITEM-1","itemData":{"DOI":"10.1007/s11846-015-0188-2","abstract":"Studies on entrepreneurial intentions often neglect the heterogeneity of individuals' education background. This paper develops an integrated intention-based framework and analyzes the impact of fields of study on entrepreneurial intentions. Based on a sample of 2423 final-year students, enrolled in 32 fields of study, and resorting to logistic estimations, we find that, beside the attitude towards starting a business, fields of study, considered at a highly detailed level, are relevant (direct and indirect) predictors of entrepreneurial intention. We unambiguously show that there is a huge hidden potential for new venture creation in fields of study related to creative and leisure activities (e.g., Arts and humanities, or, more specifically, Literature and linguistics, History and archaeology, Audiovisual techniques and media production, Sports, and Architecture and town planning), Law, and Health (most notably, Pharmacy and Veterinary). Significant differences in the level of intention between students of different fields of study indicate that universities should more extensively focus entrepreneurship education on students in other subject area than business or engineering/technology sciences. Keywords Entrepreneurial intentions Á Entrepreneurial motivation Á Prior educational background of entrepreneurs Á Antecedents of entrepreneurial intentions Electronic supplementary material The online version of this article (","author":[{"dropping-particle":"","family":"Teixeira","given":"Aurora","non-dropping-particle":"","parse-names":false,"suffix":""},{"dropping-particle":"","family":"Forte","given":"R","non-dropping-particle":"","parse-names":false,"suffix":""}],"container-title":"Review of Managerial Science","id":"ITEM-1","issue":"2","issued":{"date-parts":[["2017"]]},"page":"353-394","title":"Prior education and entrepreneurial intentions: the differential impact of a wide range of fields of study","type":"article-journal","volume":"11"},"uris":["http://www.mendeley.com/documents/?uuid=4783d68b-c6a5-3c45-8154-04f6f0473fb2"]}],"mendeley":{"formattedCitation":"(Teixeira and Forte 2017)","plainTextFormattedCitation":"(Teixeira and Forte 2017)","previouslyFormattedCitation":"(Teixeira and Forte 2017)"},"properties":{"noteIndex":0},"schema":"https://github.com/citation-style-language/schema/raw/master/csl-citation.json"}</w:instrText>
      </w:r>
      <w:r w:rsidR="004939B3">
        <w:rPr>
          <w:lang w:val="en-AU" w:eastAsia="en-AU"/>
        </w:rPr>
        <w:fldChar w:fldCharType="separate"/>
      </w:r>
      <w:r w:rsidR="004939B3" w:rsidRPr="00C75467">
        <w:rPr>
          <w:noProof/>
          <w:lang w:val="en-AU" w:eastAsia="en-AU"/>
        </w:rPr>
        <w:t>(Teixeira and Forte 2017)</w:t>
      </w:r>
      <w:r w:rsidR="004939B3">
        <w:rPr>
          <w:lang w:val="en-AU" w:eastAsia="en-AU"/>
        </w:rPr>
        <w:fldChar w:fldCharType="end"/>
      </w:r>
      <w:r w:rsidR="004939B3">
        <w:rPr>
          <w:lang w:val="en-AU" w:eastAsia="en-AU"/>
        </w:rPr>
        <w:t xml:space="preserve">. </w:t>
      </w:r>
      <w:r w:rsidR="0065492C">
        <w:rPr>
          <w:lang w:val="en-AU" w:eastAsia="en-AU"/>
        </w:rPr>
        <w:t xml:space="preserve">Of particular concern to </w:t>
      </w:r>
      <w:r w:rsidR="0065492C" w:rsidRPr="0065492C">
        <w:rPr>
          <w:lang w:val="en-AU" w:eastAsia="en-AU"/>
        </w:rPr>
        <w:t xml:space="preserve">the computing subject discipline is </w:t>
      </w:r>
      <w:r w:rsidR="0065492C">
        <w:rPr>
          <w:lang w:val="en-AU" w:eastAsia="en-AU"/>
        </w:rPr>
        <w:t>the</w:t>
      </w:r>
      <w:r w:rsidR="0065492C" w:rsidRPr="0065492C">
        <w:rPr>
          <w:lang w:val="en-AU" w:eastAsia="en-AU"/>
        </w:rPr>
        <w:t xml:space="preserve"> </w:t>
      </w:r>
      <w:r w:rsidR="00B72E3C">
        <w:rPr>
          <w:lang w:val="en-AU" w:eastAsia="en-AU"/>
        </w:rPr>
        <w:t>under-representation</w:t>
      </w:r>
      <w:r w:rsidR="0065492C" w:rsidRPr="0065492C">
        <w:rPr>
          <w:lang w:val="en-AU" w:eastAsia="en-AU"/>
        </w:rPr>
        <w:t xml:space="preserve"> of women studying computing in the UK, Australia</w:t>
      </w:r>
      <w:r w:rsidR="00B72E3C">
        <w:rPr>
          <w:lang w:val="en-AU" w:eastAsia="en-AU"/>
        </w:rPr>
        <w:t>, US</w:t>
      </w:r>
      <w:r w:rsidR="0065492C" w:rsidRPr="0065492C">
        <w:rPr>
          <w:lang w:val="en-AU" w:eastAsia="en-AU"/>
        </w:rPr>
        <w:t xml:space="preserve"> and elsewhere, which impacts on the potential for women entrepreneurs</w:t>
      </w:r>
      <w:r w:rsidR="000479BE">
        <w:rPr>
          <w:lang w:val="en-AU" w:eastAsia="en-AU"/>
        </w:rPr>
        <w:t xml:space="preserve"> in the Information T</w:t>
      </w:r>
      <w:r w:rsidR="00693BA7">
        <w:rPr>
          <w:lang w:val="en-AU" w:eastAsia="en-AU"/>
        </w:rPr>
        <w:t xml:space="preserve">echnology (IT) </w:t>
      </w:r>
      <w:r w:rsidR="000479BE">
        <w:rPr>
          <w:lang w:val="en-AU" w:eastAsia="en-AU"/>
        </w:rPr>
        <w:t xml:space="preserve">industry </w:t>
      </w:r>
      <w:r w:rsidR="00693BA7">
        <w:rPr>
          <w:lang w:val="en-AU" w:eastAsia="en-AU"/>
        </w:rPr>
        <w:t>sector</w:t>
      </w:r>
      <w:r w:rsidR="0065492C" w:rsidRPr="0065492C">
        <w:rPr>
          <w:lang w:val="en-AU" w:eastAsia="en-AU"/>
        </w:rPr>
        <w:t>. For example, in the UK less than 20% of computing students are women (H</w:t>
      </w:r>
      <w:r w:rsidR="0027312E">
        <w:rPr>
          <w:lang w:val="en-AU" w:eastAsia="en-AU"/>
        </w:rPr>
        <w:t>ESA 2017). In Australia, in 2015</w:t>
      </w:r>
      <w:r w:rsidR="0065492C" w:rsidRPr="0065492C">
        <w:rPr>
          <w:lang w:val="en-AU" w:eastAsia="en-AU"/>
        </w:rPr>
        <w:t xml:space="preserve"> the figure was </w:t>
      </w:r>
      <w:r w:rsidR="0027312E">
        <w:rPr>
          <w:lang w:val="en-AU" w:eastAsia="en-AU"/>
        </w:rPr>
        <w:t>14</w:t>
      </w:r>
      <w:r w:rsidR="0065492C" w:rsidRPr="0065492C">
        <w:rPr>
          <w:lang w:val="en-AU" w:eastAsia="en-AU"/>
        </w:rPr>
        <w:t>% (</w:t>
      </w:r>
      <w:r w:rsidR="0027312E">
        <w:rPr>
          <w:lang w:val="en-AU" w:eastAsia="en-AU"/>
        </w:rPr>
        <w:t>Falkner 2017</w:t>
      </w:r>
      <w:r w:rsidR="0065492C" w:rsidRPr="0065492C">
        <w:rPr>
          <w:lang w:val="en-AU" w:eastAsia="en-AU"/>
        </w:rPr>
        <w:t>).</w:t>
      </w:r>
      <w:r w:rsidR="00693BA7">
        <w:rPr>
          <w:lang w:val="en-AU" w:eastAsia="en-AU"/>
        </w:rPr>
        <w:t xml:space="preserve"> This is compounded by a lack of women entrepreneurs generally.</w:t>
      </w:r>
      <w:r w:rsidR="00693BA7">
        <w:t xml:space="preserve"> </w:t>
      </w:r>
      <w:r w:rsidR="00423EBC" w:rsidRPr="00423EBC">
        <w:rPr>
          <w:lang w:val="en-AU" w:eastAsia="en-AU"/>
        </w:rPr>
        <w:t xml:space="preserve">The population of new female entrepreneurs in the UK has remained static at 5.6% (compared with the male rate of 11.6%) (Hart, Bonner, </w:t>
      </w:r>
      <w:proofErr w:type="spellStart"/>
      <w:r w:rsidR="00423EBC" w:rsidRPr="00423EBC">
        <w:rPr>
          <w:lang w:val="en-AU" w:eastAsia="en-AU"/>
        </w:rPr>
        <w:t>Levie</w:t>
      </w:r>
      <w:proofErr w:type="spellEnd"/>
      <w:r w:rsidR="00423EBC" w:rsidRPr="00423EBC">
        <w:rPr>
          <w:lang w:val="en-AU" w:eastAsia="en-AU"/>
        </w:rPr>
        <w:t xml:space="preserve"> and </w:t>
      </w:r>
      <w:proofErr w:type="spellStart"/>
      <w:r w:rsidR="00423EBC" w:rsidRPr="00423EBC">
        <w:rPr>
          <w:lang w:val="en-AU" w:eastAsia="en-AU"/>
        </w:rPr>
        <w:t>Heery</w:t>
      </w:r>
      <w:proofErr w:type="spellEnd"/>
      <w:r w:rsidR="00423EBC" w:rsidRPr="00423EBC">
        <w:rPr>
          <w:lang w:val="en-AU" w:eastAsia="en-AU"/>
        </w:rPr>
        <w:t xml:space="preserve"> 2017</w:t>
      </w:r>
      <w:r w:rsidR="00693BA7" w:rsidRPr="00423EBC">
        <w:rPr>
          <w:lang w:val="en-AU" w:eastAsia="en-AU"/>
        </w:rPr>
        <w:t xml:space="preserve">). </w:t>
      </w:r>
      <w:r w:rsidR="00423EBC" w:rsidRPr="00423EBC">
        <w:rPr>
          <w:lang w:val="en-AU" w:eastAsia="en-AU"/>
        </w:rPr>
        <w:t>In Australia, female participation rates are slightly above the global average with women representing 24% of start-up founders</w:t>
      </w:r>
      <w:r w:rsidR="00050DC2">
        <w:rPr>
          <w:lang w:val="en-AU" w:eastAsia="en-AU"/>
        </w:rPr>
        <w:t xml:space="preserve"> </w:t>
      </w:r>
      <w:r w:rsidR="00423EBC" w:rsidRPr="004939B3">
        <w:rPr>
          <w:lang w:val="en-AU" w:eastAsia="en-AU"/>
        </w:rPr>
        <w:fldChar w:fldCharType="begin" w:fldLock="1"/>
      </w:r>
      <w:r w:rsidR="00423EBC" w:rsidRPr="00423EBC">
        <w:rPr>
          <w:lang w:val="en-AU" w:eastAsia="en-AU"/>
        </w:rPr>
        <w:instrText>ADDIN CSL_CITATION {"citationItems":[{"id":"ITEM-1","itemData":{"URL":"https://www.startupmuster.com/reports/Startup-Muster-2017-Report.pdf","accessed":{"date-parts":[["2018","3","20"]]},"author":[{"dropping-particle":"","family":"Startup Muster","given":"","non-dropping-particle":"","parse-names":false,"suffix":""}],"id":"ITEM-1","issued":{"date-parts":[["2017"]]},"title":"Startup Muster 2017 Annual Report","type":"webpage"},"uris":["http://www.mendeley.com/documents/?uuid=9ec38b52-21b4-4045-b2be-b7b53fdc7486"]}],"mendeley":{"formattedCitation":"(Startup Muster 2017)","plainTextFormattedCitation":"(Startup Muster 2017)","previouslyFormattedCitation":"(Startup Muster 2017)"},"properties":{"noteIndex":0},"schema":"https://github.com/citation-style-language/schema/raw/master/csl-citation.json"}</w:instrText>
      </w:r>
      <w:r w:rsidR="00423EBC" w:rsidRPr="004939B3">
        <w:rPr>
          <w:lang w:val="en-AU" w:eastAsia="en-AU"/>
        </w:rPr>
        <w:fldChar w:fldCharType="separate"/>
      </w:r>
      <w:r w:rsidR="00423EBC" w:rsidRPr="00423EBC">
        <w:rPr>
          <w:noProof/>
          <w:lang w:val="en-AU" w:eastAsia="en-AU"/>
        </w:rPr>
        <w:t>(Startup Muster 2017)</w:t>
      </w:r>
      <w:r w:rsidR="00423EBC" w:rsidRPr="004939B3">
        <w:rPr>
          <w:lang w:val="en-AU" w:eastAsia="en-AU"/>
        </w:rPr>
        <w:fldChar w:fldCharType="end"/>
      </w:r>
      <w:r w:rsidR="00423EBC" w:rsidRPr="00423EBC">
        <w:rPr>
          <w:lang w:val="en-AU" w:eastAsia="en-AU"/>
        </w:rPr>
        <w:t xml:space="preserve">. </w:t>
      </w:r>
      <w:r w:rsidR="00AA1E6F">
        <w:rPr>
          <w:lang w:val="en-AU" w:eastAsia="en-AU"/>
        </w:rPr>
        <w:t>Studies have</w:t>
      </w:r>
      <w:r w:rsidR="00423EBC" w:rsidRPr="00423EBC">
        <w:rPr>
          <w:lang w:val="en-AU" w:eastAsia="en-AU"/>
        </w:rPr>
        <w:t xml:space="preserve"> identified the potential for growth in uptake of entrepreneurship</w:t>
      </w:r>
      <w:r w:rsidR="00693BA7">
        <w:rPr>
          <w:lang w:val="en-AU" w:eastAsia="en-AU"/>
        </w:rPr>
        <w:t xml:space="preserve"> among women </w:t>
      </w:r>
      <w:r w:rsidR="00423EBC" w:rsidRPr="00423EBC">
        <w:rPr>
          <w:lang w:val="en-AU" w:eastAsia="en-AU"/>
        </w:rPr>
        <w:t xml:space="preserve"> </w:t>
      </w:r>
      <w:r w:rsidR="00423EBC" w:rsidRPr="004939B3">
        <w:rPr>
          <w:lang w:val="en-AU" w:eastAsia="en-AU"/>
        </w:rPr>
        <w:fldChar w:fldCharType="begin" w:fldLock="1"/>
      </w:r>
      <w:r w:rsidR="00423EBC" w:rsidRPr="00423EBC">
        <w:rPr>
          <w:lang w:val="en-AU" w:eastAsia="en-AU"/>
        </w:rPr>
        <w:instrText>ADDIN CSL_CITATION {"citationItems":[{"id":"ITEM-1","itemData":{"DOI":"10.1016/j.euroecorev.2015.10.010","abstract":"JEL classification: J23 L26 M13 Keywords: Entrepreneurship Liquidity constraints a b s t r a c t In this paper, we study the importance of liquidity constraints for entrepreneurial activity, using previously unexplored data from the UK. Using inheritances as an instrument, IV estimates reveal that single women drive the overall relationship between personal wealth and the propensity to start a new business. Defining business ownership rather than self-employment as the entrepreneurial outcome measure is also shown to be critical. Using self-employment leads to selection bias and underestimates the impact of personal wealth. The results imply that efforts aimed at relieving the liquidity constraints of single women could help further accelerate the recent rise of female entrepreneurship.","author":[{"dropping-particle":"","family":"Sauer","given":"Robert M","non-dropping-particle":"","parse-names":false,"suffix":""},{"dropping-particle":"","family":"Wilson","given":"Tanya","non-dropping-particle":"","parse-names":false,"suffix":""}],"container-title":"European Economic Review","id":"ITEM-1","issued":{"date-parts":[["2016"]]},"page":"73-86","title":"The rise of female entrepreneurs: New evidence on gender differences in liquidity constraints","type":"article-journal","volume":"86"},"uris":["http://www.mendeley.com/documents/?uuid=8f5e42d4-af6c-3341-9891-d981a66d5a37"]},{"id":"ITEM-2","itemData":{"DOI":"10.1108/17566261011051026","ISBN":"0964942011039","ISSN":"17566274","PMID":"42012058","abstract":"The purpose of this paper is to explore and critically analyse the relationship between gender and entrepreneurial motivations theories in an Irish context. The paper examines potential differences in motivational factors for entering entrepreneurship between men and women, with a particular emphasis on the distinction between push and pull factors, but also with respect to other social factors such as being a parent, marital status or age. Design/methodology/approach - The paper draws upon data obtained from a national survey of 832 entrepreneurs undertaken in Ireland in 2003/2004. This survey is based on a sample of 3,498 Irish entrepreneurs, which was predominantly constructed using the Kompass Directory 2001 and the majority of the city and county enterprise boards throughout Ireland. The analysis relies on ordinal logistic modelling to examine the impact of gender and other social factors on entrepreneurial motivations. Findings - The paper shows that there is a strong gender effect on some motivational factors, but that gender itself needs to be examined along with other social factors in order to understand differences in motivations. In particular, marital status, being a parent and/or age, as well as their interaction with gender, are useful in explaining differences in pathways into entrepreneurship for men and women. Originality/value - Motivations and gender have been widely debated in the international literature on entrepreneurship, but relatively little is known about gender and entrepreneurship in an Irish context. This paper seeks to address this gap. The results will be useful to other researchers in the field of gender and entrepreneurship, as well as practitioners and business support agencies.","author":[{"dropping-particle":"","family":"Humbert","given":"Anne","non-dropping-particle":"","parse-names":false,"suffix":""},{"dropping-particle":"","family":"Drew","given":"Eileen","non-dropping-particle":"","parse-names":false,"suffix":""}],"container-title":"International Journal of Gender and Entrepreneurship","id":"ITEM-2","issued":{"date-parts":[["2010"]]},"title":"Gender, entrepreneurship and motivational factors in an Irish context","type":"article-journal"},"uris":["http://www.mendeley.com/documents/?uuid=032a65be-3fd9-3500-98b4-af6b5570053f"]}],"mendeley":{"formattedCitation":"(Sauer and Wilson 2016; Humbert and Drew 2010)","plainTextFormattedCitation":"(Sauer and Wilson 2016; Humbert and Drew 2010)","previouslyFormattedCitation":"(Sauer and Wilson 2016; Humbert and Drew 2010)"},"properties":{"noteIndex":0},"schema":"https://github.com/citation-style-language/schema/raw/master/csl-citation.json"}</w:instrText>
      </w:r>
      <w:r w:rsidR="00423EBC" w:rsidRPr="004939B3">
        <w:rPr>
          <w:lang w:val="en-AU" w:eastAsia="en-AU"/>
        </w:rPr>
        <w:fldChar w:fldCharType="separate"/>
      </w:r>
      <w:r w:rsidR="00423EBC" w:rsidRPr="00423EBC">
        <w:rPr>
          <w:noProof/>
          <w:lang w:val="en-AU" w:eastAsia="en-AU"/>
        </w:rPr>
        <w:t>(Sauer and Wilson 2016; Humbert and Drew 2010)</w:t>
      </w:r>
      <w:r w:rsidR="00423EBC" w:rsidRPr="004939B3">
        <w:rPr>
          <w:lang w:val="en-AU" w:eastAsia="en-AU"/>
        </w:rPr>
        <w:fldChar w:fldCharType="end"/>
      </w:r>
      <w:r w:rsidR="00423EBC" w:rsidRPr="00423EBC">
        <w:rPr>
          <w:lang w:val="en-AU" w:eastAsia="en-AU"/>
        </w:rPr>
        <w:t xml:space="preserve"> and there is recent evidence of growth in female participation </w:t>
      </w:r>
      <w:r w:rsidR="00AA1E6F">
        <w:rPr>
          <w:lang w:val="en-AU" w:eastAsia="en-AU"/>
        </w:rPr>
        <w:t xml:space="preserve">in IT entrepreneurship </w:t>
      </w:r>
      <w:r w:rsidR="00423EBC" w:rsidRPr="004939B3">
        <w:rPr>
          <w:lang w:val="en-AU" w:eastAsia="en-AU"/>
        </w:rPr>
        <w:fldChar w:fldCharType="begin" w:fldLock="1"/>
      </w:r>
      <w:r w:rsidR="00423EBC" w:rsidRPr="00423EBC">
        <w:rPr>
          <w:lang w:val="en-AU" w:eastAsia="en-AU"/>
        </w:rPr>
        <w:instrText>ADDIN CSL_CITATION {"citationItems":[{"id":"ITEM-1","itemData":{"URL":"https://www.entrepreneur.com/article/285656","accessed":{"date-parts":[["2017","11","27"]]},"author":[{"dropping-particle":"","family":"Leadem","given":"R","non-dropping-particle":"","parse-names":false,"suffix":""}],"container-title":"Entrepreneur","id":"ITEM-1","issued":{"date-parts":[["2016"]]},"title":"Female Entrepreneurship is on the Rise.","type":"webpage"},"uris":["http://www.mendeley.com/documents/?uuid=995e2663-fed7-4ace-83f9-2261064040eb"]}],"mendeley":{"formattedCitation":"(Leadem 2016)","plainTextFormattedCitation":"(Leadem 2016)","previouslyFormattedCitation":"(Leadem 2016)"},"properties":{"noteIndex":0},"schema":"https://github.com/citation-style-language/schema/raw/master/csl-citation.json"}</w:instrText>
      </w:r>
      <w:r w:rsidR="00423EBC" w:rsidRPr="004939B3">
        <w:rPr>
          <w:lang w:val="en-AU" w:eastAsia="en-AU"/>
        </w:rPr>
        <w:fldChar w:fldCharType="separate"/>
      </w:r>
      <w:r w:rsidR="00423EBC" w:rsidRPr="00423EBC">
        <w:rPr>
          <w:noProof/>
          <w:lang w:val="en-AU" w:eastAsia="en-AU"/>
        </w:rPr>
        <w:t>(Leadem 2016)</w:t>
      </w:r>
      <w:r w:rsidR="00423EBC" w:rsidRPr="004939B3">
        <w:rPr>
          <w:lang w:val="en-AU" w:eastAsia="en-AU"/>
        </w:rPr>
        <w:fldChar w:fldCharType="end"/>
      </w:r>
      <w:r w:rsidR="00423EBC" w:rsidRPr="00423EBC">
        <w:rPr>
          <w:lang w:val="en-AU" w:eastAsia="en-AU"/>
        </w:rPr>
        <w:t>.</w:t>
      </w:r>
      <w:r w:rsidR="00523C3D">
        <w:rPr>
          <w:lang w:val="en-AU" w:eastAsia="en-AU"/>
        </w:rPr>
        <w:t xml:space="preserve"> </w:t>
      </w:r>
    </w:p>
    <w:p w14:paraId="7FF2D23D" w14:textId="535410F4" w:rsidR="00B72E3C" w:rsidRDefault="00523C3D" w:rsidP="004939B3">
      <w:pPr>
        <w:pStyle w:val="Paragraph"/>
        <w:rPr>
          <w:lang w:val="en-AU" w:eastAsia="en-AU"/>
        </w:rPr>
      </w:pPr>
      <w:r>
        <w:rPr>
          <w:lang w:val="en-AU" w:eastAsia="en-AU"/>
        </w:rPr>
        <w:t>Termed their ‘</w:t>
      </w:r>
      <w:r w:rsidR="00B72E3C">
        <w:rPr>
          <w:lang w:val="en-AU" w:eastAsia="en-AU"/>
        </w:rPr>
        <w:t>third m</w:t>
      </w:r>
      <w:r>
        <w:rPr>
          <w:lang w:val="en-AU" w:eastAsia="en-AU"/>
        </w:rPr>
        <w:t>ission’</w:t>
      </w:r>
      <w:r w:rsidR="00B72E3C">
        <w:rPr>
          <w:lang w:val="en-AU" w:eastAsia="en-AU"/>
        </w:rPr>
        <w:t xml:space="preserve"> (after education and research)</w:t>
      </w:r>
      <w:r w:rsidR="00675498">
        <w:rPr>
          <w:lang w:val="en-AU" w:eastAsia="en-AU"/>
        </w:rPr>
        <w:t>, universities</w:t>
      </w:r>
      <w:r w:rsidR="00693BA7">
        <w:rPr>
          <w:lang w:val="en-AU" w:eastAsia="en-AU"/>
        </w:rPr>
        <w:t xml:space="preserve"> can facilitate</w:t>
      </w:r>
      <w:r w:rsidR="00946009">
        <w:rPr>
          <w:lang w:val="en-AU" w:eastAsia="en-AU"/>
        </w:rPr>
        <w:t xml:space="preserve"> innovation and</w:t>
      </w:r>
      <w:r w:rsidR="00693BA7">
        <w:rPr>
          <w:lang w:val="en-AU" w:eastAsia="en-AU"/>
        </w:rPr>
        <w:t xml:space="preserve"> entrepreneurship thro</w:t>
      </w:r>
      <w:r>
        <w:rPr>
          <w:lang w:val="en-AU" w:eastAsia="en-AU"/>
        </w:rPr>
        <w:t>ugh advanced skills development and</w:t>
      </w:r>
      <w:r w:rsidR="00AA1E6F">
        <w:rPr>
          <w:lang w:val="en-AU" w:eastAsia="en-AU"/>
        </w:rPr>
        <w:t>, for example,</w:t>
      </w:r>
      <w:r>
        <w:rPr>
          <w:lang w:val="en-AU" w:eastAsia="en-AU"/>
        </w:rPr>
        <w:t xml:space="preserve"> fostering</w:t>
      </w:r>
      <w:r w:rsidR="00675498">
        <w:rPr>
          <w:lang w:val="en-AU" w:eastAsia="en-AU"/>
        </w:rPr>
        <w:t xml:space="preserve"> links with industry; </w:t>
      </w:r>
      <w:r>
        <w:rPr>
          <w:lang w:val="en-AU" w:eastAsia="en-AU"/>
        </w:rPr>
        <w:t>and are increasingly called upon to do so by governments</w:t>
      </w:r>
      <w:r w:rsidR="00B72E3C">
        <w:rPr>
          <w:lang w:val="en-AU" w:eastAsia="en-AU"/>
        </w:rPr>
        <w:t xml:space="preserve">. </w:t>
      </w:r>
      <w:r w:rsidR="00946009">
        <w:rPr>
          <w:lang w:val="en-AU" w:eastAsia="en-AU"/>
        </w:rPr>
        <w:t>However, s</w:t>
      </w:r>
      <w:r w:rsidR="00B72E3C">
        <w:rPr>
          <w:lang w:val="en-AU" w:eastAsia="en-AU"/>
        </w:rPr>
        <w:t xml:space="preserve">uccess </w:t>
      </w:r>
      <w:r w:rsidR="00AA1E6F">
        <w:rPr>
          <w:lang w:val="en-AU" w:eastAsia="en-AU"/>
        </w:rPr>
        <w:t xml:space="preserve">with this mission </w:t>
      </w:r>
      <w:r w:rsidR="00B72E3C">
        <w:rPr>
          <w:lang w:val="en-AU" w:eastAsia="en-AU"/>
        </w:rPr>
        <w:t>varies with university context and culture</w:t>
      </w:r>
      <w:r>
        <w:rPr>
          <w:lang w:val="en-AU" w:eastAsia="en-AU"/>
        </w:rPr>
        <w:t xml:space="preserve"> (</w:t>
      </w:r>
      <w:r w:rsidR="00675498" w:rsidRPr="00675498">
        <w:rPr>
          <w:lang w:val="en-AU" w:eastAsia="en-AU"/>
        </w:rPr>
        <w:t xml:space="preserve">Watson, Hall, and </w:t>
      </w:r>
      <w:proofErr w:type="spellStart"/>
      <w:r w:rsidR="00675498" w:rsidRPr="00675498">
        <w:rPr>
          <w:lang w:val="en-AU" w:eastAsia="en-AU"/>
        </w:rPr>
        <w:t>Tazzyman</w:t>
      </w:r>
      <w:proofErr w:type="spellEnd"/>
      <w:r w:rsidR="00675498">
        <w:rPr>
          <w:lang w:val="en-AU" w:eastAsia="en-AU"/>
        </w:rPr>
        <w:t xml:space="preserve"> 2016)</w:t>
      </w:r>
      <w:r w:rsidR="00693BA7">
        <w:rPr>
          <w:lang w:val="en-AU" w:eastAsia="en-AU"/>
        </w:rPr>
        <w:t xml:space="preserve">. </w:t>
      </w:r>
    </w:p>
    <w:p w14:paraId="21785C3B" w14:textId="56860A2A" w:rsidR="00D0660C" w:rsidRPr="00B72E3C" w:rsidRDefault="00ED5D55" w:rsidP="00C95F67">
      <w:pPr>
        <w:pStyle w:val="CommentText"/>
        <w:spacing w:line="480" w:lineRule="auto"/>
        <w:rPr>
          <w:rStyle w:val="CommentReference"/>
          <w:sz w:val="20"/>
          <w:szCs w:val="20"/>
        </w:rPr>
      </w:pPr>
      <w:r>
        <w:rPr>
          <w:sz w:val="24"/>
          <w:szCs w:val="24"/>
        </w:rPr>
        <w:t>Possession of the means or skills to become an entrepreneur, or e</w:t>
      </w:r>
      <w:r w:rsidRPr="00ED5D55">
        <w:rPr>
          <w:sz w:val="24"/>
          <w:szCs w:val="24"/>
        </w:rPr>
        <w:t>ntrepreneurship ability</w:t>
      </w:r>
      <w:r>
        <w:rPr>
          <w:sz w:val="24"/>
          <w:szCs w:val="24"/>
        </w:rPr>
        <w:t xml:space="preserve">, </w:t>
      </w:r>
      <w:r w:rsidR="00C24934" w:rsidRPr="00CD7710">
        <w:rPr>
          <w:sz w:val="24"/>
          <w:szCs w:val="24"/>
        </w:rPr>
        <w:t xml:space="preserve">is </w:t>
      </w:r>
      <w:r w:rsidR="00FF4ED7" w:rsidRPr="00CD7710">
        <w:rPr>
          <w:sz w:val="24"/>
          <w:szCs w:val="24"/>
        </w:rPr>
        <w:t xml:space="preserve">generally believed to be </w:t>
      </w:r>
      <w:r w:rsidR="00C24934" w:rsidRPr="00CD7710">
        <w:rPr>
          <w:sz w:val="24"/>
          <w:szCs w:val="24"/>
        </w:rPr>
        <w:t xml:space="preserve">the </w:t>
      </w:r>
      <w:r w:rsidR="00426323" w:rsidRPr="00CD7710">
        <w:rPr>
          <w:sz w:val="24"/>
          <w:szCs w:val="24"/>
        </w:rPr>
        <w:t xml:space="preserve">central determinant of entrepreneurial success and recognises the role of both training and experience </w:t>
      </w:r>
      <w:r w:rsidR="00946009">
        <w:rPr>
          <w:sz w:val="24"/>
          <w:szCs w:val="24"/>
        </w:rPr>
        <w:t>to</w:t>
      </w:r>
      <w:r w:rsidR="00946009" w:rsidRPr="00CD7710">
        <w:rPr>
          <w:sz w:val="24"/>
          <w:szCs w:val="24"/>
        </w:rPr>
        <w:t xml:space="preserve"> increa</w:t>
      </w:r>
      <w:r w:rsidR="00946009">
        <w:rPr>
          <w:sz w:val="24"/>
          <w:szCs w:val="24"/>
        </w:rPr>
        <w:t>se</w:t>
      </w:r>
      <w:r w:rsidR="00946009" w:rsidRPr="00CD7710">
        <w:rPr>
          <w:sz w:val="24"/>
          <w:szCs w:val="24"/>
        </w:rPr>
        <w:t xml:space="preserve"> </w:t>
      </w:r>
      <w:r w:rsidR="00426323" w:rsidRPr="00CD7710">
        <w:rPr>
          <w:sz w:val="24"/>
          <w:szCs w:val="24"/>
        </w:rPr>
        <w:t>ability</w:t>
      </w:r>
      <w:r w:rsidR="00E8776D" w:rsidRPr="00CD7710">
        <w:rPr>
          <w:sz w:val="24"/>
          <w:szCs w:val="24"/>
        </w:rPr>
        <w:t xml:space="preserve"> </w:t>
      </w:r>
      <w:r w:rsidR="00E8776D" w:rsidRPr="00C95F67">
        <w:rPr>
          <w:sz w:val="24"/>
          <w:szCs w:val="24"/>
        </w:rPr>
        <w:fldChar w:fldCharType="begin" w:fldLock="1"/>
      </w:r>
      <w:r w:rsidR="00F35135" w:rsidRPr="00CD7710">
        <w:rPr>
          <w:sz w:val="24"/>
          <w:szCs w:val="24"/>
        </w:rPr>
        <w:instrText>ADDIN CSL_CITATION {"citationItems":[{"id":"ITEM-1","itemData":{"DOI":"10.1093/acprof:oso/9780199671656.003.0019","author":[{"dropping-particle":"","family":"Naudé","given":"Wim","non-dropping-particle":"","parse-names":false,"suffix":""}],"container-title":"International Development: Ideas, Experience, and Prospects","editor":[{"dropping-particle":"","family":"Currie-Alder","given":"Bruce","non-dropping-particle":"","parse-names":false,"suffix":""},{"dropping-particle":"","family":"Kanbur","given":"Ravi","non-dropping-particle":"","parse-names":false,"suffix":""},{"dropping-particle":"","family":"Malone","given":"David","non-dropping-particle":"","parse-names":false,"suffix":""},{"dropping-particle":"","family":"Medhora","given":"Rohinton","non-dropping-particle":"","parse-names":false,"suffix":""}],"id":"ITEM-1","issued":{"date-parts":[["2014"]]},"page":"311-322","publisher":"Oxford University Press","publisher-place":"Oxford, UK","title":"Entrepreneurship and Economic Development","type":"chapter"},"uris":["http://www.mendeley.com/documents/?uuid=fa72a13c-de29-45e6-881d-7e2febd2539c"]},{"id":"ITEM-2","itemData":{"DOI":"10.1111/puar.12635","ISSN":"00333352","author":[{"dropping-particle":"","family":"Schneider","given":"Aaron","non-dropping-particle":"","parse-names":false,"suffix":""}],"container-title":"Public Administration Review","id":"ITEM-2","issue":"3","issued":{"date-parts":[["2017","5"]]},"page":"421-431","title":"Social Entrepreneurship, Entrepreneurship, Collectivism, and Everything in Between: Prototypes and Continuous Dimensions","type":"article-journal","volume":"77"},"uris":["http://www.mendeley.com/documents/?uuid=77512e3d-7742-4135-8600-244e455f27db"]}],"mendeley":{"formattedCitation":"(Naudé 2014; Schneider 2017)","plainTextFormattedCitation":"(Naudé 2014; Schneider 2017)","previouslyFormattedCitation":"(Naudé 2014; Schneider 2017)"},"properties":{"noteIndex":0},"schema":"https://github.com/citation-style-language/schema/raw/master/csl-citation.json"}</w:instrText>
      </w:r>
      <w:r w:rsidR="00E8776D" w:rsidRPr="00C95F67">
        <w:rPr>
          <w:sz w:val="24"/>
          <w:szCs w:val="24"/>
        </w:rPr>
        <w:fldChar w:fldCharType="separate"/>
      </w:r>
      <w:r w:rsidR="00C75467" w:rsidRPr="00CD7710">
        <w:rPr>
          <w:noProof/>
          <w:sz w:val="24"/>
          <w:szCs w:val="24"/>
        </w:rPr>
        <w:t>(Naudé 2014; Schneider 2017)</w:t>
      </w:r>
      <w:r w:rsidR="00E8776D" w:rsidRPr="00C95F67">
        <w:rPr>
          <w:sz w:val="24"/>
          <w:szCs w:val="24"/>
        </w:rPr>
        <w:fldChar w:fldCharType="end"/>
      </w:r>
      <w:r w:rsidR="00E8776D" w:rsidRPr="00CD7710">
        <w:rPr>
          <w:sz w:val="24"/>
          <w:szCs w:val="24"/>
        </w:rPr>
        <w:t>.</w:t>
      </w:r>
      <w:r w:rsidR="00C24934" w:rsidRPr="00CD7710">
        <w:rPr>
          <w:sz w:val="24"/>
          <w:szCs w:val="24"/>
        </w:rPr>
        <w:t xml:space="preserve"> </w:t>
      </w:r>
      <w:r w:rsidR="00BB0DF3" w:rsidRPr="00CD7710">
        <w:rPr>
          <w:sz w:val="24"/>
          <w:szCs w:val="24"/>
        </w:rPr>
        <w:t>U</w:t>
      </w:r>
      <w:r w:rsidR="00C10AE4" w:rsidRPr="00CD7710">
        <w:rPr>
          <w:sz w:val="24"/>
          <w:szCs w:val="24"/>
        </w:rPr>
        <w:t>niversities</w:t>
      </w:r>
      <w:r w:rsidR="00426323" w:rsidRPr="00CD7710">
        <w:rPr>
          <w:sz w:val="24"/>
          <w:szCs w:val="24"/>
        </w:rPr>
        <w:t xml:space="preserve"> </w:t>
      </w:r>
      <w:r w:rsidR="008D4BFE" w:rsidRPr="00CD7710">
        <w:rPr>
          <w:sz w:val="24"/>
          <w:szCs w:val="24"/>
        </w:rPr>
        <w:t xml:space="preserve">are </w:t>
      </w:r>
      <w:r w:rsidR="00C10AE4" w:rsidRPr="00CD7710">
        <w:rPr>
          <w:sz w:val="24"/>
          <w:szCs w:val="24"/>
        </w:rPr>
        <w:t>uniquely</w:t>
      </w:r>
      <w:r w:rsidR="008D4BFE" w:rsidRPr="00CD7710">
        <w:rPr>
          <w:sz w:val="24"/>
          <w:szCs w:val="24"/>
        </w:rPr>
        <w:t xml:space="preserve"> placed to</w:t>
      </w:r>
      <w:r w:rsidR="00426323" w:rsidRPr="00CD7710">
        <w:rPr>
          <w:sz w:val="24"/>
          <w:szCs w:val="24"/>
        </w:rPr>
        <w:t xml:space="preserve"> provide both education to increase knowledge</w:t>
      </w:r>
      <w:r w:rsidR="00AA1E6F">
        <w:rPr>
          <w:sz w:val="24"/>
          <w:szCs w:val="24"/>
        </w:rPr>
        <w:t>,</w:t>
      </w:r>
      <w:r w:rsidR="00426323" w:rsidRPr="00CD7710">
        <w:rPr>
          <w:sz w:val="24"/>
          <w:szCs w:val="24"/>
        </w:rPr>
        <w:t xml:space="preserve"> and</w:t>
      </w:r>
      <w:r w:rsidR="001447BD" w:rsidRPr="00CD7710">
        <w:rPr>
          <w:sz w:val="24"/>
          <w:szCs w:val="24"/>
        </w:rPr>
        <w:t xml:space="preserve"> </w:t>
      </w:r>
      <w:r w:rsidR="00994196" w:rsidRPr="00CD7710">
        <w:rPr>
          <w:sz w:val="24"/>
          <w:szCs w:val="24"/>
        </w:rPr>
        <w:t>infrastructure</w:t>
      </w:r>
      <w:r w:rsidR="001447BD" w:rsidRPr="00CD7710">
        <w:rPr>
          <w:sz w:val="24"/>
          <w:szCs w:val="24"/>
        </w:rPr>
        <w:t xml:space="preserve"> to increase entrepreneurship </w:t>
      </w:r>
      <w:r w:rsidR="00426323" w:rsidRPr="00CD7710">
        <w:rPr>
          <w:sz w:val="24"/>
          <w:szCs w:val="24"/>
        </w:rPr>
        <w:t xml:space="preserve">experience </w:t>
      </w:r>
      <w:r w:rsidR="001447BD" w:rsidRPr="00CD7710">
        <w:rPr>
          <w:sz w:val="24"/>
          <w:szCs w:val="24"/>
        </w:rPr>
        <w:t>amongst their</w:t>
      </w:r>
      <w:r w:rsidR="00426323" w:rsidRPr="00CD7710">
        <w:rPr>
          <w:sz w:val="24"/>
          <w:szCs w:val="24"/>
        </w:rPr>
        <w:t xml:space="preserve"> </w:t>
      </w:r>
      <w:r w:rsidR="00C10AE4" w:rsidRPr="00CD7710">
        <w:rPr>
          <w:sz w:val="24"/>
          <w:szCs w:val="24"/>
        </w:rPr>
        <w:t>students</w:t>
      </w:r>
      <w:r w:rsidR="00E8776D" w:rsidRPr="00CD7710">
        <w:rPr>
          <w:sz w:val="24"/>
          <w:szCs w:val="24"/>
        </w:rPr>
        <w:t xml:space="preserve"> </w:t>
      </w:r>
      <w:r w:rsidR="00E8776D" w:rsidRPr="00C95F67">
        <w:rPr>
          <w:sz w:val="24"/>
          <w:szCs w:val="24"/>
        </w:rPr>
        <w:fldChar w:fldCharType="begin" w:fldLock="1"/>
      </w:r>
      <w:r w:rsidR="00F35135" w:rsidRPr="00CD7710">
        <w:rPr>
          <w:sz w:val="24"/>
          <w:szCs w:val="24"/>
        </w:rPr>
        <w:instrText>ADDIN CSL_CITATION {"citationItems":[{"id":"ITEM-1","itemData":{"DOI":"10.1108/JSBED-07-2016-0117","ISSN":"1462-6004","author":[{"dropping-particle":"","family":"Jabeen","given":"Fauzia","non-dropping-particle":"","parse-names":false,"suffix":""},{"dropping-particle":"","family":"Faisal","given":"Mohd. Nishat","non-dropping-particle":"","parse-names":false,"suffix":""},{"dropping-particle":"","family":"Katsioloudes","given":"Marios","non-dropping-particle":"","parse-names":false,"suffix":""}],"container-title":"Journal of Small Business and Enterprise Development","id":"ITEM-1","issue":"1","issued":{"date-parts":[["2017","2","20"]]},"page":"136-157","title":"Entrepreneurial mindset and the role of universities as strategic drivers of entrepreneurship","type":"article-journal","volume":"24"},"uris":["http://www.mendeley.com/documents/?uuid=f86cd5c6-f1e8-4ea3-98b9-42e4185fa50b"]},{"id":"ITEM-2","itemData":{"abstract":"This article explains the Kern Entrepreneurial Engineering Network (KEEN) in introducing innovative approaches to undergraduate engineering degree programs in universities in the United States of America (USA). The mission is to graduate engineers with an entrepreneurial mindset to create personal, economic, and societal value. The article aims to (a) explain the background rationale for the KEEN network in the US industrial context, (b) describe the approach used to introduce entrepreneurship into US engineering education, and (c) assess the wider contributions of the KEEN approach to entrepreneurship education and learning in STEM subjects and beyond the USA. The article summarizes the role and aims of KEEN in the context of entrepreneurial education in US undergraduate engineering programs. It summarizes the policy context and provides a short review of prior work in entrepreneurship education in engineering. The KEEN case study explains the developmental approach used by the project and its contribution to expanding entrepreneurship education in the context of US engineering degree programs. It introduces the entrepreneurial learning and mindset concepts developed by the project. The scale of KEEN intervention across the USA is illustrated, showing institutional size, characteristics, interventions, and results from the project. The development of the entrepreneurial mindset and KEEN student outcomes model are outlined with learning points. Transferable learning points from the development work are identified, summarizing the KEEN experience in relation to wider issues at social, institutional, and industry levels and their implications for engineering and STEM subjects.","author":[{"dropping-particle":"","family":"Rae","given":"David","non-dropping-particle":"","parse-names":false,"suffix":""},{"dropping-particle":"","family":"Melton","given":"Douglas E","non-dropping-particle":"","parse-names":false,"suffix":""}],"id":"ITEM-2","issued":{"date-parts":[["2014"]]},"title":"Developing an Entrepreneurial Mindset in US Engineering Education: An International View of the KEEN Project","type":"report","volume":"7"},"uris":["http://www.mendeley.com/documents/?uuid=a3008217-7e27-39ac-91c0-0a3cd5b298ff"]}],"mendeley":{"formattedCitation":"(Jabeen, Faisal, and Katsioloudes 2017; Rae and Melton 2014)","plainTextFormattedCitation":"(Jabeen, Faisal, and Katsioloudes 2017; Rae and Melton 2014)","previouslyFormattedCitation":"(Jabeen, Faisal, and Katsioloudes 2017; Rae and Melton 2014)"},"properties":{"noteIndex":0},"schema":"https://github.com/citation-style-language/schema/raw/master/csl-citation.json"}</w:instrText>
      </w:r>
      <w:r w:rsidR="00E8776D" w:rsidRPr="00C95F67">
        <w:rPr>
          <w:sz w:val="24"/>
          <w:szCs w:val="24"/>
        </w:rPr>
        <w:fldChar w:fldCharType="separate"/>
      </w:r>
      <w:r w:rsidR="00C75467" w:rsidRPr="00CD7710">
        <w:rPr>
          <w:noProof/>
          <w:sz w:val="24"/>
          <w:szCs w:val="24"/>
        </w:rPr>
        <w:t>(Jabeen, Faisal, and Katsioloudes 2017; Rae and Melton 2014)</w:t>
      </w:r>
      <w:r w:rsidR="00E8776D" w:rsidRPr="00C95F67">
        <w:rPr>
          <w:sz w:val="24"/>
          <w:szCs w:val="24"/>
        </w:rPr>
        <w:fldChar w:fldCharType="end"/>
      </w:r>
      <w:r w:rsidR="00083FD3" w:rsidRPr="00CD7710">
        <w:rPr>
          <w:sz w:val="24"/>
          <w:szCs w:val="24"/>
        </w:rPr>
        <w:t xml:space="preserve">. </w:t>
      </w:r>
      <w:r w:rsidR="00BB0DF3" w:rsidRPr="00CD7710">
        <w:rPr>
          <w:sz w:val="24"/>
          <w:szCs w:val="24"/>
        </w:rPr>
        <w:t xml:space="preserve">Indeed, many </w:t>
      </w:r>
      <w:r w:rsidR="00B316BD" w:rsidRPr="00CD7710">
        <w:rPr>
          <w:sz w:val="24"/>
          <w:szCs w:val="24"/>
        </w:rPr>
        <w:t>university</w:t>
      </w:r>
      <w:r w:rsidR="00BB0DF3" w:rsidRPr="00CD7710">
        <w:rPr>
          <w:sz w:val="24"/>
          <w:szCs w:val="24"/>
        </w:rPr>
        <w:t xml:space="preserve"> students are positive about becoming an entrepreneur </w:t>
      </w:r>
      <w:r w:rsidR="00BB0DF3" w:rsidRPr="00C95F67">
        <w:rPr>
          <w:sz w:val="24"/>
          <w:szCs w:val="24"/>
        </w:rPr>
        <w:fldChar w:fldCharType="begin" w:fldLock="1"/>
      </w:r>
      <w:r w:rsidR="00F35135" w:rsidRPr="00CD7710">
        <w:rPr>
          <w:sz w:val="24"/>
          <w:szCs w:val="24"/>
        </w:rPr>
        <w:instrText>ADDIN CSL_CITATION {"citationItems":[{"id":"ITEM-1","itemData":{"DOI":"10.3200/JOEB.84.3.151-159","ISBN":"08832323","ISSN":"19403356","PMID":"35731626","abstract":"The authors investigated student and faculty attitudes toward entrepreneurship and entrepreneurship education. The authors collected data from 317 students and 87 faculty members at a comprehensive 4-year university to examine students' level of interest in entrepreneurial education, perceptions of motivations and barriers to startup businesses, and occupational aspirations. Student and faculty respondents represented a variety of disciplines in and outside colleges of business. Key findings follow: (a) Student and faculty views on entrepreneurship often differ dramatically, particularly in terms of students' occupational aspirations; (b) interest among nonbusiness students suggests a significant opportunity to formally expand entrepreneurship-related education beyond the business school; and (c) in contrast to previous researchers, the authors identified no significant differences between male and female students regarding interest in entrepreneurship. [ABSTRACT FROM AUTHOR]","author":[{"dropping-particle":"","family":"Shinnar","given":"Rachel","non-dropping-particle":"","parse-names":false,"suffix":""},{"dropping-particle":"","family":"Pruett","given":"Mark","non-dropping-particle":"","parse-names":false,"suffix":""},{"dropping-particle":"","family":"Toney","given":"Bryan","non-dropping-particle":"","parse-names":false,"suffix":""}],"container-title":"Journal of Education for Business","id":"ITEM-1","issue":"3","issued":{"date-parts":[["2009"]]},"page":"151-159","title":"Entrepreneurship Education: Attitudes Across Campus","type":"article-journal","volume":"84"},"uris":["http://www.mendeley.com/documents/?uuid=ceace158-80ae-3500-8c09-2533a83fbaf1"]},{"id":"ITEM-2","itemData":{"DOI":"10.1111/jsbm.12366","ISSN":"1540627X","abstract":"ndividual and organizational entrepreneurial activity varies across regions/countries. Univer-sities have increasingly become knowledge-intensive environments that support entrepreneurship.Extant studies demonstrate the need to explore graduate start-ups using different levels of analysisan across economies. This paper explores individual and university determinants of graduates’start-ups creation from a multi-campus entrepreneurial university in a transition economy. A pro-posed model was tested with 11,569 graduates from 30 campuses across 21 Mexican cities. Resultsshow that specific individual determinants are the most relevant determinant of graduate entre-preneurship as well as that some university mechanisms (incubators and research parks) havelimited impact on graduates’ entrepreneurship.","author":[{"dropping-particle":"","family":"Guerrero","given":"Maribel","non-dropping-particle":"","parse-names":false,"suffix":""},{"dropping-particle":"","family":"Urbano","given":"David","non-dropping-particle":"","parse-names":false,"suffix":""},{"dropping-particle":"","family":"Cunningham","given":"James A.","non-dropping-particle":"","parse-names":false,"suffix":""},{"dropping-particle":"","family":"Gajón","given":"Eduardo","non-dropping-particle":"","parse-names":false,"suffix":""}],"container-title":"Journal of Small Business Management","id":"ITEM-2","issue":"1","issued":{"date-parts":[["2018"]]},"page":"150-178","title":"Determinants of Graduates' Start-Ups Creation across a Multi-Campus Entrepreneurial University: The Case of Monterrey Institute of Technology and Higher Education","type":"article-journal","volume":"56"},"uris":["http://www.mendeley.com/documents/?uuid=8aa59060-bc04-4060-ae92-f19372f0cb85"]}],"mendeley":{"formattedCitation":"(Shinnar, Pruett, and Toney 2009; Guerrero et al. 2018)","plainTextFormattedCitation":"(Shinnar, Pruett, and Toney 2009; Guerrero et al. 2018)","previouslyFormattedCitation":"(Shinnar, Pruett, and Toney 2009; Guerrero et al. 2018)"},"properties":{"noteIndex":0},"schema":"https://github.com/citation-style-language/schema/raw/master/csl-citation.json"}</w:instrText>
      </w:r>
      <w:r w:rsidR="00BB0DF3" w:rsidRPr="00C95F67">
        <w:rPr>
          <w:sz w:val="24"/>
          <w:szCs w:val="24"/>
        </w:rPr>
        <w:fldChar w:fldCharType="separate"/>
      </w:r>
      <w:r w:rsidR="00BB0DF3" w:rsidRPr="00CD7710">
        <w:rPr>
          <w:noProof/>
          <w:sz w:val="24"/>
          <w:szCs w:val="24"/>
        </w:rPr>
        <w:t>(Shinnar, Pruett, and Toney 2009; Guerrero et al. 2018)</w:t>
      </w:r>
      <w:r w:rsidR="00BB0DF3" w:rsidRPr="00C95F67">
        <w:rPr>
          <w:sz w:val="24"/>
          <w:szCs w:val="24"/>
        </w:rPr>
        <w:fldChar w:fldCharType="end"/>
      </w:r>
      <w:r w:rsidR="00BB0DF3" w:rsidRPr="00CD7710">
        <w:rPr>
          <w:sz w:val="24"/>
          <w:szCs w:val="24"/>
        </w:rPr>
        <w:t>.</w:t>
      </w:r>
      <w:r w:rsidR="00FE063E" w:rsidRPr="00CD7710">
        <w:rPr>
          <w:sz w:val="24"/>
          <w:szCs w:val="24"/>
        </w:rPr>
        <w:t xml:space="preserve"> </w:t>
      </w:r>
      <w:r w:rsidR="00772B4F" w:rsidRPr="00CD7710">
        <w:rPr>
          <w:sz w:val="24"/>
          <w:szCs w:val="24"/>
        </w:rPr>
        <w:t xml:space="preserve">University provision of entrepreneurship </w:t>
      </w:r>
      <w:r w:rsidR="00772B4F" w:rsidRPr="00CD7710">
        <w:rPr>
          <w:sz w:val="24"/>
          <w:szCs w:val="24"/>
        </w:rPr>
        <w:lastRenderedPageBreak/>
        <w:t xml:space="preserve">education has been shown to increase </w:t>
      </w:r>
      <w:r>
        <w:rPr>
          <w:sz w:val="24"/>
          <w:szCs w:val="24"/>
        </w:rPr>
        <w:t xml:space="preserve">both ability and </w:t>
      </w:r>
      <w:r w:rsidR="00772B4F" w:rsidRPr="00CD7710">
        <w:rPr>
          <w:sz w:val="24"/>
          <w:szCs w:val="24"/>
        </w:rPr>
        <w:t xml:space="preserve">entrepreneurial intention </w:t>
      </w:r>
      <w:r w:rsidR="009716FB" w:rsidRPr="00C95F67">
        <w:rPr>
          <w:sz w:val="24"/>
          <w:szCs w:val="24"/>
        </w:rPr>
        <w:fldChar w:fldCharType="begin" w:fldLock="1"/>
      </w:r>
      <w:r w:rsidR="00F35135" w:rsidRPr="00CD7710">
        <w:rPr>
          <w:sz w:val="24"/>
          <w:szCs w:val="24"/>
        </w:rPr>
        <w:instrText>ADDIN CSL_CITATION {"citationItems":[{"id":"ITEM-1","itemData":{"DOI":"10.1080/03075079.2017.1365359","ISSN":"1470174X","abstract":"© 2017 Society for Research into Higher Education This paper investigates whether entrepreneurial education (EE) contributes to the entrepreneurial intentions (EI) of university students in the Visegrád countries (Czech Republic, Hungary, Poland and Slovakia). The results show several differences with regard to the impact of education and entrepreneurial self-efficacy (ESE) on entrepreneurial intentions across the four nations. The direct impact of entrepreneurship education was positive and significant in only one country, Poland, the only of the four countries to have introduced entrepreneurship education at high-school level. Additionally, an indirect influence of EE on EI was uncovered. Using a multi-construct approach to ESE, the research proves that ESEs related to searching, planning and marshalling activities mediate the impact of entrepreneurial education on intentions, although these effects differ across the studied countries. Lastly, a gender comparison indicates that although women generally have lower entrepreneurial intentions and display lower levels of ESE they benefit more than men do from entrepreneurship education.","author":[{"dropping-particle":"","family":"Nowiński","given":"Witold","non-dropping-particle":"","parse-names":false,"suffix":""},{"dropping-particle":"","family":"Haddoud","given":"Mohamed Yacine","non-dropping-particle":"","parse-names":false,"suffix":""},{"dropping-particle":"","family":"Lančarič","given":"Drahoslav","non-dropping-particle":"","parse-names":false,"suffix":""},{"dropping-particle":"","family":"Egerová","given":"Dana","non-dropping-particle":"","parse-names":false,"suffix":""},{"dropping-particle":"","family":"Czeglédi","given":"Csilla","non-dropping-particle":"","parse-names":false,"suffix":""}],"container-title":"Studies in Higher Education","id":"ITEM-1","issued":{"date-parts":[["2017","8","21"]]},"page":"1-19","title":"The impact of entrepreneurship education, entrepreneurial self-efficacy and gender on entrepreneurial intentions of university students in the Visegrad countries","type":"article-journal"},"uris":["http://www.mendeley.com/documents/?uuid=92d8830d-a6bd-34c2-8f74-b3799d9b41ac"]},{"id":"ITEM-2","itemData":{"DOI":"10.1111/j.1540-6520.2007.00179.x","author":[{"dropping-particle":"","family":"Wilson","given":"Fiona","non-dropping-particle":"","parse-names":false,"suffix":""},{"dropping-particle":"","family":"Kickul","given":"Jill","non-dropping-particle":"","parse-names":false,"suffix":""},{"dropping-particle":"","family":"Marlino","given":"Deborah","non-dropping-particle":"","parse-names":false,"suffix":""}],"container-title":"Education","id":"ITEM-2","issue":"617","issued":{"date-parts":[["2007"]]},"page":"387-407","title":"Gender, Entrepreneurial Self-Efficacy, and Entrepreneurial Career Intentions: Implications for Entrepreneurship Education","type":"article-journal"},"uris":["http://www.mendeley.com/documents/?uuid=aa497a86-d90e-436a-9eb5-58ca6ac3c1e6"]},{"id":"ITEM-3","itemData":{"abstract":"This article explains the Kern Entrepreneurial Engineering Network (KEEN) in introducing innovative approaches to undergraduate engineering degree programs in universities in the United States of America (USA). The mission is to graduate engineers with an entrepreneurial mindset to create personal, economic, and societal value. The article aims to (a) explain the background rationale for the KEEN network in the US industrial context, (b) describe the approach used to introduce entrepreneurship into US engineering education, and (c) assess the wider contributions of the KEEN approach to entrepreneurship education and learning in STEM subjects and beyond the USA. The article summarizes the role and aims of KEEN in the context of entrepreneurial education in US undergraduate engineering programs. It summarizes the policy context and provides a short review of prior work in entrepreneurship education in engineering. The KEEN case study explains the developmental approach used by the project and its contribution to expanding entrepreneurship education in the context of US engineering degree programs. It introduces the entrepreneurial learning and mindset concepts developed by the project. The scale of KEEN intervention across the USA is illustrated, showing institutional size, characteristics, interventions, and results from the project. The development of the entrepreneurial mindset and KEEN student outcomes model are outlined with learning points. Transferable learning points from the development work are identified, summarizing the KEEN experience in relation to wider issues at social, institutional, and industry levels and their implications for engineering and STEM subjects.","author":[{"dropping-particle":"","family":"Rae","given":"David","non-dropping-particle":"","parse-names":false,"suffix":""},{"dropping-particle":"","family":"Melton","given":"Douglas E","non-dropping-particle":"","parse-names":false,"suffix":""}],"id":"ITEM-3","issued":{"date-parts":[["2014"]]},"title":"Developing an Entrepreneurial Mindset in US Engineering Education: An International View of the KEEN Project","type":"report","volume":"7"},"uris":["http://www.mendeley.com/documents/?uuid=a3008217-7e27-39ac-91c0-0a3cd5b298ff"]}],"mendeley":{"formattedCitation":"(Nowiński et al. 2017; Wilson, Kickul, and Marlino 2007; Rae and Melton 2014)","plainTextFormattedCitation":"(Nowiński et al. 2017; Wilson, Kickul, and Marlino 2007; Rae and Melton 2014)","previouslyFormattedCitation":"(Nowiński et al. 2017; Wilson, Kickul, and Marlino 2007; Rae and Melton 2014)"},"properties":{"noteIndex":0},"schema":"https://github.com/citation-style-language/schema/raw/master/csl-citation.json"}</w:instrText>
      </w:r>
      <w:r w:rsidR="009716FB" w:rsidRPr="00C95F67">
        <w:rPr>
          <w:sz w:val="24"/>
          <w:szCs w:val="24"/>
        </w:rPr>
        <w:fldChar w:fldCharType="separate"/>
      </w:r>
      <w:r w:rsidR="00024BF5" w:rsidRPr="00CD7710">
        <w:rPr>
          <w:noProof/>
          <w:sz w:val="24"/>
          <w:szCs w:val="24"/>
        </w:rPr>
        <w:t>(Nowiński et al. 2017; Wilson, Kickul, and Marlino 2007; Rae and Melton 2014)</w:t>
      </w:r>
      <w:r w:rsidR="009716FB" w:rsidRPr="00C95F67">
        <w:rPr>
          <w:sz w:val="24"/>
          <w:szCs w:val="24"/>
        </w:rPr>
        <w:fldChar w:fldCharType="end"/>
      </w:r>
      <w:r w:rsidR="00772B4F" w:rsidRPr="00CD7710">
        <w:rPr>
          <w:sz w:val="24"/>
          <w:szCs w:val="24"/>
        </w:rPr>
        <w:t xml:space="preserve">, although how the subject should be taught and assessed is part of an ongoing debate and beyond the scope of this study (for example </w:t>
      </w:r>
      <w:r w:rsidR="009716FB" w:rsidRPr="00C95F67">
        <w:rPr>
          <w:sz w:val="24"/>
          <w:szCs w:val="24"/>
        </w:rPr>
        <w:fldChar w:fldCharType="begin" w:fldLock="1"/>
      </w:r>
      <w:r w:rsidR="00F35135" w:rsidRPr="00CD7710">
        <w:rPr>
          <w:sz w:val="24"/>
          <w:szCs w:val="24"/>
        </w:rPr>
        <w:instrText>ADDIN CSL_CITATION {"citationItems":[{"id":"ITEM-1","itemData":{"DOI":"10.5465/amle.2015.0026","abstract":"Using a teaching model framework, we systematically review empirical evidence on the impact of entrepreneurship education (EE) in higher education on a range of entrepreneurial outcomes, analyzing 159 published articles from 2004 to 2016. The teaching model framework allows us for the first time to start rigorously examining relationships between pedagogical methods and specific outcomes. Reconfirming past reviews and meta-analyses, we find that EE impact research still predominantly focuses on short-term and subjective outcome measures and tends to severely underdescribe the actual pedagogies being tested. Moreover, we use our review to provide an up-to-date and empirically rooted call for less obvious, yet greatly promising, new or underemphasized directions for future research on the impact of university-based entrepreneurship education. This includes, for example, the use of novel impact indicators related to emotion and mind-set, focus on the impact indicators related to the intention-to-behavior transition, and exploring the reasons for some contradictory findings in impact studies including person-, context-, and pedagogical model-specific moderators.","author":[{"dropping-particle":"","family":"Nabi","given":"Ghulam","non-dropping-particle":"","parse-names":false,"suffix":""},{"dropping-particle":"","family":"Liñan","given":"Francisco","non-dropping-particle":"","parse-names":false,"suffix":""},{"dropping-particle":"","family":"Fayolle","given":"Alain","non-dropping-particle":"","parse-names":false,"suffix":""},{"dropping-particle":"","family":"Krueger","given":"Norris","non-dropping-particle":"","parse-names":false,"suffix":""},{"dropping-particle":"","family":"Walmsley","given":"Andreas","non-dropping-particle":"","parse-names":false,"suffix":""}],"container-title":"Academy of Management Learning &amp; Education","id":"ITEM-1","issue":"2","issued":{"date-parts":[["2017"]]},"page":"277-299","title":"The Impact of Entrepreneurship Education in Higher Education: A Systematic Review and Research Agenda","type":"article-journal","volume":"16"},"uris":["http://www.mendeley.com/documents/?uuid=f2df70a0-b504-37c7-949f-a16a10e28da3"]},{"id":"ITEM-2","itemData":{"DOI":"10.1111/jsbm.12116","ISBN":"1540-627X","ISSN":"1540627X","PMID":"109345757","abstract":"This paper contextualizes the relationship between student’s self-efficacy beliefs and entrepre- neurial intentions in the content and pedagogy of the entrepreneurship course. Using the logic of regulatory focus theory, we argue that the nature of the entrepreneurship course—whether theo- retically or practically oriented—creates a distinct motivational frame for entrepreneurship in promotion or prevention terms. When coupled with students’ self-efficacy beliefs, this frame can strengthen or weaken their intentions for future entrepreneurial efforts. We test this hypothesis through a survey of 114 students enrolled in different entrepreneurship courses at a major British university. Our results show that higher self-efficacy is associated with lower entrepreneurial intentions in the theoretically oriented courses and higher entrepreneurial intentions in the practically oriented courses. We draw a number of implications for the theory and practice of entrepreneurship education.","author":[{"dropping-particle":"","family":"Piperopoulos","given":"Panagiotis","non-dropping-particle":"","parse-names":false,"suffix":""},{"dropping-particle":"","family":"Dimov","given":"Dimo","non-dropping-particle":"","parse-names":false,"suffix":""}],"container-title":"Journal of Small Business Management","id":"ITEM-2","issue":"4","issued":{"date-parts":[["2015"]]},"page":"970-985","title":"Burst Bubbles or Build Steam? Entrepreneurship Education, Entrepreneurial Self-Efficacy, and Entrepreneurial Intentions","type":"article-journal","volume":"53"},"uris":["http://www.mendeley.com/documents/?uuid=b43c27f6-0357-43c7-b70e-2e66a0d34a1c"]}],"mendeley":{"formattedCitation":"(Nabi et al. 2017; Piperopoulos and Dimov 2015)","manualFormatting":"Nabi et al. 2017)","plainTextFormattedCitation":"(Nabi et al. 2017; Piperopoulos and Dimov 2015)","previouslyFormattedCitation":"(Nabi et al. 2017; Piperopoulos and Dimov 2015)"},"properties":{"noteIndex":0},"schema":"https://github.com/citation-style-language/schema/raw/master/csl-citation.json"}</w:instrText>
      </w:r>
      <w:r w:rsidR="009716FB" w:rsidRPr="00C95F67">
        <w:rPr>
          <w:sz w:val="24"/>
          <w:szCs w:val="24"/>
        </w:rPr>
        <w:fldChar w:fldCharType="separate"/>
      </w:r>
      <w:r w:rsidR="009716FB" w:rsidRPr="00CD7710">
        <w:rPr>
          <w:noProof/>
          <w:sz w:val="24"/>
          <w:szCs w:val="24"/>
        </w:rPr>
        <w:t>Nabi et al. 2017)</w:t>
      </w:r>
      <w:r w:rsidR="009716FB" w:rsidRPr="00C95F67">
        <w:rPr>
          <w:sz w:val="24"/>
          <w:szCs w:val="24"/>
        </w:rPr>
        <w:fldChar w:fldCharType="end"/>
      </w:r>
      <w:r w:rsidR="00772B4F" w:rsidRPr="00CD7710">
        <w:rPr>
          <w:sz w:val="24"/>
          <w:szCs w:val="24"/>
        </w:rPr>
        <w:t xml:space="preserve">. </w:t>
      </w:r>
      <w:r w:rsidR="000059BF" w:rsidRPr="00CD7710">
        <w:rPr>
          <w:sz w:val="24"/>
          <w:szCs w:val="24"/>
        </w:rPr>
        <w:t>Many u</w:t>
      </w:r>
      <w:r w:rsidR="00DD6502" w:rsidRPr="00CD7710">
        <w:rPr>
          <w:sz w:val="24"/>
          <w:szCs w:val="24"/>
        </w:rPr>
        <w:t xml:space="preserve">niversities </w:t>
      </w:r>
      <w:r w:rsidR="00426323" w:rsidRPr="00CD7710">
        <w:rPr>
          <w:sz w:val="24"/>
          <w:szCs w:val="24"/>
        </w:rPr>
        <w:t>provid</w:t>
      </w:r>
      <w:r w:rsidR="00DD6502" w:rsidRPr="00CD7710">
        <w:rPr>
          <w:sz w:val="24"/>
          <w:szCs w:val="24"/>
        </w:rPr>
        <w:t>e</w:t>
      </w:r>
      <w:r w:rsidR="00426323" w:rsidRPr="00CD7710">
        <w:rPr>
          <w:sz w:val="24"/>
          <w:szCs w:val="24"/>
        </w:rPr>
        <w:t xml:space="preserve"> business incubation services</w:t>
      </w:r>
      <w:r w:rsidR="00DD6502" w:rsidRPr="00CD7710">
        <w:rPr>
          <w:sz w:val="24"/>
          <w:szCs w:val="24"/>
        </w:rPr>
        <w:t xml:space="preserve"> such as office space, business advice</w:t>
      </w:r>
      <w:r w:rsidR="00B60DB3" w:rsidRPr="00CD7710">
        <w:rPr>
          <w:sz w:val="24"/>
          <w:szCs w:val="24"/>
        </w:rPr>
        <w:t xml:space="preserve"> and access to expensive equipment</w:t>
      </w:r>
      <w:r w:rsidR="00075A95" w:rsidRPr="00CD7710">
        <w:rPr>
          <w:sz w:val="24"/>
          <w:szCs w:val="24"/>
        </w:rPr>
        <w:t xml:space="preserve"> </w:t>
      </w:r>
      <w:r w:rsidR="00075A95" w:rsidRPr="00C95F67">
        <w:rPr>
          <w:sz w:val="24"/>
          <w:szCs w:val="24"/>
        </w:rPr>
        <w:fldChar w:fldCharType="begin" w:fldLock="1"/>
      </w:r>
      <w:r w:rsidR="00F35135" w:rsidRPr="00CD7710">
        <w:rPr>
          <w:sz w:val="24"/>
          <w:szCs w:val="24"/>
        </w:rPr>
        <w:instrText>ADDIN CSL_CITATION {"citationItems":[{"id":"ITEM-1","itemData":{"DOI":"10.5367/ihe.2014.0205","abstract":"The benchmarking framework developed in this study is specifically designed for higher education institutions to consider when developing environments to encourage entrepreneurship among their students, graduates and staff. The objective of the study was to identify key success factors of Graduate Entrepreneurship Incubator Environments (GEIEs) that nurture, encourage and promote entrepreneurship in higher education. Semi-structured interviews with stakeholders in five leading UK entrepreneurial universities were used to collect data on GEIEs. The framework is a non-prescriptive tool which can be used by universities as a practical mechanism for plotting and monitoring progress towards an enabling environment for entrepreneurial graduates.","author":[{"dropping-particle":"","family":"Al-Dajani","given":"Haya","non-dropping-particle":"","parse-names":false,"suffix":""},{"dropping-particle":"","family":"Dedoussis","given":"Evangelos","non-dropping-particle":"","parse-names":false,"suffix":""},{"dropping-particle":"","family":"Watson","given":"Erika","non-dropping-particle":"","parse-names":false,"suffix":""},{"dropping-particle":"","family":"Tzokas","given":"Nikolaos","non-dropping-particle":"","parse-names":false,"suffix":""}],"container-title":"Industry and Higher Education","id":"ITEM-1","issue":"3","issued":{"date-parts":[["2014"]]},"page":"201–213","title":"Graduate entrepreneurship incubation environments: a framework of key success factors","type":"article-journal","volume":"28"},"uris":["http://www.mendeley.com/documents/?uuid=48d71408-cff6-3fb1-95f3-90bc4ed33de9"]},{"id":"ITEM-2","itemData":{"DOI":"10.1016/j.ijme.2015.03.001","abstract":"Universities across the world are increasingly trying to become more entrepreneurial, in order to stay competitive, generate new sources of income through licensing or contract research, and follow policy guidelines from governments. The most powerful resource universities have to stimulate entrepreneurship is their students. However, there is no evaluated theory on how to encourage students to become entrepreneurs. Through three case studies the entrepreneurial encouragement offerings applied at MIT in the United States, IIIT in India, and Utrecht University in the Netherlands are investigated. The offerings provided by these institutes have been surveyed, interviews about these offerings with university staff have been performed, and reflected upon through interviews with entrepreneurs that graduated from these institutes. The three case studies provide insight in how student entrepreneurship encouragement offerings contributed to students choosing a career as an entrepreneur. Several successful examples of student entrepre-neurship encouragement offerings are presented, and a model is proposed on how to effectively encourage entrepreneurship among students. The model supports academic institutes in constructing an environment that encourages student entrepreneurship and aims to help universities convince students to continue their careers as entrepreneurs.","author":[{"dropping-particle":"","family":"Jansen","given":"Slinger","non-dropping-particle":"","parse-names":false,"suffix":""},{"dropping-particle":"","family":"Zande","given":"Tommy","non-dropping-particle":"Van De","parse-names":false,"suffix":""},{"dropping-particle":"","family":"Brinkkemper","given":"Sjaak","non-dropping-particle":"","parse-names":false,"suffix":""},{"dropping-particle":"","family":"Stam","given":"Erik","non-dropping-particle":"","parse-names":false,"suffix":""},{"dropping-particle":"","family":"Varma","given":"Vasudeva","non-dropping-particle":"","parse-names":false,"suffix":""}],"container-title":"International Journal of Management Education","id":"ITEM-2","issue":"2","issued":{"date-parts":[["2015"]]},"page":"170-181","title":"How education, stimulation, and incubation encourage student entrepreneurship: Observations from MIT, IIIT, and Utrecht University","type":"article-journal","volume":"13"},"uris":["http://www.mendeley.com/documents/?uuid=8f8e97dd-db72-3668-bda0-58f8af6f571e"]}],"mendeley":{"formattedCitation":"(Al-Dajani et al. 2014; Jansen et al. 2015)","plainTextFormattedCitation":"(Al-Dajani et al. 2014; Jansen et al. 2015)","previouslyFormattedCitation":"(Al-Dajani et al. 2014; Jansen et al. 2015)"},"properties":{"noteIndex":0},"schema":"https://github.com/citation-style-language/schema/raw/master/csl-citation.json"}</w:instrText>
      </w:r>
      <w:r w:rsidR="00075A95" w:rsidRPr="00C95F67">
        <w:rPr>
          <w:sz w:val="24"/>
          <w:szCs w:val="24"/>
        </w:rPr>
        <w:fldChar w:fldCharType="separate"/>
      </w:r>
      <w:r w:rsidR="00C75467" w:rsidRPr="00CD7710">
        <w:rPr>
          <w:noProof/>
          <w:sz w:val="24"/>
          <w:szCs w:val="24"/>
        </w:rPr>
        <w:t>(Al-Dajani et al. 2014; Jansen et al. 2015)</w:t>
      </w:r>
      <w:r w:rsidR="00075A95" w:rsidRPr="00C95F67">
        <w:rPr>
          <w:sz w:val="24"/>
          <w:szCs w:val="24"/>
        </w:rPr>
        <w:fldChar w:fldCharType="end"/>
      </w:r>
      <w:r w:rsidR="00075A95" w:rsidRPr="00CD7710">
        <w:rPr>
          <w:sz w:val="24"/>
          <w:szCs w:val="24"/>
        </w:rPr>
        <w:t xml:space="preserve">. </w:t>
      </w:r>
      <w:r w:rsidR="00DD6502" w:rsidRPr="00CD7710">
        <w:rPr>
          <w:sz w:val="24"/>
          <w:szCs w:val="24"/>
        </w:rPr>
        <w:t xml:space="preserve">However, </w:t>
      </w:r>
      <w:r w:rsidR="005C571B" w:rsidRPr="00CD7710">
        <w:rPr>
          <w:sz w:val="24"/>
          <w:szCs w:val="24"/>
        </w:rPr>
        <w:t xml:space="preserve">while </w:t>
      </w:r>
      <w:r w:rsidR="00DD6502" w:rsidRPr="00CD7710">
        <w:rPr>
          <w:sz w:val="24"/>
          <w:szCs w:val="24"/>
        </w:rPr>
        <w:t xml:space="preserve">many universities invest considerable resource into business incubators, </w:t>
      </w:r>
      <w:r w:rsidR="005C571B" w:rsidRPr="00CD7710">
        <w:rPr>
          <w:sz w:val="24"/>
          <w:szCs w:val="24"/>
        </w:rPr>
        <w:t>there are</w:t>
      </w:r>
      <w:r w:rsidR="00DD6502" w:rsidRPr="00CD7710">
        <w:rPr>
          <w:sz w:val="24"/>
          <w:szCs w:val="24"/>
        </w:rPr>
        <w:t xml:space="preserve"> limited notions of success measures</w:t>
      </w:r>
      <w:r w:rsidR="00946009">
        <w:rPr>
          <w:sz w:val="24"/>
          <w:szCs w:val="24"/>
        </w:rPr>
        <w:t>,</w:t>
      </w:r>
      <w:r w:rsidR="00DD6502" w:rsidRPr="00CD7710">
        <w:rPr>
          <w:sz w:val="24"/>
          <w:szCs w:val="24"/>
        </w:rPr>
        <w:t xml:space="preserve"> conflicting studies </w:t>
      </w:r>
      <w:r w:rsidR="00B60DB3" w:rsidRPr="00CD7710">
        <w:rPr>
          <w:sz w:val="24"/>
          <w:szCs w:val="24"/>
        </w:rPr>
        <w:t>evaluating</w:t>
      </w:r>
      <w:r w:rsidR="00DD6502" w:rsidRPr="00CD7710">
        <w:rPr>
          <w:sz w:val="24"/>
          <w:szCs w:val="24"/>
        </w:rPr>
        <w:t xml:space="preserve"> impact</w:t>
      </w:r>
      <w:r w:rsidR="00946009">
        <w:rPr>
          <w:sz w:val="24"/>
          <w:szCs w:val="24"/>
        </w:rPr>
        <w:t xml:space="preserve"> and little awareness of who take up these opportunities</w:t>
      </w:r>
      <w:r w:rsidR="00DD6502" w:rsidRPr="00CD7710">
        <w:rPr>
          <w:sz w:val="24"/>
          <w:szCs w:val="24"/>
        </w:rPr>
        <w:t xml:space="preserve"> (for example</w:t>
      </w:r>
      <w:r w:rsidR="00075A95" w:rsidRPr="00CD7710">
        <w:rPr>
          <w:sz w:val="24"/>
          <w:szCs w:val="24"/>
        </w:rPr>
        <w:t xml:space="preserve"> </w:t>
      </w:r>
      <w:r w:rsidR="00075A95" w:rsidRPr="00C95F67">
        <w:rPr>
          <w:sz w:val="24"/>
          <w:szCs w:val="24"/>
        </w:rPr>
        <w:fldChar w:fldCharType="begin" w:fldLock="1"/>
      </w:r>
      <w:r w:rsidR="00F35135" w:rsidRPr="00CD7710">
        <w:rPr>
          <w:sz w:val="24"/>
          <w:szCs w:val="24"/>
        </w:rPr>
        <w:instrText>ADDIN CSL_CITATION {"citationItems":[{"id":"ITEM-1","itemData":{"DOI":"10.1111/jsbm.12366","ISSN":"1540627X","abstract":"ndividual and organizational entrepreneurial activity varies across regions/countries. Univer-sities have increasingly become knowledge-intensive environments that support entrepreneurship.Extant studies demonstrate the need to explore graduate start-ups using different levels of analysisan across economies. This paper explores individual and university determinants of graduates’start-ups creation from a multi-campus entrepreneurial university in a transition economy. A pro-posed model was tested with 11,569 graduates from 30 campuses across 21 Mexican cities. Resultsshow that specific individual determinants are the most relevant determinant of graduate entre-preneurship as well as that some university mechanisms (incubators and research parks) havelimited impact on graduates’ entrepreneurship.","author":[{"dropping-particle":"","family":"Guerrero","given":"Maribel","non-dropping-particle":"","parse-names":false,"suffix":""},{"dropping-particle":"","family":"Urbano","given":"David","non-dropping-particle":"","parse-names":false,"suffix":""},{"dropping-particle":"","family":"Cunningham","given":"James A.","non-dropping-particle":"","parse-names":false,"suffix":""},{"dropping-particle":"","family":"Gajón","given":"Eduardo","non-dropping-particle":"","parse-names":false,"suffix":""}],"container-title":"Journal of Small Business Management","id":"ITEM-1","issue":"1","issued":{"date-parts":[["2018"]]},"page":"150-178","title":"Determinants of Graduates' Start-Ups Creation across a Multi-Campus Entrepreneurial University: The Case of Monterrey Institute of Technology and Higher Education","type":"article-journal","volume":"56"},"uris":["http://www.mendeley.com/documents/?uuid=8aa59060-bc04-4060-ae92-f19372f0cb85"]}],"mendeley":{"formattedCitation":"(Guerrero et al. 2018)","manualFormatting":"Guerrero et al. 2018)","plainTextFormattedCitation":"(Guerrero et al. 2018)","previouslyFormattedCitation":"(Guerrero et al. 2018)"},"properties":{"noteIndex":0},"schema":"https://github.com/citation-style-language/schema/raw/master/csl-citation.json"}</w:instrText>
      </w:r>
      <w:r w:rsidR="00075A95" w:rsidRPr="00C95F67">
        <w:rPr>
          <w:sz w:val="24"/>
          <w:szCs w:val="24"/>
        </w:rPr>
        <w:fldChar w:fldCharType="separate"/>
      </w:r>
      <w:r w:rsidR="00075A95" w:rsidRPr="00CD7710">
        <w:rPr>
          <w:noProof/>
          <w:sz w:val="24"/>
          <w:szCs w:val="24"/>
        </w:rPr>
        <w:t>Guerrero et al. 2018)</w:t>
      </w:r>
      <w:r w:rsidR="00075A95" w:rsidRPr="00C95F67">
        <w:rPr>
          <w:sz w:val="24"/>
          <w:szCs w:val="24"/>
        </w:rPr>
        <w:fldChar w:fldCharType="end"/>
      </w:r>
      <w:r w:rsidR="00DD6502" w:rsidRPr="00CD7710">
        <w:rPr>
          <w:rStyle w:val="CommentReference"/>
          <w:sz w:val="24"/>
          <w:szCs w:val="24"/>
        </w:rPr>
        <w:t>.</w:t>
      </w:r>
      <w:r w:rsidR="00A31FCE" w:rsidRPr="00CD7710">
        <w:rPr>
          <w:rStyle w:val="CommentReference"/>
          <w:sz w:val="24"/>
          <w:szCs w:val="24"/>
        </w:rPr>
        <w:t xml:space="preserve"> </w:t>
      </w:r>
    </w:p>
    <w:p w14:paraId="217716D5" w14:textId="3ADC3E1C" w:rsidR="001447BD" w:rsidRPr="00CD7710" w:rsidRDefault="00235304" w:rsidP="00C95F67">
      <w:pPr>
        <w:pStyle w:val="CommentText"/>
        <w:spacing w:line="480" w:lineRule="auto"/>
      </w:pPr>
      <w:r>
        <w:rPr>
          <w:rStyle w:val="CommentReference"/>
          <w:sz w:val="24"/>
          <w:szCs w:val="24"/>
        </w:rPr>
        <w:t>Although m</w:t>
      </w:r>
      <w:r w:rsidR="00CA5187">
        <w:rPr>
          <w:rStyle w:val="CommentReference"/>
          <w:sz w:val="24"/>
          <w:szCs w:val="24"/>
        </w:rPr>
        <w:t>any</w:t>
      </w:r>
      <w:r w:rsidR="00A31FCE" w:rsidRPr="00CD7710">
        <w:rPr>
          <w:rStyle w:val="CommentReference"/>
          <w:sz w:val="24"/>
          <w:szCs w:val="24"/>
        </w:rPr>
        <w:t xml:space="preserve"> studies have focused </w:t>
      </w:r>
      <w:r w:rsidR="00A31FCE" w:rsidRPr="00C95F67">
        <w:rPr>
          <w:rStyle w:val="CommentReference"/>
          <w:sz w:val="24"/>
          <w:szCs w:val="24"/>
        </w:rPr>
        <w:t xml:space="preserve">on </w:t>
      </w:r>
      <w:r w:rsidR="00A31FCE" w:rsidRPr="00CD7710">
        <w:rPr>
          <w:rStyle w:val="CommentReference"/>
          <w:sz w:val="24"/>
          <w:szCs w:val="24"/>
        </w:rPr>
        <w:t xml:space="preserve">entrepreneurial intention among </w:t>
      </w:r>
      <w:r w:rsidR="00994196" w:rsidRPr="008833CA">
        <w:rPr>
          <w:i/>
          <w:sz w:val="24"/>
          <w:szCs w:val="24"/>
        </w:rPr>
        <w:t>business</w:t>
      </w:r>
      <w:r w:rsidR="00994196" w:rsidRPr="00CD7710">
        <w:rPr>
          <w:sz w:val="24"/>
          <w:szCs w:val="24"/>
        </w:rPr>
        <w:t xml:space="preserve"> </w:t>
      </w:r>
      <w:r w:rsidR="00A31FCE" w:rsidRPr="00CD7710">
        <w:rPr>
          <w:sz w:val="24"/>
          <w:szCs w:val="24"/>
        </w:rPr>
        <w:t>students</w:t>
      </w:r>
      <w:r w:rsidR="00994196" w:rsidRPr="00CD7710">
        <w:rPr>
          <w:sz w:val="24"/>
          <w:szCs w:val="24"/>
        </w:rPr>
        <w:t xml:space="preserve">, little research has been undertaken to reveal discipline-specific </w:t>
      </w:r>
      <w:r w:rsidR="00772B4F" w:rsidRPr="00CD7710">
        <w:rPr>
          <w:sz w:val="24"/>
          <w:szCs w:val="24"/>
        </w:rPr>
        <w:t xml:space="preserve">attitudes </w:t>
      </w:r>
      <w:r w:rsidR="0050715D" w:rsidRPr="00CD7710">
        <w:rPr>
          <w:sz w:val="24"/>
          <w:szCs w:val="24"/>
        </w:rPr>
        <w:t>to</w:t>
      </w:r>
      <w:r w:rsidR="00772B4F" w:rsidRPr="00CD7710">
        <w:rPr>
          <w:sz w:val="24"/>
          <w:szCs w:val="24"/>
        </w:rPr>
        <w:t xml:space="preserve"> entrepreneurship</w:t>
      </w:r>
      <w:r w:rsidR="001915F1">
        <w:rPr>
          <w:sz w:val="24"/>
          <w:szCs w:val="24"/>
        </w:rPr>
        <w:t xml:space="preserve"> outside business courses</w:t>
      </w:r>
      <w:r w:rsidR="00772B4F" w:rsidRPr="00CD7710">
        <w:rPr>
          <w:sz w:val="24"/>
          <w:szCs w:val="24"/>
        </w:rPr>
        <w:t xml:space="preserve">, </w:t>
      </w:r>
      <w:r w:rsidR="00994196" w:rsidRPr="00CD7710">
        <w:rPr>
          <w:sz w:val="24"/>
          <w:szCs w:val="24"/>
        </w:rPr>
        <w:t xml:space="preserve">or for a single discipline </w:t>
      </w:r>
      <w:r w:rsidR="00A31FCE" w:rsidRPr="00CD7710">
        <w:rPr>
          <w:sz w:val="24"/>
          <w:szCs w:val="24"/>
        </w:rPr>
        <w:t xml:space="preserve">in </w:t>
      </w:r>
      <w:r w:rsidR="00994196" w:rsidRPr="00CD7710">
        <w:rPr>
          <w:sz w:val="24"/>
          <w:szCs w:val="24"/>
        </w:rPr>
        <w:t xml:space="preserve">different countries. </w:t>
      </w:r>
      <w:r w:rsidR="00D0660C" w:rsidRPr="00CD7710">
        <w:rPr>
          <w:sz w:val="24"/>
          <w:szCs w:val="24"/>
        </w:rPr>
        <w:t>In particular there</w:t>
      </w:r>
      <w:r w:rsidR="00A31FCE" w:rsidRPr="00CD7710">
        <w:rPr>
          <w:sz w:val="24"/>
          <w:szCs w:val="24"/>
        </w:rPr>
        <w:t xml:space="preserve"> is a gap in our understanding of</w:t>
      </w:r>
      <w:r w:rsidR="003011C2" w:rsidRPr="00CD7710">
        <w:rPr>
          <w:sz w:val="24"/>
          <w:szCs w:val="24"/>
        </w:rPr>
        <w:t xml:space="preserve"> the</w:t>
      </w:r>
      <w:r w:rsidR="001D630A">
        <w:rPr>
          <w:sz w:val="24"/>
          <w:szCs w:val="24"/>
        </w:rPr>
        <w:t xml:space="preserve"> levels of interest and perceptions of the</w:t>
      </w:r>
      <w:r w:rsidR="003011C2" w:rsidRPr="00CD7710">
        <w:rPr>
          <w:sz w:val="24"/>
          <w:szCs w:val="24"/>
        </w:rPr>
        <w:t xml:space="preserve"> drivers, barriers and enablers of </w:t>
      </w:r>
      <w:r w:rsidR="000B4DD8" w:rsidRPr="00CD7710">
        <w:rPr>
          <w:sz w:val="24"/>
          <w:szCs w:val="24"/>
        </w:rPr>
        <w:t>entrepreneurship</w:t>
      </w:r>
      <w:r w:rsidR="003011C2" w:rsidRPr="00CD7710">
        <w:rPr>
          <w:sz w:val="24"/>
          <w:szCs w:val="24"/>
        </w:rPr>
        <w:t xml:space="preserve"> for </w:t>
      </w:r>
      <w:r w:rsidR="00A31FCE" w:rsidRPr="00C95F67">
        <w:rPr>
          <w:i/>
          <w:sz w:val="24"/>
          <w:szCs w:val="24"/>
        </w:rPr>
        <w:t xml:space="preserve">computing </w:t>
      </w:r>
      <w:r w:rsidR="003011C2" w:rsidRPr="00CD7710">
        <w:rPr>
          <w:sz w:val="24"/>
          <w:szCs w:val="24"/>
        </w:rPr>
        <w:t>students</w:t>
      </w:r>
      <w:r w:rsidR="00A31FCE" w:rsidRPr="00CD7710">
        <w:rPr>
          <w:sz w:val="24"/>
          <w:szCs w:val="24"/>
        </w:rPr>
        <w:t xml:space="preserve"> </w:t>
      </w:r>
      <w:r w:rsidR="001D630A">
        <w:rPr>
          <w:sz w:val="24"/>
          <w:szCs w:val="24"/>
        </w:rPr>
        <w:t>in spite of their</w:t>
      </w:r>
      <w:r w:rsidR="00A31FCE" w:rsidRPr="00CD7710">
        <w:rPr>
          <w:sz w:val="24"/>
          <w:szCs w:val="24"/>
        </w:rPr>
        <w:t xml:space="preserve"> potential </w:t>
      </w:r>
      <w:r w:rsidR="00D0660C" w:rsidRPr="00CD7710">
        <w:rPr>
          <w:sz w:val="24"/>
          <w:szCs w:val="24"/>
        </w:rPr>
        <w:t>to create</w:t>
      </w:r>
      <w:r w:rsidR="00A31FCE" w:rsidRPr="00CD7710">
        <w:rPr>
          <w:sz w:val="24"/>
          <w:szCs w:val="24"/>
        </w:rPr>
        <w:t xml:space="preserve"> economic growth through </w:t>
      </w:r>
      <w:r w:rsidR="00D0660C" w:rsidRPr="00CD7710">
        <w:rPr>
          <w:sz w:val="24"/>
          <w:szCs w:val="24"/>
        </w:rPr>
        <w:t xml:space="preserve">advances in </w:t>
      </w:r>
      <w:r w:rsidR="005E4B42">
        <w:rPr>
          <w:sz w:val="24"/>
          <w:szCs w:val="24"/>
        </w:rPr>
        <w:t>IT</w:t>
      </w:r>
      <w:r w:rsidR="00A31FCE" w:rsidRPr="00CD7710">
        <w:rPr>
          <w:sz w:val="24"/>
          <w:szCs w:val="24"/>
        </w:rPr>
        <w:t xml:space="preserve">. So </w:t>
      </w:r>
      <w:r w:rsidR="003011C2" w:rsidRPr="00CD7710">
        <w:rPr>
          <w:sz w:val="24"/>
          <w:szCs w:val="24"/>
        </w:rPr>
        <w:t xml:space="preserve">this </w:t>
      </w:r>
      <w:r w:rsidR="00A31FCE" w:rsidRPr="00CD7710">
        <w:rPr>
          <w:sz w:val="24"/>
          <w:szCs w:val="24"/>
        </w:rPr>
        <w:t xml:space="preserve">research </w:t>
      </w:r>
      <w:r w:rsidR="00426323" w:rsidRPr="00CD7710">
        <w:rPr>
          <w:sz w:val="24"/>
          <w:szCs w:val="24"/>
        </w:rPr>
        <w:t>explore</w:t>
      </w:r>
      <w:r w:rsidR="003011C2" w:rsidRPr="00CD7710">
        <w:rPr>
          <w:sz w:val="24"/>
          <w:szCs w:val="24"/>
        </w:rPr>
        <w:t>d</w:t>
      </w:r>
      <w:r w:rsidR="00426323" w:rsidRPr="00CD7710">
        <w:rPr>
          <w:sz w:val="24"/>
          <w:szCs w:val="24"/>
        </w:rPr>
        <w:t xml:space="preserve"> </w:t>
      </w:r>
      <w:r w:rsidR="00A31FCE" w:rsidRPr="00CD7710">
        <w:rPr>
          <w:sz w:val="24"/>
          <w:szCs w:val="24"/>
        </w:rPr>
        <w:t xml:space="preserve">computing students’ </w:t>
      </w:r>
      <w:r w:rsidR="00946009">
        <w:rPr>
          <w:sz w:val="24"/>
          <w:szCs w:val="24"/>
        </w:rPr>
        <w:t>attitudes towards</w:t>
      </w:r>
      <w:r w:rsidR="00426323" w:rsidRPr="00CD7710">
        <w:rPr>
          <w:sz w:val="24"/>
          <w:szCs w:val="24"/>
        </w:rPr>
        <w:t xml:space="preserve"> entrepreneurship</w:t>
      </w:r>
      <w:r w:rsidR="007C232D" w:rsidRPr="00CD7710">
        <w:rPr>
          <w:sz w:val="24"/>
          <w:szCs w:val="24"/>
        </w:rPr>
        <w:t xml:space="preserve"> </w:t>
      </w:r>
      <w:r w:rsidR="003011C2" w:rsidRPr="00CD7710">
        <w:rPr>
          <w:sz w:val="24"/>
          <w:szCs w:val="24"/>
        </w:rPr>
        <w:t>through a</w:t>
      </w:r>
      <w:r w:rsidR="00426323" w:rsidRPr="00CD7710">
        <w:rPr>
          <w:sz w:val="24"/>
          <w:szCs w:val="24"/>
        </w:rPr>
        <w:t xml:space="preserve"> study conducted in an </w:t>
      </w:r>
      <w:r w:rsidR="00994196" w:rsidRPr="00CD7710">
        <w:rPr>
          <w:sz w:val="24"/>
          <w:szCs w:val="24"/>
        </w:rPr>
        <w:t>Australian</w:t>
      </w:r>
      <w:r w:rsidR="00426323" w:rsidRPr="00CD7710">
        <w:rPr>
          <w:sz w:val="24"/>
          <w:szCs w:val="24"/>
        </w:rPr>
        <w:t xml:space="preserve"> and UK university. The </w:t>
      </w:r>
      <w:r w:rsidR="00D0660C" w:rsidRPr="00CD7710">
        <w:rPr>
          <w:sz w:val="24"/>
          <w:szCs w:val="24"/>
        </w:rPr>
        <w:t xml:space="preserve">universities were selected based on their </w:t>
      </w:r>
      <w:r w:rsidR="00C74351" w:rsidRPr="00CD7710">
        <w:rPr>
          <w:sz w:val="24"/>
          <w:szCs w:val="24"/>
        </w:rPr>
        <w:t xml:space="preserve">similarly </w:t>
      </w:r>
      <w:r w:rsidR="00D0660C" w:rsidRPr="00CD7710">
        <w:rPr>
          <w:sz w:val="24"/>
          <w:szCs w:val="24"/>
        </w:rPr>
        <w:t>large computing provision</w:t>
      </w:r>
      <w:r w:rsidR="00C74351" w:rsidRPr="00CD7710">
        <w:rPr>
          <w:sz w:val="24"/>
          <w:szCs w:val="24"/>
        </w:rPr>
        <w:t xml:space="preserve"> in</w:t>
      </w:r>
      <w:r w:rsidR="00D0660C" w:rsidRPr="00CD7710">
        <w:rPr>
          <w:sz w:val="24"/>
          <w:szCs w:val="24"/>
        </w:rPr>
        <w:t xml:space="preserve"> city-based locations and their varying approaches to entrepreneurship. </w:t>
      </w:r>
      <w:r w:rsidR="00C74351" w:rsidRPr="00CD7710">
        <w:rPr>
          <w:sz w:val="24"/>
          <w:szCs w:val="24"/>
        </w:rPr>
        <w:t xml:space="preserve">The </w:t>
      </w:r>
      <w:r w:rsidR="00994196" w:rsidRPr="00CD7710">
        <w:rPr>
          <w:sz w:val="24"/>
          <w:szCs w:val="24"/>
        </w:rPr>
        <w:t>Australian</w:t>
      </w:r>
      <w:r w:rsidR="00426323" w:rsidRPr="00CD7710">
        <w:rPr>
          <w:sz w:val="24"/>
          <w:szCs w:val="24"/>
        </w:rPr>
        <w:t xml:space="preserve"> university offers</w:t>
      </w:r>
      <w:r w:rsidR="001447BD" w:rsidRPr="00CD7710">
        <w:rPr>
          <w:sz w:val="24"/>
          <w:szCs w:val="24"/>
        </w:rPr>
        <w:t xml:space="preserve"> an undergraduate course in IT Entrepreneurship </w:t>
      </w:r>
      <w:r w:rsidR="00D0660C" w:rsidRPr="00CD7710">
        <w:rPr>
          <w:sz w:val="24"/>
          <w:szCs w:val="24"/>
        </w:rPr>
        <w:t xml:space="preserve">for computing students </w:t>
      </w:r>
      <w:r w:rsidR="001447BD" w:rsidRPr="00CD7710">
        <w:rPr>
          <w:sz w:val="24"/>
          <w:szCs w:val="24"/>
        </w:rPr>
        <w:t xml:space="preserve">and </w:t>
      </w:r>
      <w:r w:rsidR="004C0657" w:rsidRPr="00CD7710">
        <w:rPr>
          <w:sz w:val="24"/>
          <w:szCs w:val="24"/>
        </w:rPr>
        <w:t>recently established</w:t>
      </w:r>
      <w:r w:rsidR="001447BD" w:rsidRPr="00CD7710">
        <w:rPr>
          <w:sz w:val="24"/>
          <w:szCs w:val="24"/>
        </w:rPr>
        <w:t xml:space="preserve"> a </w:t>
      </w:r>
      <w:r w:rsidR="00B0408C" w:rsidRPr="00CD7710">
        <w:rPr>
          <w:sz w:val="24"/>
          <w:szCs w:val="24"/>
        </w:rPr>
        <w:t>business i</w:t>
      </w:r>
      <w:r w:rsidR="001447BD" w:rsidRPr="00CD7710">
        <w:rPr>
          <w:sz w:val="24"/>
          <w:szCs w:val="24"/>
        </w:rPr>
        <w:t xml:space="preserve">ncubator. </w:t>
      </w:r>
      <w:r w:rsidR="00D47C1E" w:rsidRPr="00CD7710">
        <w:rPr>
          <w:sz w:val="24"/>
          <w:szCs w:val="24"/>
        </w:rPr>
        <w:t>The</w:t>
      </w:r>
      <w:r w:rsidR="00772B4F" w:rsidRPr="00CD7710">
        <w:rPr>
          <w:sz w:val="24"/>
          <w:szCs w:val="24"/>
        </w:rPr>
        <w:t xml:space="preserve"> UK </w:t>
      </w:r>
      <w:proofErr w:type="gramStart"/>
      <w:r w:rsidR="00772B4F" w:rsidRPr="00CD7710">
        <w:rPr>
          <w:sz w:val="24"/>
          <w:szCs w:val="24"/>
        </w:rPr>
        <w:t>university</w:t>
      </w:r>
      <w:proofErr w:type="gramEnd"/>
      <w:r w:rsidR="00D47C1E" w:rsidRPr="00CD7710">
        <w:rPr>
          <w:sz w:val="24"/>
          <w:szCs w:val="24"/>
        </w:rPr>
        <w:t xml:space="preserve"> has</w:t>
      </w:r>
      <w:r w:rsidR="00772B4F" w:rsidRPr="00CD7710">
        <w:rPr>
          <w:sz w:val="24"/>
          <w:szCs w:val="24"/>
        </w:rPr>
        <w:t xml:space="preserve"> an </w:t>
      </w:r>
      <w:r w:rsidR="00D47C1E" w:rsidRPr="00CD7710">
        <w:rPr>
          <w:sz w:val="24"/>
          <w:szCs w:val="24"/>
        </w:rPr>
        <w:t xml:space="preserve">established </w:t>
      </w:r>
      <w:r w:rsidR="00772B4F" w:rsidRPr="00CD7710">
        <w:rPr>
          <w:sz w:val="24"/>
          <w:szCs w:val="24"/>
        </w:rPr>
        <w:t xml:space="preserve">IT-focused business </w:t>
      </w:r>
      <w:r w:rsidR="00C24934" w:rsidRPr="00CD7710">
        <w:rPr>
          <w:sz w:val="24"/>
          <w:szCs w:val="24"/>
        </w:rPr>
        <w:t>incubator</w:t>
      </w:r>
      <w:r w:rsidR="004C2E66" w:rsidRPr="00CD7710">
        <w:rPr>
          <w:sz w:val="24"/>
          <w:szCs w:val="24"/>
        </w:rPr>
        <w:t xml:space="preserve"> </w:t>
      </w:r>
      <w:r w:rsidR="00D47C1E" w:rsidRPr="00CD7710">
        <w:rPr>
          <w:sz w:val="24"/>
          <w:szCs w:val="24"/>
        </w:rPr>
        <w:t xml:space="preserve">which is </w:t>
      </w:r>
      <w:r w:rsidR="000059BF" w:rsidRPr="00CD7710">
        <w:rPr>
          <w:sz w:val="24"/>
          <w:szCs w:val="24"/>
        </w:rPr>
        <w:t>promoted to on-campus students</w:t>
      </w:r>
      <w:r w:rsidR="004C2E66" w:rsidRPr="00CD7710">
        <w:rPr>
          <w:sz w:val="24"/>
          <w:szCs w:val="24"/>
        </w:rPr>
        <w:t>.</w:t>
      </w:r>
      <w:r w:rsidR="00255B3F" w:rsidRPr="00CD7710">
        <w:rPr>
          <w:sz w:val="24"/>
          <w:szCs w:val="24"/>
        </w:rPr>
        <w:t xml:space="preserve"> </w:t>
      </w:r>
      <w:r w:rsidR="00771F91">
        <w:rPr>
          <w:sz w:val="24"/>
          <w:szCs w:val="24"/>
        </w:rPr>
        <w:t xml:space="preserve">It </w:t>
      </w:r>
      <w:r w:rsidR="00771F91" w:rsidRPr="003006EA">
        <w:rPr>
          <w:sz w:val="24"/>
          <w:szCs w:val="24"/>
        </w:rPr>
        <w:t xml:space="preserve">does not offer entrepreneurship education to computing students, however it </w:t>
      </w:r>
      <w:r w:rsidR="00C74351" w:rsidRPr="00CD7710">
        <w:rPr>
          <w:sz w:val="24"/>
          <w:szCs w:val="24"/>
        </w:rPr>
        <w:t>is located in a city with many IT start-ups</w:t>
      </w:r>
      <w:r w:rsidR="00771F91">
        <w:rPr>
          <w:sz w:val="24"/>
          <w:szCs w:val="24"/>
        </w:rPr>
        <w:t xml:space="preserve"> and fosters close working with the IT industry</w:t>
      </w:r>
      <w:r w:rsidR="00C74351" w:rsidRPr="00CD7710">
        <w:rPr>
          <w:sz w:val="24"/>
          <w:szCs w:val="24"/>
        </w:rPr>
        <w:t xml:space="preserve">. </w:t>
      </w:r>
      <w:r w:rsidR="00086B82" w:rsidRPr="00CD7710">
        <w:rPr>
          <w:sz w:val="24"/>
          <w:szCs w:val="24"/>
        </w:rPr>
        <w:t>This</w:t>
      </w:r>
      <w:r w:rsidR="00255B3F" w:rsidRPr="00CD7710">
        <w:rPr>
          <w:sz w:val="24"/>
          <w:szCs w:val="24"/>
        </w:rPr>
        <w:t xml:space="preserve"> study consider</w:t>
      </w:r>
      <w:r w:rsidR="00D47C1E" w:rsidRPr="00CD7710">
        <w:rPr>
          <w:sz w:val="24"/>
          <w:szCs w:val="24"/>
        </w:rPr>
        <w:t>ed</w:t>
      </w:r>
      <w:r w:rsidR="00255B3F" w:rsidRPr="00CD7710">
        <w:rPr>
          <w:sz w:val="24"/>
          <w:szCs w:val="24"/>
        </w:rPr>
        <w:t xml:space="preserve"> the attitudes of </w:t>
      </w:r>
      <w:r w:rsidR="00D0660C" w:rsidRPr="00CD7710">
        <w:rPr>
          <w:sz w:val="24"/>
          <w:szCs w:val="24"/>
        </w:rPr>
        <w:t xml:space="preserve">computing </w:t>
      </w:r>
      <w:r w:rsidR="00255B3F" w:rsidRPr="00CD7710">
        <w:rPr>
          <w:sz w:val="24"/>
          <w:szCs w:val="24"/>
        </w:rPr>
        <w:t xml:space="preserve">students towards entrepreneurship </w:t>
      </w:r>
      <w:r w:rsidR="000059BF" w:rsidRPr="00CD7710">
        <w:rPr>
          <w:sz w:val="24"/>
          <w:szCs w:val="24"/>
        </w:rPr>
        <w:t xml:space="preserve">(based on institution and gender) </w:t>
      </w:r>
      <w:r w:rsidR="00255B3F" w:rsidRPr="00CD7710">
        <w:rPr>
          <w:sz w:val="24"/>
          <w:szCs w:val="24"/>
        </w:rPr>
        <w:t>that might orient them to make use of these facilities</w:t>
      </w:r>
      <w:r w:rsidR="00E449EC" w:rsidRPr="00CD7710">
        <w:rPr>
          <w:sz w:val="24"/>
          <w:szCs w:val="24"/>
        </w:rPr>
        <w:t xml:space="preserve"> and </w:t>
      </w:r>
      <w:r>
        <w:rPr>
          <w:sz w:val="24"/>
          <w:szCs w:val="24"/>
        </w:rPr>
        <w:t xml:space="preserve">any </w:t>
      </w:r>
      <w:r w:rsidR="00E449EC" w:rsidRPr="00CD7710">
        <w:rPr>
          <w:sz w:val="24"/>
          <w:szCs w:val="24"/>
        </w:rPr>
        <w:t>associated entrepreneurship education</w:t>
      </w:r>
      <w:r w:rsidR="00255B3F" w:rsidRPr="00CD7710">
        <w:rPr>
          <w:sz w:val="24"/>
          <w:szCs w:val="24"/>
        </w:rPr>
        <w:t xml:space="preserve"> to carve out an entrepreneurial career.</w:t>
      </w:r>
      <w:r w:rsidR="008D4BFE" w:rsidRPr="00CD7710">
        <w:rPr>
          <w:sz w:val="24"/>
          <w:szCs w:val="24"/>
        </w:rPr>
        <w:t xml:space="preserve"> The main contribution of the paper is </w:t>
      </w:r>
      <w:r w:rsidR="000059BF" w:rsidRPr="00CD7710">
        <w:rPr>
          <w:sz w:val="24"/>
          <w:szCs w:val="24"/>
        </w:rPr>
        <w:t>in its consideration of a</w:t>
      </w:r>
      <w:r w:rsidR="008D4BFE" w:rsidRPr="00CD7710">
        <w:rPr>
          <w:sz w:val="24"/>
          <w:szCs w:val="24"/>
        </w:rPr>
        <w:t xml:space="preserve"> discipline-specific group across two </w:t>
      </w:r>
      <w:r w:rsidR="00D0660C" w:rsidRPr="00CD7710">
        <w:rPr>
          <w:sz w:val="24"/>
          <w:szCs w:val="24"/>
        </w:rPr>
        <w:t>institutions</w:t>
      </w:r>
      <w:r w:rsidR="008D4BFE" w:rsidRPr="00CD7710">
        <w:rPr>
          <w:sz w:val="24"/>
          <w:szCs w:val="24"/>
        </w:rPr>
        <w:t>. The data analysis</w:t>
      </w:r>
      <w:r w:rsidR="000059BF" w:rsidRPr="00CD7710">
        <w:rPr>
          <w:sz w:val="24"/>
          <w:szCs w:val="24"/>
        </w:rPr>
        <w:t>,</w:t>
      </w:r>
      <w:r w:rsidR="008D4BFE" w:rsidRPr="00CD7710">
        <w:rPr>
          <w:sz w:val="24"/>
          <w:szCs w:val="24"/>
        </w:rPr>
        <w:t xml:space="preserve"> which </w:t>
      </w:r>
      <w:r w:rsidR="008D4BFE" w:rsidRPr="00CD7710">
        <w:rPr>
          <w:sz w:val="24"/>
          <w:szCs w:val="24"/>
        </w:rPr>
        <w:lastRenderedPageBreak/>
        <w:t>highlights both intrinsic and extrinsic motivations</w:t>
      </w:r>
      <w:r w:rsidR="000059BF" w:rsidRPr="00CD7710">
        <w:rPr>
          <w:sz w:val="24"/>
          <w:szCs w:val="24"/>
        </w:rPr>
        <w:t>,</w:t>
      </w:r>
      <w:r w:rsidR="008D4BFE" w:rsidRPr="00CD7710">
        <w:rPr>
          <w:sz w:val="24"/>
          <w:szCs w:val="24"/>
        </w:rPr>
        <w:t xml:space="preserve"> can be used to bett</w:t>
      </w:r>
      <w:r w:rsidR="00772B4F" w:rsidRPr="00CD7710">
        <w:rPr>
          <w:sz w:val="24"/>
          <w:szCs w:val="24"/>
        </w:rPr>
        <w:t xml:space="preserve">er inform </w:t>
      </w:r>
      <w:r w:rsidR="00946009">
        <w:rPr>
          <w:sz w:val="24"/>
          <w:szCs w:val="24"/>
        </w:rPr>
        <w:t xml:space="preserve">impactful and inclusive </w:t>
      </w:r>
      <w:r w:rsidR="00772B4F" w:rsidRPr="00CD7710">
        <w:rPr>
          <w:sz w:val="24"/>
          <w:szCs w:val="24"/>
        </w:rPr>
        <w:t>university investment</w:t>
      </w:r>
      <w:r w:rsidR="008D4BFE" w:rsidRPr="00CD7710">
        <w:rPr>
          <w:sz w:val="24"/>
          <w:szCs w:val="24"/>
        </w:rPr>
        <w:t xml:space="preserve"> in </w:t>
      </w:r>
      <w:r w:rsidR="00D0660C" w:rsidRPr="00CD7710">
        <w:rPr>
          <w:sz w:val="24"/>
          <w:szCs w:val="24"/>
        </w:rPr>
        <w:t xml:space="preserve">the development of </w:t>
      </w:r>
      <w:r w:rsidR="008D4BFE" w:rsidRPr="00CD7710">
        <w:rPr>
          <w:sz w:val="24"/>
          <w:szCs w:val="24"/>
        </w:rPr>
        <w:t>entrepreneu</w:t>
      </w:r>
      <w:r w:rsidR="00970BA8" w:rsidRPr="00CD7710">
        <w:rPr>
          <w:sz w:val="24"/>
          <w:szCs w:val="24"/>
        </w:rPr>
        <w:t xml:space="preserve">rship </w:t>
      </w:r>
      <w:r w:rsidR="00D0660C" w:rsidRPr="00CD7710">
        <w:rPr>
          <w:sz w:val="24"/>
          <w:szCs w:val="24"/>
        </w:rPr>
        <w:t xml:space="preserve">ability </w:t>
      </w:r>
      <w:r w:rsidR="00970BA8" w:rsidRPr="00CD7710">
        <w:rPr>
          <w:sz w:val="24"/>
          <w:szCs w:val="24"/>
        </w:rPr>
        <w:t>for</w:t>
      </w:r>
      <w:r w:rsidR="008D4BFE" w:rsidRPr="00CD7710">
        <w:rPr>
          <w:sz w:val="24"/>
          <w:szCs w:val="24"/>
        </w:rPr>
        <w:t xml:space="preserve"> their students an</w:t>
      </w:r>
      <w:r w:rsidR="00B60DB3" w:rsidRPr="00CD7710">
        <w:rPr>
          <w:sz w:val="24"/>
          <w:szCs w:val="24"/>
        </w:rPr>
        <w:t>d</w:t>
      </w:r>
      <w:r w:rsidR="008D4BFE" w:rsidRPr="00CD7710">
        <w:rPr>
          <w:sz w:val="24"/>
          <w:szCs w:val="24"/>
        </w:rPr>
        <w:t xml:space="preserve"> graduates</w:t>
      </w:r>
      <w:r w:rsidR="001F56A8" w:rsidRPr="00CD7710">
        <w:rPr>
          <w:sz w:val="24"/>
          <w:szCs w:val="24"/>
        </w:rPr>
        <w:t>.</w:t>
      </w:r>
    </w:p>
    <w:p w14:paraId="70B3A339" w14:textId="77777777" w:rsidR="005A1BCD" w:rsidRPr="00E01A9C" w:rsidRDefault="00CD7710" w:rsidP="007E58E4">
      <w:pPr>
        <w:pStyle w:val="Heading1"/>
        <w:rPr>
          <w:lang w:val="en-AU" w:eastAsia="en-AU"/>
        </w:rPr>
      </w:pPr>
      <w:r>
        <w:rPr>
          <w:lang w:val="en-AU" w:eastAsia="en-AU"/>
        </w:rPr>
        <w:t>Entrepreneurship</w:t>
      </w:r>
      <w:r w:rsidR="008F3E9A">
        <w:rPr>
          <w:lang w:val="en-AU" w:eastAsia="en-AU"/>
        </w:rPr>
        <w:t>: drivers, barriers and enablers</w:t>
      </w:r>
    </w:p>
    <w:p w14:paraId="3689A43D" w14:textId="77777777" w:rsidR="005C571B" w:rsidRDefault="00B60DB3" w:rsidP="007E58E4">
      <w:pPr>
        <w:pStyle w:val="Paragraph"/>
        <w:rPr>
          <w:lang w:val="en-AU" w:eastAsia="en-AU"/>
        </w:rPr>
      </w:pPr>
      <w:r>
        <w:rPr>
          <w:lang w:val="en-AU" w:eastAsia="en-AU"/>
        </w:rPr>
        <w:t>Although studies</w:t>
      </w:r>
      <w:r w:rsidR="00857324">
        <w:rPr>
          <w:lang w:val="en-AU" w:eastAsia="en-AU"/>
        </w:rPr>
        <w:t xml:space="preserve"> have shown that </w:t>
      </w:r>
      <w:r w:rsidR="003A2064">
        <w:rPr>
          <w:lang w:val="en-AU" w:eastAsia="en-AU"/>
        </w:rPr>
        <w:t xml:space="preserve">there is a relatively high level of interest among </w:t>
      </w:r>
      <w:r w:rsidR="00857324">
        <w:rPr>
          <w:lang w:val="en-AU" w:eastAsia="en-AU"/>
        </w:rPr>
        <w:t xml:space="preserve">university students </w:t>
      </w:r>
      <w:r w:rsidR="003A2064">
        <w:rPr>
          <w:lang w:val="en-AU" w:eastAsia="en-AU"/>
        </w:rPr>
        <w:t>in</w:t>
      </w:r>
      <w:r w:rsidR="00857324">
        <w:rPr>
          <w:lang w:val="en-AU" w:eastAsia="en-AU"/>
        </w:rPr>
        <w:t xml:space="preserve"> starting their own business</w:t>
      </w:r>
      <w:r>
        <w:rPr>
          <w:lang w:val="en-AU" w:eastAsia="en-AU"/>
        </w:rPr>
        <w:t xml:space="preserve">, not all </w:t>
      </w:r>
      <w:r w:rsidR="00CD7710">
        <w:rPr>
          <w:lang w:val="en-AU" w:eastAsia="en-AU"/>
        </w:rPr>
        <w:t xml:space="preserve">students </w:t>
      </w:r>
      <w:r>
        <w:rPr>
          <w:lang w:val="en-AU" w:eastAsia="en-AU"/>
        </w:rPr>
        <w:t>act on an</w:t>
      </w:r>
      <w:r w:rsidR="003A2064">
        <w:rPr>
          <w:lang w:val="en-AU" w:eastAsia="en-AU"/>
        </w:rPr>
        <w:t xml:space="preserve"> entrepreneurial</w:t>
      </w:r>
      <w:r w:rsidR="00970BA8">
        <w:rPr>
          <w:lang w:val="en-AU" w:eastAsia="en-AU"/>
        </w:rPr>
        <w:t xml:space="preserve"> intention</w:t>
      </w:r>
      <w:r w:rsidR="00CD7710">
        <w:rPr>
          <w:lang w:val="en-AU" w:eastAsia="en-AU"/>
        </w:rPr>
        <w:t xml:space="preserve"> when they graduate</w:t>
      </w:r>
      <w:r w:rsidR="00075A95">
        <w:rPr>
          <w:lang w:val="en-AU" w:eastAsia="en-AU"/>
        </w:rPr>
        <w:t xml:space="preserve"> </w:t>
      </w:r>
      <w:r w:rsidR="00075A95">
        <w:rPr>
          <w:lang w:val="en-AU" w:eastAsia="en-AU"/>
        </w:rPr>
        <w:fldChar w:fldCharType="begin" w:fldLock="1"/>
      </w:r>
      <w:r w:rsidR="00F35135">
        <w:rPr>
          <w:lang w:val="en-AU" w:eastAsia="en-AU"/>
        </w:rPr>
        <w:instrText>ADDIN CSL_CITATION {"citationItems":[{"id":"ITEM-1","itemData":{"DOI":"10.1177/0266242617704277","abstract":"While empirical data clearly show that women are underrepresented among entrepreneurs, the causes of this gap are entirely not clear. This article explores one potential cause: that women might be less likely to act on their entrepreneurial intentions. Building on Ajzen's theory of planned behaviour, we propose that intentions predict start-up behaviours, that is, that there is an intention-behaviour link. We then apply social role theory to propose that the intention-behaviour link is moderated by sex. Analysing data drawn from a sample of US-based management students during their first session in an introductory entrepreneurship course, at the end of the course, on their graduation and at a point up to three years after graduation, we find support for the intention-behaviour link and moderation of this link by sex. We identify additional contributions from our study and implications of our findings for addressing the sex gap in entrepreneurship.","author":[{"dropping-particle":"","family":"Shinnar","given":"Rachel","non-dropping-particle":"","parse-names":false,"suffix":""},{"dropping-particle":"","family":"Hsu","given":"Dan","non-dropping-particle":"","parse-names":false,"suffix":""},{"dropping-particle":"","family":"Powell","given":"Benjamin","non-dropping-particle":"","parse-names":false,"suffix":""},{"dropping-particle":"","family":"Zhou","given":"Haibo","non-dropping-particle":"","parse-names":false,"suffix":""}],"container-title":"International Small Business Journal: Researching Entrepreneurship","id":"ITEM-1","issue":"1","issued":{"date-parts":[["2018"]]},"page":"60-80","title":"Entrepreneurial intentions and start-ups: Are women or men more likely to enact their intentions?","type":"article-journal","volume":"36"},"uris":["http://www.mendeley.com/documents/?uuid=eaac8f16-c0fc-3aa6-8e48-dd74b385a345"]},{"id":"ITEM-2","itemData":{"DOI":"10.1016/j.emj.2015.12.007","abstract":"Entrepreneurial intentions lie at the foundation of entrepreneurial process. Yet the available evidence suggests that not every entrepreneurial intention is eventually transformed into actual behavior e starting and operating a new venture. Although studies in other research domains suggest high level of intentionebehavior correlation, the studies of intentionebehavior relationship in entrepreneurship are scarce. Using the data from the 2013/2014 Global University Entrepreneurial Spirit Students' Survey, we scrutinize the intention-action gap among student entrepreneurs, attributing it to the contextual factors, i.e., individual (family entrepreneurial background, age, gender) and environmental characteristics (university environment, uncertainty avoidance), affecting the translation of entrepreneurial intentions into entrepreneurial actions.","author":[{"dropping-particle":"","family":"Shirokova","given":"Galina","non-dropping-particle":"","parse-names":false,"suffix":""},{"dropping-particle":"","family":"Osiyevskyy","given":"Oleksiy","non-dropping-particle":"","parse-names":false,"suffix":""},{"dropping-particle":"","family":"Bogatyreva","given":"Karina","non-dropping-particle":"","parse-names":false,"suffix":""}],"container-title":"European Management Journal","id":"ITEM-2","issued":{"date-parts":[["2016"]]},"page":"386-399","title":"Exploring the intentionebehavior link in student entrepreneurship: Moderating effects of individual and environmental characteristics","type":"article-journal","volume":"34"},"uris":["http://www.mendeley.com/documents/?uuid=eefb5fda-bf58-317f-bf36-f9945599b97c"]}],"mendeley":{"formattedCitation":"(Shinnar et al. 2018; Shirokova, Osiyevskyy, and Bogatyreva 2016)","plainTextFormattedCitation":"(Shinnar et al. 2018; Shirokova, Osiyevskyy, and Bogatyreva 2016)","previouslyFormattedCitation":"(Shinnar et al. 2018; Shirokova, Osiyevskyy, and Bogatyreva 2016)"},"properties":{"noteIndex":0},"schema":"https://github.com/citation-style-language/schema/raw/master/csl-citation.json"}</w:instrText>
      </w:r>
      <w:r w:rsidR="00075A95">
        <w:rPr>
          <w:lang w:val="en-AU" w:eastAsia="en-AU"/>
        </w:rPr>
        <w:fldChar w:fldCharType="separate"/>
      </w:r>
      <w:r w:rsidR="00C75467" w:rsidRPr="00C75467">
        <w:rPr>
          <w:noProof/>
          <w:lang w:val="en-AU" w:eastAsia="en-AU"/>
        </w:rPr>
        <w:t>(Shinnar et al. 2018; Shirokova, Osiyevskyy, and Bogatyreva 2016)</w:t>
      </w:r>
      <w:r w:rsidR="00075A95">
        <w:rPr>
          <w:lang w:val="en-AU" w:eastAsia="en-AU"/>
        </w:rPr>
        <w:fldChar w:fldCharType="end"/>
      </w:r>
      <w:r w:rsidR="00CD7710">
        <w:rPr>
          <w:lang w:val="en-AU" w:eastAsia="en-AU"/>
        </w:rPr>
        <w:t xml:space="preserve">. </w:t>
      </w:r>
      <w:r w:rsidR="00423EBC">
        <w:rPr>
          <w:lang w:val="en-AU" w:eastAsia="en-AU"/>
        </w:rPr>
        <w:t>Extant research</w:t>
      </w:r>
      <w:r w:rsidR="00125773">
        <w:rPr>
          <w:lang w:val="en-AU" w:eastAsia="en-AU"/>
        </w:rPr>
        <w:t xml:space="preserve"> </w:t>
      </w:r>
      <w:r w:rsidR="00423EBC">
        <w:rPr>
          <w:lang w:val="en-AU" w:eastAsia="en-AU"/>
        </w:rPr>
        <w:t xml:space="preserve">on </w:t>
      </w:r>
      <w:r w:rsidR="00125773">
        <w:rPr>
          <w:lang w:val="en-AU" w:eastAsia="en-AU"/>
        </w:rPr>
        <w:t>d</w:t>
      </w:r>
      <w:r w:rsidR="00970BA8">
        <w:rPr>
          <w:lang w:val="en-AU" w:eastAsia="en-AU"/>
        </w:rPr>
        <w:t>rivers</w:t>
      </w:r>
      <w:r w:rsidR="00F65DCD">
        <w:rPr>
          <w:lang w:val="en-AU" w:eastAsia="en-AU"/>
        </w:rPr>
        <w:t xml:space="preserve">, </w:t>
      </w:r>
      <w:r w:rsidR="00970BA8">
        <w:rPr>
          <w:lang w:val="en-AU" w:eastAsia="en-AU"/>
        </w:rPr>
        <w:t>or motivations</w:t>
      </w:r>
      <w:r w:rsidR="00F65DCD">
        <w:rPr>
          <w:lang w:val="en-AU" w:eastAsia="en-AU"/>
        </w:rPr>
        <w:t>,</w:t>
      </w:r>
      <w:r w:rsidR="00970BA8">
        <w:rPr>
          <w:lang w:val="en-AU" w:eastAsia="en-AU"/>
        </w:rPr>
        <w:t xml:space="preserve"> to become an entrepreneur, </w:t>
      </w:r>
      <w:r w:rsidR="00776543">
        <w:rPr>
          <w:lang w:val="en-AU" w:eastAsia="en-AU"/>
        </w:rPr>
        <w:t xml:space="preserve">together with </w:t>
      </w:r>
      <w:r w:rsidR="00970BA8">
        <w:rPr>
          <w:lang w:val="en-AU" w:eastAsia="en-AU"/>
        </w:rPr>
        <w:t xml:space="preserve">barriers </w:t>
      </w:r>
      <w:r w:rsidR="00776543">
        <w:rPr>
          <w:lang w:val="en-AU" w:eastAsia="en-AU"/>
        </w:rPr>
        <w:t xml:space="preserve">and enablers, </w:t>
      </w:r>
      <w:r w:rsidR="00125773">
        <w:rPr>
          <w:lang w:val="en-AU" w:eastAsia="en-AU"/>
        </w:rPr>
        <w:t>can lead to a better understanding of the pipeline through university and into entrepreneurship</w:t>
      </w:r>
      <w:r>
        <w:rPr>
          <w:lang w:val="en-AU" w:eastAsia="en-AU"/>
        </w:rPr>
        <w:t xml:space="preserve">.  </w:t>
      </w:r>
    </w:p>
    <w:p w14:paraId="596E8C9A" w14:textId="17303221" w:rsidR="005871E6" w:rsidRPr="00C95F67" w:rsidRDefault="00026901" w:rsidP="005871E6">
      <w:pPr>
        <w:pStyle w:val="Paragraph"/>
        <w:rPr>
          <w:lang w:val="en-AU" w:eastAsia="en-AU"/>
        </w:rPr>
      </w:pPr>
      <w:r w:rsidRPr="003D0B31">
        <w:t xml:space="preserve">In terms of motivating factors (or drivers), </w:t>
      </w:r>
      <w:r w:rsidR="00F004AC">
        <w:t>t</w:t>
      </w:r>
      <w:r w:rsidR="00D32D52">
        <w:t xml:space="preserve">hese generally fall into push and pull categories </w:t>
      </w:r>
      <w:r w:rsidR="00607114">
        <w:t xml:space="preserve">serving to motivate individuals </w:t>
      </w:r>
      <w:r w:rsidR="00075A95">
        <w:fldChar w:fldCharType="begin" w:fldLock="1"/>
      </w:r>
      <w:r w:rsidR="00F35135">
        <w:instrText>ADDIN CSL_CITATION {"citationItems":[{"id":"ITEM-1","itemData":{"DOI":"10.1108/17566261011051026","ISBN":"0964942011039","ISSN":"17566274","PMID":"42012058","abstract":"The purpose of this paper is to explore and critically analyse the relationship between gender and entrepreneurial motivations theories in an Irish context. The paper examines potential differences in motivational factors for entering entrepreneurship between men and women, with a particular emphasis on the distinction between push and pull factors, but also with respect to other social factors such as being a parent, marital status or age. Design/methodology/approach - The paper draws upon data obtained from a national survey of 832 entrepreneurs undertaken in Ireland in 2003/2004. This survey is based on a sample of 3,498 Irish entrepreneurs, which was predominantly constructed using the Kompass Directory 2001 and the majority of the city and county enterprise boards throughout Ireland. The analysis relies on ordinal logistic modelling to examine the impact of gender and other social factors on entrepreneurial motivations. Findings - The paper shows that there is a strong gender effect on some motivational factors, but that gender itself needs to be examined along with other social factors in order to understand differences in motivations. In particular, marital status, being a parent and/or age, as well as their interaction with gender, are useful in explaining differences in pathways into entrepreneurship for men and women. Originality/value - Motivations and gender have been widely debated in the international literature on entrepreneurship, but relatively little is known about gender and entrepreneurship in an Irish context. This paper seeks to address this gap. The results will be useful to other researchers in the field of gender and entrepreneurship, as well as practitioners and business support agencies.","author":[{"dropping-particle":"","family":"Humbert","given":"Anne","non-dropping-particle":"","parse-names":false,"suffix":""},{"dropping-particle":"","family":"Drew","given":"Eileen","non-dropping-particle":"","parse-names":false,"suffix":""}],"container-title":"International Journal of Gender and Entrepreneurship","id":"ITEM-1","issued":{"date-parts":[["2010"]]},"title":"Gender, entrepreneurship and motivational factors in an Irish context","type":"article-journal"},"uris":["http://www.mendeley.com/documents/?uuid=032a65be-3fd9-3500-98b4-af6b5570053f"]}],"mendeley":{"formattedCitation":"(Humbert and Drew 2010)","plainTextFormattedCitation":"(Humbert and Drew 2010)","previouslyFormattedCitation":"(Humbert and Drew 2010)"},"properties":{"noteIndex":0},"schema":"https://github.com/citation-style-language/schema/raw/master/csl-citation.json"}</w:instrText>
      </w:r>
      <w:r w:rsidR="00075A95">
        <w:fldChar w:fldCharType="separate"/>
      </w:r>
      <w:r w:rsidR="00C75467" w:rsidRPr="00C75467">
        <w:rPr>
          <w:noProof/>
        </w:rPr>
        <w:t>(Humbert and Drew 2010)</w:t>
      </w:r>
      <w:r w:rsidR="00075A95">
        <w:fldChar w:fldCharType="end"/>
      </w:r>
      <w:r w:rsidR="00607114">
        <w:t xml:space="preserve">. Pull </w:t>
      </w:r>
      <w:r w:rsidR="00D32D52">
        <w:t xml:space="preserve">factors </w:t>
      </w:r>
      <w:r w:rsidR="00607114">
        <w:t>include</w:t>
      </w:r>
      <w:r w:rsidR="00D32D52">
        <w:t xml:space="preserve"> </w:t>
      </w:r>
      <w:r w:rsidR="00607114">
        <w:t>autonomy, personal satisfaction and</w:t>
      </w:r>
      <w:r w:rsidR="00D32D52">
        <w:t xml:space="preserve"> aspiration </w:t>
      </w:r>
      <w:r w:rsidR="00607114">
        <w:t>while</w:t>
      </w:r>
      <w:r w:rsidR="00D32D52">
        <w:t xml:space="preserve"> push factors </w:t>
      </w:r>
      <w:r w:rsidR="00607114">
        <w:t>include unemployment, redundancy and</w:t>
      </w:r>
      <w:r w:rsidR="00D32D52">
        <w:t xml:space="preserve"> dissatisfaction with the labour market</w:t>
      </w:r>
      <w:r w:rsidR="00607114">
        <w:t>.</w:t>
      </w:r>
      <w:r w:rsidR="00D32D52">
        <w:t xml:space="preserve"> </w:t>
      </w:r>
      <w:r w:rsidR="00FE063E">
        <w:t xml:space="preserve">Pull factors </w:t>
      </w:r>
      <w:r w:rsidR="008A5E6D">
        <w:t xml:space="preserve">are also framed as drive theories (internal motivations acting to </w:t>
      </w:r>
      <w:r w:rsidR="00607114">
        <w:t>encourage an</w:t>
      </w:r>
      <w:r w:rsidR="008A5E6D">
        <w:t xml:space="preserve"> individual to </w:t>
      </w:r>
      <w:r w:rsidR="00607114">
        <w:t xml:space="preserve">become an </w:t>
      </w:r>
      <w:r w:rsidR="008A5E6D">
        <w:t>entrepreneur) and incentive theories (motivation</w:t>
      </w:r>
      <w:r w:rsidR="0041423A">
        <w:t>s</w:t>
      </w:r>
      <w:r w:rsidR="008A5E6D">
        <w:t xml:space="preserve"> such as achievement </w:t>
      </w:r>
      <w:r w:rsidR="004A62E6">
        <w:t xml:space="preserve">potential </w:t>
      </w:r>
      <w:r w:rsidR="008A5E6D">
        <w:t xml:space="preserve">or prestige) </w:t>
      </w:r>
      <w:r w:rsidR="00075A95">
        <w:fldChar w:fldCharType="begin" w:fldLock="1"/>
      </w:r>
      <w:r w:rsidR="00F35135">
        <w:instrText>ADDIN CSL_CITATION {"citationItems":[{"id":"ITEM-1","itemData":{"author":[{"dropping-particle":"","family":"Carsrud","given":"Alan","non-dropping-particle":"","parse-names":false,"suffix":""},{"dropping-particle":"","family":"Brännback","given":"Malin","non-dropping-particle":"","parse-names":false,"suffix":""}],"container-title":"Journal of Small Business Management","id":"ITEM-1","issue":"1","issued":{"date-parts":[["2011"]]},"page":"9-26","title":"Entrepreneurial Motivations: What Do We Still Need to Know","type":"article-journal","volume":"49"},"uris":["http://www.mendeley.com/documents/?uuid=dd4fb6b9-4fda-3370-b4dc-50281ff4261a"]}],"mendeley":{"formattedCitation":"(Carsrud and Brännback 2011)","plainTextFormattedCitation":"(Carsrud and Brännback 2011)","previouslyFormattedCitation":"(Carsrud and Brännback 2011)"},"properties":{"noteIndex":0},"schema":"https://github.com/citation-style-language/schema/raw/master/csl-citation.json"}</w:instrText>
      </w:r>
      <w:r w:rsidR="00075A95">
        <w:fldChar w:fldCharType="separate"/>
      </w:r>
      <w:r w:rsidR="00C75467" w:rsidRPr="00C75467">
        <w:rPr>
          <w:noProof/>
        </w:rPr>
        <w:t>(Carsrud and Brännback 2011)</w:t>
      </w:r>
      <w:r w:rsidR="00075A95">
        <w:fldChar w:fldCharType="end"/>
      </w:r>
      <w:r w:rsidR="008A5E6D">
        <w:t xml:space="preserve">. </w:t>
      </w:r>
      <w:r w:rsidR="00D32D52">
        <w:t xml:space="preserve"> </w:t>
      </w:r>
      <w:r w:rsidR="005871E6">
        <w:t>The</w:t>
      </w:r>
      <w:r w:rsidR="008A5E6D">
        <w:t xml:space="preserve"> pull of prestige</w:t>
      </w:r>
      <w:r w:rsidR="005871E6">
        <w:t xml:space="preserve"> associated with being an entrepreneur</w:t>
      </w:r>
      <w:r w:rsidR="008A5E6D">
        <w:t xml:space="preserve">, </w:t>
      </w:r>
      <w:r w:rsidR="005871E6">
        <w:t>such as</w:t>
      </w:r>
      <w:r w:rsidR="008A5E6D">
        <w:t xml:space="preserve"> p</w:t>
      </w:r>
      <w:r w:rsidRPr="003D0B31">
        <w:t xml:space="preserve">ositive recognition </w:t>
      </w:r>
      <w:r w:rsidR="005871E6">
        <w:t>among family and wider society,</w:t>
      </w:r>
      <w:r w:rsidRPr="003D0B31">
        <w:t xml:space="preserve"> varies according to </w:t>
      </w:r>
      <w:r w:rsidR="00CD7710">
        <w:t xml:space="preserve">family background and gender </w:t>
      </w:r>
      <w:r w:rsidR="00CD7710">
        <w:rPr>
          <w:lang w:val="en-AU" w:eastAsia="en-AU"/>
        </w:rPr>
        <w:fldChar w:fldCharType="begin" w:fldLock="1"/>
      </w:r>
      <w:r w:rsidR="00CD7710">
        <w:rPr>
          <w:lang w:val="en-AU" w:eastAsia="en-AU"/>
        </w:rPr>
        <w:instrText>ADDIN CSL_CITATION {"citationItems":[{"id":"ITEM-1","itemData":{"DOI":"10.1111/j.1540-6520.2012.00509.x","ISBN":"1540-6520","ISSN":"10422587","PMID":"74547737","abstract":"This paper examines how culture and gender shape entrepreneurial perceptions and intentions within Hofstede's cultural dimensions framework and gender role theory. We test whether gender differences exist in the way university students in three nations perceive barriers to entrepreneurship and whether gender has a moderating effect on the relationship between perceived barriers and entrepreneurial intentions across nations. Findings indicate significant gender differences in barrier perceptions. However, this gap is not consistent across cultures. Also, a moderating effect of gender on the relationship between barriers and entrepreneurial intentions is identified. Implications for research and practice are discussed. [ABSTRACT FROM AUTHOR]","author":[{"dropping-particle":"","family":"Shinnar","given":"Rachel","non-dropping-particle":"","parse-names":false,"suffix":""},{"dropping-particle":"","family":"Giacomin","given":"Olivier","non-dropping-particle":"","parse-names":false,"suffix":""},{"dropping-particle":"","family":"Janssen","given":"Frank","non-dropping-particle":"","parse-names":false,"suffix":""}],"container-title":"Entrepreneurship: Theory and Practice","id":"ITEM-1","issue":"3","issued":{"date-parts":[["2012"]]},"page":"465-493","title":"Entrepreneurial Perceptions and Intentions: The Role of Gender and Culture","type":"article-journal","volume":"36"},"uris":["http://www.mendeley.com/documents/?uuid=63f401f8-2bd1-46e4-b6c0-bb7c6f6a49f2"]},{"id":"ITEM-2","itemData":{"DOI":"10.1108/13552550910995443","author":[{"dropping-particle":"","family":"Pruett","given":"Mark","non-dropping-particle":"","parse-names":false,"suffix":""},{"dropping-particle":"","family":"Shinnar","given":"Rachel","non-dropping-particle":"","parse-names":false,"suffix":""},{"dropping-particle":"","family":"Toney","given":"Bryan","non-dropping-particle":"","parse-names":false,"suffix":""},{"dropping-particle":"","family":"Llopis","given":"Francisco","non-dropping-particle":"","parse-names":false,"suffix":""},{"dropping-particle":"","family":"Fox","given":"Jerry","non-dropping-particle":"","parse-names":false,"suffix":""}],"container-title":"International Journal of Entrepreneurial Behavior and Research","id":"ITEM-2","issue":"6","issued":{"date-parts":[["2009"]]},"page":"571-594","title":"Explaining entrepreneurial intentions of university students: a cross-cultural study Article information","type":"article-journal","volume":"15"},"uris":["http://www.mendeley.com/documents/?uuid=3c221859-7689-359c-b4e7-44be693bdf79"]}],"mendeley":{"formattedCitation":"(Shinnar, Giacomin, and Janssen 2012; Pruett et al. 2009)","plainTextFormattedCitation":"(Shinnar, Giacomin, and Janssen 2012; Pruett et al. 2009)","previouslyFormattedCitation":"(Shinnar, Giacomin, and Janssen 2012; Pruett et al. 2009)"},"properties":{"noteIndex":0},"schema":"https://github.com/citation-style-language/schema/raw/master/csl-citation.json"}</w:instrText>
      </w:r>
      <w:r w:rsidR="00CD7710">
        <w:rPr>
          <w:lang w:val="en-AU" w:eastAsia="en-AU"/>
        </w:rPr>
        <w:fldChar w:fldCharType="separate"/>
      </w:r>
      <w:r w:rsidR="00CD7710" w:rsidRPr="00C75467">
        <w:rPr>
          <w:noProof/>
          <w:lang w:val="en-AU" w:eastAsia="en-AU"/>
        </w:rPr>
        <w:t>(Shinnar, Giacomin, and Janssen 2012; Pruett et al. 2009)</w:t>
      </w:r>
      <w:r w:rsidR="00CD7710">
        <w:rPr>
          <w:lang w:val="en-AU" w:eastAsia="en-AU"/>
        </w:rPr>
        <w:fldChar w:fldCharType="end"/>
      </w:r>
      <w:r w:rsidR="00CD7710">
        <w:rPr>
          <w:lang w:val="en-AU" w:eastAsia="en-AU"/>
        </w:rPr>
        <w:t>.</w:t>
      </w:r>
      <w:r w:rsidRPr="003D0B31">
        <w:t xml:space="preserve"> </w:t>
      </w:r>
      <w:r w:rsidR="004A62E6">
        <w:t>S</w:t>
      </w:r>
      <w:r w:rsidR="0005300F" w:rsidRPr="003D0B31">
        <w:t>ome qualities</w:t>
      </w:r>
      <w:r w:rsidR="004A62E6">
        <w:t xml:space="preserve"> (or traits)</w:t>
      </w:r>
      <w:r w:rsidR="0005300F" w:rsidRPr="003D0B31">
        <w:t xml:space="preserve"> identified </w:t>
      </w:r>
      <w:r w:rsidR="0005300F" w:rsidRPr="007E58E4">
        <w:t>as</w:t>
      </w:r>
      <w:r w:rsidR="0005300F" w:rsidRPr="003D0B31">
        <w:t xml:space="preserve"> associated with </w:t>
      </w:r>
      <w:r w:rsidR="000B4DD8" w:rsidRPr="003D0B31">
        <w:t>entrepreneurship</w:t>
      </w:r>
      <w:r w:rsidR="00A81018">
        <w:t xml:space="preserve"> </w:t>
      </w:r>
      <w:r w:rsidR="0005300F" w:rsidRPr="003D0B31">
        <w:t>can be the result of growing up in an environment (both national and domestic)</w:t>
      </w:r>
      <w:r w:rsidR="004A62E6">
        <w:t xml:space="preserve"> </w:t>
      </w:r>
      <w:r w:rsidR="005871E6">
        <w:t xml:space="preserve">with a  </w:t>
      </w:r>
      <w:r w:rsidR="005871E6">
        <w:rPr>
          <w:lang w:val="en-AU" w:eastAsia="en-AU"/>
        </w:rPr>
        <w:t>culture that</w:t>
      </w:r>
      <w:r w:rsidR="005871E6" w:rsidRPr="003D0B31">
        <w:rPr>
          <w:lang w:val="en-AU" w:eastAsia="en-AU"/>
        </w:rPr>
        <w:t xml:space="preserve"> view</w:t>
      </w:r>
      <w:r w:rsidR="005871E6">
        <w:rPr>
          <w:lang w:val="en-AU" w:eastAsia="en-AU"/>
        </w:rPr>
        <w:t>s</w:t>
      </w:r>
      <w:r w:rsidR="005871E6" w:rsidRPr="003D0B31">
        <w:rPr>
          <w:lang w:val="en-AU" w:eastAsia="en-AU"/>
        </w:rPr>
        <w:t xml:space="preserve"> entrepreneurship positively</w:t>
      </w:r>
      <w:r w:rsidR="00FE063E">
        <w:rPr>
          <w:lang w:val="en-AU" w:eastAsia="en-AU"/>
        </w:rPr>
        <w:t>,</w:t>
      </w:r>
      <w:r w:rsidR="00A81018">
        <w:rPr>
          <w:lang w:val="en-AU" w:eastAsia="en-AU"/>
        </w:rPr>
        <w:t xml:space="preserve"> affect</w:t>
      </w:r>
      <w:r w:rsidR="0041423A">
        <w:rPr>
          <w:lang w:val="en-AU" w:eastAsia="en-AU"/>
        </w:rPr>
        <w:t>ing</w:t>
      </w:r>
      <w:r w:rsidR="00A81018">
        <w:rPr>
          <w:lang w:val="en-AU" w:eastAsia="en-AU"/>
        </w:rPr>
        <w:t xml:space="preserve"> entrepreneurial intention</w:t>
      </w:r>
      <w:r w:rsidR="005446D9">
        <w:t xml:space="preserve"> </w:t>
      </w:r>
      <w:r w:rsidR="005446D9">
        <w:fldChar w:fldCharType="begin" w:fldLock="1"/>
      </w:r>
      <w:r w:rsidR="00F35135">
        <w:instrText xml:space="preserve">ADDIN CSL_CITATION {"citationItems":[{"id":"ITEM-1","itemData":{"DOI":"10.1016/j.intman.2010.09.006","abstract":"Building on a large-scale survey study in Germany and China, this research develops and validates a model of internal variables fostering entrepreneurial orientation. The objective of the research is to understand whether organizational mechanisms, such as organizational structure or leadership style that underlie entrepreneurial organizations are universal or are contingent on national culture. The findings of this study indicate that some components are universal and some are contingent on culture. For instance, cross-functional integration, consideration, and development culture impact most dimensions of entrepreneurial orientation across cultures positively, whereas centralization does so negatively, suggesting strong similarities of entrepreneurial organizations. On the other hand, participation exerts an influence on entrepreneurial orientation only in Germany. There are also differences in the strength of relationships: cross-functional integration and consideration have stronger effects in China than in Germany. One major implication is that commonalities of entrepreneurial organizations are generally not strong enough to completely outweigh the influences of national culture. This research may help managers to foster the degree of entrepreneurial orientation in their businesses that operate internationally.","author":[{"dropping-particle":"","family":"Engelen","given":"Andreas","non-dropping-particle":"","parse-names":false,"suffix":""}],"container-title":"Journal of International Management Entrepreneurial","id":"ITEM-1","issue":"4","issued":{"date-parts":[["2010"]]},"page":"354-368","title":"Entrepreneurial orientation as a function of national cultural variations in two countries","type":"article-journal","volume":"16"},"uris":["http://www.mendeley.com/documents/?uuid=c4e41edc-0a15-3fbb-9473-3015d1ebcf12"]},{"id":"ITEM-2","itemData":{"DOI":"10.1016/j.jbusvent.2008.10.008","abstract":"This research examined the effects of social capital on entrepreneurial opportunity perception and weak tie investment using individual-level data from the Global Entrepreneurship Monitor linked with national-level data on social capital. Consistent with a social capital perspective, this study found that a resident of a country with higher generalized trust and breadth of formal organizational memberships was more likely to perceive entrepreneurial opportunities. A resident of a country with higher generalized trust was also more likely to invest in an entrepreneur with whom he or she had a weak personal tie than was a resident of a country with lesser generalized trust. Published by Elsevier Inc. Keywords: Social capital Entrepreneurial opportunity perception Weak tie investment Cross-national study 1. Executive summary Current research on entrepreneurship clearly documents the importance of social capital, stressing the ways in which individuals take advantage of their own social affiliations and network strategies in pursuit of their entrepreneurial goals (for a review, see Hoang and Antoncic, 2003). While this focus on personal networks of individual entrepreneurs has yielded valuable insights for understanding entrepreneurship at the individual level, we know relatively little about whether social capital at the societal level contributes to entrepreneurial activities in different countries. To address this gap, we pose these research questions: Do features of social capital at the country level explain cross-national variation in (1) entrepreneurial opportunity perception and (2) weak tie investment (i.e., investment in an entrepreneur with a weak personal tie to the investor)? We define national social capital as a resource reflecting the character of social relations within the nation, expressed in residents' levels of generalized trust and breadth of formal organization memberships (e.g., Knack and Keefer, 1997; La Porta et al., 1997; Paxton, 1999). We explored the influence of national social capital on entrepreneurial activities using data from the Global Entrepreneurship Monitor (GEM) project linked with social capital data from the World Values Survey (WVS) and other country-level data from multiple sources. Multi-level modeling that included country-level control variables (e.g., GDP, ethnic and cultural diversity, and availability of institutional loans) as well as individual-level variables (e.g., demographic and person-specific attribu…","author":[{"dropping-particle":"","family":"Kwon","given":"Seok-Woo","non-dropping-particle":"","parse-names":false,"suffix":""},{"dropping-particle":"","family":"Arenius","given":"Pia","non-dropping-particle":"","parse-names":false,"suffix":""}],"container-title":"Journal of Business Venturing","id":"ITEM-2","issue":"3","issued":{"date-parts":[["2010"]]},"page":"315-330","title":"Nations of entrepreneurs: A social capital perspective </w:instrText>
      </w:r>
      <w:r w:rsidR="00F35135">
        <w:rPr>
          <w:rFonts w:ascii="Segoe UI Symbol" w:hAnsi="Segoe UI Symbol" w:cs="Segoe UI Symbol"/>
        </w:rPr>
        <w:instrText>☆</w:instrText>
      </w:r>
      <w:r w:rsidR="00F35135">
        <w:instrText>","type":"article-journal","volume":"25"},"uris":["http://www.mendeley.com/documents/?uuid=3f1e274b-1e2b-35b2-b155-3363511e3081"]}],"mendeley":{"formattedCitation":"(Engelen 2010; Kwon and Arenius 2010)","plainTextFormattedCitation":"(Engelen 2010; Kwon and Arenius 2010)","previouslyFormattedCitation":"(Engelen 2010; Kwon and Arenius 2010)"},"properties":{"noteIndex":0},"schema":"https://github.com/citation-style-language/schema/raw/master/csl-citation.json"}</w:instrText>
      </w:r>
      <w:r w:rsidR="005446D9">
        <w:fldChar w:fldCharType="separate"/>
      </w:r>
      <w:r w:rsidR="00C75467" w:rsidRPr="00C75467">
        <w:rPr>
          <w:noProof/>
        </w:rPr>
        <w:t>(Engelen 2010; Kwon and Arenius 2010)</w:t>
      </w:r>
      <w:r w:rsidR="005446D9">
        <w:fldChar w:fldCharType="end"/>
      </w:r>
      <w:r w:rsidR="000540FD" w:rsidRPr="003D0B31">
        <w:rPr>
          <w:lang w:val="en-AU" w:eastAsia="en-AU"/>
        </w:rPr>
        <w:t>.</w:t>
      </w:r>
      <w:r w:rsidR="000540FD" w:rsidRPr="003D0B31">
        <w:t xml:space="preserve"> </w:t>
      </w:r>
      <w:r w:rsidR="005871E6" w:rsidRPr="005871E6">
        <w:t xml:space="preserve"> </w:t>
      </w:r>
      <w:r w:rsidR="00A81018">
        <w:t>So w</w:t>
      </w:r>
      <w:r w:rsidR="005871E6" w:rsidRPr="003D0B31">
        <w:t xml:space="preserve">hile </w:t>
      </w:r>
      <w:r w:rsidR="005871E6">
        <w:t>Miller</w:t>
      </w:r>
      <w:r w:rsidR="005871E6" w:rsidRPr="003D0B31">
        <w:t xml:space="preserve"> </w:t>
      </w:r>
      <w:r w:rsidR="005871E6">
        <w:fldChar w:fldCharType="begin" w:fldLock="1"/>
      </w:r>
      <w:r w:rsidR="00F35135">
        <w:instrText>ADDIN CSL_CITATION {"citationItems":[{"id":"ITEM-1","itemData":{"DOI":"10.1111/etap.12130","ISBN":"1540-6520","ISSN":"10422587","abstract":"The literature on entrepreneurship bears a distinctly positive cast, often with good reason. Entrepreneurs and their innovations have contributed enormously to national wealth, and so scholars have examined the personalities, capabilities, and contexts underlying these con- tributions. However, despite some early work, the negative aspects of the entrepreneurial personality have been largely ignored.We shall argue that given the nature of the challenges facing many entrepreneurs and the consequent demands of their jobs, certain personality traits will be quite valuable to them. These, however, tend to be Janus-faced in that positive attributes, such as energy, self-confidence, need for achievement, and independence, may sometimes devolve naturally into aggressiveness, narcissism, ruthlessness, and irrespon- sibility. Given the costly repercussions of the latter characteristics, we urge more study of their nature and causes among entrepreneurs.","author":[{"dropping-particle":"","family":"Miller","given":"Danny","non-dropping-particle":"","parse-names":false,"suffix":""}],"container-title":"Entrepreneurship: Theory and Practice","id":"ITEM-1","issue":"1","issued":{"date-parts":[["2015"]]},"page":"1-8","title":"A Downside to the Entrepreneurial Personality?","type":"article-journal","volume":"39"},"suppress-author":1,"uris":["http://www.mendeley.com/documents/?uuid=2e4ec5be-f56d-4154-8d89-960eddcb7872"]}],"mendeley":{"formattedCitation":"(2015)","plainTextFormattedCitation":"(2015)","previouslyFormattedCitation":"(2015)"},"properties":{"noteIndex":0},"schema":"https://github.com/citation-style-language/schema/raw/master/csl-citation.json"}</w:instrText>
      </w:r>
      <w:r w:rsidR="005871E6">
        <w:fldChar w:fldCharType="separate"/>
      </w:r>
      <w:r w:rsidR="005871E6" w:rsidRPr="00024BF5">
        <w:rPr>
          <w:noProof/>
        </w:rPr>
        <w:t>(2015)</w:t>
      </w:r>
      <w:r w:rsidR="005871E6">
        <w:fldChar w:fldCharType="end"/>
      </w:r>
      <w:r w:rsidR="005871E6">
        <w:t xml:space="preserve"> identifies </w:t>
      </w:r>
      <w:r w:rsidR="005871E6" w:rsidRPr="003D0B31">
        <w:t>self-confidence, a need for achievement, and a desire for independence, these characteristics may not be valued equally by all genders in all cultures.</w:t>
      </w:r>
      <w:r w:rsidR="005871E6" w:rsidRPr="004A62E6">
        <w:rPr>
          <w:lang w:val="en-AU" w:eastAsia="en-AU"/>
        </w:rPr>
        <w:t xml:space="preserve"> </w:t>
      </w:r>
      <w:r w:rsidR="00423EBC" w:rsidRPr="00E01A9C">
        <w:rPr>
          <w:lang w:val="en-AU" w:eastAsia="en-AU"/>
        </w:rPr>
        <w:t xml:space="preserve">Prior studies into the impact of gender and entrepreneurship indicate that while female participation varies across countries, </w:t>
      </w:r>
      <w:r w:rsidR="00423EBC">
        <w:rPr>
          <w:lang w:val="en-AU" w:eastAsia="en-AU"/>
        </w:rPr>
        <w:t xml:space="preserve">women generally report lower entrepreneurial intentions </w:t>
      </w:r>
      <w:r w:rsidR="00423EBC">
        <w:rPr>
          <w:lang w:val="en-AU" w:eastAsia="en-AU"/>
        </w:rPr>
        <w:lastRenderedPageBreak/>
        <w:fldChar w:fldCharType="begin" w:fldLock="1"/>
      </w:r>
      <w:r w:rsidR="00423EBC">
        <w:rPr>
          <w:lang w:val="en-AU" w:eastAsia="en-AU"/>
        </w:rPr>
        <w:instrText>ADDIN CSL_CITATION {"citationItems":[{"id":"ITEM-1","itemData":{"DOI":"10.1037/0021-9010.90.6.1265","abstract":"The purpose of this study was to investigate the mediating role of self-efficacy in the development of students' intentions to become entrepreneurs. The authors used structural equation modeling with a sample of 265 master of business administration students across 5 universities to test their hypotheses. The results showed that the effects of perceived learning from entrepreneurship-related courses, previous entrepreneurial experience, and risk propensity on entrepreneurial intentions were fully mediated by entrepreneurial self-efficacy. Contrary to expectations, gender was not mediated by self-efficacy but had a direct effect such that women reported lower entrepreneurial career intentions. The authors discuss practical implications and directions for future research.","author":[{"dropping-particle":"","family":"Zhao","given":"Hao","non-dropping-particle":"","parse-names":false,"suffix":""},{"dropping-particle":"","family":"Seibert","given":"Scott E","non-dropping-particle":"","parse-names":false,"suffix":""},{"dropping-particle":"","family":"Hills","given":"Gerald E","non-dropping-particle":"","parse-names":false,"suffix":""}],"container-title":"Journal of Applied Psychology","id":"ITEM-1","issue":"6","issued":{"date-parts":[["2005"]]},"page":"1265-1272","title":"The Mediating Role of Self-Efficacy in the Development of Entrepreneurial Intentions","type":"article-journal","volume":"90"},"uris":["http://www.mendeley.com/documents/?uuid=ed8a8efc-92c9-3c68-8e84-fa68d4cbc39c"]},{"id":"ITEM-2","itemData":{"DOI":"10.1111/jsbm.12129","ISBN":"00472778 (ISSN)","ISSN":"1540627X","abstract":"This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 © 2014 International Council for Small Business.","author":[{"dropping-particle":"","family":"Santos","given":"Francisco J.","non-dropping-particle":"","parse-names":false,"suffix":""},{"dropping-particle":"","family":"Roomi","given":"Muhammad Azam","non-dropping-particle":"","parse-names":false,"suffix":""},{"dropping-particle":"","family":"Liñán","given":"Francisco","non-dropping-particle":"","parse-names":false,"suffix":""}],"container-title":"Journal of Small Business Management","id":"ITEM-2","issue":"1","issued":{"date-parts":[["2016"]]},"page":"49-66","title":"About Gender Differences and the Social Environment in the Development of Entrepreneurial Intentions","type":"article-journal","volume":"54"},"uris":["http://www.mendeley.com/documents/?uuid=55bc83bd-c82a-41d0-8be3-d705c9e288cc"]}],"mendeley":{"formattedCitation":"(Zhao, Seibert, and Hills 2005; Santos, Roomi, and Liñán 2016)","plainTextFormattedCitation":"(Zhao, Seibert, and Hills 2005; Santos, Roomi, and Liñán 2016)","previouslyFormattedCitation":"(Zhao, Seibert, and Hills 2005; Santos, Roomi, and Liñán 2016)"},"properties":{"noteIndex":0},"schema":"https://github.com/citation-style-language/schema/raw/master/csl-citation.json"}</w:instrText>
      </w:r>
      <w:r w:rsidR="00423EBC">
        <w:rPr>
          <w:lang w:val="en-AU" w:eastAsia="en-AU"/>
        </w:rPr>
        <w:fldChar w:fldCharType="separate"/>
      </w:r>
      <w:r w:rsidR="00423EBC" w:rsidRPr="00C75467">
        <w:rPr>
          <w:noProof/>
          <w:lang w:val="en-AU" w:eastAsia="en-AU"/>
        </w:rPr>
        <w:t>(Zhao, Seibert, and Hills 2005; Santos, Roomi, and Liñán 2016)</w:t>
      </w:r>
      <w:r w:rsidR="00423EBC">
        <w:rPr>
          <w:lang w:val="en-AU" w:eastAsia="en-AU"/>
        </w:rPr>
        <w:fldChar w:fldCharType="end"/>
      </w:r>
      <w:r w:rsidR="00423EBC">
        <w:rPr>
          <w:lang w:val="en-AU" w:eastAsia="en-AU"/>
        </w:rPr>
        <w:t xml:space="preserve">  and </w:t>
      </w:r>
      <w:r w:rsidR="00423EBC" w:rsidRPr="00E01A9C">
        <w:rPr>
          <w:lang w:val="en-AU" w:eastAsia="en-AU"/>
        </w:rPr>
        <w:t>female rates</w:t>
      </w:r>
      <w:r w:rsidR="00946009">
        <w:rPr>
          <w:lang w:val="en-AU" w:eastAsia="en-AU"/>
        </w:rPr>
        <w:t xml:space="preserve"> of entrepreneurship</w:t>
      </w:r>
      <w:r w:rsidR="00423EBC" w:rsidRPr="00E01A9C">
        <w:rPr>
          <w:lang w:val="en-AU" w:eastAsia="en-AU"/>
        </w:rPr>
        <w:t xml:space="preserve"> are nearly always less than those of males</w:t>
      </w:r>
      <w:r w:rsidR="00423EBC">
        <w:rPr>
          <w:lang w:val="en-AU" w:eastAsia="en-AU"/>
        </w:rPr>
        <w:t xml:space="preserve"> </w:t>
      </w:r>
      <w:r w:rsidR="00423EBC">
        <w:rPr>
          <w:lang w:val="en-AU" w:eastAsia="en-AU"/>
        </w:rPr>
        <w:fldChar w:fldCharType="begin" w:fldLock="1"/>
      </w:r>
      <w:r w:rsidR="00423EBC">
        <w:rPr>
          <w:lang w:val="en-AU" w:eastAsia="en-AU"/>
        </w:rPr>
        <w:instrText>ADDIN CSL_CITATION {"citationItems":[{"id":"ITEM-1","itemData":{"DOI":"10.1177/0190272510377882","abstract":"The gender gap in entrepreneurship has typically been understood through women's structural disadvantages in acquiring the resources relevant for successful business ownership. This study builds on resource-based approaches to investigate how cultural beliefs about gender influence the process by which individuals initially come to identify entrepreneurship as a viable labor-market option. Drawing on status characteristics theory, this study evaluates (1) how cultural beliefs about gender and entrepreneurship influence self-assessments of entrepreneurial ability, and (2) the extent to which such assessments account for the gender gap in business start-ups. Results suggest that women are significantly less likely to perceive themselves as able to be an entrepreneur and they hold themselves to a stricter standard of competence when compared to similarly situated men. This gender difference in self-assessments accounts for a significant portion of the gender gap in entrepreneurship after controlling for relevant resources. Additional analyses reveal that significant gender differences in self-assessed ability persist among established business owners.","author":[{"dropping-particle":"","family":"Thébaud","given":"Sarah","non-dropping-particle":"","parse-names":false,"suffix":""}],"container-title":"Social Psychology Quarterly","id":"ITEM-1","issue":"3","issued":{"date-parts":[["2010"]]},"page":"288-304","title":"Gender and Entrepreneurship as a Career Choice: Do Self-assessments of Ability Matter?","type":"article-journal","volume":"73"},"uris":["http://www.mendeley.com/documents/?uuid=a2472bd2-f6d7-36a9-b99f-d8bbed4de693"]},{"id":"ITEM-2","itemData":{"DOI":"10.1037/a0029168","ISSN":"1939-0599","author":[{"dropping-particle":"","family":"Schoon","given":"Ingrid","non-dropping-particle":"","parse-names":false,"suffix":""},{"dropping-particle":"","family":"Duckworth","given":"Kathryn","non-dropping-particle":"","parse-names":false,"suffix":""}],"container-title":"Developmental Psychology","id":"ITEM-2","issue":"6","issued":{"date-parts":[["2012"]]},"page":"1719-1726","title":"Who becomes an entrepreneur? Early life experiences as predictors of entrepreneurship.","type":"article-journal","volume":"48"},"uris":["http://www.mendeley.com/documents/?uuid=46c32663-5b4c-456e-9ab1-7d01c6c5ec81"]},{"id":"ITEM-3","itemData":{"DOI":"10.1111/j.1540-6520.2007.00179.x","author":[{"dropping-particle":"","family":"Wilson","given":"Fiona","non-dropping-particle":"","parse-names":false,"suffix":""},{"dropping-particle":"","family":"Kickul","given":"Jill","non-dropping-particle":"","parse-names":false,"suffix":""},{"dropping-particle":"","family":"Marlino","given":"Deborah","non-dropping-particle":"","parse-names":false,"suffix":""}],"container-title":"Education","id":"ITEM-3","issue":"617","issued":{"date-parts":[["2007"]]},"page":"387-407","title":"Gender, Entrepreneurial Self-Efficacy, and Entrepreneurial Career Intentions: Implications for Entrepreneurship Education","type":"article-journal"},"uris":["http://www.mendeley.com/documents/?uuid=aa497a86-d90e-436a-9eb5-58ca6ac3c1e6"]}],"mendeley":{"formattedCitation":"(Thébaud 2010; Schoon and Duckworth 2012; Wilson, Kickul, and Marlino 2007)","plainTextFormattedCitation":"(Thébaud 2010; Schoon and Duckworth 2012; Wilson, Kickul, and Marlino 2007)","previouslyFormattedCitation":"(Lim and Envick 2013; Thébaud 2010; Schoon and Duckworth 2012; Wilson, Kickul, and Marlino 2007)"},"properties":{"noteIndex":0},"schema":"https://github.com/citation-style-language/schema/raw/master/csl-citation.json"}</w:instrText>
      </w:r>
      <w:r w:rsidR="00423EBC">
        <w:rPr>
          <w:lang w:val="en-AU" w:eastAsia="en-AU"/>
        </w:rPr>
        <w:fldChar w:fldCharType="separate"/>
      </w:r>
      <w:r w:rsidR="00423EBC" w:rsidRPr="00541B28">
        <w:rPr>
          <w:noProof/>
          <w:lang w:val="en-AU" w:eastAsia="en-AU"/>
        </w:rPr>
        <w:t>(Thébaud 2010; Schoon and Duckworth 2012; Wilson, Kickul, and Marlino 2007)</w:t>
      </w:r>
      <w:r w:rsidR="00423EBC">
        <w:rPr>
          <w:lang w:val="en-AU" w:eastAsia="en-AU"/>
        </w:rPr>
        <w:fldChar w:fldCharType="end"/>
      </w:r>
      <w:r w:rsidR="00423EBC">
        <w:rPr>
          <w:lang w:val="en-AU" w:eastAsia="en-AU"/>
        </w:rPr>
        <w:t xml:space="preserve"> </w:t>
      </w:r>
      <w:r w:rsidR="00423EBC" w:rsidRPr="00C67ABF">
        <w:rPr>
          <w:lang w:val="en-AU" w:eastAsia="en-AU"/>
        </w:rPr>
        <w:t xml:space="preserve">including for IT entrepreneurship </w:t>
      </w:r>
      <w:r w:rsidR="00423EBC" w:rsidRPr="00C67ABF">
        <w:rPr>
          <w:lang w:val="en-AU" w:eastAsia="en-AU"/>
        </w:rPr>
        <w:fldChar w:fldCharType="begin" w:fldLock="1"/>
      </w:r>
      <w:r w:rsidR="00423EBC">
        <w:rPr>
          <w:lang w:val="en-AU" w:eastAsia="en-AU"/>
        </w:rPr>
        <w:instrText>ADDIN CSL_CITATION {"citationItems":[{"id":"ITEM-1","itemData":{"DOI":"10.1504/IJESB.2009.023020","author":[{"dropping-particle":"","family":"Frank","given":"Robert","non-dropping-particle":"","parse-names":false,"suffix":""},{"dropping-particle":"","family":"Marques","given":"Pierre","non-dropping-particle":"","parse-names":false,"suffix":""},{"dropping-particle":"","family":"Lasch","given":"Frank","non-dropping-particle":"","parse-names":false,"suffix":""}],"container-title":"International Journal of Entrepreneurship and Small Business","id":"ITEM-1","issue":"3","issued":{"date-parts":[["2009"]]},"page":"258-283","title":"Entrepreneurship in emerging high-tech industries : ICT entrepreneurs between experts and kamikazes Entrepreneurship in emerging high-tech industries : ICT entrepreneurs between experts and kamikazes Frank Robert , Pierre Marquès Frédéric Le Roy","type":"article-journal","volume":"7"},"uris":["http://www.mendeley.com/documents/?uuid=27bbc79b-470c-4d9f-a75d-a0cfb52c1872"]}],"mendeley":{"formattedCitation":"(Frank, Marques, and Lasch 2009)","plainTextFormattedCitation":"(Frank, Marques, and Lasch 2009)","previouslyFormattedCitation":"(Frank, Marques, and Lasch 2009)"},"properties":{"noteIndex":0},"schema":"https://github.com/citation-style-language/schema/raw/master/csl-citation.json"}</w:instrText>
      </w:r>
      <w:r w:rsidR="00423EBC" w:rsidRPr="00C67ABF">
        <w:rPr>
          <w:lang w:val="en-AU" w:eastAsia="en-AU"/>
        </w:rPr>
        <w:fldChar w:fldCharType="separate"/>
      </w:r>
      <w:r w:rsidR="00423EBC" w:rsidRPr="00C67ABF">
        <w:rPr>
          <w:noProof/>
          <w:lang w:val="en-AU" w:eastAsia="en-AU"/>
        </w:rPr>
        <w:t>(Frank, Marques, and Lasch 2009)</w:t>
      </w:r>
      <w:r w:rsidR="00423EBC" w:rsidRPr="00C67ABF">
        <w:rPr>
          <w:lang w:val="en-AU" w:eastAsia="en-AU"/>
        </w:rPr>
        <w:fldChar w:fldCharType="end"/>
      </w:r>
      <w:r w:rsidR="00423EBC" w:rsidRPr="00C67ABF">
        <w:rPr>
          <w:lang w:val="en-AU" w:eastAsia="en-AU"/>
        </w:rPr>
        <w:t xml:space="preserve">. </w:t>
      </w:r>
    </w:p>
    <w:p w14:paraId="0114E4FD" w14:textId="2EE80955" w:rsidR="003D0B31" w:rsidRPr="00C95F67" w:rsidRDefault="00332EFB" w:rsidP="00956926">
      <w:pPr>
        <w:pStyle w:val="Paragraph"/>
        <w:rPr>
          <w:lang w:val="en-AU" w:eastAsia="en-AU"/>
        </w:rPr>
      </w:pPr>
      <w:r w:rsidRPr="003D0B31">
        <w:t>In</w:t>
      </w:r>
      <w:r w:rsidR="00B13C99" w:rsidRPr="003D0B31">
        <w:rPr>
          <w:lang w:val="en-AU" w:eastAsia="en-AU"/>
        </w:rPr>
        <w:t xml:space="preserve"> </w:t>
      </w:r>
      <w:r w:rsidR="003D0B31" w:rsidRPr="003D0B31">
        <w:rPr>
          <w:lang w:val="en-AU" w:eastAsia="en-AU"/>
        </w:rPr>
        <w:t>terms of barriers,</w:t>
      </w:r>
      <w:r w:rsidR="008B69E4">
        <w:rPr>
          <w:lang w:val="en-AU" w:eastAsia="en-AU"/>
        </w:rPr>
        <w:t xml:space="preserve"> </w:t>
      </w:r>
      <w:r w:rsidR="008B69E4" w:rsidRPr="007E58E4">
        <w:t>Smith</w:t>
      </w:r>
      <w:r w:rsidR="008B69E4">
        <w:rPr>
          <w:lang w:val="en-AU" w:eastAsia="en-AU"/>
        </w:rPr>
        <w:t xml:space="preserve"> and Beasley’s</w:t>
      </w:r>
      <w:r w:rsidR="003D0B31" w:rsidRPr="003D0B31">
        <w:rPr>
          <w:lang w:val="en-AU" w:eastAsia="en-AU"/>
        </w:rPr>
        <w:t xml:space="preserve"> </w:t>
      </w:r>
      <w:r w:rsidR="008B69E4">
        <w:rPr>
          <w:lang w:val="en-AU" w:eastAsia="en-AU"/>
        </w:rPr>
        <w:fldChar w:fldCharType="begin" w:fldLock="1"/>
      </w:r>
      <w:r w:rsidR="00F35135">
        <w:rPr>
          <w:lang w:val="en-AU" w:eastAsia="en-AU"/>
        </w:rPr>
        <w:instrText>ADDIN CSL_CITATION {"citationItems":[{"id":"ITEM-1","itemData":{"DOI":"10.1108/00400911111185044","ISSN":"0040-0912","author":[{"dropping-particle":"","family":"Smith","given":"Kelly","non-dropping-particle":"","parse-names":false,"suffix":""},{"dropping-particle":"","family":"Beasley","given":"Martin","non-dropping-particle":"","parse-names":false,"suffix":""}],"container-title":"Education + Training","editor":[{"dropping-particle":"","family":"Matlay","given":"Harry","non-dropping-particle":"","parse-names":false,"suffix":""}],"id":"ITEM-1","issue":"8/9","issued":{"date-parts":[["2011","11","22"]]},"page":"722-740","title":"Graduate entrepreneurs: intentions, barriers and solutions","type":"article-journal","volume":"53"},"suppress-author":1,"uris":["http://www.mendeley.com/documents/?uuid=911bd13d-52bd-4760-ad6f-5d51ae99c0a0"]}],"mendeley":{"formattedCitation":"(2011)","plainTextFormattedCitation":"(2011)","previouslyFormattedCitation":"(2011)"},"properties":{"noteIndex":0},"schema":"https://github.com/citation-style-language/schema/raw/master/csl-citation.json"}</w:instrText>
      </w:r>
      <w:r w:rsidR="008B69E4">
        <w:rPr>
          <w:lang w:val="en-AU" w:eastAsia="en-AU"/>
        </w:rPr>
        <w:fldChar w:fldCharType="separate"/>
      </w:r>
      <w:r w:rsidR="00C75467" w:rsidRPr="00C75467">
        <w:rPr>
          <w:noProof/>
          <w:lang w:val="en-AU" w:eastAsia="en-AU"/>
        </w:rPr>
        <w:t>(2011)</w:t>
      </w:r>
      <w:r w:rsidR="008B69E4">
        <w:rPr>
          <w:lang w:val="en-AU" w:eastAsia="en-AU"/>
        </w:rPr>
        <w:fldChar w:fldCharType="end"/>
      </w:r>
      <w:r w:rsidR="004A62E6" w:rsidRPr="00E01A9C">
        <w:rPr>
          <w:lang w:val="en-AU" w:eastAsia="en-AU"/>
        </w:rPr>
        <w:t xml:space="preserve"> study of </w:t>
      </w:r>
      <w:r w:rsidR="004A62E6">
        <w:rPr>
          <w:lang w:val="en-AU" w:eastAsia="en-AU"/>
        </w:rPr>
        <w:t xml:space="preserve">digital industry </w:t>
      </w:r>
      <w:r w:rsidR="004A62E6" w:rsidRPr="00E01A9C">
        <w:rPr>
          <w:lang w:val="en-AU" w:eastAsia="en-AU"/>
        </w:rPr>
        <w:t xml:space="preserve">graduates in the UK found constraining factors included lack of general business knowledge, lack of sector-specific mentors, lack of finance and experience of familial entrepreneurship. </w:t>
      </w:r>
      <w:r w:rsidR="00946009">
        <w:rPr>
          <w:lang w:val="en-AU" w:eastAsia="en-AU"/>
        </w:rPr>
        <w:t xml:space="preserve">Elsewhere, </w:t>
      </w:r>
      <w:r w:rsidR="00B13C99" w:rsidRPr="003D0B31">
        <w:rPr>
          <w:lang w:val="en-AU" w:eastAsia="en-AU"/>
        </w:rPr>
        <w:t xml:space="preserve">high levels of interest </w:t>
      </w:r>
      <w:r w:rsidR="000540FD" w:rsidRPr="003D0B31">
        <w:rPr>
          <w:lang w:val="en-AU" w:eastAsia="en-AU"/>
        </w:rPr>
        <w:t xml:space="preserve">in entrepreneurship </w:t>
      </w:r>
      <w:r w:rsidR="00B13C99" w:rsidRPr="003D0B31">
        <w:rPr>
          <w:lang w:val="en-AU" w:eastAsia="en-AU"/>
        </w:rPr>
        <w:t>amongst undergraduates</w:t>
      </w:r>
      <w:r w:rsidR="00946009">
        <w:rPr>
          <w:lang w:val="en-AU" w:eastAsia="en-AU"/>
        </w:rPr>
        <w:t xml:space="preserve"> has been found</w:t>
      </w:r>
      <w:r w:rsidR="00B13C99" w:rsidRPr="003D0B31">
        <w:rPr>
          <w:lang w:val="en-AU" w:eastAsia="en-AU"/>
        </w:rPr>
        <w:t>, but inadequate business knowledge and perceived risk were found to be deterrents</w:t>
      </w:r>
      <w:r w:rsidR="00946009">
        <w:rPr>
          <w:lang w:val="en-AU" w:eastAsia="en-AU"/>
        </w:rPr>
        <w:t xml:space="preserve"> (Wang and Wong </w:t>
      </w:r>
      <w:r w:rsidR="00946009">
        <w:rPr>
          <w:lang w:val="en-AU" w:eastAsia="en-AU"/>
        </w:rPr>
        <w:fldChar w:fldCharType="begin" w:fldLock="1"/>
      </w:r>
      <w:r w:rsidR="00946009">
        <w:rPr>
          <w:lang w:val="en-AU" w:eastAsia="en-AU"/>
        </w:rPr>
        <w:instrText>ADDIN CSL_CITATION {"citationItems":[{"id":"ITEM-1","itemData":{"DOI":"10.1016/S0166-4972(02)00016-0","abstract":"This paper examines the level and determinants of interest in entrepreneurship among university undergraduate students in Singa-pore based on a large sample survey conducted in 1998. Although there have been past studies looking at entrepreneurial interest of students, this study is one of the first comprehensive studies of the attitudes of undergraduates toward entrepreneurship in Asia. While the study finds a high level of interest, inadequate business knowledge and perceived risk are found to be significant deterrents. Moreover, three background factors-gender, family experience with business and educational level-are found to affect entrepren-eurial interests, but not family income status, ethnicity and citizenship. Of the significant factors identified, that pertaining to inadequate business knowledge has direct policy implications for university administrators, as it strongly suggests the need to provide students in engineering and science with educational programs that impart business knowledge. Furthermore, the government can also contribute by promoting more awareness of successful entrepreneurial role models, removing bureaucratic impediments to start-ups, and attenuating the social stigma of failure.","author":[{"dropping-particle":"","family":"Wang","given":"Clement K","non-dropping-particle":"","parse-names":false,"suffix":""},{"dropping-particle":"","family":"Wong","given":"Poh-Kam","non-dropping-particle":"","parse-names":false,"suffix":""}],"container-title":"Technovation","id":"ITEM-1","issued":{"date-parts":[["2004"]]},"page":"163-172","title":"Entrepreneurial interest of university students in Singapore","type":"article-journal","volume":"24"},"suppress-author":1,"uris":["http://www.mendeley.com/documents/?uuid=8e10bba3-1674-36a8-902f-e4508fa3665b"]}],"mendeley":{"formattedCitation":"(2004)","plainTextFormattedCitation":"(2004)","previouslyFormattedCitation":"(2004)"},"properties":{"noteIndex":0},"schema":"https://github.com/citation-style-language/schema/raw/master/csl-citation.json"}</w:instrText>
      </w:r>
      <w:r w:rsidR="00946009">
        <w:rPr>
          <w:lang w:val="en-AU" w:eastAsia="en-AU"/>
        </w:rPr>
        <w:fldChar w:fldCharType="separate"/>
      </w:r>
      <w:r w:rsidR="00946009" w:rsidRPr="00C75467">
        <w:rPr>
          <w:noProof/>
          <w:lang w:val="en-AU" w:eastAsia="en-AU"/>
        </w:rPr>
        <w:t>2004)</w:t>
      </w:r>
      <w:r w:rsidR="00946009">
        <w:rPr>
          <w:lang w:val="en-AU" w:eastAsia="en-AU"/>
        </w:rPr>
        <w:fldChar w:fldCharType="end"/>
      </w:r>
      <w:r w:rsidR="00B13C99" w:rsidRPr="003D0B31">
        <w:rPr>
          <w:lang w:val="en-AU" w:eastAsia="en-AU"/>
        </w:rPr>
        <w:t>.</w:t>
      </w:r>
      <w:r w:rsidR="00C57D61">
        <w:rPr>
          <w:lang w:val="en-AU" w:eastAsia="en-AU"/>
        </w:rPr>
        <w:t xml:space="preserve"> </w:t>
      </w:r>
      <w:proofErr w:type="spellStart"/>
      <w:r w:rsidR="008B69E4">
        <w:t>Shinnar</w:t>
      </w:r>
      <w:proofErr w:type="spellEnd"/>
      <w:r w:rsidR="008B69E4">
        <w:t xml:space="preserve"> et al. </w:t>
      </w:r>
      <w:r w:rsidR="008B69E4">
        <w:fldChar w:fldCharType="begin" w:fldLock="1"/>
      </w:r>
      <w:r w:rsidR="00F35135">
        <w:instrText>ADDIN CSL_CITATION {"citationItems":[{"id":"ITEM-1","itemData":{"DOI":"10.1111/j.1540-6520.2012.00509.x","ISBN":"1540-6520","ISSN":"10422587","PMID":"74547737","abstract":"This paper examines how culture and gender shape entrepreneurial perceptions and intentions within Hofstede's cultural dimensions framework and gender role theory. We test whether gender differences exist in the way university students in three nations perceive barriers to entrepreneurship and whether gender has a moderating effect on the relationship between perceived barriers and entrepreneurial intentions across nations. Findings indicate significant gender differences in barrier perceptions. However, this gap is not consistent across cultures. Also, a moderating effect of gender on the relationship between barriers and entrepreneurial intentions is identified. Implications for research and practice are discussed. [ABSTRACT FROM AUTHOR]","author":[{"dropping-particle":"","family":"Shinnar","given":"Rachel","non-dropping-particle":"","parse-names":false,"suffix":""},{"dropping-particle":"","family":"Giacomin","given":"Olivier","non-dropping-particle":"","parse-names":false,"suffix":""},{"dropping-particle":"","family":"Janssen","given":"Frank","non-dropping-particle":"","parse-names":false,"suffix":""}],"container-title":"Entrepreneurship: Theory and Practice","id":"ITEM-1","issue":"3","issued":{"date-parts":[["2012"]]},"page":"465-493","title":"Entrepreneurial Perceptions and Intentions: The Role of Gender and Culture","type":"article-journal","volume":"36"},"suppress-author":1,"uris":["http://www.mendeley.com/documents/?uuid=63f401f8-2bd1-46e4-b6c0-bb7c6f6a49f2"]}],"mendeley":{"formattedCitation":"(2012)","plainTextFormattedCitation":"(2012)","previouslyFormattedCitation":"(2012)"},"properties":{"noteIndex":0},"schema":"https://github.com/citation-style-language/schema/raw/master/csl-citation.json"}</w:instrText>
      </w:r>
      <w:r w:rsidR="008B69E4">
        <w:fldChar w:fldCharType="separate"/>
      </w:r>
      <w:r w:rsidR="00C75467" w:rsidRPr="00C75467">
        <w:rPr>
          <w:noProof/>
        </w:rPr>
        <w:t>(2012)</w:t>
      </w:r>
      <w:r w:rsidR="008B69E4">
        <w:fldChar w:fldCharType="end"/>
      </w:r>
      <w:r w:rsidR="008B69E4">
        <w:t xml:space="preserve"> </w:t>
      </w:r>
      <w:r w:rsidR="003D0B31" w:rsidRPr="003D0B31">
        <w:rPr>
          <w:lang w:val="en-AU" w:eastAsia="en-AU"/>
        </w:rPr>
        <w:t xml:space="preserve">found </w:t>
      </w:r>
      <w:r w:rsidR="008B618F" w:rsidRPr="003D0B31">
        <w:t xml:space="preserve">fear of failure and perceived competence </w:t>
      </w:r>
      <w:r w:rsidR="00946009">
        <w:t>to be</w:t>
      </w:r>
      <w:r w:rsidR="00946009" w:rsidRPr="003D0B31">
        <w:t xml:space="preserve"> </w:t>
      </w:r>
      <w:r w:rsidR="00956926">
        <w:t xml:space="preserve">barriers, but </w:t>
      </w:r>
      <w:r w:rsidR="009A21B7">
        <w:t xml:space="preserve">these </w:t>
      </w:r>
      <w:r w:rsidR="00946009">
        <w:t xml:space="preserve">were </w:t>
      </w:r>
      <w:r w:rsidR="008B618F" w:rsidRPr="003D0B31">
        <w:t>less significant for Chinese students</w:t>
      </w:r>
      <w:r w:rsidR="00956926">
        <w:t>,</w:t>
      </w:r>
      <w:r w:rsidR="008B618F">
        <w:t xml:space="preserve"> </w:t>
      </w:r>
      <w:r w:rsidR="008B618F" w:rsidRPr="003D0B31">
        <w:t>suggest</w:t>
      </w:r>
      <w:r w:rsidR="00956926">
        <w:t>ing</w:t>
      </w:r>
      <w:r w:rsidR="008B618F" w:rsidRPr="003D0B31">
        <w:t xml:space="preserve"> this was related to cultural “</w:t>
      </w:r>
      <w:r w:rsidR="008B618F" w:rsidRPr="007E58E4">
        <w:t>belief</w:t>
      </w:r>
      <w:r w:rsidR="008B618F" w:rsidRPr="003D0B31">
        <w:t xml:space="preserve"> that hard work, rather than ability, determines success” (p</w:t>
      </w:r>
      <w:r w:rsidR="008B618F">
        <w:t xml:space="preserve">. </w:t>
      </w:r>
      <w:r w:rsidR="008B618F" w:rsidRPr="003D0B31">
        <w:t>486).</w:t>
      </w:r>
      <w:r w:rsidR="00956926">
        <w:rPr>
          <w:lang w:val="en-AU" w:eastAsia="en-AU"/>
        </w:rPr>
        <w:t xml:space="preserve"> </w:t>
      </w:r>
      <w:r w:rsidR="00492928">
        <w:rPr>
          <w:lang w:val="en-US"/>
        </w:rPr>
        <w:t>W</w:t>
      </w:r>
      <w:r w:rsidR="00423EBC" w:rsidRPr="00C67ABF">
        <w:rPr>
          <w:lang w:val="en-US"/>
        </w:rPr>
        <w:t xml:space="preserve">omen </w:t>
      </w:r>
      <w:r w:rsidR="00956926">
        <w:rPr>
          <w:lang w:val="en-US"/>
        </w:rPr>
        <w:t xml:space="preserve">have been found </w:t>
      </w:r>
      <w:r w:rsidR="00423EBC" w:rsidRPr="00C67ABF">
        <w:rPr>
          <w:lang w:val="en-US"/>
        </w:rPr>
        <w:t xml:space="preserve">to cite </w:t>
      </w:r>
      <w:r w:rsidR="00423EBC" w:rsidRPr="00C95F67">
        <w:rPr>
          <w:i/>
          <w:lang w:val="en-US"/>
        </w:rPr>
        <w:t>more</w:t>
      </w:r>
      <w:r w:rsidR="00423EBC" w:rsidRPr="00C67ABF">
        <w:rPr>
          <w:lang w:val="en-US"/>
        </w:rPr>
        <w:t xml:space="preserve"> barriers to entrepreneurship </w:t>
      </w:r>
      <w:r w:rsidR="00AA1E6F">
        <w:rPr>
          <w:lang w:val="en-US"/>
        </w:rPr>
        <w:t>compared with</w:t>
      </w:r>
      <w:r w:rsidR="00423EBC" w:rsidRPr="00C67ABF">
        <w:rPr>
          <w:lang w:val="en-US"/>
        </w:rPr>
        <w:t xml:space="preserve"> men </w:t>
      </w:r>
      <w:r w:rsidR="00423EBC" w:rsidRPr="00C67ABF">
        <w:rPr>
          <w:lang w:val="en-US"/>
        </w:rPr>
        <w:fldChar w:fldCharType="begin" w:fldLock="1"/>
      </w:r>
      <w:r w:rsidR="00423EBC">
        <w:rPr>
          <w:lang w:val="en-US"/>
        </w:rPr>
        <w:instrText>ADDIN CSL_CITATION {"citationItems":[{"id":"ITEM-1","itemData":{"DOI":"10.1111/jsbm.12129","ISBN":"00472778 (ISSN)","ISSN":"1540627X","abstract":"This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 © 2014 International Council for Small Business.","author":[{"dropping-particle":"","family":"Santos","given":"Francisco J.","non-dropping-particle":"","parse-names":false,"suffix":""},{"dropping-particle":"","family":"Roomi","given":"Muhammad Azam","non-dropping-particle":"","parse-names":false,"suffix":""},{"dropping-particle":"","family":"Liñán","given":"Francisco","non-dropping-particle":"","parse-names":false,"suffix":""}],"container-title":"Journal of Small Business Management","id":"ITEM-1","issue":"1","issued":{"date-parts":[["2016"]]},"page":"49-66","title":"About Gender Differences and the Social Environment in the Development of Entrepreneurial Intentions","type":"article-journal","volume":"54"},"uris":["http://www.mendeley.com/documents/?uuid=55bc83bd-c82a-41d0-8be3-d705c9e288cc"]},{"id":"ITEM-2","itemData":{"DOI":"10.1111/j.1540-6520.2005.00105.x","author":[{"dropping-particle":"","family":"Marlow","given":"Susan","non-dropping-particle":"","parse-names":false,"suffix":""},{"dropping-particle":"","family":"Patton","given":"Dean","non-dropping-particle":"","parse-names":false,"suffix":""}],"container-title":"Entrepreneurship: Theory and Practice","id":"ITEM-2","issue":"6","issued":{"date-parts":[["2005"]]},"page":"717-735","title":"All Credit to Men?Entrepreneurship, Finance, and Gender","type":"article-journal","volume":"20"},"uris":["http://www.mendeley.com/documents/?uuid=e673dbbe-2dc7-40d4-a6ec-93d07539f859"]}],"mendeley":{"formattedCitation":"(Santos, Roomi, and Liñán 2016; Marlow and Patton 2005)","plainTextFormattedCitation":"(Santos, Roomi, and Liñán 2016; Marlow and Patton 2005)","previouslyFormattedCitation":"(Santos, Roomi, and Liñán 2016; Marlow and Patton 2005)"},"properties":{"noteIndex":0},"schema":"https://github.com/citation-style-language/schema/raw/master/csl-citation.json"}</w:instrText>
      </w:r>
      <w:r w:rsidR="00423EBC" w:rsidRPr="00C67ABF">
        <w:rPr>
          <w:lang w:val="en-US"/>
        </w:rPr>
        <w:fldChar w:fldCharType="separate"/>
      </w:r>
      <w:r w:rsidR="00423EBC" w:rsidRPr="00C67ABF">
        <w:rPr>
          <w:noProof/>
          <w:lang w:val="en-US"/>
        </w:rPr>
        <w:t>(Santos, Roomi, and Liñán 2016; Marlow and Patton 2005)</w:t>
      </w:r>
      <w:r w:rsidR="00423EBC" w:rsidRPr="00C67ABF">
        <w:rPr>
          <w:lang w:val="en-US"/>
        </w:rPr>
        <w:fldChar w:fldCharType="end"/>
      </w:r>
      <w:r w:rsidR="00423EBC" w:rsidRPr="00C67ABF">
        <w:rPr>
          <w:lang w:val="en-US"/>
        </w:rPr>
        <w:t>, in particular access to financ</w:t>
      </w:r>
      <w:r w:rsidR="00423EBC">
        <w:rPr>
          <w:lang w:val="en-US"/>
        </w:rPr>
        <w:t xml:space="preserve">e </w:t>
      </w:r>
      <w:r w:rsidR="00423EBC">
        <w:rPr>
          <w:lang w:val="en-AU" w:eastAsia="en-AU"/>
        </w:rPr>
        <w:fldChar w:fldCharType="begin" w:fldLock="1"/>
      </w:r>
      <w:r w:rsidR="00423EBC">
        <w:rPr>
          <w:lang w:val="en-AU" w:eastAsia="en-AU"/>
        </w:rPr>
        <w:instrText>ADDIN CSL_CITATION {"citationItems":[{"id":"ITEM-1","itemData":{"DOI":"10.1111/j.1540-6520.2005.00105.x","author":[{"dropping-particle":"","family":"Marlow","given":"Susan","non-dropping-particle":"","parse-names":false,"suffix":""},{"dropping-particle":"","family":"Patton","given":"Dean","non-dropping-particle":"","parse-names":false,"suffix":""}],"container-title":"Entrepreneurship: Theory and Practice","id":"ITEM-1","issue":"6","issued":{"date-parts":[["2005"]]},"page":"717-735","title":"All Credit to Men?Entrepreneurship, Finance, and Gender","type":"article-journal","volume":"20"},"uris":["http://www.mendeley.com/documents/?uuid=e673dbbe-2dc7-40d4-a6ec-93d07539f859"]},{"id":"ITEM-2","itemData":{"DOI":"10.1108/13552551211201385","ISSN":"1355-2554","author":[{"dropping-particle":"","family":"Kwong","given":"Caleb","non-dropping-particle":"","parse-names":false,"suffix":""},{"dropping-particle":"","family":"Jones‐Evans","given":"Dylan","non-dropping-particle":"","parse-names":false,"suffix":""},{"dropping-particle":"","family":"Thompson","given":"Piers","non-dropping-particle":"","parse-names":false,"suffix":""}],"container-title":"International Journal of Entrepreneurial Behavior &amp; Research","id":"ITEM-2","issue":"1","issued":{"date-parts":[["2012","1","27"]]},"page":"75-97","title":"Differences in perceptions of access to finance between potential male and female entrepreneurs","type":"article-journal","volume":"18"},"uris":["http://www.mendeley.com/documents/?uuid=f4a7928c-342f-4481-8f1e-48e0db361f01"]}],"mendeley":{"formattedCitation":"(Marlow and Patton 2005; Kwong, Jones‐Evans, and Thompson 2012)","plainTextFormattedCitation":"(Marlow and Patton 2005; Kwong, Jones‐Evans, and Thompson 2012)","previouslyFormattedCitation":"(Marlow and Patton 2005; Kwong, Jones‐Evans, and Thompson 2012)"},"properties":{"noteIndex":0},"schema":"https://github.com/citation-style-language/schema/raw/master/csl-citation.json"}</w:instrText>
      </w:r>
      <w:r w:rsidR="00423EBC">
        <w:rPr>
          <w:lang w:val="en-AU" w:eastAsia="en-AU"/>
        </w:rPr>
        <w:fldChar w:fldCharType="separate"/>
      </w:r>
      <w:r w:rsidR="00423EBC" w:rsidRPr="0067407F">
        <w:rPr>
          <w:noProof/>
          <w:lang w:val="en-AU" w:eastAsia="en-AU"/>
        </w:rPr>
        <w:t>(Marlow and Patton 2005; Kwong, Jones</w:t>
      </w:r>
      <w:r w:rsidR="00423EBC" w:rsidRPr="0067407F">
        <w:rPr>
          <w:rFonts w:ascii="Cambria Math" w:hAnsi="Cambria Math" w:cs="Cambria Math"/>
          <w:noProof/>
          <w:lang w:val="en-AU" w:eastAsia="en-AU"/>
        </w:rPr>
        <w:t>‐</w:t>
      </w:r>
      <w:r w:rsidR="00423EBC" w:rsidRPr="0067407F">
        <w:rPr>
          <w:noProof/>
          <w:lang w:val="en-AU" w:eastAsia="en-AU"/>
        </w:rPr>
        <w:t>Evans, and Thompson 2012)</w:t>
      </w:r>
      <w:r w:rsidR="00423EBC">
        <w:rPr>
          <w:lang w:val="en-AU" w:eastAsia="en-AU"/>
        </w:rPr>
        <w:fldChar w:fldCharType="end"/>
      </w:r>
      <w:r w:rsidR="00492928">
        <w:rPr>
          <w:lang w:val="en-AU" w:eastAsia="en-AU"/>
        </w:rPr>
        <w:t xml:space="preserve"> and support (</w:t>
      </w:r>
      <w:proofErr w:type="spellStart"/>
      <w:r w:rsidR="00492928">
        <w:t>Shinnar</w:t>
      </w:r>
      <w:proofErr w:type="spellEnd"/>
      <w:r w:rsidR="00492928">
        <w:t xml:space="preserve"> et al. </w:t>
      </w:r>
      <w:r w:rsidR="00492928">
        <w:fldChar w:fldCharType="begin" w:fldLock="1"/>
      </w:r>
      <w:r w:rsidR="00492928">
        <w:instrText>ADDIN CSL_CITATION {"citationItems":[{"id":"ITEM-1","itemData":{"DOI":"10.1111/j.1540-6520.2012.00509.x","ISBN":"1540-6520","ISSN":"10422587","PMID":"74547737","abstract":"This paper examines how culture and gender shape entrepreneurial perceptions and intentions within Hofstede's cultural dimensions framework and gender role theory. We test whether gender differences exist in the way university students in three nations perceive barriers to entrepreneurship and whether gender has a moderating effect on the relationship between perceived barriers and entrepreneurial intentions across nations. Findings indicate significant gender differences in barrier perceptions. However, this gap is not consistent across cultures. Also, a moderating effect of gender on the relationship between barriers and entrepreneurial intentions is identified. Implications for research and practice are discussed. [ABSTRACT FROM AUTHOR]","author":[{"dropping-particle":"","family":"Shinnar","given":"Rachel","non-dropping-particle":"","parse-names":false,"suffix":""},{"dropping-particle":"","family":"Giacomin","given":"Olivier","non-dropping-particle":"","parse-names":false,"suffix":""},{"dropping-particle":"","family":"Janssen","given":"Frank","non-dropping-particle":"","parse-names":false,"suffix":""}],"container-title":"Entrepreneurship: Theory and Practice","id":"ITEM-1","issue":"3","issued":{"date-parts":[["2012"]]},"page":"465-493","title":"Entrepreneurial Perceptions and Intentions: The Role of Gender and Culture","type":"article-journal","volume":"36"},"suppress-author":1,"uris":["http://www.mendeley.com/documents/?uuid=63f401f8-2bd1-46e4-b6c0-bb7c6f6a49f2"]}],"mendeley":{"formattedCitation":"(2012)","plainTextFormattedCitation":"(2012)","previouslyFormattedCitation":"(2012)"},"properties":{"noteIndex":0},"schema":"https://github.com/citation-style-language/schema/raw/master/csl-citation.json"}</w:instrText>
      </w:r>
      <w:r w:rsidR="00492928">
        <w:fldChar w:fldCharType="separate"/>
      </w:r>
      <w:r w:rsidR="00492928" w:rsidRPr="00C75467">
        <w:rPr>
          <w:noProof/>
        </w:rPr>
        <w:t>2012)</w:t>
      </w:r>
      <w:r w:rsidR="00492928">
        <w:fldChar w:fldCharType="end"/>
      </w:r>
      <w:r w:rsidR="00423EBC">
        <w:rPr>
          <w:lang w:val="en-AU" w:eastAsia="en-AU"/>
        </w:rPr>
        <w:t xml:space="preserve">. Studies have shown that social norms lead to women believing entrepreneurship is more suited to men </w:t>
      </w:r>
      <w:r w:rsidR="00423EBC">
        <w:rPr>
          <w:lang w:val="en-AU" w:eastAsia="en-AU"/>
        </w:rPr>
        <w:fldChar w:fldCharType="begin" w:fldLock="1"/>
      </w:r>
      <w:r w:rsidR="00423EBC">
        <w:rPr>
          <w:lang w:val="en-AU" w:eastAsia="en-AU"/>
        </w:rPr>
        <w:instrText>ADDIN CSL_CITATION {"citationItems":[{"id":"ITEM-1","itemData":{"DOI":"10.1111/j.1559-1816.2010.00713.x","author":[{"dropping-particle":"","family":"BarNir","given":"Anat","non-dropping-particle":"","parse-names":false,"suffix":""},{"dropping-particle":"","family":"Watston","given":"Warren","non-dropping-particle":"","parse-names":false,"suffix":""},{"dropping-particle":"","family":"Hutchins","given":"Holly","non-dropping-particle":"","parse-names":false,"suffix":""}],"container-title":"Journal of Applied Psychology","id":"ITEM-1","issue":"2","issued":{"date-parts":[["2011"]]},"page":"270-297","title":"Mediation and Moderated Mediation in the Relationship Among Role Models , Self-Efficacy , Entrepreneurial Career Intention , and Gender","type":"article-journal","volume":"41"},"uris":["http://www.mendeley.com/documents/?uuid=277fd7f3-d539-4eef-831b-45854c114011"]},{"id":"ITEM-2","itemData":{"DOI":"10.1111/j.1540-6520.2012.00509.x","ISBN":"1540-6520","ISSN":"10422587","PMID":"74547737","abstract":"This paper examines how culture and gender shape entrepreneurial perceptions and intentions within Hofstede's cultural dimensions framework and gender role theory. We test whether gender differences exist in the way university students in three nations perceive barriers to entrepreneurship and whether gender has a moderating effect on the relationship between perceived barriers and entrepreneurial intentions across nations. Findings indicate significant gender differences in barrier perceptions. However, this gap is not consistent across cultures. Also, a moderating effect of gender on the relationship between barriers and entrepreneurial intentions is identified. Implications for research and practice are discussed. [ABSTRACT FROM AUTHOR]","author":[{"dropping-particle":"","family":"Shinnar","given":"Rachel","non-dropping-particle":"","parse-names":false,"suffix":""},{"dropping-particle":"","family":"Giacomin","given":"Olivier","non-dropping-particle":"","parse-names":false,"suffix":""},{"dropping-particle":"","family":"Janssen","given":"Frank","non-dropping-particle":"","parse-names":false,"suffix":""}],"container-title":"Entrepreneurship: Theory and Practice","id":"ITEM-2","issue":"3","issued":{"date-parts":[["2012"]]},"page":"465-493","title":"Entrepreneurial Perceptions and Intentions: The Role of Gender and Culture","type":"article-journal","volume":"36"},"uris":["http://www.mendeley.com/documents/?uuid=63f401f8-2bd1-46e4-b6c0-bb7c6f6a49f2"]}],"mendeley":{"formattedCitation":"(BarNir, Watston, and Hutchins 2011; Shinnar, Giacomin, and Janssen 2012)","plainTextFormattedCitation":"(BarNir, Watston, and Hutchins 2011; Shinnar, Giacomin, and Janssen 2012)","previouslyFormattedCitation":"(BarNir, Watston, and Hutchins 2011; Shinnar, Giacomin, and Janssen 2012)"},"properties":{"noteIndex":0},"schema":"https://github.com/citation-style-language/schema/raw/master/csl-citation.json"}</w:instrText>
      </w:r>
      <w:r w:rsidR="00423EBC">
        <w:rPr>
          <w:lang w:val="en-AU" w:eastAsia="en-AU"/>
        </w:rPr>
        <w:fldChar w:fldCharType="separate"/>
      </w:r>
      <w:r w:rsidR="00423EBC" w:rsidRPr="00C75467">
        <w:rPr>
          <w:noProof/>
          <w:lang w:val="en-AU" w:eastAsia="en-AU"/>
        </w:rPr>
        <w:t>(BarNir, Watson, and Hutchins 2011; Shinnar, Giacomin, and Janssen 2012)</w:t>
      </w:r>
      <w:r w:rsidR="00423EBC">
        <w:rPr>
          <w:lang w:val="en-AU" w:eastAsia="en-AU"/>
        </w:rPr>
        <w:fldChar w:fldCharType="end"/>
      </w:r>
      <w:r w:rsidR="00423EBC">
        <w:rPr>
          <w:lang w:val="en-AU" w:eastAsia="en-AU"/>
        </w:rPr>
        <w:t xml:space="preserve"> and, for women, entrepreneurial intention  is more affected by personal attitude and subjective norms than for men </w:t>
      </w:r>
      <w:r w:rsidR="00423EBC">
        <w:rPr>
          <w:lang w:val="en-AU" w:eastAsia="en-AU"/>
        </w:rPr>
        <w:fldChar w:fldCharType="begin" w:fldLock="1"/>
      </w:r>
      <w:r w:rsidR="00423EBC">
        <w:rPr>
          <w:lang w:val="en-AU" w:eastAsia="en-AU"/>
        </w:rPr>
        <w:instrText>ADDIN CSL_CITATION {"citationItems":[{"id":"ITEM-1","itemData":{"DOI":"10.1108/IJGE-08-2016-0028","ISSN":"1756-6266","author":[{"dropping-particle":"","family":"Feder","given":"Emőke-Szidónia","non-dropping-particle":"","parse-names":false,"suffix":""},{"dropping-particle":"","family":"Niţu-Antonie","given":"Renata-Dana","non-dropping-particle":"","parse-names":false,"suffix":""}],"container-title":"International Journal of Gender and Entrepreneurship","id":"ITEM-1","issue":"1","issued":{"date-parts":[["2017","3","13"]]},"page":"87-108","title":"Connecting gender identity, entrepreneurial training, role models and intentions","type":"article-journal","volume":"9"},"uris":["http://www.mendeley.com/documents/?uuid=530ce246-2bf9-49f3-8d08-69af7ee994d3"]}],"mendeley":{"formattedCitation":"(Feder and Niţu-Antonie 2017)","plainTextFormattedCitation":"(Feder and Niţu-Antonie 2017)","previouslyFormattedCitation":"(Feder and Niţu-Antonie 2017)"},"properties":{"noteIndex":0},"schema":"https://github.com/citation-style-language/schema/raw/master/csl-citation.json"}</w:instrText>
      </w:r>
      <w:r w:rsidR="00423EBC">
        <w:rPr>
          <w:lang w:val="en-AU" w:eastAsia="en-AU"/>
        </w:rPr>
        <w:fldChar w:fldCharType="separate"/>
      </w:r>
      <w:r w:rsidR="00423EBC" w:rsidRPr="00C75467">
        <w:rPr>
          <w:noProof/>
          <w:lang w:val="en-AU" w:eastAsia="en-AU"/>
        </w:rPr>
        <w:t>(Feder and Niţu-Antonie 2017)</w:t>
      </w:r>
      <w:r w:rsidR="00423EBC">
        <w:rPr>
          <w:lang w:val="en-AU" w:eastAsia="en-AU"/>
        </w:rPr>
        <w:fldChar w:fldCharType="end"/>
      </w:r>
      <w:r w:rsidR="00423EBC">
        <w:rPr>
          <w:lang w:val="en-AU" w:eastAsia="en-AU"/>
        </w:rPr>
        <w:t xml:space="preserve">. </w:t>
      </w:r>
      <w:r w:rsidR="00956926">
        <w:t xml:space="preserve">Such </w:t>
      </w:r>
      <w:r w:rsidR="00235304">
        <w:t xml:space="preserve">attitudes and beliefs can </w:t>
      </w:r>
      <w:r w:rsidR="00956926">
        <w:t xml:space="preserve">act as a barrier: female students </w:t>
      </w:r>
      <w:r w:rsidR="00956926">
        <w:rPr>
          <w:noProof/>
        </w:rPr>
        <w:t>have</w:t>
      </w:r>
      <w:r w:rsidR="00423EBC">
        <w:t xml:space="preserve"> lower entrepreneurial intentions than men, linked to lower levels of self-efficacy related to beliefs that entreprene</w:t>
      </w:r>
      <w:r w:rsidR="00956926">
        <w:t>urship is a masculine activity</w:t>
      </w:r>
      <w:r w:rsidR="00956926" w:rsidRPr="00956926">
        <w:rPr>
          <w:noProof/>
        </w:rPr>
        <w:t xml:space="preserve"> </w:t>
      </w:r>
      <w:r w:rsidR="00956926">
        <w:rPr>
          <w:noProof/>
        </w:rPr>
        <w:t>(</w:t>
      </w:r>
      <w:r w:rsidR="00956926" w:rsidRPr="00C75467">
        <w:rPr>
          <w:noProof/>
        </w:rPr>
        <w:t>Nowiński et al. 2017</w:t>
      </w:r>
      <w:r w:rsidR="00956926">
        <w:rPr>
          <w:noProof/>
        </w:rPr>
        <w:t>).</w:t>
      </w:r>
    </w:p>
    <w:p w14:paraId="19A166C0" w14:textId="3C21583B" w:rsidR="008F3E9A" w:rsidRPr="008F3E9A" w:rsidRDefault="002B173B" w:rsidP="00C95F67">
      <w:pPr>
        <w:pStyle w:val="Newparagraph"/>
        <w:rPr>
          <w:lang w:val="en-AU" w:eastAsia="en-AU"/>
        </w:rPr>
      </w:pPr>
      <w:r w:rsidRPr="002B173B">
        <w:rPr>
          <w:lang w:val="en-AU" w:eastAsia="en-AU"/>
        </w:rPr>
        <w:t xml:space="preserve">Factors that act as enablers </w:t>
      </w:r>
      <w:r>
        <w:rPr>
          <w:lang w:val="en-AU" w:eastAsia="en-AU"/>
        </w:rPr>
        <w:t xml:space="preserve">to entrepreneurship </w:t>
      </w:r>
      <w:r w:rsidRPr="002B173B">
        <w:rPr>
          <w:lang w:val="en-AU" w:eastAsia="en-AU"/>
        </w:rPr>
        <w:t xml:space="preserve">are not widely agreed across studies. </w:t>
      </w:r>
      <w:r w:rsidR="004A62E6">
        <w:rPr>
          <w:lang w:val="en-AU" w:eastAsia="en-AU"/>
        </w:rPr>
        <w:t>Enablers</w:t>
      </w:r>
      <w:r w:rsidR="005871E6">
        <w:rPr>
          <w:lang w:val="en-AU" w:eastAsia="en-AU"/>
        </w:rPr>
        <w:t xml:space="preserve"> </w:t>
      </w:r>
      <w:r>
        <w:rPr>
          <w:lang w:val="en-AU" w:eastAsia="en-AU"/>
        </w:rPr>
        <w:t xml:space="preserve">have been found to </w:t>
      </w:r>
      <w:r w:rsidR="004A62E6">
        <w:rPr>
          <w:lang w:val="en-AU" w:eastAsia="en-AU"/>
        </w:rPr>
        <w:t>include</w:t>
      </w:r>
      <w:r w:rsidR="003D0B31" w:rsidRPr="003D0B31">
        <w:rPr>
          <w:lang w:val="en-AU" w:eastAsia="en-AU"/>
        </w:rPr>
        <w:t xml:space="preserve"> </w:t>
      </w:r>
      <w:r w:rsidR="004A62E6" w:rsidRPr="00E01A9C">
        <w:rPr>
          <w:lang w:val="en-AU" w:eastAsia="en-AU"/>
        </w:rPr>
        <w:t>co-mentoring from business partners</w:t>
      </w:r>
      <w:r>
        <w:rPr>
          <w:lang w:val="en-AU" w:eastAsia="en-AU"/>
        </w:rPr>
        <w:t xml:space="preserve"> and</w:t>
      </w:r>
      <w:r w:rsidR="004A62E6" w:rsidRPr="00E01A9C">
        <w:rPr>
          <w:lang w:val="en-AU" w:eastAsia="en-AU"/>
        </w:rPr>
        <w:t xml:space="preserve"> course content</w:t>
      </w:r>
      <w:r w:rsidR="008B69E4">
        <w:rPr>
          <w:lang w:val="en-AU" w:eastAsia="en-AU"/>
        </w:rPr>
        <w:t xml:space="preserve"> </w:t>
      </w:r>
      <w:r w:rsidR="008B69E4">
        <w:rPr>
          <w:lang w:val="en-AU" w:eastAsia="en-AU"/>
        </w:rPr>
        <w:fldChar w:fldCharType="begin" w:fldLock="1"/>
      </w:r>
      <w:r w:rsidR="00F35135">
        <w:rPr>
          <w:lang w:val="en-AU" w:eastAsia="en-AU"/>
        </w:rPr>
        <w:instrText>ADDIN CSL_CITATION {"citationItems":[{"id":"ITEM-1","itemData":{"DOI":"10.1108/00400911111185044","ISSN":"0040-0912","author":[{"dropping-particle":"","family":"Smith","given":"Kelly","non-dropping-particle":"","parse-names":false,"suffix":""},{"dropping-particle":"","family":"Beasley","given":"Martin","non-dropping-particle":"","parse-names":false,"suffix":""}],"container-title":"Education + Training","editor":[{"dropping-particle":"","family":"Matlay","given":"Harry","non-dropping-particle":"","parse-names":false,"suffix":""}],"id":"ITEM-1","issue":"8/9","issued":{"date-parts":[["2011","11","22"]]},"page":"722-740","title":"Graduate entrepreneurs: intentions, barriers and solutions","type":"article-journal","volume":"53"},"uris":["http://www.mendeley.com/documents/?uuid=911bd13d-52bd-4760-ad6f-5d51ae99c0a0"]}],"mendeley":{"formattedCitation":"(Smith and Beasley 2011)","plainTextFormattedCitation":"(Smith and Beasley 2011)","previouslyFormattedCitation":"(Smith and Beasley 2011)"},"properties":{"noteIndex":0},"schema":"https://github.com/citation-style-language/schema/raw/master/csl-citation.json"}</w:instrText>
      </w:r>
      <w:r w:rsidR="008B69E4">
        <w:rPr>
          <w:lang w:val="en-AU" w:eastAsia="en-AU"/>
        </w:rPr>
        <w:fldChar w:fldCharType="separate"/>
      </w:r>
      <w:r w:rsidR="00C75467" w:rsidRPr="00C75467">
        <w:rPr>
          <w:noProof/>
          <w:lang w:val="en-AU" w:eastAsia="en-AU"/>
        </w:rPr>
        <w:t>(Smith and Beasley 2011)</w:t>
      </w:r>
      <w:r w:rsidR="008B69E4">
        <w:rPr>
          <w:lang w:val="en-AU" w:eastAsia="en-AU"/>
        </w:rPr>
        <w:fldChar w:fldCharType="end"/>
      </w:r>
      <w:r w:rsidR="004A62E6" w:rsidRPr="00E01A9C">
        <w:rPr>
          <w:lang w:val="en-AU" w:eastAsia="en-AU"/>
        </w:rPr>
        <w:t>.</w:t>
      </w:r>
      <w:r w:rsidR="004A62E6">
        <w:rPr>
          <w:lang w:val="en-AU" w:eastAsia="en-AU"/>
        </w:rPr>
        <w:t xml:space="preserve"> </w:t>
      </w:r>
      <w:r w:rsidR="00956926">
        <w:rPr>
          <w:lang w:val="en-AU" w:eastAsia="en-AU"/>
        </w:rPr>
        <w:t>A</w:t>
      </w:r>
      <w:r w:rsidR="003D0B31" w:rsidRPr="003D0B31">
        <w:rPr>
          <w:lang w:val="en-AU" w:eastAsia="en-AU"/>
        </w:rPr>
        <w:t xml:space="preserve">ccess to social capital, for example networks of people </w:t>
      </w:r>
      <w:r w:rsidR="0041423A">
        <w:rPr>
          <w:lang w:val="en-AU" w:eastAsia="en-AU"/>
        </w:rPr>
        <w:t xml:space="preserve">from whom </w:t>
      </w:r>
      <w:r w:rsidR="003D0B31" w:rsidRPr="003D0B31">
        <w:rPr>
          <w:lang w:val="en-AU" w:eastAsia="en-AU"/>
        </w:rPr>
        <w:t xml:space="preserve"> to seek advice</w:t>
      </w:r>
      <w:r w:rsidR="0041423A">
        <w:rPr>
          <w:lang w:val="en-AU" w:eastAsia="en-AU"/>
        </w:rPr>
        <w:t xml:space="preserve"> and</w:t>
      </w:r>
      <w:r w:rsidR="003D0B31" w:rsidRPr="003D0B31">
        <w:rPr>
          <w:lang w:val="en-AU" w:eastAsia="en-AU"/>
        </w:rPr>
        <w:t xml:space="preserve"> funding</w:t>
      </w:r>
      <w:r w:rsidR="00956926">
        <w:rPr>
          <w:lang w:val="en-AU" w:eastAsia="en-AU"/>
        </w:rPr>
        <w:t>, has been found to enable entrepreneurship</w:t>
      </w:r>
      <w:r w:rsidR="003D0B31" w:rsidRPr="003D0B31">
        <w:rPr>
          <w:lang w:val="en-AU" w:eastAsia="en-AU"/>
        </w:rPr>
        <w:t xml:space="preserve"> </w:t>
      </w:r>
      <w:r w:rsidR="008B69E4">
        <w:rPr>
          <w:lang w:val="en-AU" w:eastAsia="en-AU"/>
        </w:rPr>
        <w:fldChar w:fldCharType="begin" w:fldLock="1"/>
      </w:r>
      <w:r w:rsidR="00F35135">
        <w:rPr>
          <w:lang w:val="en-AU" w:eastAsia="en-AU"/>
        </w:rPr>
        <w:instrText>ADDIN CSL_CITATION {"citationItems":[{"id":"ITEM-1","itemData":{"DOI":"10.1177/0266242607076524","abstract":"Governments have invested heavily in building local and regional entrepreneurial networks in order improve economic performance and regeneration. However, there are many types of network, and different types of network are appropriate for different purposes. Some types of network are most useful in the early stages of entrepreneurial activity and others at later stages. Careful defi nitions are necessary in order to analyse the role of networks in generating interpersonal and inter-organizational trust, and hence in augmenting the stock of social capital. Effective networks are normally intermediated by reputable trust-brokers. The reputation of government gives it a signifi cant role as a trust-broker, but there is a danger that its reputation may be undermined when it extends its activities into areas where it lacks the competence to intervene effectively.","author":[{"dropping-particle":"","family":"Casson","given":"Mark","non-dropping-particle":"","parse-names":false,"suffix":""},{"dropping-particle":"","family":"Giusta","given":"Marina","non-dropping-particle":"Della","parse-names":false,"suffix":""}],"container-title":"International Small Business Journal","id":"ITEM-1","issue":"3","issued":{"date-parts":[["2007"]]},"page":"220-244","title":"Entrepreneurship and Social Capital: Analysing the Impact of Social Networks on Entrepreneurial Activity from a Rational Action Perspective","type":"article-journal","volume":"25"},"uris":["http://www.mendeley.com/documents/?uuid=639eb543-0330-3d69-a102-5fda49f39e3b"]},{"id":"ITEM-2","itemData":{"DOI":"10.1111/etap.12016","ISBN":"1540-6520","ISSN":"10422587","abstract":"Our research begins with a theoretical critique of the social capital literature, and then focuses on Old Harbor, Alaska. In this remote outpost, mainly populated by Alutiiq people, all entrepreneurs self-identified as Euro-Americans or multi-ethnic, not Alutiiq. Although Alutiiq people have abundant social capital, which they employed for economic purposes, they did not employ their social capital for commercial entrepreneurship. Our findings suggest that social capital promotes entrepreneurship only when supportive cultural capital is in place. [ABSTRACT FROM AUTHOR]","author":[{"dropping-particle":"","family":"Light","given":"Ivan","non-dropping-particle":"","parse-names":false,"suffix":""},{"dropping-particle":"","family":"Dana","given":"Léo Paul","non-dropping-particle":"","parse-names":false,"suffix":""}],"container-title":"Entrepreneurship: Theory and Practice","id":"ITEM-2","issue":"3","issued":{"date-parts":[["2013"]]},"page":"603-624","title":"Boundaries of Social Capital in Entrepreneurship","type":"article-journal","volume":"37"},"uris":["http://www.mendeley.com/documents/?uuid=0daf4fb6-cab5-4c7a-a909-f2b0757e6be6"]}],"mendeley":{"formattedCitation":"(Casson and Della Giusta 2007; Light and Dana 2013)","plainTextFormattedCitation":"(Casson and Della Giusta 2007; Light and Dana 2013)","previouslyFormattedCitation":"(Casson and Della Giusta 2007; Light and Dana 2013)"},"properties":{"noteIndex":0},"schema":"https://github.com/citation-style-language/schema/raw/master/csl-citation.json"}</w:instrText>
      </w:r>
      <w:r w:rsidR="008B69E4">
        <w:rPr>
          <w:lang w:val="en-AU" w:eastAsia="en-AU"/>
        </w:rPr>
        <w:fldChar w:fldCharType="separate"/>
      </w:r>
      <w:r w:rsidR="004F6F00" w:rsidRPr="004F6F00">
        <w:rPr>
          <w:noProof/>
          <w:lang w:val="en-AU" w:eastAsia="en-AU"/>
        </w:rPr>
        <w:t xml:space="preserve">(Casson and Della Giusta </w:t>
      </w:r>
      <w:r w:rsidR="004F6F00" w:rsidRPr="004F6F00">
        <w:rPr>
          <w:noProof/>
          <w:lang w:val="en-AU" w:eastAsia="en-AU"/>
        </w:rPr>
        <w:lastRenderedPageBreak/>
        <w:t>2007; Light and Dana 2013)</w:t>
      </w:r>
      <w:r w:rsidR="008B69E4">
        <w:rPr>
          <w:lang w:val="en-AU" w:eastAsia="en-AU"/>
        </w:rPr>
        <w:fldChar w:fldCharType="end"/>
      </w:r>
      <w:r w:rsidR="008B69E4">
        <w:rPr>
          <w:lang w:val="en-AU" w:eastAsia="en-AU"/>
        </w:rPr>
        <w:t>.</w:t>
      </w:r>
      <w:r w:rsidR="00956926">
        <w:rPr>
          <w:lang w:val="en-AU" w:eastAsia="en-AU"/>
        </w:rPr>
        <w:t xml:space="preserve"> Family support in the form of both money and values and behaviours also act as enablers (</w:t>
      </w:r>
      <w:r w:rsidR="009A6B18">
        <w:rPr>
          <w:lang w:val="en-AU" w:eastAsia="en-AU"/>
        </w:rPr>
        <w:fldChar w:fldCharType="begin" w:fldLock="1"/>
      </w:r>
      <w:r w:rsidR="00F35135">
        <w:rPr>
          <w:lang w:val="en-AU" w:eastAsia="en-AU"/>
        </w:rPr>
        <w:instrText>ADDIN CSL_CITATION {"citationItems":[{"id":"ITEM-1","itemData":{"DOI":"10.1037/a0029168","ISSN":"1939-0599","author":[{"dropping-particle":"","family":"Schoon","given":"Ingrid","non-dropping-particle":"","parse-names":false,"suffix":""},{"dropping-particle":"","family":"Duckworth","given":"Kathryn","non-dropping-particle":"","parse-names":false,"suffix":""}],"container-title":"Developmental Psychology","id":"ITEM-1","issue":"6","issued":{"date-parts":[["2012"]]},"page":"1719-1726","title":"Who becomes an entrepreneur? Early life experiences as predictors of entrepreneurship.","type":"article-journal","volume":"48"},"uris":["http://www.mendeley.com/documents/?uuid=46c32663-5b4c-456e-9ab1-7d01c6c5ec81"]}],"mendeley":{"formattedCitation":"(Schoon and Duckworth 2012)","manualFormatting":"Schoon and Duckworth (2012)","plainTextFormattedCitation":"(Schoon and Duckworth 2012)","previouslyFormattedCitation":"(Schoon and Duckworth 2012)"},"properties":{"noteIndex":0},"schema":"https://github.com/citation-style-language/schema/raw/master/csl-citation.json"}</w:instrText>
      </w:r>
      <w:r w:rsidR="009A6B18">
        <w:rPr>
          <w:lang w:val="en-AU" w:eastAsia="en-AU"/>
        </w:rPr>
        <w:fldChar w:fldCharType="separate"/>
      </w:r>
      <w:r w:rsidR="009A6B18" w:rsidRPr="009A6B18">
        <w:rPr>
          <w:noProof/>
          <w:lang w:val="en-AU" w:eastAsia="en-AU"/>
        </w:rPr>
        <w:t>Schoon and Duckworth 2012)</w:t>
      </w:r>
      <w:r w:rsidR="009A6B18">
        <w:rPr>
          <w:lang w:val="en-AU" w:eastAsia="en-AU"/>
        </w:rPr>
        <w:fldChar w:fldCharType="end"/>
      </w:r>
      <w:r w:rsidR="00956926">
        <w:rPr>
          <w:lang w:val="en-AU" w:eastAsia="en-AU"/>
        </w:rPr>
        <w:t xml:space="preserve">. </w:t>
      </w:r>
      <w:r w:rsidR="00F84BE3">
        <w:rPr>
          <w:lang w:val="en-AU" w:eastAsia="en-AU"/>
        </w:rPr>
        <w:t xml:space="preserve">Drawing on </w:t>
      </w:r>
      <w:r w:rsidR="00956926">
        <w:rPr>
          <w:lang w:val="en-AU" w:eastAsia="en-AU"/>
        </w:rPr>
        <w:t>universities</w:t>
      </w:r>
      <w:r w:rsidR="00675498">
        <w:rPr>
          <w:lang w:val="en-AU" w:eastAsia="en-AU"/>
        </w:rPr>
        <w:t xml:space="preserve"> known for their established reputation for entrepreneurship</w:t>
      </w:r>
      <w:r w:rsidR="00F84BE3">
        <w:rPr>
          <w:lang w:val="en-AU" w:eastAsia="en-AU"/>
        </w:rPr>
        <w:t xml:space="preserve">, a three-stage </w:t>
      </w:r>
      <w:r w:rsidR="00956926">
        <w:rPr>
          <w:lang w:val="en-AU" w:eastAsia="en-AU"/>
        </w:rPr>
        <w:t xml:space="preserve">enablement </w:t>
      </w:r>
      <w:r w:rsidR="00F84BE3">
        <w:rPr>
          <w:lang w:val="en-AU" w:eastAsia="en-AU"/>
        </w:rPr>
        <w:t>model (educate, stimulate and incubate) was proposed by Jansen et al. (2015) which makes a number of recommendations to encourage entrepreneur</w:t>
      </w:r>
      <w:r w:rsidR="00AA1E6F">
        <w:rPr>
          <w:lang w:val="en-AU" w:eastAsia="en-AU"/>
        </w:rPr>
        <w:t>ship</w:t>
      </w:r>
      <w:r w:rsidR="00F84BE3">
        <w:rPr>
          <w:lang w:val="en-AU" w:eastAsia="en-AU"/>
        </w:rPr>
        <w:t xml:space="preserve"> including supportive faculty, role models, courses, networking and funding. </w:t>
      </w:r>
      <w:r w:rsidR="00675498">
        <w:rPr>
          <w:lang w:val="en-AU" w:eastAsia="en-AU"/>
        </w:rPr>
        <w:t>Not all universities have such infrastructure and t</w:t>
      </w:r>
      <w:r w:rsidR="00574BB2">
        <w:rPr>
          <w:lang w:val="en-AU" w:eastAsia="en-AU"/>
        </w:rPr>
        <w:t>he lack of</w:t>
      </w:r>
      <w:r w:rsidR="005E4B42">
        <w:rPr>
          <w:lang w:val="en-AU" w:eastAsia="en-AU"/>
        </w:rPr>
        <w:t xml:space="preserve"> universally agreed enablers, </w:t>
      </w:r>
      <w:r w:rsidR="00574BB2">
        <w:rPr>
          <w:lang w:val="en-AU" w:eastAsia="en-AU"/>
        </w:rPr>
        <w:t>places universities</w:t>
      </w:r>
      <w:r w:rsidR="005E4B42">
        <w:rPr>
          <w:lang w:val="en-AU" w:eastAsia="en-AU"/>
        </w:rPr>
        <w:t xml:space="preserve"> </w:t>
      </w:r>
      <w:r w:rsidR="00492928">
        <w:rPr>
          <w:lang w:val="en-AU" w:eastAsia="en-AU"/>
        </w:rPr>
        <w:t>at risk</w:t>
      </w:r>
      <w:r w:rsidR="00574BB2">
        <w:rPr>
          <w:lang w:val="en-AU" w:eastAsia="en-AU"/>
        </w:rPr>
        <w:t xml:space="preserve"> of making investments</w:t>
      </w:r>
      <w:r w:rsidR="005E4B42">
        <w:rPr>
          <w:lang w:val="en-AU" w:eastAsia="en-AU"/>
        </w:rPr>
        <w:t xml:space="preserve"> </w:t>
      </w:r>
      <w:r w:rsidR="00574BB2">
        <w:rPr>
          <w:lang w:val="en-AU" w:eastAsia="en-AU"/>
        </w:rPr>
        <w:t xml:space="preserve">that are not </w:t>
      </w:r>
      <w:r w:rsidR="0088122F">
        <w:rPr>
          <w:lang w:val="en-AU" w:eastAsia="en-AU"/>
        </w:rPr>
        <w:t xml:space="preserve">well targeted or inclusive </w:t>
      </w:r>
      <w:r w:rsidR="00675498">
        <w:rPr>
          <w:lang w:val="en-AU" w:eastAsia="en-AU"/>
        </w:rPr>
        <w:t>across student groups and disciplines</w:t>
      </w:r>
      <w:r w:rsidR="00574BB2">
        <w:rPr>
          <w:lang w:val="en-AU" w:eastAsia="en-AU"/>
        </w:rPr>
        <w:t>.</w:t>
      </w:r>
      <w:r w:rsidR="005E4B42">
        <w:rPr>
          <w:lang w:val="en-AU" w:eastAsia="en-AU"/>
        </w:rPr>
        <w:t xml:space="preserve"> </w:t>
      </w:r>
    </w:p>
    <w:p w14:paraId="5FEF8700" w14:textId="77777777" w:rsidR="00086B82" w:rsidRDefault="008F3E9A" w:rsidP="007E58E4">
      <w:pPr>
        <w:pStyle w:val="Heading2"/>
      </w:pPr>
      <w:r w:rsidRPr="00362CFF">
        <w:t>Entrepreneurship in t</w:t>
      </w:r>
      <w:r w:rsidR="00086B82" w:rsidRPr="00362CFF">
        <w:t xml:space="preserve">he </w:t>
      </w:r>
      <w:r w:rsidRPr="00362CFF">
        <w:t xml:space="preserve">IT industry </w:t>
      </w:r>
      <w:r w:rsidR="00086B82" w:rsidRPr="00362CFF">
        <w:t>sector</w:t>
      </w:r>
    </w:p>
    <w:p w14:paraId="031AF9A3" w14:textId="77777777" w:rsidR="00722FB7" w:rsidRDefault="0050715D" w:rsidP="00C435B1">
      <w:pPr>
        <w:pStyle w:val="Paragraph"/>
        <w:rPr>
          <w:lang w:val="en-AU" w:eastAsia="en-AU"/>
        </w:rPr>
      </w:pPr>
      <w:r>
        <w:t xml:space="preserve">The </w:t>
      </w:r>
      <w:r w:rsidR="008F3E9A">
        <w:t xml:space="preserve">IT </w:t>
      </w:r>
      <w:r>
        <w:t xml:space="preserve">sector has </w:t>
      </w:r>
      <w:r w:rsidR="0039099F">
        <w:t xml:space="preserve">a tradition of </w:t>
      </w:r>
      <w:r>
        <w:t xml:space="preserve">high profile </w:t>
      </w:r>
      <w:r w:rsidR="00523C3D">
        <w:t xml:space="preserve">(male) </w:t>
      </w:r>
      <w:r>
        <w:t xml:space="preserve">entrepreneurs who front their organisations at widely-viewed product launches </w:t>
      </w:r>
      <w:r w:rsidR="0039099F">
        <w:t xml:space="preserve">and </w:t>
      </w:r>
      <w:r>
        <w:t>technology fairs</w:t>
      </w:r>
      <w:r w:rsidR="008F3E9A">
        <w:t>.</w:t>
      </w:r>
      <w:r w:rsidR="009712AB" w:rsidRPr="009712AB">
        <w:t xml:space="preserve"> </w:t>
      </w:r>
      <w:r w:rsidR="003F25FA">
        <w:rPr>
          <w:lang w:val="en-AU" w:eastAsia="en-AU"/>
        </w:rPr>
        <w:t>The IT start-up sector is large and growing, fuelled by innovative ideas and high levels of both education and experience</w:t>
      </w:r>
      <w:r w:rsidR="000C0D47">
        <w:rPr>
          <w:lang w:val="en-AU" w:eastAsia="en-AU"/>
        </w:rPr>
        <w:t xml:space="preserve"> </w:t>
      </w:r>
      <w:r w:rsidR="000C0D47">
        <w:rPr>
          <w:lang w:val="en-AU" w:eastAsia="en-AU"/>
        </w:rPr>
        <w:fldChar w:fldCharType="begin" w:fldLock="1"/>
      </w:r>
      <w:r w:rsidR="00F35135">
        <w:rPr>
          <w:lang w:val="en-AU" w:eastAsia="en-AU"/>
        </w:rPr>
        <w:instrText>ADDIN CSL_CITATION {"citationItems":[{"id":"ITEM-1","itemData":{"DOI":"10.1504/IJESB.2009.023020","author":[{"dropping-particle":"","family":"Frank","given":"Robert","non-dropping-particle":"","parse-names":false,"suffix":""},{"dropping-particle":"","family":"Marques","given":"Pierre","non-dropping-particle":"","parse-names":false,"suffix":""},{"dropping-particle":"","family":"Lasch","given":"Frank","non-dropping-particle":"","parse-names":false,"suffix":""}],"container-title":"International Journal of Entrepreneurship and Small Business","id":"ITEM-1","issue":"3","issued":{"date-parts":[["2009"]]},"page":"258-283","title":"Entrepreneurship in emerging high-tech industries : ICT entrepreneurs between experts and kamikazes Entrepreneurship in emerging high-tech industries : ICT entrepreneurs between experts and kamikazes Frank Robert , Pierre Marquès Frédéric Le Roy","type":"article-journal","volume":"7"},"uris":["http://www.mendeley.com/documents/?uuid=27bbc79b-470c-4d9f-a75d-a0cfb52c1872"]}],"mendeley":{"formattedCitation":"(Frank, Marques, and Lasch 2009)","plainTextFormattedCitation":"(Frank, Marques, and Lasch 2009)","previouslyFormattedCitation":"(Frank, Marques, and Lasch 2009)"},"properties":{"noteIndex":0},"schema":"https://github.com/citation-style-language/schema/raw/master/csl-citation.json"}</w:instrText>
      </w:r>
      <w:r w:rsidR="000C0D47">
        <w:rPr>
          <w:lang w:val="en-AU" w:eastAsia="en-AU"/>
        </w:rPr>
        <w:fldChar w:fldCharType="separate"/>
      </w:r>
      <w:r w:rsidR="00C75467" w:rsidRPr="00C75467">
        <w:rPr>
          <w:noProof/>
          <w:lang w:val="en-AU" w:eastAsia="en-AU"/>
        </w:rPr>
        <w:t>(Frank, Marques, and Lasch 2009)</w:t>
      </w:r>
      <w:r w:rsidR="000C0D47">
        <w:rPr>
          <w:lang w:val="en-AU" w:eastAsia="en-AU"/>
        </w:rPr>
        <w:fldChar w:fldCharType="end"/>
      </w:r>
      <w:r w:rsidR="008F3E9A">
        <w:rPr>
          <w:lang w:val="en-AU" w:eastAsia="en-AU"/>
        </w:rPr>
        <w:t xml:space="preserve">; it </w:t>
      </w:r>
      <w:r w:rsidR="008F3E9A">
        <w:t xml:space="preserve">is characterised by the speed of start-up creation (Stayton &amp; </w:t>
      </w:r>
      <w:proofErr w:type="spellStart"/>
      <w:r w:rsidR="008F3E9A">
        <w:t>Ma</w:t>
      </w:r>
      <w:r w:rsidR="00323769">
        <w:t>n</w:t>
      </w:r>
      <w:r w:rsidR="008F3E9A">
        <w:t>gemati</w:t>
      </w:r>
      <w:r w:rsidR="00323769">
        <w:t>n</w:t>
      </w:r>
      <w:proofErr w:type="spellEnd"/>
      <w:r w:rsidR="008F3E9A">
        <w:t xml:space="preserve">, 2016) and high growth potential </w:t>
      </w:r>
      <w:r w:rsidR="008F3E9A">
        <w:fldChar w:fldCharType="begin" w:fldLock="1"/>
      </w:r>
      <w:r w:rsidR="008F3E9A">
        <w:instrText>ADDIN CSL_CITATION {"citationItems":[{"id":"ITEM-1","itemData":{"DOI":"10.1111/jsbm.12272","ISSN":"00472778","author":[{"dropping-particle":"","family":"Morris","given":"Michael H.","non-dropping-particle":"","parse-names":false,"suffix":""},{"dropping-particle":"","family":"Neumeyer","given":"Xaver","non-dropping-particle":"","parse-names":false,"suffix":""},{"dropping-particle":"","family":"Jang","given":"Yongseok","non-dropping-particle":"","parse-names":false,"suffix":""},{"dropping-particle":"","family":"Kuratko","given":"Donald F.","non-dropping-particle":"","parse-names":false,"suffix":""}],"container-title":"Journal of Small Business Management","id":"ITEM-1","issue":"3","issued":{"date-parts":[["2018","7"]]},"page":"453-474","title":"Distinguishing Types of Entrepreneurial Ventures: An Identity-Based Perspective","type":"article-journal","volume":"56"},"uris":["http://www.mendeley.com/documents/?uuid=02830eb0-3b2a-422c-9c6e-ca68cbb39b6f"]}],"mendeley":{"formattedCitation":"(Morris et al. 2018)","plainTextFormattedCitation":"(Morris et al. 2018)","previouslyFormattedCitation":"(Morris et al. 2018)"},"properties":{"noteIndex":0},"schema":"https://github.com/citation-style-language/schema/raw/master/csl-citation.json"}</w:instrText>
      </w:r>
      <w:r w:rsidR="008F3E9A">
        <w:fldChar w:fldCharType="separate"/>
      </w:r>
      <w:r w:rsidR="008F3E9A" w:rsidRPr="00C75467">
        <w:rPr>
          <w:noProof/>
        </w:rPr>
        <w:t>(Morris et al. 2018)</w:t>
      </w:r>
      <w:r w:rsidR="008F3E9A">
        <w:fldChar w:fldCharType="end"/>
      </w:r>
      <w:r w:rsidR="003F25FA">
        <w:rPr>
          <w:lang w:val="en-AU" w:eastAsia="en-AU"/>
        </w:rPr>
        <w:t xml:space="preserve">. </w:t>
      </w:r>
      <w:r w:rsidR="00C435B1">
        <w:fldChar w:fldCharType="begin" w:fldLock="1"/>
      </w:r>
      <w:r w:rsidR="00C435B1">
        <w:instrText>ADDIN CSL_CITATION {"citationItems":[{"id":"ITEM-1","itemData":{"ISSN":"10988394","abstract":"The increase in entrepreneurial activity around the globe has been accompanied by a growth in the number of articles on entrepreneurship education. However, to date there has been little research on entrepreneurship education in the field of information technology in general and on software entrepreneurship education in particular. To address this research gap, we conducted an empirical study based on an extended model of the Theory of Planned Behavior among Information Systems and Computer Science students. We found that Attitude, i.e. whether a person evaluates founding a software company favorably or unfavorably, is the main driver of Information Systems students. In contrast, having a Business Idea is the most influential factor for Computer Science students. A more detailed analysis identified the perception of entrepreneurship as an opportunity for self-fulfillment and a high monetary reward, along with not associating entrepreneurship with a high risk of failure, to have the strongest impact on Information Systems students' Attitude. Based on our findings, we derive recommendations for a more data-driven curriculum design and discuss the implications for developing more entrepreneurially oriented courses tailored to both groups of students. [ABSTRACT FROM AUTHOR]","author":[{"dropping-particle":"","family":"Kaltenecker","given":"Natalie","non-dropping-particle":"","parse-names":false,"suffix":""},{"dropping-particle":"","family":"Hoerndlein","given":"Christian","non-dropping-particle":"","parse-names":false,"suffix":""},{"dropping-particle":"","family":"Hess","given":"Thomas","non-dropping-particle":"","parse-names":false,"suffix":""}],"container-title":"Journal of Entrepreneurship Education","id":"ITEM-1","issue":"2","issued":{"date-parts":[["2015"]]},"note":"http://search.ebscohost.com/login.aspx?direct=true&amp;amp;db=bth&amp;amp;AN=111483017&amp;amp;lang=es&amp;amp;site=ehost-live","page":"39-52","title":"the Drivers of Entrepreneurial Intentions - an Empirical Study Among Information Systems and Computer Science Students.","type":"article-journal","volume":"18"},"uris":["http://www.mendeley.com/documents/?uuid=e27f3501-1d05-42dd-b874-635640043a21"]}],"mendeley":{"formattedCitation":"(Kaltenecker, Hoerndlein, and Hess 2015)","plainTextFormattedCitation":"(Kaltenecker, Hoerndlein, and Hess 2015)","previouslyFormattedCitation":"(Kaltenecker, Hoerndlein, and Hess 2015)"},"properties":{"noteIndex":0},"schema":"https://github.com/citation-style-language/schema/raw/master/csl-citation.json"}</w:instrText>
      </w:r>
      <w:r w:rsidR="00C435B1">
        <w:fldChar w:fldCharType="separate"/>
      </w:r>
      <w:r w:rsidR="00C435B1" w:rsidRPr="00181A4C">
        <w:rPr>
          <w:noProof/>
        </w:rPr>
        <w:t xml:space="preserve">Kaltenecker, Hoerndlein, and Hess </w:t>
      </w:r>
      <w:r w:rsidR="00C435B1">
        <w:rPr>
          <w:noProof/>
        </w:rPr>
        <w:t>(</w:t>
      </w:r>
      <w:r w:rsidR="00C435B1" w:rsidRPr="00181A4C">
        <w:rPr>
          <w:noProof/>
        </w:rPr>
        <w:t>2015)</w:t>
      </w:r>
      <w:r w:rsidR="00C435B1">
        <w:fldChar w:fldCharType="end"/>
      </w:r>
      <w:r w:rsidR="00C435B1">
        <w:t xml:space="preserve"> found having a ‘big idea’ the biggest factor in entrepreneurial intention for computing students. </w:t>
      </w:r>
      <w:r w:rsidR="00022EB9">
        <w:rPr>
          <w:lang w:val="en-AU" w:eastAsia="en-AU"/>
        </w:rPr>
        <w:t>Meanwhile</w:t>
      </w:r>
      <w:r w:rsidR="000C01F2">
        <w:rPr>
          <w:lang w:val="en-AU" w:eastAsia="en-AU"/>
        </w:rPr>
        <w:t xml:space="preserve">, </w:t>
      </w:r>
      <w:r w:rsidR="000C0D47" w:rsidRPr="00A01448">
        <w:rPr>
          <w:lang w:val="en-AU" w:eastAsia="en-AU"/>
        </w:rPr>
        <w:fldChar w:fldCharType="begin" w:fldLock="1"/>
      </w:r>
      <w:r w:rsidR="00F35135">
        <w:rPr>
          <w:lang w:val="en-AU" w:eastAsia="en-AU"/>
        </w:rPr>
        <w:instrText>ADDIN CSL_CITATION {"citationItems":[{"id":"ITEM-1","itemData":{"DOI":"10.5367/ihe.2015.0281","abstract":"During 2005-2006 entrepreneurship students in several UK universities completed a survey about their background and career intentions. This paper reports, eight years on, on a follow-up study with ten of these participants, with the aim of exploring the students' intentions and subsequent actions since graduating. Using a qualitative methodology, the authors examined whether those who were measured as likely to be entrepreneurial are entrepreneurs; and whether the participants consider that their entrepreneurship education experience was valuable. The study finds that career experiences and outcomes are highly idiosyncratic and do not seem to correspond closely to original intentions, regardless of original ambitions. The authors suggest that career destinations are complex in a dynamic graduate employment context, and that entrepreneurship education has a contribution to make for graduates, irrespective of whether or not they become entrepreneurs. The paper identifies a weakness in entrepreneurship education research in its over-reliance on agency-based approaches and its assumption that outcomes are measured in the binary terms of 'entrepreneur' or 'not entrepreneur'. The authors recommend methodological development in the field to capture more appropriately the rich and nuanced relationship between entrepreneurship education and graduate careers. This should lead to a more robust understanding on which to base information for delivery and practice.","author":[{"dropping-particle":"","family":"Galloway","given":"Laura","non-dropping-particle":"","parse-names":false,"suffix":""},{"dropping-particle":"","family":"Kapasi","given":"Isla","non-dropping-particle":"","parse-names":false,"suffix":""},{"dropping-particle":"","family":"Whittam","given":"Geoff","non-dropping-particle":"","parse-names":false,"suffix":""}],"container-title":"Industry and Higher Education","id":"ITEM-1","issue":"6","issued":{"date-parts":[["2015"]]},"page":"505-515","title":"Exploring ‘successful’ outcomes of entrepreneurship education","type":"article-journal","volume":"29"},"uris":["http://www.mendeley.com/documents/?uuid=8006b984-c949-3d71-b89f-4d87ca6b2df3"]}],"mendeley":{"formattedCitation":"(Galloway, Kapasi, and Whittam 2015)","manualFormatting":"Galloway, Kapasi, and Whittam (2015)","plainTextFormattedCitation":"(Galloway, Kapasi, and Whittam 2015)","previouslyFormattedCitation":"(Galloway, Kapasi, and Whittam 2015)"},"properties":{"noteIndex":0},"schema":"https://github.com/citation-style-language/schema/raw/master/csl-citation.json"}</w:instrText>
      </w:r>
      <w:r w:rsidR="000C0D47" w:rsidRPr="00A01448">
        <w:rPr>
          <w:lang w:val="en-AU" w:eastAsia="en-AU"/>
        </w:rPr>
        <w:fldChar w:fldCharType="separate"/>
      </w:r>
      <w:r w:rsidR="000C0D47" w:rsidRPr="00A01448">
        <w:rPr>
          <w:noProof/>
          <w:lang w:val="en-AU" w:eastAsia="en-AU"/>
        </w:rPr>
        <w:t>Galloway, Kapasi, and Whittam (2015)</w:t>
      </w:r>
      <w:r w:rsidR="000C0D47" w:rsidRPr="00A01448">
        <w:rPr>
          <w:lang w:val="en-AU" w:eastAsia="en-AU"/>
        </w:rPr>
        <w:fldChar w:fldCharType="end"/>
      </w:r>
      <w:r w:rsidR="000C0D47">
        <w:rPr>
          <w:lang w:val="en-AU" w:eastAsia="en-AU"/>
        </w:rPr>
        <w:t xml:space="preserve"> </w:t>
      </w:r>
      <w:r w:rsidR="00332EFB">
        <w:rPr>
          <w:lang w:val="en-AU" w:eastAsia="en-AU"/>
        </w:rPr>
        <w:t xml:space="preserve">found little entrepreneurial awareness amongst </w:t>
      </w:r>
      <w:r w:rsidR="00423EBC">
        <w:rPr>
          <w:lang w:val="en-AU" w:eastAsia="en-AU"/>
        </w:rPr>
        <w:t xml:space="preserve">computing </w:t>
      </w:r>
      <w:r w:rsidR="00332EFB">
        <w:rPr>
          <w:lang w:val="en-AU" w:eastAsia="en-AU"/>
        </w:rPr>
        <w:t>placement students</w:t>
      </w:r>
      <w:r w:rsidR="003F25FA">
        <w:rPr>
          <w:lang w:val="en-AU" w:eastAsia="en-AU"/>
        </w:rPr>
        <w:t>.</w:t>
      </w:r>
      <w:r w:rsidR="000C0D47">
        <w:rPr>
          <w:lang w:val="en-AU" w:eastAsia="en-AU"/>
        </w:rPr>
        <w:t xml:space="preserve"> </w:t>
      </w:r>
    </w:p>
    <w:p w14:paraId="3CE789ED" w14:textId="097F46F3" w:rsidR="008B4256" w:rsidRPr="00E01A9C" w:rsidRDefault="00970BA8" w:rsidP="00FF4524">
      <w:pPr>
        <w:pStyle w:val="Paragraph"/>
        <w:rPr>
          <w:lang w:val="en-AU" w:eastAsia="en-AU"/>
        </w:rPr>
      </w:pPr>
      <w:r w:rsidRPr="00E01A9C">
        <w:rPr>
          <w:lang w:val="en-AU" w:eastAsia="en-AU"/>
        </w:rPr>
        <w:t xml:space="preserve">Despite strong representation of entrepreneurialism in the IT sector, little is known about how factors such as gender and </w:t>
      </w:r>
      <w:r>
        <w:rPr>
          <w:lang w:val="en-AU" w:eastAsia="en-AU"/>
        </w:rPr>
        <w:t>institutional context</w:t>
      </w:r>
      <w:r w:rsidRPr="00E01A9C">
        <w:rPr>
          <w:lang w:val="en-AU" w:eastAsia="en-AU"/>
        </w:rPr>
        <w:t xml:space="preserve"> influence the development of entrepreneurial abilit</w:t>
      </w:r>
      <w:r w:rsidR="001D630A">
        <w:rPr>
          <w:lang w:val="en-AU" w:eastAsia="en-AU"/>
        </w:rPr>
        <w:t>y</w:t>
      </w:r>
      <w:r w:rsidRPr="00E01A9C">
        <w:rPr>
          <w:lang w:val="en-AU" w:eastAsia="en-AU"/>
        </w:rPr>
        <w:t xml:space="preserve"> or interest among </w:t>
      </w:r>
      <w:r w:rsidR="00423EBC">
        <w:rPr>
          <w:lang w:val="en-AU" w:eastAsia="en-AU"/>
        </w:rPr>
        <w:t xml:space="preserve">computing </w:t>
      </w:r>
      <w:r w:rsidRPr="00E01A9C">
        <w:rPr>
          <w:lang w:val="en-AU" w:eastAsia="en-AU"/>
        </w:rPr>
        <w:t>students.</w:t>
      </w:r>
      <w:r>
        <w:rPr>
          <w:lang w:val="en-AU" w:eastAsia="en-AU"/>
        </w:rPr>
        <w:t xml:space="preserve"> </w:t>
      </w:r>
      <w:r w:rsidR="00423EBC">
        <w:rPr>
          <w:lang w:val="en-AU" w:eastAsia="en-AU"/>
        </w:rPr>
        <w:t>W</w:t>
      </w:r>
      <w:r w:rsidR="003F25FA">
        <w:rPr>
          <w:lang w:val="en-AU" w:eastAsia="en-AU"/>
        </w:rPr>
        <w:t xml:space="preserve">ith the aim to better understand </w:t>
      </w:r>
      <w:r w:rsidR="00423EBC">
        <w:rPr>
          <w:lang w:val="en-AU" w:eastAsia="en-AU"/>
        </w:rPr>
        <w:t xml:space="preserve">computing </w:t>
      </w:r>
      <w:r w:rsidR="003F25FA">
        <w:rPr>
          <w:lang w:val="en-AU" w:eastAsia="en-AU"/>
        </w:rPr>
        <w:t>student attitudes to entrepreneurship</w:t>
      </w:r>
      <w:r w:rsidR="009B71C4">
        <w:rPr>
          <w:lang w:val="en-AU" w:eastAsia="en-AU"/>
        </w:rPr>
        <w:t>,</w:t>
      </w:r>
      <w:r w:rsidR="003F25FA">
        <w:rPr>
          <w:lang w:val="en-AU" w:eastAsia="en-AU"/>
        </w:rPr>
        <w:t xml:space="preserve"> </w:t>
      </w:r>
      <w:r w:rsidR="00332EFB">
        <w:rPr>
          <w:lang w:val="en-AU" w:eastAsia="en-AU"/>
        </w:rPr>
        <w:t>o</w:t>
      </w:r>
      <w:r w:rsidR="008B4256">
        <w:rPr>
          <w:lang w:val="en-AU" w:eastAsia="en-AU"/>
        </w:rPr>
        <w:t xml:space="preserve">ur questions </w:t>
      </w:r>
      <w:r w:rsidR="009B7B40">
        <w:rPr>
          <w:lang w:val="en-AU" w:eastAsia="en-AU"/>
        </w:rPr>
        <w:t>we</w:t>
      </w:r>
      <w:r w:rsidR="008B4256">
        <w:rPr>
          <w:lang w:val="en-AU" w:eastAsia="en-AU"/>
        </w:rPr>
        <w:t xml:space="preserve">re: for </w:t>
      </w:r>
      <w:r w:rsidR="00423EBC">
        <w:rPr>
          <w:lang w:val="en-AU" w:eastAsia="en-AU"/>
        </w:rPr>
        <w:t xml:space="preserve">computing </w:t>
      </w:r>
      <w:r w:rsidR="008B4256">
        <w:rPr>
          <w:lang w:val="en-AU" w:eastAsia="en-AU"/>
        </w:rPr>
        <w:t xml:space="preserve">students, what </w:t>
      </w:r>
      <w:r w:rsidR="00362CFF">
        <w:rPr>
          <w:lang w:val="en-AU" w:eastAsia="en-AU"/>
        </w:rPr>
        <w:t>plans do they have to become an entrepreneur</w:t>
      </w:r>
      <w:r w:rsidR="008B4256">
        <w:rPr>
          <w:lang w:val="en-AU" w:eastAsia="en-AU"/>
        </w:rPr>
        <w:t xml:space="preserve">; what factors might act as </w:t>
      </w:r>
      <w:r w:rsidR="00034C21">
        <w:rPr>
          <w:lang w:val="en-AU" w:eastAsia="en-AU"/>
        </w:rPr>
        <w:t>motivation</w:t>
      </w:r>
      <w:r w:rsidR="008B4256">
        <w:rPr>
          <w:lang w:val="en-AU" w:eastAsia="en-AU"/>
        </w:rPr>
        <w:t xml:space="preserve"> to take up </w:t>
      </w:r>
      <w:r w:rsidR="000B4DD8">
        <w:rPr>
          <w:lang w:val="en-AU" w:eastAsia="en-AU"/>
        </w:rPr>
        <w:t>entrepreneurship</w:t>
      </w:r>
      <w:r w:rsidR="008B4256">
        <w:rPr>
          <w:lang w:val="en-AU" w:eastAsia="en-AU"/>
        </w:rPr>
        <w:t xml:space="preserve">, what barriers and enablers to </w:t>
      </w:r>
      <w:r w:rsidR="000B4DD8">
        <w:rPr>
          <w:lang w:val="en-AU" w:eastAsia="en-AU"/>
        </w:rPr>
        <w:t>entrepreneurship</w:t>
      </w:r>
      <w:r w:rsidR="008B4256">
        <w:rPr>
          <w:lang w:val="en-AU" w:eastAsia="en-AU"/>
        </w:rPr>
        <w:t xml:space="preserve"> do they identify for themselves</w:t>
      </w:r>
      <w:r w:rsidR="00523C3D">
        <w:rPr>
          <w:lang w:val="en-AU" w:eastAsia="en-AU"/>
        </w:rPr>
        <w:t>?</w:t>
      </w:r>
    </w:p>
    <w:p w14:paraId="19A32D48" w14:textId="77777777" w:rsidR="00DC085F" w:rsidRPr="00BF5353" w:rsidRDefault="00451A00" w:rsidP="00FF4524">
      <w:pPr>
        <w:pStyle w:val="Heading1"/>
      </w:pPr>
      <w:bookmarkStart w:id="3" w:name="_Toc509320052"/>
      <w:bookmarkStart w:id="4" w:name="_Toc509345815"/>
      <w:r w:rsidRPr="00E01A9C">
        <w:lastRenderedPageBreak/>
        <w:t>Methodology</w:t>
      </w:r>
      <w:bookmarkEnd w:id="3"/>
      <w:bookmarkEnd w:id="4"/>
      <w:r w:rsidR="008F15D4">
        <w:t xml:space="preserve"> </w:t>
      </w:r>
    </w:p>
    <w:p w14:paraId="240CE804" w14:textId="5C3C607A" w:rsidR="003F25FA" w:rsidRPr="00E01A9C" w:rsidRDefault="001D630A" w:rsidP="00FF4524">
      <w:pPr>
        <w:pStyle w:val="Paragraph"/>
      </w:pPr>
      <w:r>
        <w:t>The research objectives of the study were to</w:t>
      </w:r>
      <w:r w:rsidRPr="001D630A">
        <w:t xml:space="preserve"> </w:t>
      </w:r>
      <w:r>
        <w:t>reveal the</w:t>
      </w:r>
      <w:r w:rsidRPr="001D630A">
        <w:t xml:space="preserve"> </w:t>
      </w:r>
      <w:r w:rsidR="00362CFF">
        <w:t>entrepreneurial intentions of</w:t>
      </w:r>
      <w:r w:rsidRPr="001D630A">
        <w:t xml:space="preserve"> </w:t>
      </w:r>
      <w:r>
        <w:t>computing students</w:t>
      </w:r>
      <w:r w:rsidRPr="001D630A">
        <w:t xml:space="preserve">; </w:t>
      </w:r>
      <w:r>
        <w:t>to ask what</w:t>
      </w:r>
      <w:r w:rsidRPr="001D630A">
        <w:t xml:space="preserve"> factors might act as </w:t>
      </w:r>
      <w:r>
        <w:t xml:space="preserve">drivers encouraging </w:t>
      </w:r>
      <w:r w:rsidRPr="001D630A">
        <w:t>take</w:t>
      </w:r>
      <w:r w:rsidR="00362CFF">
        <w:t>-</w:t>
      </w:r>
      <w:r w:rsidRPr="001D630A">
        <w:t xml:space="preserve">up </w:t>
      </w:r>
      <w:r w:rsidR="00362CFF">
        <w:t xml:space="preserve">of </w:t>
      </w:r>
      <w:r w:rsidRPr="001D630A">
        <w:t xml:space="preserve">entrepreneurship, </w:t>
      </w:r>
      <w:r>
        <w:t>and to explore the</w:t>
      </w:r>
      <w:r w:rsidRPr="001D630A">
        <w:t xml:space="preserve"> barriers and </w:t>
      </w:r>
      <w:r>
        <w:t>enablers to entrepreneurship</w:t>
      </w:r>
      <w:r w:rsidR="00362CFF">
        <w:t>, across two different institutions</w:t>
      </w:r>
      <w:r>
        <w:t xml:space="preserve">. </w:t>
      </w:r>
      <w:r w:rsidR="00AA1E6F">
        <w:t>A</w:t>
      </w:r>
      <w:r w:rsidR="00AA1E6F" w:rsidRPr="00AA1E6F">
        <w:t xml:space="preserve"> </w:t>
      </w:r>
      <w:r w:rsidR="00442622">
        <w:t>survey</w:t>
      </w:r>
      <w:r w:rsidR="00442622" w:rsidRPr="00AA1E6F">
        <w:t xml:space="preserve"> </w:t>
      </w:r>
      <w:r w:rsidR="00AA1E6F">
        <w:t xml:space="preserve">was developed to </w:t>
      </w:r>
      <w:r w:rsidR="00AA1E6F" w:rsidRPr="00AA1E6F">
        <w:t>explor</w:t>
      </w:r>
      <w:r w:rsidR="00AA1E6F">
        <w:t>e</w:t>
      </w:r>
      <w:r w:rsidR="00AA1E6F" w:rsidRPr="00AA1E6F">
        <w:t xml:space="preserve"> </w:t>
      </w:r>
      <w:r>
        <w:t xml:space="preserve">levels of interest, </w:t>
      </w:r>
      <w:r w:rsidR="00AA1E6F" w:rsidRPr="00AA1E6F">
        <w:t>drivers (motivating factors), barriers and enablers associated with pursuing an entrepreneurial career</w:t>
      </w:r>
      <w:r w:rsidR="00AA1E6F">
        <w:t xml:space="preserve">. </w:t>
      </w:r>
      <w:r w:rsidR="004B4226" w:rsidRPr="004B4226">
        <w:t xml:space="preserve">Two </w:t>
      </w:r>
      <w:r w:rsidR="004B4226" w:rsidRPr="00FF4524">
        <w:t>universities</w:t>
      </w:r>
      <w:r w:rsidR="004B4226" w:rsidRPr="004B4226">
        <w:t xml:space="preserve"> participated in the research study. An online </w:t>
      </w:r>
      <w:r w:rsidR="00442622">
        <w:t>survey</w:t>
      </w:r>
      <w:r w:rsidR="00442622" w:rsidRPr="004B4226">
        <w:t xml:space="preserve"> </w:t>
      </w:r>
      <w:r w:rsidR="004B4226" w:rsidRPr="004B4226">
        <w:t>was developed in Australia</w:t>
      </w:r>
      <w:r w:rsidR="009A1267">
        <w:t xml:space="preserve"> and adapted for use in the UK</w:t>
      </w:r>
      <w:r w:rsidR="004B4226" w:rsidRPr="004B4226">
        <w:t xml:space="preserve">. </w:t>
      </w:r>
    </w:p>
    <w:p w14:paraId="1E2DB886" w14:textId="77777777" w:rsidR="008F15D4" w:rsidRPr="00FF4524" w:rsidRDefault="008F15D4" w:rsidP="00FF4524">
      <w:pPr>
        <w:pStyle w:val="Heading2"/>
      </w:pPr>
      <w:r w:rsidRPr="00FF4524">
        <w:t xml:space="preserve">Participants </w:t>
      </w:r>
    </w:p>
    <w:p w14:paraId="5B0CA2B4" w14:textId="32C1300D" w:rsidR="00D17069" w:rsidRPr="00C4529C" w:rsidRDefault="008F15D4" w:rsidP="00C67ABF">
      <w:pPr>
        <w:rPr>
          <w:lang w:val="en-AU" w:eastAsia="en-AU"/>
        </w:rPr>
      </w:pPr>
      <w:r w:rsidRPr="00C4529C">
        <w:rPr>
          <w:lang w:val="en-AU" w:eastAsia="en-AU"/>
        </w:rPr>
        <w:t>A total of 247 participants</w:t>
      </w:r>
      <w:r w:rsidR="00AA1E6F">
        <w:rPr>
          <w:lang w:val="en-AU" w:eastAsia="en-AU"/>
        </w:rPr>
        <w:t xml:space="preserve"> responded from a pool of 1200. </w:t>
      </w:r>
      <w:r w:rsidR="009A3B01">
        <w:rPr>
          <w:lang w:val="en-AU" w:eastAsia="en-AU"/>
        </w:rPr>
        <w:t>Participants</w:t>
      </w:r>
      <w:r w:rsidR="00AA1E6F">
        <w:rPr>
          <w:lang w:val="en-AU" w:eastAsia="en-AU"/>
        </w:rPr>
        <w:t xml:space="preserve"> were </w:t>
      </w:r>
      <w:r w:rsidR="009A3B01">
        <w:rPr>
          <w:lang w:val="en-AU" w:eastAsia="en-AU"/>
        </w:rPr>
        <w:t xml:space="preserve">all </w:t>
      </w:r>
      <w:r w:rsidR="00AA1E6F" w:rsidRPr="00C4529C">
        <w:rPr>
          <w:lang w:val="en-AU" w:eastAsia="en-AU"/>
        </w:rPr>
        <w:t>enrolled</w:t>
      </w:r>
      <w:r w:rsidRPr="00C4529C">
        <w:rPr>
          <w:lang w:val="en-AU" w:eastAsia="en-AU"/>
        </w:rPr>
        <w:t xml:space="preserve"> in </w:t>
      </w:r>
      <w:r w:rsidR="00884E08">
        <w:rPr>
          <w:lang w:val="en-AU" w:eastAsia="en-AU"/>
        </w:rPr>
        <w:t>computing</w:t>
      </w:r>
      <w:r w:rsidR="00884E08" w:rsidRPr="00C4529C">
        <w:rPr>
          <w:lang w:val="en-AU" w:eastAsia="en-AU"/>
        </w:rPr>
        <w:t xml:space="preserve"> </w:t>
      </w:r>
      <w:r w:rsidR="004B4226" w:rsidRPr="00C4529C">
        <w:rPr>
          <w:lang w:val="en-AU" w:eastAsia="en-AU"/>
        </w:rPr>
        <w:t>courses</w:t>
      </w:r>
      <w:r w:rsidR="00D26C73">
        <w:rPr>
          <w:lang w:val="en-AU" w:eastAsia="en-AU"/>
        </w:rPr>
        <w:t xml:space="preserve"> at </w:t>
      </w:r>
      <w:r w:rsidR="009A3B01">
        <w:rPr>
          <w:lang w:val="en-AU" w:eastAsia="en-AU"/>
        </w:rPr>
        <w:t>various</w:t>
      </w:r>
      <w:r w:rsidR="00D26C73">
        <w:rPr>
          <w:lang w:val="en-AU" w:eastAsia="en-AU"/>
        </w:rPr>
        <w:t xml:space="preserve"> levels</w:t>
      </w:r>
      <w:r w:rsidR="009A3B01">
        <w:rPr>
          <w:b/>
          <w:i/>
          <w:lang w:val="en-AU" w:eastAsia="en-AU"/>
        </w:rPr>
        <w:t>;</w:t>
      </w:r>
      <w:r w:rsidR="004B4226" w:rsidRPr="00C4529C">
        <w:rPr>
          <w:lang w:val="en-AU" w:eastAsia="en-AU"/>
        </w:rPr>
        <w:t xml:space="preserve"> </w:t>
      </w:r>
      <w:r w:rsidRPr="00C4529C">
        <w:rPr>
          <w:lang w:val="en-AU" w:eastAsia="en-AU"/>
        </w:rPr>
        <w:t xml:space="preserve">177 were from </w:t>
      </w:r>
      <w:r w:rsidR="004B4226" w:rsidRPr="00C4529C">
        <w:rPr>
          <w:lang w:val="en-AU" w:eastAsia="en-AU"/>
        </w:rPr>
        <w:t>the</w:t>
      </w:r>
      <w:r w:rsidRPr="00C4529C">
        <w:rPr>
          <w:lang w:val="en-AU" w:eastAsia="en-AU"/>
        </w:rPr>
        <w:t xml:space="preserve"> Aus</w:t>
      </w:r>
      <w:r w:rsidR="004B4226" w:rsidRPr="00C4529C">
        <w:rPr>
          <w:lang w:val="en-AU" w:eastAsia="en-AU"/>
        </w:rPr>
        <w:t>tralian university and 70 from the</w:t>
      </w:r>
      <w:r w:rsidRPr="00C4529C">
        <w:rPr>
          <w:lang w:val="en-AU" w:eastAsia="en-AU"/>
        </w:rPr>
        <w:t xml:space="preserve"> UK </w:t>
      </w:r>
      <w:proofErr w:type="gramStart"/>
      <w:r w:rsidRPr="00C4529C">
        <w:rPr>
          <w:lang w:val="en-AU" w:eastAsia="en-AU"/>
        </w:rPr>
        <w:t>university</w:t>
      </w:r>
      <w:proofErr w:type="gramEnd"/>
      <w:r w:rsidRPr="00C4529C">
        <w:rPr>
          <w:lang w:val="en-AU" w:eastAsia="en-AU"/>
        </w:rPr>
        <w:t xml:space="preserve">. </w:t>
      </w:r>
      <w:r w:rsidR="00442622">
        <w:rPr>
          <w:lang w:val="en-AU" w:eastAsia="en-AU"/>
        </w:rPr>
        <w:t xml:space="preserve">The </w:t>
      </w:r>
      <w:r w:rsidR="008F4DE6">
        <w:rPr>
          <w:lang w:val="en-AU" w:eastAsia="en-AU"/>
        </w:rPr>
        <w:t xml:space="preserve">online </w:t>
      </w:r>
      <w:r w:rsidR="00442622">
        <w:rPr>
          <w:lang w:val="en-AU" w:eastAsia="en-AU"/>
        </w:rPr>
        <w:t xml:space="preserve">survey </w:t>
      </w:r>
      <w:r w:rsidR="008F4DE6">
        <w:rPr>
          <w:lang w:val="en-AU" w:eastAsia="en-AU"/>
        </w:rPr>
        <w:t>link was embedded in</w:t>
      </w:r>
      <w:r w:rsidR="00442622">
        <w:rPr>
          <w:lang w:val="en-AU" w:eastAsia="en-AU"/>
        </w:rPr>
        <w:t xml:space="preserve"> invitations sent by email. In the UK, only undergraduate students were invited to take part </w:t>
      </w:r>
      <w:r w:rsidR="004C5BD5">
        <w:rPr>
          <w:lang w:val="en-AU" w:eastAsia="en-AU"/>
        </w:rPr>
        <w:t>due to the timing of the survey</w:t>
      </w:r>
      <w:r w:rsidR="00442622">
        <w:rPr>
          <w:lang w:val="en-AU" w:eastAsia="en-AU"/>
        </w:rPr>
        <w:t xml:space="preserve">. </w:t>
      </w:r>
      <w:r w:rsidRPr="00C4529C">
        <w:rPr>
          <w:lang w:val="en-AU" w:eastAsia="en-AU"/>
        </w:rPr>
        <w:t xml:space="preserve">Responses that completed </w:t>
      </w:r>
      <w:r w:rsidR="00442622">
        <w:rPr>
          <w:lang w:val="en-AU" w:eastAsia="en-AU"/>
        </w:rPr>
        <w:t xml:space="preserve">only </w:t>
      </w:r>
      <w:r w:rsidRPr="00C4529C">
        <w:rPr>
          <w:lang w:val="en-AU" w:eastAsia="en-AU"/>
        </w:rPr>
        <w:t xml:space="preserve">participant background information were excluded from the analysis. </w:t>
      </w:r>
      <w:r w:rsidR="00022EB9">
        <w:rPr>
          <w:lang w:val="en-AU" w:eastAsia="en-AU"/>
        </w:rPr>
        <w:t>Participant</w:t>
      </w:r>
      <w:r w:rsidRPr="00C4529C">
        <w:rPr>
          <w:lang w:val="en-AU" w:eastAsia="en-AU"/>
        </w:rPr>
        <w:t xml:space="preserve"> demographics </w:t>
      </w:r>
      <w:r w:rsidR="00022EB9">
        <w:rPr>
          <w:lang w:val="en-AU" w:eastAsia="en-AU"/>
        </w:rPr>
        <w:t>are</w:t>
      </w:r>
      <w:r w:rsidRPr="00C4529C">
        <w:rPr>
          <w:lang w:val="en-AU" w:eastAsia="en-AU"/>
        </w:rPr>
        <w:t xml:space="preserve"> shown in Table </w:t>
      </w:r>
      <w:r w:rsidR="00E27B19" w:rsidRPr="00C4529C">
        <w:rPr>
          <w:lang w:val="en-AU" w:eastAsia="en-AU"/>
        </w:rPr>
        <w:t>1</w:t>
      </w:r>
      <w:r w:rsidRPr="00C4529C">
        <w:rPr>
          <w:lang w:val="en-AU" w:eastAsia="en-AU"/>
        </w:rPr>
        <w:t xml:space="preserve">. Although there were fewer female </w:t>
      </w:r>
      <w:r w:rsidR="00884E08">
        <w:rPr>
          <w:lang w:val="en-AU" w:eastAsia="en-AU"/>
        </w:rPr>
        <w:t>computing</w:t>
      </w:r>
      <w:r w:rsidR="00884E08" w:rsidRPr="00C4529C">
        <w:rPr>
          <w:lang w:val="en-AU" w:eastAsia="en-AU"/>
        </w:rPr>
        <w:t xml:space="preserve"> </w:t>
      </w:r>
      <w:r w:rsidRPr="00C4529C">
        <w:rPr>
          <w:lang w:val="en-AU" w:eastAsia="en-AU"/>
        </w:rPr>
        <w:t xml:space="preserve">students (around 20%), this is representative of </w:t>
      </w:r>
      <w:r w:rsidR="00884E08">
        <w:rPr>
          <w:lang w:val="en-AU" w:eastAsia="en-AU"/>
        </w:rPr>
        <w:t>computing</w:t>
      </w:r>
      <w:r w:rsidR="00884E08" w:rsidRPr="00C4529C">
        <w:rPr>
          <w:lang w:val="en-AU" w:eastAsia="en-AU"/>
        </w:rPr>
        <w:t xml:space="preserve"> </w:t>
      </w:r>
      <w:r w:rsidR="004B4226" w:rsidRPr="00C4529C">
        <w:rPr>
          <w:lang w:val="en-AU" w:eastAsia="en-AU"/>
        </w:rPr>
        <w:t>courses</w:t>
      </w:r>
      <w:r w:rsidRPr="00C4529C">
        <w:rPr>
          <w:lang w:val="en-AU" w:eastAsia="en-AU"/>
        </w:rPr>
        <w:t xml:space="preserve"> in both Australia and </w:t>
      </w:r>
      <w:r w:rsidR="00884E08">
        <w:rPr>
          <w:lang w:val="en-AU" w:eastAsia="en-AU"/>
        </w:rPr>
        <w:t>the UK</w:t>
      </w:r>
      <w:r w:rsidRPr="00C4529C">
        <w:rPr>
          <w:lang w:val="en-AU" w:eastAsia="en-AU"/>
        </w:rPr>
        <w:t>.</w:t>
      </w:r>
    </w:p>
    <w:p w14:paraId="0ECAABCF" w14:textId="77777777" w:rsidR="005B110E" w:rsidRPr="004B4226" w:rsidRDefault="004B4226" w:rsidP="004B4226">
      <w:pPr>
        <w:pStyle w:val="TableHeader"/>
      </w:pPr>
      <w:r w:rsidRPr="004B4226">
        <w:t>Table 1: Demographics</w:t>
      </w:r>
    </w:p>
    <w:tbl>
      <w:tblPr>
        <w:tblW w:w="7838" w:type="dxa"/>
        <w:tblLook w:val="04A0" w:firstRow="1" w:lastRow="0" w:firstColumn="1" w:lastColumn="0" w:noHBand="0" w:noVBand="1"/>
      </w:tblPr>
      <w:tblGrid>
        <w:gridCol w:w="2268"/>
        <w:gridCol w:w="2263"/>
        <w:gridCol w:w="1423"/>
        <w:gridCol w:w="1884"/>
      </w:tblGrid>
      <w:tr w:rsidR="00D17069" w:rsidRPr="00D17069" w14:paraId="3FB8B167" w14:textId="77777777" w:rsidTr="00E27B19">
        <w:trPr>
          <w:trHeight w:val="255"/>
        </w:trPr>
        <w:tc>
          <w:tcPr>
            <w:tcW w:w="4531" w:type="dxa"/>
            <w:gridSpan w:val="2"/>
            <w:tcBorders>
              <w:top w:val="single" w:sz="4" w:space="0" w:color="auto"/>
              <w:left w:val="nil"/>
              <w:bottom w:val="single" w:sz="4" w:space="0" w:color="auto"/>
              <w:right w:val="nil"/>
            </w:tcBorders>
            <w:shd w:val="clear" w:color="auto" w:fill="auto"/>
            <w:noWrap/>
            <w:vAlign w:val="center"/>
            <w:hideMark/>
          </w:tcPr>
          <w:p w14:paraId="102DE491" w14:textId="77777777" w:rsidR="00D17069" w:rsidRPr="00D17069" w:rsidRDefault="00D17069" w:rsidP="00D17069">
            <w:pPr>
              <w:spacing w:line="240" w:lineRule="auto"/>
              <w:jc w:val="center"/>
              <w:rPr>
                <w:color w:val="000000"/>
              </w:rPr>
            </w:pPr>
            <w:r w:rsidRPr="00D17069">
              <w:rPr>
                <w:color w:val="000000"/>
              </w:rPr>
              <w:t>Characteristic</w:t>
            </w:r>
          </w:p>
        </w:tc>
        <w:tc>
          <w:tcPr>
            <w:tcW w:w="1423" w:type="dxa"/>
            <w:tcBorders>
              <w:top w:val="single" w:sz="4" w:space="0" w:color="auto"/>
              <w:left w:val="nil"/>
              <w:bottom w:val="single" w:sz="4" w:space="0" w:color="auto"/>
              <w:right w:val="nil"/>
            </w:tcBorders>
            <w:shd w:val="clear" w:color="auto" w:fill="auto"/>
            <w:noWrap/>
            <w:vAlign w:val="center"/>
            <w:hideMark/>
          </w:tcPr>
          <w:p w14:paraId="4BA64346" w14:textId="77777777" w:rsidR="00D17069" w:rsidRPr="00D17069" w:rsidRDefault="00D17069" w:rsidP="00D17069">
            <w:pPr>
              <w:spacing w:line="240" w:lineRule="auto"/>
              <w:jc w:val="center"/>
              <w:rPr>
                <w:color w:val="000000"/>
              </w:rPr>
            </w:pPr>
            <w:r w:rsidRPr="00D17069">
              <w:rPr>
                <w:color w:val="000000"/>
              </w:rPr>
              <w:t>Australia Count (%)</w:t>
            </w:r>
          </w:p>
        </w:tc>
        <w:tc>
          <w:tcPr>
            <w:tcW w:w="1884" w:type="dxa"/>
            <w:tcBorders>
              <w:top w:val="single" w:sz="4" w:space="0" w:color="auto"/>
              <w:left w:val="nil"/>
              <w:bottom w:val="single" w:sz="4" w:space="0" w:color="auto"/>
              <w:right w:val="nil"/>
            </w:tcBorders>
            <w:shd w:val="clear" w:color="auto" w:fill="auto"/>
            <w:noWrap/>
            <w:vAlign w:val="center"/>
            <w:hideMark/>
          </w:tcPr>
          <w:p w14:paraId="446FC1E6" w14:textId="77777777" w:rsidR="00D17069" w:rsidRPr="00D17069" w:rsidRDefault="00D17069" w:rsidP="00D17069">
            <w:pPr>
              <w:spacing w:line="240" w:lineRule="auto"/>
              <w:jc w:val="center"/>
              <w:rPr>
                <w:color w:val="000000"/>
              </w:rPr>
            </w:pPr>
            <w:r w:rsidRPr="00D17069">
              <w:rPr>
                <w:color w:val="000000"/>
              </w:rPr>
              <w:t xml:space="preserve">UK </w:t>
            </w:r>
          </w:p>
          <w:p w14:paraId="0E6E7CDC" w14:textId="77777777" w:rsidR="00D17069" w:rsidRPr="00D17069" w:rsidRDefault="00D17069" w:rsidP="00D17069">
            <w:pPr>
              <w:spacing w:line="240" w:lineRule="auto"/>
              <w:jc w:val="center"/>
              <w:rPr>
                <w:color w:val="000000"/>
              </w:rPr>
            </w:pPr>
            <w:r w:rsidRPr="00D17069">
              <w:rPr>
                <w:color w:val="000000"/>
              </w:rPr>
              <w:t>Count (%)</w:t>
            </w:r>
          </w:p>
        </w:tc>
      </w:tr>
      <w:tr w:rsidR="00D17069" w:rsidRPr="00D17069" w14:paraId="6F6BBDEB" w14:textId="77777777" w:rsidTr="00E27B19">
        <w:trPr>
          <w:trHeight w:val="255"/>
        </w:trPr>
        <w:tc>
          <w:tcPr>
            <w:tcW w:w="2268" w:type="dxa"/>
            <w:vMerge w:val="restart"/>
            <w:tcBorders>
              <w:top w:val="single" w:sz="4" w:space="0" w:color="auto"/>
              <w:left w:val="nil"/>
              <w:bottom w:val="nil"/>
              <w:right w:val="nil"/>
            </w:tcBorders>
            <w:shd w:val="clear" w:color="auto" w:fill="auto"/>
            <w:hideMark/>
          </w:tcPr>
          <w:p w14:paraId="2B7AA013" w14:textId="77777777" w:rsidR="00D17069" w:rsidRPr="00D17069" w:rsidRDefault="00D17069" w:rsidP="00D17069">
            <w:pPr>
              <w:spacing w:line="240" w:lineRule="auto"/>
              <w:rPr>
                <w:color w:val="000000"/>
              </w:rPr>
            </w:pPr>
            <w:r w:rsidRPr="00D17069">
              <w:rPr>
                <w:color w:val="000000"/>
              </w:rPr>
              <w:t>Gender</w:t>
            </w:r>
          </w:p>
        </w:tc>
        <w:tc>
          <w:tcPr>
            <w:tcW w:w="2263" w:type="dxa"/>
            <w:tcBorders>
              <w:top w:val="single" w:sz="4" w:space="0" w:color="auto"/>
              <w:left w:val="nil"/>
              <w:bottom w:val="nil"/>
              <w:right w:val="nil"/>
            </w:tcBorders>
            <w:shd w:val="clear" w:color="auto" w:fill="auto"/>
            <w:hideMark/>
          </w:tcPr>
          <w:p w14:paraId="1A5BC2B6" w14:textId="77777777" w:rsidR="00D17069" w:rsidRPr="00D17069" w:rsidRDefault="00D17069" w:rsidP="00D17069">
            <w:pPr>
              <w:spacing w:line="240" w:lineRule="auto"/>
              <w:rPr>
                <w:color w:val="000000"/>
              </w:rPr>
            </w:pPr>
            <w:r w:rsidRPr="00D17069">
              <w:rPr>
                <w:color w:val="000000"/>
              </w:rPr>
              <w:t>Female</w:t>
            </w:r>
          </w:p>
        </w:tc>
        <w:tc>
          <w:tcPr>
            <w:tcW w:w="1423" w:type="dxa"/>
            <w:tcBorders>
              <w:top w:val="single" w:sz="4" w:space="0" w:color="auto"/>
              <w:left w:val="nil"/>
              <w:bottom w:val="nil"/>
              <w:right w:val="nil"/>
            </w:tcBorders>
            <w:shd w:val="clear" w:color="auto" w:fill="auto"/>
            <w:noWrap/>
            <w:vAlign w:val="center"/>
            <w:hideMark/>
          </w:tcPr>
          <w:p w14:paraId="4D49705F" w14:textId="77777777" w:rsidR="00D17069" w:rsidRPr="00D17069" w:rsidRDefault="00D17069" w:rsidP="00D17069">
            <w:pPr>
              <w:spacing w:line="240" w:lineRule="auto"/>
              <w:jc w:val="right"/>
              <w:rPr>
                <w:color w:val="000000"/>
              </w:rPr>
            </w:pPr>
            <w:r w:rsidRPr="00D17069">
              <w:rPr>
                <w:color w:val="000000"/>
              </w:rPr>
              <w:t>29 (16%)</w:t>
            </w:r>
          </w:p>
        </w:tc>
        <w:tc>
          <w:tcPr>
            <w:tcW w:w="1884" w:type="dxa"/>
            <w:tcBorders>
              <w:top w:val="single" w:sz="4" w:space="0" w:color="auto"/>
              <w:left w:val="nil"/>
              <w:bottom w:val="nil"/>
              <w:right w:val="nil"/>
            </w:tcBorders>
            <w:shd w:val="clear" w:color="auto" w:fill="auto"/>
            <w:noWrap/>
            <w:vAlign w:val="center"/>
            <w:hideMark/>
          </w:tcPr>
          <w:p w14:paraId="1568C574" w14:textId="77777777" w:rsidR="00D17069" w:rsidRPr="00D17069" w:rsidRDefault="00D17069" w:rsidP="00D17069">
            <w:pPr>
              <w:spacing w:line="240" w:lineRule="auto"/>
              <w:jc w:val="right"/>
              <w:rPr>
                <w:color w:val="000000"/>
              </w:rPr>
            </w:pPr>
            <w:r w:rsidRPr="00D17069">
              <w:rPr>
                <w:color w:val="000000"/>
              </w:rPr>
              <w:t>17 (24%)</w:t>
            </w:r>
          </w:p>
        </w:tc>
      </w:tr>
      <w:tr w:rsidR="00D17069" w:rsidRPr="00D17069" w14:paraId="674CD562" w14:textId="77777777" w:rsidTr="00E27B19">
        <w:trPr>
          <w:trHeight w:val="255"/>
        </w:trPr>
        <w:tc>
          <w:tcPr>
            <w:tcW w:w="2268" w:type="dxa"/>
            <w:vMerge/>
            <w:tcBorders>
              <w:top w:val="nil"/>
              <w:left w:val="nil"/>
              <w:bottom w:val="nil"/>
              <w:right w:val="nil"/>
            </w:tcBorders>
            <w:vAlign w:val="center"/>
            <w:hideMark/>
          </w:tcPr>
          <w:p w14:paraId="1361C4DA" w14:textId="77777777" w:rsidR="00D17069" w:rsidRPr="00D17069" w:rsidRDefault="00D17069" w:rsidP="00D17069">
            <w:pPr>
              <w:spacing w:line="240" w:lineRule="auto"/>
              <w:rPr>
                <w:color w:val="000000"/>
              </w:rPr>
            </w:pPr>
          </w:p>
        </w:tc>
        <w:tc>
          <w:tcPr>
            <w:tcW w:w="2263" w:type="dxa"/>
            <w:tcBorders>
              <w:top w:val="nil"/>
              <w:left w:val="nil"/>
              <w:bottom w:val="nil"/>
              <w:right w:val="nil"/>
            </w:tcBorders>
            <w:shd w:val="clear" w:color="auto" w:fill="auto"/>
            <w:hideMark/>
          </w:tcPr>
          <w:p w14:paraId="28C9A900" w14:textId="77777777" w:rsidR="00D17069" w:rsidRPr="00D17069" w:rsidRDefault="00D17069" w:rsidP="00D17069">
            <w:pPr>
              <w:spacing w:line="240" w:lineRule="auto"/>
              <w:rPr>
                <w:color w:val="000000"/>
              </w:rPr>
            </w:pPr>
            <w:r w:rsidRPr="00D17069">
              <w:rPr>
                <w:color w:val="000000"/>
              </w:rPr>
              <w:t>Male</w:t>
            </w:r>
          </w:p>
        </w:tc>
        <w:tc>
          <w:tcPr>
            <w:tcW w:w="1423" w:type="dxa"/>
            <w:tcBorders>
              <w:top w:val="nil"/>
              <w:left w:val="nil"/>
              <w:bottom w:val="nil"/>
              <w:right w:val="nil"/>
            </w:tcBorders>
            <w:shd w:val="clear" w:color="auto" w:fill="auto"/>
            <w:noWrap/>
            <w:vAlign w:val="center"/>
            <w:hideMark/>
          </w:tcPr>
          <w:p w14:paraId="5B653B9E" w14:textId="77777777" w:rsidR="00D17069" w:rsidRPr="00D17069" w:rsidRDefault="00D17069" w:rsidP="00D17069">
            <w:pPr>
              <w:spacing w:line="240" w:lineRule="auto"/>
              <w:jc w:val="right"/>
              <w:rPr>
                <w:color w:val="000000"/>
              </w:rPr>
            </w:pPr>
            <w:r w:rsidRPr="00D17069">
              <w:rPr>
                <w:color w:val="000000"/>
              </w:rPr>
              <w:t>148 (84%)</w:t>
            </w:r>
          </w:p>
        </w:tc>
        <w:tc>
          <w:tcPr>
            <w:tcW w:w="1884" w:type="dxa"/>
            <w:tcBorders>
              <w:top w:val="nil"/>
              <w:left w:val="nil"/>
              <w:bottom w:val="nil"/>
              <w:right w:val="nil"/>
            </w:tcBorders>
            <w:shd w:val="clear" w:color="auto" w:fill="auto"/>
            <w:noWrap/>
            <w:vAlign w:val="center"/>
            <w:hideMark/>
          </w:tcPr>
          <w:p w14:paraId="55ACF556" w14:textId="77777777" w:rsidR="00D17069" w:rsidRPr="00D17069" w:rsidRDefault="00D17069" w:rsidP="00D17069">
            <w:pPr>
              <w:spacing w:line="240" w:lineRule="auto"/>
              <w:jc w:val="right"/>
              <w:rPr>
                <w:color w:val="000000"/>
              </w:rPr>
            </w:pPr>
            <w:r w:rsidRPr="00D17069">
              <w:rPr>
                <w:color w:val="000000"/>
              </w:rPr>
              <w:t>53 (76%)</w:t>
            </w:r>
          </w:p>
        </w:tc>
      </w:tr>
      <w:tr w:rsidR="00D17069" w:rsidRPr="00D17069" w14:paraId="5680A27F" w14:textId="77777777" w:rsidTr="00E27B19">
        <w:trPr>
          <w:trHeight w:val="255"/>
        </w:trPr>
        <w:tc>
          <w:tcPr>
            <w:tcW w:w="2268" w:type="dxa"/>
            <w:vMerge w:val="restart"/>
            <w:tcBorders>
              <w:top w:val="nil"/>
              <w:left w:val="nil"/>
              <w:bottom w:val="nil"/>
              <w:right w:val="nil"/>
            </w:tcBorders>
            <w:shd w:val="clear" w:color="auto" w:fill="auto"/>
            <w:hideMark/>
          </w:tcPr>
          <w:p w14:paraId="09A2F516" w14:textId="77777777" w:rsidR="00D17069" w:rsidRPr="00D17069" w:rsidRDefault="00D17069" w:rsidP="00D17069">
            <w:pPr>
              <w:spacing w:line="240" w:lineRule="auto"/>
              <w:rPr>
                <w:color w:val="000000"/>
              </w:rPr>
            </w:pPr>
            <w:r w:rsidRPr="00D17069">
              <w:rPr>
                <w:color w:val="000000"/>
              </w:rPr>
              <w:t>Age</w:t>
            </w:r>
          </w:p>
        </w:tc>
        <w:tc>
          <w:tcPr>
            <w:tcW w:w="2263" w:type="dxa"/>
            <w:tcBorders>
              <w:top w:val="nil"/>
              <w:left w:val="nil"/>
              <w:bottom w:val="nil"/>
              <w:right w:val="nil"/>
            </w:tcBorders>
            <w:shd w:val="clear" w:color="auto" w:fill="auto"/>
            <w:hideMark/>
          </w:tcPr>
          <w:p w14:paraId="4BA0F05C" w14:textId="77777777" w:rsidR="00D17069" w:rsidRPr="00D17069" w:rsidRDefault="00D17069" w:rsidP="00D17069">
            <w:pPr>
              <w:spacing w:line="240" w:lineRule="auto"/>
              <w:rPr>
                <w:color w:val="000000"/>
              </w:rPr>
            </w:pPr>
            <w:r w:rsidRPr="00D17069">
              <w:rPr>
                <w:color w:val="000000"/>
              </w:rPr>
              <w:t>Below 24</w:t>
            </w:r>
          </w:p>
        </w:tc>
        <w:tc>
          <w:tcPr>
            <w:tcW w:w="1423" w:type="dxa"/>
            <w:tcBorders>
              <w:top w:val="nil"/>
              <w:left w:val="nil"/>
              <w:bottom w:val="nil"/>
              <w:right w:val="nil"/>
            </w:tcBorders>
            <w:shd w:val="clear" w:color="auto" w:fill="auto"/>
            <w:noWrap/>
            <w:vAlign w:val="center"/>
          </w:tcPr>
          <w:p w14:paraId="7831C911" w14:textId="77777777" w:rsidR="00D17069" w:rsidRPr="00D17069" w:rsidRDefault="00D17069" w:rsidP="00D17069">
            <w:pPr>
              <w:spacing w:line="240" w:lineRule="auto"/>
              <w:jc w:val="right"/>
              <w:rPr>
                <w:color w:val="000000"/>
              </w:rPr>
            </w:pPr>
            <w:r w:rsidRPr="00D17069">
              <w:rPr>
                <w:color w:val="000000"/>
              </w:rPr>
              <w:t>89 (50%)</w:t>
            </w:r>
          </w:p>
        </w:tc>
        <w:tc>
          <w:tcPr>
            <w:tcW w:w="1884" w:type="dxa"/>
            <w:tcBorders>
              <w:top w:val="nil"/>
              <w:left w:val="nil"/>
              <w:bottom w:val="nil"/>
              <w:right w:val="nil"/>
            </w:tcBorders>
            <w:shd w:val="clear" w:color="auto" w:fill="auto"/>
            <w:noWrap/>
            <w:vAlign w:val="center"/>
          </w:tcPr>
          <w:p w14:paraId="28FB949A" w14:textId="77777777" w:rsidR="00D17069" w:rsidRPr="00D17069" w:rsidRDefault="00D17069" w:rsidP="00D17069">
            <w:pPr>
              <w:spacing w:line="240" w:lineRule="auto"/>
              <w:jc w:val="right"/>
              <w:rPr>
                <w:color w:val="000000"/>
              </w:rPr>
            </w:pPr>
            <w:r w:rsidRPr="00D17069">
              <w:rPr>
                <w:color w:val="000000"/>
              </w:rPr>
              <w:t>34 (49%)</w:t>
            </w:r>
          </w:p>
        </w:tc>
      </w:tr>
      <w:tr w:rsidR="00D17069" w:rsidRPr="00D17069" w14:paraId="2330D72D" w14:textId="77777777" w:rsidTr="00E27B19">
        <w:trPr>
          <w:trHeight w:val="255"/>
        </w:trPr>
        <w:tc>
          <w:tcPr>
            <w:tcW w:w="2268" w:type="dxa"/>
            <w:vMerge/>
            <w:tcBorders>
              <w:top w:val="nil"/>
              <w:left w:val="nil"/>
              <w:bottom w:val="nil"/>
              <w:right w:val="nil"/>
            </w:tcBorders>
            <w:vAlign w:val="center"/>
            <w:hideMark/>
          </w:tcPr>
          <w:p w14:paraId="1FE6D813" w14:textId="77777777" w:rsidR="00D17069" w:rsidRPr="00D17069" w:rsidRDefault="00D17069" w:rsidP="00D17069">
            <w:pPr>
              <w:spacing w:line="240" w:lineRule="auto"/>
              <w:rPr>
                <w:color w:val="000000"/>
              </w:rPr>
            </w:pPr>
          </w:p>
        </w:tc>
        <w:tc>
          <w:tcPr>
            <w:tcW w:w="2263" w:type="dxa"/>
            <w:tcBorders>
              <w:top w:val="nil"/>
              <w:left w:val="nil"/>
              <w:bottom w:val="nil"/>
              <w:right w:val="nil"/>
            </w:tcBorders>
            <w:shd w:val="clear" w:color="auto" w:fill="auto"/>
            <w:hideMark/>
          </w:tcPr>
          <w:p w14:paraId="75FC26FE" w14:textId="77777777" w:rsidR="00D17069" w:rsidRPr="00D17069" w:rsidRDefault="00D17069" w:rsidP="00D17069">
            <w:pPr>
              <w:spacing w:line="240" w:lineRule="auto"/>
              <w:rPr>
                <w:color w:val="000000"/>
              </w:rPr>
            </w:pPr>
            <w:r w:rsidRPr="00D17069">
              <w:rPr>
                <w:color w:val="000000"/>
              </w:rPr>
              <w:t>25 to 30</w:t>
            </w:r>
          </w:p>
        </w:tc>
        <w:tc>
          <w:tcPr>
            <w:tcW w:w="1423" w:type="dxa"/>
            <w:tcBorders>
              <w:top w:val="nil"/>
              <w:left w:val="nil"/>
              <w:bottom w:val="nil"/>
              <w:right w:val="nil"/>
            </w:tcBorders>
            <w:shd w:val="clear" w:color="auto" w:fill="auto"/>
            <w:noWrap/>
            <w:vAlign w:val="center"/>
          </w:tcPr>
          <w:p w14:paraId="6570D329" w14:textId="77777777" w:rsidR="00D17069" w:rsidRPr="00D17069" w:rsidRDefault="00D17069" w:rsidP="00D17069">
            <w:pPr>
              <w:spacing w:line="240" w:lineRule="auto"/>
              <w:jc w:val="right"/>
              <w:rPr>
                <w:color w:val="000000"/>
              </w:rPr>
            </w:pPr>
            <w:r w:rsidRPr="00D17069">
              <w:rPr>
                <w:color w:val="000000"/>
              </w:rPr>
              <w:t>45 (25%)</w:t>
            </w:r>
          </w:p>
        </w:tc>
        <w:tc>
          <w:tcPr>
            <w:tcW w:w="1884" w:type="dxa"/>
            <w:tcBorders>
              <w:top w:val="nil"/>
              <w:left w:val="nil"/>
              <w:bottom w:val="nil"/>
              <w:right w:val="nil"/>
            </w:tcBorders>
            <w:shd w:val="clear" w:color="auto" w:fill="auto"/>
            <w:noWrap/>
            <w:vAlign w:val="center"/>
          </w:tcPr>
          <w:p w14:paraId="3461B385" w14:textId="77777777" w:rsidR="00D17069" w:rsidRPr="00D17069" w:rsidRDefault="00D17069" w:rsidP="00D17069">
            <w:pPr>
              <w:spacing w:line="240" w:lineRule="auto"/>
              <w:jc w:val="right"/>
              <w:rPr>
                <w:color w:val="000000"/>
              </w:rPr>
            </w:pPr>
            <w:r w:rsidRPr="00D17069">
              <w:rPr>
                <w:color w:val="000000"/>
              </w:rPr>
              <w:t>13 (19%)</w:t>
            </w:r>
          </w:p>
        </w:tc>
      </w:tr>
      <w:tr w:rsidR="00D17069" w:rsidRPr="00D17069" w14:paraId="019DF3E6" w14:textId="77777777" w:rsidTr="00E27B19">
        <w:trPr>
          <w:trHeight w:val="255"/>
        </w:trPr>
        <w:tc>
          <w:tcPr>
            <w:tcW w:w="2268" w:type="dxa"/>
            <w:vMerge/>
            <w:tcBorders>
              <w:top w:val="nil"/>
              <w:left w:val="nil"/>
              <w:bottom w:val="nil"/>
              <w:right w:val="nil"/>
            </w:tcBorders>
            <w:vAlign w:val="center"/>
            <w:hideMark/>
          </w:tcPr>
          <w:p w14:paraId="23BB955E" w14:textId="77777777" w:rsidR="00D17069" w:rsidRPr="00D17069" w:rsidRDefault="00D17069" w:rsidP="00D17069">
            <w:pPr>
              <w:spacing w:line="240" w:lineRule="auto"/>
              <w:rPr>
                <w:color w:val="000000"/>
              </w:rPr>
            </w:pPr>
          </w:p>
        </w:tc>
        <w:tc>
          <w:tcPr>
            <w:tcW w:w="2263" w:type="dxa"/>
            <w:tcBorders>
              <w:top w:val="nil"/>
              <w:left w:val="nil"/>
              <w:bottom w:val="nil"/>
              <w:right w:val="nil"/>
            </w:tcBorders>
            <w:shd w:val="clear" w:color="auto" w:fill="auto"/>
            <w:hideMark/>
          </w:tcPr>
          <w:p w14:paraId="6E5DFD94" w14:textId="77777777" w:rsidR="00D17069" w:rsidRPr="00D17069" w:rsidRDefault="00D17069" w:rsidP="00D17069">
            <w:pPr>
              <w:spacing w:line="240" w:lineRule="auto"/>
              <w:rPr>
                <w:color w:val="000000"/>
              </w:rPr>
            </w:pPr>
            <w:r w:rsidRPr="00D17069">
              <w:rPr>
                <w:color w:val="000000"/>
              </w:rPr>
              <w:t>31 up</w:t>
            </w:r>
          </w:p>
        </w:tc>
        <w:tc>
          <w:tcPr>
            <w:tcW w:w="1423" w:type="dxa"/>
            <w:tcBorders>
              <w:top w:val="nil"/>
              <w:left w:val="nil"/>
              <w:bottom w:val="nil"/>
              <w:right w:val="nil"/>
            </w:tcBorders>
            <w:shd w:val="clear" w:color="auto" w:fill="auto"/>
            <w:noWrap/>
            <w:vAlign w:val="center"/>
          </w:tcPr>
          <w:p w14:paraId="26D60D14" w14:textId="77777777" w:rsidR="00D17069" w:rsidRPr="00D17069" w:rsidRDefault="00D17069" w:rsidP="00D17069">
            <w:pPr>
              <w:spacing w:line="240" w:lineRule="auto"/>
              <w:jc w:val="right"/>
              <w:rPr>
                <w:color w:val="000000"/>
              </w:rPr>
            </w:pPr>
            <w:r w:rsidRPr="00D17069">
              <w:rPr>
                <w:color w:val="000000"/>
              </w:rPr>
              <w:t>44 (25%)</w:t>
            </w:r>
          </w:p>
        </w:tc>
        <w:tc>
          <w:tcPr>
            <w:tcW w:w="1884" w:type="dxa"/>
            <w:tcBorders>
              <w:top w:val="nil"/>
              <w:left w:val="nil"/>
              <w:bottom w:val="nil"/>
              <w:right w:val="nil"/>
            </w:tcBorders>
            <w:shd w:val="clear" w:color="auto" w:fill="auto"/>
            <w:noWrap/>
            <w:vAlign w:val="center"/>
          </w:tcPr>
          <w:p w14:paraId="7CC08AE8" w14:textId="77777777" w:rsidR="00D17069" w:rsidRPr="00D17069" w:rsidRDefault="00D17069" w:rsidP="00D17069">
            <w:pPr>
              <w:spacing w:line="240" w:lineRule="auto"/>
              <w:jc w:val="right"/>
              <w:rPr>
                <w:color w:val="000000"/>
              </w:rPr>
            </w:pPr>
            <w:r w:rsidRPr="00D17069">
              <w:rPr>
                <w:color w:val="000000"/>
              </w:rPr>
              <w:t>24 (33%)</w:t>
            </w:r>
          </w:p>
        </w:tc>
      </w:tr>
      <w:tr w:rsidR="00D17069" w:rsidRPr="00D17069" w14:paraId="42105B02" w14:textId="77777777" w:rsidTr="00E27B19">
        <w:trPr>
          <w:trHeight w:val="416"/>
        </w:trPr>
        <w:tc>
          <w:tcPr>
            <w:tcW w:w="2268" w:type="dxa"/>
            <w:vMerge w:val="restart"/>
            <w:tcBorders>
              <w:top w:val="nil"/>
              <w:left w:val="nil"/>
              <w:bottom w:val="nil"/>
              <w:right w:val="nil"/>
            </w:tcBorders>
            <w:shd w:val="clear" w:color="auto" w:fill="auto"/>
            <w:hideMark/>
          </w:tcPr>
          <w:p w14:paraId="23A27DB9" w14:textId="77777777" w:rsidR="00D17069" w:rsidRPr="00D17069" w:rsidRDefault="00D17069" w:rsidP="00D17069">
            <w:pPr>
              <w:spacing w:line="240" w:lineRule="auto"/>
              <w:rPr>
                <w:color w:val="000000"/>
              </w:rPr>
            </w:pPr>
            <w:r w:rsidRPr="00D17069">
              <w:rPr>
                <w:color w:val="000000"/>
              </w:rPr>
              <w:t>Level of study</w:t>
            </w:r>
          </w:p>
        </w:tc>
        <w:tc>
          <w:tcPr>
            <w:tcW w:w="2263" w:type="dxa"/>
            <w:tcBorders>
              <w:top w:val="nil"/>
              <w:left w:val="nil"/>
              <w:bottom w:val="nil"/>
              <w:right w:val="nil"/>
            </w:tcBorders>
            <w:shd w:val="clear" w:color="auto" w:fill="auto"/>
            <w:hideMark/>
          </w:tcPr>
          <w:p w14:paraId="2BBDDA68" w14:textId="77777777" w:rsidR="00D17069" w:rsidRPr="00D17069" w:rsidRDefault="00D17069" w:rsidP="00D17069">
            <w:pPr>
              <w:spacing w:line="240" w:lineRule="auto"/>
              <w:rPr>
                <w:color w:val="000000"/>
              </w:rPr>
            </w:pPr>
            <w:r w:rsidRPr="00D17069">
              <w:rPr>
                <w:color w:val="000000"/>
              </w:rPr>
              <w:t>Undergraduate</w:t>
            </w:r>
          </w:p>
        </w:tc>
        <w:tc>
          <w:tcPr>
            <w:tcW w:w="1423" w:type="dxa"/>
            <w:tcBorders>
              <w:top w:val="nil"/>
              <w:left w:val="nil"/>
              <w:bottom w:val="nil"/>
              <w:right w:val="nil"/>
            </w:tcBorders>
            <w:shd w:val="clear" w:color="auto" w:fill="auto"/>
            <w:noWrap/>
            <w:vAlign w:val="center"/>
            <w:hideMark/>
          </w:tcPr>
          <w:p w14:paraId="2D708F9A" w14:textId="77777777" w:rsidR="00D17069" w:rsidRPr="00D17069" w:rsidRDefault="00D17069" w:rsidP="00D17069">
            <w:pPr>
              <w:spacing w:line="240" w:lineRule="auto"/>
              <w:jc w:val="right"/>
              <w:rPr>
                <w:color w:val="000000"/>
              </w:rPr>
            </w:pPr>
            <w:r w:rsidRPr="00D17069">
              <w:rPr>
                <w:color w:val="000000"/>
              </w:rPr>
              <w:t>115 (65%)</w:t>
            </w:r>
          </w:p>
        </w:tc>
        <w:tc>
          <w:tcPr>
            <w:tcW w:w="1884" w:type="dxa"/>
            <w:tcBorders>
              <w:top w:val="nil"/>
              <w:left w:val="nil"/>
              <w:bottom w:val="nil"/>
              <w:right w:val="nil"/>
            </w:tcBorders>
            <w:shd w:val="clear" w:color="auto" w:fill="auto"/>
            <w:noWrap/>
            <w:vAlign w:val="center"/>
            <w:hideMark/>
          </w:tcPr>
          <w:p w14:paraId="5241D189" w14:textId="77777777" w:rsidR="00D17069" w:rsidRPr="00D17069" w:rsidRDefault="00D17069" w:rsidP="00D17069">
            <w:pPr>
              <w:spacing w:line="240" w:lineRule="auto"/>
              <w:jc w:val="right"/>
              <w:rPr>
                <w:color w:val="000000"/>
              </w:rPr>
            </w:pPr>
            <w:r w:rsidRPr="00D17069">
              <w:rPr>
                <w:color w:val="000000"/>
              </w:rPr>
              <w:t>70 (100%)</w:t>
            </w:r>
          </w:p>
        </w:tc>
      </w:tr>
      <w:tr w:rsidR="00D17069" w:rsidRPr="00D17069" w14:paraId="5BA3F820" w14:textId="77777777" w:rsidTr="00E27B19">
        <w:trPr>
          <w:trHeight w:val="416"/>
        </w:trPr>
        <w:tc>
          <w:tcPr>
            <w:tcW w:w="2268" w:type="dxa"/>
            <w:vMerge/>
            <w:tcBorders>
              <w:top w:val="nil"/>
              <w:left w:val="nil"/>
              <w:bottom w:val="single" w:sz="4" w:space="0" w:color="auto"/>
              <w:right w:val="nil"/>
            </w:tcBorders>
            <w:vAlign w:val="center"/>
            <w:hideMark/>
          </w:tcPr>
          <w:p w14:paraId="088042FB" w14:textId="77777777" w:rsidR="00D17069" w:rsidRPr="00D17069" w:rsidRDefault="00D17069" w:rsidP="00D17069">
            <w:pPr>
              <w:spacing w:line="240" w:lineRule="auto"/>
              <w:rPr>
                <w:color w:val="000000"/>
              </w:rPr>
            </w:pPr>
          </w:p>
        </w:tc>
        <w:tc>
          <w:tcPr>
            <w:tcW w:w="2263" w:type="dxa"/>
            <w:tcBorders>
              <w:top w:val="nil"/>
              <w:left w:val="nil"/>
              <w:bottom w:val="single" w:sz="4" w:space="0" w:color="auto"/>
              <w:right w:val="nil"/>
            </w:tcBorders>
            <w:shd w:val="clear" w:color="auto" w:fill="auto"/>
            <w:hideMark/>
          </w:tcPr>
          <w:p w14:paraId="3B965633" w14:textId="77777777" w:rsidR="00D17069" w:rsidRPr="00D17069" w:rsidRDefault="00D17069" w:rsidP="00D17069">
            <w:pPr>
              <w:spacing w:line="240" w:lineRule="auto"/>
              <w:rPr>
                <w:color w:val="000000"/>
              </w:rPr>
            </w:pPr>
            <w:r w:rsidRPr="00D17069">
              <w:rPr>
                <w:color w:val="000000"/>
              </w:rPr>
              <w:t>Postgraduate</w:t>
            </w:r>
          </w:p>
        </w:tc>
        <w:tc>
          <w:tcPr>
            <w:tcW w:w="1423" w:type="dxa"/>
            <w:tcBorders>
              <w:top w:val="nil"/>
              <w:left w:val="nil"/>
              <w:bottom w:val="single" w:sz="4" w:space="0" w:color="auto"/>
              <w:right w:val="nil"/>
            </w:tcBorders>
            <w:shd w:val="clear" w:color="auto" w:fill="auto"/>
            <w:noWrap/>
            <w:vAlign w:val="center"/>
            <w:hideMark/>
          </w:tcPr>
          <w:p w14:paraId="1175B327" w14:textId="77777777" w:rsidR="00D17069" w:rsidRPr="00D17069" w:rsidRDefault="00D17069" w:rsidP="00D17069">
            <w:pPr>
              <w:spacing w:line="240" w:lineRule="auto"/>
              <w:jc w:val="right"/>
              <w:rPr>
                <w:color w:val="000000"/>
              </w:rPr>
            </w:pPr>
            <w:r w:rsidRPr="00D17069">
              <w:rPr>
                <w:color w:val="000000"/>
              </w:rPr>
              <w:t>61 (35%)</w:t>
            </w:r>
          </w:p>
        </w:tc>
        <w:tc>
          <w:tcPr>
            <w:tcW w:w="1884" w:type="dxa"/>
            <w:tcBorders>
              <w:top w:val="nil"/>
              <w:left w:val="nil"/>
              <w:bottom w:val="single" w:sz="4" w:space="0" w:color="auto"/>
              <w:right w:val="nil"/>
            </w:tcBorders>
            <w:shd w:val="clear" w:color="auto" w:fill="auto"/>
            <w:noWrap/>
            <w:vAlign w:val="center"/>
            <w:hideMark/>
          </w:tcPr>
          <w:p w14:paraId="6B66A3BA" w14:textId="77777777" w:rsidR="00D17069" w:rsidRPr="00D17069" w:rsidRDefault="00D17069" w:rsidP="00D17069">
            <w:pPr>
              <w:spacing w:line="240" w:lineRule="auto"/>
              <w:jc w:val="right"/>
              <w:rPr>
                <w:color w:val="000000"/>
              </w:rPr>
            </w:pPr>
            <w:r w:rsidRPr="00D17069">
              <w:rPr>
                <w:color w:val="000000"/>
              </w:rPr>
              <w:t>0 (0%)</w:t>
            </w:r>
          </w:p>
        </w:tc>
      </w:tr>
    </w:tbl>
    <w:p w14:paraId="3C72D0A5" w14:textId="77777777" w:rsidR="009A1267" w:rsidRDefault="009A1267" w:rsidP="00823DE2"/>
    <w:p w14:paraId="1BBB2ECC" w14:textId="77777777" w:rsidR="00022EB9" w:rsidRDefault="00271A31" w:rsidP="00353317">
      <w:pPr>
        <w:pStyle w:val="Heading2"/>
      </w:pPr>
      <w:r w:rsidRPr="00AA52EC">
        <w:t xml:space="preserve">Instrument </w:t>
      </w:r>
    </w:p>
    <w:p w14:paraId="76FF0E50" w14:textId="385D2BA1" w:rsidR="000B6E10" w:rsidRDefault="00823DE2" w:rsidP="00C95F67">
      <w:pPr>
        <w:pStyle w:val="Paragraph"/>
      </w:pPr>
      <w:r w:rsidRPr="00823DE2">
        <w:t xml:space="preserve">The aim of the </w:t>
      </w:r>
      <w:r w:rsidR="00442622">
        <w:t>survey</w:t>
      </w:r>
      <w:r w:rsidR="00442622" w:rsidRPr="00823DE2">
        <w:t xml:space="preserve"> </w:t>
      </w:r>
      <w:r w:rsidRPr="00823DE2">
        <w:t xml:space="preserve">was to gather broad statistical information on the entrepreneurial intentions </w:t>
      </w:r>
      <w:r w:rsidRPr="00823DE2">
        <w:lastRenderedPageBreak/>
        <w:t xml:space="preserve">of </w:t>
      </w:r>
      <w:r w:rsidR="00884E08">
        <w:t xml:space="preserve">computing </w:t>
      </w:r>
      <w:r w:rsidRPr="00823DE2">
        <w:t>students at</w:t>
      </w:r>
      <w:r w:rsidR="00456160">
        <w:t xml:space="preserve"> each university </w:t>
      </w:r>
      <w:r w:rsidR="00AA1E6F">
        <w:t xml:space="preserve">then </w:t>
      </w:r>
      <w:r w:rsidR="00456160">
        <w:t xml:space="preserve">to explore whether </w:t>
      </w:r>
      <w:r w:rsidRPr="00823DE2">
        <w:t xml:space="preserve">gender and </w:t>
      </w:r>
      <w:r w:rsidR="00456160">
        <w:t>institutional context</w:t>
      </w:r>
      <w:r w:rsidRPr="00823DE2">
        <w:t xml:space="preserve"> shape their career decisions. Questions included gender, age, level of study and a free-text option for career and entrepreneurship plans. </w:t>
      </w:r>
      <w:r w:rsidR="00456160">
        <w:t>Based on previous studie</w:t>
      </w:r>
      <w:r w:rsidR="00A039F4">
        <w:t>s</w:t>
      </w:r>
      <w:r w:rsidR="00456160">
        <w:t xml:space="preserve"> cited in the literature review, </w:t>
      </w:r>
      <w:r w:rsidR="00456160" w:rsidRPr="005D2157">
        <w:t>q</w:t>
      </w:r>
      <w:r w:rsidRPr="005D2157">
        <w:t xml:space="preserve">uestions </w:t>
      </w:r>
      <w:r w:rsidR="00AA52EC">
        <w:t>on</w:t>
      </w:r>
      <w:r w:rsidR="00AA52EC" w:rsidRPr="005D2157">
        <w:t xml:space="preserve"> </w:t>
      </w:r>
      <w:r w:rsidR="00AD5F36" w:rsidRPr="005D2157">
        <w:t>drivers/</w:t>
      </w:r>
      <w:r w:rsidRPr="005D2157">
        <w:t xml:space="preserve">motivations to take up entrepreneurship (9 items), barriers (10 items) and </w:t>
      </w:r>
      <w:r w:rsidR="00AD5F36" w:rsidRPr="005D2157">
        <w:t>enablers</w:t>
      </w:r>
      <w:r w:rsidRPr="005D2157">
        <w:t xml:space="preserve"> (10 items) were included as five-point Likert scale statement</w:t>
      </w:r>
      <w:r w:rsidR="00A039F4">
        <w:t>s</w:t>
      </w:r>
      <w:r w:rsidRPr="005D2157">
        <w:t>. A score of five represent</w:t>
      </w:r>
      <w:r w:rsidR="00A039F4">
        <w:t>ed</w:t>
      </w:r>
      <w:r w:rsidRPr="005D2157">
        <w:t xml:space="preserve"> a high agreement and a score of one represent</w:t>
      </w:r>
      <w:r w:rsidR="00A039F4">
        <w:t>ed</w:t>
      </w:r>
      <w:r w:rsidRPr="005D2157">
        <w:t xml:space="preserve"> disagreement with the statement. </w:t>
      </w:r>
      <w:r w:rsidR="00A039F4">
        <w:t>The</w:t>
      </w:r>
      <w:r w:rsidRPr="005D2157">
        <w:t xml:space="preserve"> instrument was designed from </w:t>
      </w:r>
      <w:r w:rsidR="00A039F4">
        <w:t xml:space="preserve">a </w:t>
      </w:r>
      <w:r w:rsidRPr="005D2157">
        <w:t>consolidation of factors suggested by various studies,</w:t>
      </w:r>
      <w:r w:rsidR="00A039F4">
        <w:t xml:space="preserve"> thus a</w:t>
      </w:r>
      <w:r w:rsidRPr="005D2157">
        <w:t xml:space="preserve"> principal component analysis </w:t>
      </w:r>
      <w:r w:rsidR="009B7B40">
        <w:t xml:space="preserve">(PCA) </w:t>
      </w:r>
      <w:r w:rsidRPr="005D2157">
        <w:t>was conducted to pool the various factors together</w:t>
      </w:r>
      <w:r w:rsidR="00A039F4">
        <w:t xml:space="preserve"> prior to seeking significant differences</w:t>
      </w:r>
      <w:r w:rsidRPr="005D2157">
        <w:t>.</w:t>
      </w:r>
      <w:r w:rsidRPr="00823DE2">
        <w:t xml:space="preserve"> </w:t>
      </w:r>
      <w:r w:rsidR="00D5082C" w:rsidRPr="00823DE2">
        <w:t xml:space="preserve"> </w:t>
      </w:r>
      <w:r w:rsidR="009B7B40">
        <w:t xml:space="preserve">The PCA </w:t>
      </w:r>
      <w:r w:rsidR="000B6E10">
        <w:t>was conducted using</w:t>
      </w:r>
      <w:r w:rsidR="000B6E10" w:rsidRPr="00823DE2">
        <w:t xml:space="preserve"> </w:t>
      </w:r>
      <w:proofErr w:type="spellStart"/>
      <w:r w:rsidR="000B6E10" w:rsidRPr="00823DE2">
        <w:t>varimax</w:t>
      </w:r>
      <w:proofErr w:type="spellEnd"/>
      <w:r w:rsidR="000B6E10" w:rsidRPr="00823DE2">
        <w:t xml:space="preserve"> rotation </w:t>
      </w:r>
      <w:r w:rsidR="000B6E10">
        <w:t>and</w:t>
      </w:r>
      <w:r w:rsidR="000B6E10" w:rsidRPr="00823DE2">
        <w:t xml:space="preserve"> run separately for </w:t>
      </w:r>
      <w:r w:rsidR="000B6E10">
        <w:t>drivers</w:t>
      </w:r>
      <w:r w:rsidR="000B6E10" w:rsidRPr="00823DE2">
        <w:t xml:space="preserve">, barriers and </w:t>
      </w:r>
      <w:r w:rsidR="000B6E10">
        <w:t>enablers.</w:t>
      </w:r>
      <w:r w:rsidR="000B6E10" w:rsidRPr="00823DE2">
        <w:t xml:space="preserve"> The overall Kaiser-Meyer-</w:t>
      </w:r>
      <w:proofErr w:type="spellStart"/>
      <w:r w:rsidR="000B6E10" w:rsidRPr="00823DE2">
        <w:t>Olkin</w:t>
      </w:r>
      <w:proofErr w:type="spellEnd"/>
      <w:r w:rsidR="000B6E10" w:rsidRPr="00823DE2">
        <w:t xml:space="preserve"> (KMO) sampling adequacy was met for each of the questions. Bartlett’s test of </w:t>
      </w:r>
      <w:proofErr w:type="spellStart"/>
      <w:r w:rsidR="000B6E10" w:rsidRPr="00823DE2">
        <w:t>sphericity</w:t>
      </w:r>
      <w:proofErr w:type="spellEnd"/>
      <w:r w:rsidR="000B6E10" w:rsidRPr="00823DE2">
        <w:t xml:space="preserve"> was statistically significant (p&lt;.0005) which indicates that the data was factorable. Internal reliability of each factor was assessed using Cronbach’s alpha.</w:t>
      </w:r>
    </w:p>
    <w:p w14:paraId="31D51AD5" w14:textId="5D6A7024" w:rsidR="0068295C" w:rsidRDefault="00D26C73" w:rsidP="000B6E10">
      <w:r>
        <w:t>T</w:t>
      </w:r>
      <w:r w:rsidR="0068295C" w:rsidRPr="00823DE2">
        <w:t>hree factors emerged</w:t>
      </w:r>
      <w:r>
        <w:t xml:space="preserve"> as reasons to take up entrepreneurship (drivers)</w:t>
      </w:r>
      <w:r w:rsidR="0068295C">
        <w:t xml:space="preserve">: </w:t>
      </w:r>
      <w:r w:rsidR="0068295C" w:rsidRPr="00823DE2">
        <w:t>external motivators</w:t>
      </w:r>
      <w:r w:rsidR="0068295C">
        <w:t xml:space="preserve"> (.725)</w:t>
      </w:r>
      <w:r w:rsidR="0068295C" w:rsidRPr="00823DE2">
        <w:t>, internal motivators</w:t>
      </w:r>
      <w:r w:rsidR="0068295C">
        <w:t xml:space="preserve"> (.678)</w:t>
      </w:r>
      <w:r w:rsidR="0068295C" w:rsidRPr="00823DE2">
        <w:t xml:space="preserve"> and job flexibility</w:t>
      </w:r>
      <w:r w:rsidR="0068295C">
        <w:t xml:space="preserve"> (.653)</w:t>
      </w:r>
      <w:r w:rsidR="0068295C" w:rsidRPr="00823DE2">
        <w:t>. The barriers were categorised into three factors: internal or self-limiting factors</w:t>
      </w:r>
      <w:r w:rsidR="0068295C">
        <w:t xml:space="preserve"> (.746)</w:t>
      </w:r>
      <w:r w:rsidR="0068295C" w:rsidRPr="00823DE2">
        <w:t xml:space="preserve">; external barriers </w:t>
      </w:r>
      <w:r w:rsidR="0068295C">
        <w:t xml:space="preserve">(.634) </w:t>
      </w:r>
      <w:r w:rsidR="0068295C" w:rsidRPr="00823DE2">
        <w:t>and personal circumstances</w:t>
      </w:r>
      <w:r w:rsidR="0068295C">
        <w:t xml:space="preserve"> (.561)</w:t>
      </w:r>
      <w:r w:rsidR="0068295C" w:rsidRPr="00823DE2">
        <w:t>. The enablers/support mechanisms were also categorised into three factors: idea generation</w:t>
      </w:r>
      <w:r w:rsidR="0068295C">
        <w:t xml:space="preserve"> (.835)</w:t>
      </w:r>
      <w:r w:rsidR="0068295C" w:rsidRPr="00823DE2">
        <w:t>; policy</w:t>
      </w:r>
      <w:r w:rsidR="0068295C">
        <w:t xml:space="preserve"> (</w:t>
      </w:r>
      <w:r w:rsidR="00D5082C">
        <w:t>.821)</w:t>
      </w:r>
      <w:r w:rsidR="0068295C" w:rsidRPr="00823DE2">
        <w:t xml:space="preserve"> and implementation support</w:t>
      </w:r>
      <w:r w:rsidR="00D5082C">
        <w:t xml:space="preserve"> (.704)</w:t>
      </w:r>
      <w:r w:rsidR="000B6E10">
        <w:t xml:space="preserve">. </w:t>
      </w:r>
      <w:r w:rsidR="00CC18C6" w:rsidRPr="00CC18C6">
        <w:t xml:space="preserve">Appendix A </w:t>
      </w:r>
      <w:r w:rsidR="00CC18C6">
        <w:t>contains a</w:t>
      </w:r>
      <w:r w:rsidR="000B6E10">
        <w:t xml:space="preserve"> breakdown of the results of the PCA. </w:t>
      </w:r>
    </w:p>
    <w:p w14:paraId="575CF50F" w14:textId="765F156B" w:rsidR="006C1B48" w:rsidRDefault="00790906" w:rsidP="006C1B48">
      <w:pPr>
        <w:pStyle w:val="Heading2"/>
      </w:pPr>
      <w:r>
        <w:t>A</w:t>
      </w:r>
      <w:r w:rsidR="006C1B48">
        <w:t>nalysis</w:t>
      </w:r>
    </w:p>
    <w:p w14:paraId="6C3F6593" w14:textId="2CD56125" w:rsidR="006C1B48" w:rsidRPr="006C1B48" w:rsidRDefault="004E2FA4" w:rsidP="00790906">
      <w:r>
        <w:t>Entrepreneurial intent was measured using the r</w:t>
      </w:r>
      <w:r w:rsidR="006C1B48">
        <w:t>esponses to the free</w:t>
      </w:r>
      <w:r w:rsidR="00CF4A3F">
        <w:t>-</w:t>
      </w:r>
      <w:r w:rsidR="006C1B48">
        <w:t xml:space="preserve">text question </w:t>
      </w:r>
      <w:r w:rsidR="004C5BD5">
        <w:t xml:space="preserve">“Do you </w:t>
      </w:r>
      <w:r w:rsidR="006C1B48">
        <w:t>plan to become an entrepreneur</w:t>
      </w:r>
      <w:r w:rsidR="004C5BD5">
        <w:t>?”</w:t>
      </w:r>
      <w:r w:rsidR="006C1B48">
        <w:t xml:space="preserve"> and their reasons for that intent</w:t>
      </w:r>
      <w:r>
        <w:t>. Responses</w:t>
      </w:r>
      <w:r w:rsidR="006C1B48">
        <w:t xml:space="preserve"> were coded into: yes, no, and maybe. </w:t>
      </w:r>
      <w:r w:rsidR="0021108C">
        <w:t xml:space="preserve">Chi-square tests of homogeneity were run to compare the distribution of responses by </w:t>
      </w:r>
      <w:r>
        <w:t>participant age, gender and level of study</w:t>
      </w:r>
      <w:r w:rsidR="00790906">
        <w:t xml:space="preserve"> (Table 2)</w:t>
      </w:r>
      <w:r>
        <w:t>.</w:t>
      </w:r>
      <w:r w:rsidR="0021108C">
        <w:t xml:space="preserve"> </w:t>
      </w:r>
      <w:r w:rsidR="00C41EE3">
        <w:t>Descriptive statistics (mean</w:t>
      </w:r>
      <w:r w:rsidR="00AD1D1A">
        <w:t xml:space="preserve"> and standard deviation</w:t>
      </w:r>
      <w:r w:rsidR="00C41EE3">
        <w:t xml:space="preserve">) </w:t>
      </w:r>
      <w:r w:rsidR="00AD1D1A">
        <w:t xml:space="preserve">at item and factor level </w:t>
      </w:r>
      <w:r w:rsidR="00C41EE3">
        <w:t xml:space="preserve">were used to </w:t>
      </w:r>
      <w:r w:rsidR="00AD1D1A">
        <w:t>illustrate student perceptions of</w:t>
      </w:r>
      <w:r w:rsidR="00AD1D1A" w:rsidRPr="00823DE2">
        <w:t xml:space="preserve"> the importance of </w:t>
      </w:r>
      <w:r w:rsidR="00AD1D1A">
        <w:lastRenderedPageBreak/>
        <w:t xml:space="preserve">drivers, </w:t>
      </w:r>
      <w:r w:rsidR="00AD1D1A" w:rsidRPr="00823DE2">
        <w:t xml:space="preserve">barriers </w:t>
      </w:r>
      <w:r w:rsidR="00AD1D1A">
        <w:t xml:space="preserve">and enablers </w:t>
      </w:r>
      <w:r w:rsidR="00AD1D1A" w:rsidRPr="00823DE2">
        <w:t>affecting entrepreneuri</w:t>
      </w:r>
      <w:r w:rsidR="00AD1D1A">
        <w:t xml:space="preserve">al intention </w:t>
      </w:r>
      <w:r w:rsidR="00790906">
        <w:t>(Table 3)</w:t>
      </w:r>
      <w:r w:rsidR="00C41EE3">
        <w:t xml:space="preserve">. </w:t>
      </w:r>
      <w:r w:rsidR="00C41EE3" w:rsidRPr="00823DE2">
        <w:t xml:space="preserve">To investigate gender and </w:t>
      </w:r>
      <w:r w:rsidR="00C41EE3">
        <w:t>institutional</w:t>
      </w:r>
      <w:r w:rsidR="00C41EE3" w:rsidRPr="00823DE2">
        <w:t xml:space="preserve"> differences</w:t>
      </w:r>
      <w:r w:rsidR="00790906">
        <w:t>,</w:t>
      </w:r>
      <w:r w:rsidR="00C41EE3" w:rsidRPr="00823DE2">
        <w:t xml:space="preserve"> a two-way analysis of variance was carried out for </w:t>
      </w:r>
      <w:r w:rsidR="00790906">
        <w:t xml:space="preserve">each of the factors on </w:t>
      </w:r>
      <w:r w:rsidR="00AD1D1A">
        <w:t xml:space="preserve">drivers, </w:t>
      </w:r>
      <w:r w:rsidR="00C41EE3">
        <w:t>barriers</w:t>
      </w:r>
      <w:r w:rsidR="00AD1D1A">
        <w:t xml:space="preserve"> and </w:t>
      </w:r>
      <w:r w:rsidR="00C41EE3">
        <w:t>enable</w:t>
      </w:r>
      <w:r w:rsidR="00AD1D1A">
        <w:t>rs</w:t>
      </w:r>
      <w:r w:rsidR="00C41EE3">
        <w:t xml:space="preserve"> </w:t>
      </w:r>
      <w:r w:rsidR="00790906">
        <w:t>(Table 4)</w:t>
      </w:r>
      <w:r w:rsidR="00C41EE3">
        <w:t xml:space="preserve">. </w:t>
      </w:r>
    </w:p>
    <w:p w14:paraId="57733C50" w14:textId="77777777" w:rsidR="00A039F4" w:rsidRPr="00823DE2" w:rsidRDefault="00A039F4" w:rsidP="00A039F4">
      <w:pPr>
        <w:pStyle w:val="Heading1"/>
      </w:pPr>
      <w:r w:rsidRPr="00823DE2">
        <w:t>Results and discussion</w:t>
      </w:r>
    </w:p>
    <w:p w14:paraId="7ADDA838" w14:textId="1205EEA6" w:rsidR="00A039F4" w:rsidRPr="00823DE2" w:rsidRDefault="00A039F4" w:rsidP="00A039F4">
      <w:pPr>
        <w:pStyle w:val="Heading2"/>
      </w:pPr>
      <w:r w:rsidRPr="00823DE2">
        <w:t>Entrepreneurial intention</w:t>
      </w:r>
    </w:p>
    <w:p w14:paraId="248B6069" w14:textId="3FF2D582" w:rsidR="00A039F4" w:rsidRDefault="00A039F4" w:rsidP="00A039F4">
      <w:pPr>
        <w:pStyle w:val="Paragraph"/>
        <w:rPr>
          <w:lang w:val="en-US"/>
        </w:rPr>
      </w:pPr>
      <w:r>
        <w:rPr>
          <w:lang w:val="en-US"/>
        </w:rPr>
        <w:t xml:space="preserve">Table </w:t>
      </w:r>
      <w:r w:rsidR="00EB2156">
        <w:rPr>
          <w:lang w:val="en-US"/>
        </w:rPr>
        <w:t>2</w:t>
      </w:r>
      <w:r w:rsidRPr="00823DE2">
        <w:rPr>
          <w:lang w:val="en-US"/>
        </w:rPr>
        <w:t xml:space="preserve"> shows the percentages of students considering becoming IT entrepreneurs</w:t>
      </w:r>
      <w:r w:rsidR="00637B85">
        <w:rPr>
          <w:lang w:val="en-US"/>
        </w:rPr>
        <w:t xml:space="preserve"> overall by university</w:t>
      </w:r>
      <w:r w:rsidRPr="00823DE2">
        <w:rPr>
          <w:lang w:val="en-US"/>
        </w:rPr>
        <w:t xml:space="preserve">. The </w:t>
      </w:r>
      <w:r w:rsidR="00442622">
        <w:rPr>
          <w:lang w:val="en-US"/>
        </w:rPr>
        <w:t>survey</w:t>
      </w:r>
      <w:r w:rsidR="00442622" w:rsidRPr="00823DE2">
        <w:rPr>
          <w:lang w:val="en-US"/>
        </w:rPr>
        <w:t xml:space="preserve"> </w:t>
      </w:r>
      <w:r w:rsidR="00EA4F94">
        <w:rPr>
          <w:lang w:val="en-US"/>
        </w:rPr>
        <w:t xml:space="preserve">asked whether the participant </w:t>
      </w:r>
      <w:r w:rsidR="00EA4F94" w:rsidRPr="004C5BD5">
        <w:rPr>
          <w:lang w:val="en-US"/>
        </w:rPr>
        <w:t>planned</w:t>
      </w:r>
      <w:r w:rsidR="00EA4F94">
        <w:rPr>
          <w:lang w:val="en-US"/>
        </w:rPr>
        <w:t xml:space="preserve"> to become an entrepreneur (i.e. </w:t>
      </w:r>
      <w:r w:rsidR="004C5BD5">
        <w:rPr>
          <w:lang w:val="en-US"/>
        </w:rPr>
        <w:t xml:space="preserve">had an intention </w:t>
      </w:r>
      <w:r w:rsidR="00EA4F94">
        <w:rPr>
          <w:lang w:val="en-US"/>
        </w:rPr>
        <w:t xml:space="preserve">to become an entrepreneur) and </w:t>
      </w:r>
      <w:r w:rsidRPr="00823DE2">
        <w:rPr>
          <w:lang w:val="en-US"/>
        </w:rPr>
        <w:t xml:space="preserve">results showed that a </w:t>
      </w:r>
      <w:r w:rsidR="00637B85">
        <w:rPr>
          <w:lang w:val="en-US"/>
        </w:rPr>
        <w:t>high</w:t>
      </w:r>
      <w:r w:rsidR="00637B85" w:rsidRPr="00823DE2">
        <w:rPr>
          <w:lang w:val="en-US"/>
        </w:rPr>
        <w:t xml:space="preserve"> </w:t>
      </w:r>
      <w:r w:rsidR="00637B85">
        <w:rPr>
          <w:lang w:val="en-US"/>
        </w:rPr>
        <w:t>percentage</w:t>
      </w:r>
      <w:r w:rsidR="00637B85" w:rsidRPr="00823DE2">
        <w:rPr>
          <w:lang w:val="en-US"/>
        </w:rPr>
        <w:t xml:space="preserve"> </w:t>
      </w:r>
      <w:r w:rsidRPr="00823DE2">
        <w:rPr>
          <w:lang w:val="en-US"/>
        </w:rPr>
        <w:t>of participants were interested in becoming entrepreneurs (38%), and a significant percentage were still undecided (27%)</w:t>
      </w:r>
      <w:r w:rsidR="00AA1E6F">
        <w:rPr>
          <w:lang w:val="en-US"/>
        </w:rPr>
        <w:t>, not yet having ruled out the possibility</w:t>
      </w:r>
      <w:r w:rsidRPr="00823DE2">
        <w:rPr>
          <w:lang w:val="en-US"/>
        </w:rPr>
        <w:t xml:space="preserve">. </w:t>
      </w:r>
      <w:r>
        <w:rPr>
          <w:lang w:val="en-US"/>
        </w:rPr>
        <w:t xml:space="preserve">By contrast, </w:t>
      </w:r>
      <w:proofErr w:type="spellStart"/>
      <w:r>
        <w:rPr>
          <w:lang w:val="en-US"/>
        </w:rPr>
        <w:t>Shinnar</w:t>
      </w:r>
      <w:proofErr w:type="spellEnd"/>
      <w:r>
        <w:rPr>
          <w:lang w:val="en-US"/>
        </w:rPr>
        <w:t xml:space="preserve"> et al. (2009) found </w:t>
      </w:r>
      <w:r w:rsidR="004C6E67">
        <w:rPr>
          <w:lang w:val="en-US"/>
        </w:rPr>
        <w:t>considerably less interest among non-business school students (</w:t>
      </w:r>
      <w:r>
        <w:rPr>
          <w:lang w:val="en-US"/>
        </w:rPr>
        <w:t>17%</w:t>
      </w:r>
      <w:r w:rsidR="004C6E67">
        <w:rPr>
          <w:lang w:val="en-US"/>
        </w:rPr>
        <w:t>)</w:t>
      </w:r>
      <w:r>
        <w:rPr>
          <w:lang w:val="en-US"/>
        </w:rPr>
        <w:t xml:space="preserve"> </w:t>
      </w:r>
      <w:r w:rsidR="004C6E67">
        <w:rPr>
          <w:lang w:val="en-US"/>
        </w:rPr>
        <w:t xml:space="preserve">, </w:t>
      </w:r>
      <w:r>
        <w:rPr>
          <w:lang w:val="en-US"/>
        </w:rPr>
        <w:t xml:space="preserve">compared with </w:t>
      </w:r>
      <w:r w:rsidR="004C6E67">
        <w:rPr>
          <w:lang w:val="en-US"/>
        </w:rPr>
        <w:t xml:space="preserve">the </w:t>
      </w:r>
      <w:r>
        <w:rPr>
          <w:lang w:val="en-US"/>
        </w:rPr>
        <w:t>35% of business school students</w:t>
      </w:r>
      <w:r w:rsidR="00220816">
        <w:rPr>
          <w:lang w:val="en-US"/>
        </w:rPr>
        <w:t xml:space="preserve"> that were considering entrepreneurship in their study</w:t>
      </w:r>
      <w:r>
        <w:rPr>
          <w:lang w:val="en-US"/>
        </w:rPr>
        <w:t xml:space="preserve">. </w:t>
      </w:r>
      <w:r w:rsidRPr="00823DE2">
        <w:rPr>
          <w:lang w:val="en-US"/>
        </w:rPr>
        <w:t xml:space="preserve"> A chi-square test of homogeneity was conducted between university and entrepreneurship plans.  There was no statistically significant difference in the distribution of responses between students from Australia and </w:t>
      </w:r>
      <w:r w:rsidR="00637B85">
        <w:rPr>
          <w:lang w:val="en-US"/>
        </w:rPr>
        <w:t>the UK</w:t>
      </w:r>
      <w:r w:rsidR="00956A0E">
        <w:rPr>
          <w:lang w:val="en-US"/>
        </w:rPr>
        <w:t xml:space="preserve"> (</w:t>
      </w:r>
      <w:r w:rsidRPr="00823DE2">
        <w:rPr>
          <w:lang w:val="en-US"/>
        </w:rPr>
        <w:t>X</w:t>
      </w:r>
      <w:r w:rsidRPr="00823DE2">
        <w:rPr>
          <w:vertAlign w:val="superscript"/>
          <w:lang w:val="en-US"/>
        </w:rPr>
        <w:t>2</w:t>
      </w:r>
      <w:r w:rsidRPr="00823DE2">
        <w:rPr>
          <w:lang w:val="en-US"/>
        </w:rPr>
        <w:t>(2</w:t>
      </w:r>
      <w:proofErr w:type="gramStart"/>
      <w:r w:rsidRPr="00823DE2">
        <w:rPr>
          <w:lang w:val="en-US"/>
        </w:rPr>
        <w:t>)=</w:t>
      </w:r>
      <w:proofErr w:type="gramEnd"/>
      <w:r w:rsidRPr="00823DE2">
        <w:rPr>
          <w:lang w:val="en-US"/>
        </w:rPr>
        <w:t>2.910,p=.233</w:t>
      </w:r>
      <w:r w:rsidR="00956A0E">
        <w:rPr>
          <w:lang w:val="en-US"/>
        </w:rPr>
        <w:t>)</w:t>
      </w:r>
      <w:r w:rsidRPr="00823DE2">
        <w:rPr>
          <w:lang w:val="en-US"/>
        </w:rPr>
        <w:t xml:space="preserve">. </w:t>
      </w:r>
      <w:r w:rsidRPr="00823DE2" w:rsidDel="00E03960">
        <w:rPr>
          <w:b/>
          <w:bCs/>
          <w:color w:val="000000"/>
          <w:sz w:val="18"/>
          <w:szCs w:val="18"/>
        </w:rPr>
        <w:t xml:space="preserve"> </w:t>
      </w:r>
      <w:r w:rsidRPr="00823DE2">
        <w:t xml:space="preserve">There was no significant difference in the distribution of responses for entrepreneurial intention by age and gender either in the UK or Australia. </w:t>
      </w:r>
      <w:r>
        <w:rPr>
          <w:lang w:val="en-US"/>
        </w:rPr>
        <w:t xml:space="preserve">This counters previous studies </w:t>
      </w:r>
      <w:r w:rsidRPr="00FF4524">
        <w:t>which</w:t>
      </w:r>
      <w:r>
        <w:rPr>
          <w:lang w:val="en-US"/>
        </w:rPr>
        <w:t xml:space="preserve"> have found higher levels of interest amongst males than females (for example, </w:t>
      </w:r>
      <w:r w:rsidRPr="00FF4524">
        <w:rPr>
          <w:lang w:val="en-US"/>
        </w:rPr>
        <w:fldChar w:fldCharType="begin" w:fldLock="1"/>
      </w:r>
      <w:r w:rsidR="00F35135">
        <w:rPr>
          <w:lang w:val="en-US"/>
        </w:rPr>
        <w:instrText>ADDIN CSL_CITATION {"citationItems":[{"id":"ITEM-1","itemData":{"DOI":"10.1080/03075079.2018.1486812","ISSN":"0307-5079","author":[{"dropping-particle":"","family":"Arranz","given":"N","non-dropping-particle":"","parse-names":false,"suffix":""},{"dropping-particle":"","family":"Arroyabe","given":"M F","non-dropping-particle":"","parse-names":false,"suffix":""},{"dropping-particle":"","family":"Fdez. de Arroyabe","given":"J. C.","non-dropping-particle":"","parse-names":false,"suffix":""}],"container-title":"Studies in Higher Education","id":"ITEM-1","issued":{"date-parts":[["2018","6","18"]]},"page":"1-14","title":"Entrepreneurial intention and obstacles of undergraduate students: the case of the universities of Andalusia","type":"article-journal"},"uris":["http://www.mendeley.com/documents/?uuid=56175bb6-ebe3-3754-b681-0e8d20be0841"]},{"id":"ITEM-2","itemData":{"DOI":"10.1007/s11365-011-0183-2","abstract":"The purpose of this comparative study is to investigate the role of gender and culture in entrepreneurial orientation (EO) among students in the selected nations. EO dimensions are important variables in the study of organizational performance. We adopted Lumpkin and Dess' EO dimensions. We statistically analyzed the collected data from 389 university students in the US (96), Korea (114), Fiji (80), and Malaysia (99). The results showed significant differences in most EO dimensions between genders and among the nations. Thus, it is important that customized approaches based on gender and unique cultural context are needed for developing EO among college students.","author":[{"dropping-particle":"","family":"Lim","given":"Seongbae","non-dropping-particle":"","parse-names":false,"suffix":""},{"dropping-particle":"","family":"Envick","given":"Brooke R","non-dropping-particle":"","parse-names":false,"suffix":""}],"container-title":"International Entrepreneurship and Management Journal","id":"ITEM-2","issue":"3","issued":{"date-parts":[["2013"]]},"page":"465-482","title":"Gender and entrepreneurial orientation: a multi-country study","type":"article-journal","volume":"9"},"uris":["http://www.mendeley.com/documents/?uuid=458ed54b-ea9a-3f8c-90fc-8afe5afd7310"]},{"id":"ITEM-3","itemData":{"DOI":"10.1177/0190272510377882","abstract":"The gender gap in entrepreneurship has typically been understood through women's structural disadvantages in acquiring the resources relevant for successful business ownership. This study builds on resource-based approaches to investigate how cultural beliefs about gender influence the process by which individuals initially come to identify entrepreneurship as a viable labor-market option. Drawing on status characteristics theory, this study evaluates (1) how cultural beliefs about gender and entrepreneurship influence self-assessments of entrepreneurial ability, and (2) the extent to which such assessments account for the gender gap in business start-ups. Results suggest that women are significantly less likely to perceive themselves as able to be an entrepreneur and they hold themselves to a stricter standard of competence when compared to similarly situated men. This gender difference in self-assessments accounts for a significant portion of the gender gap in entrepreneurship after controlling for relevant resources. Additional analyses reveal that significant gender differences in self-assessed ability persist among established business owners.","author":[{"dropping-particle":"","family":"Thébaud","given":"Sarah","non-dropping-particle":"","parse-names":false,"suffix":""}],"container-title":"Social Psychology Quarterly","id":"ITEM-3","issue":"3","issued":{"date-parts":[["2010"]]},"page":"288-304","title":"Gender and Entrepreneurship as a Career Choice: Do Self-assessments of Ability Matter?","type":"article-journal","volume":"73"},"uris":["http://www.mendeley.com/documents/?uuid=a2472bd2-f6d7-36a9-b99f-d8bbed4de693"]},{"id":"ITEM-4","itemData":{"DOI":"10.1037/a0029168","ISSN":"1939-0599","author":[{"dropping-particle":"","family":"Schoon","given":"Ingrid","non-dropping-particle":"","parse-names":false,"suffix":""},{"dropping-particle":"","family":"Duckworth","given":"Kathryn","non-dropping-particle":"","parse-names":false,"suffix":""}],"container-title":"Developmental Psychology","id":"ITEM-4","issue":"6","issued":{"date-parts":[["2012"]]},"page":"1719-1726","title":"Who becomes an entrepreneur? Early life experiences as predictors of entrepreneurship.","type":"article-journal","volume":"48"},"uris":["http://www.mendeley.com/documents/?uuid=46c32663-5b4c-456e-9ab1-7d01c6c5ec81"]},{"id":"ITEM-5","itemData":{"DOI":"10.1111/j.1540-6520.2007.00179.x","author":[{"dropping-particle":"","family":"Wilson","given":"Fiona","non-dropping-particle":"","parse-names":false,"suffix":""},{"dropping-particle":"","family":"Kickul","given":"Jill","non-dropping-particle":"","parse-names":false,"suffix":""},{"dropping-particle":"","family":"Marlino","given":"Deborah","non-dropping-particle":"","parse-names":false,"suffix":""}],"container-title":"Education","id":"ITEM-5","issue":"617","issued":{"date-parts":[["2007"]]},"page":"387-407","title":"Gender, Entrepreneurial Self-Efficacy, and Entrepreneurial Career Intentions: Implications for Entrepreneurship Education","type":"article-journal"},"uris":["http://www.mendeley.com/documents/?uuid=aa497a86-d90e-436a-9eb5-58ca6ac3c1e6"]},{"id":"ITEM-6","itemData":{"DOI":"10.1111/jsbm.12129","ISBN":"00472778 (ISSN)","ISSN":"1540627X","abstract":"This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 © 2014 International Council for Small Business.","author":[{"dropping-particle":"","family":"Santos","given":"Francisco J.","non-dropping-particle":"","parse-names":false,"suffix":""},{"dropping-particle":"","family":"Roomi","given":"Muhammad Azam","non-dropping-particle":"","parse-names":false,"suffix":""},{"dropping-particle":"","family":"Liñán","given":"Francisco","non-dropping-particle":"","parse-names":false,"suffix":""}],"container-title":"Journal of Small Business Management","id":"ITEM-6","issue":"1","issued":{"date-parts":[["2016"]]},"page":"49-66","title":"About Gender Differences and the Social Environment in the Development of Entrepreneurial Intentions","type":"article-journal","volume":"54"},"uris":["http://www.mendeley.com/documents/?uuid=55bc83bd-c82a-41d0-8be3-d705c9e288cc"]}],"mendeley":{"formattedCitation":"(Arranz, Arroyabe, and Fdez. de Arroyabe 2018; Lim and Envick 2013; Thébaud 2010; Schoon and Duckworth 2012; Wilson, Kickul, and Marlino 2007; Santos, Roomi, and Liñán 2016)","manualFormatting":"Arranz, Arroyabe, and Fdez. de Arroyabe 2018; Lim and Envick 2013; Thébaud 2010; Schoon and Duckworth 2012; Wilson, Kickul, and Marlino 2007; Santos, Roomi, and Liñán 2016)","plainTextFormattedCitation":"(Arranz, Arroyabe, and Fdez. de Arroyabe 2018; Lim and Envick 2013; Thébaud 2010; Schoon and Duckworth 2012; Wilson, Kickul, and Marlino 2007; Santos, Roomi, and Liñán 2016)","previouslyFormattedCitation":"(Arranz, Arroyabe, and Fdez. de Arroyabe 2018; Lim and Envick 2013; Thébaud 2010; Schoon and Duckworth 2012; Wilson, Kickul, and Marlino 2007; Santos, Roomi, and Liñán 2016)"},"properties":{"noteIndex":0},"schema":"https://github.com/citation-style-language/schema/raw/master/csl-citation.json"}</w:instrText>
      </w:r>
      <w:r w:rsidRPr="00FF4524">
        <w:rPr>
          <w:lang w:val="en-US"/>
        </w:rPr>
        <w:fldChar w:fldCharType="separate"/>
      </w:r>
      <w:r w:rsidRPr="00FF4524">
        <w:rPr>
          <w:noProof/>
          <w:lang w:val="en-US"/>
        </w:rPr>
        <w:t>Arranz, Arroyabe, and Fdez. de Arroyabe 2018; Thébaud 2010; Wilson, Kickul, and Marlino 2007)</w:t>
      </w:r>
      <w:r w:rsidRPr="00FF4524">
        <w:rPr>
          <w:lang w:val="en-US"/>
        </w:rPr>
        <w:fldChar w:fldCharType="end"/>
      </w:r>
      <w:r w:rsidRPr="00FF4524">
        <w:rPr>
          <w:lang w:val="en-AU" w:eastAsia="en-AU"/>
        </w:rPr>
        <w:t xml:space="preserve">. </w:t>
      </w:r>
      <w:r w:rsidR="009A3B01">
        <w:rPr>
          <w:lang w:val="en-US"/>
        </w:rPr>
        <w:t>F</w:t>
      </w:r>
      <w:r w:rsidRPr="00FF4524">
        <w:rPr>
          <w:lang w:val="en-US"/>
        </w:rPr>
        <w:t>actor</w:t>
      </w:r>
      <w:r w:rsidR="009A3B01">
        <w:rPr>
          <w:lang w:val="en-US"/>
        </w:rPr>
        <w:t>s</w:t>
      </w:r>
      <w:r w:rsidRPr="00FF4524">
        <w:rPr>
          <w:lang w:val="en-US"/>
        </w:rPr>
        <w:t xml:space="preserve"> leading to </w:t>
      </w:r>
      <w:r w:rsidR="009A3B01" w:rsidRPr="00FF4524">
        <w:rPr>
          <w:lang w:val="en-US"/>
        </w:rPr>
        <w:t>th</w:t>
      </w:r>
      <w:r w:rsidR="009A3B01">
        <w:rPr>
          <w:lang w:val="en-US"/>
        </w:rPr>
        <w:t>e high levels of interest</w:t>
      </w:r>
      <w:r w:rsidRPr="00FF4524">
        <w:rPr>
          <w:lang w:val="en-US"/>
        </w:rPr>
        <w:t xml:space="preserve"> could be the promotion of entrepreneurship activity at each campus</w:t>
      </w:r>
      <w:r w:rsidR="009A3B01">
        <w:rPr>
          <w:lang w:val="en-US"/>
        </w:rPr>
        <w:t xml:space="preserve"> and interest generated by the IT Entrepreneurship course offered at the Australian university</w:t>
      </w:r>
      <w:r w:rsidRPr="00FF4524">
        <w:rPr>
          <w:lang w:val="en-US"/>
        </w:rPr>
        <w:t xml:space="preserve">. </w:t>
      </w:r>
      <w:proofErr w:type="spellStart"/>
      <w:r w:rsidRPr="00FF4524">
        <w:rPr>
          <w:lang w:val="en-US"/>
        </w:rPr>
        <w:t>Nowinski</w:t>
      </w:r>
      <w:proofErr w:type="spellEnd"/>
      <w:r w:rsidRPr="00FF4524">
        <w:rPr>
          <w:lang w:val="en-US"/>
        </w:rPr>
        <w:t xml:space="preserve"> et al. (2017) suggest</w:t>
      </w:r>
      <w:r w:rsidR="00956A0E">
        <w:rPr>
          <w:lang w:val="en-US"/>
        </w:rPr>
        <w:t>ed</w:t>
      </w:r>
      <w:r>
        <w:rPr>
          <w:lang w:val="en-US"/>
        </w:rPr>
        <w:t xml:space="preserve"> an “entrepreneurship-friendly atmosphere at universities” would increase entrepreneurship intentions</w:t>
      </w:r>
      <w:r w:rsidR="009A1267">
        <w:rPr>
          <w:lang w:val="en-US"/>
        </w:rPr>
        <w:t xml:space="preserve"> (p 15)</w:t>
      </w:r>
      <w:r>
        <w:rPr>
          <w:lang w:val="en-US"/>
        </w:rPr>
        <w:t xml:space="preserve">. Alternatively, aspects of the </w:t>
      </w:r>
      <w:r w:rsidR="00884E08">
        <w:rPr>
          <w:lang w:val="en-US"/>
        </w:rPr>
        <w:t xml:space="preserve">computing </w:t>
      </w:r>
      <w:r>
        <w:rPr>
          <w:lang w:val="en-US"/>
        </w:rPr>
        <w:t xml:space="preserve">subject discipline, the lack of women studying </w:t>
      </w:r>
      <w:r w:rsidR="00884E08">
        <w:rPr>
          <w:lang w:val="en-US"/>
        </w:rPr>
        <w:t>computing</w:t>
      </w:r>
      <w:r>
        <w:rPr>
          <w:lang w:val="en-US"/>
        </w:rPr>
        <w:t xml:space="preserve"> or the nature of entrepreneurial activity in the technology sector could be factors and deserve </w:t>
      </w:r>
      <w:r>
        <w:rPr>
          <w:lang w:val="en-US"/>
        </w:rPr>
        <w:lastRenderedPageBreak/>
        <w:t xml:space="preserve">further consideration. </w:t>
      </w:r>
    </w:p>
    <w:p w14:paraId="11FE5D8F" w14:textId="77777777" w:rsidR="00A039F4" w:rsidRPr="00823DE2" w:rsidRDefault="00A039F4" w:rsidP="00A039F4">
      <w:pPr>
        <w:pStyle w:val="TableHeader"/>
      </w:pPr>
      <w:r w:rsidRPr="00823DE2">
        <w:t xml:space="preserve">Table </w:t>
      </w:r>
      <w:r w:rsidR="00D81EFA">
        <w:t>2</w:t>
      </w:r>
      <w:r w:rsidRPr="00823DE2">
        <w:t xml:space="preserve">. Entrepreneurial intention by demographic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1496"/>
        <w:gridCol w:w="1349"/>
        <w:gridCol w:w="1645"/>
        <w:gridCol w:w="1434"/>
        <w:gridCol w:w="1457"/>
      </w:tblGrid>
      <w:tr w:rsidR="00A039F4" w:rsidRPr="00823DE2" w14:paraId="5FA30BCD" w14:textId="77777777" w:rsidTr="001524BA">
        <w:tc>
          <w:tcPr>
            <w:tcW w:w="1645" w:type="dxa"/>
            <w:tcBorders>
              <w:top w:val="single" w:sz="4" w:space="0" w:color="auto"/>
            </w:tcBorders>
          </w:tcPr>
          <w:p w14:paraId="66580060" w14:textId="77777777" w:rsidR="00A039F4" w:rsidRPr="00823DE2" w:rsidRDefault="00A039F4" w:rsidP="001524BA">
            <w:pPr>
              <w:autoSpaceDE w:val="0"/>
              <w:autoSpaceDN w:val="0"/>
              <w:adjustRightInd w:val="0"/>
              <w:spacing w:line="240" w:lineRule="auto"/>
              <w:rPr>
                <w:sz w:val="22"/>
                <w:szCs w:val="22"/>
              </w:rPr>
            </w:pPr>
          </w:p>
        </w:tc>
        <w:tc>
          <w:tcPr>
            <w:tcW w:w="1496" w:type="dxa"/>
            <w:tcBorders>
              <w:top w:val="single" w:sz="4" w:space="0" w:color="auto"/>
            </w:tcBorders>
          </w:tcPr>
          <w:p w14:paraId="59136360" w14:textId="77777777" w:rsidR="00A039F4" w:rsidRPr="00823DE2" w:rsidRDefault="00A039F4" w:rsidP="001524BA">
            <w:pPr>
              <w:autoSpaceDE w:val="0"/>
              <w:autoSpaceDN w:val="0"/>
              <w:adjustRightInd w:val="0"/>
              <w:spacing w:line="240" w:lineRule="auto"/>
              <w:rPr>
                <w:sz w:val="22"/>
                <w:szCs w:val="22"/>
              </w:rPr>
            </w:pPr>
          </w:p>
        </w:tc>
        <w:tc>
          <w:tcPr>
            <w:tcW w:w="4428" w:type="dxa"/>
            <w:gridSpan w:val="3"/>
            <w:tcBorders>
              <w:top w:val="single" w:sz="4" w:space="0" w:color="auto"/>
            </w:tcBorders>
          </w:tcPr>
          <w:p w14:paraId="57D8476B" w14:textId="77777777" w:rsidR="00A039F4" w:rsidRPr="00823DE2" w:rsidRDefault="00A039F4" w:rsidP="001524BA">
            <w:pPr>
              <w:autoSpaceDE w:val="0"/>
              <w:autoSpaceDN w:val="0"/>
              <w:adjustRightInd w:val="0"/>
              <w:spacing w:line="240" w:lineRule="auto"/>
              <w:jc w:val="center"/>
              <w:rPr>
                <w:sz w:val="22"/>
                <w:szCs w:val="22"/>
              </w:rPr>
            </w:pPr>
            <w:r w:rsidRPr="00823DE2">
              <w:rPr>
                <w:sz w:val="22"/>
                <w:szCs w:val="22"/>
              </w:rPr>
              <w:t>Entrepreneurial intention</w:t>
            </w:r>
          </w:p>
        </w:tc>
        <w:tc>
          <w:tcPr>
            <w:tcW w:w="1457" w:type="dxa"/>
            <w:vMerge w:val="restart"/>
            <w:tcBorders>
              <w:top w:val="single" w:sz="4" w:space="0" w:color="auto"/>
            </w:tcBorders>
          </w:tcPr>
          <w:p w14:paraId="1F38C324"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p-value</w:t>
            </w:r>
          </w:p>
        </w:tc>
      </w:tr>
      <w:tr w:rsidR="00A039F4" w:rsidRPr="00823DE2" w14:paraId="09504E11" w14:textId="77777777" w:rsidTr="001524BA">
        <w:tc>
          <w:tcPr>
            <w:tcW w:w="1645" w:type="dxa"/>
            <w:tcBorders>
              <w:bottom w:val="single" w:sz="4" w:space="0" w:color="auto"/>
            </w:tcBorders>
            <w:shd w:val="clear" w:color="auto" w:fill="auto"/>
          </w:tcPr>
          <w:p w14:paraId="0D089B81"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Characteristic</w:t>
            </w:r>
          </w:p>
        </w:tc>
        <w:tc>
          <w:tcPr>
            <w:tcW w:w="1496" w:type="dxa"/>
            <w:tcBorders>
              <w:bottom w:val="single" w:sz="4" w:space="0" w:color="auto"/>
            </w:tcBorders>
            <w:shd w:val="clear" w:color="auto" w:fill="auto"/>
          </w:tcPr>
          <w:p w14:paraId="1E426A26" w14:textId="77777777" w:rsidR="00A039F4" w:rsidRPr="00823DE2" w:rsidRDefault="00A039F4" w:rsidP="001524BA">
            <w:pPr>
              <w:autoSpaceDE w:val="0"/>
              <w:autoSpaceDN w:val="0"/>
              <w:adjustRightInd w:val="0"/>
              <w:spacing w:line="240" w:lineRule="auto"/>
              <w:rPr>
                <w:sz w:val="22"/>
                <w:szCs w:val="22"/>
              </w:rPr>
            </w:pPr>
          </w:p>
        </w:tc>
        <w:tc>
          <w:tcPr>
            <w:tcW w:w="1349" w:type="dxa"/>
            <w:tcBorders>
              <w:bottom w:val="single" w:sz="4" w:space="0" w:color="auto"/>
            </w:tcBorders>
          </w:tcPr>
          <w:p w14:paraId="74EEF5D0"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No</w:t>
            </w:r>
          </w:p>
        </w:tc>
        <w:tc>
          <w:tcPr>
            <w:tcW w:w="1645" w:type="dxa"/>
            <w:tcBorders>
              <w:bottom w:val="single" w:sz="4" w:space="0" w:color="auto"/>
            </w:tcBorders>
          </w:tcPr>
          <w:p w14:paraId="0E592DBE"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Undecided</w:t>
            </w:r>
          </w:p>
        </w:tc>
        <w:tc>
          <w:tcPr>
            <w:tcW w:w="1434" w:type="dxa"/>
            <w:tcBorders>
              <w:bottom w:val="single" w:sz="4" w:space="0" w:color="auto"/>
            </w:tcBorders>
          </w:tcPr>
          <w:p w14:paraId="0E3C8B32"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Yes</w:t>
            </w:r>
          </w:p>
        </w:tc>
        <w:tc>
          <w:tcPr>
            <w:tcW w:w="1457" w:type="dxa"/>
            <w:vMerge/>
            <w:tcBorders>
              <w:bottom w:val="single" w:sz="4" w:space="0" w:color="auto"/>
            </w:tcBorders>
          </w:tcPr>
          <w:p w14:paraId="43B4C758"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7AC58193" w14:textId="77777777" w:rsidTr="001524BA">
        <w:tc>
          <w:tcPr>
            <w:tcW w:w="1645" w:type="dxa"/>
            <w:tcBorders>
              <w:top w:val="single" w:sz="4" w:space="0" w:color="auto"/>
            </w:tcBorders>
          </w:tcPr>
          <w:p w14:paraId="68CFA682"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Australia</w:t>
            </w:r>
          </w:p>
        </w:tc>
        <w:tc>
          <w:tcPr>
            <w:tcW w:w="1496" w:type="dxa"/>
            <w:tcBorders>
              <w:top w:val="single" w:sz="4" w:space="0" w:color="auto"/>
            </w:tcBorders>
          </w:tcPr>
          <w:p w14:paraId="0133BC3F"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Overall</w:t>
            </w:r>
          </w:p>
        </w:tc>
        <w:tc>
          <w:tcPr>
            <w:tcW w:w="1349" w:type="dxa"/>
            <w:tcBorders>
              <w:top w:val="single" w:sz="4" w:space="0" w:color="auto"/>
            </w:tcBorders>
            <w:vAlign w:val="center"/>
          </w:tcPr>
          <w:p w14:paraId="38C96965"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32.2%</w:t>
            </w:r>
          </w:p>
        </w:tc>
        <w:tc>
          <w:tcPr>
            <w:tcW w:w="1645" w:type="dxa"/>
            <w:tcBorders>
              <w:top w:val="single" w:sz="4" w:space="0" w:color="auto"/>
            </w:tcBorders>
            <w:vAlign w:val="center"/>
          </w:tcPr>
          <w:p w14:paraId="21DD1D7D"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28.7%</w:t>
            </w:r>
          </w:p>
        </w:tc>
        <w:tc>
          <w:tcPr>
            <w:tcW w:w="1434" w:type="dxa"/>
            <w:tcBorders>
              <w:top w:val="single" w:sz="4" w:space="0" w:color="auto"/>
            </w:tcBorders>
            <w:vAlign w:val="center"/>
          </w:tcPr>
          <w:p w14:paraId="3AC10287"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39.2%</w:t>
            </w:r>
          </w:p>
        </w:tc>
        <w:tc>
          <w:tcPr>
            <w:tcW w:w="1457" w:type="dxa"/>
            <w:tcBorders>
              <w:top w:val="single" w:sz="4" w:space="0" w:color="auto"/>
            </w:tcBorders>
          </w:tcPr>
          <w:p w14:paraId="198ABEC6"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023F2358" w14:textId="77777777" w:rsidTr="001524BA">
        <w:tc>
          <w:tcPr>
            <w:tcW w:w="1645" w:type="dxa"/>
          </w:tcPr>
          <w:p w14:paraId="0608E7D5"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1EB27A92" w14:textId="77777777" w:rsidR="00A039F4" w:rsidRPr="00823DE2" w:rsidRDefault="00A039F4" w:rsidP="001524BA">
            <w:pPr>
              <w:autoSpaceDE w:val="0"/>
              <w:autoSpaceDN w:val="0"/>
              <w:adjustRightInd w:val="0"/>
              <w:spacing w:line="240" w:lineRule="auto"/>
              <w:rPr>
                <w:sz w:val="22"/>
                <w:szCs w:val="22"/>
              </w:rPr>
            </w:pPr>
          </w:p>
        </w:tc>
        <w:tc>
          <w:tcPr>
            <w:tcW w:w="1349" w:type="dxa"/>
          </w:tcPr>
          <w:p w14:paraId="4015029D" w14:textId="77777777" w:rsidR="00A039F4" w:rsidRPr="00823DE2" w:rsidRDefault="00A039F4" w:rsidP="001524BA">
            <w:pPr>
              <w:autoSpaceDE w:val="0"/>
              <w:autoSpaceDN w:val="0"/>
              <w:adjustRightInd w:val="0"/>
              <w:spacing w:line="240" w:lineRule="auto"/>
              <w:rPr>
                <w:sz w:val="22"/>
                <w:szCs w:val="22"/>
              </w:rPr>
            </w:pPr>
          </w:p>
        </w:tc>
        <w:tc>
          <w:tcPr>
            <w:tcW w:w="1645" w:type="dxa"/>
          </w:tcPr>
          <w:p w14:paraId="01121722" w14:textId="77777777" w:rsidR="00A039F4" w:rsidRPr="00823DE2" w:rsidRDefault="00A039F4" w:rsidP="001524BA">
            <w:pPr>
              <w:autoSpaceDE w:val="0"/>
              <w:autoSpaceDN w:val="0"/>
              <w:adjustRightInd w:val="0"/>
              <w:spacing w:line="240" w:lineRule="auto"/>
              <w:rPr>
                <w:sz w:val="22"/>
                <w:szCs w:val="22"/>
              </w:rPr>
            </w:pPr>
          </w:p>
        </w:tc>
        <w:tc>
          <w:tcPr>
            <w:tcW w:w="1434" w:type="dxa"/>
          </w:tcPr>
          <w:p w14:paraId="2E0E1B84" w14:textId="77777777" w:rsidR="00A039F4" w:rsidRPr="00823DE2" w:rsidRDefault="00A039F4" w:rsidP="001524BA">
            <w:pPr>
              <w:autoSpaceDE w:val="0"/>
              <w:autoSpaceDN w:val="0"/>
              <w:adjustRightInd w:val="0"/>
              <w:spacing w:line="240" w:lineRule="auto"/>
              <w:rPr>
                <w:sz w:val="22"/>
                <w:szCs w:val="22"/>
              </w:rPr>
            </w:pPr>
          </w:p>
        </w:tc>
        <w:tc>
          <w:tcPr>
            <w:tcW w:w="1457" w:type="dxa"/>
          </w:tcPr>
          <w:p w14:paraId="6E425837"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5BDE6475" w14:textId="77777777" w:rsidTr="001524BA">
        <w:tc>
          <w:tcPr>
            <w:tcW w:w="1645" w:type="dxa"/>
          </w:tcPr>
          <w:p w14:paraId="4B3B8B4F" w14:textId="77777777" w:rsidR="00A039F4" w:rsidRPr="00823DE2" w:rsidRDefault="00A039F4" w:rsidP="001524BA">
            <w:pPr>
              <w:autoSpaceDE w:val="0"/>
              <w:autoSpaceDN w:val="0"/>
              <w:adjustRightInd w:val="0"/>
              <w:spacing w:line="240" w:lineRule="auto"/>
              <w:jc w:val="right"/>
              <w:rPr>
                <w:sz w:val="22"/>
                <w:szCs w:val="22"/>
              </w:rPr>
            </w:pPr>
            <w:r w:rsidRPr="00823DE2">
              <w:rPr>
                <w:sz w:val="22"/>
                <w:szCs w:val="22"/>
              </w:rPr>
              <w:t>Age</w:t>
            </w:r>
          </w:p>
        </w:tc>
        <w:tc>
          <w:tcPr>
            <w:tcW w:w="1496" w:type="dxa"/>
          </w:tcPr>
          <w:p w14:paraId="465C3336"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Below 24</w:t>
            </w:r>
          </w:p>
        </w:tc>
        <w:tc>
          <w:tcPr>
            <w:tcW w:w="1349" w:type="dxa"/>
          </w:tcPr>
          <w:p w14:paraId="5A258378"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29.8%</w:t>
            </w:r>
          </w:p>
        </w:tc>
        <w:tc>
          <w:tcPr>
            <w:tcW w:w="1645" w:type="dxa"/>
          </w:tcPr>
          <w:p w14:paraId="6C317F2A"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29.8%</w:t>
            </w:r>
          </w:p>
        </w:tc>
        <w:tc>
          <w:tcPr>
            <w:tcW w:w="1434" w:type="dxa"/>
          </w:tcPr>
          <w:p w14:paraId="41E84FAA"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40.5%</w:t>
            </w:r>
          </w:p>
        </w:tc>
        <w:tc>
          <w:tcPr>
            <w:tcW w:w="1457" w:type="dxa"/>
          </w:tcPr>
          <w:p w14:paraId="08450BB2"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.371</w:t>
            </w:r>
          </w:p>
        </w:tc>
      </w:tr>
      <w:tr w:rsidR="00A039F4" w:rsidRPr="00823DE2" w14:paraId="29E30CE7" w14:textId="77777777" w:rsidTr="001524BA">
        <w:tc>
          <w:tcPr>
            <w:tcW w:w="1645" w:type="dxa"/>
          </w:tcPr>
          <w:p w14:paraId="7DC0D090"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690E3260"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25 to 30</w:t>
            </w:r>
          </w:p>
        </w:tc>
        <w:tc>
          <w:tcPr>
            <w:tcW w:w="1349" w:type="dxa"/>
          </w:tcPr>
          <w:p w14:paraId="60AF75B3"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27.3%</w:t>
            </w:r>
          </w:p>
        </w:tc>
        <w:tc>
          <w:tcPr>
            <w:tcW w:w="1645" w:type="dxa"/>
          </w:tcPr>
          <w:p w14:paraId="46433249"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25.0%</w:t>
            </w:r>
          </w:p>
        </w:tc>
        <w:tc>
          <w:tcPr>
            <w:tcW w:w="1434" w:type="dxa"/>
          </w:tcPr>
          <w:p w14:paraId="1AED07B1"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47.7%</w:t>
            </w:r>
          </w:p>
        </w:tc>
        <w:tc>
          <w:tcPr>
            <w:tcW w:w="1457" w:type="dxa"/>
          </w:tcPr>
          <w:p w14:paraId="124CDDBB"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69605840" w14:textId="77777777" w:rsidTr="001524BA">
        <w:tc>
          <w:tcPr>
            <w:tcW w:w="1645" w:type="dxa"/>
          </w:tcPr>
          <w:p w14:paraId="0672B5B7"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79B1DF01"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31 and above</w:t>
            </w:r>
          </w:p>
        </w:tc>
        <w:tc>
          <w:tcPr>
            <w:tcW w:w="1349" w:type="dxa"/>
          </w:tcPr>
          <w:p w14:paraId="37C52C0A"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41.9%</w:t>
            </w:r>
          </w:p>
        </w:tc>
        <w:tc>
          <w:tcPr>
            <w:tcW w:w="1645" w:type="dxa"/>
          </w:tcPr>
          <w:p w14:paraId="22374D15"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30.2%</w:t>
            </w:r>
          </w:p>
        </w:tc>
        <w:tc>
          <w:tcPr>
            <w:tcW w:w="1434" w:type="dxa"/>
          </w:tcPr>
          <w:p w14:paraId="3E94E31D"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27.9%</w:t>
            </w:r>
          </w:p>
        </w:tc>
        <w:tc>
          <w:tcPr>
            <w:tcW w:w="1457" w:type="dxa"/>
          </w:tcPr>
          <w:p w14:paraId="70D9AA1F"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03D85AC9" w14:textId="77777777" w:rsidTr="001524BA">
        <w:tc>
          <w:tcPr>
            <w:tcW w:w="1645" w:type="dxa"/>
          </w:tcPr>
          <w:p w14:paraId="30268C28"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51DBAC81" w14:textId="77777777" w:rsidR="00A039F4" w:rsidRPr="00823DE2" w:rsidRDefault="00A039F4" w:rsidP="001524BA">
            <w:pPr>
              <w:autoSpaceDE w:val="0"/>
              <w:autoSpaceDN w:val="0"/>
              <w:adjustRightInd w:val="0"/>
              <w:spacing w:line="240" w:lineRule="auto"/>
              <w:rPr>
                <w:sz w:val="22"/>
                <w:szCs w:val="22"/>
              </w:rPr>
            </w:pPr>
          </w:p>
        </w:tc>
        <w:tc>
          <w:tcPr>
            <w:tcW w:w="1349" w:type="dxa"/>
          </w:tcPr>
          <w:p w14:paraId="73759FC3" w14:textId="77777777" w:rsidR="00A039F4" w:rsidRPr="00823DE2" w:rsidRDefault="00A039F4" w:rsidP="001524BA">
            <w:pPr>
              <w:autoSpaceDE w:val="0"/>
              <w:autoSpaceDN w:val="0"/>
              <w:adjustRightInd w:val="0"/>
              <w:spacing w:line="240" w:lineRule="auto"/>
              <w:rPr>
                <w:color w:val="000000"/>
                <w:sz w:val="22"/>
                <w:szCs w:val="22"/>
              </w:rPr>
            </w:pPr>
          </w:p>
        </w:tc>
        <w:tc>
          <w:tcPr>
            <w:tcW w:w="1645" w:type="dxa"/>
          </w:tcPr>
          <w:p w14:paraId="027EDFF3" w14:textId="77777777" w:rsidR="00A039F4" w:rsidRPr="00823DE2" w:rsidRDefault="00A039F4" w:rsidP="001524BA">
            <w:pPr>
              <w:autoSpaceDE w:val="0"/>
              <w:autoSpaceDN w:val="0"/>
              <w:adjustRightInd w:val="0"/>
              <w:spacing w:line="240" w:lineRule="auto"/>
              <w:rPr>
                <w:color w:val="000000"/>
                <w:sz w:val="22"/>
                <w:szCs w:val="22"/>
              </w:rPr>
            </w:pPr>
          </w:p>
        </w:tc>
        <w:tc>
          <w:tcPr>
            <w:tcW w:w="1434" w:type="dxa"/>
          </w:tcPr>
          <w:p w14:paraId="5862142A" w14:textId="77777777" w:rsidR="00A039F4" w:rsidRPr="00823DE2" w:rsidRDefault="00A039F4" w:rsidP="001524BA">
            <w:pPr>
              <w:autoSpaceDE w:val="0"/>
              <w:autoSpaceDN w:val="0"/>
              <w:adjustRightInd w:val="0"/>
              <w:spacing w:line="240" w:lineRule="auto"/>
              <w:rPr>
                <w:color w:val="000000"/>
                <w:sz w:val="22"/>
                <w:szCs w:val="22"/>
              </w:rPr>
            </w:pPr>
          </w:p>
        </w:tc>
        <w:tc>
          <w:tcPr>
            <w:tcW w:w="1457" w:type="dxa"/>
          </w:tcPr>
          <w:p w14:paraId="45AC7384"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07141A71" w14:textId="77777777" w:rsidTr="001524BA">
        <w:tc>
          <w:tcPr>
            <w:tcW w:w="1645" w:type="dxa"/>
          </w:tcPr>
          <w:p w14:paraId="1E1F7D9B" w14:textId="77777777" w:rsidR="00A039F4" w:rsidRPr="00823DE2" w:rsidRDefault="00A039F4" w:rsidP="001524BA">
            <w:pPr>
              <w:autoSpaceDE w:val="0"/>
              <w:autoSpaceDN w:val="0"/>
              <w:adjustRightInd w:val="0"/>
              <w:spacing w:line="240" w:lineRule="auto"/>
              <w:jc w:val="right"/>
              <w:rPr>
                <w:sz w:val="22"/>
                <w:szCs w:val="22"/>
              </w:rPr>
            </w:pPr>
            <w:r w:rsidRPr="00823DE2">
              <w:rPr>
                <w:sz w:val="22"/>
                <w:szCs w:val="22"/>
              </w:rPr>
              <w:t>Gender</w:t>
            </w:r>
          </w:p>
        </w:tc>
        <w:tc>
          <w:tcPr>
            <w:tcW w:w="1496" w:type="dxa"/>
          </w:tcPr>
          <w:p w14:paraId="392259B5"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Female</w:t>
            </w:r>
          </w:p>
        </w:tc>
        <w:tc>
          <w:tcPr>
            <w:tcW w:w="1349" w:type="dxa"/>
          </w:tcPr>
          <w:p w14:paraId="75D849A5"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44.4%</w:t>
            </w:r>
          </w:p>
        </w:tc>
        <w:tc>
          <w:tcPr>
            <w:tcW w:w="1645" w:type="dxa"/>
          </w:tcPr>
          <w:p w14:paraId="058E376E"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25.9%</w:t>
            </w:r>
          </w:p>
        </w:tc>
        <w:tc>
          <w:tcPr>
            <w:tcW w:w="1434" w:type="dxa"/>
          </w:tcPr>
          <w:p w14:paraId="3BF12D6F"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29.6%</w:t>
            </w:r>
          </w:p>
        </w:tc>
        <w:tc>
          <w:tcPr>
            <w:tcW w:w="1457" w:type="dxa"/>
          </w:tcPr>
          <w:p w14:paraId="2E68D730"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.326</w:t>
            </w:r>
          </w:p>
        </w:tc>
      </w:tr>
      <w:tr w:rsidR="00A039F4" w:rsidRPr="00823DE2" w14:paraId="553A8EBF" w14:textId="77777777" w:rsidTr="001524BA">
        <w:tc>
          <w:tcPr>
            <w:tcW w:w="1645" w:type="dxa"/>
          </w:tcPr>
          <w:p w14:paraId="294717E6"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276CAAE6"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Male</w:t>
            </w:r>
          </w:p>
        </w:tc>
        <w:tc>
          <w:tcPr>
            <w:tcW w:w="1349" w:type="dxa"/>
          </w:tcPr>
          <w:p w14:paraId="0EE4F2F4"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30.1%</w:t>
            </w:r>
          </w:p>
        </w:tc>
        <w:tc>
          <w:tcPr>
            <w:tcW w:w="1645" w:type="dxa"/>
          </w:tcPr>
          <w:p w14:paraId="0049335E"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29.4%</w:t>
            </w:r>
          </w:p>
        </w:tc>
        <w:tc>
          <w:tcPr>
            <w:tcW w:w="1434" w:type="dxa"/>
          </w:tcPr>
          <w:p w14:paraId="13443D85"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40.6%</w:t>
            </w:r>
          </w:p>
        </w:tc>
        <w:tc>
          <w:tcPr>
            <w:tcW w:w="1457" w:type="dxa"/>
          </w:tcPr>
          <w:p w14:paraId="3BF8DCC7"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750AFBB0" w14:textId="77777777" w:rsidTr="001524BA">
        <w:tc>
          <w:tcPr>
            <w:tcW w:w="1645" w:type="dxa"/>
          </w:tcPr>
          <w:p w14:paraId="42831A3E"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3A9282BB" w14:textId="77777777" w:rsidR="00A039F4" w:rsidRPr="00823DE2" w:rsidRDefault="00A039F4" w:rsidP="001524BA">
            <w:pPr>
              <w:autoSpaceDE w:val="0"/>
              <w:autoSpaceDN w:val="0"/>
              <w:adjustRightInd w:val="0"/>
              <w:spacing w:line="240" w:lineRule="auto"/>
              <w:rPr>
                <w:sz w:val="22"/>
                <w:szCs w:val="22"/>
              </w:rPr>
            </w:pPr>
          </w:p>
        </w:tc>
        <w:tc>
          <w:tcPr>
            <w:tcW w:w="1349" w:type="dxa"/>
          </w:tcPr>
          <w:p w14:paraId="21AE2158" w14:textId="77777777" w:rsidR="00A039F4" w:rsidRPr="00823DE2" w:rsidRDefault="00A039F4" w:rsidP="001524BA">
            <w:pPr>
              <w:autoSpaceDE w:val="0"/>
              <w:autoSpaceDN w:val="0"/>
              <w:adjustRightInd w:val="0"/>
              <w:spacing w:line="240" w:lineRule="auto"/>
              <w:rPr>
                <w:color w:val="000000"/>
                <w:sz w:val="22"/>
                <w:szCs w:val="22"/>
              </w:rPr>
            </w:pPr>
          </w:p>
        </w:tc>
        <w:tc>
          <w:tcPr>
            <w:tcW w:w="1645" w:type="dxa"/>
          </w:tcPr>
          <w:p w14:paraId="3041E58A" w14:textId="77777777" w:rsidR="00A039F4" w:rsidRPr="00FF4524" w:rsidRDefault="00A039F4" w:rsidP="001524BA">
            <w:pPr>
              <w:autoSpaceDE w:val="0"/>
              <w:autoSpaceDN w:val="0"/>
              <w:adjustRightInd w:val="0"/>
              <w:spacing w:line="240" w:lineRule="auto"/>
              <w:rPr>
                <w:color w:val="000000"/>
                <w:sz w:val="22"/>
                <w:szCs w:val="22"/>
              </w:rPr>
            </w:pPr>
          </w:p>
        </w:tc>
        <w:tc>
          <w:tcPr>
            <w:tcW w:w="1434" w:type="dxa"/>
          </w:tcPr>
          <w:p w14:paraId="6B0FBE4A" w14:textId="77777777" w:rsidR="00A039F4" w:rsidRPr="00FF4524" w:rsidRDefault="00A039F4" w:rsidP="001524BA">
            <w:pPr>
              <w:autoSpaceDE w:val="0"/>
              <w:autoSpaceDN w:val="0"/>
              <w:adjustRightInd w:val="0"/>
              <w:spacing w:line="240" w:lineRule="auto"/>
              <w:rPr>
                <w:color w:val="000000"/>
                <w:sz w:val="22"/>
                <w:szCs w:val="22"/>
              </w:rPr>
            </w:pPr>
          </w:p>
        </w:tc>
        <w:tc>
          <w:tcPr>
            <w:tcW w:w="1457" w:type="dxa"/>
          </w:tcPr>
          <w:p w14:paraId="560410F2" w14:textId="77777777" w:rsidR="00A039F4" w:rsidRPr="00FF4524" w:rsidRDefault="00A039F4" w:rsidP="001524BA">
            <w:pPr>
              <w:autoSpaceDE w:val="0"/>
              <w:autoSpaceDN w:val="0"/>
              <w:adjustRightInd w:val="0"/>
              <w:spacing w:line="240" w:lineRule="auto"/>
              <w:rPr>
                <w:sz w:val="22"/>
                <w:szCs w:val="22"/>
              </w:rPr>
            </w:pPr>
          </w:p>
        </w:tc>
      </w:tr>
      <w:tr w:rsidR="00A039F4" w:rsidRPr="00823DE2" w14:paraId="2617E103" w14:textId="77777777" w:rsidTr="001524BA">
        <w:tc>
          <w:tcPr>
            <w:tcW w:w="1645" w:type="dxa"/>
          </w:tcPr>
          <w:p w14:paraId="41667EBB" w14:textId="77777777" w:rsidR="00A039F4" w:rsidRPr="00823DE2" w:rsidRDefault="00A039F4" w:rsidP="001524BA">
            <w:pPr>
              <w:autoSpaceDE w:val="0"/>
              <w:autoSpaceDN w:val="0"/>
              <w:adjustRightInd w:val="0"/>
              <w:spacing w:line="240" w:lineRule="auto"/>
              <w:jc w:val="right"/>
              <w:rPr>
                <w:sz w:val="22"/>
                <w:szCs w:val="22"/>
              </w:rPr>
            </w:pPr>
            <w:r w:rsidRPr="00823DE2">
              <w:rPr>
                <w:sz w:val="22"/>
                <w:szCs w:val="22"/>
              </w:rPr>
              <w:t>Level of study</w:t>
            </w:r>
          </w:p>
        </w:tc>
        <w:tc>
          <w:tcPr>
            <w:tcW w:w="1496" w:type="dxa"/>
          </w:tcPr>
          <w:p w14:paraId="1418A613"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 xml:space="preserve">Up to degree level </w:t>
            </w:r>
          </w:p>
        </w:tc>
        <w:tc>
          <w:tcPr>
            <w:tcW w:w="1349" w:type="dxa"/>
          </w:tcPr>
          <w:p w14:paraId="10A7EE16"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31.0%</w:t>
            </w:r>
          </w:p>
        </w:tc>
        <w:tc>
          <w:tcPr>
            <w:tcW w:w="1645" w:type="dxa"/>
          </w:tcPr>
          <w:p w14:paraId="15658AE6" w14:textId="77777777" w:rsidR="00A039F4" w:rsidRPr="00FF4524" w:rsidRDefault="00A039F4" w:rsidP="001524BA">
            <w:pPr>
              <w:autoSpaceDE w:val="0"/>
              <w:autoSpaceDN w:val="0"/>
              <w:adjustRightInd w:val="0"/>
              <w:spacing w:line="240" w:lineRule="auto"/>
              <w:rPr>
                <w:sz w:val="22"/>
                <w:szCs w:val="22"/>
              </w:rPr>
            </w:pPr>
            <w:r w:rsidRPr="00FF4524">
              <w:rPr>
                <w:color w:val="000000"/>
                <w:sz w:val="22"/>
                <w:szCs w:val="22"/>
              </w:rPr>
              <w:t>34.5%</w:t>
            </w:r>
          </w:p>
        </w:tc>
        <w:tc>
          <w:tcPr>
            <w:tcW w:w="1434" w:type="dxa"/>
          </w:tcPr>
          <w:p w14:paraId="738E6947" w14:textId="77777777" w:rsidR="00A039F4" w:rsidRPr="00FF4524" w:rsidRDefault="00A039F4" w:rsidP="001524BA">
            <w:pPr>
              <w:autoSpaceDE w:val="0"/>
              <w:autoSpaceDN w:val="0"/>
              <w:adjustRightInd w:val="0"/>
              <w:spacing w:line="240" w:lineRule="auto"/>
              <w:rPr>
                <w:sz w:val="22"/>
                <w:szCs w:val="22"/>
              </w:rPr>
            </w:pPr>
            <w:r w:rsidRPr="00FF4524">
              <w:rPr>
                <w:color w:val="000000"/>
                <w:sz w:val="22"/>
                <w:szCs w:val="22"/>
              </w:rPr>
              <w:t>34.5%</w:t>
            </w:r>
          </w:p>
        </w:tc>
        <w:tc>
          <w:tcPr>
            <w:tcW w:w="1457" w:type="dxa"/>
          </w:tcPr>
          <w:p w14:paraId="3969ACD3" w14:textId="77777777" w:rsidR="00A039F4" w:rsidRPr="00FF4524" w:rsidRDefault="00A039F4" w:rsidP="001524BA">
            <w:pPr>
              <w:autoSpaceDE w:val="0"/>
              <w:autoSpaceDN w:val="0"/>
              <w:adjustRightInd w:val="0"/>
              <w:spacing w:line="240" w:lineRule="auto"/>
              <w:rPr>
                <w:sz w:val="22"/>
                <w:szCs w:val="22"/>
              </w:rPr>
            </w:pPr>
            <w:r w:rsidRPr="00FF4524">
              <w:rPr>
                <w:sz w:val="22"/>
                <w:szCs w:val="22"/>
              </w:rPr>
              <w:t>.038</w:t>
            </w:r>
          </w:p>
        </w:tc>
      </w:tr>
      <w:tr w:rsidR="00A039F4" w:rsidRPr="00823DE2" w14:paraId="160F551B" w14:textId="77777777" w:rsidTr="001524BA">
        <w:tc>
          <w:tcPr>
            <w:tcW w:w="1645" w:type="dxa"/>
          </w:tcPr>
          <w:p w14:paraId="7D1FF911"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4EA2FE3B"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Postgraduate level</w:t>
            </w:r>
          </w:p>
        </w:tc>
        <w:tc>
          <w:tcPr>
            <w:tcW w:w="1349" w:type="dxa"/>
          </w:tcPr>
          <w:p w14:paraId="5DFFFD6A"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35.7%</w:t>
            </w:r>
          </w:p>
        </w:tc>
        <w:tc>
          <w:tcPr>
            <w:tcW w:w="1645" w:type="dxa"/>
          </w:tcPr>
          <w:p w14:paraId="40A9BF7F" w14:textId="77777777" w:rsidR="00A039F4" w:rsidRPr="00FF4524" w:rsidRDefault="00A039F4" w:rsidP="001524BA">
            <w:pPr>
              <w:autoSpaceDE w:val="0"/>
              <w:autoSpaceDN w:val="0"/>
              <w:adjustRightInd w:val="0"/>
              <w:spacing w:line="240" w:lineRule="auto"/>
              <w:rPr>
                <w:sz w:val="22"/>
                <w:szCs w:val="22"/>
              </w:rPr>
            </w:pPr>
            <w:r w:rsidRPr="00FF4524">
              <w:rPr>
                <w:color w:val="000000"/>
                <w:sz w:val="22"/>
                <w:szCs w:val="22"/>
              </w:rPr>
              <w:t>16.1%</w:t>
            </w:r>
          </w:p>
        </w:tc>
        <w:tc>
          <w:tcPr>
            <w:tcW w:w="1434" w:type="dxa"/>
          </w:tcPr>
          <w:p w14:paraId="4B244BDE" w14:textId="77777777" w:rsidR="00A039F4" w:rsidRPr="00FF4524" w:rsidRDefault="00A039F4" w:rsidP="001524BA">
            <w:pPr>
              <w:autoSpaceDE w:val="0"/>
              <w:autoSpaceDN w:val="0"/>
              <w:adjustRightInd w:val="0"/>
              <w:spacing w:line="240" w:lineRule="auto"/>
              <w:rPr>
                <w:sz w:val="22"/>
                <w:szCs w:val="22"/>
              </w:rPr>
            </w:pPr>
            <w:r w:rsidRPr="00FF4524">
              <w:rPr>
                <w:color w:val="000000"/>
                <w:sz w:val="22"/>
                <w:szCs w:val="22"/>
              </w:rPr>
              <w:t>48.2%</w:t>
            </w:r>
          </w:p>
        </w:tc>
        <w:tc>
          <w:tcPr>
            <w:tcW w:w="1457" w:type="dxa"/>
          </w:tcPr>
          <w:p w14:paraId="4A7F7098" w14:textId="77777777" w:rsidR="00A039F4" w:rsidRPr="00FF4524" w:rsidRDefault="00A039F4" w:rsidP="001524BA">
            <w:pPr>
              <w:autoSpaceDE w:val="0"/>
              <w:autoSpaceDN w:val="0"/>
              <w:adjustRightInd w:val="0"/>
              <w:spacing w:line="240" w:lineRule="auto"/>
              <w:rPr>
                <w:sz w:val="22"/>
                <w:szCs w:val="22"/>
              </w:rPr>
            </w:pPr>
          </w:p>
        </w:tc>
      </w:tr>
      <w:tr w:rsidR="00A039F4" w:rsidRPr="00823DE2" w14:paraId="1BE2F8C8" w14:textId="77777777" w:rsidTr="001524BA">
        <w:tc>
          <w:tcPr>
            <w:tcW w:w="1645" w:type="dxa"/>
          </w:tcPr>
          <w:p w14:paraId="6540B723"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7EBE9ABE" w14:textId="77777777" w:rsidR="00A039F4" w:rsidRPr="00823DE2" w:rsidRDefault="00A039F4" w:rsidP="001524BA">
            <w:pPr>
              <w:autoSpaceDE w:val="0"/>
              <w:autoSpaceDN w:val="0"/>
              <w:adjustRightInd w:val="0"/>
              <w:spacing w:line="240" w:lineRule="auto"/>
              <w:rPr>
                <w:sz w:val="22"/>
                <w:szCs w:val="22"/>
              </w:rPr>
            </w:pPr>
          </w:p>
        </w:tc>
        <w:tc>
          <w:tcPr>
            <w:tcW w:w="1349" w:type="dxa"/>
          </w:tcPr>
          <w:p w14:paraId="714373D7" w14:textId="77777777" w:rsidR="00A039F4" w:rsidRPr="00823DE2" w:rsidRDefault="00A039F4" w:rsidP="001524BA">
            <w:pPr>
              <w:autoSpaceDE w:val="0"/>
              <w:autoSpaceDN w:val="0"/>
              <w:adjustRightInd w:val="0"/>
              <w:spacing w:line="240" w:lineRule="auto"/>
              <w:rPr>
                <w:color w:val="000000"/>
                <w:sz w:val="22"/>
                <w:szCs w:val="22"/>
              </w:rPr>
            </w:pPr>
          </w:p>
        </w:tc>
        <w:tc>
          <w:tcPr>
            <w:tcW w:w="1645" w:type="dxa"/>
          </w:tcPr>
          <w:p w14:paraId="43BFF305" w14:textId="77777777" w:rsidR="00A039F4" w:rsidRPr="00823DE2" w:rsidRDefault="00A039F4" w:rsidP="001524BA">
            <w:pPr>
              <w:autoSpaceDE w:val="0"/>
              <w:autoSpaceDN w:val="0"/>
              <w:adjustRightInd w:val="0"/>
              <w:spacing w:line="240" w:lineRule="auto"/>
              <w:rPr>
                <w:color w:val="000000"/>
                <w:sz w:val="22"/>
                <w:szCs w:val="22"/>
              </w:rPr>
            </w:pPr>
          </w:p>
        </w:tc>
        <w:tc>
          <w:tcPr>
            <w:tcW w:w="1434" w:type="dxa"/>
          </w:tcPr>
          <w:p w14:paraId="35DAE0A8" w14:textId="77777777" w:rsidR="00A039F4" w:rsidRPr="00823DE2" w:rsidRDefault="00A039F4" w:rsidP="001524BA">
            <w:pPr>
              <w:autoSpaceDE w:val="0"/>
              <w:autoSpaceDN w:val="0"/>
              <w:adjustRightInd w:val="0"/>
              <w:spacing w:line="240" w:lineRule="auto"/>
              <w:rPr>
                <w:color w:val="000000"/>
                <w:sz w:val="22"/>
                <w:szCs w:val="22"/>
              </w:rPr>
            </w:pPr>
          </w:p>
        </w:tc>
        <w:tc>
          <w:tcPr>
            <w:tcW w:w="1457" w:type="dxa"/>
          </w:tcPr>
          <w:p w14:paraId="28E95EB4"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033A9E15" w14:textId="77777777" w:rsidTr="001524BA">
        <w:tc>
          <w:tcPr>
            <w:tcW w:w="1645" w:type="dxa"/>
            <w:tcBorders>
              <w:top w:val="single" w:sz="4" w:space="0" w:color="auto"/>
            </w:tcBorders>
          </w:tcPr>
          <w:p w14:paraId="6D6EDEE1"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UK</w:t>
            </w:r>
          </w:p>
        </w:tc>
        <w:tc>
          <w:tcPr>
            <w:tcW w:w="1496" w:type="dxa"/>
            <w:tcBorders>
              <w:top w:val="single" w:sz="4" w:space="0" w:color="auto"/>
            </w:tcBorders>
          </w:tcPr>
          <w:p w14:paraId="51694FDA"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Overall</w:t>
            </w:r>
          </w:p>
        </w:tc>
        <w:tc>
          <w:tcPr>
            <w:tcW w:w="1349" w:type="dxa"/>
            <w:tcBorders>
              <w:top w:val="single" w:sz="4" w:space="0" w:color="auto"/>
            </w:tcBorders>
            <w:vAlign w:val="center"/>
          </w:tcPr>
          <w:p w14:paraId="5029509C"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43.5%</w:t>
            </w:r>
          </w:p>
        </w:tc>
        <w:tc>
          <w:tcPr>
            <w:tcW w:w="1645" w:type="dxa"/>
            <w:tcBorders>
              <w:top w:val="single" w:sz="4" w:space="0" w:color="auto"/>
            </w:tcBorders>
            <w:vAlign w:val="center"/>
          </w:tcPr>
          <w:p w14:paraId="5C065885"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21.7%</w:t>
            </w:r>
          </w:p>
        </w:tc>
        <w:tc>
          <w:tcPr>
            <w:tcW w:w="1434" w:type="dxa"/>
            <w:tcBorders>
              <w:top w:val="single" w:sz="4" w:space="0" w:color="auto"/>
            </w:tcBorders>
            <w:vAlign w:val="center"/>
          </w:tcPr>
          <w:p w14:paraId="7A7EDD13"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34.8%</w:t>
            </w:r>
          </w:p>
        </w:tc>
        <w:tc>
          <w:tcPr>
            <w:tcW w:w="1457" w:type="dxa"/>
            <w:tcBorders>
              <w:top w:val="single" w:sz="4" w:space="0" w:color="auto"/>
            </w:tcBorders>
          </w:tcPr>
          <w:p w14:paraId="6FF41E48"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112065BA" w14:textId="77777777" w:rsidTr="001524BA">
        <w:tc>
          <w:tcPr>
            <w:tcW w:w="1645" w:type="dxa"/>
          </w:tcPr>
          <w:p w14:paraId="7ACF2AB9"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78A6E3A8" w14:textId="77777777" w:rsidR="00A039F4" w:rsidRPr="00823DE2" w:rsidRDefault="00A039F4" w:rsidP="001524BA">
            <w:pPr>
              <w:autoSpaceDE w:val="0"/>
              <w:autoSpaceDN w:val="0"/>
              <w:adjustRightInd w:val="0"/>
              <w:spacing w:line="240" w:lineRule="auto"/>
              <w:rPr>
                <w:sz w:val="22"/>
                <w:szCs w:val="22"/>
              </w:rPr>
            </w:pPr>
          </w:p>
        </w:tc>
        <w:tc>
          <w:tcPr>
            <w:tcW w:w="1349" w:type="dxa"/>
          </w:tcPr>
          <w:p w14:paraId="35789CE4" w14:textId="77777777" w:rsidR="00A039F4" w:rsidRPr="00823DE2" w:rsidRDefault="00A039F4" w:rsidP="001524BA">
            <w:pPr>
              <w:autoSpaceDE w:val="0"/>
              <w:autoSpaceDN w:val="0"/>
              <w:adjustRightInd w:val="0"/>
              <w:spacing w:line="240" w:lineRule="auto"/>
              <w:rPr>
                <w:color w:val="000000"/>
                <w:sz w:val="22"/>
                <w:szCs w:val="22"/>
              </w:rPr>
            </w:pPr>
          </w:p>
        </w:tc>
        <w:tc>
          <w:tcPr>
            <w:tcW w:w="1645" w:type="dxa"/>
          </w:tcPr>
          <w:p w14:paraId="6F27B037" w14:textId="77777777" w:rsidR="00A039F4" w:rsidRPr="00823DE2" w:rsidRDefault="00A039F4" w:rsidP="001524BA">
            <w:pPr>
              <w:autoSpaceDE w:val="0"/>
              <w:autoSpaceDN w:val="0"/>
              <w:adjustRightInd w:val="0"/>
              <w:spacing w:line="240" w:lineRule="auto"/>
              <w:rPr>
                <w:color w:val="000000"/>
                <w:sz w:val="22"/>
                <w:szCs w:val="22"/>
              </w:rPr>
            </w:pPr>
          </w:p>
        </w:tc>
        <w:tc>
          <w:tcPr>
            <w:tcW w:w="1434" w:type="dxa"/>
          </w:tcPr>
          <w:p w14:paraId="60A02291" w14:textId="77777777" w:rsidR="00A039F4" w:rsidRPr="00823DE2" w:rsidRDefault="00A039F4" w:rsidP="001524BA">
            <w:pPr>
              <w:autoSpaceDE w:val="0"/>
              <w:autoSpaceDN w:val="0"/>
              <w:adjustRightInd w:val="0"/>
              <w:spacing w:line="240" w:lineRule="auto"/>
              <w:rPr>
                <w:color w:val="000000"/>
                <w:sz w:val="22"/>
                <w:szCs w:val="22"/>
              </w:rPr>
            </w:pPr>
          </w:p>
        </w:tc>
        <w:tc>
          <w:tcPr>
            <w:tcW w:w="1457" w:type="dxa"/>
          </w:tcPr>
          <w:p w14:paraId="7A5B06CA"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4E1A7C65" w14:textId="77777777" w:rsidTr="001524BA">
        <w:tc>
          <w:tcPr>
            <w:tcW w:w="1645" w:type="dxa"/>
          </w:tcPr>
          <w:p w14:paraId="22EB4B3E" w14:textId="77777777" w:rsidR="00A039F4" w:rsidRPr="00823DE2" w:rsidRDefault="00A039F4" w:rsidP="001524BA">
            <w:pPr>
              <w:autoSpaceDE w:val="0"/>
              <w:autoSpaceDN w:val="0"/>
              <w:adjustRightInd w:val="0"/>
              <w:spacing w:line="240" w:lineRule="auto"/>
              <w:jc w:val="right"/>
              <w:rPr>
                <w:sz w:val="22"/>
                <w:szCs w:val="22"/>
              </w:rPr>
            </w:pPr>
            <w:r w:rsidRPr="00823DE2">
              <w:rPr>
                <w:sz w:val="22"/>
                <w:szCs w:val="22"/>
              </w:rPr>
              <w:t>Age</w:t>
            </w:r>
          </w:p>
        </w:tc>
        <w:tc>
          <w:tcPr>
            <w:tcW w:w="1496" w:type="dxa"/>
          </w:tcPr>
          <w:p w14:paraId="37B2459E"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Below 24</w:t>
            </w:r>
          </w:p>
        </w:tc>
        <w:tc>
          <w:tcPr>
            <w:tcW w:w="1349" w:type="dxa"/>
          </w:tcPr>
          <w:p w14:paraId="4D258BCD"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51.5%</w:t>
            </w:r>
          </w:p>
        </w:tc>
        <w:tc>
          <w:tcPr>
            <w:tcW w:w="1645" w:type="dxa"/>
          </w:tcPr>
          <w:p w14:paraId="3471034D"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18.2%</w:t>
            </w:r>
          </w:p>
        </w:tc>
        <w:tc>
          <w:tcPr>
            <w:tcW w:w="1434" w:type="dxa"/>
          </w:tcPr>
          <w:p w14:paraId="6E9873EA"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30.3%</w:t>
            </w:r>
          </w:p>
        </w:tc>
        <w:tc>
          <w:tcPr>
            <w:tcW w:w="1457" w:type="dxa"/>
          </w:tcPr>
          <w:p w14:paraId="69A3DB21"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.556</w:t>
            </w:r>
          </w:p>
        </w:tc>
      </w:tr>
      <w:tr w:rsidR="00A039F4" w:rsidRPr="00823DE2" w14:paraId="35E4A7E8" w14:textId="77777777" w:rsidTr="001524BA">
        <w:tc>
          <w:tcPr>
            <w:tcW w:w="1645" w:type="dxa"/>
          </w:tcPr>
          <w:p w14:paraId="69230EBF"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00F9B059"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25 to 30</w:t>
            </w:r>
          </w:p>
        </w:tc>
        <w:tc>
          <w:tcPr>
            <w:tcW w:w="1349" w:type="dxa"/>
          </w:tcPr>
          <w:p w14:paraId="05EEFC96"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46.2%</w:t>
            </w:r>
          </w:p>
        </w:tc>
        <w:tc>
          <w:tcPr>
            <w:tcW w:w="1645" w:type="dxa"/>
          </w:tcPr>
          <w:p w14:paraId="3C5CA716"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15.4%</w:t>
            </w:r>
          </w:p>
        </w:tc>
        <w:tc>
          <w:tcPr>
            <w:tcW w:w="1434" w:type="dxa"/>
          </w:tcPr>
          <w:p w14:paraId="4982DCDA"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38.5%</w:t>
            </w:r>
          </w:p>
        </w:tc>
        <w:tc>
          <w:tcPr>
            <w:tcW w:w="1457" w:type="dxa"/>
          </w:tcPr>
          <w:p w14:paraId="3C5F7A53"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1D90C205" w14:textId="77777777" w:rsidTr="001524BA">
        <w:tc>
          <w:tcPr>
            <w:tcW w:w="1645" w:type="dxa"/>
          </w:tcPr>
          <w:p w14:paraId="200A3C62"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43BB51EB"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31 and above</w:t>
            </w:r>
          </w:p>
        </w:tc>
        <w:tc>
          <w:tcPr>
            <w:tcW w:w="1349" w:type="dxa"/>
          </w:tcPr>
          <w:p w14:paraId="044287CE"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30.4%</w:t>
            </w:r>
          </w:p>
        </w:tc>
        <w:tc>
          <w:tcPr>
            <w:tcW w:w="1645" w:type="dxa"/>
          </w:tcPr>
          <w:p w14:paraId="07609EBD"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30.4%</w:t>
            </w:r>
          </w:p>
        </w:tc>
        <w:tc>
          <w:tcPr>
            <w:tcW w:w="1434" w:type="dxa"/>
          </w:tcPr>
          <w:p w14:paraId="20B67548"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39.1%</w:t>
            </w:r>
          </w:p>
        </w:tc>
        <w:tc>
          <w:tcPr>
            <w:tcW w:w="1457" w:type="dxa"/>
          </w:tcPr>
          <w:p w14:paraId="12BDFC9D"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1A9E27FB" w14:textId="77777777" w:rsidTr="001524BA">
        <w:tc>
          <w:tcPr>
            <w:tcW w:w="1645" w:type="dxa"/>
          </w:tcPr>
          <w:p w14:paraId="556FE905"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414B4F4A" w14:textId="77777777" w:rsidR="00A039F4" w:rsidRPr="00823DE2" w:rsidRDefault="00A039F4" w:rsidP="001524BA">
            <w:pPr>
              <w:autoSpaceDE w:val="0"/>
              <w:autoSpaceDN w:val="0"/>
              <w:adjustRightInd w:val="0"/>
              <w:spacing w:line="240" w:lineRule="auto"/>
              <w:rPr>
                <w:sz w:val="22"/>
                <w:szCs w:val="22"/>
              </w:rPr>
            </w:pPr>
          </w:p>
        </w:tc>
        <w:tc>
          <w:tcPr>
            <w:tcW w:w="1349" w:type="dxa"/>
          </w:tcPr>
          <w:p w14:paraId="012DA7FF" w14:textId="77777777" w:rsidR="00A039F4" w:rsidRPr="00823DE2" w:rsidRDefault="00A039F4" w:rsidP="001524BA">
            <w:pPr>
              <w:autoSpaceDE w:val="0"/>
              <w:autoSpaceDN w:val="0"/>
              <w:adjustRightInd w:val="0"/>
              <w:spacing w:line="240" w:lineRule="auto"/>
              <w:rPr>
                <w:color w:val="000000"/>
                <w:sz w:val="22"/>
                <w:szCs w:val="22"/>
              </w:rPr>
            </w:pPr>
          </w:p>
        </w:tc>
        <w:tc>
          <w:tcPr>
            <w:tcW w:w="1645" w:type="dxa"/>
          </w:tcPr>
          <w:p w14:paraId="4F929A82" w14:textId="77777777" w:rsidR="00A039F4" w:rsidRPr="00823DE2" w:rsidRDefault="00A039F4" w:rsidP="001524BA">
            <w:pPr>
              <w:autoSpaceDE w:val="0"/>
              <w:autoSpaceDN w:val="0"/>
              <w:adjustRightInd w:val="0"/>
              <w:spacing w:line="240" w:lineRule="auto"/>
              <w:rPr>
                <w:color w:val="000000"/>
                <w:sz w:val="22"/>
                <w:szCs w:val="22"/>
              </w:rPr>
            </w:pPr>
          </w:p>
        </w:tc>
        <w:tc>
          <w:tcPr>
            <w:tcW w:w="1434" w:type="dxa"/>
          </w:tcPr>
          <w:p w14:paraId="463E41E6" w14:textId="77777777" w:rsidR="00A039F4" w:rsidRPr="00823DE2" w:rsidRDefault="00A039F4" w:rsidP="001524BA">
            <w:pPr>
              <w:autoSpaceDE w:val="0"/>
              <w:autoSpaceDN w:val="0"/>
              <w:adjustRightInd w:val="0"/>
              <w:spacing w:line="240" w:lineRule="auto"/>
              <w:rPr>
                <w:color w:val="000000"/>
                <w:sz w:val="22"/>
                <w:szCs w:val="22"/>
              </w:rPr>
            </w:pPr>
          </w:p>
        </w:tc>
        <w:tc>
          <w:tcPr>
            <w:tcW w:w="1457" w:type="dxa"/>
          </w:tcPr>
          <w:p w14:paraId="5D72DD3C"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7D7B5A3D" w14:textId="77777777" w:rsidTr="001524BA">
        <w:tc>
          <w:tcPr>
            <w:tcW w:w="1645" w:type="dxa"/>
          </w:tcPr>
          <w:p w14:paraId="40709237" w14:textId="77777777" w:rsidR="00A039F4" w:rsidRPr="00823DE2" w:rsidRDefault="00A039F4" w:rsidP="001524BA">
            <w:pPr>
              <w:autoSpaceDE w:val="0"/>
              <w:autoSpaceDN w:val="0"/>
              <w:adjustRightInd w:val="0"/>
              <w:spacing w:line="240" w:lineRule="auto"/>
              <w:jc w:val="right"/>
              <w:rPr>
                <w:sz w:val="22"/>
                <w:szCs w:val="22"/>
              </w:rPr>
            </w:pPr>
            <w:r w:rsidRPr="00823DE2">
              <w:rPr>
                <w:sz w:val="22"/>
                <w:szCs w:val="22"/>
              </w:rPr>
              <w:t>Gender</w:t>
            </w:r>
          </w:p>
        </w:tc>
        <w:tc>
          <w:tcPr>
            <w:tcW w:w="1496" w:type="dxa"/>
          </w:tcPr>
          <w:p w14:paraId="39A60D24"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Female</w:t>
            </w:r>
          </w:p>
        </w:tc>
        <w:tc>
          <w:tcPr>
            <w:tcW w:w="1349" w:type="dxa"/>
          </w:tcPr>
          <w:p w14:paraId="3252EAA8"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41.2%</w:t>
            </w:r>
          </w:p>
        </w:tc>
        <w:tc>
          <w:tcPr>
            <w:tcW w:w="1645" w:type="dxa"/>
          </w:tcPr>
          <w:p w14:paraId="3200FAEF"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29.4%</w:t>
            </w:r>
          </w:p>
        </w:tc>
        <w:tc>
          <w:tcPr>
            <w:tcW w:w="1434" w:type="dxa"/>
          </w:tcPr>
          <w:p w14:paraId="6AA77CBC"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29.4%</w:t>
            </w:r>
          </w:p>
        </w:tc>
        <w:tc>
          <w:tcPr>
            <w:tcW w:w="1457" w:type="dxa"/>
          </w:tcPr>
          <w:p w14:paraId="3669374D"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.662</w:t>
            </w:r>
          </w:p>
        </w:tc>
      </w:tr>
      <w:tr w:rsidR="00A039F4" w:rsidRPr="00823DE2" w14:paraId="4E3759FF" w14:textId="77777777" w:rsidTr="001524BA">
        <w:tc>
          <w:tcPr>
            <w:tcW w:w="1645" w:type="dxa"/>
          </w:tcPr>
          <w:p w14:paraId="0041CB21"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771A52EE"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Male</w:t>
            </w:r>
          </w:p>
        </w:tc>
        <w:tc>
          <w:tcPr>
            <w:tcW w:w="1349" w:type="dxa"/>
          </w:tcPr>
          <w:p w14:paraId="47EC592A"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44.2%</w:t>
            </w:r>
          </w:p>
        </w:tc>
        <w:tc>
          <w:tcPr>
            <w:tcW w:w="1645" w:type="dxa"/>
          </w:tcPr>
          <w:p w14:paraId="51258D47"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19.2%</w:t>
            </w:r>
          </w:p>
        </w:tc>
        <w:tc>
          <w:tcPr>
            <w:tcW w:w="1434" w:type="dxa"/>
          </w:tcPr>
          <w:p w14:paraId="28A9C1A6"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36.5%</w:t>
            </w:r>
          </w:p>
        </w:tc>
        <w:tc>
          <w:tcPr>
            <w:tcW w:w="1457" w:type="dxa"/>
          </w:tcPr>
          <w:p w14:paraId="1376C384"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49191BD0" w14:textId="77777777" w:rsidTr="001524BA">
        <w:tc>
          <w:tcPr>
            <w:tcW w:w="1645" w:type="dxa"/>
          </w:tcPr>
          <w:p w14:paraId="3C846A92" w14:textId="77777777" w:rsidR="00A039F4" w:rsidRPr="00823DE2" w:rsidRDefault="00A039F4" w:rsidP="001524BA">
            <w:pPr>
              <w:autoSpaceDE w:val="0"/>
              <w:autoSpaceDN w:val="0"/>
              <w:adjustRightInd w:val="0"/>
              <w:spacing w:line="240" w:lineRule="auto"/>
              <w:jc w:val="right"/>
              <w:rPr>
                <w:sz w:val="22"/>
                <w:szCs w:val="22"/>
              </w:rPr>
            </w:pPr>
          </w:p>
        </w:tc>
        <w:tc>
          <w:tcPr>
            <w:tcW w:w="1496" w:type="dxa"/>
          </w:tcPr>
          <w:p w14:paraId="3EF94233" w14:textId="77777777" w:rsidR="00A039F4" w:rsidRPr="00823DE2" w:rsidRDefault="00A039F4" w:rsidP="001524BA">
            <w:pPr>
              <w:autoSpaceDE w:val="0"/>
              <w:autoSpaceDN w:val="0"/>
              <w:adjustRightInd w:val="0"/>
              <w:spacing w:line="240" w:lineRule="auto"/>
              <w:rPr>
                <w:sz w:val="22"/>
                <w:szCs w:val="22"/>
              </w:rPr>
            </w:pPr>
          </w:p>
        </w:tc>
        <w:tc>
          <w:tcPr>
            <w:tcW w:w="1349" w:type="dxa"/>
          </w:tcPr>
          <w:p w14:paraId="7B6D6C3A" w14:textId="77777777" w:rsidR="00A039F4" w:rsidRPr="00823DE2" w:rsidRDefault="00A039F4" w:rsidP="001524BA">
            <w:pPr>
              <w:autoSpaceDE w:val="0"/>
              <w:autoSpaceDN w:val="0"/>
              <w:adjustRightInd w:val="0"/>
              <w:spacing w:line="240" w:lineRule="auto"/>
              <w:rPr>
                <w:color w:val="000000"/>
                <w:sz w:val="22"/>
                <w:szCs w:val="22"/>
              </w:rPr>
            </w:pPr>
          </w:p>
        </w:tc>
        <w:tc>
          <w:tcPr>
            <w:tcW w:w="1645" w:type="dxa"/>
          </w:tcPr>
          <w:p w14:paraId="2FDDD4C6" w14:textId="77777777" w:rsidR="00A039F4" w:rsidRPr="00823DE2" w:rsidRDefault="00A039F4" w:rsidP="001524BA">
            <w:pPr>
              <w:autoSpaceDE w:val="0"/>
              <w:autoSpaceDN w:val="0"/>
              <w:adjustRightInd w:val="0"/>
              <w:spacing w:line="240" w:lineRule="auto"/>
              <w:rPr>
                <w:color w:val="000000"/>
                <w:sz w:val="22"/>
                <w:szCs w:val="22"/>
              </w:rPr>
            </w:pPr>
          </w:p>
        </w:tc>
        <w:tc>
          <w:tcPr>
            <w:tcW w:w="1434" w:type="dxa"/>
          </w:tcPr>
          <w:p w14:paraId="6C387264" w14:textId="77777777" w:rsidR="00A039F4" w:rsidRPr="00823DE2" w:rsidRDefault="00A039F4" w:rsidP="001524BA">
            <w:pPr>
              <w:autoSpaceDE w:val="0"/>
              <w:autoSpaceDN w:val="0"/>
              <w:adjustRightInd w:val="0"/>
              <w:spacing w:line="240" w:lineRule="auto"/>
              <w:rPr>
                <w:color w:val="000000"/>
                <w:sz w:val="22"/>
                <w:szCs w:val="22"/>
              </w:rPr>
            </w:pPr>
          </w:p>
        </w:tc>
        <w:tc>
          <w:tcPr>
            <w:tcW w:w="1457" w:type="dxa"/>
          </w:tcPr>
          <w:p w14:paraId="4C894496" w14:textId="77777777" w:rsidR="00A039F4" w:rsidRPr="00823DE2" w:rsidRDefault="00A039F4" w:rsidP="001524BA">
            <w:pPr>
              <w:autoSpaceDE w:val="0"/>
              <w:autoSpaceDN w:val="0"/>
              <w:adjustRightInd w:val="0"/>
              <w:spacing w:line="240" w:lineRule="auto"/>
              <w:rPr>
                <w:sz w:val="22"/>
                <w:szCs w:val="22"/>
              </w:rPr>
            </w:pPr>
          </w:p>
        </w:tc>
      </w:tr>
      <w:tr w:rsidR="00A039F4" w:rsidRPr="00823DE2" w14:paraId="15FBB763" w14:textId="77777777" w:rsidTr="001524BA">
        <w:tc>
          <w:tcPr>
            <w:tcW w:w="1645" w:type="dxa"/>
          </w:tcPr>
          <w:p w14:paraId="634CD4ED" w14:textId="77777777" w:rsidR="00A039F4" w:rsidRPr="00823DE2" w:rsidRDefault="00A039F4" w:rsidP="001524BA">
            <w:pPr>
              <w:autoSpaceDE w:val="0"/>
              <w:autoSpaceDN w:val="0"/>
              <w:adjustRightInd w:val="0"/>
              <w:spacing w:line="240" w:lineRule="auto"/>
              <w:jc w:val="right"/>
              <w:rPr>
                <w:sz w:val="22"/>
                <w:szCs w:val="22"/>
              </w:rPr>
            </w:pPr>
            <w:r w:rsidRPr="00823DE2">
              <w:rPr>
                <w:sz w:val="22"/>
                <w:szCs w:val="22"/>
              </w:rPr>
              <w:t>Level of study</w:t>
            </w:r>
          </w:p>
        </w:tc>
        <w:tc>
          <w:tcPr>
            <w:tcW w:w="1496" w:type="dxa"/>
          </w:tcPr>
          <w:p w14:paraId="15916430"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 xml:space="preserve">Up to degree level </w:t>
            </w:r>
          </w:p>
        </w:tc>
        <w:tc>
          <w:tcPr>
            <w:tcW w:w="1349" w:type="dxa"/>
          </w:tcPr>
          <w:p w14:paraId="05BD41FC"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43.5%</w:t>
            </w:r>
          </w:p>
        </w:tc>
        <w:tc>
          <w:tcPr>
            <w:tcW w:w="1645" w:type="dxa"/>
          </w:tcPr>
          <w:p w14:paraId="48990B08"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21.7%</w:t>
            </w:r>
          </w:p>
        </w:tc>
        <w:tc>
          <w:tcPr>
            <w:tcW w:w="1434" w:type="dxa"/>
          </w:tcPr>
          <w:p w14:paraId="32490B5F" w14:textId="77777777" w:rsidR="00A039F4" w:rsidRPr="00823DE2" w:rsidRDefault="00A039F4" w:rsidP="001524BA">
            <w:pPr>
              <w:autoSpaceDE w:val="0"/>
              <w:autoSpaceDN w:val="0"/>
              <w:adjustRightInd w:val="0"/>
              <w:spacing w:line="240" w:lineRule="auto"/>
              <w:rPr>
                <w:sz w:val="22"/>
                <w:szCs w:val="22"/>
              </w:rPr>
            </w:pPr>
            <w:r w:rsidRPr="00823DE2">
              <w:rPr>
                <w:color w:val="000000"/>
                <w:sz w:val="22"/>
                <w:szCs w:val="22"/>
              </w:rPr>
              <w:t>34.8%</w:t>
            </w:r>
          </w:p>
        </w:tc>
        <w:tc>
          <w:tcPr>
            <w:tcW w:w="1457" w:type="dxa"/>
          </w:tcPr>
          <w:p w14:paraId="374610B5"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w:t>
            </w:r>
          </w:p>
        </w:tc>
      </w:tr>
      <w:tr w:rsidR="00A039F4" w:rsidRPr="00823DE2" w14:paraId="4C2E294C" w14:textId="77777777" w:rsidTr="001524BA">
        <w:tc>
          <w:tcPr>
            <w:tcW w:w="1645" w:type="dxa"/>
            <w:tcBorders>
              <w:bottom w:val="single" w:sz="4" w:space="0" w:color="auto"/>
            </w:tcBorders>
          </w:tcPr>
          <w:p w14:paraId="74B71D50" w14:textId="77777777" w:rsidR="00A039F4" w:rsidRPr="00823DE2" w:rsidRDefault="00A039F4" w:rsidP="001524BA">
            <w:pPr>
              <w:autoSpaceDE w:val="0"/>
              <w:autoSpaceDN w:val="0"/>
              <w:adjustRightInd w:val="0"/>
              <w:spacing w:line="240" w:lineRule="auto"/>
              <w:jc w:val="right"/>
              <w:rPr>
                <w:sz w:val="22"/>
                <w:szCs w:val="22"/>
              </w:rPr>
            </w:pPr>
          </w:p>
        </w:tc>
        <w:tc>
          <w:tcPr>
            <w:tcW w:w="1496" w:type="dxa"/>
            <w:tcBorders>
              <w:bottom w:val="single" w:sz="4" w:space="0" w:color="auto"/>
            </w:tcBorders>
          </w:tcPr>
          <w:p w14:paraId="2FEC89CA"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Postgraduate level</w:t>
            </w:r>
          </w:p>
        </w:tc>
        <w:tc>
          <w:tcPr>
            <w:tcW w:w="1349" w:type="dxa"/>
            <w:tcBorders>
              <w:bottom w:val="single" w:sz="4" w:space="0" w:color="auto"/>
            </w:tcBorders>
          </w:tcPr>
          <w:p w14:paraId="206ECA73"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w:t>
            </w:r>
          </w:p>
        </w:tc>
        <w:tc>
          <w:tcPr>
            <w:tcW w:w="1645" w:type="dxa"/>
            <w:tcBorders>
              <w:bottom w:val="single" w:sz="4" w:space="0" w:color="auto"/>
            </w:tcBorders>
          </w:tcPr>
          <w:p w14:paraId="55595CDE"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w:t>
            </w:r>
          </w:p>
        </w:tc>
        <w:tc>
          <w:tcPr>
            <w:tcW w:w="1434" w:type="dxa"/>
            <w:tcBorders>
              <w:bottom w:val="single" w:sz="4" w:space="0" w:color="auto"/>
            </w:tcBorders>
          </w:tcPr>
          <w:p w14:paraId="604C883D" w14:textId="77777777" w:rsidR="00A039F4" w:rsidRPr="00823DE2" w:rsidRDefault="00A039F4" w:rsidP="001524BA">
            <w:pPr>
              <w:autoSpaceDE w:val="0"/>
              <w:autoSpaceDN w:val="0"/>
              <w:adjustRightInd w:val="0"/>
              <w:spacing w:line="240" w:lineRule="auto"/>
              <w:rPr>
                <w:sz w:val="22"/>
                <w:szCs w:val="22"/>
              </w:rPr>
            </w:pPr>
            <w:r w:rsidRPr="00823DE2">
              <w:rPr>
                <w:sz w:val="22"/>
                <w:szCs w:val="22"/>
              </w:rPr>
              <w:t>-</w:t>
            </w:r>
          </w:p>
        </w:tc>
        <w:tc>
          <w:tcPr>
            <w:tcW w:w="1457" w:type="dxa"/>
            <w:tcBorders>
              <w:bottom w:val="single" w:sz="4" w:space="0" w:color="auto"/>
            </w:tcBorders>
          </w:tcPr>
          <w:p w14:paraId="731372F5" w14:textId="77777777" w:rsidR="00A039F4" w:rsidRPr="00823DE2" w:rsidRDefault="00A039F4" w:rsidP="001524BA">
            <w:pPr>
              <w:autoSpaceDE w:val="0"/>
              <w:autoSpaceDN w:val="0"/>
              <w:adjustRightInd w:val="0"/>
              <w:spacing w:line="240" w:lineRule="auto"/>
              <w:rPr>
                <w:sz w:val="22"/>
                <w:szCs w:val="22"/>
              </w:rPr>
            </w:pPr>
          </w:p>
        </w:tc>
      </w:tr>
    </w:tbl>
    <w:p w14:paraId="21F33209" w14:textId="77777777" w:rsidR="00353317" w:rsidRPr="00823DE2" w:rsidRDefault="00A039F4" w:rsidP="00353317">
      <w:pPr>
        <w:widowControl w:val="0"/>
        <w:spacing w:before="240"/>
      </w:pPr>
      <w:r w:rsidRPr="00823DE2">
        <w:t>For the Australian participants, there was a significant difference in the distribution of entrepreneurial intention by level of study</w:t>
      </w:r>
      <w:r w:rsidR="00956A0E">
        <w:t xml:space="preserve"> (</w:t>
      </w:r>
      <w:r w:rsidRPr="00823DE2">
        <w:t>X</w:t>
      </w:r>
      <w:r w:rsidRPr="00823DE2">
        <w:rPr>
          <w:vertAlign w:val="superscript"/>
        </w:rPr>
        <w:t>2</w:t>
      </w:r>
      <w:r w:rsidRPr="00823DE2">
        <w:t>(2</w:t>
      </w:r>
      <w:proofErr w:type="gramStart"/>
      <w:r w:rsidRPr="00823DE2">
        <w:t>)=</w:t>
      </w:r>
      <w:proofErr w:type="gramEnd"/>
      <w:r w:rsidRPr="00823DE2">
        <w:t>6.542,p=.038</w:t>
      </w:r>
      <w:r w:rsidR="00956A0E">
        <w:t>)</w:t>
      </w:r>
      <w:r w:rsidRPr="00823DE2">
        <w:t xml:space="preserve">. </w:t>
      </w:r>
      <w:r w:rsidRPr="00823DE2">
        <w:rPr>
          <w:lang w:val="en-US"/>
        </w:rPr>
        <w:t>Post</w:t>
      </w:r>
      <w:r w:rsidR="002268A6">
        <w:rPr>
          <w:lang w:val="en-US"/>
        </w:rPr>
        <w:t>-</w:t>
      </w:r>
      <w:r w:rsidRPr="00823DE2">
        <w:rPr>
          <w:lang w:val="en-US"/>
        </w:rPr>
        <w:t xml:space="preserve">hoc analysis involved pairwise comparisons using multiple z-tests of two proportions with a </w:t>
      </w:r>
      <w:proofErr w:type="spellStart"/>
      <w:r w:rsidRPr="00823DE2">
        <w:rPr>
          <w:lang w:val="en-US"/>
        </w:rPr>
        <w:t>Bonferroni</w:t>
      </w:r>
      <w:proofErr w:type="spellEnd"/>
      <w:r w:rsidRPr="00823DE2">
        <w:rPr>
          <w:lang w:val="en-US"/>
        </w:rPr>
        <w:t xml:space="preserve"> correction. There was a statistically significant difference in the proportion of </w:t>
      </w:r>
      <w:r w:rsidR="00D81EFA">
        <w:rPr>
          <w:lang w:val="en-US"/>
        </w:rPr>
        <w:t>under</w:t>
      </w:r>
      <w:r w:rsidRPr="00823DE2">
        <w:rPr>
          <w:lang w:val="en-US"/>
        </w:rPr>
        <w:t xml:space="preserve">graduate students versus </w:t>
      </w:r>
      <w:r w:rsidR="00D81EFA">
        <w:rPr>
          <w:lang w:val="en-US"/>
        </w:rPr>
        <w:t>post</w:t>
      </w:r>
      <w:r w:rsidRPr="00823DE2">
        <w:rPr>
          <w:lang w:val="en-US"/>
        </w:rPr>
        <w:t xml:space="preserve">graduate students who are </w:t>
      </w:r>
      <w:r w:rsidRPr="00823DE2">
        <w:rPr>
          <w:b/>
          <w:lang w:val="en-US"/>
        </w:rPr>
        <w:t xml:space="preserve">not yet decided </w:t>
      </w:r>
      <w:r w:rsidRPr="00823DE2">
        <w:rPr>
          <w:lang w:val="en-US"/>
        </w:rPr>
        <w:t>about their entrepreneurship plans (34.5% for undergraduate students</w:t>
      </w:r>
      <w:r w:rsidR="002268A6">
        <w:rPr>
          <w:lang w:val="en-US"/>
        </w:rPr>
        <w:t>,</w:t>
      </w:r>
      <w:r w:rsidRPr="00823DE2">
        <w:rPr>
          <w:lang w:val="en-US"/>
        </w:rPr>
        <w:t xml:space="preserve"> 16.1% for postgraduate level students). Note that for the UK sample, the test was not run because all participants were at undergraduate level. </w:t>
      </w:r>
      <w:r w:rsidRPr="003534EF">
        <w:t xml:space="preserve">Postgraduate students were </w:t>
      </w:r>
      <w:r>
        <w:t>less</w:t>
      </w:r>
      <w:r w:rsidRPr="003534EF">
        <w:t xml:space="preserve"> likely to be undecided about whether to take up entrepreneurship. </w:t>
      </w:r>
      <w:r>
        <w:t xml:space="preserve">Motivations for postgraduate study have been found to relate to personal/ career development and deferring entry to the job market </w:t>
      </w:r>
      <w:r>
        <w:fldChar w:fldCharType="begin" w:fldLock="1"/>
      </w:r>
      <w:r w:rsidR="00F35135">
        <w:instrText>ADDIN CSL_CITATION {"citationItems":[{"id":"ITEM-1","itemData":{"abstract":"Established in 1972, the HECSU is an independent research charity specialising in higher education and graduate employment. We seek to support careers advisory services as they guide students and graduates through university and into postgraduate education and the labour market. We aim to: • Improve the dissemination of information about higher education and graduate employment • Contribute to knowledge of student and graduate career development and employment by conducting and commissioning research • Work with careers advisers, academic staff and employers to support graduate employability We are indebted to the Department for Business, Innovation and Skills for its continuing support of the Futuretrack study; in particular to Charles Ritchie and Jane Carr whose comments during the drafting of the report have been invaluable. 2","author":[{"dropping-particle":"","family":"Ball","given":"Charlie","non-dropping-particle":"","parse-names":false,"suffix":""}],"id":"ITEM-1","issued":{"date-parts":[["2016"]]},"title":"Learning from Futuretrack: Deciding to undertake postgraduate study","type":"report"},"uris":["http://www.mendeley.com/documents/?uuid=052103c5-9ec6-34e9-8cc9-2e1795916f1f"]}],"mendeley":{"formattedCitation":"(Ball 2016)","plainTextFormattedCitation":"(Ball 2016)","previouslyFormattedCitation":"(Ball 2016)"},"properties":{"noteIndex":0},"schema":"https://github.com/citation-style-language/schema/raw/master/csl-citation.json"}</w:instrText>
      </w:r>
      <w:r>
        <w:fldChar w:fldCharType="separate"/>
      </w:r>
      <w:r w:rsidRPr="00C75467">
        <w:rPr>
          <w:noProof/>
        </w:rPr>
        <w:t>(Ball 2016)</w:t>
      </w:r>
      <w:r>
        <w:fldChar w:fldCharType="end"/>
      </w:r>
      <w:r>
        <w:t>,</w:t>
      </w:r>
      <w:r w:rsidRPr="003534EF">
        <w:t xml:space="preserve"> </w:t>
      </w:r>
      <w:r>
        <w:t>and so it is unsurprising that a lower number</w:t>
      </w:r>
      <w:r w:rsidRPr="003534EF">
        <w:t xml:space="preserve"> of</w:t>
      </w:r>
      <w:r>
        <w:t xml:space="preserve"> postgraduate </w:t>
      </w:r>
      <w:r>
        <w:lastRenderedPageBreak/>
        <w:t>participants were</w:t>
      </w:r>
      <w:r w:rsidRPr="003534EF">
        <w:t xml:space="preserve"> undecided </w:t>
      </w:r>
      <w:r>
        <w:t>in regard to</w:t>
      </w:r>
      <w:r w:rsidRPr="003534EF">
        <w:t xml:space="preserve"> entrepreneurship intentions</w:t>
      </w:r>
      <w:r w:rsidR="004E3CA7">
        <w:t xml:space="preserve"> as they are more likely to have better-developed personal/career goals than </w:t>
      </w:r>
      <w:r w:rsidR="00353317">
        <w:t>undergraduates.</w:t>
      </w:r>
    </w:p>
    <w:p w14:paraId="09D34C8E" w14:textId="77777777" w:rsidR="00823DE2" w:rsidRPr="00C57600" w:rsidRDefault="007E1D73" w:rsidP="00FF4524">
      <w:pPr>
        <w:pStyle w:val="Heading2"/>
      </w:pPr>
      <w:r>
        <w:t>D</w:t>
      </w:r>
      <w:r w:rsidR="004E3CA7">
        <w:t>rivers</w:t>
      </w:r>
      <w:r w:rsidR="00823DE2" w:rsidRPr="00823DE2">
        <w:t>, barriers and enablers</w:t>
      </w:r>
      <w:r w:rsidR="009A3B01">
        <w:t>: all participants</w:t>
      </w:r>
    </w:p>
    <w:p w14:paraId="0A2C896E" w14:textId="7ACDA5CA" w:rsidR="00823DE2" w:rsidRPr="00823DE2" w:rsidRDefault="00823DE2" w:rsidP="00FF4524">
      <w:pPr>
        <w:pStyle w:val="Paragraph"/>
      </w:pPr>
      <w:r w:rsidRPr="00823DE2">
        <w:t>A comparis</w:t>
      </w:r>
      <w:r w:rsidR="001573D8">
        <w:t>on of student perceptions of</w:t>
      </w:r>
      <w:r w:rsidRPr="00823DE2">
        <w:t xml:space="preserve"> the importance of </w:t>
      </w:r>
      <w:r w:rsidR="004E3CA7">
        <w:t>drivers</w:t>
      </w:r>
      <w:r w:rsidR="00013AFD">
        <w:t xml:space="preserve">, </w:t>
      </w:r>
      <w:r w:rsidRPr="00823DE2">
        <w:t xml:space="preserve">barriers </w:t>
      </w:r>
      <w:r w:rsidR="00013AFD">
        <w:t xml:space="preserve">and enablers </w:t>
      </w:r>
      <w:r w:rsidRPr="00823DE2">
        <w:t>affecting entrepreneuri</w:t>
      </w:r>
      <w:r w:rsidR="00013AFD">
        <w:t>al intent</w:t>
      </w:r>
      <w:r w:rsidR="00C57600">
        <w:t xml:space="preserve">ion is shown in Table </w:t>
      </w:r>
      <w:r w:rsidR="00BF39F6">
        <w:t>3</w:t>
      </w:r>
      <w:r w:rsidRPr="00823DE2">
        <w:t xml:space="preserve">. </w:t>
      </w:r>
      <w:r w:rsidRPr="00C67ABF">
        <w:rPr>
          <w:i/>
        </w:rPr>
        <w:t>Passion</w:t>
      </w:r>
      <w:r w:rsidR="004E3CA7">
        <w:t xml:space="preserve"> </w:t>
      </w:r>
      <w:r w:rsidRPr="00823DE2">
        <w:t xml:space="preserve">and </w:t>
      </w:r>
      <w:r w:rsidRPr="00C67ABF">
        <w:rPr>
          <w:i/>
        </w:rPr>
        <w:t>job satisfaction</w:t>
      </w:r>
      <w:r w:rsidRPr="00823DE2">
        <w:t xml:space="preserve"> were the two highest </w:t>
      </w:r>
      <w:r w:rsidR="004E3CA7">
        <w:t>drivers (</w:t>
      </w:r>
      <w:r w:rsidR="00013AFD">
        <w:t xml:space="preserve">motivation </w:t>
      </w:r>
      <w:r w:rsidRPr="00823DE2">
        <w:t>factor</w:t>
      </w:r>
      <w:r w:rsidR="00A433AD">
        <w:t>s</w:t>
      </w:r>
      <w:r w:rsidR="004E3CA7">
        <w:t>)</w:t>
      </w:r>
      <w:r w:rsidRPr="00823DE2">
        <w:t xml:space="preserve"> among all participants, which are also the items for intrinsic motivation. </w:t>
      </w:r>
      <w:r w:rsidR="007F20DD">
        <w:t xml:space="preserve">Within a Spanish context, </w:t>
      </w:r>
      <w:proofErr w:type="spellStart"/>
      <w:r w:rsidR="00013AFD">
        <w:t>Arranz</w:t>
      </w:r>
      <w:proofErr w:type="spellEnd"/>
      <w:r w:rsidR="00013AFD">
        <w:t xml:space="preserve"> et al.</w:t>
      </w:r>
      <w:r w:rsidR="007A2E96">
        <w:t xml:space="preserve"> (</w:t>
      </w:r>
      <w:r w:rsidR="00013AFD">
        <w:t>2018</w:t>
      </w:r>
      <w:r w:rsidR="007A2E96">
        <w:t>)</w:t>
      </w:r>
      <w:r w:rsidR="00013AFD">
        <w:t xml:space="preserve"> similarly found the most commonly cited reason</w:t>
      </w:r>
      <w:r w:rsidR="007F20DD">
        <w:t>s</w:t>
      </w:r>
      <w:r w:rsidR="00013AFD">
        <w:t xml:space="preserve"> to become an entrepreneur w</w:t>
      </w:r>
      <w:r w:rsidR="004C6E67">
        <w:t>ere</w:t>
      </w:r>
      <w:r w:rsidR="00013AFD">
        <w:t xml:space="preserve"> to</w:t>
      </w:r>
      <w:r w:rsidR="000A4684">
        <w:t xml:space="preserve"> develop ideas</w:t>
      </w:r>
      <w:r w:rsidR="00013AFD">
        <w:t xml:space="preserve"> </w:t>
      </w:r>
      <w:r w:rsidR="007F20DD">
        <w:t xml:space="preserve">and for </w:t>
      </w:r>
      <w:r w:rsidR="00013AFD">
        <w:t xml:space="preserve">job satisfaction (in the form of </w:t>
      </w:r>
      <w:r w:rsidR="000A4684">
        <w:t>‘</w:t>
      </w:r>
      <w:r w:rsidR="00013AFD" w:rsidRPr="008833CA">
        <w:t>desire for freedom</w:t>
      </w:r>
      <w:r w:rsidR="000A4684">
        <w:t>’</w:t>
      </w:r>
      <w:r w:rsidR="00013AFD">
        <w:t xml:space="preserve"> and </w:t>
      </w:r>
      <w:r w:rsidR="000A4684">
        <w:t>‘</w:t>
      </w:r>
      <w:r w:rsidR="00013AFD" w:rsidRPr="008833CA">
        <w:t>taking my own decisions</w:t>
      </w:r>
      <w:r w:rsidR="000A4684">
        <w:t>’</w:t>
      </w:r>
      <w:r w:rsidR="00013AFD">
        <w:t>)</w:t>
      </w:r>
      <w:r w:rsidR="007F20DD">
        <w:t xml:space="preserve">: both </w:t>
      </w:r>
      <w:r w:rsidR="00821BBB">
        <w:t>highly motivating.</w:t>
      </w:r>
      <w:r w:rsidR="00954C30">
        <w:t xml:space="preserve"> </w:t>
      </w:r>
      <w:r w:rsidR="00954C30" w:rsidRPr="00C67ABF">
        <w:t>Pruett</w:t>
      </w:r>
      <w:r w:rsidR="00AD4C59" w:rsidRPr="00C67ABF">
        <w:t xml:space="preserve"> et al.</w:t>
      </w:r>
      <w:r w:rsidR="00954C30" w:rsidRPr="00C67ABF">
        <w:t xml:space="preserve"> </w:t>
      </w:r>
      <w:r w:rsidR="00AD4C59" w:rsidRPr="00C67ABF">
        <w:t>(</w:t>
      </w:r>
      <w:r w:rsidR="00954C30" w:rsidRPr="00C67ABF">
        <w:t>20</w:t>
      </w:r>
      <w:r w:rsidR="00AD4C59" w:rsidRPr="00C67ABF">
        <w:t>09)</w:t>
      </w:r>
      <w:r w:rsidR="00954C30" w:rsidRPr="00CF322C">
        <w:t xml:space="preserve"> </w:t>
      </w:r>
      <w:r w:rsidR="00954C30">
        <w:t>also found students to be motivated by job satisfaction gained through independence and autonomy</w:t>
      </w:r>
      <w:r w:rsidR="00411250">
        <w:t xml:space="preserve"> in their study encompassing US, Spain and China</w:t>
      </w:r>
      <w:r w:rsidR="00954C30">
        <w:t>.</w:t>
      </w:r>
      <w:r w:rsidR="00821BBB">
        <w:t xml:space="preserve"> </w:t>
      </w:r>
      <w:r w:rsidR="00013AFD">
        <w:t xml:space="preserve">   </w:t>
      </w:r>
    </w:p>
    <w:p w14:paraId="69A0EA05" w14:textId="77777777" w:rsidR="00823DE2" w:rsidRPr="00823DE2" w:rsidRDefault="00823DE2" w:rsidP="00C57600">
      <w:pPr>
        <w:pStyle w:val="TableHeader"/>
      </w:pPr>
      <w:r w:rsidRPr="00823DE2">
        <w:t xml:space="preserve">Table </w:t>
      </w:r>
      <w:r w:rsidR="00BF39F6">
        <w:t>3</w:t>
      </w:r>
      <w:r w:rsidRPr="00823DE2">
        <w:t>. Descriptive statistics of motivation, barriers and enablers (item and scale level)</w:t>
      </w:r>
    </w:p>
    <w:tbl>
      <w:tblPr>
        <w:tblW w:w="8831" w:type="dxa"/>
        <w:tblCellMar>
          <w:left w:w="0" w:type="dxa"/>
          <w:right w:w="0" w:type="dxa"/>
        </w:tblCellMar>
        <w:tblLook w:val="04A0" w:firstRow="1" w:lastRow="0" w:firstColumn="1" w:lastColumn="0" w:noHBand="0" w:noVBand="1"/>
      </w:tblPr>
      <w:tblGrid>
        <w:gridCol w:w="5945"/>
        <w:gridCol w:w="1552"/>
        <w:gridCol w:w="1334"/>
      </w:tblGrid>
      <w:tr w:rsidR="00823DE2" w:rsidRPr="00823DE2" w14:paraId="4BBFFDD8" w14:textId="77777777" w:rsidTr="00EC5E7A">
        <w:trPr>
          <w:trHeight w:hRule="exact" w:val="278"/>
        </w:trPr>
        <w:tc>
          <w:tcPr>
            <w:tcW w:w="5945"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14:paraId="5D3EB056" w14:textId="77777777" w:rsidR="00823DE2" w:rsidRPr="00823DE2" w:rsidRDefault="00823DE2" w:rsidP="00823DE2">
            <w:pPr>
              <w:jc w:val="center"/>
              <w:rPr>
                <w:color w:val="000000"/>
                <w:sz w:val="22"/>
                <w:szCs w:val="22"/>
              </w:rPr>
            </w:pPr>
            <w:r w:rsidRPr="00823DE2">
              <w:rPr>
                <w:color w:val="000000"/>
                <w:sz w:val="22"/>
                <w:szCs w:val="22"/>
              </w:rPr>
              <w:t>Factors</w:t>
            </w:r>
          </w:p>
        </w:tc>
        <w:tc>
          <w:tcPr>
            <w:tcW w:w="1552" w:type="dxa"/>
            <w:tcBorders>
              <w:top w:val="single" w:sz="4" w:space="0" w:color="auto"/>
              <w:bottom w:val="single" w:sz="4" w:space="0" w:color="auto"/>
            </w:tcBorders>
          </w:tcPr>
          <w:p w14:paraId="48FFAA02" w14:textId="77777777" w:rsidR="00823DE2" w:rsidRPr="00823DE2" w:rsidRDefault="00823DE2" w:rsidP="00823DE2">
            <w:pPr>
              <w:jc w:val="center"/>
              <w:rPr>
                <w:color w:val="000000"/>
                <w:sz w:val="22"/>
                <w:szCs w:val="22"/>
              </w:rPr>
            </w:pPr>
            <w:r w:rsidRPr="00823DE2">
              <w:rPr>
                <w:color w:val="000000"/>
                <w:sz w:val="22"/>
                <w:szCs w:val="22"/>
              </w:rPr>
              <w:t>Mean</w:t>
            </w:r>
          </w:p>
        </w:tc>
        <w:tc>
          <w:tcPr>
            <w:tcW w:w="1334" w:type="dxa"/>
            <w:tcBorders>
              <w:top w:val="single" w:sz="4" w:space="0" w:color="auto"/>
              <w:bottom w:val="single" w:sz="4" w:space="0" w:color="auto"/>
            </w:tcBorders>
          </w:tcPr>
          <w:p w14:paraId="1329F59B" w14:textId="77777777" w:rsidR="00823DE2" w:rsidRPr="00823DE2" w:rsidRDefault="00823DE2" w:rsidP="00823DE2">
            <w:pPr>
              <w:jc w:val="center"/>
              <w:rPr>
                <w:color w:val="000000"/>
                <w:sz w:val="22"/>
                <w:szCs w:val="22"/>
              </w:rPr>
            </w:pPr>
            <w:r w:rsidRPr="00823DE2">
              <w:rPr>
                <w:color w:val="000000"/>
                <w:sz w:val="22"/>
                <w:szCs w:val="22"/>
              </w:rPr>
              <w:t>SD</w:t>
            </w:r>
          </w:p>
        </w:tc>
      </w:tr>
      <w:tr w:rsidR="00823DE2" w:rsidRPr="00823DE2" w14:paraId="7B0238F6" w14:textId="77777777" w:rsidTr="00EC5E7A">
        <w:trPr>
          <w:trHeight w:hRule="exact" w:val="278"/>
        </w:trPr>
        <w:tc>
          <w:tcPr>
            <w:tcW w:w="5945" w:type="dxa"/>
            <w:tcBorders>
              <w:top w:val="single" w:sz="4" w:space="0" w:color="auto"/>
            </w:tcBorders>
            <w:shd w:val="clear" w:color="auto" w:fill="auto"/>
            <w:noWrap/>
            <w:tcMar>
              <w:top w:w="15" w:type="dxa"/>
              <w:left w:w="15" w:type="dxa"/>
              <w:bottom w:w="0" w:type="dxa"/>
              <w:right w:w="15" w:type="dxa"/>
            </w:tcMar>
            <w:vAlign w:val="bottom"/>
            <w:hideMark/>
          </w:tcPr>
          <w:p w14:paraId="1F7A2CB3" w14:textId="77777777" w:rsidR="00823DE2" w:rsidRPr="00823DE2" w:rsidRDefault="00823DE2" w:rsidP="00823DE2">
            <w:pPr>
              <w:rPr>
                <w:color w:val="000000"/>
                <w:sz w:val="22"/>
                <w:szCs w:val="22"/>
              </w:rPr>
            </w:pPr>
            <w:r w:rsidRPr="00823DE2">
              <w:rPr>
                <w:color w:val="000000"/>
                <w:sz w:val="22"/>
                <w:szCs w:val="22"/>
              </w:rPr>
              <w:t>Motivations to take up entrepreneurship</w:t>
            </w:r>
          </w:p>
        </w:tc>
        <w:tc>
          <w:tcPr>
            <w:tcW w:w="1552" w:type="dxa"/>
            <w:tcBorders>
              <w:top w:val="single" w:sz="4" w:space="0" w:color="auto"/>
            </w:tcBorders>
          </w:tcPr>
          <w:p w14:paraId="2D1191B7" w14:textId="77777777" w:rsidR="00823DE2" w:rsidRPr="00823DE2" w:rsidRDefault="00823DE2" w:rsidP="00823DE2">
            <w:pPr>
              <w:jc w:val="center"/>
              <w:rPr>
                <w:color w:val="000000"/>
                <w:sz w:val="22"/>
                <w:szCs w:val="22"/>
              </w:rPr>
            </w:pPr>
          </w:p>
        </w:tc>
        <w:tc>
          <w:tcPr>
            <w:tcW w:w="1334" w:type="dxa"/>
            <w:tcBorders>
              <w:top w:val="single" w:sz="4" w:space="0" w:color="auto"/>
            </w:tcBorders>
          </w:tcPr>
          <w:p w14:paraId="160FE649" w14:textId="77777777" w:rsidR="00823DE2" w:rsidRPr="00823DE2" w:rsidRDefault="00823DE2" w:rsidP="00823DE2">
            <w:pPr>
              <w:jc w:val="center"/>
              <w:rPr>
                <w:color w:val="000000"/>
                <w:sz w:val="22"/>
                <w:szCs w:val="22"/>
              </w:rPr>
            </w:pPr>
          </w:p>
        </w:tc>
      </w:tr>
      <w:tr w:rsidR="00823DE2" w:rsidRPr="00823DE2" w14:paraId="6D516016" w14:textId="77777777" w:rsidTr="00EC5E7A">
        <w:trPr>
          <w:trHeight w:hRule="exact" w:val="278"/>
        </w:trPr>
        <w:tc>
          <w:tcPr>
            <w:tcW w:w="5945" w:type="dxa"/>
            <w:shd w:val="clear" w:color="auto" w:fill="auto"/>
            <w:noWrap/>
            <w:tcMar>
              <w:top w:w="15" w:type="dxa"/>
              <w:left w:w="15" w:type="dxa"/>
              <w:bottom w:w="0" w:type="dxa"/>
              <w:right w:w="15" w:type="dxa"/>
            </w:tcMar>
            <w:vAlign w:val="bottom"/>
          </w:tcPr>
          <w:p w14:paraId="1F502949" w14:textId="77777777" w:rsidR="00823DE2" w:rsidRPr="00823DE2" w:rsidRDefault="00823DE2" w:rsidP="00823DE2">
            <w:pPr>
              <w:rPr>
                <w:color w:val="000000"/>
                <w:sz w:val="22"/>
                <w:szCs w:val="22"/>
              </w:rPr>
            </w:pPr>
            <w:r w:rsidRPr="00823DE2">
              <w:rPr>
                <w:color w:val="000000"/>
                <w:sz w:val="22"/>
                <w:szCs w:val="22"/>
              </w:rPr>
              <w:tab/>
              <w:t>Extrinsic motivation</w:t>
            </w:r>
          </w:p>
        </w:tc>
        <w:tc>
          <w:tcPr>
            <w:tcW w:w="1552" w:type="dxa"/>
            <w:vAlign w:val="center"/>
          </w:tcPr>
          <w:p w14:paraId="614C88FE" w14:textId="77777777" w:rsidR="00823DE2" w:rsidRPr="00823DE2" w:rsidRDefault="00823DE2" w:rsidP="00823DE2">
            <w:pPr>
              <w:jc w:val="right"/>
              <w:rPr>
                <w:b/>
                <w:color w:val="000000"/>
                <w:sz w:val="22"/>
                <w:szCs w:val="22"/>
              </w:rPr>
            </w:pPr>
            <w:r w:rsidRPr="00823DE2">
              <w:rPr>
                <w:b/>
                <w:color w:val="000000"/>
                <w:sz w:val="22"/>
                <w:szCs w:val="22"/>
              </w:rPr>
              <w:t>3.07</w:t>
            </w:r>
          </w:p>
        </w:tc>
        <w:tc>
          <w:tcPr>
            <w:tcW w:w="1334" w:type="dxa"/>
            <w:vAlign w:val="center"/>
          </w:tcPr>
          <w:p w14:paraId="5030704F" w14:textId="77777777" w:rsidR="00823DE2" w:rsidRPr="00823DE2" w:rsidRDefault="00823DE2" w:rsidP="00823DE2">
            <w:pPr>
              <w:jc w:val="right"/>
              <w:rPr>
                <w:b/>
                <w:color w:val="000000"/>
                <w:sz w:val="22"/>
                <w:szCs w:val="22"/>
              </w:rPr>
            </w:pPr>
            <w:r w:rsidRPr="00823DE2">
              <w:rPr>
                <w:b/>
                <w:color w:val="000000"/>
                <w:sz w:val="22"/>
                <w:szCs w:val="22"/>
              </w:rPr>
              <w:t>0.95</w:t>
            </w:r>
          </w:p>
        </w:tc>
      </w:tr>
      <w:tr w:rsidR="00823DE2" w:rsidRPr="00823DE2" w14:paraId="3C169926" w14:textId="77777777" w:rsidTr="00EC5E7A">
        <w:trPr>
          <w:trHeight w:hRule="exact" w:val="278"/>
        </w:trPr>
        <w:tc>
          <w:tcPr>
            <w:tcW w:w="5945" w:type="dxa"/>
            <w:shd w:val="clear" w:color="auto" w:fill="auto"/>
            <w:noWrap/>
            <w:tcMar>
              <w:top w:w="15" w:type="dxa"/>
              <w:left w:w="15" w:type="dxa"/>
              <w:bottom w:w="0" w:type="dxa"/>
              <w:right w:w="15" w:type="dxa"/>
            </w:tcMar>
          </w:tcPr>
          <w:p w14:paraId="65E02094"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Competitive graduate job market</w:t>
            </w:r>
          </w:p>
        </w:tc>
        <w:tc>
          <w:tcPr>
            <w:tcW w:w="1552" w:type="dxa"/>
            <w:vAlign w:val="center"/>
          </w:tcPr>
          <w:p w14:paraId="624EBFE1" w14:textId="77777777" w:rsidR="00823DE2" w:rsidRPr="00823DE2" w:rsidRDefault="00823DE2" w:rsidP="00823DE2">
            <w:pPr>
              <w:jc w:val="right"/>
              <w:rPr>
                <w:color w:val="000000"/>
                <w:sz w:val="22"/>
                <w:szCs w:val="22"/>
              </w:rPr>
            </w:pPr>
            <w:r w:rsidRPr="00823DE2">
              <w:rPr>
                <w:color w:val="000000"/>
                <w:sz w:val="22"/>
                <w:szCs w:val="22"/>
              </w:rPr>
              <w:t>2.90</w:t>
            </w:r>
          </w:p>
        </w:tc>
        <w:tc>
          <w:tcPr>
            <w:tcW w:w="1334" w:type="dxa"/>
            <w:vAlign w:val="center"/>
          </w:tcPr>
          <w:p w14:paraId="02240D15" w14:textId="77777777" w:rsidR="00823DE2" w:rsidRPr="00823DE2" w:rsidRDefault="00823DE2" w:rsidP="00823DE2">
            <w:pPr>
              <w:jc w:val="right"/>
              <w:rPr>
                <w:color w:val="000000"/>
                <w:sz w:val="22"/>
                <w:szCs w:val="22"/>
              </w:rPr>
            </w:pPr>
            <w:r w:rsidRPr="00823DE2">
              <w:rPr>
                <w:color w:val="000000"/>
                <w:sz w:val="22"/>
                <w:szCs w:val="22"/>
              </w:rPr>
              <w:t>1.31</w:t>
            </w:r>
          </w:p>
        </w:tc>
      </w:tr>
      <w:tr w:rsidR="00823DE2" w:rsidRPr="00823DE2" w14:paraId="49EA84DC" w14:textId="77777777" w:rsidTr="00EC5E7A">
        <w:trPr>
          <w:trHeight w:hRule="exact" w:val="278"/>
        </w:trPr>
        <w:tc>
          <w:tcPr>
            <w:tcW w:w="5945" w:type="dxa"/>
            <w:shd w:val="clear" w:color="auto" w:fill="auto"/>
            <w:noWrap/>
            <w:tcMar>
              <w:top w:w="15" w:type="dxa"/>
              <w:left w:w="15" w:type="dxa"/>
              <w:bottom w:w="0" w:type="dxa"/>
              <w:right w:w="15" w:type="dxa"/>
            </w:tcMar>
          </w:tcPr>
          <w:p w14:paraId="49FE1B53" w14:textId="77777777" w:rsidR="00823DE2" w:rsidRPr="00823DE2" w:rsidRDefault="00823DE2" w:rsidP="00823DE2">
            <w:pPr>
              <w:rPr>
                <w:color w:val="000000"/>
                <w:sz w:val="22"/>
                <w:szCs w:val="22"/>
              </w:rPr>
            </w:pPr>
            <w:r w:rsidRPr="00823DE2">
              <w:rPr>
                <w:color w:val="000000"/>
                <w:sz w:val="22"/>
                <w:szCs w:val="22"/>
              </w:rPr>
              <w:t xml:space="preserve"> </w:t>
            </w:r>
            <w:r w:rsidRPr="00823DE2">
              <w:rPr>
                <w:color w:val="000000"/>
                <w:sz w:val="22"/>
                <w:szCs w:val="22"/>
              </w:rPr>
              <w:tab/>
            </w:r>
            <w:r w:rsidRPr="00823DE2">
              <w:rPr>
                <w:color w:val="000000"/>
                <w:sz w:val="22"/>
                <w:szCs w:val="22"/>
              </w:rPr>
              <w:tab/>
              <w:t>Fame and recognition</w:t>
            </w:r>
          </w:p>
        </w:tc>
        <w:tc>
          <w:tcPr>
            <w:tcW w:w="1552" w:type="dxa"/>
            <w:vAlign w:val="center"/>
          </w:tcPr>
          <w:p w14:paraId="346B2BCD" w14:textId="77777777" w:rsidR="00823DE2" w:rsidRPr="00823DE2" w:rsidRDefault="00823DE2" w:rsidP="00823DE2">
            <w:pPr>
              <w:jc w:val="right"/>
              <w:rPr>
                <w:color w:val="000000"/>
                <w:sz w:val="22"/>
                <w:szCs w:val="22"/>
              </w:rPr>
            </w:pPr>
            <w:r w:rsidRPr="00823DE2">
              <w:rPr>
                <w:color w:val="000000"/>
                <w:sz w:val="22"/>
                <w:szCs w:val="22"/>
              </w:rPr>
              <w:t>2.58</w:t>
            </w:r>
          </w:p>
        </w:tc>
        <w:tc>
          <w:tcPr>
            <w:tcW w:w="1334" w:type="dxa"/>
            <w:vAlign w:val="center"/>
          </w:tcPr>
          <w:p w14:paraId="0E7C197D" w14:textId="77777777" w:rsidR="00823DE2" w:rsidRPr="00823DE2" w:rsidRDefault="00823DE2" w:rsidP="00823DE2">
            <w:pPr>
              <w:jc w:val="right"/>
              <w:rPr>
                <w:color w:val="000000"/>
                <w:sz w:val="22"/>
                <w:szCs w:val="22"/>
              </w:rPr>
            </w:pPr>
            <w:r w:rsidRPr="00823DE2">
              <w:rPr>
                <w:color w:val="000000"/>
                <w:sz w:val="22"/>
                <w:szCs w:val="22"/>
              </w:rPr>
              <w:t>1.33</w:t>
            </w:r>
          </w:p>
        </w:tc>
      </w:tr>
      <w:tr w:rsidR="00823DE2" w:rsidRPr="00823DE2" w14:paraId="5FE53FE4" w14:textId="77777777" w:rsidTr="00EC5E7A">
        <w:trPr>
          <w:trHeight w:hRule="exact" w:val="278"/>
        </w:trPr>
        <w:tc>
          <w:tcPr>
            <w:tcW w:w="5945" w:type="dxa"/>
            <w:shd w:val="clear" w:color="auto" w:fill="auto"/>
            <w:noWrap/>
            <w:tcMar>
              <w:top w:w="15" w:type="dxa"/>
              <w:left w:w="15" w:type="dxa"/>
              <w:bottom w:w="0" w:type="dxa"/>
              <w:right w:w="15" w:type="dxa"/>
            </w:tcMar>
          </w:tcPr>
          <w:p w14:paraId="44F7CB75"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Encouragement from family and friends</w:t>
            </w:r>
          </w:p>
        </w:tc>
        <w:tc>
          <w:tcPr>
            <w:tcW w:w="1552" w:type="dxa"/>
            <w:vAlign w:val="center"/>
          </w:tcPr>
          <w:p w14:paraId="714511AE" w14:textId="77777777" w:rsidR="00823DE2" w:rsidRPr="00823DE2" w:rsidRDefault="00823DE2" w:rsidP="00823DE2">
            <w:pPr>
              <w:jc w:val="right"/>
              <w:rPr>
                <w:color w:val="000000"/>
                <w:sz w:val="22"/>
                <w:szCs w:val="22"/>
              </w:rPr>
            </w:pPr>
            <w:r w:rsidRPr="00823DE2">
              <w:rPr>
                <w:color w:val="000000"/>
                <w:sz w:val="22"/>
                <w:szCs w:val="22"/>
              </w:rPr>
              <w:t>2.78</w:t>
            </w:r>
          </w:p>
        </w:tc>
        <w:tc>
          <w:tcPr>
            <w:tcW w:w="1334" w:type="dxa"/>
            <w:vAlign w:val="center"/>
          </w:tcPr>
          <w:p w14:paraId="01C439AC" w14:textId="77777777" w:rsidR="00823DE2" w:rsidRPr="00823DE2" w:rsidRDefault="00823DE2" w:rsidP="00823DE2">
            <w:pPr>
              <w:jc w:val="right"/>
              <w:rPr>
                <w:color w:val="000000"/>
                <w:sz w:val="22"/>
                <w:szCs w:val="22"/>
              </w:rPr>
            </w:pPr>
            <w:r w:rsidRPr="00823DE2">
              <w:rPr>
                <w:color w:val="000000"/>
                <w:sz w:val="22"/>
                <w:szCs w:val="22"/>
              </w:rPr>
              <w:t>1.40</w:t>
            </w:r>
          </w:p>
        </w:tc>
      </w:tr>
      <w:tr w:rsidR="00823DE2" w:rsidRPr="00823DE2" w14:paraId="22897D1B" w14:textId="77777777" w:rsidTr="00EC5E7A">
        <w:trPr>
          <w:trHeight w:hRule="exact" w:val="278"/>
        </w:trPr>
        <w:tc>
          <w:tcPr>
            <w:tcW w:w="5945" w:type="dxa"/>
            <w:shd w:val="clear" w:color="auto" w:fill="auto"/>
            <w:noWrap/>
            <w:tcMar>
              <w:top w:w="15" w:type="dxa"/>
              <w:left w:w="15" w:type="dxa"/>
              <w:bottom w:w="0" w:type="dxa"/>
              <w:right w:w="15" w:type="dxa"/>
            </w:tcMar>
          </w:tcPr>
          <w:p w14:paraId="78D107D0"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Opportunity to earn a high salary</w:t>
            </w:r>
          </w:p>
        </w:tc>
        <w:tc>
          <w:tcPr>
            <w:tcW w:w="1552" w:type="dxa"/>
            <w:vAlign w:val="center"/>
          </w:tcPr>
          <w:p w14:paraId="06259C52" w14:textId="77777777" w:rsidR="00823DE2" w:rsidRPr="00823DE2" w:rsidRDefault="00823DE2" w:rsidP="00823DE2">
            <w:pPr>
              <w:jc w:val="right"/>
              <w:rPr>
                <w:color w:val="000000"/>
                <w:sz w:val="22"/>
                <w:szCs w:val="22"/>
              </w:rPr>
            </w:pPr>
            <w:r w:rsidRPr="00823DE2">
              <w:rPr>
                <w:color w:val="000000"/>
                <w:sz w:val="22"/>
                <w:szCs w:val="22"/>
              </w:rPr>
              <w:t>4.03</w:t>
            </w:r>
          </w:p>
        </w:tc>
        <w:tc>
          <w:tcPr>
            <w:tcW w:w="1334" w:type="dxa"/>
            <w:vAlign w:val="center"/>
          </w:tcPr>
          <w:p w14:paraId="6BEA9CAD" w14:textId="77777777" w:rsidR="00823DE2" w:rsidRPr="00823DE2" w:rsidRDefault="00823DE2" w:rsidP="00823DE2">
            <w:pPr>
              <w:jc w:val="right"/>
              <w:rPr>
                <w:color w:val="000000"/>
                <w:sz w:val="22"/>
                <w:szCs w:val="22"/>
              </w:rPr>
            </w:pPr>
            <w:r w:rsidRPr="00823DE2">
              <w:rPr>
                <w:color w:val="000000"/>
                <w:sz w:val="22"/>
                <w:szCs w:val="22"/>
              </w:rPr>
              <w:t>1.05</w:t>
            </w:r>
          </w:p>
        </w:tc>
      </w:tr>
      <w:tr w:rsidR="00823DE2" w:rsidRPr="00823DE2" w14:paraId="6D9D5114" w14:textId="77777777" w:rsidTr="00EC5E7A">
        <w:trPr>
          <w:trHeight w:hRule="exact" w:val="278"/>
        </w:trPr>
        <w:tc>
          <w:tcPr>
            <w:tcW w:w="5945" w:type="dxa"/>
            <w:shd w:val="clear" w:color="auto" w:fill="auto"/>
            <w:noWrap/>
            <w:tcMar>
              <w:top w:w="15" w:type="dxa"/>
              <w:left w:w="15" w:type="dxa"/>
              <w:bottom w:w="0" w:type="dxa"/>
              <w:right w:w="15" w:type="dxa"/>
            </w:tcMar>
          </w:tcPr>
          <w:p w14:paraId="0F9129C9" w14:textId="77777777" w:rsidR="00823DE2" w:rsidRPr="00823DE2" w:rsidRDefault="00823DE2" w:rsidP="00823DE2">
            <w:pPr>
              <w:rPr>
                <w:color w:val="000000"/>
                <w:sz w:val="22"/>
                <w:szCs w:val="22"/>
              </w:rPr>
            </w:pPr>
            <w:r w:rsidRPr="00823DE2">
              <w:rPr>
                <w:color w:val="000000"/>
                <w:sz w:val="22"/>
                <w:szCs w:val="22"/>
              </w:rPr>
              <w:tab/>
              <w:t>Intrinsic motivation</w:t>
            </w:r>
          </w:p>
        </w:tc>
        <w:tc>
          <w:tcPr>
            <w:tcW w:w="1552" w:type="dxa"/>
            <w:vAlign w:val="center"/>
          </w:tcPr>
          <w:p w14:paraId="4EFCC79B" w14:textId="77777777" w:rsidR="00823DE2" w:rsidRPr="00823DE2" w:rsidRDefault="00823DE2" w:rsidP="00823DE2">
            <w:pPr>
              <w:jc w:val="right"/>
              <w:rPr>
                <w:b/>
                <w:color w:val="000000"/>
                <w:sz w:val="22"/>
                <w:szCs w:val="22"/>
              </w:rPr>
            </w:pPr>
            <w:r w:rsidRPr="00823DE2">
              <w:rPr>
                <w:b/>
                <w:color w:val="000000"/>
                <w:sz w:val="22"/>
                <w:szCs w:val="22"/>
              </w:rPr>
              <w:t>4.28</w:t>
            </w:r>
          </w:p>
        </w:tc>
        <w:tc>
          <w:tcPr>
            <w:tcW w:w="1334" w:type="dxa"/>
            <w:vAlign w:val="center"/>
          </w:tcPr>
          <w:p w14:paraId="52825901" w14:textId="77777777" w:rsidR="00823DE2" w:rsidRPr="00823DE2" w:rsidRDefault="00823DE2" w:rsidP="00823DE2">
            <w:pPr>
              <w:jc w:val="right"/>
              <w:rPr>
                <w:b/>
                <w:color w:val="000000"/>
                <w:sz w:val="22"/>
                <w:szCs w:val="22"/>
              </w:rPr>
            </w:pPr>
            <w:r w:rsidRPr="00823DE2">
              <w:rPr>
                <w:b/>
                <w:color w:val="000000"/>
                <w:sz w:val="22"/>
                <w:szCs w:val="22"/>
              </w:rPr>
              <w:t>0.84</w:t>
            </w:r>
          </w:p>
        </w:tc>
      </w:tr>
      <w:tr w:rsidR="00823DE2" w:rsidRPr="00823DE2" w14:paraId="0D46EEE6" w14:textId="77777777" w:rsidTr="00EC5E7A">
        <w:trPr>
          <w:trHeight w:hRule="exact" w:val="278"/>
        </w:trPr>
        <w:tc>
          <w:tcPr>
            <w:tcW w:w="5945" w:type="dxa"/>
            <w:shd w:val="clear" w:color="auto" w:fill="auto"/>
            <w:noWrap/>
            <w:tcMar>
              <w:top w:w="15" w:type="dxa"/>
              <w:left w:w="15" w:type="dxa"/>
              <w:bottom w:w="0" w:type="dxa"/>
              <w:right w:w="15" w:type="dxa"/>
            </w:tcMar>
          </w:tcPr>
          <w:p w14:paraId="473C64AD"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Job satisfaction</w:t>
            </w:r>
          </w:p>
        </w:tc>
        <w:tc>
          <w:tcPr>
            <w:tcW w:w="1552" w:type="dxa"/>
            <w:vAlign w:val="center"/>
          </w:tcPr>
          <w:p w14:paraId="72EF16CA" w14:textId="77777777" w:rsidR="00823DE2" w:rsidRPr="00823DE2" w:rsidRDefault="00823DE2" w:rsidP="00823DE2">
            <w:pPr>
              <w:jc w:val="right"/>
              <w:rPr>
                <w:color w:val="000000"/>
                <w:sz w:val="22"/>
                <w:szCs w:val="22"/>
              </w:rPr>
            </w:pPr>
            <w:r w:rsidRPr="00823DE2">
              <w:rPr>
                <w:color w:val="000000"/>
                <w:sz w:val="22"/>
                <w:szCs w:val="22"/>
              </w:rPr>
              <w:t>4.27</w:t>
            </w:r>
          </w:p>
        </w:tc>
        <w:tc>
          <w:tcPr>
            <w:tcW w:w="1334" w:type="dxa"/>
            <w:vAlign w:val="center"/>
          </w:tcPr>
          <w:p w14:paraId="594A2A55" w14:textId="77777777" w:rsidR="00823DE2" w:rsidRPr="00823DE2" w:rsidRDefault="00823DE2" w:rsidP="00823DE2">
            <w:pPr>
              <w:jc w:val="right"/>
              <w:rPr>
                <w:color w:val="000000"/>
                <w:sz w:val="22"/>
                <w:szCs w:val="22"/>
              </w:rPr>
            </w:pPr>
            <w:r w:rsidRPr="00823DE2">
              <w:rPr>
                <w:color w:val="000000"/>
                <w:sz w:val="22"/>
                <w:szCs w:val="22"/>
              </w:rPr>
              <w:t>0.93</w:t>
            </w:r>
          </w:p>
        </w:tc>
      </w:tr>
      <w:tr w:rsidR="00823DE2" w:rsidRPr="00823DE2" w14:paraId="55592A02" w14:textId="77777777" w:rsidTr="00EC5E7A">
        <w:trPr>
          <w:trHeight w:hRule="exact" w:val="278"/>
        </w:trPr>
        <w:tc>
          <w:tcPr>
            <w:tcW w:w="5945" w:type="dxa"/>
            <w:shd w:val="clear" w:color="auto" w:fill="auto"/>
            <w:noWrap/>
            <w:tcMar>
              <w:top w:w="15" w:type="dxa"/>
              <w:left w:w="15" w:type="dxa"/>
              <w:bottom w:w="0" w:type="dxa"/>
              <w:right w:w="15" w:type="dxa"/>
            </w:tcMar>
          </w:tcPr>
          <w:p w14:paraId="7547B63B"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Opportunity to follow my passion/interests</w:t>
            </w:r>
          </w:p>
        </w:tc>
        <w:tc>
          <w:tcPr>
            <w:tcW w:w="1552" w:type="dxa"/>
            <w:vAlign w:val="center"/>
          </w:tcPr>
          <w:p w14:paraId="5B26FCFA" w14:textId="77777777" w:rsidR="00823DE2" w:rsidRPr="00823DE2" w:rsidRDefault="00823DE2" w:rsidP="00823DE2">
            <w:pPr>
              <w:jc w:val="right"/>
              <w:rPr>
                <w:color w:val="000000"/>
                <w:sz w:val="22"/>
                <w:szCs w:val="22"/>
              </w:rPr>
            </w:pPr>
            <w:r w:rsidRPr="00823DE2">
              <w:rPr>
                <w:color w:val="000000"/>
                <w:sz w:val="22"/>
                <w:szCs w:val="22"/>
              </w:rPr>
              <w:t>4.28</w:t>
            </w:r>
          </w:p>
        </w:tc>
        <w:tc>
          <w:tcPr>
            <w:tcW w:w="1334" w:type="dxa"/>
            <w:vAlign w:val="center"/>
          </w:tcPr>
          <w:p w14:paraId="01C3F34B" w14:textId="77777777" w:rsidR="00823DE2" w:rsidRPr="00823DE2" w:rsidRDefault="00823DE2" w:rsidP="00823DE2">
            <w:pPr>
              <w:jc w:val="right"/>
              <w:rPr>
                <w:color w:val="000000"/>
                <w:sz w:val="22"/>
                <w:szCs w:val="22"/>
              </w:rPr>
            </w:pPr>
            <w:r w:rsidRPr="00823DE2">
              <w:rPr>
                <w:color w:val="000000"/>
                <w:sz w:val="22"/>
                <w:szCs w:val="22"/>
              </w:rPr>
              <w:t>1.00</w:t>
            </w:r>
          </w:p>
        </w:tc>
      </w:tr>
      <w:tr w:rsidR="00823DE2" w:rsidRPr="00823DE2" w14:paraId="60AD43A4" w14:textId="77777777" w:rsidTr="00EC5E7A">
        <w:trPr>
          <w:trHeight w:hRule="exact" w:val="278"/>
        </w:trPr>
        <w:tc>
          <w:tcPr>
            <w:tcW w:w="5945" w:type="dxa"/>
            <w:shd w:val="clear" w:color="auto" w:fill="auto"/>
            <w:noWrap/>
            <w:tcMar>
              <w:top w:w="15" w:type="dxa"/>
              <w:left w:w="15" w:type="dxa"/>
              <w:bottom w:w="0" w:type="dxa"/>
              <w:right w:w="15" w:type="dxa"/>
            </w:tcMar>
          </w:tcPr>
          <w:p w14:paraId="58AD7D8C" w14:textId="77777777" w:rsidR="00823DE2" w:rsidRPr="00823DE2" w:rsidRDefault="00823DE2" w:rsidP="00823DE2">
            <w:pPr>
              <w:rPr>
                <w:color w:val="000000"/>
                <w:sz w:val="22"/>
                <w:szCs w:val="22"/>
              </w:rPr>
            </w:pPr>
            <w:r w:rsidRPr="00823DE2">
              <w:rPr>
                <w:color w:val="000000"/>
                <w:sz w:val="22"/>
                <w:szCs w:val="22"/>
              </w:rPr>
              <w:tab/>
              <w:t>Flexible working options</w:t>
            </w:r>
          </w:p>
        </w:tc>
        <w:tc>
          <w:tcPr>
            <w:tcW w:w="1552" w:type="dxa"/>
            <w:vAlign w:val="center"/>
          </w:tcPr>
          <w:p w14:paraId="12B64724" w14:textId="77777777" w:rsidR="00823DE2" w:rsidRPr="00823DE2" w:rsidRDefault="00823DE2" w:rsidP="00823DE2">
            <w:pPr>
              <w:jc w:val="right"/>
              <w:rPr>
                <w:b/>
                <w:color w:val="000000"/>
                <w:sz w:val="22"/>
                <w:szCs w:val="22"/>
              </w:rPr>
            </w:pPr>
            <w:r w:rsidRPr="00823DE2">
              <w:rPr>
                <w:b/>
                <w:color w:val="000000"/>
                <w:sz w:val="22"/>
                <w:szCs w:val="22"/>
              </w:rPr>
              <w:t>3.70</w:t>
            </w:r>
          </w:p>
        </w:tc>
        <w:tc>
          <w:tcPr>
            <w:tcW w:w="1334" w:type="dxa"/>
            <w:vAlign w:val="center"/>
          </w:tcPr>
          <w:p w14:paraId="75D3FD67" w14:textId="77777777" w:rsidR="00823DE2" w:rsidRPr="00823DE2" w:rsidRDefault="00823DE2" w:rsidP="00823DE2">
            <w:pPr>
              <w:jc w:val="right"/>
              <w:rPr>
                <w:b/>
                <w:color w:val="000000"/>
                <w:sz w:val="22"/>
                <w:szCs w:val="22"/>
              </w:rPr>
            </w:pPr>
            <w:r w:rsidRPr="00823DE2">
              <w:rPr>
                <w:b/>
                <w:color w:val="000000"/>
                <w:sz w:val="22"/>
                <w:szCs w:val="22"/>
              </w:rPr>
              <w:t>0.91</w:t>
            </w:r>
          </w:p>
        </w:tc>
      </w:tr>
      <w:tr w:rsidR="00823DE2" w:rsidRPr="00823DE2" w14:paraId="5B482221" w14:textId="77777777" w:rsidTr="00EC5E7A">
        <w:trPr>
          <w:trHeight w:hRule="exact" w:val="278"/>
        </w:trPr>
        <w:tc>
          <w:tcPr>
            <w:tcW w:w="5945" w:type="dxa"/>
            <w:shd w:val="clear" w:color="auto" w:fill="auto"/>
            <w:noWrap/>
            <w:tcMar>
              <w:top w:w="15" w:type="dxa"/>
              <w:left w:w="15" w:type="dxa"/>
              <w:bottom w:w="0" w:type="dxa"/>
              <w:right w:w="15" w:type="dxa"/>
            </w:tcMar>
          </w:tcPr>
          <w:p w14:paraId="7208C1B8" w14:textId="77777777" w:rsidR="00823DE2" w:rsidRPr="00823DE2" w:rsidRDefault="00823DE2" w:rsidP="00823DE2">
            <w:pPr>
              <w:rPr>
                <w:color w:val="000000"/>
                <w:sz w:val="22"/>
                <w:szCs w:val="22"/>
              </w:rPr>
            </w:pPr>
            <w:r w:rsidRPr="00823DE2">
              <w:rPr>
                <w:color w:val="000000"/>
                <w:sz w:val="22"/>
                <w:szCs w:val="22"/>
              </w:rPr>
              <w:t xml:space="preserve"> </w:t>
            </w:r>
            <w:r w:rsidRPr="00823DE2">
              <w:rPr>
                <w:color w:val="000000"/>
                <w:sz w:val="22"/>
                <w:szCs w:val="22"/>
              </w:rPr>
              <w:tab/>
            </w:r>
            <w:r w:rsidRPr="00823DE2">
              <w:rPr>
                <w:color w:val="000000"/>
                <w:sz w:val="22"/>
                <w:szCs w:val="22"/>
              </w:rPr>
              <w:tab/>
              <w:t>Flexible working hours</w:t>
            </w:r>
          </w:p>
        </w:tc>
        <w:tc>
          <w:tcPr>
            <w:tcW w:w="1552" w:type="dxa"/>
            <w:vAlign w:val="center"/>
          </w:tcPr>
          <w:p w14:paraId="54FC9333" w14:textId="77777777" w:rsidR="00823DE2" w:rsidRPr="00823DE2" w:rsidRDefault="00823DE2" w:rsidP="00823DE2">
            <w:pPr>
              <w:jc w:val="right"/>
              <w:rPr>
                <w:color w:val="000000"/>
                <w:sz w:val="22"/>
                <w:szCs w:val="22"/>
              </w:rPr>
            </w:pPr>
            <w:r w:rsidRPr="00823DE2">
              <w:rPr>
                <w:color w:val="000000"/>
                <w:sz w:val="22"/>
                <w:szCs w:val="22"/>
              </w:rPr>
              <w:t>3.70</w:t>
            </w:r>
          </w:p>
        </w:tc>
        <w:tc>
          <w:tcPr>
            <w:tcW w:w="1334" w:type="dxa"/>
            <w:vAlign w:val="center"/>
          </w:tcPr>
          <w:p w14:paraId="78A7DFF8" w14:textId="77777777" w:rsidR="00823DE2" w:rsidRPr="00823DE2" w:rsidRDefault="00823DE2" w:rsidP="00823DE2">
            <w:pPr>
              <w:jc w:val="right"/>
              <w:rPr>
                <w:color w:val="000000"/>
                <w:sz w:val="22"/>
                <w:szCs w:val="22"/>
              </w:rPr>
            </w:pPr>
            <w:r w:rsidRPr="00823DE2">
              <w:rPr>
                <w:color w:val="000000"/>
                <w:sz w:val="22"/>
                <w:szCs w:val="22"/>
              </w:rPr>
              <w:t>1.18</w:t>
            </w:r>
          </w:p>
        </w:tc>
      </w:tr>
      <w:tr w:rsidR="00823DE2" w:rsidRPr="00823DE2" w14:paraId="4AFBE3E9" w14:textId="77777777" w:rsidTr="00EC5E7A">
        <w:trPr>
          <w:trHeight w:hRule="exact" w:val="278"/>
        </w:trPr>
        <w:tc>
          <w:tcPr>
            <w:tcW w:w="5945" w:type="dxa"/>
            <w:shd w:val="clear" w:color="auto" w:fill="auto"/>
            <w:noWrap/>
            <w:tcMar>
              <w:top w:w="15" w:type="dxa"/>
              <w:left w:w="15" w:type="dxa"/>
              <w:bottom w:w="0" w:type="dxa"/>
              <w:right w:w="15" w:type="dxa"/>
            </w:tcMar>
          </w:tcPr>
          <w:p w14:paraId="795241B3" w14:textId="77777777" w:rsidR="00823DE2" w:rsidRPr="00823DE2" w:rsidRDefault="00823DE2" w:rsidP="00823DE2">
            <w:pPr>
              <w:rPr>
                <w:color w:val="000000"/>
                <w:sz w:val="22"/>
                <w:szCs w:val="22"/>
              </w:rPr>
            </w:pPr>
            <w:r w:rsidRPr="00823DE2">
              <w:rPr>
                <w:color w:val="000000"/>
                <w:sz w:val="22"/>
                <w:szCs w:val="22"/>
              </w:rPr>
              <w:t xml:space="preserve"> </w:t>
            </w:r>
            <w:r w:rsidRPr="00823DE2">
              <w:rPr>
                <w:color w:val="000000"/>
                <w:sz w:val="22"/>
                <w:szCs w:val="22"/>
              </w:rPr>
              <w:tab/>
            </w:r>
            <w:r w:rsidRPr="00823DE2">
              <w:rPr>
                <w:color w:val="000000"/>
                <w:sz w:val="22"/>
                <w:szCs w:val="22"/>
              </w:rPr>
              <w:tab/>
              <w:t>Option of working from home</w:t>
            </w:r>
          </w:p>
        </w:tc>
        <w:tc>
          <w:tcPr>
            <w:tcW w:w="1552" w:type="dxa"/>
            <w:vAlign w:val="center"/>
          </w:tcPr>
          <w:p w14:paraId="63AF5794" w14:textId="77777777" w:rsidR="00823DE2" w:rsidRPr="00823DE2" w:rsidRDefault="00823DE2" w:rsidP="00823DE2">
            <w:pPr>
              <w:jc w:val="right"/>
              <w:rPr>
                <w:color w:val="000000"/>
                <w:sz w:val="22"/>
                <w:szCs w:val="22"/>
              </w:rPr>
            </w:pPr>
            <w:r w:rsidRPr="00823DE2">
              <w:rPr>
                <w:color w:val="000000"/>
                <w:sz w:val="22"/>
                <w:szCs w:val="22"/>
              </w:rPr>
              <w:t>3.58</w:t>
            </w:r>
          </w:p>
        </w:tc>
        <w:tc>
          <w:tcPr>
            <w:tcW w:w="1334" w:type="dxa"/>
            <w:vAlign w:val="center"/>
          </w:tcPr>
          <w:p w14:paraId="58BFA3CD" w14:textId="77777777" w:rsidR="00823DE2" w:rsidRPr="00823DE2" w:rsidRDefault="00823DE2" w:rsidP="00823DE2">
            <w:pPr>
              <w:jc w:val="right"/>
              <w:rPr>
                <w:color w:val="000000"/>
                <w:sz w:val="22"/>
                <w:szCs w:val="22"/>
              </w:rPr>
            </w:pPr>
            <w:r w:rsidRPr="00823DE2">
              <w:rPr>
                <w:color w:val="000000"/>
                <w:sz w:val="22"/>
                <w:szCs w:val="22"/>
              </w:rPr>
              <w:t>1.19</w:t>
            </w:r>
          </w:p>
        </w:tc>
      </w:tr>
      <w:tr w:rsidR="00823DE2" w:rsidRPr="00823DE2" w14:paraId="28ED8101" w14:textId="77777777" w:rsidTr="00EC5E7A">
        <w:trPr>
          <w:trHeight w:hRule="exact" w:val="278"/>
        </w:trPr>
        <w:tc>
          <w:tcPr>
            <w:tcW w:w="5945" w:type="dxa"/>
            <w:tcBorders>
              <w:bottom w:val="single" w:sz="4" w:space="0" w:color="auto"/>
            </w:tcBorders>
            <w:shd w:val="clear" w:color="auto" w:fill="auto"/>
            <w:noWrap/>
            <w:tcMar>
              <w:top w:w="15" w:type="dxa"/>
              <w:left w:w="15" w:type="dxa"/>
              <w:bottom w:w="0" w:type="dxa"/>
              <w:right w:w="15" w:type="dxa"/>
            </w:tcMar>
          </w:tcPr>
          <w:p w14:paraId="3C6345D3"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Being your own boss</w:t>
            </w:r>
          </w:p>
        </w:tc>
        <w:tc>
          <w:tcPr>
            <w:tcW w:w="1552" w:type="dxa"/>
            <w:tcBorders>
              <w:bottom w:val="single" w:sz="4" w:space="0" w:color="auto"/>
            </w:tcBorders>
            <w:vAlign w:val="center"/>
          </w:tcPr>
          <w:p w14:paraId="477A83DF" w14:textId="77777777" w:rsidR="00823DE2" w:rsidRPr="00823DE2" w:rsidRDefault="00823DE2" w:rsidP="00823DE2">
            <w:pPr>
              <w:jc w:val="right"/>
              <w:rPr>
                <w:color w:val="000000"/>
                <w:sz w:val="22"/>
                <w:szCs w:val="22"/>
              </w:rPr>
            </w:pPr>
            <w:r w:rsidRPr="00823DE2">
              <w:rPr>
                <w:color w:val="000000"/>
                <w:sz w:val="22"/>
                <w:szCs w:val="22"/>
              </w:rPr>
              <w:t>3.81</w:t>
            </w:r>
          </w:p>
        </w:tc>
        <w:tc>
          <w:tcPr>
            <w:tcW w:w="1334" w:type="dxa"/>
            <w:tcBorders>
              <w:bottom w:val="single" w:sz="4" w:space="0" w:color="auto"/>
            </w:tcBorders>
            <w:vAlign w:val="center"/>
          </w:tcPr>
          <w:p w14:paraId="4221E225" w14:textId="77777777" w:rsidR="00823DE2" w:rsidRPr="00823DE2" w:rsidRDefault="00823DE2" w:rsidP="00823DE2">
            <w:pPr>
              <w:jc w:val="right"/>
              <w:rPr>
                <w:color w:val="000000"/>
                <w:sz w:val="22"/>
                <w:szCs w:val="22"/>
              </w:rPr>
            </w:pPr>
            <w:r w:rsidRPr="00823DE2">
              <w:rPr>
                <w:color w:val="000000"/>
                <w:sz w:val="22"/>
                <w:szCs w:val="22"/>
              </w:rPr>
              <w:t>1.17</w:t>
            </w:r>
          </w:p>
        </w:tc>
      </w:tr>
      <w:tr w:rsidR="00823DE2" w:rsidRPr="00823DE2" w14:paraId="7DE289F6" w14:textId="77777777" w:rsidTr="00EC5E7A">
        <w:trPr>
          <w:trHeight w:hRule="exact" w:val="278"/>
        </w:trPr>
        <w:tc>
          <w:tcPr>
            <w:tcW w:w="5945" w:type="dxa"/>
            <w:tcBorders>
              <w:top w:val="single" w:sz="4" w:space="0" w:color="auto"/>
            </w:tcBorders>
            <w:shd w:val="clear" w:color="auto" w:fill="auto"/>
            <w:noWrap/>
            <w:tcMar>
              <w:top w:w="15" w:type="dxa"/>
              <w:left w:w="15" w:type="dxa"/>
              <w:bottom w:w="0" w:type="dxa"/>
              <w:right w:w="15" w:type="dxa"/>
            </w:tcMar>
          </w:tcPr>
          <w:p w14:paraId="3A7ADBDB" w14:textId="77777777" w:rsidR="00823DE2" w:rsidRPr="00823DE2" w:rsidRDefault="00823DE2" w:rsidP="00823DE2">
            <w:pPr>
              <w:rPr>
                <w:color w:val="000000"/>
                <w:sz w:val="22"/>
                <w:szCs w:val="22"/>
              </w:rPr>
            </w:pPr>
            <w:r w:rsidRPr="00823DE2">
              <w:rPr>
                <w:color w:val="000000"/>
                <w:sz w:val="22"/>
                <w:szCs w:val="22"/>
              </w:rPr>
              <w:t>Perceived barriers in taking up entrepreneurship</w:t>
            </w:r>
          </w:p>
        </w:tc>
        <w:tc>
          <w:tcPr>
            <w:tcW w:w="1552" w:type="dxa"/>
            <w:tcBorders>
              <w:top w:val="single" w:sz="4" w:space="0" w:color="auto"/>
            </w:tcBorders>
            <w:vAlign w:val="center"/>
          </w:tcPr>
          <w:p w14:paraId="165127E5" w14:textId="77777777" w:rsidR="00823DE2" w:rsidRPr="00823DE2" w:rsidRDefault="00823DE2" w:rsidP="00823DE2">
            <w:pPr>
              <w:jc w:val="right"/>
              <w:rPr>
                <w:color w:val="000000"/>
                <w:sz w:val="22"/>
                <w:szCs w:val="22"/>
              </w:rPr>
            </w:pPr>
          </w:p>
        </w:tc>
        <w:tc>
          <w:tcPr>
            <w:tcW w:w="1334" w:type="dxa"/>
            <w:tcBorders>
              <w:top w:val="single" w:sz="4" w:space="0" w:color="auto"/>
            </w:tcBorders>
            <w:vAlign w:val="center"/>
          </w:tcPr>
          <w:p w14:paraId="42742CAC" w14:textId="77777777" w:rsidR="00823DE2" w:rsidRPr="00823DE2" w:rsidRDefault="00823DE2" w:rsidP="00823DE2">
            <w:pPr>
              <w:jc w:val="right"/>
              <w:rPr>
                <w:color w:val="000000"/>
                <w:sz w:val="22"/>
                <w:szCs w:val="22"/>
              </w:rPr>
            </w:pPr>
          </w:p>
        </w:tc>
      </w:tr>
      <w:tr w:rsidR="00823DE2" w:rsidRPr="00823DE2" w14:paraId="25767FD2" w14:textId="77777777" w:rsidTr="00EC5E7A">
        <w:trPr>
          <w:trHeight w:hRule="exact" w:val="278"/>
        </w:trPr>
        <w:tc>
          <w:tcPr>
            <w:tcW w:w="5945" w:type="dxa"/>
            <w:shd w:val="clear" w:color="auto" w:fill="auto"/>
            <w:noWrap/>
            <w:tcMar>
              <w:top w:w="15" w:type="dxa"/>
              <w:left w:w="15" w:type="dxa"/>
              <w:bottom w:w="0" w:type="dxa"/>
              <w:right w:w="15" w:type="dxa"/>
            </w:tcMar>
          </w:tcPr>
          <w:p w14:paraId="76D3AD82" w14:textId="77777777" w:rsidR="00823DE2" w:rsidRPr="00823DE2" w:rsidRDefault="00823DE2" w:rsidP="00823DE2">
            <w:pPr>
              <w:rPr>
                <w:sz w:val="22"/>
                <w:szCs w:val="22"/>
              </w:rPr>
            </w:pPr>
            <w:r w:rsidRPr="00823DE2">
              <w:rPr>
                <w:sz w:val="22"/>
                <w:szCs w:val="22"/>
              </w:rPr>
              <w:tab/>
              <w:t>Internal</w:t>
            </w:r>
          </w:p>
        </w:tc>
        <w:tc>
          <w:tcPr>
            <w:tcW w:w="1552" w:type="dxa"/>
            <w:vAlign w:val="center"/>
          </w:tcPr>
          <w:p w14:paraId="31B439E8" w14:textId="77777777" w:rsidR="00823DE2" w:rsidRPr="00823DE2" w:rsidRDefault="00823DE2" w:rsidP="00823DE2">
            <w:pPr>
              <w:jc w:val="right"/>
              <w:rPr>
                <w:b/>
                <w:color w:val="000000"/>
                <w:sz w:val="22"/>
                <w:szCs w:val="22"/>
              </w:rPr>
            </w:pPr>
            <w:r w:rsidRPr="00823DE2">
              <w:rPr>
                <w:b/>
                <w:color w:val="000000"/>
                <w:sz w:val="22"/>
                <w:szCs w:val="22"/>
              </w:rPr>
              <w:t>3.13</w:t>
            </w:r>
          </w:p>
        </w:tc>
        <w:tc>
          <w:tcPr>
            <w:tcW w:w="1334" w:type="dxa"/>
            <w:vAlign w:val="center"/>
          </w:tcPr>
          <w:p w14:paraId="6A1E3F7D" w14:textId="77777777" w:rsidR="00823DE2" w:rsidRPr="00823DE2" w:rsidRDefault="00823DE2" w:rsidP="00823DE2">
            <w:pPr>
              <w:jc w:val="right"/>
              <w:rPr>
                <w:b/>
                <w:color w:val="000000"/>
                <w:sz w:val="22"/>
                <w:szCs w:val="22"/>
              </w:rPr>
            </w:pPr>
            <w:r w:rsidRPr="00823DE2">
              <w:rPr>
                <w:b/>
                <w:color w:val="000000"/>
                <w:sz w:val="22"/>
                <w:szCs w:val="22"/>
              </w:rPr>
              <w:t>0.92</w:t>
            </w:r>
          </w:p>
        </w:tc>
      </w:tr>
      <w:tr w:rsidR="00823DE2" w:rsidRPr="00823DE2" w14:paraId="25E33338" w14:textId="77777777" w:rsidTr="00EC5E7A">
        <w:trPr>
          <w:trHeight w:hRule="exact" w:val="278"/>
        </w:trPr>
        <w:tc>
          <w:tcPr>
            <w:tcW w:w="5945" w:type="dxa"/>
            <w:shd w:val="clear" w:color="auto" w:fill="auto"/>
            <w:noWrap/>
            <w:tcMar>
              <w:top w:w="15" w:type="dxa"/>
              <w:left w:w="15" w:type="dxa"/>
              <w:bottom w:w="0" w:type="dxa"/>
              <w:right w:w="15" w:type="dxa"/>
            </w:tcMar>
          </w:tcPr>
          <w:p w14:paraId="4E1253DC" w14:textId="77777777" w:rsidR="00823DE2" w:rsidRPr="00823DE2" w:rsidRDefault="00823DE2" w:rsidP="00823DE2">
            <w:pPr>
              <w:rPr>
                <w:color w:val="000000"/>
                <w:sz w:val="22"/>
                <w:szCs w:val="22"/>
              </w:rPr>
            </w:pPr>
            <w:r w:rsidRPr="00823DE2">
              <w:rPr>
                <w:sz w:val="22"/>
                <w:szCs w:val="22"/>
              </w:rPr>
              <w:tab/>
            </w:r>
            <w:r w:rsidRPr="00823DE2">
              <w:rPr>
                <w:sz w:val="22"/>
                <w:szCs w:val="22"/>
              </w:rPr>
              <w:tab/>
              <w:t>Confidence</w:t>
            </w:r>
          </w:p>
        </w:tc>
        <w:tc>
          <w:tcPr>
            <w:tcW w:w="1552" w:type="dxa"/>
            <w:vAlign w:val="center"/>
          </w:tcPr>
          <w:p w14:paraId="3027FE15" w14:textId="77777777" w:rsidR="00823DE2" w:rsidRPr="00823DE2" w:rsidRDefault="00823DE2" w:rsidP="00823DE2">
            <w:pPr>
              <w:jc w:val="right"/>
              <w:rPr>
                <w:color w:val="000000"/>
                <w:sz w:val="22"/>
                <w:szCs w:val="22"/>
              </w:rPr>
            </w:pPr>
            <w:r w:rsidRPr="00823DE2">
              <w:rPr>
                <w:color w:val="000000"/>
                <w:sz w:val="22"/>
                <w:szCs w:val="22"/>
              </w:rPr>
              <w:t>3.40</w:t>
            </w:r>
          </w:p>
        </w:tc>
        <w:tc>
          <w:tcPr>
            <w:tcW w:w="1334" w:type="dxa"/>
            <w:vAlign w:val="center"/>
          </w:tcPr>
          <w:p w14:paraId="094B3955" w14:textId="77777777" w:rsidR="00823DE2" w:rsidRPr="00823DE2" w:rsidRDefault="00823DE2" w:rsidP="00823DE2">
            <w:pPr>
              <w:jc w:val="right"/>
              <w:rPr>
                <w:color w:val="000000"/>
                <w:sz w:val="22"/>
                <w:szCs w:val="22"/>
              </w:rPr>
            </w:pPr>
            <w:r w:rsidRPr="00823DE2">
              <w:rPr>
                <w:color w:val="000000"/>
                <w:sz w:val="22"/>
                <w:szCs w:val="22"/>
              </w:rPr>
              <w:t>1.30</w:t>
            </w:r>
          </w:p>
        </w:tc>
      </w:tr>
      <w:tr w:rsidR="00823DE2" w:rsidRPr="00823DE2" w14:paraId="1DE90E42" w14:textId="77777777" w:rsidTr="00EC5E7A">
        <w:trPr>
          <w:trHeight w:hRule="exact" w:val="278"/>
        </w:trPr>
        <w:tc>
          <w:tcPr>
            <w:tcW w:w="5945" w:type="dxa"/>
            <w:shd w:val="clear" w:color="auto" w:fill="auto"/>
            <w:noWrap/>
            <w:tcMar>
              <w:top w:w="15" w:type="dxa"/>
              <w:left w:w="15" w:type="dxa"/>
              <w:bottom w:w="0" w:type="dxa"/>
              <w:right w:w="15" w:type="dxa"/>
            </w:tcMar>
          </w:tcPr>
          <w:p w14:paraId="1830ADCF" w14:textId="77777777" w:rsidR="00823DE2" w:rsidRPr="00823DE2" w:rsidRDefault="00823DE2" w:rsidP="00823DE2">
            <w:pPr>
              <w:rPr>
                <w:color w:val="000000"/>
                <w:sz w:val="22"/>
                <w:szCs w:val="22"/>
              </w:rPr>
            </w:pPr>
            <w:r w:rsidRPr="00823DE2">
              <w:rPr>
                <w:sz w:val="22"/>
                <w:szCs w:val="22"/>
              </w:rPr>
              <w:tab/>
            </w:r>
            <w:r w:rsidRPr="00823DE2">
              <w:rPr>
                <w:sz w:val="22"/>
                <w:szCs w:val="22"/>
              </w:rPr>
              <w:tab/>
              <w:t>Lack of leadership skills</w:t>
            </w:r>
          </w:p>
        </w:tc>
        <w:tc>
          <w:tcPr>
            <w:tcW w:w="1552" w:type="dxa"/>
            <w:vAlign w:val="center"/>
          </w:tcPr>
          <w:p w14:paraId="1E889619" w14:textId="77777777" w:rsidR="00823DE2" w:rsidRPr="00823DE2" w:rsidRDefault="00823DE2" w:rsidP="00823DE2">
            <w:pPr>
              <w:jc w:val="right"/>
              <w:rPr>
                <w:color w:val="000000"/>
                <w:sz w:val="22"/>
                <w:szCs w:val="22"/>
              </w:rPr>
            </w:pPr>
            <w:r w:rsidRPr="00823DE2">
              <w:rPr>
                <w:color w:val="000000"/>
                <w:sz w:val="22"/>
                <w:szCs w:val="22"/>
              </w:rPr>
              <w:t>2.54</w:t>
            </w:r>
          </w:p>
        </w:tc>
        <w:tc>
          <w:tcPr>
            <w:tcW w:w="1334" w:type="dxa"/>
            <w:vAlign w:val="center"/>
          </w:tcPr>
          <w:p w14:paraId="78F303E3" w14:textId="77777777" w:rsidR="00823DE2" w:rsidRPr="00823DE2" w:rsidRDefault="00823DE2" w:rsidP="00823DE2">
            <w:pPr>
              <w:jc w:val="right"/>
              <w:rPr>
                <w:color w:val="000000"/>
                <w:sz w:val="22"/>
                <w:szCs w:val="22"/>
              </w:rPr>
            </w:pPr>
            <w:r w:rsidRPr="00823DE2">
              <w:rPr>
                <w:color w:val="000000"/>
                <w:sz w:val="22"/>
                <w:szCs w:val="22"/>
              </w:rPr>
              <w:t>1.29</w:t>
            </w:r>
          </w:p>
        </w:tc>
      </w:tr>
      <w:tr w:rsidR="00823DE2" w:rsidRPr="00823DE2" w14:paraId="062F1B42" w14:textId="77777777" w:rsidTr="00EC5E7A">
        <w:trPr>
          <w:trHeight w:hRule="exact" w:val="278"/>
        </w:trPr>
        <w:tc>
          <w:tcPr>
            <w:tcW w:w="5945" w:type="dxa"/>
            <w:shd w:val="clear" w:color="auto" w:fill="auto"/>
            <w:noWrap/>
            <w:tcMar>
              <w:top w:w="15" w:type="dxa"/>
              <w:left w:w="15" w:type="dxa"/>
              <w:bottom w:w="0" w:type="dxa"/>
              <w:right w:w="15" w:type="dxa"/>
            </w:tcMar>
          </w:tcPr>
          <w:p w14:paraId="10D4B7F2" w14:textId="77777777" w:rsidR="00823DE2" w:rsidRPr="00823DE2" w:rsidRDefault="00823DE2" w:rsidP="00823DE2">
            <w:pPr>
              <w:rPr>
                <w:color w:val="000000"/>
                <w:sz w:val="22"/>
                <w:szCs w:val="22"/>
              </w:rPr>
            </w:pPr>
            <w:r w:rsidRPr="00823DE2">
              <w:rPr>
                <w:sz w:val="22"/>
                <w:szCs w:val="22"/>
              </w:rPr>
              <w:tab/>
            </w:r>
            <w:r w:rsidRPr="00823DE2">
              <w:rPr>
                <w:sz w:val="22"/>
                <w:szCs w:val="22"/>
              </w:rPr>
              <w:tab/>
              <w:t>Not having found the right idea/concept</w:t>
            </w:r>
          </w:p>
        </w:tc>
        <w:tc>
          <w:tcPr>
            <w:tcW w:w="1552" w:type="dxa"/>
            <w:vAlign w:val="center"/>
          </w:tcPr>
          <w:p w14:paraId="4BA17AB5" w14:textId="77777777" w:rsidR="00823DE2" w:rsidRPr="00823DE2" w:rsidRDefault="00823DE2" w:rsidP="00823DE2">
            <w:pPr>
              <w:jc w:val="right"/>
              <w:rPr>
                <w:color w:val="000000"/>
                <w:sz w:val="22"/>
                <w:szCs w:val="22"/>
              </w:rPr>
            </w:pPr>
            <w:r w:rsidRPr="00823DE2">
              <w:rPr>
                <w:color w:val="000000"/>
                <w:sz w:val="22"/>
                <w:szCs w:val="22"/>
              </w:rPr>
              <w:t>3.51</w:t>
            </w:r>
          </w:p>
        </w:tc>
        <w:tc>
          <w:tcPr>
            <w:tcW w:w="1334" w:type="dxa"/>
            <w:vAlign w:val="center"/>
          </w:tcPr>
          <w:p w14:paraId="0CED49A6" w14:textId="77777777" w:rsidR="00823DE2" w:rsidRPr="00823DE2" w:rsidRDefault="00823DE2" w:rsidP="00823DE2">
            <w:pPr>
              <w:jc w:val="right"/>
              <w:rPr>
                <w:color w:val="000000"/>
                <w:sz w:val="22"/>
                <w:szCs w:val="22"/>
              </w:rPr>
            </w:pPr>
            <w:r w:rsidRPr="00823DE2">
              <w:rPr>
                <w:color w:val="000000"/>
                <w:sz w:val="22"/>
                <w:szCs w:val="22"/>
              </w:rPr>
              <w:t>1.32</w:t>
            </w:r>
          </w:p>
        </w:tc>
      </w:tr>
      <w:tr w:rsidR="00823DE2" w:rsidRPr="00823DE2" w14:paraId="377BC528" w14:textId="77777777" w:rsidTr="00EC5E7A">
        <w:trPr>
          <w:trHeight w:hRule="exact" w:val="278"/>
        </w:trPr>
        <w:tc>
          <w:tcPr>
            <w:tcW w:w="5945" w:type="dxa"/>
            <w:shd w:val="clear" w:color="auto" w:fill="auto"/>
            <w:noWrap/>
            <w:tcMar>
              <w:top w:w="15" w:type="dxa"/>
              <w:left w:w="15" w:type="dxa"/>
              <w:bottom w:w="0" w:type="dxa"/>
              <w:right w:w="15" w:type="dxa"/>
            </w:tcMar>
          </w:tcPr>
          <w:p w14:paraId="58355E0F" w14:textId="77777777" w:rsidR="00823DE2" w:rsidRPr="00823DE2" w:rsidRDefault="00823DE2" w:rsidP="00823DE2">
            <w:pPr>
              <w:rPr>
                <w:color w:val="000000"/>
                <w:sz w:val="22"/>
                <w:szCs w:val="22"/>
              </w:rPr>
            </w:pPr>
            <w:r w:rsidRPr="00823DE2">
              <w:rPr>
                <w:sz w:val="22"/>
                <w:szCs w:val="22"/>
              </w:rPr>
              <w:tab/>
            </w:r>
            <w:r w:rsidRPr="00823DE2">
              <w:rPr>
                <w:sz w:val="22"/>
                <w:szCs w:val="22"/>
              </w:rPr>
              <w:tab/>
              <w:t>Fear of failure</w:t>
            </w:r>
          </w:p>
        </w:tc>
        <w:tc>
          <w:tcPr>
            <w:tcW w:w="1552" w:type="dxa"/>
            <w:vAlign w:val="center"/>
          </w:tcPr>
          <w:p w14:paraId="1266504D" w14:textId="77777777" w:rsidR="00823DE2" w:rsidRPr="00823DE2" w:rsidRDefault="00823DE2" w:rsidP="00823DE2">
            <w:pPr>
              <w:jc w:val="right"/>
              <w:rPr>
                <w:color w:val="000000"/>
                <w:sz w:val="22"/>
                <w:szCs w:val="22"/>
              </w:rPr>
            </w:pPr>
            <w:r w:rsidRPr="00823DE2">
              <w:rPr>
                <w:color w:val="000000"/>
                <w:sz w:val="22"/>
                <w:szCs w:val="22"/>
              </w:rPr>
              <w:t>3.01</w:t>
            </w:r>
          </w:p>
        </w:tc>
        <w:tc>
          <w:tcPr>
            <w:tcW w:w="1334" w:type="dxa"/>
            <w:vAlign w:val="center"/>
          </w:tcPr>
          <w:p w14:paraId="7A234E32" w14:textId="77777777" w:rsidR="00823DE2" w:rsidRPr="00823DE2" w:rsidRDefault="00823DE2" w:rsidP="00823DE2">
            <w:pPr>
              <w:jc w:val="right"/>
              <w:rPr>
                <w:color w:val="000000"/>
                <w:sz w:val="22"/>
                <w:szCs w:val="22"/>
              </w:rPr>
            </w:pPr>
            <w:r w:rsidRPr="00823DE2">
              <w:rPr>
                <w:color w:val="000000"/>
                <w:sz w:val="22"/>
                <w:szCs w:val="22"/>
              </w:rPr>
              <w:t>1.36</w:t>
            </w:r>
          </w:p>
        </w:tc>
      </w:tr>
      <w:tr w:rsidR="00823DE2" w:rsidRPr="00823DE2" w14:paraId="0813B98A" w14:textId="77777777" w:rsidTr="00EC5E7A">
        <w:trPr>
          <w:trHeight w:hRule="exact" w:val="278"/>
        </w:trPr>
        <w:tc>
          <w:tcPr>
            <w:tcW w:w="5945" w:type="dxa"/>
            <w:shd w:val="clear" w:color="auto" w:fill="auto"/>
            <w:noWrap/>
            <w:tcMar>
              <w:top w:w="15" w:type="dxa"/>
              <w:left w:w="15" w:type="dxa"/>
              <w:bottom w:w="0" w:type="dxa"/>
              <w:right w:w="15" w:type="dxa"/>
            </w:tcMar>
          </w:tcPr>
          <w:p w14:paraId="22476613" w14:textId="77777777" w:rsidR="00823DE2" w:rsidRPr="00823DE2" w:rsidRDefault="00823DE2" w:rsidP="00823DE2">
            <w:pPr>
              <w:rPr>
                <w:color w:val="000000"/>
                <w:sz w:val="22"/>
                <w:szCs w:val="22"/>
              </w:rPr>
            </w:pPr>
            <w:r w:rsidRPr="00823DE2">
              <w:rPr>
                <w:sz w:val="22"/>
                <w:szCs w:val="22"/>
              </w:rPr>
              <w:tab/>
            </w:r>
            <w:r w:rsidRPr="00823DE2">
              <w:rPr>
                <w:sz w:val="22"/>
                <w:szCs w:val="22"/>
              </w:rPr>
              <w:tab/>
              <w:t>Limited relevant experience</w:t>
            </w:r>
          </w:p>
        </w:tc>
        <w:tc>
          <w:tcPr>
            <w:tcW w:w="1552" w:type="dxa"/>
            <w:vAlign w:val="center"/>
          </w:tcPr>
          <w:p w14:paraId="2823B8E0" w14:textId="77777777" w:rsidR="00823DE2" w:rsidRPr="00823DE2" w:rsidRDefault="00823DE2" w:rsidP="00823DE2">
            <w:pPr>
              <w:jc w:val="right"/>
              <w:rPr>
                <w:color w:val="000000"/>
                <w:sz w:val="22"/>
                <w:szCs w:val="22"/>
              </w:rPr>
            </w:pPr>
            <w:r w:rsidRPr="00823DE2">
              <w:rPr>
                <w:color w:val="000000"/>
                <w:sz w:val="22"/>
                <w:szCs w:val="22"/>
              </w:rPr>
              <w:t>3.19</w:t>
            </w:r>
          </w:p>
        </w:tc>
        <w:tc>
          <w:tcPr>
            <w:tcW w:w="1334" w:type="dxa"/>
            <w:vAlign w:val="center"/>
          </w:tcPr>
          <w:p w14:paraId="7D783845" w14:textId="77777777" w:rsidR="00823DE2" w:rsidRPr="00823DE2" w:rsidRDefault="00823DE2" w:rsidP="00823DE2">
            <w:pPr>
              <w:jc w:val="right"/>
              <w:rPr>
                <w:color w:val="000000"/>
                <w:sz w:val="22"/>
                <w:szCs w:val="22"/>
              </w:rPr>
            </w:pPr>
            <w:r w:rsidRPr="00823DE2">
              <w:rPr>
                <w:color w:val="000000"/>
                <w:sz w:val="22"/>
                <w:szCs w:val="22"/>
              </w:rPr>
              <w:t>1.25</w:t>
            </w:r>
          </w:p>
        </w:tc>
      </w:tr>
      <w:tr w:rsidR="00823DE2" w:rsidRPr="00823DE2" w14:paraId="33242A53" w14:textId="77777777" w:rsidTr="00EC5E7A">
        <w:trPr>
          <w:trHeight w:hRule="exact" w:val="278"/>
        </w:trPr>
        <w:tc>
          <w:tcPr>
            <w:tcW w:w="5945" w:type="dxa"/>
            <w:shd w:val="clear" w:color="auto" w:fill="auto"/>
            <w:noWrap/>
            <w:tcMar>
              <w:top w:w="15" w:type="dxa"/>
              <w:left w:w="15" w:type="dxa"/>
              <w:bottom w:w="0" w:type="dxa"/>
              <w:right w:w="15" w:type="dxa"/>
            </w:tcMar>
          </w:tcPr>
          <w:p w14:paraId="77C18A04" w14:textId="77777777" w:rsidR="00823DE2" w:rsidRPr="00823DE2" w:rsidRDefault="00823DE2" w:rsidP="00823DE2">
            <w:pPr>
              <w:rPr>
                <w:sz w:val="22"/>
                <w:szCs w:val="22"/>
              </w:rPr>
            </w:pPr>
            <w:r w:rsidRPr="00823DE2">
              <w:rPr>
                <w:sz w:val="22"/>
                <w:szCs w:val="22"/>
              </w:rPr>
              <w:tab/>
              <w:t>External</w:t>
            </w:r>
          </w:p>
        </w:tc>
        <w:tc>
          <w:tcPr>
            <w:tcW w:w="1552" w:type="dxa"/>
            <w:vAlign w:val="center"/>
          </w:tcPr>
          <w:p w14:paraId="56D8C612" w14:textId="77777777" w:rsidR="00823DE2" w:rsidRPr="00823DE2" w:rsidRDefault="00823DE2" w:rsidP="00823DE2">
            <w:pPr>
              <w:jc w:val="right"/>
              <w:rPr>
                <w:b/>
                <w:color w:val="000000"/>
                <w:sz w:val="22"/>
                <w:szCs w:val="22"/>
              </w:rPr>
            </w:pPr>
            <w:r w:rsidRPr="00823DE2">
              <w:rPr>
                <w:b/>
                <w:color w:val="000000"/>
                <w:sz w:val="22"/>
                <w:szCs w:val="22"/>
              </w:rPr>
              <w:t>3.82</w:t>
            </w:r>
          </w:p>
        </w:tc>
        <w:tc>
          <w:tcPr>
            <w:tcW w:w="1334" w:type="dxa"/>
            <w:vAlign w:val="center"/>
          </w:tcPr>
          <w:p w14:paraId="55337BE0" w14:textId="77777777" w:rsidR="00823DE2" w:rsidRPr="00823DE2" w:rsidRDefault="00823DE2" w:rsidP="00823DE2">
            <w:pPr>
              <w:jc w:val="right"/>
              <w:rPr>
                <w:b/>
                <w:color w:val="000000"/>
                <w:sz w:val="22"/>
                <w:szCs w:val="22"/>
              </w:rPr>
            </w:pPr>
            <w:r w:rsidRPr="00823DE2">
              <w:rPr>
                <w:b/>
                <w:color w:val="000000"/>
                <w:sz w:val="22"/>
                <w:szCs w:val="22"/>
              </w:rPr>
              <w:t>0.85</w:t>
            </w:r>
          </w:p>
        </w:tc>
      </w:tr>
      <w:tr w:rsidR="00823DE2" w:rsidRPr="00823DE2" w14:paraId="02CEB6F0" w14:textId="77777777" w:rsidTr="00EC5E7A">
        <w:trPr>
          <w:trHeight w:hRule="exact" w:val="278"/>
        </w:trPr>
        <w:tc>
          <w:tcPr>
            <w:tcW w:w="5945" w:type="dxa"/>
            <w:shd w:val="clear" w:color="auto" w:fill="auto"/>
            <w:noWrap/>
            <w:tcMar>
              <w:top w:w="15" w:type="dxa"/>
              <w:left w:w="15" w:type="dxa"/>
              <w:bottom w:w="0" w:type="dxa"/>
              <w:right w:w="15" w:type="dxa"/>
            </w:tcMar>
          </w:tcPr>
          <w:p w14:paraId="0D7885DA" w14:textId="77777777" w:rsidR="00823DE2" w:rsidRPr="00823DE2" w:rsidRDefault="00823DE2" w:rsidP="00823DE2">
            <w:pPr>
              <w:rPr>
                <w:color w:val="000000"/>
                <w:sz w:val="22"/>
                <w:szCs w:val="22"/>
              </w:rPr>
            </w:pPr>
            <w:r w:rsidRPr="00823DE2">
              <w:rPr>
                <w:sz w:val="22"/>
                <w:szCs w:val="22"/>
              </w:rPr>
              <w:tab/>
            </w:r>
            <w:r w:rsidRPr="00823DE2">
              <w:rPr>
                <w:sz w:val="22"/>
                <w:szCs w:val="22"/>
              </w:rPr>
              <w:tab/>
              <w:t>Lack of knowledge support to start a business</w:t>
            </w:r>
          </w:p>
        </w:tc>
        <w:tc>
          <w:tcPr>
            <w:tcW w:w="1552" w:type="dxa"/>
            <w:vAlign w:val="center"/>
          </w:tcPr>
          <w:p w14:paraId="63B3AB8C" w14:textId="77777777" w:rsidR="00823DE2" w:rsidRPr="00823DE2" w:rsidRDefault="00823DE2" w:rsidP="00823DE2">
            <w:pPr>
              <w:jc w:val="right"/>
              <w:rPr>
                <w:color w:val="000000"/>
                <w:sz w:val="22"/>
                <w:szCs w:val="22"/>
              </w:rPr>
            </w:pPr>
            <w:r w:rsidRPr="00823DE2">
              <w:rPr>
                <w:color w:val="000000"/>
                <w:sz w:val="22"/>
                <w:szCs w:val="22"/>
              </w:rPr>
              <w:t>3.65</w:t>
            </w:r>
          </w:p>
        </w:tc>
        <w:tc>
          <w:tcPr>
            <w:tcW w:w="1334" w:type="dxa"/>
            <w:vAlign w:val="center"/>
          </w:tcPr>
          <w:p w14:paraId="7EC91244" w14:textId="77777777" w:rsidR="00823DE2" w:rsidRPr="00823DE2" w:rsidRDefault="00823DE2" w:rsidP="00823DE2">
            <w:pPr>
              <w:jc w:val="right"/>
              <w:rPr>
                <w:color w:val="000000"/>
                <w:sz w:val="22"/>
                <w:szCs w:val="22"/>
              </w:rPr>
            </w:pPr>
            <w:r w:rsidRPr="00823DE2">
              <w:rPr>
                <w:color w:val="000000"/>
                <w:sz w:val="22"/>
                <w:szCs w:val="22"/>
              </w:rPr>
              <w:t>1.19</w:t>
            </w:r>
          </w:p>
        </w:tc>
      </w:tr>
      <w:tr w:rsidR="00823DE2" w:rsidRPr="00823DE2" w14:paraId="540CC040" w14:textId="77777777" w:rsidTr="00EC5E7A">
        <w:trPr>
          <w:trHeight w:hRule="exact" w:val="278"/>
        </w:trPr>
        <w:tc>
          <w:tcPr>
            <w:tcW w:w="5945" w:type="dxa"/>
            <w:shd w:val="clear" w:color="auto" w:fill="auto"/>
            <w:noWrap/>
            <w:tcMar>
              <w:top w:w="15" w:type="dxa"/>
              <w:left w:w="15" w:type="dxa"/>
              <w:bottom w:w="0" w:type="dxa"/>
              <w:right w:w="15" w:type="dxa"/>
            </w:tcMar>
          </w:tcPr>
          <w:p w14:paraId="4F4CCEF5" w14:textId="77777777" w:rsidR="00823DE2" w:rsidRPr="00823DE2" w:rsidRDefault="00823DE2" w:rsidP="00823DE2">
            <w:pPr>
              <w:rPr>
                <w:color w:val="000000"/>
                <w:sz w:val="22"/>
                <w:szCs w:val="22"/>
              </w:rPr>
            </w:pPr>
            <w:r w:rsidRPr="00823DE2">
              <w:rPr>
                <w:sz w:val="22"/>
                <w:szCs w:val="22"/>
              </w:rPr>
              <w:tab/>
            </w:r>
            <w:r w:rsidRPr="00823DE2">
              <w:rPr>
                <w:sz w:val="22"/>
                <w:szCs w:val="22"/>
              </w:rPr>
              <w:tab/>
              <w:t>Lack of industry/network contacts</w:t>
            </w:r>
          </w:p>
        </w:tc>
        <w:tc>
          <w:tcPr>
            <w:tcW w:w="1552" w:type="dxa"/>
            <w:vAlign w:val="center"/>
          </w:tcPr>
          <w:p w14:paraId="50AC6891" w14:textId="77777777" w:rsidR="00823DE2" w:rsidRPr="00823DE2" w:rsidRDefault="00823DE2" w:rsidP="00823DE2">
            <w:pPr>
              <w:jc w:val="right"/>
              <w:rPr>
                <w:color w:val="000000"/>
                <w:sz w:val="22"/>
                <w:szCs w:val="22"/>
              </w:rPr>
            </w:pPr>
            <w:r w:rsidRPr="00823DE2">
              <w:rPr>
                <w:color w:val="000000"/>
                <w:sz w:val="22"/>
                <w:szCs w:val="22"/>
              </w:rPr>
              <w:t>3.80</w:t>
            </w:r>
          </w:p>
        </w:tc>
        <w:tc>
          <w:tcPr>
            <w:tcW w:w="1334" w:type="dxa"/>
            <w:vAlign w:val="center"/>
          </w:tcPr>
          <w:p w14:paraId="0134722C" w14:textId="77777777" w:rsidR="00823DE2" w:rsidRPr="00823DE2" w:rsidRDefault="00823DE2" w:rsidP="00823DE2">
            <w:pPr>
              <w:jc w:val="right"/>
              <w:rPr>
                <w:color w:val="000000"/>
                <w:sz w:val="22"/>
                <w:szCs w:val="22"/>
              </w:rPr>
            </w:pPr>
            <w:r w:rsidRPr="00823DE2">
              <w:rPr>
                <w:color w:val="000000"/>
                <w:sz w:val="22"/>
                <w:szCs w:val="22"/>
              </w:rPr>
              <w:t>1.08</w:t>
            </w:r>
          </w:p>
        </w:tc>
      </w:tr>
      <w:tr w:rsidR="00823DE2" w:rsidRPr="00823DE2" w14:paraId="78055C83" w14:textId="77777777" w:rsidTr="00EC5E7A">
        <w:trPr>
          <w:trHeight w:hRule="exact" w:val="278"/>
        </w:trPr>
        <w:tc>
          <w:tcPr>
            <w:tcW w:w="5945" w:type="dxa"/>
            <w:shd w:val="clear" w:color="auto" w:fill="auto"/>
            <w:noWrap/>
            <w:tcMar>
              <w:top w:w="15" w:type="dxa"/>
              <w:left w:w="15" w:type="dxa"/>
              <w:bottom w:w="0" w:type="dxa"/>
              <w:right w:w="15" w:type="dxa"/>
            </w:tcMar>
          </w:tcPr>
          <w:p w14:paraId="08382EEC" w14:textId="77777777" w:rsidR="00823DE2" w:rsidRPr="00823DE2" w:rsidRDefault="00823DE2" w:rsidP="00823DE2">
            <w:pPr>
              <w:rPr>
                <w:color w:val="000000"/>
                <w:sz w:val="22"/>
                <w:szCs w:val="22"/>
              </w:rPr>
            </w:pPr>
            <w:r w:rsidRPr="00823DE2">
              <w:rPr>
                <w:sz w:val="22"/>
                <w:szCs w:val="22"/>
              </w:rPr>
              <w:tab/>
            </w:r>
            <w:r w:rsidRPr="00823DE2">
              <w:rPr>
                <w:sz w:val="22"/>
                <w:szCs w:val="22"/>
              </w:rPr>
              <w:tab/>
              <w:t>Finance</w:t>
            </w:r>
          </w:p>
        </w:tc>
        <w:tc>
          <w:tcPr>
            <w:tcW w:w="1552" w:type="dxa"/>
            <w:vAlign w:val="center"/>
          </w:tcPr>
          <w:p w14:paraId="6E6CC03D" w14:textId="77777777" w:rsidR="00823DE2" w:rsidRPr="00823DE2" w:rsidRDefault="00823DE2" w:rsidP="00823DE2">
            <w:pPr>
              <w:jc w:val="right"/>
              <w:rPr>
                <w:color w:val="000000"/>
                <w:sz w:val="22"/>
                <w:szCs w:val="22"/>
              </w:rPr>
            </w:pPr>
            <w:r w:rsidRPr="00823DE2">
              <w:rPr>
                <w:color w:val="000000"/>
                <w:sz w:val="22"/>
                <w:szCs w:val="22"/>
              </w:rPr>
              <w:t>4.02</w:t>
            </w:r>
          </w:p>
        </w:tc>
        <w:tc>
          <w:tcPr>
            <w:tcW w:w="1334" w:type="dxa"/>
            <w:vAlign w:val="center"/>
          </w:tcPr>
          <w:p w14:paraId="5D17E051" w14:textId="77777777" w:rsidR="00823DE2" w:rsidRPr="00823DE2" w:rsidRDefault="00823DE2" w:rsidP="00823DE2">
            <w:pPr>
              <w:jc w:val="right"/>
              <w:rPr>
                <w:color w:val="000000"/>
                <w:sz w:val="22"/>
                <w:szCs w:val="22"/>
              </w:rPr>
            </w:pPr>
            <w:r w:rsidRPr="00823DE2">
              <w:rPr>
                <w:color w:val="000000"/>
                <w:sz w:val="22"/>
                <w:szCs w:val="22"/>
              </w:rPr>
              <w:t>1.03</w:t>
            </w:r>
          </w:p>
        </w:tc>
      </w:tr>
      <w:tr w:rsidR="00823DE2" w:rsidRPr="00823DE2" w14:paraId="2D737107" w14:textId="77777777" w:rsidTr="00EC5E7A">
        <w:trPr>
          <w:trHeight w:hRule="exact" w:val="278"/>
        </w:trPr>
        <w:tc>
          <w:tcPr>
            <w:tcW w:w="5945" w:type="dxa"/>
            <w:shd w:val="clear" w:color="auto" w:fill="auto"/>
            <w:noWrap/>
            <w:tcMar>
              <w:top w:w="15" w:type="dxa"/>
              <w:left w:w="15" w:type="dxa"/>
              <w:bottom w:w="0" w:type="dxa"/>
              <w:right w:w="15" w:type="dxa"/>
            </w:tcMar>
          </w:tcPr>
          <w:p w14:paraId="00BB0CAC" w14:textId="77777777" w:rsidR="00823DE2" w:rsidRPr="00823DE2" w:rsidRDefault="00823DE2" w:rsidP="00823DE2">
            <w:pPr>
              <w:rPr>
                <w:color w:val="000000"/>
                <w:sz w:val="22"/>
                <w:szCs w:val="22"/>
              </w:rPr>
            </w:pPr>
            <w:r w:rsidRPr="00823DE2">
              <w:rPr>
                <w:sz w:val="22"/>
                <w:szCs w:val="22"/>
              </w:rPr>
              <w:lastRenderedPageBreak/>
              <w:tab/>
            </w:r>
            <w:r w:rsidRPr="00823DE2">
              <w:rPr>
                <w:sz w:val="22"/>
                <w:szCs w:val="22"/>
              </w:rPr>
              <w:tab/>
              <w:t>Lack of support from family/friends</w:t>
            </w:r>
          </w:p>
        </w:tc>
        <w:tc>
          <w:tcPr>
            <w:tcW w:w="1552" w:type="dxa"/>
            <w:vAlign w:val="center"/>
          </w:tcPr>
          <w:p w14:paraId="22E1D85C" w14:textId="77777777" w:rsidR="00823DE2" w:rsidRPr="00823DE2" w:rsidRDefault="00823DE2" w:rsidP="00823DE2">
            <w:pPr>
              <w:jc w:val="right"/>
              <w:rPr>
                <w:color w:val="000000"/>
                <w:sz w:val="22"/>
                <w:szCs w:val="22"/>
              </w:rPr>
            </w:pPr>
            <w:r w:rsidRPr="00823DE2">
              <w:rPr>
                <w:color w:val="000000"/>
                <w:sz w:val="22"/>
                <w:szCs w:val="22"/>
              </w:rPr>
              <w:t>2.02</w:t>
            </w:r>
          </w:p>
        </w:tc>
        <w:tc>
          <w:tcPr>
            <w:tcW w:w="1334" w:type="dxa"/>
            <w:vAlign w:val="center"/>
          </w:tcPr>
          <w:p w14:paraId="4D360BE7" w14:textId="77777777" w:rsidR="00823DE2" w:rsidRPr="00823DE2" w:rsidRDefault="00823DE2" w:rsidP="00823DE2">
            <w:pPr>
              <w:jc w:val="right"/>
              <w:rPr>
                <w:color w:val="000000"/>
                <w:sz w:val="22"/>
                <w:szCs w:val="22"/>
              </w:rPr>
            </w:pPr>
            <w:r w:rsidRPr="00823DE2">
              <w:rPr>
                <w:color w:val="000000"/>
                <w:sz w:val="22"/>
                <w:szCs w:val="22"/>
              </w:rPr>
              <w:t>1.13</w:t>
            </w:r>
          </w:p>
        </w:tc>
      </w:tr>
      <w:tr w:rsidR="00823DE2" w:rsidRPr="00823DE2" w14:paraId="60361D74" w14:textId="77777777" w:rsidTr="00EC5E7A">
        <w:trPr>
          <w:trHeight w:hRule="exact" w:val="278"/>
        </w:trPr>
        <w:tc>
          <w:tcPr>
            <w:tcW w:w="5945" w:type="dxa"/>
            <w:shd w:val="clear" w:color="auto" w:fill="auto"/>
            <w:noWrap/>
            <w:tcMar>
              <w:top w:w="15" w:type="dxa"/>
              <w:left w:w="15" w:type="dxa"/>
              <w:bottom w:w="0" w:type="dxa"/>
              <w:right w:w="15" w:type="dxa"/>
            </w:tcMar>
          </w:tcPr>
          <w:p w14:paraId="40C3DC14" w14:textId="77777777" w:rsidR="00823DE2" w:rsidRPr="00823DE2" w:rsidRDefault="00823DE2" w:rsidP="00823DE2">
            <w:pPr>
              <w:rPr>
                <w:sz w:val="22"/>
                <w:szCs w:val="22"/>
              </w:rPr>
            </w:pPr>
            <w:r w:rsidRPr="00823DE2">
              <w:rPr>
                <w:sz w:val="22"/>
                <w:szCs w:val="22"/>
              </w:rPr>
              <w:tab/>
              <w:t>Other personal circumstances</w:t>
            </w:r>
          </w:p>
        </w:tc>
        <w:tc>
          <w:tcPr>
            <w:tcW w:w="1552" w:type="dxa"/>
            <w:vAlign w:val="center"/>
          </w:tcPr>
          <w:p w14:paraId="34DED07F" w14:textId="77777777" w:rsidR="00823DE2" w:rsidRPr="00823DE2" w:rsidRDefault="00823DE2" w:rsidP="00823DE2">
            <w:pPr>
              <w:jc w:val="right"/>
              <w:rPr>
                <w:b/>
                <w:color w:val="000000"/>
                <w:sz w:val="22"/>
                <w:szCs w:val="22"/>
              </w:rPr>
            </w:pPr>
            <w:r w:rsidRPr="00823DE2">
              <w:rPr>
                <w:b/>
                <w:color w:val="000000"/>
                <w:sz w:val="22"/>
                <w:szCs w:val="22"/>
              </w:rPr>
              <w:t>2.24</w:t>
            </w:r>
          </w:p>
        </w:tc>
        <w:tc>
          <w:tcPr>
            <w:tcW w:w="1334" w:type="dxa"/>
            <w:vAlign w:val="center"/>
          </w:tcPr>
          <w:p w14:paraId="62F15AD2" w14:textId="77777777" w:rsidR="00823DE2" w:rsidRPr="00823DE2" w:rsidRDefault="00823DE2" w:rsidP="00823DE2">
            <w:pPr>
              <w:jc w:val="right"/>
              <w:rPr>
                <w:b/>
                <w:color w:val="000000"/>
                <w:sz w:val="22"/>
                <w:szCs w:val="22"/>
              </w:rPr>
            </w:pPr>
            <w:r w:rsidRPr="00823DE2">
              <w:rPr>
                <w:b/>
                <w:color w:val="000000"/>
                <w:sz w:val="22"/>
                <w:szCs w:val="22"/>
              </w:rPr>
              <w:t>0.95</w:t>
            </w:r>
          </w:p>
        </w:tc>
      </w:tr>
      <w:tr w:rsidR="00823DE2" w:rsidRPr="00823DE2" w14:paraId="55134F5C" w14:textId="77777777" w:rsidTr="00EC5E7A">
        <w:trPr>
          <w:trHeight w:hRule="exact" w:val="278"/>
        </w:trPr>
        <w:tc>
          <w:tcPr>
            <w:tcW w:w="5945" w:type="dxa"/>
            <w:shd w:val="clear" w:color="auto" w:fill="auto"/>
            <w:noWrap/>
            <w:tcMar>
              <w:top w:w="15" w:type="dxa"/>
              <w:left w:w="15" w:type="dxa"/>
              <w:bottom w:w="0" w:type="dxa"/>
              <w:right w:w="15" w:type="dxa"/>
            </w:tcMar>
          </w:tcPr>
          <w:p w14:paraId="1714CBF3" w14:textId="77777777" w:rsidR="00823DE2" w:rsidRPr="00823DE2" w:rsidRDefault="00823DE2" w:rsidP="00823DE2">
            <w:pPr>
              <w:rPr>
                <w:sz w:val="22"/>
                <w:szCs w:val="22"/>
              </w:rPr>
            </w:pPr>
            <w:r w:rsidRPr="00823DE2">
              <w:rPr>
                <w:sz w:val="22"/>
                <w:szCs w:val="22"/>
              </w:rPr>
              <w:tab/>
            </w:r>
            <w:r w:rsidRPr="00823DE2">
              <w:rPr>
                <w:sz w:val="22"/>
                <w:szCs w:val="22"/>
              </w:rPr>
              <w:tab/>
              <w:t>Visa</w:t>
            </w:r>
          </w:p>
        </w:tc>
        <w:tc>
          <w:tcPr>
            <w:tcW w:w="1552" w:type="dxa"/>
            <w:vAlign w:val="center"/>
          </w:tcPr>
          <w:p w14:paraId="13E0F6D5" w14:textId="77777777" w:rsidR="00823DE2" w:rsidRPr="00823DE2" w:rsidRDefault="00823DE2" w:rsidP="00823DE2">
            <w:pPr>
              <w:jc w:val="right"/>
              <w:rPr>
                <w:color w:val="000000"/>
                <w:sz w:val="22"/>
                <w:szCs w:val="22"/>
              </w:rPr>
            </w:pPr>
            <w:r w:rsidRPr="00823DE2">
              <w:rPr>
                <w:color w:val="000000"/>
                <w:sz w:val="22"/>
                <w:szCs w:val="22"/>
              </w:rPr>
              <w:t>1.98</w:t>
            </w:r>
          </w:p>
        </w:tc>
        <w:tc>
          <w:tcPr>
            <w:tcW w:w="1334" w:type="dxa"/>
            <w:vAlign w:val="center"/>
          </w:tcPr>
          <w:p w14:paraId="3869FCC8" w14:textId="77777777" w:rsidR="00823DE2" w:rsidRPr="00823DE2" w:rsidRDefault="00823DE2" w:rsidP="00823DE2">
            <w:pPr>
              <w:jc w:val="right"/>
              <w:rPr>
                <w:color w:val="000000"/>
                <w:sz w:val="22"/>
                <w:szCs w:val="22"/>
              </w:rPr>
            </w:pPr>
            <w:r w:rsidRPr="00823DE2">
              <w:rPr>
                <w:color w:val="000000"/>
                <w:sz w:val="22"/>
                <w:szCs w:val="22"/>
              </w:rPr>
              <w:t>1.39</w:t>
            </w:r>
          </w:p>
        </w:tc>
      </w:tr>
      <w:tr w:rsidR="00823DE2" w:rsidRPr="00823DE2" w14:paraId="1C9F9CD9" w14:textId="77777777" w:rsidTr="00EC5E7A">
        <w:trPr>
          <w:trHeight w:hRule="exact" w:val="278"/>
        </w:trPr>
        <w:tc>
          <w:tcPr>
            <w:tcW w:w="5945" w:type="dxa"/>
            <w:tcBorders>
              <w:bottom w:val="single" w:sz="4" w:space="0" w:color="auto"/>
            </w:tcBorders>
            <w:shd w:val="clear" w:color="auto" w:fill="auto"/>
            <w:noWrap/>
            <w:tcMar>
              <w:top w:w="15" w:type="dxa"/>
              <w:left w:w="15" w:type="dxa"/>
              <w:bottom w:w="0" w:type="dxa"/>
              <w:right w:w="15" w:type="dxa"/>
            </w:tcMar>
          </w:tcPr>
          <w:p w14:paraId="60D859EE" w14:textId="77777777" w:rsidR="00823DE2" w:rsidRPr="00823DE2" w:rsidRDefault="00823DE2" w:rsidP="00823DE2">
            <w:pPr>
              <w:rPr>
                <w:color w:val="000000"/>
                <w:sz w:val="22"/>
                <w:szCs w:val="22"/>
              </w:rPr>
            </w:pPr>
            <w:r w:rsidRPr="00823DE2">
              <w:rPr>
                <w:sz w:val="22"/>
                <w:szCs w:val="22"/>
              </w:rPr>
              <w:tab/>
            </w:r>
            <w:r w:rsidRPr="00823DE2">
              <w:rPr>
                <w:sz w:val="22"/>
                <w:szCs w:val="22"/>
              </w:rPr>
              <w:tab/>
              <w:t>Family/caring responsibilities</w:t>
            </w:r>
          </w:p>
        </w:tc>
        <w:tc>
          <w:tcPr>
            <w:tcW w:w="1552" w:type="dxa"/>
            <w:tcBorders>
              <w:bottom w:val="single" w:sz="4" w:space="0" w:color="auto"/>
            </w:tcBorders>
            <w:vAlign w:val="center"/>
          </w:tcPr>
          <w:p w14:paraId="66FEF3AC" w14:textId="77777777" w:rsidR="00823DE2" w:rsidRPr="00823DE2" w:rsidRDefault="00823DE2" w:rsidP="00823DE2">
            <w:pPr>
              <w:jc w:val="right"/>
              <w:rPr>
                <w:color w:val="000000"/>
                <w:sz w:val="22"/>
                <w:szCs w:val="22"/>
              </w:rPr>
            </w:pPr>
            <w:r w:rsidRPr="00823DE2">
              <w:rPr>
                <w:color w:val="000000"/>
                <w:sz w:val="22"/>
                <w:szCs w:val="22"/>
              </w:rPr>
              <w:t>2.72</w:t>
            </w:r>
          </w:p>
        </w:tc>
        <w:tc>
          <w:tcPr>
            <w:tcW w:w="1334" w:type="dxa"/>
            <w:tcBorders>
              <w:bottom w:val="single" w:sz="4" w:space="0" w:color="auto"/>
            </w:tcBorders>
            <w:vAlign w:val="center"/>
          </w:tcPr>
          <w:p w14:paraId="5DD7031F" w14:textId="77777777" w:rsidR="00823DE2" w:rsidRPr="00823DE2" w:rsidRDefault="00823DE2" w:rsidP="00823DE2">
            <w:pPr>
              <w:jc w:val="right"/>
              <w:rPr>
                <w:color w:val="000000"/>
                <w:sz w:val="22"/>
                <w:szCs w:val="22"/>
              </w:rPr>
            </w:pPr>
            <w:r w:rsidRPr="00823DE2">
              <w:rPr>
                <w:color w:val="000000"/>
                <w:sz w:val="22"/>
                <w:szCs w:val="22"/>
              </w:rPr>
              <w:t>1.34</w:t>
            </w:r>
          </w:p>
        </w:tc>
      </w:tr>
      <w:tr w:rsidR="00823DE2" w:rsidRPr="00823DE2" w14:paraId="48CE0722" w14:textId="77777777" w:rsidTr="00EC5E7A">
        <w:trPr>
          <w:trHeight w:hRule="exact" w:val="278"/>
        </w:trPr>
        <w:tc>
          <w:tcPr>
            <w:tcW w:w="5945" w:type="dxa"/>
            <w:tcBorders>
              <w:top w:val="single" w:sz="4" w:space="0" w:color="auto"/>
            </w:tcBorders>
            <w:shd w:val="clear" w:color="auto" w:fill="auto"/>
            <w:noWrap/>
            <w:tcMar>
              <w:top w:w="15" w:type="dxa"/>
              <w:left w:w="15" w:type="dxa"/>
              <w:bottom w:w="0" w:type="dxa"/>
              <w:right w:w="15" w:type="dxa"/>
            </w:tcMar>
          </w:tcPr>
          <w:p w14:paraId="3250E97B" w14:textId="77777777" w:rsidR="00823DE2" w:rsidRPr="00823DE2" w:rsidRDefault="00823DE2" w:rsidP="00823DE2">
            <w:pPr>
              <w:rPr>
                <w:color w:val="000000"/>
                <w:sz w:val="22"/>
                <w:szCs w:val="22"/>
              </w:rPr>
            </w:pPr>
            <w:r w:rsidRPr="00823DE2">
              <w:rPr>
                <w:color w:val="000000"/>
                <w:sz w:val="22"/>
                <w:szCs w:val="22"/>
              </w:rPr>
              <w:t>Enablers/Support mechanisms</w:t>
            </w:r>
          </w:p>
        </w:tc>
        <w:tc>
          <w:tcPr>
            <w:tcW w:w="1552" w:type="dxa"/>
            <w:tcBorders>
              <w:top w:val="single" w:sz="4" w:space="0" w:color="auto"/>
            </w:tcBorders>
            <w:vAlign w:val="center"/>
          </w:tcPr>
          <w:p w14:paraId="6519D372" w14:textId="77777777" w:rsidR="00823DE2" w:rsidRPr="00823DE2" w:rsidRDefault="00823DE2" w:rsidP="00823DE2">
            <w:pPr>
              <w:jc w:val="right"/>
              <w:rPr>
                <w:color w:val="000000"/>
                <w:sz w:val="22"/>
                <w:szCs w:val="22"/>
              </w:rPr>
            </w:pPr>
          </w:p>
        </w:tc>
        <w:tc>
          <w:tcPr>
            <w:tcW w:w="1334" w:type="dxa"/>
            <w:tcBorders>
              <w:top w:val="single" w:sz="4" w:space="0" w:color="auto"/>
            </w:tcBorders>
            <w:vAlign w:val="center"/>
          </w:tcPr>
          <w:p w14:paraId="2AD1AC5C" w14:textId="77777777" w:rsidR="00823DE2" w:rsidRPr="00823DE2" w:rsidRDefault="00823DE2" w:rsidP="00823DE2">
            <w:pPr>
              <w:jc w:val="right"/>
              <w:rPr>
                <w:color w:val="000000"/>
                <w:sz w:val="22"/>
                <w:szCs w:val="22"/>
              </w:rPr>
            </w:pPr>
          </w:p>
        </w:tc>
      </w:tr>
      <w:tr w:rsidR="00823DE2" w:rsidRPr="00823DE2" w14:paraId="7AC0E494" w14:textId="77777777" w:rsidTr="00EC5E7A">
        <w:trPr>
          <w:trHeight w:hRule="exact" w:val="278"/>
        </w:trPr>
        <w:tc>
          <w:tcPr>
            <w:tcW w:w="5945" w:type="dxa"/>
            <w:shd w:val="clear" w:color="auto" w:fill="auto"/>
            <w:noWrap/>
            <w:tcMar>
              <w:top w:w="15" w:type="dxa"/>
              <w:left w:w="15" w:type="dxa"/>
              <w:bottom w:w="0" w:type="dxa"/>
              <w:right w:w="15" w:type="dxa"/>
            </w:tcMar>
          </w:tcPr>
          <w:p w14:paraId="22F488A8" w14:textId="77777777" w:rsidR="00823DE2" w:rsidRPr="00823DE2" w:rsidRDefault="00823DE2" w:rsidP="00823DE2">
            <w:pPr>
              <w:rPr>
                <w:color w:val="000000"/>
                <w:sz w:val="22"/>
                <w:szCs w:val="22"/>
              </w:rPr>
            </w:pPr>
            <w:r w:rsidRPr="00823DE2">
              <w:rPr>
                <w:color w:val="000000"/>
                <w:sz w:val="22"/>
                <w:szCs w:val="22"/>
              </w:rPr>
              <w:tab/>
              <w:t>Idea generation</w:t>
            </w:r>
          </w:p>
        </w:tc>
        <w:tc>
          <w:tcPr>
            <w:tcW w:w="1552" w:type="dxa"/>
            <w:vAlign w:val="center"/>
          </w:tcPr>
          <w:p w14:paraId="1A2B5EB0" w14:textId="77777777" w:rsidR="00823DE2" w:rsidRPr="00823DE2" w:rsidRDefault="00823DE2" w:rsidP="00823DE2">
            <w:pPr>
              <w:jc w:val="right"/>
              <w:rPr>
                <w:b/>
                <w:color w:val="000000"/>
                <w:sz w:val="22"/>
                <w:szCs w:val="22"/>
              </w:rPr>
            </w:pPr>
            <w:r w:rsidRPr="00823DE2">
              <w:rPr>
                <w:rFonts w:eastAsia="Calibri"/>
                <w:b/>
                <w:color w:val="000000"/>
                <w:sz w:val="22"/>
                <w:szCs w:val="22"/>
                <w:lang w:eastAsia="en-US"/>
              </w:rPr>
              <w:t>3.47</w:t>
            </w:r>
          </w:p>
        </w:tc>
        <w:tc>
          <w:tcPr>
            <w:tcW w:w="1334" w:type="dxa"/>
            <w:vAlign w:val="center"/>
          </w:tcPr>
          <w:p w14:paraId="0CDC4E9F" w14:textId="77777777" w:rsidR="00823DE2" w:rsidRPr="00823DE2" w:rsidRDefault="00823DE2" w:rsidP="00823DE2">
            <w:pPr>
              <w:jc w:val="right"/>
              <w:rPr>
                <w:b/>
                <w:color w:val="000000"/>
                <w:sz w:val="22"/>
                <w:szCs w:val="22"/>
              </w:rPr>
            </w:pPr>
            <w:r w:rsidRPr="00823DE2">
              <w:rPr>
                <w:rFonts w:eastAsia="Calibri"/>
                <w:b/>
                <w:color w:val="000000"/>
                <w:sz w:val="22"/>
                <w:szCs w:val="22"/>
                <w:lang w:eastAsia="en-US"/>
              </w:rPr>
              <w:t>.94</w:t>
            </w:r>
          </w:p>
        </w:tc>
      </w:tr>
      <w:tr w:rsidR="00823DE2" w:rsidRPr="00823DE2" w14:paraId="787EEAA8" w14:textId="77777777" w:rsidTr="00EC5E7A">
        <w:trPr>
          <w:trHeight w:hRule="exact" w:val="278"/>
        </w:trPr>
        <w:tc>
          <w:tcPr>
            <w:tcW w:w="5945" w:type="dxa"/>
            <w:shd w:val="clear" w:color="auto" w:fill="auto"/>
            <w:noWrap/>
            <w:tcMar>
              <w:top w:w="15" w:type="dxa"/>
              <w:left w:w="15" w:type="dxa"/>
              <w:bottom w:w="0" w:type="dxa"/>
              <w:right w:w="15" w:type="dxa"/>
            </w:tcMar>
            <w:hideMark/>
          </w:tcPr>
          <w:p w14:paraId="550DF228"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Support and advice from academics</w:t>
            </w:r>
          </w:p>
        </w:tc>
        <w:tc>
          <w:tcPr>
            <w:tcW w:w="1552" w:type="dxa"/>
            <w:vAlign w:val="center"/>
          </w:tcPr>
          <w:p w14:paraId="130FD40E" w14:textId="77777777" w:rsidR="00823DE2" w:rsidRPr="00823DE2" w:rsidRDefault="00823DE2" w:rsidP="00823DE2">
            <w:pPr>
              <w:jc w:val="right"/>
              <w:rPr>
                <w:sz w:val="22"/>
                <w:szCs w:val="22"/>
              </w:rPr>
            </w:pPr>
            <w:r w:rsidRPr="00823DE2">
              <w:rPr>
                <w:color w:val="000000"/>
                <w:sz w:val="22"/>
                <w:szCs w:val="22"/>
              </w:rPr>
              <w:t>3.50</w:t>
            </w:r>
          </w:p>
        </w:tc>
        <w:tc>
          <w:tcPr>
            <w:tcW w:w="1334" w:type="dxa"/>
            <w:vAlign w:val="center"/>
          </w:tcPr>
          <w:p w14:paraId="6146E9A9" w14:textId="77777777" w:rsidR="00823DE2" w:rsidRPr="00823DE2" w:rsidRDefault="00823DE2" w:rsidP="00823DE2">
            <w:pPr>
              <w:jc w:val="right"/>
              <w:rPr>
                <w:sz w:val="22"/>
                <w:szCs w:val="22"/>
              </w:rPr>
            </w:pPr>
            <w:r w:rsidRPr="00823DE2">
              <w:rPr>
                <w:color w:val="000000"/>
                <w:sz w:val="22"/>
                <w:szCs w:val="22"/>
              </w:rPr>
              <w:t>1.16</w:t>
            </w:r>
          </w:p>
        </w:tc>
      </w:tr>
      <w:tr w:rsidR="00823DE2" w:rsidRPr="00823DE2" w14:paraId="7CC657F9" w14:textId="77777777" w:rsidTr="00EC5E7A">
        <w:trPr>
          <w:trHeight w:hRule="exact" w:val="278"/>
        </w:trPr>
        <w:tc>
          <w:tcPr>
            <w:tcW w:w="5945" w:type="dxa"/>
            <w:shd w:val="clear" w:color="auto" w:fill="auto"/>
            <w:noWrap/>
            <w:tcMar>
              <w:top w:w="15" w:type="dxa"/>
              <w:left w:w="15" w:type="dxa"/>
              <w:bottom w:w="0" w:type="dxa"/>
              <w:right w:w="15" w:type="dxa"/>
            </w:tcMar>
            <w:hideMark/>
          </w:tcPr>
          <w:p w14:paraId="37FD2F4F"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Participating in a university incubator/activator</w:t>
            </w:r>
          </w:p>
        </w:tc>
        <w:tc>
          <w:tcPr>
            <w:tcW w:w="1552" w:type="dxa"/>
            <w:vAlign w:val="center"/>
          </w:tcPr>
          <w:p w14:paraId="070CC258" w14:textId="77777777" w:rsidR="00823DE2" w:rsidRPr="00823DE2" w:rsidRDefault="00823DE2" w:rsidP="00823DE2">
            <w:pPr>
              <w:jc w:val="right"/>
              <w:rPr>
                <w:color w:val="000000"/>
                <w:sz w:val="22"/>
                <w:szCs w:val="22"/>
              </w:rPr>
            </w:pPr>
            <w:r w:rsidRPr="00823DE2">
              <w:rPr>
                <w:color w:val="000000"/>
                <w:sz w:val="22"/>
                <w:szCs w:val="22"/>
              </w:rPr>
              <w:t>3.46</w:t>
            </w:r>
          </w:p>
        </w:tc>
        <w:tc>
          <w:tcPr>
            <w:tcW w:w="1334" w:type="dxa"/>
            <w:vAlign w:val="center"/>
          </w:tcPr>
          <w:p w14:paraId="0F8858E1" w14:textId="77777777" w:rsidR="00823DE2" w:rsidRPr="00823DE2" w:rsidRDefault="00823DE2" w:rsidP="00823DE2">
            <w:pPr>
              <w:jc w:val="right"/>
              <w:rPr>
                <w:color w:val="000000"/>
                <w:sz w:val="22"/>
                <w:szCs w:val="22"/>
              </w:rPr>
            </w:pPr>
            <w:r w:rsidRPr="00823DE2">
              <w:rPr>
                <w:color w:val="000000"/>
                <w:sz w:val="22"/>
                <w:szCs w:val="22"/>
              </w:rPr>
              <w:t>1.20</w:t>
            </w:r>
          </w:p>
        </w:tc>
      </w:tr>
      <w:tr w:rsidR="00823DE2" w:rsidRPr="00823DE2" w14:paraId="18583E41" w14:textId="77777777" w:rsidTr="00EC5E7A">
        <w:trPr>
          <w:trHeight w:hRule="exact" w:val="278"/>
        </w:trPr>
        <w:tc>
          <w:tcPr>
            <w:tcW w:w="5945" w:type="dxa"/>
            <w:shd w:val="clear" w:color="auto" w:fill="auto"/>
            <w:noWrap/>
            <w:tcMar>
              <w:top w:w="15" w:type="dxa"/>
              <w:left w:w="15" w:type="dxa"/>
              <w:bottom w:w="0" w:type="dxa"/>
              <w:right w:w="15" w:type="dxa"/>
            </w:tcMar>
          </w:tcPr>
          <w:p w14:paraId="6029DA0D"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Opportunities to discuss or brainstorm ideas</w:t>
            </w:r>
          </w:p>
        </w:tc>
        <w:tc>
          <w:tcPr>
            <w:tcW w:w="1552" w:type="dxa"/>
            <w:vAlign w:val="center"/>
          </w:tcPr>
          <w:p w14:paraId="409F0275" w14:textId="77777777" w:rsidR="00823DE2" w:rsidRPr="00823DE2" w:rsidRDefault="00823DE2" w:rsidP="00823DE2">
            <w:pPr>
              <w:jc w:val="right"/>
              <w:rPr>
                <w:color w:val="000000"/>
                <w:sz w:val="22"/>
                <w:szCs w:val="22"/>
              </w:rPr>
            </w:pPr>
            <w:r w:rsidRPr="00823DE2">
              <w:rPr>
                <w:color w:val="000000"/>
                <w:sz w:val="22"/>
                <w:szCs w:val="22"/>
              </w:rPr>
              <w:t>3.54</w:t>
            </w:r>
          </w:p>
        </w:tc>
        <w:tc>
          <w:tcPr>
            <w:tcW w:w="1334" w:type="dxa"/>
            <w:vAlign w:val="center"/>
          </w:tcPr>
          <w:p w14:paraId="2F2E2543" w14:textId="77777777" w:rsidR="00823DE2" w:rsidRPr="00823DE2" w:rsidRDefault="00823DE2" w:rsidP="00823DE2">
            <w:pPr>
              <w:jc w:val="right"/>
              <w:rPr>
                <w:color w:val="000000"/>
                <w:sz w:val="22"/>
                <w:szCs w:val="22"/>
              </w:rPr>
            </w:pPr>
            <w:r w:rsidRPr="00823DE2">
              <w:rPr>
                <w:color w:val="000000"/>
                <w:sz w:val="22"/>
                <w:szCs w:val="22"/>
              </w:rPr>
              <w:t>1.19</w:t>
            </w:r>
          </w:p>
        </w:tc>
      </w:tr>
      <w:tr w:rsidR="00823DE2" w:rsidRPr="00823DE2" w14:paraId="2B35EC57" w14:textId="77777777" w:rsidTr="00EC5E7A">
        <w:trPr>
          <w:trHeight w:hRule="exact" w:val="278"/>
        </w:trPr>
        <w:tc>
          <w:tcPr>
            <w:tcW w:w="5945" w:type="dxa"/>
            <w:shd w:val="clear" w:color="auto" w:fill="auto"/>
            <w:noWrap/>
            <w:tcMar>
              <w:top w:w="15" w:type="dxa"/>
              <w:left w:w="15" w:type="dxa"/>
              <w:bottom w:w="0" w:type="dxa"/>
              <w:right w:w="15" w:type="dxa"/>
            </w:tcMar>
          </w:tcPr>
          <w:p w14:paraId="0C58FEF6"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Education and training in entrepreneurship</w:t>
            </w:r>
          </w:p>
        </w:tc>
        <w:tc>
          <w:tcPr>
            <w:tcW w:w="1552" w:type="dxa"/>
            <w:vAlign w:val="center"/>
          </w:tcPr>
          <w:p w14:paraId="4D39D173" w14:textId="77777777" w:rsidR="00823DE2" w:rsidRPr="00823DE2" w:rsidRDefault="00823DE2" w:rsidP="00823DE2">
            <w:pPr>
              <w:jc w:val="right"/>
              <w:rPr>
                <w:color w:val="000000"/>
                <w:sz w:val="22"/>
                <w:szCs w:val="22"/>
              </w:rPr>
            </w:pPr>
            <w:r w:rsidRPr="00823DE2">
              <w:rPr>
                <w:color w:val="000000"/>
                <w:sz w:val="22"/>
                <w:szCs w:val="22"/>
              </w:rPr>
              <w:t>3.76</w:t>
            </w:r>
          </w:p>
        </w:tc>
        <w:tc>
          <w:tcPr>
            <w:tcW w:w="1334" w:type="dxa"/>
            <w:vAlign w:val="center"/>
          </w:tcPr>
          <w:p w14:paraId="3E24F774" w14:textId="77777777" w:rsidR="00823DE2" w:rsidRPr="00823DE2" w:rsidRDefault="00823DE2" w:rsidP="00823DE2">
            <w:pPr>
              <w:jc w:val="right"/>
              <w:rPr>
                <w:color w:val="000000"/>
                <w:sz w:val="22"/>
                <w:szCs w:val="22"/>
              </w:rPr>
            </w:pPr>
            <w:r w:rsidRPr="00823DE2">
              <w:rPr>
                <w:color w:val="000000"/>
                <w:sz w:val="22"/>
                <w:szCs w:val="22"/>
              </w:rPr>
              <w:t>1.12</w:t>
            </w:r>
          </w:p>
        </w:tc>
      </w:tr>
      <w:tr w:rsidR="00823DE2" w:rsidRPr="00823DE2" w14:paraId="556A7838" w14:textId="77777777" w:rsidTr="00EC5E7A">
        <w:trPr>
          <w:trHeight w:hRule="exact" w:val="278"/>
        </w:trPr>
        <w:tc>
          <w:tcPr>
            <w:tcW w:w="5945" w:type="dxa"/>
            <w:shd w:val="clear" w:color="auto" w:fill="auto"/>
            <w:noWrap/>
            <w:tcMar>
              <w:top w:w="15" w:type="dxa"/>
              <w:left w:w="15" w:type="dxa"/>
              <w:bottom w:w="0" w:type="dxa"/>
              <w:right w:w="15" w:type="dxa"/>
            </w:tcMar>
          </w:tcPr>
          <w:p w14:paraId="4EB89F38"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 xml:space="preserve">Encouragement and support from my family </w:t>
            </w:r>
            <w:r w:rsidRPr="00823DE2">
              <w:rPr>
                <w:color w:val="000000"/>
                <w:sz w:val="22"/>
                <w:szCs w:val="22"/>
              </w:rPr>
              <w:br/>
              <w:t xml:space="preserve">       and friends</w:t>
            </w:r>
          </w:p>
        </w:tc>
        <w:tc>
          <w:tcPr>
            <w:tcW w:w="1552" w:type="dxa"/>
            <w:vAlign w:val="center"/>
          </w:tcPr>
          <w:p w14:paraId="1BC10A7A" w14:textId="77777777" w:rsidR="00823DE2" w:rsidRPr="00823DE2" w:rsidRDefault="00823DE2" w:rsidP="00823DE2">
            <w:pPr>
              <w:jc w:val="right"/>
              <w:rPr>
                <w:color w:val="000000"/>
                <w:sz w:val="22"/>
                <w:szCs w:val="22"/>
              </w:rPr>
            </w:pPr>
            <w:r w:rsidRPr="00823DE2">
              <w:rPr>
                <w:color w:val="000000"/>
                <w:sz w:val="22"/>
                <w:szCs w:val="22"/>
              </w:rPr>
              <w:t>3.14</w:t>
            </w:r>
          </w:p>
        </w:tc>
        <w:tc>
          <w:tcPr>
            <w:tcW w:w="1334" w:type="dxa"/>
            <w:vAlign w:val="center"/>
          </w:tcPr>
          <w:p w14:paraId="57BBA9B5" w14:textId="77777777" w:rsidR="00823DE2" w:rsidRPr="00823DE2" w:rsidRDefault="00823DE2" w:rsidP="00823DE2">
            <w:pPr>
              <w:jc w:val="right"/>
              <w:rPr>
                <w:color w:val="000000"/>
                <w:sz w:val="22"/>
                <w:szCs w:val="22"/>
              </w:rPr>
            </w:pPr>
            <w:r w:rsidRPr="00823DE2">
              <w:rPr>
                <w:color w:val="000000"/>
                <w:sz w:val="22"/>
                <w:szCs w:val="22"/>
              </w:rPr>
              <w:t>1.33</w:t>
            </w:r>
          </w:p>
        </w:tc>
      </w:tr>
      <w:tr w:rsidR="00823DE2" w:rsidRPr="00823DE2" w14:paraId="621D48DB" w14:textId="77777777" w:rsidTr="00EC5E7A">
        <w:trPr>
          <w:trHeight w:hRule="exact" w:val="278"/>
        </w:trPr>
        <w:tc>
          <w:tcPr>
            <w:tcW w:w="5945" w:type="dxa"/>
            <w:shd w:val="clear" w:color="auto" w:fill="auto"/>
            <w:noWrap/>
            <w:tcMar>
              <w:top w:w="15" w:type="dxa"/>
              <w:left w:w="15" w:type="dxa"/>
              <w:bottom w:w="0" w:type="dxa"/>
              <w:right w:w="15" w:type="dxa"/>
            </w:tcMar>
          </w:tcPr>
          <w:p w14:paraId="7092D2A9" w14:textId="77777777" w:rsidR="00823DE2" w:rsidRPr="00823DE2" w:rsidRDefault="00823DE2" w:rsidP="00823DE2">
            <w:pPr>
              <w:rPr>
                <w:color w:val="000000"/>
                <w:sz w:val="22"/>
                <w:szCs w:val="22"/>
              </w:rPr>
            </w:pPr>
            <w:r w:rsidRPr="00823DE2">
              <w:rPr>
                <w:color w:val="000000"/>
                <w:sz w:val="22"/>
                <w:szCs w:val="22"/>
              </w:rPr>
              <w:tab/>
              <w:t>Policy</w:t>
            </w:r>
          </w:p>
        </w:tc>
        <w:tc>
          <w:tcPr>
            <w:tcW w:w="1552" w:type="dxa"/>
            <w:vAlign w:val="center"/>
          </w:tcPr>
          <w:p w14:paraId="4BA880D3" w14:textId="77777777" w:rsidR="00823DE2" w:rsidRPr="00823DE2" w:rsidRDefault="00823DE2" w:rsidP="00823DE2">
            <w:pPr>
              <w:jc w:val="right"/>
              <w:rPr>
                <w:b/>
                <w:color w:val="000000"/>
                <w:sz w:val="22"/>
                <w:szCs w:val="22"/>
              </w:rPr>
            </w:pPr>
            <w:r w:rsidRPr="00823DE2">
              <w:rPr>
                <w:rFonts w:eastAsia="Calibri"/>
                <w:b/>
                <w:color w:val="000000"/>
                <w:sz w:val="22"/>
                <w:szCs w:val="22"/>
                <w:lang w:eastAsia="en-US"/>
              </w:rPr>
              <w:t>2.40</w:t>
            </w:r>
          </w:p>
        </w:tc>
        <w:tc>
          <w:tcPr>
            <w:tcW w:w="1334" w:type="dxa"/>
            <w:vAlign w:val="center"/>
          </w:tcPr>
          <w:p w14:paraId="1A62F9FE" w14:textId="77777777" w:rsidR="00823DE2" w:rsidRPr="00823DE2" w:rsidRDefault="00823DE2" w:rsidP="00823DE2">
            <w:pPr>
              <w:jc w:val="right"/>
              <w:rPr>
                <w:b/>
                <w:color w:val="000000"/>
                <w:sz w:val="22"/>
                <w:szCs w:val="22"/>
              </w:rPr>
            </w:pPr>
            <w:r w:rsidRPr="00823DE2">
              <w:rPr>
                <w:rFonts w:eastAsia="Calibri"/>
                <w:b/>
                <w:color w:val="000000"/>
                <w:sz w:val="22"/>
                <w:szCs w:val="22"/>
                <w:lang w:eastAsia="en-US"/>
              </w:rPr>
              <w:t>1.36</w:t>
            </w:r>
          </w:p>
        </w:tc>
      </w:tr>
      <w:tr w:rsidR="00823DE2" w:rsidRPr="00823DE2" w14:paraId="0519C3C9" w14:textId="77777777" w:rsidTr="00EC5E7A">
        <w:trPr>
          <w:trHeight w:hRule="exact" w:val="278"/>
        </w:trPr>
        <w:tc>
          <w:tcPr>
            <w:tcW w:w="5945" w:type="dxa"/>
            <w:shd w:val="clear" w:color="auto" w:fill="auto"/>
            <w:noWrap/>
            <w:tcMar>
              <w:top w:w="15" w:type="dxa"/>
              <w:left w:w="15" w:type="dxa"/>
              <w:bottom w:w="0" w:type="dxa"/>
              <w:right w:w="15" w:type="dxa"/>
            </w:tcMar>
          </w:tcPr>
          <w:p w14:paraId="1880F39F"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Changes to visa policy</w:t>
            </w:r>
          </w:p>
        </w:tc>
        <w:tc>
          <w:tcPr>
            <w:tcW w:w="1552" w:type="dxa"/>
            <w:vAlign w:val="center"/>
          </w:tcPr>
          <w:p w14:paraId="260ECA1E" w14:textId="77777777" w:rsidR="00823DE2" w:rsidRPr="00823DE2" w:rsidRDefault="00823DE2" w:rsidP="00823DE2">
            <w:pPr>
              <w:jc w:val="right"/>
              <w:rPr>
                <w:color w:val="000000"/>
                <w:sz w:val="22"/>
                <w:szCs w:val="22"/>
              </w:rPr>
            </w:pPr>
            <w:r w:rsidRPr="00823DE2">
              <w:rPr>
                <w:color w:val="000000"/>
                <w:sz w:val="22"/>
                <w:szCs w:val="22"/>
              </w:rPr>
              <w:t>2.16</w:t>
            </w:r>
          </w:p>
        </w:tc>
        <w:tc>
          <w:tcPr>
            <w:tcW w:w="1334" w:type="dxa"/>
            <w:vAlign w:val="center"/>
          </w:tcPr>
          <w:p w14:paraId="206CB2F2" w14:textId="77777777" w:rsidR="00823DE2" w:rsidRPr="00823DE2" w:rsidRDefault="00823DE2" w:rsidP="00823DE2">
            <w:pPr>
              <w:jc w:val="right"/>
              <w:rPr>
                <w:color w:val="000000"/>
                <w:sz w:val="22"/>
                <w:szCs w:val="22"/>
              </w:rPr>
            </w:pPr>
            <w:r w:rsidRPr="00823DE2">
              <w:rPr>
                <w:color w:val="000000"/>
                <w:sz w:val="22"/>
                <w:szCs w:val="22"/>
              </w:rPr>
              <w:t>1.49</w:t>
            </w:r>
          </w:p>
        </w:tc>
      </w:tr>
      <w:tr w:rsidR="00823DE2" w:rsidRPr="00823DE2" w14:paraId="3B1273B5" w14:textId="77777777" w:rsidTr="00EC5E7A">
        <w:trPr>
          <w:trHeight w:hRule="exact" w:val="278"/>
        </w:trPr>
        <w:tc>
          <w:tcPr>
            <w:tcW w:w="5945" w:type="dxa"/>
            <w:shd w:val="clear" w:color="auto" w:fill="auto"/>
            <w:noWrap/>
            <w:tcMar>
              <w:top w:w="15" w:type="dxa"/>
              <w:left w:w="15" w:type="dxa"/>
              <w:bottom w:w="0" w:type="dxa"/>
              <w:right w:w="15" w:type="dxa"/>
            </w:tcMar>
          </w:tcPr>
          <w:p w14:paraId="4878AFA4"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Changes to government policy</w:t>
            </w:r>
          </w:p>
        </w:tc>
        <w:tc>
          <w:tcPr>
            <w:tcW w:w="1552" w:type="dxa"/>
            <w:vAlign w:val="center"/>
          </w:tcPr>
          <w:p w14:paraId="58F6F434" w14:textId="77777777" w:rsidR="00823DE2" w:rsidRPr="00823DE2" w:rsidRDefault="00823DE2" w:rsidP="00823DE2">
            <w:pPr>
              <w:jc w:val="right"/>
              <w:rPr>
                <w:color w:val="000000"/>
                <w:sz w:val="22"/>
                <w:szCs w:val="22"/>
              </w:rPr>
            </w:pPr>
            <w:r w:rsidRPr="00823DE2">
              <w:rPr>
                <w:color w:val="000000"/>
                <w:sz w:val="22"/>
                <w:szCs w:val="22"/>
              </w:rPr>
              <w:t>2.65</w:t>
            </w:r>
          </w:p>
        </w:tc>
        <w:tc>
          <w:tcPr>
            <w:tcW w:w="1334" w:type="dxa"/>
            <w:vAlign w:val="center"/>
          </w:tcPr>
          <w:p w14:paraId="15034FA0" w14:textId="77777777" w:rsidR="00823DE2" w:rsidRPr="00823DE2" w:rsidRDefault="00823DE2" w:rsidP="00823DE2">
            <w:pPr>
              <w:jc w:val="right"/>
              <w:rPr>
                <w:color w:val="000000"/>
                <w:sz w:val="22"/>
                <w:szCs w:val="22"/>
              </w:rPr>
            </w:pPr>
            <w:r w:rsidRPr="00823DE2">
              <w:rPr>
                <w:color w:val="000000"/>
                <w:sz w:val="22"/>
                <w:szCs w:val="22"/>
              </w:rPr>
              <w:t>1.47</w:t>
            </w:r>
          </w:p>
        </w:tc>
      </w:tr>
      <w:tr w:rsidR="00823DE2" w:rsidRPr="00823DE2" w14:paraId="29A9A985" w14:textId="77777777" w:rsidTr="00EC5E7A">
        <w:trPr>
          <w:trHeight w:hRule="exact" w:val="278"/>
        </w:trPr>
        <w:tc>
          <w:tcPr>
            <w:tcW w:w="5945" w:type="dxa"/>
            <w:shd w:val="clear" w:color="auto" w:fill="auto"/>
            <w:noWrap/>
            <w:tcMar>
              <w:top w:w="15" w:type="dxa"/>
              <w:left w:w="15" w:type="dxa"/>
              <w:bottom w:w="0" w:type="dxa"/>
              <w:right w:w="15" w:type="dxa"/>
            </w:tcMar>
          </w:tcPr>
          <w:p w14:paraId="4DEDC4A3" w14:textId="77777777" w:rsidR="00823DE2" w:rsidRPr="00823DE2" w:rsidRDefault="00823DE2" w:rsidP="00823DE2">
            <w:pPr>
              <w:rPr>
                <w:color w:val="000000"/>
                <w:sz w:val="22"/>
                <w:szCs w:val="22"/>
              </w:rPr>
            </w:pPr>
            <w:r w:rsidRPr="00823DE2">
              <w:rPr>
                <w:color w:val="000000"/>
                <w:sz w:val="22"/>
                <w:szCs w:val="22"/>
              </w:rPr>
              <w:tab/>
              <w:t>Implementation</w:t>
            </w:r>
          </w:p>
        </w:tc>
        <w:tc>
          <w:tcPr>
            <w:tcW w:w="1552" w:type="dxa"/>
            <w:vAlign w:val="center"/>
          </w:tcPr>
          <w:p w14:paraId="359D91E8" w14:textId="77777777" w:rsidR="00823DE2" w:rsidRPr="00823DE2" w:rsidRDefault="00823DE2" w:rsidP="00823DE2">
            <w:pPr>
              <w:jc w:val="right"/>
              <w:rPr>
                <w:b/>
                <w:color w:val="000000"/>
                <w:sz w:val="22"/>
                <w:szCs w:val="22"/>
              </w:rPr>
            </w:pPr>
            <w:r w:rsidRPr="00823DE2">
              <w:rPr>
                <w:rFonts w:eastAsia="Calibri"/>
                <w:b/>
                <w:color w:val="000000"/>
                <w:sz w:val="22"/>
                <w:szCs w:val="22"/>
                <w:lang w:eastAsia="en-US"/>
              </w:rPr>
              <w:t>3.97</w:t>
            </w:r>
          </w:p>
        </w:tc>
        <w:tc>
          <w:tcPr>
            <w:tcW w:w="1334" w:type="dxa"/>
            <w:vAlign w:val="center"/>
          </w:tcPr>
          <w:p w14:paraId="78F3524F" w14:textId="77777777" w:rsidR="00823DE2" w:rsidRPr="00823DE2" w:rsidRDefault="00823DE2" w:rsidP="00823DE2">
            <w:pPr>
              <w:jc w:val="right"/>
              <w:rPr>
                <w:b/>
                <w:color w:val="000000"/>
                <w:sz w:val="22"/>
                <w:szCs w:val="22"/>
              </w:rPr>
            </w:pPr>
            <w:r w:rsidRPr="00823DE2">
              <w:rPr>
                <w:rFonts w:eastAsia="Calibri"/>
                <w:b/>
                <w:color w:val="000000"/>
                <w:sz w:val="22"/>
                <w:szCs w:val="22"/>
                <w:lang w:eastAsia="en-US"/>
              </w:rPr>
              <w:t>0.80</w:t>
            </w:r>
          </w:p>
        </w:tc>
      </w:tr>
      <w:tr w:rsidR="00823DE2" w:rsidRPr="00823DE2" w14:paraId="1CCCBBDF" w14:textId="77777777" w:rsidTr="00EC5E7A">
        <w:trPr>
          <w:trHeight w:hRule="exact" w:val="278"/>
        </w:trPr>
        <w:tc>
          <w:tcPr>
            <w:tcW w:w="5945" w:type="dxa"/>
            <w:shd w:val="clear" w:color="auto" w:fill="auto"/>
            <w:noWrap/>
            <w:tcMar>
              <w:top w:w="15" w:type="dxa"/>
              <w:left w:w="15" w:type="dxa"/>
              <w:bottom w:w="0" w:type="dxa"/>
              <w:right w:w="15" w:type="dxa"/>
            </w:tcMar>
          </w:tcPr>
          <w:p w14:paraId="6CD920DD"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Help connecting to relevant industry</w:t>
            </w:r>
          </w:p>
        </w:tc>
        <w:tc>
          <w:tcPr>
            <w:tcW w:w="1552" w:type="dxa"/>
            <w:vAlign w:val="center"/>
          </w:tcPr>
          <w:p w14:paraId="60CEBE69" w14:textId="77777777" w:rsidR="00823DE2" w:rsidRPr="00823DE2" w:rsidRDefault="00823DE2" w:rsidP="00823DE2">
            <w:pPr>
              <w:jc w:val="right"/>
              <w:rPr>
                <w:color w:val="000000"/>
                <w:sz w:val="22"/>
                <w:szCs w:val="22"/>
              </w:rPr>
            </w:pPr>
            <w:r w:rsidRPr="00823DE2">
              <w:rPr>
                <w:color w:val="000000"/>
                <w:sz w:val="22"/>
                <w:szCs w:val="22"/>
              </w:rPr>
              <w:t>4.04</w:t>
            </w:r>
          </w:p>
        </w:tc>
        <w:tc>
          <w:tcPr>
            <w:tcW w:w="1334" w:type="dxa"/>
            <w:vAlign w:val="center"/>
          </w:tcPr>
          <w:p w14:paraId="766BB35C" w14:textId="77777777" w:rsidR="00823DE2" w:rsidRPr="00823DE2" w:rsidRDefault="00823DE2" w:rsidP="00823DE2">
            <w:pPr>
              <w:jc w:val="right"/>
              <w:rPr>
                <w:color w:val="000000"/>
                <w:sz w:val="22"/>
                <w:szCs w:val="22"/>
              </w:rPr>
            </w:pPr>
            <w:r w:rsidRPr="00823DE2">
              <w:rPr>
                <w:color w:val="000000"/>
                <w:sz w:val="22"/>
                <w:szCs w:val="22"/>
              </w:rPr>
              <w:t>0.90</w:t>
            </w:r>
          </w:p>
        </w:tc>
      </w:tr>
      <w:tr w:rsidR="00823DE2" w:rsidRPr="00823DE2" w14:paraId="4A105842" w14:textId="77777777" w:rsidTr="00EC5E7A">
        <w:trPr>
          <w:trHeight w:hRule="exact" w:val="278"/>
        </w:trPr>
        <w:tc>
          <w:tcPr>
            <w:tcW w:w="5945" w:type="dxa"/>
            <w:shd w:val="clear" w:color="auto" w:fill="auto"/>
            <w:noWrap/>
            <w:tcMar>
              <w:top w:w="15" w:type="dxa"/>
              <w:left w:w="15" w:type="dxa"/>
              <w:bottom w:w="0" w:type="dxa"/>
              <w:right w:w="15" w:type="dxa"/>
            </w:tcMar>
          </w:tcPr>
          <w:p w14:paraId="75501FC4"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Financial support</w:t>
            </w:r>
          </w:p>
        </w:tc>
        <w:tc>
          <w:tcPr>
            <w:tcW w:w="1552" w:type="dxa"/>
            <w:vAlign w:val="center"/>
          </w:tcPr>
          <w:p w14:paraId="1DDFA687" w14:textId="77777777" w:rsidR="00823DE2" w:rsidRPr="00823DE2" w:rsidRDefault="00823DE2" w:rsidP="00823DE2">
            <w:pPr>
              <w:jc w:val="right"/>
              <w:rPr>
                <w:color w:val="000000"/>
                <w:sz w:val="22"/>
                <w:szCs w:val="22"/>
              </w:rPr>
            </w:pPr>
            <w:r w:rsidRPr="00823DE2">
              <w:rPr>
                <w:color w:val="000000"/>
                <w:sz w:val="22"/>
                <w:szCs w:val="22"/>
              </w:rPr>
              <w:t>3.95</w:t>
            </w:r>
          </w:p>
        </w:tc>
        <w:tc>
          <w:tcPr>
            <w:tcW w:w="1334" w:type="dxa"/>
            <w:vAlign w:val="center"/>
          </w:tcPr>
          <w:p w14:paraId="28045A7E" w14:textId="77777777" w:rsidR="00823DE2" w:rsidRPr="00823DE2" w:rsidRDefault="00823DE2" w:rsidP="00823DE2">
            <w:pPr>
              <w:jc w:val="right"/>
              <w:rPr>
                <w:color w:val="000000"/>
                <w:sz w:val="22"/>
                <w:szCs w:val="22"/>
              </w:rPr>
            </w:pPr>
            <w:r w:rsidRPr="00823DE2">
              <w:rPr>
                <w:color w:val="000000"/>
                <w:sz w:val="22"/>
                <w:szCs w:val="22"/>
              </w:rPr>
              <w:t>1.06</w:t>
            </w:r>
          </w:p>
        </w:tc>
      </w:tr>
      <w:tr w:rsidR="00823DE2" w:rsidRPr="00823DE2" w14:paraId="0CE832B7" w14:textId="77777777" w:rsidTr="00EC5E7A">
        <w:trPr>
          <w:trHeight w:hRule="exact" w:val="278"/>
        </w:trPr>
        <w:tc>
          <w:tcPr>
            <w:tcW w:w="5945" w:type="dxa"/>
            <w:tcBorders>
              <w:bottom w:val="single" w:sz="4" w:space="0" w:color="auto"/>
            </w:tcBorders>
            <w:shd w:val="clear" w:color="auto" w:fill="auto"/>
            <w:noWrap/>
            <w:tcMar>
              <w:top w:w="15" w:type="dxa"/>
              <w:left w:w="15" w:type="dxa"/>
              <w:bottom w:w="0" w:type="dxa"/>
              <w:right w:w="15" w:type="dxa"/>
            </w:tcMar>
          </w:tcPr>
          <w:p w14:paraId="7016B690" w14:textId="77777777" w:rsidR="00823DE2" w:rsidRPr="00823DE2" w:rsidRDefault="00823DE2" w:rsidP="00823DE2">
            <w:pPr>
              <w:rPr>
                <w:color w:val="000000"/>
                <w:sz w:val="22"/>
                <w:szCs w:val="22"/>
              </w:rPr>
            </w:pPr>
            <w:r w:rsidRPr="00823DE2">
              <w:rPr>
                <w:color w:val="000000"/>
                <w:sz w:val="22"/>
                <w:szCs w:val="22"/>
              </w:rPr>
              <w:tab/>
            </w:r>
            <w:r w:rsidRPr="00823DE2">
              <w:rPr>
                <w:color w:val="000000"/>
                <w:sz w:val="22"/>
                <w:szCs w:val="22"/>
              </w:rPr>
              <w:tab/>
              <w:t>Mentoring</w:t>
            </w:r>
          </w:p>
        </w:tc>
        <w:tc>
          <w:tcPr>
            <w:tcW w:w="1552" w:type="dxa"/>
            <w:tcBorders>
              <w:bottom w:val="single" w:sz="4" w:space="0" w:color="auto"/>
            </w:tcBorders>
            <w:vAlign w:val="center"/>
          </w:tcPr>
          <w:p w14:paraId="3266A34E" w14:textId="77777777" w:rsidR="00823DE2" w:rsidRPr="00823DE2" w:rsidRDefault="00823DE2" w:rsidP="00823DE2">
            <w:pPr>
              <w:jc w:val="right"/>
              <w:rPr>
                <w:color w:val="000000"/>
                <w:sz w:val="22"/>
                <w:szCs w:val="22"/>
              </w:rPr>
            </w:pPr>
            <w:r w:rsidRPr="00823DE2">
              <w:rPr>
                <w:color w:val="000000"/>
                <w:sz w:val="22"/>
                <w:szCs w:val="22"/>
              </w:rPr>
              <w:t>3.91</w:t>
            </w:r>
          </w:p>
        </w:tc>
        <w:tc>
          <w:tcPr>
            <w:tcW w:w="1334" w:type="dxa"/>
            <w:tcBorders>
              <w:bottom w:val="single" w:sz="4" w:space="0" w:color="auto"/>
            </w:tcBorders>
            <w:vAlign w:val="center"/>
          </w:tcPr>
          <w:p w14:paraId="2693BDE1" w14:textId="77777777" w:rsidR="00823DE2" w:rsidRPr="00823DE2" w:rsidRDefault="00823DE2" w:rsidP="00823DE2">
            <w:pPr>
              <w:jc w:val="right"/>
              <w:rPr>
                <w:color w:val="000000"/>
                <w:sz w:val="22"/>
                <w:szCs w:val="22"/>
              </w:rPr>
            </w:pPr>
            <w:r w:rsidRPr="00823DE2">
              <w:rPr>
                <w:color w:val="000000"/>
                <w:sz w:val="22"/>
                <w:szCs w:val="22"/>
              </w:rPr>
              <w:t>1.05</w:t>
            </w:r>
          </w:p>
        </w:tc>
      </w:tr>
    </w:tbl>
    <w:p w14:paraId="42EE3F04" w14:textId="0AA5A025" w:rsidR="001573D8" w:rsidRPr="00FF4524" w:rsidRDefault="00823DE2" w:rsidP="00FF4524">
      <w:pPr>
        <w:pStyle w:val="Paragraph"/>
      </w:pPr>
      <w:r w:rsidRPr="00823DE2">
        <w:t>External barriers</w:t>
      </w:r>
      <w:r w:rsidR="001573D8">
        <w:t xml:space="preserve"> comprising </w:t>
      </w:r>
      <w:r w:rsidR="001573D8" w:rsidRPr="00C67ABF">
        <w:rPr>
          <w:i/>
        </w:rPr>
        <w:t>lack of knowledge</w:t>
      </w:r>
      <w:r w:rsidR="001573D8">
        <w:t xml:space="preserve">, </w:t>
      </w:r>
      <w:r w:rsidR="001573D8" w:rsidRPr="00C67ABF">
        <w:rPr>
          <w:i/>
        </w:rPr>
        <w:t>contacts</w:t>
      </w:r>
      <w:r w:rsidR="001573D8">
        <w:t xml:space="preserve">, </w:t>
      </w:r>
      <w:r w:rsidR="001573D8" w:rsidRPr="00C67ABF">
        <w:rPr>
          <w:i/>
        </w:rPr>
        <w:t xml:space="preserve">finance </w:t>
      </w:r>
      <w:r w:rsidR="001573D8">
        <w:t xml:space="preserve">and </w:t>
      </w:r>
      <w:r w:rsidR="001573D8" w:rsidRPr="00C67ABF">
        <w:rPr>
          <w:i/>
        </w:rPr>
        <w:t>support</w:t>
      </w:r>
      <w:r w:rsidRPr="00823DE2">
        <w:t xml:space="preserve"> scored the highest at scale level. </w:t>
      </w:r>
      <w:r w:rsidR="00D81EFA">
        <w:rPr>
          <w:lang w:val="en-US"/>
        </w:rPr>
        <w:t>T</w:t>
      </w:r>
      <w:r w:rsidR="00C52561">
        <w:rPr>
          <w:lang w:val="en-US"/>
        </w:rPr>
        <w:t>he</w:t>
      </w:r>
      <w:r w:rsidR="00C52561" w:rsidRPr="00E01A9C">
        <w:rPr>
          <w:lang w:val="en-US"/>
        </w:rPr>
        <w:t xml:space="preserve"> barrier</w:t>
      </w:r>
      <w:r w:rsidR="00C52561">
        <w:rPr>
          <w:lang w:val="en-US"/>
        </w:rPr>
        <w:t xml:space="preserve"> with the highest mean value wa</w:t>
      </w:r>
      <w:r w:rsidR="00C52561" w:rsidRPr="00E01A9C">
        <w:rPr>
          <w:lang w:val="en-US"/>
        </w:rPr>
        <w:t xml:space="preserve">s </w:t>
      </w:r>
      <w:r w:rsidR="00C52561" w:rsidRPr="00C52561">
        <w:rPr>
          <w:i/>
          <w:lang w:val="en-US"/>
        </w:rPr>
        <w:t>lack of</w:t>
      </w:r>
      <w:r w:rsidR="00C52561">
        <w:rPr>
          <w:lang w:val="en-US"/>
        </w:rPr>
        <w:t xml:space="preserve"> </w:t>
      </w:r>
      <w:r w:rsidR="00C52561" w:rsidRPr="00D41A15">
        <w:rPr>
          <w:i/>
          <w:lang w:val="en-US"/>
        </w:rPr>
        <w:t>finance</w:t>
      </w:r>
      <w:r w:rsidR="001573D8">
        <w:rPr>
          <w:i/>
          <w:lang w:val="en-US"/>
        </w:rPr>
        <w:t xml:space="preserve"> </w:t>
      </w:r>
      <w:r w:rsidR="001573D8" w:rsidRPr="00823DE2">
        <w:t>(mean=4.02; SD=1.03)</w:t>
      </w:r>
      <w:r w:rsidR="00C52561">
        <w:rPr>
          <w:lang w:val="en-US"/>
        </w:rPr>
        <w:t xml:space="preserve">. </w:t>
      </w:r>
      <w:r w:rsidR="00C52561" w:rsidRPr="00E01A9C">
        <w:rPr>
          <w:lang w:val="en-AU" w:eastAsia="en-AU"/>
        </w:rPr>
        <w:t xml:space="preserve">This finding is consistent with research </w:t>
      </w:r>
      <w:r w:rsidR="00AE794D">
        <w:rPr>
          <w:lang w:val="en-AU" w:eastAsia="en-AU"/>
        </w:rPr>
        <w:t>cited earlier</w:t>
      </w:r>
      <w:r w:rsidR="00C52561" w:rsidRPr="00E01A9C">
        <w:rPr>
          <w:lang w:val="en-AU" w:eastAsia="en-AU"/>
        </w:rPr>
        <w:t xml:space="preserve">. </w:t>
      </w:r>
      <w:r w:rsidR="00C52561">
        <w:t xml:space="preserve">In the technology sector, concern about running out of money has been found to </w:t>
      </w:r>
      <w:r w:rsidR="004E3CA7">
        <w:t xml:space="preserve">affect attitudes and </w:t>
      </w:r>
      <w:r w:rsidR="00C52561">
        <w:t xml:space="preserve">encourage fast-paced technology start-ups (Stayton &amp; </w:t>
      </w:r>
      <w:proofErr w:type="spellStart"/>
      <w:r w:rsidR="00C52561">
        <w:t>Ma</w:t>
      </w:r>
      <w:r w:rsidR="004A03E6">
        <w:t>ngematin</w:t>
      </w:r>
      <w:proofErr w:type="spellEnd"/>
      <w:r w:rsidR="00C52561">
        <w:t xml:space="preserve"> 2016). </w:t>
      </w:r>
      <w:r w:rsidR="001573D8" w:rsidRPr="00FF4524">
        <w:rPr>
          <w:lang w:val="en-AU" w:eastAsia="en-AU"/>
        </w:rPr>
        <w:t xml:space="preserve">Finance as a barrier was followed </w:t>
      </w:r>
      <w:r w:rsidR="001573D8" w:rsidRPr="00FF4524">
        <w:t>by a lack of industry contacts (mean=3.80; SD=1.08).</w:t>
      </w:r>
      <w:r w:rsidR="00901C77" w:rsidRPr="00FF4524">
        <w:t xml:space="preserve"> This echoes findings from elsewhere</w:t>
      </w:r>
      <w:r w:rsidR="007F20DD">
        <w:t xml:space="preserve">, </w:t>
      </w:r>
      <w:r w:rsidR="00C57600" w:rsidRPr="00FF4524">
        <w:t>for example</w:t>
      </w:r>
      <w:r w:rsidR="007F20DD">
        <w:t xml:space="preserve"> in a Malaysian context (</w:t>
      </w:r>
      <w:r w:rsidR="00C57600" w:rsidRPr="00FF4524">
        <w:t xml:space="preserve"> </w:t>
      </w:r>
      <w:r w:rsidR="007A2E96" w:rsidRPr="00FF4524">
        <w:fldChar w:fldCharType="begin" w:fldLock="1"/>
      </w:r>
      <w:r w:rsidR="00F35135">
        <w:instrText>ADDIN CSL_CITATION {"citationItems":[{"id":"ITEM-1","itemData":{"DOI":"10.1108/13552551111139656","ISSN":"1355-2554","author":[{"dropping-particle":"","family":"Singh Sandhu","given":"Manjit","non-dropping-particle":"","parse-names":false,"suffix":""},{"dropping-particle":"","family":"Fahmi Sidique","given":"Shaufique","non-dropping-particle":"","parse-names":false,"suffix":""},{"dropping-particle":"","family":"Riaz","given":"Shoaib","non-dropping-particle":"","parse-names":false,"suffix":""}],"container-title":"International Journal of Entrepreneurial Behavior &amp; Research","id":"ITEM-1","issue":"4","issued":{"date-parts":[["2011","6","14"]]},"page":"428-449","title":"Entrepreneurship barriers and entrepreneurial inclination among Malaysian postgraduate students","type":"article-journal","volume":"17"},"uris":["http://www.mendeley.com/documents/?uuid=ca2e2902-2c49-4de8-8fac-e20f36f7e410"]}],"mendeley":{"formattedCitation":"(Singh Sandhu, Fahmi Sidique, and Riaz 2011)","manualFormatting":"Singh Sandhu, Fahmi Sidique, and Riaz 2011)","plainTextFormattedCitation":"(Singh Sandhu, Fahmi Sidique, and Riaz 2011)","previouslyFormattedCitation":"(Singh Sandhu, Fahmi Sidique, and Riaz 2011)"},"properties":{"noteIndex":0},"schema":"https://github.com/citation-style-language/schema/raw/master/csl-citation.json"}</w:instrText>
      </w:r>
      <w:r w:rsidR="007A2E96" w:rsidRPr="00FF4524">
        <w:fldChar w:fldCharType="separate"/>
      </w:r>
      <w:r w:rsidR="007A2E96" w:rsidRPr="00FF4524">
        <w:rPr>
          <w:noProof/>
        </w:rPr>
        <w:t>Singh Sandhu, Fahmi Sidique, and Riaz 2011)</w:t>
      </w:r>
      <w:r w:rsidR="007A2E96" w:rsidRPr="00FF4524">
        <w:fldChar w:fldCharType="end"/>
      </w:r>
      <w:r w:rsidR="00C57600" w:rsidRPr="00FF4524">
        <w:t>.</w:t>
      </w:r>
      <w:r w:rsidR="00901C77" w:rsidRPr="00FF4524">
        <w:t xml:space="preserve"> </w:t>
      </w:r>
    </w:p>
    <w:p w14:paraId="48F4608F" w14:textId="43C89AF1" w:rsidR="00661B91" w:rsidRDefault="00D81EFA" w:rsidP="00FF4524">
      <w:pPr>
        <w:pStyle w:val="Paragraph"/>
      </w:pPr>
      <w:r>
        <w:t>T</w:t>
      </w:r>
      <w:r w:rsidR="00823DE2" w:rsidRPr="00FF4524">
        <w:t>he three items related to implementation of business ideas scored</w:t>
      </w:r>
      <w:r w:rsidR="00823DE2" w:rsidRPr="00823DE2">
        <w:t xml:space="preserve"> the highest</w:t>
      </w:r>
      <w:r>
        <w:t xml:space="preserve"> as enablers</w:t>
      </w:r>
      <w:r w:rsidR="00823DE2" w:rsidRPr="00823DE2">
        <w:t xml:space="preserve">. Help </w:t>
      </w:r>
      <w:r w:rsidR="00823DE2" w:rsidRPr="007C4246">
        <w:rPr>
          <w:i/>
        </w:rPr>
        <w:t xml:space="preserve">connecting to </w:t>
      </w:r>
      <w:r w:rsidR="00823DE2" w:rsidRPr="00D81EFA">
        <w:rPr>
          <w:i/>
        </w:rPr>
        <w:t xml:space="preserve">relevant </w:t>
      </w:r>
      <w:r w:rsidR="00823DE2" w:rsidRPr="00C67ABF">
        <w:rPr>
          <w:i/>
        </w:rPr>
        <w:t>industry</w:t>
      </w:r>
      <w:r w:rsidR="00823DE2" w:rsidRPr="00823DE2">
        <w:t xml:space="preserve"> (mean=4.04; SD=.90), </w:t>
      </w:r>
      <w:r w:rsidR="00823DE2" w:rsidRPr="007C4246">
        <w:rPr>
          <w:i/>
        </w:rPr>
        <w:t>financial support</w:t>
      </w:r>
      <w:r w:rsidR="00823DE2" w:rsidRPr="00823DE2">
        <w:t xml:space="preserve"> (mean=3.95; SD=1.06) and </w:t>
      </w:r>
      <w:r w:rsidR="00823DE2" w:rsidRPr="007C4246">
        <w:rPr>
          <w:i/>
        </w:rPr>
        <w:t>mentoring</w:t>
      </w:r>
      <w:r w:rsidR="00823DE2" w:rsidRPr="00823DE2">
        <w:t xml:space="preserve"> (mean=3.91; SD=1.05) were the three top factors identified by </w:t>
      </w:r>
      <w:r w:rsidR="00AE794D">
        <w:t>participants</w:t>
      </w:r>
      <w:r w:rsidR="00823DE2" w:rsidRPr="00823DE2">
        <w:t xml:space="preserve"> to provide encouragement to take up entrepreneurship.</w:t>
      </w:r>
      <w:r w:rsidR="007C4246">
        <w:t xml:space="preserve"> These </w:t>
      </w:r>
      <w:r w:rsidR="007C4246" w:rsidRPr="00FF4524">
        <w:t>factors have been identified elsewhere (</w:t>
      </w:r>
      <w:r w:rsidR="009F72D8" w:rsidRPr="00FF4524">
        <w:t>for example</w:t>
      </w:r>
      <w:r w:rsidR="00AE794D">
        <w:t>,</w:t>
      </w:r>
      <w:r w:rsidR="007A2E96" w:rsidRPr="00FF4524">
        <w:t xml:space="preserve"> </w:t>
      </w:r>
      <w:r w:rsidR="007A2E96" w:rsidRPr="00FF4524">
        <w:fldChar w:fldCharType="begin" w:fldLock="1"/>
      </w:r>
      <w:r w:rsidR="00F35135">
        <w:instrText>ADDIN CSL_CITATION {"citationItems":[{"id":"ITEM-1","itemData":{"DOI":"10.1108/00400911111185044","ISSN":"0040-0912","author":[{"dropping-particle":"","family":"Smith","given":"Kelly","non-dropping-particle":"","parse-names":false,"suffix":""},{"dropping-particle":"","family":"Beasley","given":"Martin","non-dropping-particle":"","parse-names":false,"suffix":""}],"container-title":"Education + Training","editor":[{"dropping-particle":"","family":"Matlay","given":"Harry","non-dropping-particle":"","parse-names":false,"suffix":""}],"id":"ITEM-1","issue":"8/9","issued":{"date-parts":[["2011","11","22"]]},"page":"722-740","title":"Graduate entrepreneurs: intentions, barriers and solutions","type":"article-journal","volume":"53"},"uris":["http://www.mendeley.com/documents/?uuid=911bd13d-52bd-4760-ad6f-5d51ae99c0a0"]}],"mendeley":{"formattedCitation":"(Smith and Beasley 2011)","manualFormatting":"Smith and Beasley 2011)","plainTextFormattedCitation":"(Smith and Beasley 2011)","previouslyFormattedCitation":"(Smith and Beasley 2011)"},"properties":{"noteIndex":0},"schema":"https://github.com/citation-style-language/schema/raw/master/csl-citation.json"}</w:instrText>
      </w:r>
      <w:r w:rsidR="007A2E96" w:rsidRPr="00FF4524">
        <w:fldChar w:fldCharType="separate"/>
      </w:r>
      <w:r w:rsidR="007A2E96" w:rsidRPr="00FF4524">
        <w:rPr>
          <w:noProof/>
        </w:rPr>
        <w:t>Smith and Beasley 2011)</w:t>
      </w:r>
      <w:r w:rsidR="007A2E96" w:rsidRPr="00FF4524">
        <w:fldChar w:fldCharType="end"/>
      </w:r>
      <w:r w:rsidR="007C4246" w:rsidRPr="00FF4524">
        <w:t>.</w:t>
      </w:r>
      <w:r w:rsidR="007C4246">
        <w:t xml:space="preserve"> The selection of these enabling factors</w:t>
      </w:r>
      <w:r w:rsidR="00264D08">
        <w:t xml:space="preserve"> </w:t>
      </w:r>
      <w:r w:rsidR="007C4246">
        <w:t xml:space="preserve">is encouraging with respect to the role of universities which could clearly play a part through industry networking events, industry research projects, introducing </w:t>
      </w:r>
      <w:r w:rsidR="009F72D8">
        <w:t>students to</w:t>
      </w:r>
      <w:r w:rsidR="007C4246">
        <w:t xml:space="preserve"> investors and helping students find suitable mentors.</w:t>
      </w:r>
      <w:r w:rsidR="008407ED">
        <w:t xml:space="preserve"> </w:t>
      </w:r>
      <w:r w:rsidR="009A3B01">
        <w:t>P</w:t>
      </w:r>
      <w:r w:rsidR="008407ED">
        <w:t xml:space="preserve">roximity to technology hubs </w:t>
      </w:r>
      <w:r w:rsidR="009F72D8">
        <w:t xml:space="preserve">has </w:t>
      </w:r>
      <w:r w:rsidR="003162A1">
        <w:t xml:space="preserve">previously been shown to be </w:t>
      </w:r>
      <w:r w:rsidR="008407ED">
        <w:t xml:space="preserve">beneficial </w:t>
      </w:r>
      <w:r w:rsidR="009A3B01">
        <w:t xml:space="preserve">to </w:t>
      </w:r>
      <w:r w:rsidR="009A3B01">
        <w:lastRenderedPageBreak/>
        <w:t xml:space="preserve">computing students, able to engage in </w:t>
      </w:r>
      <w:r w:rsidR="008407ED">
        <w:t>activities such as meet-up</w:t>
      </w:r>
      <w:r w:rsidR="00C853E3">
        <w:t>s, hackathons and masterclasses which act to create industry awareness and links</w:t>
      </w:r>
      <w:r w:rsidR="001573D8">
        <w:t xml:space="preserve"> </w:t>
      </w:r>
      <w:r w:rsidR="003F4572">
        <w:fldChar w:fldCharType="begin" w:fldLock="1"/>
      </w:r>
      <w:r w:rsidR="00F35135">
        <w:instrText>ADDIN CSL_CITATION {"citationItems":[{"id":"ITEM-1","itemData":{"abstract":"ABSTR ACT Computer Science (CS) enrolments at higher educati on institutions across the globe remain low in comparis on to other disciplines. The low interest in CS is often attributed to students' misconcepti o ns about the discipline, such as CS being construed as complex , asocial, and only for computer wizar ds. Consequently, hackathons, which are self-organis ed programmes that bring together different stakehol d er s to collaborate in rapidly building softwar e prototy pes, are emergi ng as one potenti al solution to addr es s some of the students' misconcepti ons about the CS field. Using an exploratory case study and activi ty theor y for data analysis; this research article presents substantiv e research findings that posit hackathons as an approac h that could stimulate and maintai n students' interest in CS. The key elements of the hackath o n model are collaborati ons , networki ng, mentori ng, hands-on engagement in socially-relev ant computi n g projects, and communi ty involvement. The model was evaluated using expert reviews in terms of its relevanc e, impact, complexi ty, and sustainability.","author":[{"dropping-particle":"","family":"Mtsweni","given":"Jabu","non-dropping-particle":"","parse-names":false,"suffix":""},{"dropping-particle":"","family":"Abdullah","given":"H","non-dropping-particle":"","parse-names":false,"suffix":""}],"container-title":"The Independent Journal of Teaching and Learning","id":"ITEM-1","issue":"1","issued":{"date-parts":[["2015"]]},"note":"http://iiespace.iie.ac.za/bitstream/handle/11622/57/Hackathon.pdf?sequence=1&amp;amp;isAllowed=y","page":"85-97","title":"Stimulating and maintaining students' interest in Computer Science using the hackathon model","type":"article-journal","volume":"10"},"uris":["http://www.mendeley.com/documents/?uuid=01a96549-96b6-3624-8b37-3ca14ed6cfd0"]}],"mendeley":{"formattedCitation":"(Mtsweni and Abdullah 2015)","plainTextFormattedCitation":"(Mtsweni and Abdullah 2015)","previouslyFormattedCitation":"(Mtsweni and Abdullah 2015)"},"properties":{"noteIndex":0},"schema":"https://github.com/citation-style-language/schema/raw/master/csl-citation.json"}</w:instrText>
      </w:r>
      <w:r w:rsidR="003F4572">
        <w:fldChar w:fldCharType="separate"/>
      </w:r>
      <w:r w:rsidR="00C75467" w:rsidRPr="00C75467">
        <w:rPr>
          <w:noProof/>
        </w:rPr>
        <w:t>(Mtsweni and Abdullah 2015)</w:t>
      </w:r>
      <w:r w:rsidR="003F4572">
        <w:fldChar w:fldCharType="end"/>
      </w:r>
      <w:r w:rsidR="003F4572">
        <w:t>.</w:t>
      </w:r>
    </w:p>
    <w:p w14:paraId="62291B33" w14:textId="77777777" w:rsidR="00823DE2" w:rsidRPr="00823DE2" w:rsidRDefault="00823DE2" w:rsidP="00FF4524">
      <w:pPr>
        <w:pStyle w:val="Heading2"/>
      </w:pPr>
      <w:bookmarkStart w:id="5" w:name="_Hlk519407633"/>
      <w:r w:rsidRPr="00823DE2">
        <w:t xml:space="preserve">Gender and </w:t>
      </w:r>
      <w:r w:rsidR="00F04763">
        <w:t>institutional</w:t>
      </w:r>
      <w:r w:rsidR="00F04763" w:rsidRPr="00823DE2">
        <w:t xml:space="preserve"> </w:t>
      </w:r>
      <w:r w:rsidRPr="00823DE2">
        <w:t xml:space="preserve">differences </w:t>
      </w:r>
    </w:p>
    <w:p w14:paraId="5E0557C8" w14:textId="77777777" w:rsidR="00823DE2" w:rsidRPr="00823DE2" w:rsidRDefault="00823DE2" w:rsidP="00FF4524">
      <w:pPr>
        <w:pStyle w:val="Paragraph"/>
      </w:pPr>
      <w:r w:rsidRPr="00823DE2">
        <w:t xml:space="preserve">To investigate gender and </w:t>
      </w:r>
      <w:r w:rsidR="00F04763">
        <w:t>institutional</w:t>
      </w:r>
      <w:r w:rsidR="00F04763" w:rsidRPr="00823DE2">
        <w:t xml:space="preserve"> </w:t>
      </w:r>
      <w:r w:rsidRPr="00823DE2">
        <w:t>differences in how</w:t>
      </w:r>
      <w:r w:rsidR="00F04763">
        <w:t xml:space="preserve"> </w:t>
      </w:r>
      <w:r w:rsidR="00884E08">
        <w:t>computing</w:t>
      </w:r>
      <w:r w:rsidR="00F04763">
        <w:t xml:space="preserve"> </w:t>
      </w:r>
      <w:r w:rsidRPr="00823DE2">
        <w:t xml:space="preserve">students perceived the different factors in relation to entrepreneurship a two-way analysis of variance was carried out for each of the scales following a test of homogeneity of variances.  </w:t>
      </w:r>
      <w:r w:rsidR="00BF39F6">
        <w:t>Descriptive</w:t>
      </w:r>
      <w:r w:rsidR="007E1D73">
        <w:t xml:space="preserve"> statistics and ANOVA results are</w:t>
      </w:r>
      <w:r w:rsidR="00BF39F6">
        <w:t xml:space="preserve"> shown in Table 4.</w:t>
      </w:r>
    </w:p>
    <w:p w14:paraId="0E056ED9" w14:textId="77777777" w:rsidR="00823DE2" w:rsidRPr="00FF4524" w:rsidRDefault="004E3CA7" w:rsidP="00FF4524">
      <w:pPr>
        <w:pStyle w:val="Heading3"/>
      </w:pPr>
      <w:r>
        <w:t>Drivers</w:t>
      </w:r>
      <w:r w:rsidR="009A3B01">
        <w:t xml:space="preserve"> by gender and institution</w:t>
      </w:r>
    </w:p>
    <w:p w14:paraId="017A307C" w14:textId="4E2AC67A" w:rsidR="00823DE2" w:rsidRPr="00D81EFA" w:rsidRDefault="00823DE2" w:rsidP="00D81EFA">
      <w:pPr>
        <w:pStyle w:val="Paragraph"/>
      </w:pPr>
      <w:r w:rsidRPr="00823DE2">
        <w:t xml:space="preserve">There was a significant gender and university interaction on the scale </w:t>
      </w:r>
      <w:r w:rsidRPr="00823DE2">
        <w:rPr>
          <w:i/>
        </w:rPr>
        <w:t>job flexibility</w:t>
      </w:r>
      <w:r w:rsidRPr="00823DE2">
        <w:t xml:space="preserve"> </w:t>
      </w:r>
      <w:r w:rsidR="00F04763">
        <w:t>(</w:t>
      </w:r>
      <w:proofErr w:type="gramStart"/>
      <w:r w:rsidRPr="00823DE2">
        <w:t>F(</w:t>
      </w:r>
      <w:proofErr w:type="gramEnd"/>
      <w:r w:rsidRPr="00823DE2">
        <w:t>1,240)=9.402,p=.002,partial η</w:t>
      </w:r>
      <w:r w:rsidRPr="00823DE2">
        <w:rPr>
          <w:vertAlign w:val="superscript"/>
        </w:rPr>
        <w:t>2</w:t>
      </w:r>
      <w:r w:rsidRPr="00823DE2">
        <w:t>=.038</w:t>
      </w:r>
      <w:r w:rsidR="00F04763">
        <w:t>)</w:t>
      </w:r>
      <w:r w:rsidRPr="00823DE2">
        <w:t>. This was followed up by an analysis of simple main effect. There was a statistically significant gende</w:t>
      </w:r>
      <w:r w:rsidR="00C853E3">
        <w:t>r difference in UK participants</w:t>
      </w:r>
      <w:r w:rsidRPr="00823DE2">
        <w:t xml:space="preserve"> (p=.003, partial η</w:t>
      </w:r>
      <w:r w:rsidRPr="00823DE2">
        <w:rPr>
          <w:vertAlign w:val="superscript"/>
        </w:rPr>
        <w:t>2</w:t>
      </w:r>
      <w:r w:rsidRPr="00823DE2">
        <w:t xml:space="preserve">=.035). The female participants in the UK rated </w:t>
      </w:r>
      <w:r w:rsidR="00C853E3" w:rsidRPr="00C853E3">
        <w:rPr>
          <w:i/>
        </w:rPr>
        <w:t>job flexibility</w:t>
      </w:r>
      <w:r w:rsidRPr="00823DE2">
        <w:t xml:space="preserve"> </w:t>
      </w:r>
      <w:r w:rsidR="00AD4C59">
        <w:t xml:space="preserve">(comprising flexible working hours, option to work at home and being their own boss) </w:t>
      </w:r>
      <w:r w:rsidRPr="00823DE2">
        <w:t xml:space="preserve">higher (mean=4.21; </w:t>
      </w:r>
      <w:proofErr w:type="spellStart"/>
      <w:r w:rsidRPr="00823DE2">
        <w:t>sd</w:t>
      </w:r>
      <w:proofErr w:type="spellEnd"/>
      <w:r w:rsidRPr="00823DE2">
        <w:t xml:space="preserve">=0.82) than </w:t>
      </w:r>
      <w:r w:rsidR="00C853E3">
        <w:t xml:space="preserve">UK </w:t>
      </w:r>
      <w:r w:rsidRPr="00823DE2">
        <w:t xml:space="preserve">male participants (mean=3.45; </w:t>
      </w:r>
      <w:proofErr w:type="spellStart"/>
      <w:r w:rsidRPr="00823DE2">
        <w:t>sd</w:t>
      </w:r>
      <w:proofErr w:type="spellEnd"/>
      <w:r w:rsidRPr="00823DE2">
        <w:t xml:space="preserve">=0.95). </w:t>
      </w:r>
      <w:r w:rsidR="0064616F">
        <w:t xml:space="preserve">This finding is </w:t>
      </w:r>
      <w:r w:rsidR="007859E5">
        <w:t>in line with</w:t>
      </w:r>
      <w:r w:rsidR="0064616F">
        <w:t xml:space="preserve"> a study conducted in an Irish context (Humbert and Drew 2010). </w:t>
      </w:r>
      <w:r w:rsidRPr="00823DE2">
        <w:t>Gender difference was not significant for the Australian sample</w:t>
      </w:r>
      <w:r w:rsidR="000A4684">
        <w:t>, however, t</w:t>
      </w:r>
      <w:r w:rsidRPr="00823DE2">
        <w:t>here was</w:t>
      </w:r>
      <w:r w:rsidR="00D81EFA">
        <w:t xml:space="preserve"> </w:t>
      </w:r>
      <w:r w:rsidRPr="00823DE2">
        <w:t xml:space="preserve">a significant difference in the scores of female students between </w:t>
      </w:r>
      <w:r w:rsidR="00041DD2">
        <w:t>universities</w:t>
      </w:r>
      <w:r w:rsidRPr="00823DE2">
        <w:t xml:space="preserve">, p=0.019. The importance of job flexibility was higher for female </w:t>
      </w:r>
      <w:r w:rsidR="000A4684">
        <w:t>participants</w:t>
      </w:r>
      <w:r w:rsidR="000A4684" w:rsidRPr="00823DE2">
        <w:t xml:space="preserve"> </w:t>
      </w:r>
      <w:r w:rsidRPr="00823DE2">
        <w:t xml:space="preserve">in </w:t>
      </w:r>
      <w:r w:rsidR="00C57600">
        <w:t>the UK</w:t>
      </w:r>
      <w:r w:rsidRPr="00823DE2">
        <w:t xml:space="preserve"> than </w:t>
      </w:r>
      <w:r w:rsidR="000A4684">
        <w:t xml:space="preserve">those </w:t>
      </w:r>
      <w:r w:rsidRPr="00823DE2">
        <w:t xml:space="preserve">from Australia (mean=3.55; </w:t>
      </w:r>
      <w:proofErr w:type="spellStart"/>
      <w:proofErr w:type="gramStart"/>
      <w:r w:rsidRPr="00823DE2">
        <w:t>sd</w:t>
      </w:r>
      <w:proofErr w:type="spellEnd"/>
      <w:r w:rsidRPr="00823DE2">
        <w:t>=</w:t>
      </w:r>
      <w:proofErr w:type="gramEnd"/>
      <w:r w:rsidRPr="00823DE2">
        <w:t xml:space="preserve">0.97). </w:t>
      </w:r>
      <w:r w:rsidR="002718FC">
        <w:t xml:space="preserve">In </w:t>
      </w:r>
      <w:r w:rsidR="00D81EFA">
        <w:t xml:space="preserve">the UK, </w:t>
      </w:r>
      <w:r w:rsidR="00C50422">
        <w:t xml:space="preserve"> </w:t>
      </w:r>
      <w:r w:rsidR="002718FC">
        <w:t>there is</w:t>
      </w:r>
      <w:r w:rsidR="00C50422">
        <w:t xml:space="preserve"> a strong preference for women to work flexibl</w:t>
      </w:r>
      <w:r w:rsidR="001524BA">
        <w:t>y</w:t>
      </w:r>
      <w:r w:rsidR="00D81EFA" w:rsidRPr="00D81EFA">
        <w:t xml:space="preserve"> </w:t>
      </w:r>
      <w:r w:rsidR="00F35135">
        <w:fldChar w:fldCharType="begin" w:fldLock="1"/>
      </w:r>
      <w:r w:rsidR="00F35135">
        <w:instrText>ADDIN CSL_CITATION {"citationItems":[{"id":"ITEM-1","itemData":{"URL":"https://timewise.co.uk/wp-content/uploads/2017/09/Flexible_working_Talent_-Imperative.pdf","accessed":{"date-parts":[["2018","6","12"]]},"author":[{"dropping-particle":"","family":"Timewise","given":"","non-dropping-particle":"","parse-names":false,"suffix":""}],"id":"ITEM-1","issued":{"date-parts":[["2017"]]},"title":"Flexibile Working: A Talent Imperative","type":"webpage"},"uris":["http://www.mendeley.com/documents/?uuid=06c2c0cb-3ebd-46fa-b4a5-e9f05254509b"]}],"mendeley":{"formattedCitation":"(Timewise 2017)","plainTextFormattedCitation":"(Timewise 2017)","previouslyFormattedCitation":"(Timewise 2017)"},"properties":{"noteIndex":0},"schema":"https://github.com/citation-style-language/schema/raw/master/csl-citation.json"}</w:instrText>
      </w:r>
      <w:r w:rsidR="00F35135">
        <w:fldChar w:fldCharType="separate"/>
      </w:r>
      <w:r w:rsidR="00F35135" w:rsidRPr="00F35135">
        <w:rPr>
          <w:noProof/>
        </w:rPr>
        <w:t>(Timewise 2017)</w:t>
      </w:r>
      <w:r w:rsidR="00F35135">
        <w:fldChar w:fldCharType="end"/>
      </w:r>
      <w:r w:rsidR="007859E5">
        <w:t xml:space="preserve"> and </w:t>
      </w:r>
      <w:r w:rsidR="00C853E3">
        <w:rPr>
          <w:lang w:val="en-US"/>
        </w:rPr>
        <w:t>access to free childcare for limited hours has been introduced</w:t>
      </w:r>
      <w:r w:rsidR="00D81EFA">
        <w:rPr>
          <w:lang w:val="en-US"/>
        </w:rPr>
        <w:t xml:space="preserve">. </w:t>
      </w:r>
      <w:r w:rsidR="006C05FE" w:rsidRPr="00823DE2">
        <w:t xml:space="preserve">As for the male participants, there was also a significant difference by country, p=.034. Male students from Australia scored </w:t>
      </w:r>
      <w:r w:rsidR="006C05FE" w:rsidRPr="00C95F67">
        <w:rPr>
          <w:i/>
        </w:rPr>
        <w:t>job flexibility</w:t>
      </w:r>
      <w:r w:rsidR="006C05FE" w:rsidRPr="00823DE2">
        <w:t xml:space="preserve"> higher than the male students from </w:t>
      </w:r>
      <w:r w:rsidR="006C05FE">
        <w:t>the UK</w:t>
      </w:r>
      <w:r w:rsidR="006C05FE" w:rsidRPr="00823DE2">
        <w:t xml:space="preserve"> when considering </w:t>
      </w:r>
      <w:r w:rsidR="00D81EFA">
        <w:t>becoming</w:t>
      </w:r>
      <w:r w:rsidR="006C05FE" w:rsidRPr="00823DE2">
        <w:t xml:space="preserve"> an entrepreneur.</w:t>
      </w:r>
      <w:r w:rsidR="005F2479" w:rsidRPr="005F2479">
        <w:t xml:space="preserve"> </w:t>
      </w:r>
      <w:r w:rsidR="00D81EFA">
        <w:t>S</w:t>
      </w:r>
      <w:r w:rsidR="005F2479" w:rsidRPr="00FF4524">
        <w:t>tudies from Australia note a</w:t>
      </w:r>
      <w:r w:rsidR="00AF04C6">
        <w:t>n increasing</w:t>
      </w:r>
      <w:r w:rsidR="005F2479" w:rsidRPr="00FF4524">
        <w:t xml:space="preserve"> </w:t>
      </w:r>
      <w:r w:rsidR="00AF04C6">
        <w:t xml:space="preserve">preference for </w:t>
      </w:r>
      <w:r w:rsidR="005F2479" w:rsidRPr="00FF4524">
        <w:t>flexible work</w:t>
      </w:r>
      <w:r w:rsidR="00AF04C6">
        <w:t xml:space="preserve">, although </w:t>
      </w:r>
      <w:r w:rsidR="000A6446">
        <w:t>more women than men currently work flexibly</w:t>
      </w:r>
      <w:r w:rsidR="007D139B" w:rsidRPr="00FF4524">
        <w:t xml:space="preserve"> </w:t>
      </w:r>
      <w:r w:rsidR="007D139B" w:rsidRPr="00FF4524">
        <w:fldChar w:fldCharType="begin" w:fldLock="1"/>
      </w:r>
      <w:r w:rsidR="00F35135">
        <w:instrText>ADDIN CSL_CITATION {"citationItems":[{"id":"ITEM-1","itemData":{"author":[{"dropping-particle":"","family":"Page","given":"Fiona","non-dropping-particle":"","parse-names":false,"suffix":""},{"dropping-particle":"","family":"Feenstra","given":"Frances","non-dropping-particle":"","parse-names":false,"suffix":""}],"id":"ITEM-1","issued":{"date-parts":[["2011"]]},"title":"Men at work: what they want and why it matters for women","type":"report"},"uris":["http://www.mendeley.com/documents/?uuid=e27e4234-390a-3d55-a5fe-14f5a8e6f7eb"]},{"id":"ITEM-2","itemData":{"URL":"http://www.bain.com/publications/articles/the-power-of-flexibility.aspx","accessed":{"date-parts":[["2018","7","28"]]},"author":[{"dropping-particle":"","family":"Sanders","given":"Melanie","non-dropping-particle":"","parse-names":false,"suffix":""},{"dropping-particle":"","family":"Zeng","given":"Jennifer","non-dropping-particle":"","parse-names":false,"suffix":""},{"dropping-particle":"","family":"Hellicar","given":"Meredith","non-dropping-particle":"","parse-names":false,"suffix":""},{"dropping-particle":"","family":"Fagg","given":"Kathryn","non-dropping-particle":"","parse-names":false,"suffix":""}],"id":"ITEM-2","issued":{"date-parts":[["2016"]]},"title":"The Power of Flexibility: A Key Enabler to Boost Gender Parity and Employee Engagement -","type":"webpage"},"uris":["http://www.mendeley.com/documents/?uuid=49b4bdbf-da8e-3378-a25a-80b6d327beec"]}],"mendeley":{"formattedCitation":"(Page and Feenstra 2011; Sanders et al. 2016)","plainTextFormattedCitation":"(Page and Feenstra 2011; Sanders et al. 2016)","previouslyFormattedCitation":"(Page and Feenstra 2011; Sanders et al. 2016)"},"properties":{"noteIndex":0},"schema":"https://github.com/citation-style-language/schema/raw/master/csl-citation.json"}</w:instrText>
      </w:r>
      <w:r w:rsidR="007D139B" w:rsidRPr="00FF4524">
        <w:fldChar w:fldCharType="separate"/>
      </w:r>
      <w:r w:rsidR="0067407F" w:rsidRPr="00FF4524">
        <w:rPr>
          <w:noProof/>
        </w:rPr>
        <w:t>(Sanders et al. 2016)</w:t>
      </w:r>
      <w:r w:rsidR="007D139B" w:rsidRPr="00FF4524">
        <w:fldChar w:fldCharType="end"/>
      </w:r>
      <w:r w:rsidR="005F2479" w:rsidRPr="00FF4524">
        <w:t>.</w:t>
      </w:r>
      <w:r w:rsidR="005F2479">
        <w:t xml:space="preserve"> </w:t>
      </w:r>
      <w:r w:rsidR="009A3B01">
        <w:t xml:space="preserve">Promoting the possibilities of flexible working might encourage more computing </w:t>
      </w:r>
      <w:r w:rsidR="009A3B01">
        <w:lastRenderedPageBreak/>
        <w:t xml:space="preserve">students to embark on an entrepreneurial career. </w:t>
      </w:r>
    </w:p>
    <w:p w14:paraId="47A2BA9F" w14:textId="77777777" w:rsidR="00271A31" w:rsidRDefault="00823DE2" w:rsidP="00FF4524">
      <w:pPr>
        <w:pStyle w:val="Paragraph"/>
        <w:rPr>
          <w:lang w:val="en-US"/>
        </w:rPr>
      </w:pPr>
      <w:r w:rsidRPr="007725E8">
        <w:t xml:space="preserve">For the </w:t>
      </w:r>
      <w:r w:rsidRPr="007725E8">
        <w:rPr>
          <w:i/>
        </w:rPr>
        <w:t>extrinsic</w:t>
      </w:r>
      <w:r w:rsidRPr="007725E8">
        <w:t xml:space="preserve"> and </w:t>
      </w:r>
      <w:r w:rsidRPr="007725E8">
        <w:rPr>
          <w:i/>
        </w:rPr>
        <w:t>intrinsic</w:t>
      </w:r>
      <w:r w:rsidRPr="007725E8">
        <w:t xml:space="preserve"> </w:t>
      </w:r>
      <w:r w:rsidR="009E1EF9" w:rsidRPr="007725E8">
        <w:t>drivers</w:t>
      </w:r>
      <w:r w:rsidRPr="007725E8">
        <w:t>, no significant interaction</w:t>
      </w:r>
      <w:r w:rsidRPr="00823DE2">
        <w:t xml:space="preserve"> between gender and university was found</w:t>
      </w:r>
      <w:r w:rsidR="0076265D">
        <w:t xml:space="preserve"> (refer to Table 4)</w:t>
      </w:r>
      <w:r w:rsidRPr="00823DE2">
        <w:t xml:space="preserve">. However, there was a main effect of university on the scores on these two subscales. In both subscales, Australian participants rated the importance of the factors higher than the UK participants. </w:t>
      </w:r>
      <w:r w:rsidR="002800C1">
        <w:rPr>
          <w:lang w:val="en-US"/>
        </w:rPr>
        <w:t>Participants from the Australian university rated job satisfaction, working from home, high salary, fame</w:t>
      </w:r>
      <w:r w:rsidR="00AE794D">
        <w:rPr>
          <w:lang w:val="en-US"/>
        </w:rPr>
        <w:t>/</w:t>
      </w:r>
      <w:r w:rsidR="002800C1">
        <w:rPr>
          <w:lang w:val="en-US"/>
        </w:rPr>
        <w:t xml:space="preserve">recognition, </w:t>
      </w:r>
      <w:proofErr w:type="gramStart"/>
      <w:r w:rsidR="002800C1">
        <w:rPr>
          <w:lang w:val="en-US"/>
        </w:rPr>
        <w:t>job</w:t>
      </w:r>
      <w:proofErr w:type="gramEnd"/>
      <w:r w:rsidR="002800C1">
        <w:rPr>
          <w:lang w:val="en-US"/>
        </w:rPr>
        <w:t xml:space="preserve"> market and having a passion/interest significantly higher than UK participants. Indeed, overall the Australian participants seemed to </w:t>
      </w:r>
      <w:proofErr w:type="spellStart"/>
      <w:r w:rsidR="002800C1">
        <w:rPr>
          <w:lang w:val="en-US"/>
        </w:rPr>
        <w:t>recogni</w:t>
      </w:r>
      <w:r w:rsidR="00D81EFA">
        <w:rPr>
          <w:lang w:val="en-US"/>
        </w:rPr>
        <w:t>s</w:t>
      </w:r>
      <w:r w:rsidR="002800C1">
        <w:rPr>
          <w:lang w:val="en-US"/>
        </w:rPr>
        <w:t>e</w:t>
      </w:r>
      <w:proofErr w:type="spellEnd"/>
      <w:r w:rsidR="002800C1">
        <w:rPr>
          <w:lang w:val="en-US"/>
        </w:rPr>
        <w:t xml:space="preserve"> the entrepreneurship opportunity more positively than the UK participants. This might have been related to sampling whereby the Australian participants had </w:t>
      </w:r>
      <w:r w:rsidR="009A3B01">
        <w:rPr>
          <w:lang w:val="en-US"/>
        </w:rPr>
        <w:t>studied an</w:t>
      </w:r>
      <w:r w:rsidR="002800C1">
        <w:rPr>
          <w:lang w:val="en-US"/>
        </w:rPr>
        <w:t xml:space="preserve"> entrepreneurship </w:t>
      </w:r>
      <w:r w:rsidR="009A3B01">
        <w:rPr>
          <w:lang w:val="en-US"/>
        </w:rPr>
        <w:t>course</w:t>
      </w:r>
      <w:r w:rsidR="002800C1">
        <w:rPr>
          <w:lang w:val="en-US"/>
        </w:rPr>
        <w:t>, whereas the UK participants were drawn from across all computing courses and would only have been passively aware of access to an incubator.</w:t>
      </w:r>
      <w:r w:rsidR="00124CC7">
        <w:rPr>
          <w:lang w:val="en-US"/>
        </w:rPr>
        <w:t xml:space="preserve"> </w:t>
      </w:r>
    </w:p>
    <w:p w14:paraId="48DE3ABB" w14:textId="77777777" w:rsidR="00271A31" w:rsidRDefault="00271A31" w:rsidP="00271A31">
      <w:pPr>
        <w:pStyle w:val="TableHeader"/>
        <w:rPr>
          <w:sz w:val="24"/>
        </w:rPr>
        <w:sectPr w:rsidR="00271A31" w:rsidSect="004F6F00">
          <w:footerReference w:type="default" r:id="rId13"/>
          <w:pgSz w:w="11906" w:h="16838"/>
          <w:pgMar w:top="1134" w:right="1276" w:bottom="1134" w:left="1134" w:header="709" w:footer="709" w:gutter="0"/>
          <w:cols w:space="1134"/>
          <w:titlePg/>
          <w:docGrid w:linePitch="360"/>
        </w:sectPr>
      </w:pPr>
    </w:p>
    <w:p w14:paraId="107FFC7E" w14:textId="77777777" w:rsidR="00271A31" w:rsidRPr="007A2E96" w:rsidRDefault="00271A31" w:rsidP="00271A31">
      <w:pPr>
        <w:pStyle w:val="TableHeader"/>
        <w:rPr>
          <w:sz w:val="24"/>
        </w:rPr>
      </w:pPr>
      <w:r w:rsidRPr="007A2E96">
        <w:rPr>
          <w:sz w:val="24"/>
        </w:rPr>
        <w:lastRenderedPageBreak/>
        <w:t xml:space="preserve">Table </w:t>
      </w:r>
      <w:r w:rsidR="00BF39F6">
        <w:rPr>
          <w:sz w:val="24"/>
        </w:rPr>
        <w:t>4</w:t>
      </w:r>
      <w:r w:rsidRPr="007A2E96">
        <w:rPr>
          <w:sz w:val="24"/>
        </w:rPr>
        <w:t xml:space="preserve">. Descriptive statistics and F values for the two-way analysis of variance. </w:t>
      </w:r>
    </w:p>
    <w:tbl>
      <w:tblPr>
        <w:tblStyle w:val="TableGrid1"/>
        <w:tblW w:w="14353" w:type="dxa"/>
        <w:tblLayout w:type="fixed"/>
        <w:tblLook w:val="04A0" w:firstRow="1" w:lastRow="0" w:firstColumn="1" w:lastColumn="0" w:noHBand="0" w:noVBand="1"/>
      </w:tblPr>
      <w:tblGrid>
        <w:gridCol w:w="1992"/>
        <w:gridCol w:w="1523"/>
        <w:gridCol w:w="1524"/>
        <w:gridCol w:w="1525"/>
        <w:gridCol w:w="1524"/>
        <w:gridCol w:w="1692"/>
        <w:gridCol w:w="1356"/>
        <w:gridCol w:w="1185"/>
        <w:gridCol w:w="1016"/>
        <w:gridCol w:w="1016"/>
      </w:tblGrid>
      <w:tr w:rsidR="00271A31" w:rsidRPr="007A2E96" w14:paraId="250F90EF" w14:textId="77777777" w:rsidTr="00792814">
        <w:trPr>
          <w:trHeight w:val="128"/>
        </w:trPr>
        <w:tc>
          <w:tcPr>
            <w:tcW w:w="1992" w:type="dxa"/>
            <w:vMerge w:val="restart"/>
          </w:tcPr>
          <w:p w14:paraId="1906181C" w14:textId="77777777" w:rsidR="00271A31" w:rsidRPr="007A2E96" w:rsidRDefault="00271A31" w:rsidP="00792814">
            <w:pPr>
              <w:spacing w:line="240" w:lineRule="auto"/>
            </w:pPr>
            <w:r w:rsidRPr="007A2E96">
              <w:t>Factors</w:t>
            </w:r>
          </w:p>
        </w:tc>
        <w:tc>
          <w:tcPr>
            <w:tcW w:w="4572" w:type="dxa"/>
            <w:gridSpan w:val="3"/>
          </w:tcPr>
          <w:p w14:paraId="19D7B5B4" w14:textId="77777777" w:rsidR="00271A31" w:rsidRPr="007A2E96" w:rsidRDefault="00271A31" w:rsidP="00792814">
            <w:pPr>
              <w:spacing w:line="240" w:lineRule="auto"/>
              <w:jc w:val="center"/>
            </w:pPr>
            <w:r w:rsidRPr="007A2E96">
              <w:t>Australia</w:t>
            </w:r>
          </w:p>
        </w:tc>
        <w:tc>
          <w:tcPr>
            <w:tcW w:w="4572" w:type="dxa"/>
            <w:gridSpan w:val="3"/>
          </w:tcPr>
          <w:p w14:paraId="03627178" w14:textId="77777777" w:rsidR="00271A31" w:rsidRPr="007A2E96" w:rsidRDefault="00271A31" w:rsidP="00792814">
            <w:pPr>
              <w:spacing w:line="240" w:lineRule="auto"/>
              <w:jc w:val="center"/>
            </w:pPr>
            <w:r w:rsidRPr="007A2E96">
              <w:t>UK</w:t>
            </w:r>
          </w:p>
        </w:tc>
        <w:tc>
          <w:tcPr>
            <w:tcW w:w="3217" w:type="dxa"/>
            <w:gridSpan w:val="3"/>
          </w:tcPr>
          <w:p w14:paraId="72A7A91C" w14:textId="77777777" w:rsidR="00271A31" w:rsidRPr="007A2E96" w:rsidRDefault="00271A31" w:rsidP="00792814">
            <w:pPr>
              <w:spacing w:line="240" w:lineRule="auto"/>
              <w:jc w:val="center"/>
              <w:rPr>
                <w:i/>
              </w:rPr>
            </w:pPr>
            <w:r w:rsidRPr="007A2E96">
              <w:rPr>
                <w:i/>
              </w:rPr>
              <w:t>F</w:t>
            </w:r>
          </w:p>
        </w:tc>
      </w:tr>
      <w:tr w:rsidR="00271A31" w:rsidRPr="007A2E96" w14:paraId="32023AC4" w14:textId="77777777" w:rsidTr="00792814">
        <w:trPr>
          <w:cantSplit/>
          <w:trHeight w:hRule="exact" w:val="598"/>
        </w:trPr>
        <w:tc>
          <w:tcPr>
            <w:tcW w:w="1992" w:type="dxa"/>
            <w:vMerge/>
            <w:vAlign w:val="bottom"/>
          </w:tcPr>
          <w:p w14:paraId="6137DABE" w14:textId="77777777" w:rsidR="00271A31" w:rsidRPr="007A2E96" w:rsidRDefault="00271A31" w:rsidP="00792814">
            <w:pPr>
              <w:spacing w:line="259" w:lineRule="auto"/>
            </w:pPr>
          </w:p>
        </w:tc>
        <w:tc>
          <w:tcPr>
            <w:tcW w:w="1523" w:type="dxa"/>
          </w:tcPr>
          <w:p w14:paraId="36CF9486" w14:textId="77777777" w:rsidR="00271A31" w:rsidRPr="007A2E96" w:rsidRDefault="00271A31" w:rsidP="00792814">
            <w:pPr>
              <w:autoSpaceDE w:val="0"/>
              <w:autoSpaceDN w:val="0"/>
              <w:adjustRightInd w:val="0"/>
              <w:spacing w:line="240" w:lineRule="auto"/>
              <w:ind w:left="60" w:right="60"/>
              <w:jc w:val="center"/>
              <w:rPr>
                <w:color w:val="000000"/>
              </w:rPr>
            </w:pPr>
            <w:r w:rsidRPr="007A2E96">
              <w:rPr>
                <w:color w:val="000000"/>
              </w:rPr>
              <w:t>Overall</w:t>
            </w:r>
          </w:p>
        </w:tc>
        <w:tc>
          <w:tcPr>
            <w:tcW w:w="1524" w:type="dxa"/>
          </w:tcPr>
          <w:p w14:paraId="5481A8ED" w14:textId="77777777" w:rsidR="00271A31" w:rsidRPr="007A2E96" w:rsidRDefault="00271A31" w:rsidP="00792814">
            <w:pPr>
              <w:autoSpaceDE w:val="0"/>
              <w:autoSpaceDN w:val="0"/>
              <w:adjustRightInd w:val="0"/>
              <w:spacing w:line="240" w:lineRule="auto"/>
              <w:ind w:left="60" w:right="60"/>
              <w:jc w:val="center"/>
              <w:rPr>
                <w:color w:val="000000"/>
              </w:rPr>
            </w:pPr>
            <w:r w:rsidRPr="007A2E96">
              <w:rPr>
                <w:color w:val="000000"/>
              </w:rPr>
              <w:t>Female</w:t>
            </w:r>
          </w:p>
        </w:tc>
        <w:tc>
          <w:tcPr>
            <w:tcW w:w="1524" w:type="dxa"/>
          </w:tcPr>
          <w:p w14:paraId="0D3A7A8C" w14:textId="77777777" w:rsidR="00271A31" w:rsidRPr="007A2E96" w:rsidRDefault="00271A31" w:rsidP="00792814">
            <w:pPr>
              <w:autoSpaceDE w:val="0"/>
              <w:autoSpaceDN w:val="0"/>
              <w:adjustRightInd w:val="0"/>
              <w:spacing w:line="240" w:lineRule="auto"/>
              <w:ind w:left="60" w:right="60"/>
              <w:jc w:val="center"/>
              <w:rPr>
                <w:color w:val="000000"/>
              </w:rPr>
            </w:pPr>
            <w:r w:rsidRPr="007A2E96">
              <w:rPr>
                <w:color w:val="000000"/>
              </w:rPr>
              <w:t>Male</w:t>
            </w:r>
          </w:p>
        </w:tc>
        <w:tc>
          <w:tcPr>
            <w:tcW w:w="1524" w:type="dxa"/>
          </w:tcPr>
          <w:p w14:paraId="177BF64C" w14:textId="77777777" w:rsidR="00271A31" w:rsidRPr="007A2E96" w:rsidRDefault="00271A31" w:rsidP="00792814">
            <w:pPr>
              <w:autoSpaceDE w:val="0"/>
              <w:autoSpaceDN w:val="0"/>
              <w:adjustRightInd w:val="0"/>
              <w:spacing w:line="240" w:lineRule="auto"/>
              <w:ind w:left="60" w:right="60"/>
              <w:jc w:val="center"/>
            </w:pPr>
            <w:r w:rsidRPr="007A2E96">
              <w:rPr>
                <w:color w:val="000000"/>
              </w:rPr>
              <w:t>Overall</w:t>
            </w:r>
          </w:p>
        </w:tc>
        <w:tc>
          <w:tcPr>
            <w:tcW w:w="1692" w:type="dxa"/>
          </w:tcPr>
          <w:p w14:paraId="09A4863F" w14:textId="77777777" w:rsidR="00271A31" w:rsidRPr="007A2E96" w:rsidRDefault="00271A31" w:rsidP="00792814">
            <w:pPr>
              <w:spacing w:line="240" w:lineRule="auto"/>
              <w:jc w:val="center"/>
            </w:pPr>
            <w:r w:rsidRPr="007A2E96">
              <w:rPr>
                <w:color w:val="000000"/>
              </w:rPr>
              <w:t>Female</w:t>
            </w:r>
          </w:p>
        </w:tc>
        <w:tc>
          <w:tcPr>
            <w:tcW w:w="1354" w:type="dxa"/>
          </w:tcPr>
          <w:p w14:paraId="07BEE10D" w14:textId="77777777" w:rsidR="00271A31" w:rsidRPr="007A2E96" w:rsidRDefault="00271A31" w:rsidP="00792814">
            <w:pPr>
              <w:spacing w:line="240" w:lineRule="auto"/>
              <w:jc w:val="center"/>
            </w:pPr>
            <w:r w:rsidRPr="007A2E96">
              <w:rPr>
                <w:color w:val="000000"/>
              </w:rPr>
              <w:t>Male</w:t>
            </w:r>
          </w:p>
        </w:tc>
        <w:tc>
          <w:tcPr>
            <w:tcW w:w="1185" w:type="dxa"/>
          </w:tcPr>
          <w:p w14:paraId="40CC721C" w14:textId="77777777" w:rsidR="00271A31" w:rsidRPr="002B4F2F" w:rsidRDefault="00271A31" w:rsidP="00792814">
            <w:pPr>
              <w:autoSpaceDE w:val="0"/>
              <w:autoSpaceDN w:val="0"/>
              <w:adjustRightInd w:val="0"/>
              <w:spacing w:line="240" w:lineRule="auto"/>
              <w:ind w:left="60" w:right="60"/>
              <w:jc w:val="center"/>
              <w:rPr>
                <w:color w:val="000000"/>
                <w:sz w:val="20"/>
              </w:rPr>
            </w:pPr>
            <w:r w:rsidRPr="002B4F2F">
              <w:rPr>
                <w:color w:val="000000"/>
                <w:sz w:val="20"/>
              </w:rPr>
              <w:t>Gender*</w:t>
            </w:r>
          </w:p>
          <w:p w14:paraId="7E427376" w14:textId="77777777" w:rsidR="00271A31" w:rsidRPr="002B4F2F" w:rsidRDefault="00271A31" w:rsidP="00792814">
            <w:pPr>
              <w:autoSpaceDE w:val="0"/>
              <w:autoSpaceDN w:val="0"/>
              <w:adjustRightInd w:val="0"/>
              <w:spacing w:line="240" w:lineRule="auto"/>
              <w:ind w:left="60" w:right="60"/>
              <w:jc w:val="center"/>
              <w:rPr>
                <w:color w:val="000000"/>
                <w:sz w:val="20"/>
              </w:rPr>
            </w:pPr>
            <w:r w:rsidRPr="002B4F2F">
              <w:rPr>
                <w:color w:val="000000"/>
                <w:sz w:val="20"/>
              </w:rPr>
              <w:t xml:space="preserve">University </w:t>
            </w:r>
          </w:p>
        </w:tc>
        <w:tc>
          <w:tcPr>
            <w:tcW w:w="1016" w:type="dxa"/>
          </w:tcPr>
          <w:p w14:paraId="56546728" w14:textId="77777777" w:rsidR="00271A31" w:rsidRPr="007A2E96" w:rsidRDefault="00271A31" w:rsidP="00792814">
            <w:pPr>
              <w:spacing w:line="240" w:lineRule="auto"/>
              <w:jc w:val="center"/>
              <w:rPr>
                <w:color w:val="000000"/>
              </w:rPr>
            </w:pPr>
            <w:r w:rsidRPr="007A2E96">
              <w:rPr>
                <w:color w:val="000000"/>
              </w:rPr>
              <w:t>Gender</w:t>
            </w:r>
          </w:p>
        </w:tc>
        <w:tc>
          <w:tcPr>
            <w:tcW w:w="1015" w:type="dxa"/>
          </w:tcPr>
          <w:p w14:paraId="7F065BF1" w14:textId="77777777" w:rsidR="00271A31" w:rsidRPr="007A2E96" w:rsidRDefault="00271A31" w:rsidP="00792814">
            <w:pPr>
              <w:spacing w:line="240" w:lineRule="auto"/>
              <w:jc w:val="center"/>
              <w:rPr>
                <w:color w:val="000000"/>
              </w:rPr>
            </w:pPr>
            <w:r w:rsidRPr="00C67ABF">
              <w:rPr>
                <w:color w:val="000000"/>
                <w:sz w:val="20"/>
              </w:rPr>
              <w:t>University</w:t>
            </w:r>
          </w:p>
        </w:tc>
      </w:tr>
      <w:tr w:rsidR="00271A31" w:rsidRPr="007A2E96" w14:paraId="33D31383" w14:textId="77777777" w:rsidTr="00792814">
        <w:trPr>
          <w:cantSplit/>
          <w:trHeight w:hRule="exact" w:val="449"/>
        </w:trPr>
        <w:tc>
          <w:tcPr>
            <w:tcW w:w="1992" w:type="dxa"/>
            <w:vAlign w:val="bottom"/>
          </w:tcPr>
          <w:p w14:paraId="1A9541C1" w14:textId="77777777" w:rsidR="00271A31" w:rsidRPr="007A2E96" w:rsidRDefault="00271A31" w:rsidP="00792814">
            <w:pPr>
              <w:spacing w:after="160" w:line="259" w:lineRule="auto"/>
            </w:pPr>
            <w:r w:rsidRPr="007A2E96">
              <w:rPr>
                <w:color w:val="000000"/>
              </w:rPr>
              <w:t>Motivations</w:t>
            </w:r>
          </w:p>
        </w:tc>
        <w:tc>
          <w:tcPr>
            <w:tcW w:w="1523" w:type="dxa"/>
            <w:vAlign w:val="bottom"/>
          </w:tcPr>
          <w:p w14:paraId="6B0846B4"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378D4D12"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42D271BF"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1E628DCC" w14:textId="77777777" w:rsidR="00271A31" w:rsidRPr="007A2E96" w:rsidRDefault="00271A31" w:rsidP="00792814">
            <w:pPr>
              <w:autoSpaceDE w:val="0"/>
              <w:autoSpaceDN w:val="0"/>
              <w:adjustRightInd w:val="0"/>
              <w:spacing w:line="320" w:lineRule="atLeast"/>
              <w:ind w:left="60" w:right="60"/>
              <w:jc w:val="center"/>
            </w:pPr>
          </w:p>
        </w:tc>
        <w:tc>
          <w:tcPr>
            <w:tcW w:w="1692" w:type="dxa"/>
            <w:vAlign w:val="bottom"/>
          </w:tcPr>
          <w:p w14:paraId="45E683AE" w14:textId="77777777" w:rsidR="00271A31" w:rsidRPr="007A2E96" w:rsidRDefault="00271A31" w:rsidP="00792814">
            <w:pPr>
              <w:autoSpaceDE w:val="0"/>
              <w:autoSpaceDN w:val="0"/>
              <w:adjustRightInd w:val="0"/>
              <w:spacing w:line="320" w:lineRule="atLeast"/>
              <w:ind w:left="60" w:right="60"/>
              <w:jc w:val="center"/>
            </w:pPr>
          </w:p>
        </w:tc>
        <w:tc>
          <w:tcPr>
            <w:tcW w:w="1354" w:type="dxa"/>
            <w:vAlign w:val="bottom"/>
          </w:tcPr>
          <w:p w14:paraId="3756895F" w14:textId="77777777" w:rsidR="00271A31" w:rsidRPr="007A2E96" w:rsidRDefault="00271A31" w:rsidP="00792814">
            <w:pPr>
              <w:autoSpaceDE w:val="0"/>
              <w:autoSpaceDN w:val="0"/>
              <w:adjustRightInd w:val="0"/>
              <w:spacing w:line="320" w:lineRule="atLeast"/>
              <w:ind w:left="60" w:right="60"/>
              <w:jc w:val="center"/>
            </w:pPr>
          </w:p>
        </w:tc>
        <w:tc>
          <w:tcPr>
            <w:tcW w:w="1185" w:type="dxa"/>
          </w:tcPr>
          <w:p w14:paraId="0DE0CF37" w14:textId="77777777" w:rsidR="00271A31" w:rsidRPr="007A2E96" w:rsidRDefault="00271A31" w:rsidP="00792814">
            <w:pPr>
              <w:autoSpaceDE w:val="0"/>
              <w:autoSpaceDN w:val="0"/>
              <w:adjustRightInd w:val="0"/>
              <w:spacing w:line="320" w:lineRule="atLeast"/>
              <w:ind w:left="60" w:right="60"/>
              <w:jc w:val="center"/>
            </w:pPr>
          </w:p>
        </w:tc>
        <w:tc>
          <w:tcPr>
            <w:tcW w:w="1016" w:type="dxa"/>
          </w:tcPr>
          <w:p w14:paraId="047A3252" w14:textId="77777777" w:rsidR="00271A31" w:rsidRPr="007A2E96" w:rsidRDefault="00271A31" w:rsidP="00792814">
            <w:pPr>
              <w:autoSpaceDE w:val="0"/>
              <w:autoSpaceDN w:val="0"/>
              <w:adjustRightInd w:val="0"/>
              <w:spacing w:line="320" w:lineRule="atLeast"/>
              <w:ind w:left="60" w:right="60"/>
              <w:jc w:val="center"/>
            </w:pPr>
          </w:p>
        </w:tc>
        <w:tc>
          <w:tcPr>
            <w:tcW w:w="1015" w:type="dxa"/>
          </w:tcPr>
          <w:p w14:paraId="5EE93640" w14:textId="77777777" w:rsidR="00271A31" w:rsidRPr="007A2E96" w:rsidRDefault="00271A31" w:rsidP="00792814">
            <w:pPr>
              <w:autoSpaceDE w:val="0"/>
              <w:autoSpaceDN w:val="0"/>
              <w:adjustRightInd w:val="0"/>
              <w:spacing w:line="320" w:lineRule="atLeast"/>
              <w:ind w:left="60" w:right="60"/>
              <w:jc w:val="center"/>
            </w:pPr>
          </w:p>
        </w:tc>
      </w:tr>
      <w:tr w:rsidR="00271A31" w:rsidRPr="007A2E96" w14:paraId="6113F734" w14:textId="77777777" w:rsidTr="00792814">
        <w:trPr>
          <w:cantSplit/>
          <w:trHeight w:hRule="exact" w:val="449"/>
        </w:trPr>
        <w:tc>
          <w:tcPr>
            <w:tcW w:w="1992" w:type="dxa"/>
            <w:vAlign w:val="bottom"/>
          </w:tcPr>
          <w:p w14:paraId="43A04F66" w14:textId="77777777" w:rsidR="00271A31" w:rsidRPr="007A2E96" w:rsidRDefault="00271A31" w:rsidP="00792814">
            <w:pPr>
              <w:spacing w:after="160" w:line="259" w:lineRule="auto"/>
            </w:pPr>
            <w:r w:rsidRPr="007A2E96">
              <w:rPr>
                <w:color w:val="000000"/>
              </w:rPr>
              <w:tab/>
              <w:t>Extrinsic</w:t>
            </w:r>
          </w:p>
        </w:tc>
        <w:tc>
          <w:tcPr>
            <w:tcW w:w="1523" w:type="dxa"/>
            <w:vAlign w:val="bottom"/>
          </w:tcPr>
          <w:p w14:paraId="7812C87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3.19 (0.89)</w:t>
            </w:r>
          </w:p>
        </w:tc>
        <w:tc>
          <w:tcPr>
            <w:tcW w:w="1524" w:type="dxa"/>
            <w:vAlign w:val="bottom"/>
          </w:tcPr>
          <w:p w14:paraId="03A1FB04"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3.27 (0.66)</w:t>
            </w:r>
          </w:p>
        </w:tc>
        <w:tc>
          <w:tcPr>
            <w:tcW w:w="1524" w:type="dxa"/>
            <w:vAlign w:val="bottom"/>
          </w:tcPr>
          <w:p w14:paraId="78278451"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3.18 (0.93)</w:t>
            </w:r>
          </w:p>
        </w:tc>
        <w:tc>
          <w:tcPr>
            <w:tcW w:w="1524" w:type="dxa"/>
            <w:vAlign w:val="bottom"/>
          </w:tcPr>
          <w:p w14:paraId="1F0C1CA7"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2.75 (1.02)</w:t>
            </w:r>
          </w:p>
        </w:tc>
        <w:tc>
          <w:tcPr>
            <w:tcW w:w="1692" w:type="dxa"/>
            <w:vAlign w:val="bottom"/>
          </w:tcPr>
          <w:p w14:paraId="2EB3E4A6"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2.75 (0.94)</w:t>
            </w:r>
          </w:p>
        </w:tc>
        <w:tc>
          <w:tcPr>
            <w:tcW w:w="1354" w:type="dxa"/>
            <w:vAlign w:val="bottom"/>
          </w:tcPr>
          <w:p w14:paraId="46576DB3"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2.75 (1.05)</w:t>
            </w:r>
          </w:p>
        </w:tc>
        <w:tc>
          <w:tcPr>
            <w:tcW w:w="1185" w:type="dxa"/>
            <w:vAlign w:val="bottom"/>
          </w:tcPr>
          <w:p w14:paraId="23184B1D" w14:textId="77777777" w:rsidR="00271A31" w:rsidRPr="007A2E96" w:rsidRDefault="00271A31" w:rsidP="00792814">
            <w:pPr>
              <w:autoSpaceDE w:val="0"/>
              <w:autoSpaceDN w:val="0"/>
              <w:adjustRightInd w:val="0"/>
              <w:spacing w:line="320" w:lineRule="atLeast"/>
              <w:ind w:left="60" w:right="60"/>
              <w:jc w:val="center"/>
              <w:rPr>
                <w:color w:val="000000"/>
              </w:rPr>
            </w:pPr>
            <w:r w:rsidRPr="007A2E96">
              <w:t>.086</w:t>
            </w:r>
          </w:p>
        </w:tc>
        <w:tc>
          <w:tcPr>
            <w:tcW w:w="1016" w:type="dxa"/>
            <w:vAlign w:val="bottom"/>
          </w:tcPr>
          <w:p w14:paraId="76065E44"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.070</w:t>
            </w:r>
          </w:p>
        </w:tc>
        <w:tc>
          <w:tcPr>
            <w:tcW w:w="1015" w:type="dxa"/>
            <w:vAlign w:val="bottom"/>
          </w:tcPr>
          <w:p w14:paraId="6D5B4286"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8.209**</w:t>
            </w:r>
          </w:p>
        </w:tc>
      </w:tr>
      <w:tr w:rsidR="00271A31" w:rsidRPr="007A2E96" w14:paraId="2E6598EA" w14:textId="77777777" w:rsidTr="00792814">
        <w:trPr>
          <w:cantSplit/>
          <w:trHeight w:hRule="exact" w:val="449"/>
        </w:trPr>
        <w:tc>
          <w:tcPr>
            <w:tcW w:w="1992" w:type="dxa"/>
            <w:vAlign w:val="bottom"/>
          </w:tcPr>
          <w:p w14:paraId="55FF6EB7" w14:textId="77777777" w:rsidR="00271A31" w:rsidRPr="007A2E96" w:rsidRDefault="00271A31" w:rsidP="00792814">
            <w:pPr>
              <w:spacing w:after="160" w:line="259" w:lineRule="auto"/>
            </w:pPr>
            <w:r w:rsidRPr="007A2E96">
              <w:rPr>
                <w:color w:val="000000"/>
              </w:rPr>
              <w:tab/>
              <w:t>Intrinsic</w:t>
            </w:r>
          </w:p>
        </w:tc>
        <w:tc>
          <w:tcPr>
            <w:tcW w:w="1523" w:type="dxa"/>
            <w:vAlign w:val="bottom"/>
          </w:tcPr>
          <w:p w14:paraId="434740BE"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4.38 (0.72)</w:t>
            </w:r>
          </w:p>
        </w:tc>
        <w:tc>
          <w:tcPr>
            <w:tcW w:w="1524" w:type="dxa"/>
            <w:vAlign w:val="bottom"/>
          </w:tcPr>
          <w:p w14:paraId="1F8B7FD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4.32 (0.77)</w:t>
            </w:r>
          </w:p>
        </w:tc>
        <w:tc>
          <w:tcPr>
            <w:tcW w:w="1524" w:type="dxa"/>
            <w:vAlign w:val="bottom"/>
          </w:tcPr>
          <w:p w14:paraId="45B3DACE"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4.38 (0.72)</w:t>
            </w:r>
          </w:p>
        </w:tc>
        <w:tc>
          <w:tcPr>
            <w:tcW w:w="1524" w:type="dxa"/>
            <w:vAlign w:val="bottom"/>
          </w:tcPr>
          <w:p w14:paraId="1FDDF52B"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4.04 (1.05)</w:t>
            </w:r>
          </w:p>
        </w:tc>
        <w:tc>
          <w:tcPr>
            <w:tcW w:w="1692" w:type="dxa"/>
            <w:vAlign w:val="bottom"/>
          </w:tcPr>
          <w:p w14:paraId="21132E6B"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4.09 (1.16)</w:t>
            </w:r>
          </w:p>
        </w:tc>
        <w:tc>
          <w:tcPr>
            <w:tcW w:w="1354" w:type="dxa"/>
            <w:vAlign w:val="bottom"/>
          </w:tcPr>
          <w:p w14:paraId="77E87065"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4.02 (1.02)</w:t>
            </w:r>
          </w:p>
        </w:tc>
        <w:tc>
          <w:tcPr>
            <w:tcW w:w="1185" w:type="dxa"/>
            <w:vAlign w:val="bottom"/>
          </w:tcPr>
          <w:p w14:paraId="2B2CD55E"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.222</w:t>
            </w:r>
          </w:p>
        </w:tc>
        <w:tc>
          <w:tcPr>
            <w:tcW w:w="1016" w:type="dxa"/>
            <w:vAlign w:val="bottom"/>
          </w:tcPr>
          <w:p w14:paraId="72024898"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.002</w:t>
            </w:r>
          </w:p>
        </w:tc>
        <w:tc>
          <w:tcPr>
            <w:tcW w:w="1015" w:type="dxa"/>
            <w:vAlign w:val="bottom"/>
          </w:tcPr>
          <w:p w14:paraId="5CA7DA11"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4.113*</w:t>
            </w:r>
          </w:p>
        </w:tc>
      </w:tr>
      <w:tr w:rsidR="00271A31" w:rsidRPr="007A2E96" w14:paraId="0A1CA7BD" w14:textId="77777777" w:rsidTr="00792814">
        <w:trPr>
          <w:cantSplit/>
          <w:trHeight w:hRule="exact" w:val="449"/>
        </w:trPr>
        <w:tc>
          <w:tcPr>
            <w:tcW w:w="1992" w:type="dxa"/>
            <w:vAlign w:val="bottom"/>
          </w:tcPr>
          <w:p w14:paraId="0AA82194" w14:textId="77777777" w:rsidR="00271A31" w:rsidRPr="007A2E96" w:rsidRDefault="00271A31" w:rsidP="00792814">
            <w:pPr>
              <w:spacing w:after="160" w:line="259" w:lineRule="auto"/>
            </w:pPr>
            <w:r w:rsidRPr="007A2E96">
              <w:rPr>
                <w:color w:val="000000"/>
              </w:rPr>
              <w:tab/>
              <w:t>Flexibility</w:t>
            </w:r>
          </w:p>
        </w:tc>
        <w:tc>
          <w:tcPr>
            <w:tcW w:w="1523" w:type="dxa"/>
            <w:vAlign w:val="bottom"/>
          </w:tcPr>
          <w:p w14:paraId="6F1CD2B3"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3.73 (0.88)</w:t>
            </w:r>
          </w:p>
        </w:tc>
        <w:tc>
          <w:tcPr>
            <w:tcW w:w="1524" w:type="dxa"/>
            <w:vAlign w:val="bottom"/>
          </w:tcPr>
          <w:p w14:paraId="3FCC161D"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3.55 (0.97)</w:t>
            </w:r>
          </w:p>
        </w:tc>
        <w:tc>
          <w:tcPr>
            <w:tcW w:w="1524" w:type="dxa"/>
            <w:vAlign w:val="bottom"/>
          </w:tcPr>
          <w:p w14:paraId="13791E6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3.76 (0.87)</w:t>
            </w:r>
          </w:p>
        </w:tc>
        <w:tc>
          <w:tcPr>
            <w:tcW w:w="1524" w:type="dxa"/>
            <w:vAlign w:val="bottom"/>
          </w:tcPr>
          <w:p w14:paraId="288FC396"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3.63 (0.97)</w:t>
            </w:r>
          </w:p>
        </w:tc>
        <w:tc>
          <w:tcPr>
            <w:tcW w:w="1692" w:type="dxa"/>
            <w:vAlign w:val="bottom"/>
          </w:tcPr>
          <w:p w14:paraId="2E4F227E"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4.21 (0.82)</w:t>
            </w:r>
          </w:p>
        </w:tc>
        <w:tc>
          <w:tcPr>
            <w:tcW w:w="1354" w:type="dxa"/>
            <w:vAlign w:val="bottom"/>
          </w:tcPr>
          <w:p w14:paraId="2CEAFCD0"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3.45 (0.95)</w:t>
            </w:r>
          </w:p>
        </w:tc>
        <w:tc>
          <w:tcPr>
            <w:tcW w:w="1185" w:type="dxa"/>
            <w:vAlign w:val="bottom"/>
          </w:tcPr>
          <w:p w14:paraId="4DF18483"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9.402**</w:t>
            </w:r>
          </w:p>
        </w:tc>
        <w:tc>
          <w:tcPr>
            <w:tcW w:w="1016" w:type="dxa"/>
            <w:vAlign w:val="bottom"/>
          </w:tcPr>
          <w:p w14:paraId="4575845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2.967</w:t>
            </w:r>
          </w:p>
        </w:tc>
        <w:tc>
          <w:tcPr>
            <w:tcW w:w="1015" w:type="dxa"/>
            <w:vAlign w:val="bottom"/>
          </w:tcPr>
          <w:p w14:paraId="48629C8D"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1.258</w:t>
            </w:r>
          </w:p>
        </w:tc>
      </w:tr>
      <w:tr w:rsidR="00271A31" w:rsidRPr="007A2E96" w14:paraId="25BFF342" w14:textId="77777777" w:rsidTr="00792814">
        <w:trPr>
          <w:cantSplit/>
          <w:trHeight w:hRule="exact" w:val="449"/>
        </w:trPr>
        <w:tc>
          <w:tcPr>
            <w:tcW w:w="1992" w:type="dxa"/>
            <w:vAlign w:val="bottom"/>
          </w:tcPr>
          <w:p w14:paraId="085BC153" w14:textId="77777777" w:rsidR="00271A31" w:rsidRPr="007A2E96" w:rsidRDefault="00271A31" w:rsidP="00792814">
            <w:pPr>
              <w:spacing w:after="160" w:line="259" w:lineRule="auto"/>
            </w:pPr>
            <w:r w:rsidRPr="007A2E96">
              <w:rPr>
                <w:color w:val="000000"/>
              </w:rPr>
              <w:t>Barriers</w:t>
            </w:r>
          </w:p>
        </w:tc>
        <w:tc>
          <w:tcPr>
            <w:tcW w:w="1523" w:type="dxa"/>
            <w:vAlign w:val="bottom"/>
          </w:tcPr>
          <w:p w14:paraId="43144174"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7B1FD0BC"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0E97B516"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6D0AB8F9" w14:textId="77777777" w:rsidR="00271A31" w:rsidRPr="007A2E96" w:rsidRDefault="00271A31" w:rsidP="00792814">
            <w:pPr>
              <w:autoSpaceDE w:val="0"/>
              <w:autoSpaceDN w:val="0"/>
              <w:adjustRightInd w:val="0"/>
              <w:spacing w:line="320" w:lineRule="atLeast"/>
              <w:ind w:left="60" w:right="60"/>
              <w:jc w:val="center"/>
            </w:pPr>
          </w:p>
        </w:tc>
        <w:tc>
          <w:tcPr>
            <w:tcW w:w="1692" w:type="dxa"/>
            <w:vAlign w:val="bottom"/>
          </w:tcPr>
          <w:p w14:paraId="4F671A33" w14:textId="77777777" w:rsidR="00271A31" w:rsidRPr="007A2E96" w:rsidRDefault="00271A31" w:rsidP="00792814">
            <w:pPr>
              <w:autoSpaceDE w:val="0"/>
              <w:autoSpaceDN w:val="0"/>
              <w:adjustRightInd w:val="0"/>
              <w:spacing w:line="320" w:lineRule="atLeast"/>
              <w:ind w:left="60" w:right="60"/>
              <w:jc w:val="center"/>
            </w:pPr>
          </w:p>
        </w:tc>
        <w:tc>
          <w:tcPr>
            <w:tcW w:w="1354" w:type="dxa"/>
            <w:vAlign w:val="bottom"/>
          </w:tcPr>
          <w:p w14:paraId="4164E62D" w14:textId="77777777" w:rsidR="00271A31" w:rsidRPr="007A2E96" w:rsidRDefault="00271A31" w:rsidP="00792814">
            <w:pPr>
              <w:autoSpaceDE w:val="0"/>
              <w:autoSpaceDN w:val="0"/>
              <w:adjustRightInd w:val="0"/>
              <w:spacing w:line="320" w:lineRule="atLeast"/>
              <w:ind w:left="60" w:right="60"/>
              <w:jc w:val="center"/>
            </w:pPr>
          </w:p>
        </w:tc>
        <w:tc>
          <w:tcPr>
            <w:tcW w:w="1185" w:type="dxa"/>
            <w:vAlign w:val="bottom"/>
          </w:tcPr>
          <w:p w14:paraId="56DF2968" w14:textId="77777777" w:rsidR="00271A31" w:rsidRPr="007A2E96" w:rsidRDefault="00271A31" w:rsidP="00792814">
            <w:pPr>
              <w:autoSpaceDE w:val="0"/>
              <w:autoSpaceDN w:val="0"/>
              <w:adjustRightInd w:val="0"/>
              <w:spacing w:line="320" w:lineRule="atLeast"/>
              <w:ind w:left="60" w:right="60"/>
              <w:jc w:val="center"/>
            </w:pPr>
          </w:p>
        </w:tc>
        <w:tc>
          <w:tcPr>
            <w:tcW w:w="1016" w:type="dxa"/>
            <w:vAlign w:val="bottom"/>
          </w:tcPr>
          <w:p w14:paraId="4A446B8C" w14:textId="77777777" w:rsidR="00271A31" w:rsidRPr="007A2E96" w:rsidRDefault="00271A31" w:rsidP="00792814">
            <w:pPr>
              <w:autoSpaceDE w:val="0"/>
              <w:autoSpaceDN w:val="0"/>
              <w:adjustRightInd w:val="0"/>
              <w:spacing w:line="320" w:lineRule="atLeast"/>
              <w:ind w:left="60" w:right="60"/>
              <w:jc w:val="center"/>
            </w:pPr>
          </w:p>
        </w:tc>
        <w:tc>
          <w:tcPr>
            <w:tcW w:w="1015" w:type="dxa"/>
            <w:vAlign w:val="bottom"/>
          </w:tcPr>
          <w:p w14:paraId="3DDEC1DC" w14:textId="77777777" w:rsidR="00271A31" w:rsidRPr="007A2E96" w:rsidRDefault="00271A31" w:rsidP="00792814">
            <w:pPr>
              <w:autoSpaceDE w:val="0"/>
              <w:autoSpaceDN w:val="0"/>
              <w:adjustRightInd w:val="0"/>
              <w:spacing w:line="320" w:lineRule="atLeast"/>
              <w:ind w:left="60" w:right="60"/>
              <w:jc w:val="center"/>
            </w:pPr>
          </w:p>
        </w:tc>
      </w:tr>
      <w:tr w:rsidR="00271A31" w:rsidRPr="007A2E96" w14:paraId="2D8E6D50" w14:textId="77777777" w:rsidTr="00792814">
        <w:trPr>
          <w:cantSplit/>
          <w:trHeight w:hRule="exact" w:val="449"/>
        </w:trPr>
        <w:tc>
          <w:tcPr>
            <w:tcW w:w="1992" w:type="dxa"/>
            <w:vAlign w:val="bottom"/>
          </w:tcPr>
          <w:p w14:paraId="4FE3F8C0" w14:textId="77777777" w:rsidR="00271A31" w:rsidRPr="007A2E96" w:rsidRDefault="00271A31" w:rsidP="00792814">
            <w:pPr>
              <w:spacing w:after="160" w:line="259" w:lineRule="auto"/>
            </w:pPr>
            <w:r w:rsidRPr="007A2E96">
              <w:rPr>
                <w:color w:val="000000"/>
              </w:rPr>
              <w:tab/>
              <w:t>Internal</w:t>
            </w:r>
          </w:p>
        </w:tc>
        <w:tc>
          <w:tcPr>
            <w:tcW w:w="1523" w:type="dxa"/>
            <w:vAlign w:val="bottom"/>
          </w:tcPr>
          <w:p w14:paraId="77CACC6A" w14:textId="77777777" w:rsidR="00271A31" w:rsidRPr="007A2E96" w:rsidRDefault="00271A31" w:rsidP="00792814">
            <w:pPr>
              <w:autoSpaceDE w:val="0"/>
              <w:autoSpaceDN w:val="0"/>
              <w:adjustRightInd w:val="0"/>
              <w:spacing w:line="320" w:lineRule="atLeast"/>
              <w:ind w:left="60" w:right="60"/>
              <w:jc w:val="center"/>
              <w:rPr>
                <w:color w:val="000000"/>
                <w:highlight w:val="yellow"/>
              </w:rPr>
            </w:pPr>
            <w:r w:rsidRPr="007A2E96">
              <w:rPr>
                <w:color w:val="000000"/>
              </w:rPr>
              <w:t>3.16 (0.92)</w:t>
            </w:r>
          </w:p>
        </w:tc>
        <w:tc>
          <w:tcPr>
            <w:tcW w:w="1524" w:type="dxa"/>
            <w:vAlign w:val="bottom"/>
          </w:tcPr>
          <w:p w14:paraId="3A110993" w14:textId="77777777" w:rsidR="00271A31" w:rsidRPr="007A2E96" w:rsidRDefault="00271A31" w:rsidP="00792814">
            <w:pPr>
              <w:autoSpaceDE w:val="0"/>
              <w:autoSpaceDN w:val="0"/>
              <w:adjustRightInd w:val="0"/>
              <w:spacing w:line="320" w:lineRule="atLeast"/>
              <w:ind w:left="60" w:right="60"/>
              <w:jc w:val="center"/>
              <w:rPr>
                <w:color w:val="000000"/>
                <w:highlight w:val="yellow"/>
              </w:rPr>
            </w:pPr>
            <w:r w:rsidRPr="007A2E96">
              <w:rPr>
                <w:color w:val="000000"/>
              </w:rPr>
              <w:t>3.59 (1)</w:t>
            </w:r>
          </w:p>
        </w:tc>
        <w:tc>
          <w:tcPr>
            <w:tcW w:w="1524" w:type="dxa"/>
            <w:vAlign w:val="bottom"/>
          </w:tcPr>
          <w:p w14:paraId="3AA92B0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3.07 (0.88)</w:t>
            </w:r>
          </w:p>
        </w:tc>
        <w:tc>
          <w:tcPr>
            <w:tcW w:w="1524" w:type="dxa"/>
            <w:vAlign w:val="bottom"/>
          </w:tcPr>
          <w:p w14:paraId="06E4E1EC"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3.05 (0.93)</w:t>
            </w:r>
          </w:p>
        </w:tc>
        <w:tc>
          <w:tcPr>
            <w:tcW w:w="1692" w:type="dxa"/>
            <w:vAlign w:val="bottom"/>
          </w:tcPr>
          <w:p w14:paraId="15BBD28F"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2.95 (0.88)</w:t>
            </w:r>
          </w:p>
        </w:tc>
        <w:tc>
          <w:tcPr>
            <w:tcW w:w="1354" w:type="dxa"/>
            <w:vAlign w:val="bottom"/>
          </w:tcPr>
          <w:p w14:paraId="618977C9" w14:textId="77777777" w:rsidR="00271A31" w:rsidRPr="007A2E96" w:rsidRDefault="00271A31" w:rsidP="00792814">
            <w:pPr>
              <w:autoSpaceDE w:val="0"/>
              <w:autoSpaceDN w:val="0"/>
              <w:adjustRightInd w:val="0"/>
              <w:spacing w:line="320" w:lineRule="atLeast"/>
              <w:ind w:left="60" w:right="60"/>
              <w:jc w:val="center"/>
              <w:rPr>
                <w:highlight w:val="yellow"/>
              </w:rPr>
            </w:pPr>
            <w:r w:rsidRPr="007A2E96">
              <w:rPr>
                <w:color w:val="000000"/>
              </w:rPr>
              <w:t>3.09 (0.95)</w:t>
            </w:r>
          </w:p>
        </w:tc>
        <w:tc>
          <w:tcPr>
            <w:tcW w:w="1185" w:type="dxa"/>
            <w:vAlign w:val="bottom"/>
          </w:tcPr>
          <w:p w14:paraId="71C550EE"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4.409*</w:t>
            </w:r>
          </w:p>
        </w:tc>
        <w:tc>
          <w:tcPr>
            <w:tcW w:w="1016" w:type="dxa"/>
            <w:vAlign w:val="bottom"/>
          </w:tcPr>
          <w:p w14:paraId="39BE9E6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1.562</w:t>
            </w:r>
          </w:p>
        </w:tc>
        <w:tc>
          <w:tcPr>
            <w:tcW w:w="1015" w:type="dxa"/>
            <w:vAlign w:val="bottom"/>
          </w:tcPr>
          <w:p w14:paraId="60D02E5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3.909*</w:t>
            </w:r>
          </w:p>
        </w:tc>
      </w:tr>
      <w:tr w:rsidR="00271A31" w:rsidRPr="007A2E96" w14:paraId="3462DED4" w14:textId="77777777" w:rsidTr="00792814">
        <w:trPr>
          <w:cantSplit/>
          <w:trHeight w:hRule="exact" w:val="449"/>
        </w:trPr>
        <w:tc>
          <w:tcPr>
            <w:tcW w:w="1992" w:type="dxa"/>
            <w:vAlign w:val="bottom"/>
          </w:tcPr>
          <w:p w14:paraId="4C046842" w14:textId="77777777" w:rsidR="00271A31" w:rsidRPr="007A2E96" w:rsidRDefault="00271A31" w:rsidP="00792814">
            <w:pPr>
              <w:spacing w:after="160" w:line="259" w:lineRule="auto"/>
            </w:pPr>
            <w:r w:rsidRPr="007A2E96">
              <w:rPr>
                <w:color w:val="000000"/>
              </w:rPr>
              <w:tab/>
              <w:t>External</w:t>
            </w:r>
          </w:p>
        </w:tc>
        <w:tc>
          <w:tcPr>
            <w:tcW w:w="1523" w:type="dxa"/>
            <w:vAlign w:val="bottom"/>
          </w:tcPr>
          <w:p w14:paraId="60208FC8"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3.89 (0.76)</w:t>
            </w:r>
          </w:p>
        </w:tc>
        <w:tc>
          <w:tcPr>
            <w:tcW w:w="1524" w:type="dxa"/>
            <w:vAlign w:val="bottom"/>
          </w:tcPr>
          <w:p w14:paraId="5C38C36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4.03 (0.74)</w:t>
            </w:r>
          </w:p>
        </w:tc>
        <w:tc>
          <w:tcPr>
            <w:tcW w:w="1524" w:type="dxa"/>
            <w:vAlign w:val="bottom"/>
          </w:tcPr>
          <w:p w14:paraId="08ACEE6F"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3.86 (0.77)</w:t>
            </w:r>
          </w:p>
        </w:tc>
        <w:tc>
          <w:tcPr>
            <w:tcW w:w="1524" w:type="dxa"/>
            <w:vAlign w:val="bottom"/>
          </w:tcPr>
          <w:p w14:paraId="6D43CBA6"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3.64 (1.01)</w:t>
            </w:r>
          </w:p>
        </w:tc>
        <w:tc>
          <w:tcPr>
            <w:tcW w:w="1692" w:type="dxa"/>
            <w:vAlign w:val="bottom"/>
          </w:tcPr>
          <w:p w14:paraId="5CE88967"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3.9 (0.89)</w:t>
            </w:r>
          </w:p>
        </w:tc>
        <w:tc>
          <w:tcPr>
            <w:tcW w:w="1354" w:type="dxa"/>
            <w:vAlign w:val="bottom"/>
          </w:tcPr>
          <w:p w14:paraId="5FEC160C"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3.55 (1.04)</w:t>
            </w:r>
          </w:p>
        </w:tc>
        <w:tc>
          <w:tcPr>
            <w:tcW w:w="1185" w:type="dxa"/>
            <w:vAlign w:val="bottom"/>
          </w:tcPr>
          <w:p w14:paraId="7F16BE32"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.374</w:t>
            </w:r>
          </w:p>
        </w:tc>
        <w:tc>
          <w:tcPr>
            <w:tcW w:w="1016" w:type="dxa"/>
            <w:vAlign w:val="bottom"/>
          </w:tcPr>
          <w:p w14:paraId="268B7D53"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3.226</w:t>
            </w:r>
          </w:p>
        </w:tc>
        <w:tc>
          <w:tcPr>
            <w:tcW w:w="1015" w:type="dxa"/>
            <w:vAlign w:val="bottom"/>
          </w:tcPr>
          <w:p w14:paraId="5053A80D"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2.332</w:t>
            </w:r>
          </w:p>
        </w:tc>
      </w:tr>
      <w:tr w:rsidR="00271A31" w:rsidRPr="007A2E96" w14:paraId="18F400A2" w14:textId="77777777" w:rsidTr="00792814">
        <w:trPr>
          <w:cantSplit/>
          <w:trHeight w:hRule="exact" w:val="449"/>
        </w:trPr>
        <w:tc>
          <w:tcPr>
            <w:tcW w:w="1992" w:type="dxa"/>
            <w:vAlign w:val="bottom"/>
          </w:tcPr>
          <w:p w14:paraId="500B3844" w14:textId="77777777" w:rsidR="00271A31" w:rsidRPr="007A2E96" w:rsidRDefault="00271A31" w:rsidP="00792814">
            <w:pPr>
              <w:spacing w:after="160" w:line="259" w:lineRule="auto"/>
            </w:pPr>
            <w:r w:rsidRPr="007A2E96">
              <w:rPr>
                <w:color w:val="000000"/>
              </w:rPr>
              <w:tab/>
              <w:t>Others</w:t>
            </w:r>
          </w:p>
        </w:tc>
        <w:tc>
          <w:tcPr>
            <w:tcW w:w="1523" w:type="dxa"/>
            <w:vAlign w:val="bottom"/>
          </w:tcPr>
          <w:p w14:paraId="597A6CF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2.36 (0.98)</w:t>
            </w:r>
          </w:p>
        </w:tc>
        <w:tc>
          <w:tcPr>
            <w:tcW w:w="1524" w:type="dxa"/>
            <w:vAlign w:val="bottom"/>
          </w:tcPr>
          <w:p w14:paraId="48B2CE31"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2.42 (1.04)</w:t>
            </w:r>
          </w:p>
        </w:tc>
        <w:tc>
          <w:tcPr>
            <w:tcW w:w="1524" w:type="dxa"/>
            <w:vAlign w:val="bottom"/>
          </w:tcPr>
          <w:p w14:paraId="0E9D09D1"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2.34 (0.97)</w:t>
            </w:r>
          </w:p>
        </w:tc>
        <w:tc>
          <w:tcPr>
            <w:tcW w:w="1524" w:type="dxa"/>
            <w:vAlign w:val="bottom"/>
          </w:tcPr>
          <w:p w14:paraId="398E4C80"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1.95 (0.81)</w:t>
            </w:r>
          </w:p>
        </w:tc>
        <w:tc>
          <w:tcPr>
            <w:tcW w:w="1692" w:type="dxa"/>
            <w:vAlign w:val="bottom"/>
          </w:tcPr>
          <w:p w14:paraId="23199F79"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2.06 (0.87)</w:t>
            </w:r>
          </w:p>
        </w:tc>
        <w:tc>
          <w:tcPr>
            <w:tcW w:w="1354" w:type="dxa"/>
            <w:vAlign w:val="bottom"/>
          </w:tcPr>
          <w:p w14:paraId="290797AF"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1.92 (0.8)</w:t>
            </w:r>
          </w:p>
        </w:tc>
        <w:tc>
          <w:tcPr>
            <w:tcW w:w="1185" w:type="dxa"/>
            <w:vAlign w:val="bottom"/>
          </w:tcPr>
          <w:p w14:paraId="2352ED4B"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.040</w:t>
            </w:r>
          </w:p>
        </w:tc>
        <w:tc>
          <w:tcPr>
            <w:tcW w:w="1016" w:type="dxa"/>
            <w:vAlign w:val="bottom"/>
          </w:tcPr>
          <w:p w14:paraId="3F660C1F"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.477</w:t>
            </w:r>
          </w:p>
        </w:tc>
        <w:tc>
          <w:tcPr>
            <w:tcW w:w="1015" w:type="dxa"/>
            <w:vAlign w:val="bottom"/>
          </w:tcPr>
          <w:p w14:paraId="48EBCBBD"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5.918*</w:t>
            </w:r>
          </w:p>
        </w:tc>
      </w:tr>
      <w:tr w:rsidR="00271A31" w:rsidRPr="007A2E96" w14:paraId="01907066" w14:textId="77777777" w:rsidTr="00792814">
        <w:trPr>
          <w:cantSplit/>
          <w:trHeight w:hRule="exact" w:val="449"/>
        </w:trPr>
        <w:tc>
          <w:tcPr>
            <w:tcW w:w="1992" w:type="dxa"/>
            <w:vAlign w:val="bottom"/>
          </w:tcPr>
          <w:p w14:paraId="63C8FAB3" w14:textId="77777777" w:rsidR="00271A31" w:rsidRPr="007A2E96" w:rsidRDefault="00271A31" w:rsidP="00792814">
            <w:pPr>
              <w:spacing w:after="160" w:line="259" w:lineRule="auto"/>
            </w:pPr>
            <w:r w:rsidRPr="007A2E96">
              <w:rPr>
                <w:color w:val="000000"/>
              </w:rPr>
              <w:t>Enablers</w:t>
            </w:r>
          </w:p>
        </w:tc>
        <w:tc>
          <w:tcPr>
            <w:tcW w:w="1523" w:type="dxa"/>
            <w:vAlign w:val="bottom"/>
          </w:tcPr>
          <w:p w14:paraId="3046998B"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1F7D2E48"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20655042" w14:textId="77777777" w:rsidR="00271A31" w:rsidRPr="007A2E96" w:rsidRDefault="00271A31" w:rsidP="00792814">
            <w:pPr>
              <w:autoSpaceDE w:val="0"/>
              <w:autoSpaceDN w:val="0"/>
              <w:adjustRightInd w:val="0"/>
              <w:spacing w:line="320" w:lineRule="atLeast"/>
              <w:ind w:left="60" w:right="60"/>
              <w:jc w:val="center"/>
              <w:rPr>
                <w:color w:val="000000"/>
              </w:rPr>
            </w:pPr>
          </w:p>
        </w:tc>
        <w:tc>
          <w:tcPr>
            <w:tcW w:w="1524" w:type="dxa"/>
            <w:vAlign w:val="bottom"/>
          </w:tcPr>
          <w:p w14:paraId="69C4AE1E" w14:textId="77777777" w:rsidR="00271A31" w:rsidRPr="007A2E96" w:rsidRDefault="00271A31" w:rsidP="00792814">
            <w:pPr>
              <w:autoSpaceDE w:val="0"/>
              <w:autoSpaceDN w:val="0"/>
              <w:adjustRightInd w:val="0"/>
              <w:spacing w:line="320" w:lineRule="atLeast"/>
              <w:ind w:left="60" w:right="60"/>
              <w:jc w:val="center"/>
            </w:pPr>
          </w:p>
        </w:tc>
        <w:tc>
          <w:tcPr>
            <w:tcW w:w="1692" w:type="dxa"/>
            <w:vAlign w:val="bottom"/>
          </w:tcPr>
          <w:p w14:paraId="3958B34E" w14:textId="77777777" w:rsidR="00271A31" w:rsidRPr="007A2E96" w:rsidRDefault="00271A31" w:rsidP="00792814">
            <w:pPr>
              <w:autoSpaceDE w:val="0"/>
              <w:autoSpaceDN w:val="0"/>
              <w:adjustRightInd w:val="0"/>
              <w:spacing w:line="320" w:lineRule="atLeast"/>
              <w:ind w:left="60" w:right="60"/>
              <w:jc w:val="center"/>
            </w:pPr>
          </w:p>
        </w:tc>
        <w:tc>
          <w:tcPr>
            <w:tcW w:w="1354" w:type="dxa"/>
            <w:vAlign w:val="bottom"/>
          </w:tcPr>
          <w:p w14:paraId="1AE37B39" w14:textId="77777777" w:rsidR="00271A31" w:rsidRPr="007A2E96" w:rsidRDefault="00271A31" w:rsidP="00792814">
            <w:pPr>
              <w:autoSpaceDE w:val="0"/>
              <w:autoSpaceDN w:val="0"/>
              <w:adjustRightInd w:val="0"/>
              <w:spacing w:line="320" w:lineRule="atLeast"/>
              <w:ind w:left="60" w:right="60"/>
              <w:jc w:val="center"/>
            </w:pPr>
          </w:p>
        </w:tc>
        <w:tc>
          <w:tcPr>
            <w:tcW w:w="1185" w:type="dxa"/>
            <w:vAlign w:val="bottom"/>
          </w:tcPr>
          <w:p w14:paraId="23FB02EA" w14:textId="77777777" w:rsidR="00271A31" w:rsidRPr="007A2E96" w:rsidRDefault="00271A31" w:rsidP="00792814">
            <w:pPr>
              <w:autoSpaceDE w:val="0"/>
              <w:autoSpaceDN w:val="0"/>
              <w:adjustRightInd w:val="0"/>
              <w:spacing w:line="320" w:lineRule="atLeast"/>
              <w:ind w:left="60" w:right="60"/>
              <w:jc w:val="center"/>
            </w:pPr>
          </w:p>
        </w:tc>
        <w:tc>
          <w:tcPr>
            <w:tcW w:w="1016" w:type="dxa"/>
            <w:vAlign w:val="bottom"/>
          </w:tcPr>
          <w:p w14:paraId="6FAB903D" w14:textId="77777777" w:rsidR="00271A31" w:rsidRPr="007A2E96" w:rsidRDefault="00271A31" w:rsidP="00792814">
            <w:pPr>
              <w:autoSpaceDE w:val="0"/>
              <w:autoSpaceDN w:val="0"/>
              <w:adjustRightInd w:val="0"/>
              <w:spacing w:line="320" w:lineRule="atLeast"/>
              <w:ind w:left="60" w:right="60"/>
              <w:jc w:val="center"/>
            </w:pPr>
          </w:p>
        </w:tc>
        <w:tc>
          <w:tcPr>
            <w:tcW w:w="1015" w:type="dxa"/>
            <w:vAlign w:val="bottom"/>
          </w:tcPr>
          <w:p w14:paraId="23C96E12" w14:textId="77777777" w:rsidR="00271A31" w:rsidRPr="007A2E96" w:rsidRDefault="00271A31" w:rsidP="00792814">
            <w:pPr>
              <w:autoSpaceDE w:val="0"/>
              <w:autoSpaceDN w:val="0"/>
              <w:adjustRightInd w:val="0"/>
              <w:spacing w:line="320" w:lineRule="atLeast"/>
              <w:ind w:left="60" w:right="60"/>
              <w:jc w:val="center"/>
            </w:pPr>
          </w:p>
        </w:tc>
      </w:tr>
      <w:tr w:rsidR="00271A31" w:rsidRPr="007A2E96" w14:paraId="6F265503" w14:textId="77777777" w:rsidTr="00792814">
        <w:trPr>
          <w:cantSplit/>
          <w:trHeight w:hRule="exact" w:val="449"/>
        </w:trPr>
        <w:tc>
          <w:tcPr>
            <w:tcW w:w="1992" w:type="dxa"/>
            <w:vAlign w:val="bottom"/>
          </w:tcPr>
          <w:p w14:paraId="1D34B3F3" w14:textId="77777777" w:rsidR="00271A31" w:rsidRPr="007A2E96" w:rsidRDefault="00271A31" w:rsidP="00792814">
            <w:pPr>
              <w:spacing w:after="160" w:line="259" w:lineRule="auto"/>
            </w:pPr>
            <w:r w:rsidRPr="007A2E96">
              <w:rPr>
                <w:color w:val="000000"/>
              </w:rPr>
              <w:tab/>
              <w:t xml:space="preserve">Idea </w:t>
            </w:r>
          </w:p>
        </w:tc>
        <w:tc>
          <w:tcPr>
            <w:tcW w:w="1523" w:type="dxa"/>
            <w:vAlign w:val="bottom"/>
          </w:tcPr>
          <w:p w14:paraId="09E84248"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3.57 (0.87)</w:t>
            </w:r>
          </w:p>
        </w:tc>
        <w:tc>
          <w:tcPr>
            <w:tcW w:w="1524" w:type="dxa"/>
            <w:vAlign w:val="bottom"/>
          </w:tcPr>
          <w:p w14:paraId="2E436A5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3.72 (0.88)</w:t>
            </w:r>
          </w:p>
        </w:tc>
        <w:tc>
          <w:tcPr>
            <w:tcW w:w="1524" w:type="dxa"/>
            <w:vAlign w:val="bottom"/>
          </w:tcPr>
          <w:p w14:paraId="6B531A7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3.54 (0.87)</w:t>
            </w:r>
          </w:p>
        </w:tc>
        <w:tc>
          <w:tcPr>
            <w:tcW w:w="1524" w:type="dxa"/>
            <w:vAlign w:val="bottom"/>
          </w:tcPr>
          <w:p w14:paraId="6E2BA979"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3.23 (1.05)</w:t>
            </w:r>
          </w:p>
        </w:tc>
        <w:tc>
          <w:tcPr>
            <w:tcW w:w="1692" w:type="dxa"/>
            <w:vAlign w:val="bottom"/>
          </w:tcPr>
          <w:p w14:paraId="1C1185D0"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3.6 (1.1)</w:t>
            </w:r>
          </w:p>
        </w:tc>
        <w:tc>
          <w:tcPr>
            <w:tcW w:w="1354" w:type="dxa"/>
            <w:vAlign w:val="bottom"/>
          </w:tcPr>
          <w:p w14:paraId="674743F8" w14:textId="77777777" w:rsidR="00271A31" w:rsidRPr="007A2E96" w:rsidRDefault="00271A31" w:rsidP="00792814">
            <w:pPr>
              <w:autoSpaceDE w:val="0"/>
              <w:autoSpaceDN w:val="0"/>
              <w:adjustRightInd w:val="0"/>
              <w:spacing w:line="320" w:lineRule="atLeast"/>
              <w:ind w:left="60" w:right="60"/>
              <w:jc w:val="center"/>
            </w:pPr>
            <w:r w:rsidRPr="007A2E96">
              <w:rPr>
                <w:color w:val="000000"/>
              </w:rPr>
              <w:t>3.11 (1.02)</w:t>
            </w:r>
          </w:p>
        </w:tc>
        <w:tc>
          <w:tcPr>
            <w:tcW w:w="1185" w:type="dxa"/>
          </w:tcPr>
          <w:p w14:paraId="34075EE8"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.979</w:t>
            </w:r>
          </w:p>
        </w:tc>
        <w:tc>
          <w:tcPr>
            <w:tcW w:w="1016" w:type="dxa"/>
            <w:vAlign w:val="bottom"/>
          </w:tcPr>
          <w:p w14:paraId="19D0ADA5"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4.449*</w:t>
            </w:r>
          </w:p>
        </w:tc>
        <w:tc>
          <w:tcPr>
            <w:tcW w:w="1015" w:type="dxa"/>
            <w:vAlign w:val="bottom"/>
          </w:tcPr>
          <w:p w14:paraId="75A251B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2.951</w:t>
            </w:r>
          </w:p>
        </w:tc>
      </w:tr>
      <w:tr w:rsidR="00271A31" w:rsidRPr="007A2E96" w14:paraId="3FEBA827" w14:textId="77777777" w:rsidTr="00792814">
        <w:trPr>
          <w:cantSplit/>
          <w:trHeight w:hRule="exact" w:val="449"/>
        </w:trPr>
        <w:tc>
          <w:tcPr>
            <w:tcW w:w="1992" w:type="dxa"/>
            <w:vAlign w:val="bottom"/>
          </w:tcPr>
          <w:p w14:paraId="2C984B74" w14:textId="77777777" w:rsidR="00271A31" w:rsidRPr="007A2E96" w:rsidRDefault="00271A31" w:rsidP="00792814">
            <w:pPr>
              <w:spacing w:after="160" w:line="259" w:lineRule="auto"/>
              <w:rPr>
                <w:color w:val="000000"/>
              </w:rPr>
            </w:pPr>
            <w:r w:rsidRPr="007A2E96">
              <w:rPr>
                <w:color w:val="000000"/>
              </w:rPr>
              <w:tab/>
              <w:t>Policy</w:t>
            </w:r>
          </w:p>
        </w:tc>
        <w:tc>
          <w:tcPr>
            <w:tcW w:w="1523" w:type="dxa"/>
            <w:vAlign w:val="bottom"/>
          </w:tcPr>
          <w:p w14:paraId="69936240"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2.52 (1.42)</w:t>
            </w:r>
          </w:p>
        </w:tc>
        <w:tc>
          <w:tcPr>
            <w:tcW w:w="1524" w:type="dxa"/>
            <w:vAlign w:val="bottom"/>
          </w:tcPr>
          <w:p w14:paraId="562D2B88"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2.69 (1.33)</w:t>
            </w:r>
          </w:p>
        </w:tc>
        <w:tc>
          <w:tcPr>
            <w:tcW w:w="1524" w:type="dxa"/>
            <w:vAlign w:val="bottom"/>
          </w:tcPr>
          <w:p w14:paraId="1DEBEB08"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2.5 (1.43)</w:t>
            </w:r>
          </w:p>
        </w:tc>
        <w:tc>
          <w:tcPr>
            <w:tcW w:w="1524" w:type="dxa"/>
            <w:vAlign w:val="bottom"/>
          </w:tcPr>
          <w:p w14:paraId="7EA45796"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2.1 (1.17)</w:t>
            </w:r>
          </w:p>
        </w:tc>
        <w:tc>
          <w:tcPr>
            <w:tcW w:w="1692" w:type="dxa"/>
            <w:vAlign w:val="bottom"/>
          </w:tcPr>
          <w:p w14:paraId="01C112D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2.29 (1.21)</w:t>
            </w:r>
          </w:p>
        </w:tc>
        <w:tc>
          <w:tcPr>
            <w:tcW w:w="1354" w:type="dxa"/>
            <w:vAlign w:val="bottom"/>
          </w:tcPr>
          <w:p w14:paraId="66FCE453"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2.04 (1.16)</w:t>
            </w:r>
          </w:p>
        </w:tc>
        <w:tc>
          <w:tcPr>
            <w:tcW w:w="1185" w:type="dxa"/>
            <w:vAlign w:val="bottom"/>
          </w:tcPr>
          <w:p w14:paraId="0ED027A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.020</w:t>
            </w:r>
          </w:p>
        </w:tc>
        <w:tc>
          <w:tcPr>
            <w:tcW w:w="1016" w:type="dxa"/>
            <w:vAlign w:val="bottom"/>
          </w:tcPr>
          <w:p w14:paraId="628E5143"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.913</w:t>
            </w:r>
          </w:p>
        </w:tc>
        <w:tc>
          <w:tcPr>
            <w:tcW w:w="1015" w:type="dxa"/>
            <w:vAlign w:val="bottom"/>
          </w:tcPr>
          <w:p w14:paraId="08D07380"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3.377</w:t>
            </w:r>
          </w:p>
        </w:tc>
      </w:tr>
      <w:tr w:rsidR="00271A31" w:rsidRPr="007A2E96" w14:paraId="1BD6CEF1" w14:textId="77777777" w:rsidTr="00792814">
        <w:trPr>
          <w:cantSplit/>
          <w:trHeight w:hRule="exact" w:val="449"/>
        </w:trPr>
        <w:tc>
          <w:tcPr>
            <w:tcW w:w="1992" w:type="dxa"/>
            <w:vAlign w:val="bottom"/>
          </w:tcPr>
          <w:p w14:paraId="4E9EB1EA" w14:textId="77777777" w:rsidR="00271A31" w:rsidRPr="007A2E96" w:rsidRDefault="00271A31" w:rsidP="00792814">
            <w:pPr>
              <w:spacing w:after="160" w:line="259" w:lineRule="auto"/>
              <w:rPr>
                <w:color w:val="000000"/>
              </w:rPr>
            </w:pPr>
            <w:r w:rsidRPr="007A2E96">
              <w:rPr>
                <w:color w:val="000000"/>
              </w:rPr>
              <w:tab/>
              <w:t>Support</w:t>
            </w:r>
          </w:p>
        </w:tc>
        <w:tc>
          <w:tcPr>
            <w:tcW w:w="1523" w:type="dxa"/>
            <w:vAlign w:val="bottom"/>
          </w:tcPr>
          <w:p w14:paraId="391C3E5E"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4.01 (0.8)</w:t>
            </w:r>
          </w:p>
        </w:tc>
        <w:tc>
          <w:tcPr>
            <w:tcW w:w="1524" w:type="dxa"/>
            <w:vAlign w:val="bottom"/>
          </w:tcPr>
          <w:p w14:paraId="0B916642"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4.05 (0.97)</w:t>
            </w:r>
          </w:p>
        </w:tc>
        <w:tc>
          <w:tcPr>
            <w:tcW w:w="1524" w:type="dxa"/>
            <w:vAlign w:val="bottom"/>
          </w:tcPr>
          <w:p w14:paraId="640C97BD"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 (0.76)</w:t>
            </w:r>
          </w:p>
        </w:tc>
        <w:tc>
          <w:tcPr>
            <w:tcW w:w="1524" w:type="dxa"/>
            <w:vAlign w:val="bottom"/>
          </w:tcPr>
          <w:p w14:paraId="52261C7A"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3.87 (0.81)</w:t>
            </w:r>
          </w:p>
        </w:tc>
        <w:tc>
          <w:tcPr>
            <w:tcW w:w="1692" w:type="dxa"/>
            <w:vAlign w:val="bottom"/>
          </w:tcPr>
          <w:p w14:paraId="1B1F66F7"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4.1 (0.86)</w:t>
            </w:r>
          </w:p>
        </w:tc>
        <w:tc>
          <w:tcPr>
            <w:tcW w:w="1354" w:type="dxa"/>
            <w:vAlign w:val="bottom"/>
          </w:tcPr>
          <w:p w14:paraId="1EBDC1C3"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3.8 (0.78)</w:t>
            </w:r>
          </w:p>
        </w:tc>
        <w:tc>
          <w:tcPr>
            <w:tcW w:w="1185" w:type="dxa"/>
            <w:vAlign w:val="bottom"/>
          </w:tcPr>
          <w:p w14:paraId="70BF19DF"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.830</w:t>
            </w:r>
          </w:p>
        </w:tc>
        <w:tc>
          <w:tcPr>
            <w:tcW w:w="1016" w:type="dxa"/>
            <w:vAlign w:val="bottom"/>
          </w:tcPr>
          <w:p w14:paraId="6E507D84"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1.590</w:t>
            </w:r>
          </w:p>
        </w:tc>
        <w:tc>
          <w:tcPr>
            <w:tcW w:w="1015" w:type="dxa"/>
            <w:vAlign w:val="bottom"/>
          </w:tcPr>
          <w:p w14:paraId="20EC1463" w14:textId="77777777" w:rsidR="00271A31" w:rsidRPr="007A2E96" w:rsidRDefault="00271A31" w:rsidP="00792814">
            <w:pPr>
              <w:autoSpaceDE w:val="0"/>
              <w:autoSpaceDN w:val="0"/>
              <w:adjustRightInd w:val="0"/>
              <w:spacing w:line="320" w:lineRule="atLeast"/>
              <w:ind w:left="60" w:right="60"/>
              <w:jc w:val="center"/>
              <w:rPr>
                <w:color w:val="000000"/>
              </w:rPr>
            </w:pPr>
            <w:r w:rsidRPr="007A2E96">
              <w:rPr>
                <w:color w:val="000000"/>
              </w:rPr>
              <w:t>.284</w:t>
            </w:r>
          </w:p>
        </w:tc>
      </w:tr>
    </w:tbl>
    <w:p w14:paraId="1ACDB724" w14:textId="77777777" w:rsidR="00271A31" w:rsidRPr="00823DE2" w:rsidRDefault="00271A31" w:rsidP="00271A31">
      <w:pPr>
        <w:spacing w:line="259" w:lineRule="auto"/>
      </w:pPr>
      <w:r w:rsidRPr="00823DE2">
        <w:t>*p&lt;.05</w:t>
      </w:r>
    </w:p>
    <w:p w14:paraId="60F78D68" w14:textId="77777777" w:rsidR="00271A31" w:rsidRPr="00F06679" w:rsidRDefault="00271A31" w:rsidP="00271A31">
      <w:pPr>
        <w:rPr>
          <w:lang w:val="en-AU" w:eastAsia="en-AU"/>
        </w:rPr>
      </w:pPr>
      <w:r w:rsidRPr="00F06679">
        <w:t>*p&lt;.005</w:t>
      </w:r>
    </w:p>
    <w:p w14:paraId="13F8CADE" w14:textId="77777777" w:rsidR="00271A31" w:rsidRDefault="00271A31">
      <w:pPr>
        <w:spacing w:line="240" w:lineRule="auto"/>
        <w:sectPr w:rsidR="00271A31" w:rsidSect="00C67ABF">
          <w:pgSz w:w="16838" w:h="11906" w:orient="landscape"/>
          <w:pgMar w:top="1134" w:right="1134" w:bottom="1276" w:left="1134" w:header="709" w:footer="709" w:gutter="0"/>
          <w:cols w:space="1134"/>
          <w:titlePg/>
          <w:docGrid w:linePitch="360"/>
        </w:sectPr>
      </w:pPr>
    </w:p>
    <w:p w14:paraId="4A8B5255" w14:textId="77777777" w:rsidR="00271A31" w:rsidRDefault="00271A31">
      <w:pPr>
        <w:spacing w:line="240" w:lineRule="auto"/>
      </w:pPr>
    </w:p>
    <w:p w14:paraId="5DE25CBF" w14:textId="77777777" w:rsidR="00823DE2" w:rsidRPr="00823DE2" w:rsidRDefault="00823DE2" w:rsidP="00FF4524">
      <w:pPr>
        <w:pStyle w:val="Heading3"/>
      </w:pPr>
      <w:r w:rsidRPr="00823DE2">
        <w:t>Barriers</w:t>
      </w:r>
      <w:r w:rsidR="006A62E1">
        <w:t xml:space="preserve"> by gender and institution</w:t>
      </w:r>
    </w:p>
    <w:p w14:paraId="500CEB5F" w14:textId="5A0D2836" w:rsidR="00823DE2" w:rsidRPr="00FF4524" w:rsidRDefault="00823DE2" w:rsidP="00FF4524">
      <w:pPr>
        <w:pStyle w:val="Paragraph"/>
        <w:rPr>
          <w:lang w:val="en-US"/>
        </w:rPr>
      </w:pPr>
      <w:r w:rsidRPr="00823DE2">
        <w:t xml:space="preserve">There was a significant gender and country interaction following a two-way analysis of variance on the subscale </w:t>
      </w:r>
      <w:r w:rsidRPr="00823DE2">
        <w:rPr>
          <w:i/>
        </w:rPr>
        <w:t>internal barriers</w:t>
      </w:r>
      <w:r w:rsidR="007725E8">
        <w:rPr>
          <w:i/>
        </w:rPr>
        <w:t xml:space="preserve"> (</w:t>
      </w:r>
      <w:proofErr w:type="gramStart"/>
      <w:r w:rsidRPr="00823DE2">
        <w:t>F(</w:t>
      </w:r>
      <w:proofErr w:type="gramEnd"/>
      <w:r w:rsidRPr="00823DE2">
        <w:t>1,241)=4.409,p=.037,partial η</w:t>
      </w:r>
      <w:r w:rsidRPr="00823DE2">
        <w:rPr>
          <w:vertAlign w:val="superscript"/>
        </w:rPr>
        <w:t>2</w:t>
      </w:r>
      <w:r w:rsidRPr="00823DE2">
        <w:t>=.018</w:t>
      </w:r>
      <w:r w:rsidR="007725E8">
        <w:t>)</w:t>
      </w:r>
      <w:r w:rsidRPr="00823DE2">
        <w:t xml:space="preserve">. Follow up simple main effect found a significant gender difference for the Australian sample (p=.005). Female students scored the items in relation to internal barriers higher (mean=3.59, </w:t>
      </w:r>
      <w:proofErr w:type="spellStart"/>
      <w:proofErr w:type="gramStart"/>
      <w:r w:rsidRPr="00823DE2">
        <w:t>sd</w:t>
      </w:r>
      <w:proofErr w:type="spellEnd"/>
      <w:r w:rsidRPr="00823DE2">
        <w:t>=</w:t>
      </w:r>
      <w:proofErr w:type="gramEnd"/>
      <w:r w:rsidRPr="00823DE2">
        <w:t xml:space="preserve">1.0) than male students (mean=3.07; </w:t>
      </w:r>
      <w:proofErr w:type="spellStart"/>
      <w:r w:rsidRPr="00823DE2">
        <w:t>sd</w:t>
      </w:r>
      <w:proofErr w:type="spellEnd"/>
      <w:r w:rsidRPr="00823DE2">
        <w:t xml:space="preserve">=.088). A comparison of the scores of female students by country also showed a significant difference (p=.022). Female students from Australia also scored higher than female students from the UK (mean=2.95; </w:t>
      </w:r>
      <w:proofErr w:type="spellStart"/>
      <w:proofErr w:type="gramStart"/>
      <w:r w:rsidRPr="00823DE2">
        <w:t>sd</w:t>
      </w:r>
      <w:proofErr w:type="spellEnd"/>
      <w:r w:rsidRPr="00823DE2">
        <w:t>=</w:t>
      </w:r>
      <w:proofErr w:type="gramEnd"/>
      <w:r w:rsidRPr="00823DE2">
        <w:t xml:space="preserve">0.88). No other significant pairwise </w:t>
      </w:r>
      <w:r w:rsidRPr="00FF4524">
        <w:t xml:space="preserve">comparisons were found. </w:t>
      </w:r>
      <w:r w:rsidR="00F856BA" w:rsidRPr="00FF4524">
        <w:t>Identification of such barriers is consistent with</w:t>
      </w:r>
      <w:r w:rsidR="007E1BC4" w:rsidRPr="00FF4524">
        <w:t xml:space="preserve"> </w:t>
      </w:r>
      <w:r w:rsidR="00EC456B" w:rsidRPr="00FF4524">
        <w:t>similar</w:t>
      </w:r>
      <w:r w:rsidR="007E1BC4" w:rsidRPr="00FF4524">
        <w:t xml:space="preserve"> </w:t>
      </w:r>
      <w:r w:rsidR="00EC456B" w:rsidRPr="00FF4524">
        <w:t xml:space="preserve">gendered approaches to risk observed elsewhere </w:t>
      </w:r>
      <w:r w:rsidR="007922DC" w:rsidRPr="00FF4524">
        <w:fldChar w:fldCharType="begin" w:fldLock="1"/>
      </w:r>
      <w:r w:rsidR="00F35135">
        <w:instrText>ADDIN CSL_CITATION {"citationItems":[{"id":"ITEM-1","itemData":{"DOI":"10.1108/GM-10-2013-0120","ISSN":"1754-2413","author":[{"dropping-particle":"","family":"Humbert","given":"Anne","non-dropping-particle":"","parse-names":false,"suffix":""},{"dropping-particle":"","family":"Brindley","given":"Clare","non-dropping-particle":"","parse-names":false,"suffix":""}],"container-title":"Gender in Management: An International Journal","id":"ITEM-1","issue":"1","issued":{"date-parts":[["2015","3","2"]]},"page":"2-25","title":"Challenging the concept of risk in relation to women’s entrepreneurship","type":"article-journal","volume":"30"},"uris":["http://www.mendeley.com/documents/?uuid=49e99cfd-9b6f-4032-9d5f-db4bd4570320"]}],"mendeley":{"formattedCitation":"(Humbert and Brindley 2015)","plainTextFormattedCitation":"(Humbert and Brindley 2015)","previouslyFormattedCitation":"(Humbert and Brindley 2015)"},"properties":{"noteIndex":0},"schema":"https://github.com/citation-style-language/schema/raw/master/csl-citation.json"}</w:instrText>
      </w:r>
      <w:r w:rsidR="007922DC" w:rsidRPr="00FF4524">
        <w:fldChar w:fldCharType="separate"/>
      </w:r>
      <w:r w:rsidR="00C75467" w:rsidRPr="00FF4524">
        <w:rPr>
          <w:noProof/>
        </w:rPr>
        <w:t>(</w:t>
      </w:r>
      <w:r w:rsidR="006A62E1">
        <w:rPr>
          <w:noProof/>
        </w:rPr>
        <w:t xml:space="preserve">for example, </w:t>
      </w:r>
      <w:r w:rsidR="00C75467" w:rsidRPr="00FF4524">
        <w:rPr>
          <w:noProof/>
        </w:rPr>
        <w:t>Humbert and Brindley 2015)</w:t>
      </w:r>
      <w:r w:rsidR="007922DC" w:rsidRPr="00FF4524">
        <w:fldChar w:fldCharType="end"/>
      </w:r>
      <w:r w:rsidR="005714C4" w:rsidRPr="00FF4524">
        <w:t xml:space="preserve">. </w:t>
      </w:r>
      <w:r w:rsidR="00EC456B" w:rsidRPr="00FF4524">
        <w:t>The Australian female students cited a lack of confidence, lack of leadership skills, not having found the right idea, fear of failure</w:t>
      </w:r>
      <w:r w:rsidR="00EC456B">
        <w:t xml:space="preserve"> and concern about having l</w:t>
      </w:r>
      <w:r w:rsidR="00EC456B" w:rsidRPr="00EC456B">
        <w:t>imited relevant experience</w:t>
      </w:r>
      <w:r w:rsidR="00D871EE">
        <w:t xml:space="preserve">: </w:t>
      </w:r>
      <w:r w:rsidR="000A4684">
        <w:t xml:space="preserve">indeed, </w:t>
      </w:r>
      <w:r w:rsidR="00AD4C59">
        <w:rPr>
          <w:lang w:val="en-US"/>
        </w:rPr>
        <w:t xml:space="preserve">barriers </w:t>
      </w:r>
      <w:r w:rsidR="00D871EE">
        <w:rPr>
          <w:lang w:val="en-US"/>
        </w:rPr>
        <w:t>were</w:t>
      </w:r>
      <w:r w:rsidR="00AD4C59">
        <w:rPr>
          <w:lang w:val="en-US"/>
        </w:rPr>
        <w:t xml:space="preserve"> a more significant</w:t>
      </w:r>
      <w:r w:rsidR="00EF2BA7">
        <w:rPr>
          <w:lang w:val="en-US"/>
        </w:rPr>
        <w:t xml:space="preserve"> concern amongst Australian females</w:t>
      </w:r>
      <w:r w:rsidR="00AD4C59">
        <w:rPr>
          <w:lang w:val="en-US"/>
        </w:rPr>
        <w:t xml:space="preserve">. This could </w:t>
      </w:r>
      <w:r w:rsidR="006A62E1">
        <w:rPr>
          <w:lang w:val="en-US"/>
        </w:rPr>
        <w:t xml:space="preserve">perhaps </w:t>
      </w:r>
      <w:r w:rsidR="00AD4C59">
        <w:rPr>
          <w:lang w:val="en-US"/>
        </w:rPr>
        <w:t xml:space="preserve">be explained by </w:t>
      </w:r>
      <w:r w:rsidR="007725E8">
        <w:rPr>
          <w:lang w:val="en-US"/>
        </w:rPr>
        <w:t xml:space="preserve">an </w:t>
      </w:r>
      <w:r w:rsidR="00AD4C59">
        <w:rPr>
          <w:lang w:val="en-US"/>
        </w:rPr>
        <w:t>Australian aversion to uncertainty compound</w:t>
      </w:r>
      <w:r w:rsidR="00D81EFA">
        <w:rPr>
          <w:lang w:val="en-US"/>
        </w:rPr>
        <w:t>ing</w:t>
      </w:r>
      <w:r w:rsidR="00AD4C59">
        <w:rPr>
          <w:lang w:val="en-US"/>
        </w:rPr>
        <w:t xml:space="preserve"> gendered preferences</w:t>
      </w:r>
      <w:r w:rsidR="007725E8">
        <w:rPr>
          <w:lang w:val="en-US"/>
        </w:rPr>
        <w:t xml:space="preserve"> (Hofstede 2018)</w:t>
      </w:r>
      <w:r w:rsidR="00EF2BA7">
        <w:rPr>
          <w:lang w:val="en-US"/>
        </w:rPr>
        <w:t xml:space="preserve">. </w:t>
      </w:r>
      <w:r w:rsidR="001524BA">
        <w:rPr>
          <w:lang w:val="en-US"/>
        </w:rPr>
        <w:t>S</w:t>
      </w:r>
      <w:proofErr w:type="spellStart"/>
      <w:r w:rsidR="00EC456B">
        <w:t>uggestions</w:t>
      </w:r>
      <w:proofErr w:type="spellEnd"/>
      <w:r w:rsidR="00EC456B">
        <w:t xml:space="preserve"> for </w:t>
      </w:r>
      <w:r w:rsidR="001540AA">
        <w:t xml:space="preserve">increasing relevant experience include support </w:t>
      </w:r>
      <w:r w:rsidR="001540AA" w:rsidRPr="00FF4524">
        <w:t xml:space="preserve">to build </w:t>
      </w:r>
      <w:r w:rsidR="00EC456B" w:rsidRPr="00FF4524">
        <w:t>industry contacts</w:t>
      </w:r>
      <w:r w:rsidR="007922DC" w:rsidRPr="00FF4524">
        <w:t xml:space="preserve"> </w:t>
      </w:r>
      <w:r w:rsidR="007922DC" w:rsidRPr="00FF4524">
        <w:fldChar w:fldCharType="begin" w:fldLock="1"/>
      </w:r>
      <w:r w:rsidR="00F35135">
        <w:instrText>ADDIN CSL_CITATION {"citationItems":[{"id":"ITEM-1","itemData":{"DOI":"10.1080/13602381.2018.1431250","ISSN":"1360-2381","author":[{"dropping-particle":"","family":"Seet","given":"Pi-Shen","non-dropping-particle":"","parse-names":false,"suffix":""},{"dropping-particle":"","family":"Jones","given":"Janice","non-dropping-particle":"","parse-names":false,"suffix":""},{"dropping-particle":"","family":"Oppelaar","given":"Lloyd","non-dropping-particle":"","parse-names":false,"suffix":""},{"dropping-particle":"","family":"Corral de Zubielqui","given":"Graciela","non-dropping-particle":"","parse-names":false,"suffix":""}],"container-title":"Asia Pacific Business Review","id":"ITEM-1","issue":"2","issued":{"date-parts":[["2018","3","15"]]},"page":"233-260","title":"Beyond ‘know-what’ and ‘know-how’ to ‘know-who’: enhancing human capital with social capital in an Australian start-up accelerator","type":"article-journal","volume":"24"},"uris":["http://www.mendeley.com/documents/?uuid=9af51779-9ee6-4b6a-a743-79a60eaf1882"]}],"mendeley":{"formattedCitation":"(Seet et al. 2018)","plainTextFormattedCitation":"(Seet et al. 2018)","previouslyFormattedCitation":"(Seet et al. 2018)"},"properties":{"noteIndex":0},"schema":"https://github.com/citation-style-language/schema/raw/master/csl-citation.json"}</w:instrText>
      </w:r>
      <w:r w:rsidR="007922DC" w:rsidRPr="00FF4524">
        <w:fldChar w:fldCharType="separate"/>
      </w:r>
      <w:r w:rsidR="00C75467" w:rsidRPr="00FF4524">
        <w:rPr>
          <w:noProof/>
        </w:rPr>
        <w:t>(Seet et al. 2018)</w:t>
      </w:r>
      <w:r w:rsidR="007922DC" w:rsidRPr="00FF4524">
        <w:fldChar w:fldCharType="end"/>
      </w:r>
      <w:r w:rsidR="007922DC" w:rsidRPr="00FF4524">
        <w:t>,</w:t>
      </w:r>
      <w:r w:rsidR="00EC456B" w:rsidRPr="00FF4524">
        <w:t xml:space="preserve"> mentors</w:t>
      </w:r>
      <w:r w:rsidR="007922DC" w:rsidRPr="00FF4524">
        <w:t xml:space="preserve"> </w:t>
      </w:r>
      <w:r w:rsidR="007922DC" w:rsidRPr="00FF4524">
        <w:fldChar w:fldCharType="begin" w:fldLock="1"/>
      </w:r>
      <w:r w:rsidR="00F35135">
        <w:instrText>ADDIN CSL_CITATION {"citationItems":[{"id":"ITEM-1","itemData":{"ISSN":"00472778","author":[{"dropping-particle":"","family":"Ahsan","given":"Mujtaba","non-dropping-particle":"","parse-names":false,"suffix":""},{"dropping-particle":"","family":"Zheng","given":"Congcong","non-dropping-particle":"","parse-names":false,"suffix":""},{"dropping-particle":"","family":"DeNoble","given":"Alex","non-dropping-particle":"","parse-names":false,"suffix":""},{"dropping-particle":"","family":"Musteen","given":"Martina","non-dropping-particle":"","parse-names":false,"suffix":""}],"container-title":"Journal of Small Business Management","id":"ITEM-1","issue":"1","issued":{"date-parts":[["2018","1"]]},"note":"10.1111/jsbm.12362\nhttp://doi.wiley.com/10.1111/jsbm.12362","page":"76-102","title":"From Student to Entrepreneur: How Mentorships and Affect Influence Student Venture Launch","type":"article-journal","volume":"56"},"uris":["http://www.mendeley.com/documents/?uuid=99ff7758-20ff-4e39-98ed-29256d1d78c5"]}],"mendeley":{"formattedCitation":"(Ahsan et al. 2018)","plainTextFormattedCitation":"(Ahsan et al. 2018)","previouslyFormattedCitation":"(Ahsan et al. 2018)"},"properties":{"noteIndex":0},"schema":"https://github.com/citation-style-language/schema/raw/master/csl-citation.json"}</w:instrText>
      </w:r>
      <w:r w:rsidR="007922DC" w:rsidRPr="00FF4524">
        <w:fldChar w:fldCharType="separate"/>
      </w:r>
      <w:r w:rsidR="00C75467" w:rsidRPr="00FF4524">
        <w:rPr>
          <w:noProof/>
        </w:rPr>
        <w:t>(Ahsan et al. 2018)</w:t>
      </w:r>
      <w:r w:rsidR="007922DC" w:rsidRPr="00FF4524">
        <w:fldChar w:fldCharType="end"/>
      </w:r>
      <w:r w:rsidR="009A386C" w:rsidRPr="00FF4524">
        <w:t xml:space="preserve"> </w:t>
      </w:r>
      <w:r w:rsidR="001540AA" w:rsidRPr="00FF4524">
        <w:t xml:space="preserve">and </w:t>
      </w:r>
      <w:r w:rsidR="009A386C" w:rsidRPr="00FF4524">
        <w:t>role models</w:t>
      </w:r>
      <w:r w:rsidR="007922DC" w:rsidRPr="00FF4524">
        <w:t xml:space="preserve"> </w:t>
      </w:r>
      <w:r w:rsidR="009A386C" w:rsidRPr="00FF4524">
        <w:t xml:space="preserve"> </w:t>
      </w:r>
      <w:r w:rsidR="007922DC" w:rsidRPr="00FF4524">
        <w:fldChar w:fldCharType="begin" w:fldLock="1"/>
      </w:r>
      <w:r w:rsidR="00F35135">
        <w:instrText>ADDIN CSL_CITATION {"citationItems":[{"id":"ITEM-1","itemData":{"DOI":"10.1108/13552550910995443","author":[{"dropping-particle":"","family":"Pruett","given":"Mark","non-dropping-particle":"","parse-names":false,"suffix":""},{"dropping-particle":"","family":"Shinnar","given":"Rachel","non-dropping-particle":"","parse-names":false,"suffix":""},{"dropping-particle":"","family":"Toney","given":"Bryan","non-dropping-particle":"","parse-names":false,"suffix":""},{"dropping-particle":"","family":"Llopis","given":"Francisco","non-dropping-particle":"","parse-names":false,"suffix":""},{"dropping-particle":"","family":"Fox","given":"Jerry","non-dropping-particle":"","parse-names":false,"suffix":""}],"container-title":"International Journal of Entrepreneurial Behavior and Research","id":"ITEM-1","issue":"6","issued":{"date-parts":[["2009"]]},"page":"571-594","title":"Explaining entrepreneurial intentions of university students: a cross-cultural study Article information","type":"article-journal","volume":"15"},"uris":["http://www.mendeley.com/documents/?uuid=3c221859-7689-359c-b4e7-44be693bdf79"]},{"id":"ITEM-2","itemData":{"DOI":"10.1111/j.1559-1816.2010.00713.x","author":[{"dropping-particle":"","family":"BarNir","given":"Anat","non-dropping-particle":"","parse-names":false,"suffix":""},{"dropping-particle":"","family":"Watston","given":"Warren","non-dropping-particle":"","parse-names":false,"suffix":""},{"dropping-particle":"","family":"Hutchins","given":"Holly","non-dropping-particle":"","parse-names":false,"suffix":""}],"container-title":"Journal of Applied Psychology","id":"ITEM-2","issue":"2","issued":{"date-parts":[["2011"]]},"page":"270-297","title":"Mediation and Moderated Mediation in the Relationship Among Role Models , Self-Efficacy , Entrepreneurial Career Intention , and Gender","type":"article-journal","volume":"41"},"uris":["http://www.mendeley.com/documents/?uuid=277fd7f3-d539-4eef-831b-45854c114011"]}],"mendeley":{"formattedCitation":"(Pruett et al. 2009; BarNir, Watston, and Hutchins 2011)","plainTextFormattedCitation":"(Pruett et al. 2009; BarNir, Watston, and Hutchins 2011)","previouslyFormattedCitation":"(Pruett et al. 2009; BarNir, Watston, and Hutchins 2011)"},"properties":{"noteIndex":0},"schema":"https://github.com/citation-style-language/schema/raw/master/csl-citation.json"}</w:instrText>
      </w:r>
      <w:r w:rsidR="007922DC" w:rsidRPr="00FF4524">
        <w:fldChar w:fldCharType="separate"/>
      </w:r>
      <w:r w:rsidR="00C75467" w:rsidRPr="00FF4524">
        <w:rPr>
          <w:noProof/>
        </w:rPr>
        <w:t>(Pruett et al. 2009; BarNir, Watson, and Hutchins 2011)</w:t>
      </w:r>
      <w:r w:rsidR="007922DC" w:rsidRPr="00FF4524">
        <w:fldChar w:fldCharType="end"/>
      </w:r>
      <w:r w:rsidR="00EC456B" w:rsidRPr="00FF4524">
        <w:t>.</w:t>
      </w:r>
      <w:r w:rsidR="00234F2C" w:rsidRPr="00FF4524">
        <w:rPr>
          <w:lang w:val="en-US"/>
        </w:rPr>
        <w:t xml:space="preserve"> Other studies have, for example, shown women with access to entrepreneurship education expressing greater levels of entrepreneurship self-efficacy related to entrepreneurship activity</w:t>
      </w:r>
      <w:r w:rsidR="001F123C" w:rsidRPr="00FF4524">
        <w:rPr>
          <w:lang w:val="en-US"/>
        </w:rPr>
        <w:t xml:space="preserve"> </w:t>
      </w:r>
      <w:r w:rsidR="001F123C" w:rsidRPr="00FF4524">
        <w:rPr>
          <w:lang w:val="en-US"/>
        </w:rPr>
        <w:fldChar w:fldCharType="begin" w:fldLock="1"/>
      </w:r>
      <w:r w:rsidR="00F35135">
        <w:rPr>
          <w:lang w:val="en-US"/>
        </w:rPr>
        <w:instrText>ADDIN CSL_CITATION {"citationItems":[{"id":"ITEM-1","itemData":{"DOI":"10.1080/03075079.2017.1365359","ISSN":"1470174X","abstract":"© 2017 Society for Research into Higher Education This paper investigates whether entrepreneurial education (EE) contributes to the entrepreneurial intentions (EI) of university students in the Visegrád countries (Czech Republic, Hungary, Poland and Slovakia). The results show several differences with regard to the impact of education and entrepreneurial self-efficacy (ESE) on entrepreneurial intentions across the four nations. The direct impact of entrepreneurship education was positive and significant in only one country, Poland, the only of the four countries to have introduced entrepreneurship education at high-school level. Additionally, an indirect influence of EE on EI was uncovered. Using a multi-construct approach to ESE, the research proves that ESEs related to searching, planning and marshalling activities mediate the impact of entrepreneurial education on intentions, although these effects differ across the studied countries. Lastly, a gender comparison indicates that although women generally have lower entrepreneurial intentions and display lower levels of ESE they benefit more than men do from entrepreneurship education.","author":[{"dropping-particle":"","family":"Nowiński","given":"Witold","non-dropping-particle":"","parse-names":false,"suffix":""},{"dropping-particle":"","family":"Haddoud","given":"Mohamed Yacine","non-dropping-particle":"","parse-names":false,"suffix":""},{"dropping-particle":"","family":"Lančarič","given":"Drahoslav","non-dropping-particle":"","parse-names":false,"suffix":""},{"dropping-particle":"","family":"Egerová","given":"Dana","non-dropping-particle":"","parse-names":false,"suffix":""},{"dropping-particle":"","family":"Czeglédi","given":"Csilla","non-dropping-particle":"","parse-names":false,"suffix":""}],"container-title":"Studies in Higher Education","id":"ITEM-1","issued":{"date-parts":[["2017","8","21"]]},"page":"1-19","title":"The impact of entrepreneurship education, entrepreneurial self-efficacy and gender on entrepreneurial intentions of university students in the Visegrad countries","type":"article-journal"},"uris":["http://www.mendeley.com/documents/?uuid=92d8830d-a6bd-34c2-8f74-b3799d9b41ac"]}],"mendeley":{"formattedCitation":"(Nowiński et al. 2017)","plainTextFormattedCitation":"(Nowiński et al. 2017)","previouslyFormattedCitation":"(Nowiński et al. 2017)"},"properties":{"noteIndex":0},"schema":"https://github.com/citation-style-language/schema/raw/master/csl-citation.json"}</w:instrText>
      </w:r>
      <w:r w:rsidR="001F123C" w:rsidRPr="00FF4524">
        <w:rPr>
          <w:lang w:val="en-US"/>
        </w:rPr>
        <w:fldChar w:fldCharType="separate"/>
      </w:r>
      <w:r w:rsidR="00C75467" w:rsidRPr="00FF4524">
        <w:rPr>
          <w:noProof/>
          <w:lang w:val="en-US"/>
        </w:rPr>
        <w:t>(Nowiński et al. 2017)</w:t>
      </w:r>
      <w:r w:rsidR="001F123C" w:rsidRPr="00FF4524">
        <w:rPr>
          <w:lang w:val="en-US"/>
        </w:rPr>
        <w:fldChar w:fldCharType="end"/>
      </w:r>
      <w:r w:rsidR="00234F2C" w:rsidRPr="00FF4524">
        <w:rPr>
          <w:lang w:val="en-US"/>
        </w:rPr>
        <w:t xml:space="preserve"> and women entrepreneurs expressing a need for competence which could be built through gaining</w:t>
      </w:r>
      <w:r w:rsidR="001140FB">
        <w:rPr>
          <w:lang w:val="en-US"/>
        </w:rPr>
        <w:t xml:space="preserve"> expertise, training and networking</w:t>
      </w:r>
      <w:r w:rsidR="00234F2C" w:rsidRPr="00FF4524">
        <w:rPr>
          <w:lang w:val="en-US"/>
        </w:rPr>
        <w:t xml:space="preserve"> </w:t>
      </w:r>
      <w:r w:rsidR="001F123C" w:rsidRPr="00FF4524">
        <w:rPr>
          <w:lang w:val="en-US"/>
        </w:rPr>
        <w:fldChar w:fldCharType="begin" w:fldLock="1"/>
      </w:r>
      <w:r w:rsidR="00F35135">
        <w:rPr>
          <w:lang w:val="en-US"/>
        </w:rPr>
        <w:instrText>ADDIN CSL_CITATION {"citationItems":[{"id":"ITEM-1","itemData":{"author":[{"dropping-particle":"","family":"Murphy","given":"Dianne","non-dropping-particle":"","parse-names":false,"suffix":""}],"id":"ITEM-1","issued":{"date-parts":[["2017"]]},"publisher":"University of Wisconsin Milwaukee","title":"A Model of Women Entrepreneurs' Well-being","type":"thesis"},"locator":"130","uris":["http://www.mendeley.com/documents/?uuid=0750d9ff-c753-3f83-b9db-587a90117f92"]}],"mendeley":{"formattedCitation":"(Murphy 2017, 130)","manualFormatting":"(Murphy 2017)","plainTextFormattedCitation":"(Murphy 2017, 130)","previouslyFormattedCitation":"(Murphy 2017, 130)"},"properties":{"noteIndex":0},"schema":"https://github.com/citation-style-language/schema/raw/master/csl-citation.json"}</w:instrText>
      </w:r>
      <w:r w:rsidR="001F123C" w:rsidRPr="00FF4524">
        <w:rPr>
          <w:lang w:val="en-US"/>
        </w:rPr>
        <w:fldChar w:fldCharType="separate"/>
      </w:r>
      <w:r w:rsidR="00C75467" w:rsidRPr="00FF4524">
        <w:rPr>
          <w:noProof/>
          <w:lang w:val="en-US"/>
        </w:rPr>
        <w:t>(Murphy 2017)</w:t>
      </w:r>
      <w:r w:rsidR="001F123C" w:rsidRPr="00FF4524">
        <w:rPr>
          <w:lang w:val="en-US"/>
        </w:rPr>
        <w:fldChar w:fldCharType="end"/>
      </w:r>
      <w:r w:rsidR="00234F2C" w:rsidRPr="00FF4524">
        <w:rPr>
          <w:lang w:val="en-US"/>
        </w:rPr>
        <w:t>.</w:t>
      </w:r>
      <w:r w:rsidR="00234F2C">
        <w:rPr>
          <w:lang w:val="en-US"/>
        </w:rPr>
        <w:t xml:space="preserve"> </w:t>
      </w:r>
      <w:r w:rsidR="00D871EE">
        <w:rPr>
          <w:lang w:val="en-US"/>
        </w:rPr>
        <w:t xml:space="preserve">By comparison, </w:t>
      </w:r>
      <w:r w:rsidR="006A62E1">
        <w:rPr>
          <w:lang w:val="en-US"/>
        </w:rPr>
        <w:t xml:space="preserve">the lower ratings for barriers among </w:t>
      </w:r>
      <w:r w:rsidR="00D871EE">
        <w:rPr>
          <w:lang w:val="en-US"/>
        </w:rPr>
        <w:t>UK female student responses</w:t>
      </w:r>
      <w:r w:rsidR="00901C77">
        <w:rPr>
          <w:lang w:val="en-US"/>
        </w:rPr>
        <w:t xml:space="preserve"> could be explained by the </w:t>
      </w:r>
      <w:r w:rsidR="00BE4E70">
        <w:rPr>
          <w:lang w:val="en-US"/>
        </w:rPr>
        <w:t xml:space="preserve">local </w:t>
      </w:r>
      <w:r w:rsidR="00901C77" w:rsidRPr="00FF4524">
        <w:rPr>
          <w:lang w:val="en-US"/>
        </w:rPr>
        <w:t>environment</w:t>
      </w:r>
      <w:r w:rsidR="00D871EE">
        <w:rPr>
          <w:lang w:val="en-US"/>
        </w:rPr>
        <w:t xml:space="preserve">. The </w:t>
      </w:r>
      <w:r w:rsidR="00901C77" w:rsidRPr="00FF4524">
        <w:rPr>
          <w:lang w:val="en-US"/>
        </w:rPr>
        <w:t xml:space="preserve">UK </w:t>
      </w:r>
      <w:proofErr w:type="gramStart"/>
      <w:r w:rsidR="00901C77" w:rsidRPr="00FF4524">
        <w:rPr>
          <w:lang w:val="en-US"/>
        </w:rPr>
        <w:t>university</w:t>
      </w:r>
      <w:proofErr w:type="gramEnd"/>
      <w:r w:rsidR="00901C77" w:rsidRPr="00FF4524">
        <w:rPr>
          <w:lang w:val="en-US"/>
        </w:rPr>
        <w:t xml:space="preserve"> is located in a city with a large and growing IT </w:t>
      </w:r>
      <w:r w:rsidR="00BE4E70" w:rsidRPr="00FF4524">
        <w:rPr>
          <w:lang w:val="en-US"/>
        </w:rPr>
        <w:t xml:space="preserve">entrepreneurship ecosystem where start-ups routinely offer student </w:t>
      </w:r>
      <w:r w:rsidR="004C5BD5" w:rsidRPr="00FF4524">
        <w:rPr>
          <w:lang w:val="en-US"/>
        </w:rPr>
        <w:t>internships and</w:t>
      </w:r>
      <w:r w:rsidR="00BE4E70" w:rsidRPr="00FF4524">
        <w:rPr>
          <w:lang w:val="en-US"/>
        </w:rPr>
        <w:t xml:space="preserve"> graduate jobs, </w:t>
      </w:r>
      <w:r w:rsidR="006A62E1">
        <w:rPr>
          <w:lang w:val="en-US"/>
        </w:rPr>
        <w:t>and access to the IT sector is</w:t>
      </w:r>
      <w:r w:rsidR="00BE4E70" w:rsidRPr="00FF4524">
        <w:rPr>
          <w:lang w:val="en-US"/>
        </w:rPr>
        <w:t xml:space="preserve"> facilitated by staff in the university. Furthermore, the </w:t>
      </w:r>
      <w:r w:rsidR="00D25DD6" w:rsidRPr="00FF4524">
        <w:rPr>
          <w:lang w:val="en-US"/>
        </w:rPr>
        <w:t xml:space="preserve">UK </w:t>
      </w:r>
      <w:proofErr w:type="gramStart"/>
      <w:r w:rsidR="00BE4E70" w:rsidRPr="00FF4524">
        <w:rPr>
          <w:lang w:val="en-US"/>
        </w:rPr>
        <w:t>university</w:t>
      </w:r>
      <w:proofErr w:type="gramEnd"/>
      <w:r w:rsidR="00BE4E70" w:rsidRPr="00FF4524">
        <w:rPr>
          <w:lang w:val="en-US"/>
        </w:rPr>
        <w:t xml:space="preserve"> has a history of entrepreneurship which is promoted during the application cycle. Such activity has been found to affect intention (for </w:t>
      </w:r>
      <w:r w:rsidR="00BE4E70" w:rsidRPr="00FF4524">
        <w:rPr>
          <w:lang w:val="en-US"/>
        </w:rPr>
        <w:lastRenderedPageBreak/>
        <w:t xml:space="preserve">example, </w:t>
      </w:r>
      <w:r w:rsidR="001F123C" w:rsidRPr="00FF4524">
        <w:rPr>
          <w:lang w:val="en-US"/>
        </w:rPr>
        <w:fldChar w:fldCharType="begin" w:fldLock="1"/>
      </w:r>
      <w:r w:rsidR="00F35135">
        <w:rPr>
          <w:lang w:val="en-US"/>
        </w:rPr>
        <w:instrText>ADDIN CSL_CITATION {"citationItems":[{"id":"ITEM-1","itemData":{"DOI":"10.1016/j.emj.2015.12.007","abstract":"Entrepreneurial intentions lie at the foundation of entrepreneurial process. Yet the available evidence suggests that not every entrepreneurial intention is eventually transformed into actual behavior e starting and operating a new venture. Although studies in other research domains suggest high level of intentionebehavior correlation, the studies of intentionebehavior relationship in entrepreneurship are scarce. Using the data from the 2013/2014 Global University Entrepreneurial Spirit Students' Survey, we scrutinize the intention-action gap among student entrepreneurs, attributing it to the contextual factors, i.e., individual (family entrepreneurial background, age, gender) and environmental characteristics (university environment, uncertainty avoidance), affecting the translation of entrepreneurial intentions into entrepreneurial actions.","author":[{"dropping-particle":"","family":"Shirokova","given":"Galina","non-dropping-particle":"","parse-names":false,"suffix":""},{"dropping-particle":"","family":"Osiyevskyy","given":"Oleksiy","non-dropping-particle":"","parse-names":false,"suffix":""},{"dropping-particle":"","family":"Bogatyreva","given":"Karina","non-dropping-particle":"","parse-names":false,"suffix":""}],"container-title":"European Management Journal","id":"ITEM-1","issued":{"date-parts":[["2016"]]},"page":"386-399","title":"Exploring the intentionebehavior link in student entrepreneurship: Moderating effects of individual and environmental characteristics","type":"article-journal","volume":"34"},"uris":["http://www.mendeley.com/documents/?uuid=eefb5fda-bf58-317f-bf36-f9945599b97c"]}],"mendeley":{"formattedCitation":"(Shirokova, Osiyevskyy, and Bogatyreva 2016)","manualFormatting":"Shirokova, Osiyevskyy, and Bogatyreva 2016)","plainTextFormattedCitation":"(Shirokova, Osiyevskyy, and Bogatyreva 2016)","previouslyFormattedCitation":"(Shirokova, Osiyevskyy, and Bogatyreva 2016)"},"properties":{"noteIndex":0},"schema":"https://github.com/citation-style-language/schema/raw/master/csl-citation.json"}</w:instrText>
      </w:r>
      <w:r w:rsidR="001F123C" w:rsidRPr="00FF4524">
        <w:rPr>
          <w:lang w:val="en-US"/>
        </w:rPr>
        <w:fldChar w:fldCharType="separate"/>
      </w:r>
      <w:r w:rsidR="001F123C" w:rsidRPr="00FF4524">
        <w:rPr>
          <w:noProof/>
          <w:lang w:val="en-US"/>
        </w:rPr>
        <w:t>Shirokova, Osiyevskyy, and Bogatyreva 2016)</w:t>
      </w:r>
      <w:r w:rsidR="001F123C" w:rsidRPr="00FF4524">
        <w:rPr>
          <w:lang w:val="en-US"/>
        </w:rPr>
        <w:fldChar w:fldCharType="end"/>
      </w:r>
      <w:r w:rsidR="00D25DD6" w:rsidRPr="00FF4524">
        <w:rPr>
          <w:lang w:val="en-US"/>
        </w:rPr>
        <w:t>.</w:t>
      </w:r>
      <w:r w:rsidR="00901C77" w:rsidRPr="00FF4524">
        <w:rPr>
          <w:lang w:val="en-US"/>
        </w:rPr>
        <w:t xml:space="preserve"> </w:t>
      </w:r>
    </w:p>
    <w:p w14:paraId="1AAE6924" w14:textId="77777777" w:rsidR="00C76E84" w:rsidRDefault="00823DE2" w:rsidP="00823DE2">
      <w:r w:rsidRPr="00FF4524">
        <w:t xml:space="preserve">For the subscale </w:t>
      </w:r>
      <w:r w:rsidRPr="00FF4524">
        <w:rPr>
          <w:i/>
        </w:rPr>
        <w:t xml:space="preserve">other personal circumstances </w:t>
      </w:r>
      <w:r w:rsidRPr="00FF4524">
        <w:t>there was a main effect of country</w:t>
      </w:r>
      <w:r w:rsidRPr="00823DE2">
        <w:t xml:space="preserve"> on the subscale scores. Australian students (mean=2.36, </w:t>
      </w:r>
      <w:proofErr w:type="spellStart"/>
      <w:r w:rsidRPr="00823DE2">
        <w:t>sd</w:t>
      </w:r>
      <w:proofErr w:type="spellEnd"/>
      <w:r w:rsidRPr="00823DE2">
        <w:t xml:space="preserve">=0.98) rated the scale higher than the UK students (mean=1.95; </w:t>
      </w:r>
      <w:proofErr w:type="spellStart"/>
      <w:r w:rsidRPr="00823DE2">
        <w:t>sd</w:t>
      </w:r>
      <w:proofErr w:type="spellEnd"/>
      <w:r w:rsidRPr="00823DE2">
        <w:t xml:space="preserve">=0.81) </w:t>
      </w:r>
      <w:r w:rsidR="00951118">
        <w:t>The difference in samples could explain this – as a higher proportion of the Australian participants were international students (more likely to be pre-occupied with Visas) and Masters-level (more likely to have family commitments)</w:t>
      </w:r>
      <w:r w:rsidR="00F63C7E">
        <w:t xml:space="preserve">, however </w:t>
      </w:r>
      <w:r w:rsidR="00541B28" w:rsidRPr="00823DE2">
        <w:t>the ratings are very close to 2.5</w:t>
      </w:r>
      <w:r w:rsidR="00541B28">
        <w:t xml:space="preserve"> which suggests neutrality on this factor</w:t>
      </w:r>
      <w:r w:rsidR="00951118">
        <w:t>.</w:t>
      </w:r>
      <w:r w:rsidR="000B6625">
        <w:t xml:space="preserve"> </w:t>
      </w:r>
      <w:r w:rsidR="000B6625" w:rsidRPr="00823DE2">
        <w:t>There were no significant differences found on the subscale external barriers.</w:t>
      </w:r>
    </w:p>
    <w:p w14:paraId="30044473" w14:textId="77777777" w:rsidR="009F72D8" w:rsidRDefault="00C76E84" w:rsidP="00C67ABF">
      <w:pPr>
        <w:pStyle w:val="Heading3"/>
      </w:pPr>
      <w:r>
        <w:t>Enablers</w:t>
      </w:r>
      <w:r w:rsidR="006A62E1">
        <w:t xml:space="preserve"> by gender and institution</w:t>
      </w:r>
    </w:p>
    <w:p w14:paraId="2EC2B65C" w14:textId="77777777" w:rsidR="004B4226" w:rsidRDefault="00823DE2" w:rsidP="00FF4524">
      <w:pPr>
        <w:pStyle w:val="Paragraph"/>
      </w:pPr>
      <w:r w:rsidRPr="00823DE2">
        <w:t xml:space="preserve">There were gender differences found on the subscale </w:t>
      </w:r>
      <w:r w:rsidRPr="00823DE2">
        <w:rPr>
          <w:i/>
        </w:rPr>
        <w:t>idea generation</w:t>
      </w:r>
      <w:r w:rsidRPr="00823DE2">
        <w:t xml:space="preserve"> following a test of main effect from a non-significant two-way interaction of gender and university</w:t>
      </w:r>
      <w:r w:rsidR="007725E8">
        <w:t xml:space="preserve"> (</w:t>
      </w:r>
      <w:proofErr w:type="gramStart"/>
      <w:r w:rsidRPr="00823DE2">
        <w:t>F(</w:t>
      </w:r>
      <w:proofErr w:type="gramEnd"/>
      <w:r w:rsidRPr="00823DE2">
        <w:t>1,242)=4.499,p=.035,partial η</w:t>
      </w:r>
      <w:r w:rsidRPr="00823DE2">
        <w:rPr>
          <w:vertAlign w:val="superscript"/>
        </w:rPr>
        <w:t>2</w:t>
      </w:r>
      <w:r w:rsidRPr="00823DE2">
        <w:t>=.012</w:t>
      </w:r>
      <w:r w:rsidR="007725E8">
        <w:t>)</w:t>
      </w:r>
      <w:r w:rsidRPr="00823DE2">
        <w:t>. However, this effect can be considered small</w:t>
      </w:r>
      <w:bookmarkEnd w:id="5"/>
      <w:r w:rsidRPr="00823DE2">
        <w:t xml:space="preserve">.   </w:t>
      </w:r>
      <w:r w:rsidR="00F63C7E">
        <w:t>While n</w:t>
      </w:r>
      <w:r w:rsidR="00F63C7E" w:rsidRPr="00F63C7E">
        <w:t>o significant differences were found on the subsc</w:t>
      </w:r>
      <w:r w:rsidR="00F63C7E">
        <w:t xml:space="preserve">ale </w:t>
      </w:r>
      <w:r w:rsidR="00F63C7E" w:rsidRPr="00F63C7E">
        <w:rPr>
          <w:i/>
        </w:rPr>
        <w:t>policy and implementation</w:t>
      </w:r>
      <w:r w:rsidR="00F63C7E">
        <w:t>, f</w:t>
      </w:r>
      <w:r w:rsidRPr="00823DE2">
        <w:t xml:space="preserve">emale participants on average rated the importance of idea generation higher (mean=3.67; </w:t>
      </w:r>
      <w:proofErr w:type="spellStart"/>
      <w:proofErr w:type="gramStart"/>
      <w:r w:rsidRPr="00823DE2">
        <w:t>sd</w:t>
      </w:r>
      <w:proofErr w:type="spellEnd"/>
      <w:proofErr w:type="gramEnd"/>
      <w:r w:rsidRPr="00823DE2">
        <w:t xml:space="preserve">=.96) than male participants (mean=3.42; </w:t>
      </w:r>
      <w:proofErr w:type="spellStart"/>
      <w:r w:rsidRPr="00823DE2">
        <w:t>sd</w:t>
      </w:r>
      <w:proofErr w:type="spellEnd"/>
      <w:r w:rsidRPr="00823DE2">
        <w:t xml:space="preserve">=.93). </w:t>
      </w:r>
      <w:r w:rsidR="00C57600">
        <w:t>Idea generation</w:t>
      </w:r>
      <w:r w:rsidR="009F72D8">
        <w:t xml:space="preserve"> comprised academic support, access to an incubator, opportunities to brainstorm, education &amp; training and </w:t>
      </w:r>
      <w:r w:rsidR="00C4643B">
        <w:t xml:space="preserve">family </w:t>
      </w:r>
      <w:r w:rsidR="009F72D8">
        <w:t xml:space="preserve">encouragement </w:t>
      </w:r>
      <w:r w:rsidR="00C4643B">
        <w:t xml:space="preserve">&amp; </w:t>
      </w:r>
      <w:r w:rsidR="009F72D8">
        <w:t>support.</w:t>
      </w:r>
      <w:r w:rsidR="00E26BED">
        <w:t xml:space="preserve"> Apart f</w:t>
      </w:r>
      <w:r w:rsidR="00C57600">
        <w:t>rom</w:t>
      </w:r>
      <w:r w:rsidR="00E26BED">
        <w:t xml:space="preserve"> family support, all other factors are within the remit of an entrepreneurial university</w:t>
      </w:r>
      <w:r w:rsidR="006A62E1">
        <w:t>.</w:t>
      </w:r>
      <w:r w:rsidR="00E26BED">
        <w:t xml:space="preserve"> </w:t>
      </w:r>
      <w:r w:rsidR="006A62E1">
        <w:t>R</w:t>
      </w:r>
      <w:r w:rsidR="00C76E84">
        <w:t xml:space="preserve">esourcing and promoting such </w:t>
      </w:r>
      <w:r w:rsidR="00E26BED">
        <w:t xml:space="preserve">enablers </w:t>
      </w:r>
      <w:r w:rsidR="006A62E1">
        <w:t xml:space="preserve">in an inclusive manner might increase </w:t>
      </w:r>
      <w:r w:rsidR="00E26BED">
        <w:t xml:space="preserve">entrepreneurship. </w:t>
      </w:r>
      <w:r w:rsidR="00903EA9">
        <w:rPr>
          <w:lang w:val="en-US"/>
        </w:rPr>
        <w:t>Previous studies have shown w</w:t>
      </w:r>
      <w:r w:rsidR="00903EA9" w:rsidRPr="00DD27E3">
        <w:rPr>
          <w:lang w:val="en-US"/>
        </w:rPr>
        <w:t xml:space="preserve">omen </w:t>
      </w:r>
      <w:r w:rsidR="00903EA9">
        <w:rPr>
          <w:lang w:val="en-US"/>
        </w:rPr>
        <w:t xml:space="preserve">to benefit more </w:t>
      </w:r>
      <w:r w:rsidR="00C4643B">
        <w:rPr>
          <w:lang w:val="en-US"/>
        </w:rPr>
        <w:t xml:space="preserve">than men </w:t>
      </w:r>
      <w:r w:rsidR="00903EA9">
        <w:rPr>
          <w:lang w:val="en-US"/>
        </w:rPr>
        <w:t xml:space="preserve">from </w:t>
      </w:r>
      <w:r w:rsidR="00903EA9" w:rsidRPr="00DD27E3">
        <w:rPr>
          <w:lang w:val="en-US"/>
        </w:rPr>
        <w:t>business incubator</w:t>
      </w:r>
      <w:r w:rsidR="00903EA9">
        <w:rPr>
          <w:lang w:val="en-US"/>
        </w:rPr>
        <w:t>s,</w:t>
      </w:r>
      <w:r w:rsidR="00903EA9" w:rsidRPr="000913B5">
        <w:t xml:space="preserve"> </w:t>
      </w:r>
      <w:r w:rsidR="00903EA9" w:rsidRPr="000913B5">
        <w:rPr>
          <w:lang w:val="en-US"/>
        </w:rPr>
        <w:t>largely through buildi</w:t>
      </w:r>
      <w:r w:rsidR="00903EA9">
        <w:rPr>
          <w:lang w:val="en-US"/>
        </w:rPr>
        <w:t>ng social and business contacts</w:t>
      </w:r>
      <w:r w:rsidR="00903EA9" w:rsidRPr="000913B5">
        <w:rPr>
          <w:lang w:val="en-US"/>
        </w:rPr>
        <w:t xml:space="preserve"> </w:t>
      </w:r>
      <w:r w:rsidR="00903EA9" w:rsidRPr="00DD27E3">
        <w:rPr>
          <w:lang w:val="en-US"/>
        </w:rPr>
        <w:t>(</w:t>
      </w:r>
      <w:proofErr w:type="spellStart"/>
      <w:r w:rsidR="00903EA9" w:rsidRPr="00DD27E3">
        <w:rPr>
          <w:lang w:val="en-US"/>
        </w:rPr>
        <w:t>Amezcua</w:t>
      </w:r>
      <w:proofErr w:type="spellEnd"/>
      <w:r w:rsidR="00903EA9" w:rsidRPr="00DD27E3">
        <w:rPr>
          <w:lang w:val="en-US"/>
        </w:rPr>
        <w:t xml:space="preserve"> 2010</w:t>
      </w:r>
      <w:r w:rsidR="00903EA9">
        <w:rPr>
          <w:lang w:val="en-US"/>
        </w:rPr>
        <w:t>)</w:t>
      </w:r>
      <w:r w:rsidR="00C4643B">
        <w:rPr>
          <w:lang w:val="en-US"/>
        </w:rPr>
        <w:t>.</w:t>
      </w:r>
      <w:r w:rsidR="00F15AD2" w:rsidRPr="00F15AD2">
        <w:t xml:space="preserve"> </w:t>
      </w:r>
      <w:r w:rsidR="002116A6">
        <w:rPr>
          <w:lang w:val="en-US"/>
        </w:rPr>
        <w:t>T</w:t>
      </w:r>
      <w:r w:rsidR="002116A6" w:rsidRPr="00F15AD2">
        <w:rPr>
          <w:lang w:val="en-US"/>
        </w:rPr>
        <w:t>he provision of business incubators enable</w:t>
      </w:r>
      <w:r w:rsidR="006A62E1">
        <w:rPr>
          <w:lang w:val="en-US"/>
        </w:rPr>
        <w:t>s</w:t>
      </w:r>
      <w:r w:rsidR="002116A6" w:rsidRPr="00F15AD2">
        <w:rPr>
          <w:lang w:val="en-US"/>
        </w:rPr>
        <w:t xml:space="preserve"> broader discussion of industry requirements </w:t>
      </w:r>
      <w:r w:rsidR="006A62E1">
        <w:rPr>
          <w:lang w:val="en-US"/>
        </w:rPr>
        <w:t>including</w:t>
      </w:r>
      <w:r w:rsidR="006A62E1" w:rsidRPr="00F15AD2">
        <w:rPr>
          <w:lang w:val="en-US"/>
        </w:rPr>
        <w:t xml:space="preserve"> </w:t>
      </w:r>
      <w:r w:rsidR="002116A6" w:rsidRPr="00F15AD2">
        <w:rPr>
          <w:lang w:val="en-US"/>
        </w:rPr>
        <w:t xml:space="preserve">how to market, test and shape IT </w:t>
      </w:r>
      <w:r w:rsidR="002116A6">
        <w:rPr>
          <w:lang w:val="en-US"/>
        </w:rPr>
        <w:t xml:space="preserve">ventures, </w:t>
      </w:r>
      <w:r w:rsidR="006A62E1">
        <w:rPr>
          <w:lang w:val="en-US"/>
        </w:rPr>
        <w:t xml:space="preserve">all with potential to increase confidence. </w:t>
      </w:r>
      <w:r w:rsidR="00C4643B">
        <w:rPr>
          <w:lang w:val="en-US"/>
        </w:rPr>
        <w:t xml:space="preserve">However incubators need to be promoted in ways that help students </w:t>
      </w:r>
      <w:proofErr w:type="spellStart"/>
      <w:r w:rsidR="00C4643B">
        <w:rPr>
          <w:lang w:val="en-US"/>
        </w:rPr>
        <w:t>recogni</w:t>
      </w:r>
      <w:r w:rsidR="0035780E">
        <w:rPr>
          <w:lang w:val="en-US"/>
        </w:rPr>
        <w:t>s</w:t>
      </w:r>
      <w:r w:rsidR="00C4643B">
        <w:rPr>
          <w:lang w:val="en-US"/>
        </w:rPr>
        <w:t>e</w:t>
      </w:r>
      <w:proofErr w:type="spellEnd"/>
      <w:r w:rsidR="00C4643B">
        <w:rPr>
          <w:lang w:val="en-US"/>
        </w:rPr>
        <w:t xml:space="preserve"> the benefits.</w:t>
      </w:r>
      <w:r w:rsidR="002116A6" w:rsidRPr="002116A6">
        <w:rPr>
          <w:lang w:val="en-US"/>
        </w:rPr>
        <w:t xml:space="preserve"> </w:t>
      </w:r>
    </w:p>
    <w:p w14:paraId="7EDAC54E" w14:textId="77777777" w:rsidR="00975151" w:rsidRDefault="001950BF" w:rsidP="00975151">
      <w:pPr>
        <w:pStyle w:val="Heading1"/>
      </w:pPr>
      <w:r>
        <w:lastRenderedPageBreak/>
        <w:t>Conclusion</w:t>
      </w:r>
    </w:p>
    <w:p w14:paraId="29D03208" w14:textId="0AC3B748" w:rsidR="00CA43DE" w:rsidRPr="00CA43DE" w:rsidRDefault="006A62E1" w:rsidP="00CA43DE">
      <w:pPr>
        <w:pStyle w:val="Paragraph"/>
      </w:pPr>
      <w:bookmarkStart w:id="6" w:name="_Toc509320057"/>
      <w:bookmarkStart w:id="7" w:name="_Toc509345820"/>
      <w:r>
        <w:t xml:space="preserve">The decision to pursue a career as an entrepreneur is shaped by a range of individual realities such as educational, socio-cultural, gendered factors and labour market conditions. This paper presented </w:t>
      </w:r>
      <w:r w:rsidR="002A70C2">
        <w:t>entrepreneur</w:t>
      </w:r>
      <w:r w:rsidR="00EA4F94">
        <w:t>ial intentions</w:t>
      </w:r>
      <w:r w:rsidR="002A70C2">
        <w:t xml:space="preserve">, </w:t>
      </w:r>
      <w:r>
        <w:t xml:space="preserve">drivers, barriers and enablers to better understand </w:t>
      </w:r>
      <w:r w:rsidR="002A70C2">
        <w:t xml:space="preserve">computing students’ attitudes towards entrepreneurship. </w:t>
      </w:r>
      <w:r w:rsidR="007A1130">
        <w:t>This topic is important as entrepreneurship is key to economic growth</w:t>
      </w:r>
      <w:r w:rsidR="000A4684">
        <w:t>/ recovery and increasingly seen by universities as part of their graduate employability remit</w:t>
      </w:r>
      <w:r w:rsidR="007A1130">
        <w:t xml:space="preserve">. </w:t>
      </w:r>
      <w:r w:rsidR="002A70C2">
        <w:t xml:space="preserve">Subsequent analysis of the findings </w:t>
      </w:r>
      <w:r w:rsidR="006F4420">
        <w:t xml:space="preserve">revealed differences which could be used to better understand </w:t>
      </w:r>
      <w:proofErr w:type="gramStart"/>
      <w:r w:rsidR="007A1130">
        <w:t>how</w:t>
      </w:r>
      <w:r w:rsidR="006F4420">
        <w:t xml:space="preserve"> </w:t>
      </w:r>
      <w:r>
        <w:t xml:space="preserve"> universities</w:t>
      </w:r>
      <w:proofErr w:type="gramEnd"/>
      <w:r>
        <w:t xml:space="preserve"> </w:t>
      </w:r>
      <w:r w:rsidR="006F4420">
        <w:t xml:space="preserve">can </w:t>
      </w:r>
      <w:r w:rsidR="00CA43DE">
        <w:t>support</w:t>
      </w:r>
      <w:r>
        <w:t xml:space="preserve"> entrepreneurship </w:t>
      </w:r>
      <w:r w:rsidR="00CA43DE">
        <w:t>in computing students</w:t>
      </w:r>
      <w:r>
        <w:t xml:space="preserve">. </w:t>
      </w:r>
      <w:r w:rsidR="006F4420">
        <w:t>Overall, w</w:t>
      </w:r>
      <w:r w:rsidR="00CA43DE">
        <w:t>e</w:t>
      </w:r>
      <w:r w:rsidR="00CA43DE" w:rsidRPr="00CA43DE">
        <w:t xml:space="preserve"> found high levels of interest among both female and male computing students which is encouraging for universities that </w:t>
      </w:r>
      <w:r w:rsidR="006F4420">
        <w:t>encourage</w:t>
      </w:r>
      <w:r w:rsidR="006F4420" w:rsidRPr="00CA43DE">
        <w:t xml:space="preserve"> </w:t>
      </w:r>
      <w:r w:rsidR="00CA43DE" w:rsidRPr="00CA43DE">
        <w:t>entrepreneurship</w:t>
      </w:r>
      <w:r w:rsidR="006F4420">
        <w:t xml:space="preserve"> and those governments and policy-makers promoting economic growth through technology</w:t>
      </w:r>
      <w:r w:rsidR="00CA43DE" w:rsidRPr="00CA43DE">
        <w:t>.</w:t>
      </w:r>
      <w:r w:rsidR="004C5BD5">
        <w:t xml:space="preserve"> Participants were motivated by a passion for their subject and for the possibility of job satisfaction. </w:t>
      </w:r>
      <w:r w:rsidR="005F6E7F">
        <w:t xml:space="preserve">Barriers </w:t>
      </w:r>
      <w:r w:rsidR="000A0F2C">
        <w:t xml:space="preserve">(limited access to finance, contacts, knowledge and experience) </w:t>
      </w:r>
      <w:r w:rsidR="005F6E7F">
        <w:t>were scored higher by women than men, and women rated the importance of enablers such as business incubators and education &amp; training</w:t>
      </w:r>
      <w:r w:rsidR="000A0F2C">
        <w:t xml:space="preserve"> more highly than men.</w:t>
      </w:r>
    </w:p>
    <w:p w14:paraId="331C1794" w14:textId="3E8024B9" w:rsidR="006A62E1" w:rsidRPr="00C95F67" w:rsidRDefault="006A62E1" w:rsidP="004A03E6">
      <w:pPr>
        <w:pStyle w:val="Paragraph"/>
      </w:pPr>
      <w:r>
        <w:t xml:space="preserve">The main </w:t>
      </w:r>
      <w:r w:rsidR="00CA43DE">
        <w:t xml:space="preserve">recommendations are </w:t>
      </w:r>
      <w:r w:rsidR="000A4684">
        <w:t>four</w:t>
      </w:r>
      <w:r w:rsidR="00CA43DE">
        <w:t xml:space="preserve">fold: </w:t>
      </w:r>
      <w:r w:rsidR="004219C0">
        <w:t>(</w:t>
      </w:r>
      <w:proofErr w:type="spellStart"/>
      <w:r w:rsidR="004219C0">
        <w:t>i</w:t>
      </w:r>
      <w:proofErr w:type="spellEnd"/>
      <w:r w:rsidR="004219C0">
        <w:t xml:space="preserve">) for universities </w:t>
      </w:r>
      <w:r w:rsidR="00CA43DE">
        <w:t>t</w:t>
      </w:r>
      <w:r>
        <w:t>o consider subject discipline, gender and context when promoting resources designed to increase awareness of the entrepreneurship opportunity, for example signposting flexible working rather than w</w:t>
      </w:r>
      <w:r w:rsidR="00CA43DE">
        <w:t xml:space="preserve">ealth creation; </w:t>
      </w:r>
      <w:r w:rsidR="004219C0">
        <w:t xml:space="preserve">(ii) </w:t>
      </w:r>
      <w:r w:rsidR="00CA43DE">
        <w:t xml:space="preserve">to build student confidence through external engagement and </w:t>
      </w:r>
      <w:r w:rsidR="004A03E6">
        <w:t>introducing</w:t>
      </w:r>
      <w:r w:rsidR="00CA43DE">
        <w:t xml:space="preserve"> investor organisations and other funding sources; </w:t>
      </w:r>
      <w:r w:rsidR="004219C0">
        <w:t xml:space="preserve">(iii) </w:t>
      </w:r>
      <w:r w:rsidR="000A4684">
        <w:t>to offer</w:t>
      </w:r>
      <w:r w:rsidR="00CA43DE">
        <w:t xml:space="preserve"> opportunities to develop business ideas through the provision of a business incubator</w:t>
      </w:r>
      <w:r w:rsidR="004A03E6">
        <w:t xml:space="preserve"> and consequent activity</w:t>
      </w:r>
      <w:r w:rsidR="000A4684">
        <w:t xml:space="preserve"> in order</w:t>
      </w:r>
      <w:r w:rsidR="000A4684" w:rsidRPr="000A4684">
        <w:t xml:space="preserve"> to reduce perceptions of barriers amongst computing students</w:t>
      </w:r>
      <w:r w:rsidR="000A4684">
        <w:t>, especially women</w:t>
      </w:r>
      <w:r w:rsidR="000A0F2C" w:rsidRPr="000A4684">
        <w:t>;</w:t>
      </w:r>
      <w:r w:rsidR="000A0F2C">
        <w:t xml:space="preserve"> (iv) e</w:t>
      </w:r>
      <w:r w:rsidR="000A0F2C" w:rsidRPr="007A1130">
        <w:t xml:space="preserve">ducation policy-makers </w:t>
      </w:r>
      <w:r w:rsidR="000A0F2C">
        <w:t>should ask</w:t>
      </w:r>
      <w:r w:rsidR="000A0F2C" w:rsidRPr="007A1130">
        <w:t xml:space="preserve"> universities</w:t>
      </w:r>
      <w:r w:rsidR="000A0F2C">
        <w:t xml:space="preserve"> to consider inclusion </w:t>
      </w:r>
      <w:r w:rsidR="000A0F2C" w:rsidRPr="007A1130">
        <w:t>through their third mission imperatives</w:t>
      </w:r>
      <w:r w:rsidR="000A0F2C">
        <w:t xml:space="preserve">. </w:t>
      </w:r>
      <w:r w:rsidR="004A03E6">
        <w:t>As the computing discipline seeks to achieve a better gender balance, graduate destinations must also be balanced to ensure the pipeline in and through university leads to fair outcomes.</w:t>
      </w:r>
      <w:r w:rsidR="004A03E6" w:rsidRPr="004A03E6">
        <w:t xml:space="preserve"> </w:t>
      </w:r>
      <w:r w:rsidR="004A03E6">
        <w:t xml:space="preserve">Approaches that are context and gender-specific </w:t>
      </w:r>
      <w:r w:rsidR="004A03E6">
        <w:lastRenderedPageBreak/>
        <w:t>might overcome barriers to pursuing entrepreneurship, and may help redress the masculine subjective norms proliferating in the field of entrepreneurship.</w:t>
      </w:r>
      <w:r w:rsidR="004219C0">
        <w:t xml:space="preserve"> </w:t>
      </w:r>
      <w:r w:rsidR="007A1130">
        <w:t xml:space="preserve">There is a chance, then, of inclusive economic growth. </w:t>
      </w:r>
    </w:p>
    <w:bookmarkEnd w:id="6"/>
    <w:bookmarkEnd w:id="7"/>
    <w:p w14:paraId="57C144DB" w14:textId="73874003" w:rsidR="00975151" w:rsidRPr="00E01A9C" w:rsidRDefault="00C76E84" w:rsidP="00FF4524">
      <w:pPr>
        <w:pStyle w:val="Paragraph"/>
      </w:pPr>
      <w:r>
        <w:t>T</w:t>
      </w:r>
      <w:r w:rsidR="00975151">
        <w:t xml:space="preserve">his study has limitations. Only two universities were used in the study and each had recently invested in, and promoted, business incubators. A wider study </w:t>
      </w:r>
      <w:r w:rsidR="003E5973">
        <w:t>incorporating universities with different approach</w:t>
      </w:r>
      <w:r w:rsidR="00CC2959">
        <w:t>es</w:t>
      </w:r>
      <w:r w:rsidR="003E5973">
        <w:t xml:space="preserve"> to entrepreneurship </w:t>
      </w:r>
      <w:r w:rsidR="00975151">
        <w:t xml:space="preserve">would be useful to reveal whether the </w:t>
      </w:r>
      <w:r w:rsidR="003E5973">
        <w:t>universities initiatives</w:t>
      </w:r>
      <w:r w:rsidR="00975151">
        <w:t xml:space="preserve"> had </w:t>
      </w:r>
      <w:r w:rsidR="00CA43DE">
        <w:t xml:space="preserve">directly </w:t>
      </w:r>
      <w:r w:rsidR="00975151">
        <w:t xml:space="preserve">acted to increase entrepreneurial intentions. </w:t>
      </w:r>
    </w:p>
    <w:p w14:paraId="2C7B7953" w14:textId="77777777" w:rsidR="00975151" w:rsidRDefault="00975151" w:rsidP="00FF4524">
      <w:pPr>
        <w:pStyle w:val="Acknowledgements"/>
      </w:pPr>
      <w:r w:rsidRPr="00E01A9C">
        <w:rPr>
          <w:b/>
        </w:rPr>
        <w:t xml:space="preserve">Acknowledgements </w:t>
      </w:r>
      <w:r w:rsidRPr="00E01A9C">
        <w:t xml:space="preserve">This work was funded by an SRHE Research Award. We thank Rob Gresham and the SRHE for enabling financial support and advice. We acknowledge the support of Professors Margaret </w:t>
      </w:r>
      <w:proofErr w:type="spellStart"/>
      <w:r w:rsidRPr="00E01A9C">
        <w:t>Jollands</w:t>
      </w:r>
      <w:proofErr w:type="spellEnd"/>
      <w:r w:rsidRPr="00E01A9C">
        <w:t xml:space="preserve">, Kay Latham, Liz Bacon and Lachlan McKinnon, </w:t>
      </w:r>
      <w:r w:rsidR="0035780E">
        <w:t xml:space="preserve">Dr Cate Gribble, </w:t>
      </w:r>
      <w:r w:rsidRPr="00E01A9C">
        <w:t xml:space="preserve">Dr Mark </w:t>
      </w:r>
      <w:proofErr w:type="spellStart"/>
      <w:r w:rsidRPr="00E01A9C">
        <w:t>Rahimi</w:t>
      </w:r>
      <w:proofErr w:type="spellEnd"/>
      <w:r w:rsidRPr="00E01A9C">
        <w:t xml:space="preserve">, Dr Tanja </w:t>
      </w:r>
      <w:proofErr w:type="spellStart"/>
      <w:r w:rsidRPr="00E01A9C">
        <w:t>Capic</w:t>
      </w:r>
      <w:proofErr w:type="spellEnd"/>
      <w:r w:rsidRPr="00E01A9C">
        <w:t xml:space="preserve"> and Cilla Richards.</w:t>
      </w:r>
    </w:p>
    <w:p w14:paraId="17EA30FC" w14:textId="77777777" w:rsidR="00FF4524" w:rsidRDefault="00FF4524" w:rsidP="00975151">
      <w:pPr>
        <w:pStyle w:val="CopyrightBox"/>
        <w:widowControl w:val="0"/>
        <w:spacing w:line="360" w:lineRule="auto"/>
        <w:contextualSpacing/>
      </w:pPr>
    </w:p>
    <w:p w14:paraId="0E65E022" w14:textId="77777777" w:rsidR="00FF4524" w:rsidRDefault="00FF4524" w:rsidP="00FF4524">
      <w:pPr>
        <w:pStyle w:val="Heading1"/>
      </w:pPr>
      <w:r>
        <w:t>References</w:t>
      </w:r>
    </w:p>
    <w:p w14:paraId="75542EBF" w14:textId="77777777" w:rsidR="00541B28" w:rsidRPr="00541B28" w:rsidRDefault="006C1320" w:rsidP="00541B28">
      <w:pPr>
        <w:widowControl w:val="0"/>
        <w:autoSpaceDE w:val="0"/>
        <w:autoSpaceDN w:val="0"/>
        <w:adjustRightInd w:val="0"/>
        <w:spacing w:after="240" w:line="360" w:lineRule="auto"/>
        <w:ind w:left="480" w:hanging="480"/>
        <w:rPr>
          <w:noProof/>
        </w:rPr>
      </w:pPr>
      <w:r>
        <w:fldChar w:fldCharType="begin" w:fldLock="1"/>
      </w:r>
      <w:r>
        <w:instrText xml:space="preserve">ADDIN Mendeley Bibliography CSL_BIBLIOGRAPHY </w:instrText>
      </w:r>
      <w:r>
        <w:fldChar w:fldCharType="separate"/>
      </w:r>
      <w:r w:rsidR="00541B28" w:rsidRPr="00541B28">
        <w:rPr>
          <w:noProof/>
        </w:rPr>
        <w:t xml:space="preserve">Ahsan, Mujtaba, Congcong Zheng, Alex DeNoble, and Martina Musteen. 2018. “From Student to Entrepreneur: How Mentorships and Affect Influence Student Venture Launch.” </w:t>
      </w:r>
      <w:r w:rsidR="00541B28" w:rsidRPr="00541B28">
        <w:rPr>
          <w:i/>
          <w:iCs/>
          <w:noProof/>
        </w:rPr>
        <w:t>Journal of Small Business Management</w:t>
      </w:r>
      <w:r w:rsidR="00541B28" w:rsidRPr="00541B28">
        <w:rPr>
          <w:noProof/>
        </w:rPr>
        <w:t xml:space="preserve"> 56 (1): 76–102.</w:t>
      </w:r>
    </w:p>
    <w:p w14:paraId="399250A5"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Al-Dajani, Haya, Evangelos Dedoussis, Erika Watson, and Nikolaos Tzokas. 2014. “Graduate Entrepreneurship Incubation Environments: A Framework of Key Success Factors.” </w:t>
      </w:r>
      <w:r w:rsidRPr="00541B28">
        <w:rPr>
          <w:i/>
          <w:iCs/>
          <w:noProof/>
        </w:rPr>
        <w:t>Industry and Higher Education</w:t>
      </w:r>
      <w:r w:rsidRPr="00541B28">
        <w:rPr>
          <w:noProof/>
        </w:rPr>
        <w:t xml:space="preserve"> 28 (3): 201–213. https://doi.org/10.5367/ihe.2014.0205.</w:t>
      </w:r>
    </w:p>
    <w:p w14:paraId="3D2C9C23" w14:textId="77777777" w:rsidR="00EC7A70" w:rsidRDefault="00EC7A70" w:rsidP="00541B28">
      <w:pPr>
        <w:widowControl w:val="0"/>
        <w:autoSpaceDE w:val="0"/>
        <w:autoSpaceDN w:val="0"/>
        <w:adjustRightInd w:val="0"/>
        <w:spacing w:after="240" w:line="360" w:lineRule="auto"/>
        <w:ind w:left="480" w:hanging="480"/>
        <w:rPr>
          <w:noProof/>
        </w:rPr>
      </w:pPr>
      <w:r w:rsidRPr="00EC7A70">
        <w:rPr>
          <w:noProof/>
        </w:rPr>
        <w:t>Amezcua, A</w:t>
      </w:r>
      <w:r>
        <w:rPr>
          <w:noProof/>
        </w:rPr>
        <w:t>lejandro.</w:t>
      </w:r>
      <w:r w:rsidRPr="00EC7A70">
        <w:rPr>
          <w:noProof/>
        </w:rPr>
        <w:t xml:space="preserve"> 2010. </w:t>
      </w:r>
      <w:r w:rsidRPr="00C95F67">
        <w:rPr>
          <w:i/>
          <w:noProof/>
        </w:rPr>
        <w:t>Boon or Boondoggle? Business incubation as entrepreneurship policy</w:t>
      </w:r>
      <w:r w:rsidRPr="00EC7A70">
        <w:rPr>
          <w:noProof/>
        </w:rPr>
        <w:t xml:space="preserve">. </w:t>
      </w:r>
      <w:r>
        <w:rPr>
          <w:noProof/>
        </w:rPr>
        <w:t xml:space="preserve">PHD Thesis, </w:t>
      </w:r>
      <w:r w:rsidRPr="00EC7A70">
        <w:rPr>
          <w:noProof/>
        </w:rPr>
        <w:t>Syracuse University.</w:t>
      </w:r>
    </w:p>
    <w:p w14:paraId="736ECE84"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Arranz, N, M F Arroyabe, and J. C. Fdez. de Arroyabe. 2018. “Entrepreneurial Intention and Obstacles of Undergraduate Students: The Case of the Universities of Andalusia.” </w:t>
      </w:r>
      <w:r w:rsidRPr="00541B28">
        <w:rPr>
          <w:i/>
          <w:iCs/>
          <w:noProof/>
        </w:rPr>
        <w:t>Studies in Higher Education</w:t>
      </w:r>
      <w:r w:rsidRPr="00541B28">
        <w:rPr>
          <w:noProof/>
        </w:rPr>
        <w:t>, June, 1–14. https://doi.org/10.1080/03075079.2018.1486812.</w:t>
      </w:r>
    </w:p>
    <w:p w14:paraId="7CF59C0E"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Audretsch, David, Max Keilbach, and Erik E Lehmann. 2006. </w:t>
      </w:r>
      <w:r w:rsidRPr="00541B28">
        <w:rPr>
          <w:i/>
          <w:iCs/>
          <w:noProof/>
        </w:rPr>
        <w:t>Entrepreneurship and Economic Growth</w:t>
      </w:r>
      <w:r w:rsidRPr="00541B28">
        <w:rPr>
          <w:noProof/>
        </w:rPr>
        <w:t>. Oxford, UK: Oxford University Press. https://doi.org/10.1093/acprof:oso/9780195183511.001.0001.</w:t>
      </w:r>
    </w:p>
    <w:p w14:paraId="7570B9E5"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lastRenderedPageBreak/>
        <w:t>Ball, Charlie. 2016. “Learning from Futuretrack: Deciding to Undertake Postgraduate Study.” http://dera.ioe.ac.uk/26487/1/learning-from-futuretrack.pdf.</w:t>
      </w:r>
    </w:p>
    <w:p w14:paraId="00988D4B"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BarNir, Anat, Warren Watson, and Holly Hutchins. 2011. “Mediation and Moderated Mediation in the Relationship Among Role Models , Self-Efficacy , Entrepreneurial Career Intention , and Gender.” </w:t>
      </w:r>
      <w:r w:rsidRPr="00541B28">
        <w:rPr>
          <w:i/>
          <w:iCs/>
          <w:noProof/>
        </w:rPr>
        <w:t>Journal of Applied Psychology</w:t>
      </w:r>
      <w:r w:rsidRPr="00541B28">
        <w:rPr>
          <w:noProof/>
        </w:rPr>
        <w:t xml:space="preserve"> 41 (2): 270–97. https://doi.org/10.1111/j.1559-1816.2010.00713.x.</w:t>
      </w:r>
    </w:p>
    <w:p w14:paraId="7771168A"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Carsrud, Alan, and Malin Brännback. 2011. “Entrepreneurial Motivations: What Do We Still Need to Know.” </w:t>
      </w:r>
      <w:r w:rsidRPr="00541B28">
        <w:rPr>
          <w:i/>
          <w:iCs/>
          <w:noProof/>
        </w:rPr>
        <w:t>Journal of Small Business Management</w:t>
      </w:r>
      <w:r w:rsidRPr="00541B28">
        <w:rPr>
          <w:noProof/>
        </w:rPr>
        <w:t xml:space="preserve"> 49 (1): 9–26.</w:t>
      </w:r>
    </w:p>
    <w:p w14:paraId="487A90FD"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Casson, Mark, and Marina Della Giusta. 2007. “Entrepreneurship and Social Capital: Analysing the Impact of Social Networks on Entrepreneurial Activity from a Rational Action Perspective.” </w:t>
      </w:r>
      <w:r w:rsidRPr="00541B28">
        <w:rPr>
          <w:i/>
          <w:iCs/>
          <w:noProof/>
        </w:rPr>
        <w:t>International Small Business Journal</w:t>
      </w:r>
      <w:r w:rsidRPr="00541B28">
        <w:rPr>
          <w:noProof/>
        </w:rPr>
        <w:t xml:space="preserve"> 25 (3): 220–44. https://doi.org/10.1177/0266242607076524.</w:t>
      </w:r>
    </w:p>
    <w:p w14:paraId="21190BA9"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Engelen, Andreas. 2010. “Entrepreneurial Orientation as a Function of National Cultural Variations in Two Countries.” </w:t>
      </w:r>
      <w:r w:rsidRPr="00541B28">
        <w:rPr>
          <w:i/>
          <w:iCs/>
          <w:noProof/>
        </w:rPr>
        <w:t>Journal of International Management Entrepreneurial</w:t>
      </w:r>
      <w:r w:rsidRPr="00541B28">
        <w:rPr>
          <w:noProof/>
        </w:rPr>
        <w:t xml:space="preserve"> 16 (4): 354–68. https://doi.org/10.1016/j.intman.2010.09.006.</w:t>
      </w:r>
    </w:p>
    <w:p w14:paraId="58E10C63" w14:textId="77777777" w:rsidR="0027312E" w:rsidRDefault="0027312E" w:rsidP="00541B28">
      <w:pPr>
        <w:widowControl w:val="0"/>
        <w:autoSpaceDE w:val="0"/>
        <w:autoSpaceDN w:val="0"/>
        <w:adjustRightInd w:val="0"/>
        <w:spacing w:after="240" w:line="360" w:lineRule="auto"/>
        <w:ind w:left="480" w:hanging="480"/>
        <w:rPr>
          <w:noProof/>
        </w:rPr>
      </w:pPr>
      <w:r>
        <w:rPr>
          <w:noProof/>
        </w:rPr>
        <w:t xml:space="preserve">Falkner, Katrina. 2017. </w:t>
      </w:r>
      <w:r w:rsidRPr="00541B28">
        <w:rPr>
          <w:noProof/>
        </w:rPr>
        <w:t>“</w:t>
      </w:r>
      <w:r>
        <w:rPr>
          <w:noProof/>
        </w:rPr>
        <w:t>A look at IT and Egineering Enrolments in Australia - Updated!</w:t>
      </w:r>
      <w:r w:rsidRPr="0027312E">
        <w:rPr>
          <w:noProof/>
        </w:rPr>
        <w:t xml:space="preserve"> </w:t>
      </w:r>
      <w:r w:rsidRPr="00541B28">
        <w:rPr>
          <w:noProof/>
        </w:rPr>
        <w:t>”</w:t>
      </w:r>
      <w:r>
        <w:rPr>
          <w:noProof/>
        </w:rPr>
        <w:t xml:space="preserve">, Available at:  </w:t>
      </w:r>
      <w:r w:rsidRPr="0027312E">
        <w:rPr>
          <w:noProof/>
        </w:rPr>
        <w:t>https://blogs.adelaide.edu.au/cser/2017/02/15/a-look-at-it-and-engineering-enrolments-in-australia-updated/</w:t>
      </w:r>
      <w:r>
        <w:rPr>
          <w:noProof/>
        </w:rPr>
        <w:t xml:space="preserve"> </w:t>
      </w:r>
    </w:p>
    <w:p w14:paraId="4CA5226F"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Feder, Emőke-Szidónia, and Renata-Dana Niţu-Antonie. 2017. “Connecting Gender Identity, Entrepreneurial Training, Role Models and Intentions.” </w:t>
      </w:r>
      <w:r w:rsidRPr="00541B28">
        <w:rPr>
          <w:i/>
          <w:iCs/>
          <w:noProof/>
        </w:rPr>
        <w:t>International Journal of Gender and Entrepreneurship</w:t>
      </w:r>
      <w:r w:rsidRPr="00541B28">
        <w:rPr>
          <w:noProof/>
        </w:rPr>
        <w:t xml:space="preserve"> 9 (1): 87–108. https://doi.org/10.1108/IJGE-08-2016-0028.</w:t>
      </w:r>
    </w:p>
    <w:p w14:paraId="7626C873"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Frank, Robert, Pierre Marques, and Frank Lasch. 2009. “Entrepreneurship in Emerging High-Tech Industries : ICT Entrepreneurs between Experts and Kamikaze</w:t>
      </w:r>
      <w:r w:rsidR="00770489">
        <w:rPr>
          <w:noProof/>
        </w:rPr>
        <w:t>s</w:t>
      </w:r>
      <w:r w:rsidR="00770489" w:rsidRPr="00541B28">
        <w:rPr>
          <w:noProof/>
        </w:rPr>
        <w:t>”</w:t>
      </w:r>
      <w:r w:rsidRPr="00541B28">
        <w:rPr>
          <w:noProof/>
        </w:rPr>
        <w:t xml:space="preserve"> </w:t>
      </w:r>
      <w:r w:rsidRPr="00541B28">
        <w:rPr>
          <w:i/>
          <w:iCs/>
          <w:noProof/>
        </w:rPr>
        <w:t>International Journal of Entrepreneurship and Small Business</w:t>
      </w:r>
      <w:r w:rsidRPr="00541B28">
        <w:rPr>
          <w:noProof/>
        </w:rPr>
        <w:t xml:space="preserve"> 7 (3): 258–83. https://doi.org/10.1504/IJESB.2009.023020.</w:t>
      </w:r>
    </w:p>
    <w:p w14:paraId="48E4D299"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Galloway, Laura, Isla Kapasi, and Geoff Whittam. 2015. “Exploring ‘Successful’ Outcomes of Entrepreneurship Education.” </w:t>
      </w:r>
      <w:r w:rsidRPr="00541B28">
        <w:rPr>
          <w:i/>
          <w:iCs/>
          <w:noProof/>
        </w:rPr>
        <w:t>Industry and Higher Education</w:t>
      </w:r>
      <w:r w:rsidRPr="00541B28">
        <w:rPr>
          <w:noProof/>
        </w:rPr>
        <w:t xml:space="preserve"> 29 (6): 505–15. https://doi.org/10.5367/ihe.2015.0281.</w:t>
      </w:r>
    </w:p>
    <w:p w14:paraId="0D7003F0" w14:textId="77777777" w:rsidR="00541B28" w:rsidRDefault="00541B28" w:rsidP="00541B28">
      <w:pPr>
        <w:widowControl w:val="0"/>
        <w:autoSpaceDE w:val="0"/>
        <w:autoSpaceDN w:val="0"/>
        <w:adjustRightInd w:val="0"/>
        <w:spacing w:after="240" w:line="360" w:lineRule="auto"/>
        <w:ind w:left="480" w:hanging="480"/>
        <w:rPr>
          <w:noProof/>
        </w:rPr>
      </w:pPr>
      <w:r w:rsidRPr="00541B28">
        <w:rPr>
          <w:noProof/>
        </w:rPr>
        <w:lastRenderedPageBreak/>
        <w:t xml:space="preserve">Guerrero, Maribel, David Urbano, James A. Cunningham, and Eduardo Gajón. 2018. “Determinants of Graduates’ Start-Ups Creation across a Multi-Campus Entrepreneurial University: The Case of Monterrey Institute of Technology and Higher Education.” </w:t>
      </w:r>
      <w:r w:rsidRPr="00541B28">
        <w:rPr>
          <w:i/>
          <w:iCs/>
          <w:noProof/>
        </w:rPr>
        <w:t>Journal of Small Business Management</w:t>
      </w:r>
      <w:r w:rsidRPr="00541B28">
        <w:rPr>
          <w:noProof/>
        </w:rPr>
        <w:t xml:space="preserve"> 56 (1): 150–78. https://doi.org/10.1111/jsbm.12366.</w:t>
      </w:r>
    </w:p>
    <w:p w14:paraId="1D53C530" w14:textId="77777777" w:rsidR="00A628EC" w:rsidRDefault="00A628EC" w:rsidP="00541B28">
      <w:pPr>
        <w:widowControl w:val="0"/>
        <w:autoSpaceDE w:val="0"/>
        <w:autoSpaceDN w:val="0"/>
        <w:adjustRightInd w:val="0"/>
        <w:spacing w:after="240" w:line="360" w:lineRule="auto"/>
        <w:ind w:left="480" w:hanging="480"/>
        <w:rPr>
          <w:noProof/>
        </w:rPr>
      </w:pPr>
      <w:r>
        <w:rPr>
          <w:noProof/>
        </w:rPr>
        <w:t>Hart, Mark, Karen Bonner, Jonathon Levie, and Laura Heery. 2017. "Global Entrepreneurship Monitor UK"</w:t>
      </w:r>
      <w:r w:rsidR="007247E6" w:rsidRPr="007247E6">
        <w:t xml:space="preserve"> </w:t>
      </w:r>
      <w:r w:rsidR="007247E6" w:rsidRPr="007247E6">
        <w:rPr>
          <w:noProof/>
        </w:rPr>
        <w:t>http://www.aston.ac.uk/aston-business-school/research/working-with-business/gem/</w:t>
      </w:r>
    </w:p>
    <w:p w14:paraId="31C0825A" w14:textId="77777777" w:rsidR="00A07D10" w:rsidRDefault="00A07D10" w:rsidP="00541B28">
      <w:pPr>
        <w:widowControl w:val="0"/>
        <w:autoSpaceDE w:val="0"/>
        <w:autoSpaceDN w:val="0"/>
        <w:adjustRightInd w:val="0"/>
        <w:spacing w:after="240" w:line="360" w:lineRule="auto"/>
        <w:ind w:left="480" w:hanging="480"/>
        <w:rPr>
          <w:noProof/>
        </w:rPr>
      </w:pPr>
      <w:r>
        <w:rPr>
          <w:noProof/>
        </w:rPr>
        <w:t xml:space="preserve">HESA, </w:t>
      </w:r>
      <w:r w:rsidRPr="00A07D10">
        <w:rPr>
          <w:noProof/>
        </w:rPr>
        <w:t>2017. "</w:t>
      </w:r>
      <w:r w:rsidRPr="00C95F67">
        <w:rPr>
          <w:i/>
          <w:noProof/>
        </w:rPr>
        <w:t>What do HE students study</w:t>
      </w:r>
      <w:r w:rsidRPr="00A07D10">
        <w:rPr>
          <w:noProof/>
        </w:rPr>
        <w:t>," Available: https://www.hesa.ac.uk/data-and-analysis/students/what-study.</w:t>
      </w:r>
    </w:p>
    <w:p w14:paraId="41558E36" w14:textId="77777777" w:rsidR="00541B28" w:rsidRPr="00541B28" w:rsidRDefault="007725E8" w:rsidP="00541B28">
      <w:pPr>
        <w:widowControl w:val="0"/>
        <w:autoSpaceDE w:val="0"/>
        <w:autoSpaceDN w:val="0"/>
        <w:adjustRightInd w:val="0"/>
        <w:spacing w:after="240" w:line="360" w:lineRule="auto"/>
        <w:ind w:left="480" w:hanging="480"/>
        <w:rPr>
          <w:noProof/>
        </w:rPr>
      </w:pPr>
      <w:r>
        <w:rPr>
          <w:noProof/>
        </w:rPr>
        <w:t>Hofstede, Geert</w:t>
      </w:r>
      <w:r w:rsidRPr="00541B28">
        <w:rPr>
          <w:noProof/>
        </w:rPr>
        <w:t xml:space="preserve">. </w:t>
      </w:r>
      <w:r w:rsidR="00541B28" w:rsidRPr="00541B28">
        <w:rPr>
          <w:noProof/>
        </w:rPr>
        <w:t xml:space="preserve">2018. “Hofstede Insights: Country Comparison.” </w:t>
      </w:r>
      <w:r w:rsidR="00A07D10">
        <w:rPr>
          <w:noProof/>
        </w:rPr>
        <w:t xml:space="preserve">Available: </w:t>
      </w:r>
      <w:r w:rsidR="00541B28" w:rsidRPr="00541B28">
        <w:rPr>
          <w:noProof/>
        </w:rPr>
        <w:t>https://www.hofstede-insights.com/country-comparison/australia,the-uk/.</w:t>
      </w:r>
    </w:p>
    <w:p w14:paraId="0A3D8D74"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Humbert, Anne, and Clare Brindley. 2015. “Challenging the Concept of Risk in Relation to Women’s Entrepreneurship.” </w:t>
      </w:r>
      <w:r w:rsidRPr="00541B28">
        <w:rPr>
          <w:i/>
          <w:iCs/>
          <w:noProof/>
        </w:rPr>
        <w:t>Gender in Management: An International Journal</w:t>
      </w:r>
      <w:r w:rsidRPr="00541B28">
        <w:rPr>
          <w:noProof/>
        </w:rPr>
        <w:t xml:space="preserve"> 30 (1): 2–25. https://doi.org/10.1108/GM-10-2013-0120.</w:t>
      </w:r>
    </w:p>
    <w:p w14:paraId="76685AD4"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Humbert, Anne, and Eileen Drew. 2010. “Gender, Entrepreneurship and Motivational Factors in an Irish Context.” </w:t>
      </w:r>
      <w:r w:rsidRPr="00541B28">
        <w:rPr>
          <w:i/>
          <w:iCs/>
          <w:noProof/>
        </w:rPr>
        <w:t>International Journal of Gender and Entrepreneurship</w:t>
      </w:r>
      <w:r w:rsidRPr="00541B28">
        <w:rPr>
          <w:noProof/>
        </w:rPr>
        <w:t>. https://doi.org/10.1108/17566261011051026.</w:t>
      </w:r>
    </w:p>
    <w:p w14:paraId="1C715FFE"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Jabeen, Fauzia, Mohd. Nishat Faisal, and Marios Katsioloudes. 2017. “Entrepreneurial Mindset and the Role of Universities as Strategic Drivers of Entrepreneurship.” </w:t>
      </w:r>
      <w:r w:rsidRPr="00541B28">
        <w:rPr>
          <w:i/>
          <w:iCs/>
          <w:noProof/>
        </w:rPr>
        <w:t>Journal of Small Business and Enterprise Development</w:t>
      </w:r>
      <w:r w:rsidRPr="00541B28">
        <w:rPr>
          <w:noProof/>
        </w:rPr>
        <w:t xml:space="preserve"> 24 (1): 136–57. https://doi.org/10.1108/JSBED-07-2016-0117.</w:t>
      </w:r>
    </w:p>
    <w:p w14:paraId="447C592E"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Jansen, Slinger, Tommy Van De Zande, Sjaak Brinkkemper, Erik Stam, and Vasudeva Varma. 2015. “How Education, Stimulation, and Incubation Encourage Student Entrepreneurship: Observations from MIT, IIIT, and Utrecht University.” </w:t>
      </w:r>
      <w:r w:rsidRPr="00541B28">
        <w:rPr>
          <w:i/>
          <w:iCs/>
          <w:noProof/>
        </w:rPr>
        <w:t>International Journal of Management Education</w:t>
      </w:r>
      <w:r w:rsidRPr="00541B28">
        <w:rPr>
          <w:noProof/>
        </w:rPr>
        <w:t xml:space="preserve"> 13 (2): 170–81. https://doi.org/10.1016/j.ijme.2015.03.001.</w:t>
      </w:r>
    </w:p>
    <w:p w14:paraId="7176259B"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Kaltenecker, Natalie, Christian Hoerndlein, and Thomas Hess. 2015. “The Drivers of Entrepreneurial Intentions - an Empirical Study Among Information Systems and Computer Science Students.” </w:t>
      </w:r>
      <w:r w:rsidRPr="00541B28">
        <w:rPr>
          <w:i/>
          <w:iCs/>
          <w:noProof/>
        </w:rPr>
        <w:t>Journal of Entrepreneurship Education</w:t>
      </w:r>
      <w:r w:rsidRPr="00541B28">
        <w:rPr>
          <w:noProof/>
        </w:rPr>
        <w:t xml:space="preserve"> 18 (2): 39–52.</w:t>
      </w:r>
    </w:p>
    <w:p w14:paraId="5C8D9ABA"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lastRenderedPageBreak/>
        <w:t xml:space="preserve">Kwon, Seok-Woo, and Pia Arenius. 2010. “Nations of Entrepreneurs: A Social Capital Perspective </w:t>
      </w:r>
      <w:r w:rsidRPr="00541B28">
        <w:rPr>
          <w:rFonts w:ascii="Segoe UI Symbol" w:hAnsi="Segoe UI Symbol" w:cs="Segoe UI Symbol"/>
          <w:noProof/>
        </w:rPr>
        <w:t>☆</w:t>
      </w:r>
      <w:r w:rsidRPr="00541B28">
        <w:rPr>
          <w:noProof/>
        </w:rPr>
        <w:t xml:space="preserve">.” </w:t>
      </w:r>
      <w:r w:rsidRPr="00541B28">
        <w:rPr>
          <w:i/>
          <w:iCs/>
          <w:noProof/>
        </w:rPr>
        <w:t>Journal of Business Venturing</w:t>
      </w:r>
      <w:r w:rsidRPr="00541B28">
        <w:rPr>
          <w:noProof/>
        </w:rPr>
        <w:t xml:space="preserve"> 25 (3): 315–30. https://doi.org/10.1016/j.jbusvent.2008.10.008.</w:t>
      </w:r>
    </w:p>
    <w:p w14:paraId="3F75AF4E"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Kwong, Caleb, Dylan Jones‐Evans, and Piers Thompson. 2012. “Differences in Perceptions of Access to Finance between Potential Male and Female Entrepreneurs.” </w:t>
      </w:r>
      <w:r w:rsidRPr="00541B28">
        <w:rPr>
          <w:i/>
          <w:iCs/>
          <w:noProof/>
        </w:rPr>
        <w:t>International Journal of Entrepreneurial Behavior &amp; Research</w:t>
      </w:r>
      <w:r w:rsidRPr="00541B28">
        <w:rPr>
          <w:noProof/>
        </w:rPr>
        <w:t xml:space="preserve"> 18 (1): 75–97. https://doi.org/10.1108/13552551211201385.</w:t>
      </w:r>
    </w:p>
    <w:p w14:paraId="20D32618"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Leadem, R. 2016. “Female Entrepreneurship Is on the Rise.” Entrepreneur. 2016. https://www.entrepreneur.com/article/285656.</w:t>
      </w:r>
    </w:p>
    <w:p w14:paraId="5F6929A1"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Light, Ivan, and Léo Paul Dana. 2013. “Boundaries of Social Capital in Entrepreneurship.” </w:t>
      </w:r>
      <w:r w:rsidRPr="00541B28">
        <w:rPr>
          <w:i/>
          <w:iCs/>
          <w:noProof/>
        </w:rPr>
        <w:t>Entrepreneurship: Theory and Practice</w:t>
      </w:r>
      <w:r w:rsidRPr="00541B28">
        <w:rPr>
          <w:noProof/>
        </w:rPr>
        <w:t xml:space="preserve"> 37 (3): 603–24. https://doi.org/10.1111/etap.12016.</w:t>
      </w:r>
    </w:p>
    <w:p w14:paraId="606EE731"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Marlow, Susan, and Dean Patton. 2005. “All Credit to Men?Entrepreneurship, Finance, and Gender.” </w:t>
      </w:r>
      <w:r w:rsidRPr="00541B28">
        <w:rPr>
          <w:i/>
          <w:iCs/>
          <w:noProof/>
        </w:rPr>
        <w:t>Entrepreneurship: Theory and Practice</w:t>
      </w:r>
      <w:r w:rsidRPr="00541B28">
        <w:rPr>
          <w:noProof/>
        </w:rPr>
        <w:t xml:space="preserve"> 20 (6): 717–35. https://doi.org/10.1111/j.1540-6520.2005.00105.x.</w:t>
      </w:r>
    </w:p>
    <w:p w14:paraId="19A83D9C"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McClelland, David. 1987. “Characteristics of Successful Entrepreneurs.” </w:t>
      </w:r>
      <w:r w:rsidRPr="00541B28">
        <w:rPr>
          <w:i/>
          <w:iCs/>
          <w:noProof/>
        </w:rPr>
        <w:t>Journal of Creative Behaviour</w:t>
      </w:r>
      <w:r w:rsidRPr="00541B28">
        <w:rPr>
          <w:noProof/>
        </w:rPr>
        <w:t xml:space="preserve"> 21 (3): 219–33. https://doi.org/10.1002/j.2162-6057.1987.tb00479.x.</w:t>
      </w:r>
    </w:p>
    <w:p w14:paraId="66505858"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Miller, Danny. 2015. “A Downside to the Entrepreneurial Personality?” </w:t>
      </w:r>
      <w:r w:rsidRPr="00541B28">
        <w:rPr>
          <w:i/>
          <w:iCs/>
          <w:noProof/>
        </w:rPr>
        <w:t>Entrepreneurship: Theory and Practice</w:t>
      </w:r>
      <w:r w:rsidRPr="00541B28">
        <w:rPr>
          <w:noProof/>
        </w:rPr>
        <w:t xml:space="preserve"> 39 (1): 1–8. https://doi.org/10.1111/etap.12130.</w:t>
      </w:r>
    </w:p>
    <w:p w14:paraId="335A1D88"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Morris, Michael H., Xaver Neumeyer, Yongseok Jang, and Donald F. Kuratko. 2018. “Distinguishing Types of Entrepreneurial Ventures: An Identity-Based Perspective.” </w:t>
      </w:r>
      <w:r w:rsidRPr="00541B28">
        <w:rPr>
          <w:i/>
          <w:iCs/>
          <w:noProof/>
        </w:rPr>
        <w:t>Journal of Small Business Management</w:t>
      </w:r>
      <w:r w:rsidRPr="00541B28">
        <w:rPr>
          <w:noProof/>
        </w:rPr>
        <w:t xml:space="preserve"> 56 (3): 453–74. https://doi.org/10.1111/jsbm.12272.</w:t>
      </w:r>
    </w:p>
    <w:p w14:paraId="232BC406"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Mtsweni, Jabu, and H Abdullah. 2015. “Stimulating and Maintaining Students’ Interest in Computer Science Using the Hackathon Model.” </w:t>
      </w:r>
      <w:r w:rsidRPr="00541B28">
        <w:rPr>
          <w:i/>
          <w:iCs/>
          <w:noProof/>
        </w:rPr>
        <w:t>The Independent Journal of Teaching and Learning</w:t>
      </w:r>
      <w:r w:rsidRPr="00541B28">
        <w:rPr>
          <w:noProof/>
        </w:rPr>
        <w:t xml:space="preserve"> 10 (1): 85–97.</w:t>
      </w:r>
    </w:p>
    <w:p w14:paraId="610BD6F2"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Murphy, Dianne. 2017. “A Model of Women Entrepreneurs’ Well-Being.” University of Wisconsin Milwaukee. http://dc.uwm.edu/etdhttp://dc.uwm.edu/etd/1516.</w:t>
      </w:r>
    </w:p>
    <w:p w14:paraId="1E41E7AB"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Nabi, Ghulam, Francisco Liñan, Alain Fayolle, Norris Krueger, and Andreas Walmsley. 2017. “The Impact of Entrepreneurship Education in Higher Education: A Systematic Review and </w:t>
      </w:r>
      <w:r w:rsidRPr="00541B28">
        <w:rPr>
          <w:noProof/>
        </w:rPr>
        <w:lastRenderedPageBreak/>
        <w:t xml:space="preserve">Research Agenda.” </w:t>
      </w:r>
      <w:r w:rsidRPr="00541B28">
        <w:rPr>
          <w:i/>
          <w:iCs/>
          <w:noProof/>
        </w:rPr>
        <w:t>Academy of Management Learning &amp; Education</w:t>
      </w:r>
      <w:r w:rsidRPr="00541B28">
        <w:rPr>
          <w:noProof/>
        </w:rPr>
        <w:t xml:space="preserve"> 16 (2): 277–99. https://doi.org/10.5465/amle.2015.0026.</w:t>
      </w:r>
    </w:p>
    <w:p w14:paraId="61615838"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Naudé, Wim. 2014. “Entrepreneurship and Economic Development.” In </w:t>
      </w:r>
      <w:r w:rsidRPr="00541B28">
        <w:rPr>
          <w:i/>
          <w:iCs/>
          <w:noProof/>
        </w:rPr>
        <w:t>International Development: Ideas, Experience, and Prospects</w:t>
      </w:r>
      <w:r w:rsidRPr="00541B28">
        <w:rPr>
          <w:noProof/>
        </w:rPr>
        <w:t>, edited by Bruce Currie-Alder, Ravi Kanbur, David Malone, and Rohinton Medhora, 311–22. Oxford, UK: Oxford University Press. https://doi.org/10.1093/acprof:oso/9780199671656.003.0019.</w:t>
      </w:r>
    </w:p>
    <w:p w14:paraId="6E825906"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Nowiński, Witold, Mohamed Yacine Haddoud, Drahoslav Lančarič, Dana Egerová, and Csilla Czeglédi. 2017. “The Impact of Entrepreneurship Education, Entrepreneurial Self-Efficacy and Gender on Entrepreneurial Intentions of University Students in the Visegrad Countries.” </w:t>
      </w:r>
      <w:r w:rsidRPr="00541B28">
        <w:rPr>
          <w:i/>
          <w:iCs/>
          <w:noProof/>
        </w:rPr>
        <w:t>Studies in Higher Education</w:t>
      </w:r>
      <w:r w:rsidRPr="00541B28">
        <w:rPr>
          <w:noProof/>
        </w:rPr>
        <w:t>, August, 1–19. https://doi.org/10.1080/03075079.2017.1365359.</w:t>
      </w:r>
    </w:p>
    <w:p w14:paraId="199E1E9D"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OECD. 2017. </w:t>
      </w:r>
      <w:r w:rsidRPr="00541B28">
        <w:rPr>
          <w:i/>
          <w:iCs/>
          <w:noProof/>
        </w:rPr>
        <w:t>Entrepreneurship at a Glance 2017</w:t>
      </w:r>
      <w:r w:rsidRPr="00541B28">
        <w:rPr>
          <w:noProof/>
        </w:rPr>
        <w:t>. OECD Publishing.</w:t>
      </w:r>
    </w:p>
    <w:p w14:paraId="62092202"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Pruett, Mark, Rachel Shinnar, Bryan Toney, Francisco Llopis, and Jerry Fox. 2009. “Explaining Entrepreneurial Intentions of University Students: A Cross-Cultural Study Article Information.” </w:t>
      </w:r>
      <w:r w:rsidRPr="00541B28">
        <w:rPr>
          <w:i/>
          <w:iCs/>
          <w:noProof/>
        </w:rPr>
        <w:t>International Journal of Entrepreneurial Behavior and Research</w:t>
      </w:r>
      <w:r w:rsidRPr="00541B28">
        <w:rPr>
          <w:noProof/>
        </w:rPr>
        <w:t xml:space="preserve"> 15 (6): 571–94. https://doi.org/10.1108/13552550910995443.</w:t>
      </w:r>
    </w:p>
    <w:p w14:paraId="136A90AE"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Rae, David, and Douglas E Melton. 2014. “Developing an Entrepreneurial Mindset in US Engineering Education: An International View of the KEEN Project.” Vol. 7. http://www.jeenonline.com/Vol7/Num3/Paper_01-web.pdf.</w:t>
      </w:r>
    </w:p>
    <w:p w14:paraId="7A3D108A"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Sanders, Melanie, Jennifer Zeng, Meredith Hellicar, and Kathryn Fagg. 2016. “The Power of Flexibility: A Key Enabler to Boost Gender Parity and Employee Engagement -.” 2016. http://www.bain.com/publications/articles/the-power-of-flexibility.aspx.</w:t>
      </w:r>
    </w:p>
    <w:p w14:paraId="13B07A38"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Santos, Francisco J., Muhammad Azam Roomi, and Francisco Liñán. 2016. “About Gender Differences and the Social Environment in the Development of Entrepreneurial Intentions.” </w:t>
      </w:r>
      <w:r w:rsidRPr="00541B28">
        <w:rPr>
          <w:i/>
          <w:iCs/>
          <w:noProof/>
        </w:rPr>
        <w:t>Journal of Small Business Management</w:t>
      </w:r>
      <w:r w:rsidRPr="00541B28">
        <w:rPr>
          <w:noProof/>
        </w:rPr>
        <w:t xml:space="preserve"> 54 (1): 49–66. https://doi.org/10.1111/jsbm.12129.</w:t>
      </w:r>
    </w:p>
    <w:p w14:paraId="744D6206"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Sauer, Robert M, and Tanya Wilson. 2016. “The Rise of Female Entrepreneurs: New Evidence on Gender Differences in Liquidity Constraints.” </w:t>
      </w:r>
      <w:r w:rsidRPr="00541B28">
        <w:rPr>
          <w:i/>
          <w:iCs/>
          <w:noProof/>
        </w:rPr>
        <w:t>European Economic Review</w:t>
      </w:r>
      <w:r w:rsidRPr="00541B28">
        <w:rPr>
          <w:noProof/>
        </w:rPr>
        <w:t xml:space="preserve"> 86: 73–86. https://doi.org/10.1016/j.euroecorev.2015.10.010.</w:t>
      </w:r>
    </w:p>
    <w:p w14:paraId="57B67C69"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Schneider, Aaron. 2017. “Social Entrepreneurship, Entrepreneurship, Collectivism, and </w:t>
      </w:r>
      <w:r w:rsidRPr="00541B28">
        <w:rPr>
          <w:noProof/>
        </w:rPr>
        <w:lastRenderedPageBreak/>
        <w:t xml:space="preserve">Everything in Between: Prototypes and Continuous Dimensions.” </w:t>
      </w:r>
      <w:r w:rsidRPr="00541B28">
        <w:rPr>
          <w:i/>
          <w:iCs/>
          <w:noProof/>
        </w:rPr>
        <w:t>Public Administration Review</w:t>
      </w:r>
      <w:r w:rsidRPr="00541B28">
        <w:rPr>
          <w:noProof/>
        </w:rPr>
        <w:t xml:space="preserve"> 77 (3): 421–31. https://doi.org/10.1111/puar.12635.</w:t>
      </w:r>
    </w:p>
    <w:p w14:paraId="0ECFA848"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Schoon, Ingrid, and Kathryn Duckworth. 2012. “Who Becomes an Entrepreneur? Early Life Experiences as Predictors of Entrepreneurship.” </w:t>
      </w:r>
      <w:r w:rsidRPr="00541B28">
        <w:rPr>
          <w:i/>
          <w:iCs/>
          <w:noProof/>
        </w:rPr>
        <w:t>Developmental Psychology</w:t>
      </w:r>
      <w:r w:rsidRPr="00541B28">
        <w:rPr>
          <w:noProof/>
        </w:rPr>
        <w:t xml:space="preserve"> 48 (6): 1719–26. https://doi.org/10.1037/a0029168.</w:t>
      </w:r>
    </w:p>
    <w:p w14:paraId="4F77875B"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Seet, Pi-Shen, Janice Jones, Lloyd Oppelaar, and Graciela Corral de Zubielqui. 2018. “Beyond ‘Know-What’ and ‘Know-How’ to ‘Know-Who’: Enhancing Human Capital with Social Capital in an Australian Start-up Accelerator.” </w:t>
      </w:r>
      <w:r w:rsidRPr="00541B28">
        <w:rPr>
          <w:i/>
          <w:iCs/>
          <w:noProof/>
        </w:rPr>
        <w:t>Asia Pacific Business Review</w:t>
      </w:r>
      <w:r w:rsidRPr="00541B28">
        <w:rPr>
          <w:noProof/>
        </w:rPr>
        <w:t xml:space="preserve"> 24 (2): 233–60. https://doi.org/10.1080/13602381.2018.1431250.</w:t>
      </w:r>
    </w:p>
    <w:p w14:paraId="3790868D"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Shinnar, Rachel, Olivier Giacomin, and Frank Janssen. 2012. “Entrepreneurial Perceptions and Intentions: The Role of Gender and Culture.” </w:t>
      </w:r>
      <w:r w:rsidRPr="00541B28">
        <w:rPr>
          <w:i/>
          <w:iCs/>
          <w:noProof/>
        </w:rPr>
        <w:t>Entrepreneurship: Theory and Practice</w:t>
      </w:r>
      <w:r w:rsidRPr="00541B28">
        <w:rPr>
          <w:noProof/>
        </w:rPr>
        <w:t xml:space="preserve"> 36 (3): 465–93. https://doi.org/10.1111/j.1540-6520.2012.00509.x.</w:t>
      </w:r>
    </w:p>
    <w:p w14:paraId="3E86968E"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Shinnar, Rachel, Dan Hsu, Benjamin Powell, and Haibo Zhou. 2018. “Entrepreneurial Intentions and Start-Ups: Are Women or Men More Likely to Enact Their Intentions?” </w:t>
      </w:r>
      <w:r w:rsidRPr="00541B28">
        <w:rPr>
          <w:i/>
          <w:iCs/>
          <w:noProof/>
        </w:rPr>
        <w:t>International Small Business Journal: Researching Entrepreneurship</w:t>
      </w:r>
      <w:r w:rsidRPr="00541B28">
        <w:rPr>
          <w:noProof/>
        </w:rPr>
        <w:t xml:space="preserve"> 36 (1): 60–80. https://doi.org/10.1177/0266242617704277.</w:t>
      </w:r>
    </w:p>
    <w:p w14:paraId="4C4A9C6D"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Shinnar, Rachel, Mark Pruett, and Bryan Toney. 2009. “Entrepreneurship Education: Attitudes Across Campus.” </w:t>
      </w:r>
      <w:r w:rsidRPr="00541B28">
        <w:rPr>
          <w:i/>
          <w:iCs/>
          <w:noProof/>
        </w:rPr>
        <w:t>Journal of Education for Business</w:t>
      </w:r>
      <w:r w:rsidRPr="00541B28">
        <w:rPr>
          <w:noProof/>
        </w:rPr>
        <w:t xml:space="preserve"> 84 (3): 151–59. https://doi.org/10.3200/JOEB.84.3.151-159.</w:t>
      </w:r>
    </w:p>
    <w:p w14:paraId="655FEF71"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Shirokova, Galina, Oleksiy Osiyevskyy, and Karina Bogatyreva. 2016. “Exploring the Intentionebehavior Link in Student Entrepreneurship: Moderating Effects of Individual and Environmental Characteristics.” </w:t>
      </w:r>
      <w:r w:rsidRPr="00541B28">
        <w:rPr>
          <w:i/>
          <w:iCs/>
          <w:noProof/>
        </w:rPr>
        <w:t>European Management Journal</w:t>
      </w:r>
      <w:r w:rsidRPr="00541B28">
        <w:rPr>
          <w:noProof/>
        </w:rPr>
        <w:t xml:space="preserve"> 34: 386–99. https://doi.org/10.1016/j.emj.2015.12.007.</w:t>
      </w:r>
    </w:p>
    <w:p w14:paraId="2C71A6D5"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Singh Sandhu, Manjit, Shaufique Fahmi Sidique, and Shoaib Riaz. 2011. “Entrepreneurship Barriers and Entrepreneurial Inclination among Malaysian Postgraduate Students.” </w:t>
      </w:r>
      <w:r w:rsidRPr="00541B28">
        <w:rPr>
          <w:i/>
          <w:iCs/>
          <w:noProof/>
        </w:rPr>
        <w:t>International Journal of Entrepreneurial Behavior &amp; Research</w:t>
      </w:r>
      <w:r w:rsidRPr="00541B28">
        <w:rPr>
          <w:noProof/>
        </w:rPr>
        <w:t xml:space="preserve"> 17 (4): 428–49. https://doi.org/10.1108/13552551111139656.</w:t>
      </w:r>
    </w:p>
    <w:p w14:paraId="1F19F89F"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Smith, Kelly, and Martin Beasley. 2011. “Graduate Entrepreneurs: Intentions, Barriers and Solutions.” Edited by Harry Matlay. </w:t>
      </w:r>
      <w:r w:rsidRPr="00541B28">
        <w:rPr>
          <w:i/>
          <w:iCs/>
          <w:noProof/>
        </w:rPr>
        <w:t>Education + Training</w:t>
      </w:r>
      <w:r w:rsidRPr="00541B28">
        <w:rPr>
          <w:noProof/>
        </w:rPr>
        <w:t xml:space="preserve"> 53 (8/9): 722–40. </w:t>
      </w:r>
      <w:r w:rsidRPr="00541B28">
        <w:rPr>
          <w:noProof/>
        </w:rPr>
        <w:lastRenderedPageBreak/>
        <w:t>https://doi.org/10.1108/00400911111185044.</w:t>
      </w:r>
    </w:p>
    <w:p w14:paraId="4263AAED"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Startup Muster. 2017. “Startup Muster 2017 Annual Report.” 2017. https://www.startupmuster.com/reports/Startup-Muster-2017-Report.pdf.</w:t>
      </w:r>
    </w:p>
    <w:p w14:paraId="04A124A9" w14:textId="77777777" w:rsidR="00323769" w:rsidRDefault="00323769" w:rsidP="00541B28">
      <w:pPr>
        <w:widowControl w:val="0"/>
        <w:autoSpaceDE w:val="0"/>
        <w:autoSpaceDN w:val="0"/>
        <w:adjustRightInd w:val="0"/>
        <w:spacing w:after="240" w:line="360" w:lineRule="auto"/>
        <w:ind w:left="480" w:hanging="480"/>
        <w:rPr>
          <w:noProof/>
        </w:rPr>
      </w:pPr>
      <w:r w:rsidRPr="00323769">
        <w:rPr>
          <w:noProof/>
        </w:rPr>
        <w:t>Stayton, John, and Vincent Mangematin.</w:t>
      </w:r>
      <w:r>
        <w:rPr>
          <w:noProof/>
        </w:rPr>
        <w:t xml:space="preserve"> 2016.</w:t>
      </w:r>
      <w:r w:rsidRPr="00323769">
        <w:rPr>
          <w:noProof/>
        </w:rPr>
        <w:t xml:space="preserve"> "Startup time, innovation and organizational emergence: A study of USA-based international technology ventures." </w:t>
      </w:r>
      <w:r w:rsidRPr="00C95F67">
        <w:rPr>
          <w:i/>
          <w:noProof/>
        </w:rPr>
        <w:t>Journal of International Entrepreneurship</w:t>
      </w:r>
      <w:r>
        <w:rPr>
          <w:noProof/>
        </w:rPr>
        <w:t xml:space="preserve"> 14, no. 3</w:t>
      </w:r>
      <w:r w:rsidRPr="00323769">
        <w:rPr>
          <w:noProof/>
        </w:rPr>
        <w:t xml:space="preserve">: 373-409. </w:t>
      </w:r>
    </w:p>
    <w:p w14:paraId="350823B6"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Teixeira, Aurora, and R Forte. 2017. “Prior Education and Entrepreneurial Intentions: The Differential Impact of a Wide Range of Fields of Study.” </w:t>
      </w:r>
      <w:r w:rsidRPr="00541B28">
        <w:rPr>
          <w:i/>
          <w:iCs/>
          <w:noProof/>
        </w:rPr>
        <w:t>Review of Managerial Science</w:t>
      </w:r>
      <w:r w:rsidRPr="00541B28">
        <w:rPr>
          <w:noProof/>
        </w:rPr>
        <w:t xml:space="preserve"> 11 (2): 353–94. https://doi.org/10.1007/s11846-015-0188-2.</w:t>
      </w:r>
    </w:p>
    <w:p w14:paraId="144EDF6D"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Thébaud, Sarah. 2010. “Gender and Entrepreneurship as a Career Choice: Do Self-Assessments of Ability Matter?” </w:t>
      </w:r>
      <w:r w:rsidRPr="00541B28">
        <w:rPr>
          <w:i/>
          <w:iCs/>
          <w:noProof/>
        </w:rPr>
        <w:t>Social Psychology Quarterly</w:t>
      </w:r>
      <w:r w:rsidRPr="00541B28">
        <w:rPr>
          <w:noProof/>
        </w:rPr>
        <w:t xml:space="preserve"> 73 (3): 288–304. https://doi.org/10.1177/0190272510377882.</w:t>
      </w:r>
    </w:p>
    <w:p w14:paraId="30DE1810"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Timewise. 2017. “Flexibile Working: A Talent Imperative.” 2017. https://timewise.co.uk/wp-content/uploads/2017/09/Flexible_working_Talent_-Imperative.pdf.</w:t>
      </w:r>
    </w:p>
    <w:p w14:paraId="534DF1E2"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Urbano, David, Sebastian Aparicio, and David Audretsch. 2018. “Twenty-Five Years of Research on Institutions, Entrepreneurship, and Economic Growth: What Has Been Learned?” </w:t>
      </w:r>
      <w:r w:rsidRPr="00541B28">
        <w:rPr>
          <w:i/>
          <w:iCs/>
          <w:noProof/>
        </w:rPr>
        <w:t>Small Business Economics</w:t>
      </w:r>
      <w:r w:rsidRPr="00541B28">
        <w:rPr>
          <w:noProof/>
        </w:rPr>
        <w:t>, April. https://doi.org/10.1007/s11187-018-0038-0.</w:t>
      </w:r>
    </w:p>
    <w:p w14:paraId="70453D4C"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Wang, Clement K, and Poh-Kam Wong. 2004. “Entrepreneurial Interest of University Students in Singapore.” </w:t>
      </w:r>
      <w:r w:rsidRPr="00541B28">
        <w:rPr>
          <w:i/>
          <w:iCs/>
          <w:noProof/>
        </w:rPr>
        <w:t>Technovation</w:t>
      </w:r>
      <w:r w:rsidRPr="00541B28">
        <w:rPr>
          <w:noProof/>
        </w:rPr>
        <w:t xml:space="preserve"> 24: 163–72. https://doi.org/10.1016/S0166-4972(02)00016-0.</w:t>
      </w:r>
    </w:p>
    <w:p w14:paraId="2B4D706A" w14:textId="77777777" w:rsidR="00EC7A70" w:rsidRDefault="00EC7A70" w:rsidP="00541B28">
      <w:pPr>
        <w:widowControl w:val="0"/>
        <w:autoSpaceDE w:val="0"/>
        <w:autoSpaceDN w:val="0"/>
        <w:adjustRightInd w:val="0"/>
        <w:spacing w:after="240" w:line="360" w:lineRule="auto"/>
        <w:ind w:left="480" w:hanging="480"/>
        <w:rPr>
          <w:noProof/>
        </w:rPr>
      </w:pPr>
      <w:r w:rsidRPr="00EC7A70">
        <w:rPr>
          <w:noProof/>
        </w:rPr>
        <w:t xml:space="preserve">Watson, Derek, Lynne Hall, and Sarah Tazzyman. 2016. "Trick or treat: Academic buy-in to third stream activities." </w:t>
      </w:r>
      <w:r w:rsidRPr="00C95F67">
        <w:rPr>
          <w:i/>
          <w:noProof/>
        </w:rPr>
        <w:t xml:space="preserve">Industry and Higher Education </w:t>
      </w:r>
      <w:r w:rsidRPr="00EC7A70">
        <w:rPr>
          <w:noProof/>
        </w:rPr>
        <w:t>30, no. 2: 155-167.</w:t>
      </w:r>
    </w:p>
    <w:p w14:paraId="54DE6A3F"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Wilson, Fiona, Jill Kickul, and Deborah Marlino. 2007. “Gender, Entrepreneurial Self-Efficacy, and Entrepreneurial Career Intentions: Implications for Entrepreneurship Education.” </w:t>
      </w:r>
      <w:r w:rsidRPr="00541B28">
        <w:rPr>
          <w:i/>
          <w:iCs/>
          <w:noProof/>
        </w:rPr>
        <w:t>Education</w:t>
      </w:r>
      <w:r w:rsidRPr="00541B28">
        <w:rPr>
          <w:noProof/>
        </w:rPr>
        <w:t>, no. 617: 387–407. https://doi.org/10.1111/j.1540-6520.2007.00179.x.</w:t>
      </w:r>
    </w:p>
    <w:p w14:paraId="739EE79F" w14:textId="77777777" w:rsidR="00541B28" w:rsidRPr="00541B28" w:rsidRDefault="00541B28" w:rsidP="00541B28">
      <w:pPr>
        <w:widowControl w:val="0"/>
        <w:autoSpaceDE w:val="0"/>
        <w:autoSpaceDN w:val="0"/>
        <w:adjustRightInd w:val="0"/>
        <w:spacing w:after="240" w:line="360" w:lineRule="auto"/>
        <w:ind w:left="480" w:hanging="480"/>
        <w:rPr>
          <w:noProof/>
        </w:rPr>
      </w:pPr>
      <w:r w:rsidRPr="00541B28">
        <w:rPr>
          <w:noProof/>
        </w:rPr>
        <w:t xml:space="preserve">Zhao, Hao, Scott E Seibert, and Gerald E Hills. 2005. “The Mediating Role of Self-Efficacy in the Development of Entrepreneurial Intentions.” </w:t>
      </w:r>
      <w:r w:rsidRPr="00541B28">
        <w:rPr>
          <w:i/>
          <w:iCs/>
          <w:noProof/>
        </w:rPr>
        <w:t>Journal of Applied Psychology</w:t>
      </w:r>
      <w:r w:rsidRPr="00541B28">
        <w:rPr>
          <w:noProof/>
        </w:rPr>
        <w:t xml:space="preserve"> 90 (6): 1265–72. https://doi.org/10.1037/0021-9010.90.6.1265.</w:t>
      </w:r>
    </w:p>
    <w:p w14:paraId="3228BED1" w14:textId="77777777" w:rsidR="001F123C" w:rsidRDefault="006C1320" w:rsidP="00975151">
      <w:pPr>
        <w:pStyle w:val="CopyrightBox"/>
        <w:widowControl w:val="0"/>
        <w:spacing w:line="360" w:lineRule="auto"/>
        <w:contextualSpacing/>
      </w:pPr>
      <w:r>
        <w:lastRenderedPageBreak/>
        <w:fldChar w:fldCharType="end"/>
      </w:r>
    </w:p>
    <w:p w14:paraId="602D1BBC" w14:textId="77777777" w:rsidR="005B1937" w:rsidRDefault="001F123C" w:rsidP="00975151">
      <w:pPr>
        <w:pStyle w:val="CopyrightBox"/>
        <w:widowControl w:val="0"/>
        <w:spacing w:line="360" w:lineRule="auto"/>
        <w:contextualSpacing/>
      </w:pPr>
      <w:r w:rsidRPr="00E01A9C" w:rsidDel="001F123C">
        <w:t xml:space="preserve"> </w:t>
      </w:r>
    </w:p>
    <w:p w14:paraId="3D8DE3E6" w14:textId="77777777" w:rsidR="005B1937" w:rsidRDefault="005B1937" w:rsidP="00C67ABF">
      <w:r>
        <w:br w:type="page"/>
      </w:r>
    </w:p>
    <w:p w14:paraId="076CB7EA" w14:textId="77777777" w:rsidR="00335495" w:rsidRDefault="00335495" w:rsidP="00335495">
      <w:pPr>
        <w:jc w:val="center"/>
      </w:pPr>
      <w:r w:rsidRPr="00C47A55">
        <w:rPr>
          <w:b/>
        </w:rPr>
        <w:lastRenderedPageBreak/>
        <w:t>Appendix A.</w:t>
      </w:r>
      <w:r>
        <w:t xml:space="preserve"> PCA Results for motivators, barriers and enablers</w:t>
      </w:r>
    </w:p>
    <w:p w14:paraId="70D838D0" w14:textId="77777777" w:rsidR="00335495" w:rsidRPr="004B4226" w:rsidRDefault="00335495" w:rsidP="00335495">
      <w:pPr>
        <w:pStyle w:val="TableHeader"/>
      </w:pPr>
      <w:r w:rsidRPr="004B4226">
        <w:t xml:space="preserve">Table </w:t>
      </w:r>
      <w:r w:rsidR="007E1D73">
        <w:t>A1</w:t>
      </w:r>
      <w:r w:rsidRPr="004B4226">
        <w:t>. PCA for reasons in taking up entrepreneurship</w:t>
      </w:r>
    </w:p>
    <w:tbl>
      <w:tblPr>
        <w:tblW w:w="8941" w:type="dxa"/>
        <w:tblLayout w:type="fixed"/>
        <w:tblCellMar>
          <w:left w:w="0" w:type="dxa"/>
          <w:right w:w="0" w:type="dxa"/>
        </w:tblCellMar>
        <w:tblLook w:val="0000" w:firstRow="0" w:lastRow="0" w:firstColumn="0" w:lastColumn="0" w:noHBand="0" w:noVBand="0"/>
      </w:tblPr>
      <w:tblGrid>
        <w:gridCol w:w="4800"/>
        <w:gridCol w:w="1276"/>
        <w:gridCol w:w="1559"/>
        <w:gridCol w:w="1306"/>
      </w:tblGrid>
      <w:tr w:rsidR="00335495" w:rsidRPr="00823DE2" w14:paraId="7B044212" w14:textId="77777777" w:rsidTr="00792814">
        <w:trPr>
          <w:cantSplit/>
          <w:trHeight w:val="600"/>
        </w:trPr>
        <w:tc>
          <w:tcPr>
            <w:tcW w:w="4800" w:type="dxa"/>
            <w:tcBorders>
              <w:top w:val="single" w:sz="4" w:space="0" w:color="auto"/>
              <w:bottom w:val="single" w:sz="4" w:space="0" w:color="auto"/>
            </w:tcBorders>
            <w:shd w:val="clear" w:color="auto" w:fill="FFFFFF"/>
            <w:vAlign w:val="bottom"/>
          </w:tcPr>
          <w:p w14:paraId="3208753B" w14:textId="77777777" w:rsidR="00335495" w:rsidRPr="00823DE2" w:rsidRDefault="00335495" w:rsidP="00792814">
            <w:pPr>
              <w:autoSpaceDE w:val="0"/>
              <w:autoSpaceDN w:val="0"/>
              <w:adjustRightInd w:val="0"/>
              <w:spacing w:line="240" w:lineRule="auto"/>
              <w:rPr>
                <w:color w:val="000000"/>
              </w:rPr>
            </w:pPr>
          </w:p>
        </w:tc>
        <w:tc>
          <w:tcPr>
            <w:tcW w:w="1276" w:type="dxa"/>
            <w:tcBorders>
              <w:top w:val="single" w:sz="4" w:space="0" w:color="auto"/>
              <w:bottom w:val="single" w:sz="4" w:space="0" w:color="auto"/>
            </w:tcBorders>
            <w:shd w:val="clear" w:color="auto" w:fill="FFFFFF"/>
            <w:vAlign w:val="bottom"/>
          </w:tcPr>
          <w:p w14:paraId="0986210B"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Extrinsic motivation</w:t>
            </w:r>
          </w:p>
          <w:p w14:paraId="79AE56D8"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.725</w:t>
            </w:r>
          </w:p>
        </w:tc>
        <w:tc>
          <w:tcPr>
            <w:tcW w:w="1559" w:type="dxa"/>
            <w:tcBorders>
              <w:top w:val="single" w:sz="4" w:space="0" w:color="auto"/>
              <w:bottom w:val="single" w:sz="4" w:space="0" w:color="auto"/>
            </w:tcBorders>
            <w:shd w:val="clear" w:color="auto" w:fill="FFFFFF"/>
            <w:vAlign w:val="bottom"/>
          </w:tcPr>
          <w:p w14:paraId="304690FC"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Intrinsic motivation</w:t>
            </w:r>
          </w:p>
          <w:p w14:paraId="1E34D869"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.678</w:t>
            </w:r>
          </w:p>
        </w:tc>
        <w:tc>
          <w:tcPr>
            <w:tcW w:w="1306" w:type="dxa"/>
            <w:tcBorders>
              <w:top w:val="single" w:sz="4" w:space="0" w:color="auto"/>
              <w:bottom w:val="single" w:sz="4" w:space="0" w:color="auto"/>
            </w:tcBorders>
            <w:shd w:val="clear" w:color="auto" w:fill="FFFFFF"/>
            <w:vAlign w:val="bottom"/>
          </w:tcPr>
          <w:p w14:paraId="6C5EE4D8"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 xml:space="preserve">Job </w:t>
            </w:r>
          </w:p>
          <w:p w14:paraId="0F7E3539"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Flexibility</w:t>
            </w:r>
          </w:p>
          <w:p w14:paraId="77CC7DD5"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.653</w:t>
            </w:r>
          </w:p>
        </w:tc>
      </w:tr>
      <w:tr w:rsidR="00335495" w:rsidRPr="00823DE2" w14:paraId="57A9DB26" w14:textId="77777777" w:rsidTr="00792814">
        <w:trPr>
          <w:cantSplit/>
          <w:trHeight w:val="287"/>
        </w:trPr>
        <w:tc>
          <w:tcPr>
            <w:tcW w:w="4800" w:type="dxa"/>
            <w:tcBorders>
              <w:top w:val="single" w:sz="4" w:space="0" w:color="auto"/>
            </w:tcBorders>
            <w:shd w:val="clear" w:color="auto" w:fill="FFFFFF"/>
          </w:tcPr>
          <w:p w14:paraId="6D67A9BE"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Competitive graduate job market</w:t>
            </w:r>
          </w:p>
        </w:tc>
        <w:tc>
          <w:tcPr>
            <w:tcW w:w="1276" w:type="dxa"/>
            <w:tcBorders>
              <w:top w:val="single" w:sz="4" w:space="0" w:color="auto"/>
            </w:tcBorders>
            <w:shd w:val="clear" w:color="auto" w:fill="FFFFFF"/>
            <w:vAlign w:val="center"/>
          </w:tcPr>
          <w:p w14:paraId="3CE7CBF2"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.809</w:t>
            </w:r>
          </w:p>
        </w:tc>
        <w:tc>
          <w:tcPr>
            <w:tcW w:w="1559" w:type="dxa"/>
            <w:tcBorders>
              <w:top w:val="single" w:sz="4" w:space="0" w:color="auto"/>
            </w:tcBorders>
            <w:shd w:val="clear" w:color="auto" w:fill="FFFFFF"/>
            <w:vAlign w:val="center"/>
          </w:tcPr>
          <w:p w14:paraId="2387C860" w14:textId="77777777" w:rsidR="00335495" w:rsidRPr="00823DE2" w:rsidRDefault="00335495" w:rsidP="00792814">
            <w:pPr>
              <w:autoSpaceDE w:val="0"/>
              <w:autoSpaceDN w:val="0"/>
              <w:adjustRightInd w:val="0"/>
              <w:spacing w:line="240" w:lineRule="auto"/>
            </w:pPr>
          </w:p>
        </w:tc>
        <w:tc>
          <w:tcPr>
            <w:tcW w:w="1306" w:type="dxa"/>
            <w:tcBorders>
              <w:top w:val="single" w:sz="4" w:space="0" w:color="auto"/>
            </w:tcBorders>
            <w:shd w:val="clear" w:color="auto" w:fill="FFFFFF"/>
            <w:vAlign w:val="center"/>
          </w:tcPr>
          <w:p w14:paraId="2B1ECCF7" w14:textId="77777777" w:rsidR="00335495" w:rsidRPr="00823DE2" w:rsidRDefault="00335495" w:rsidP="00792814">
            <w:pPr>
              <w:autoSpaceDE w:val="0"/>
              <w:autoSpaceDN w:val="0"/>
              <w:adjustRightInd w:val="0"/>
              <w:spacing w:line="240" w:lineRule="auto"/>
            </w:pPr>
          </w:p>
        </w:tc>
      </w:tr>
      <w:tr w:rsidR="00335495" w:rsidRPr="00823DE2" w14:paraId="3A0D1D28" w14:textId="77777777" w:rsidTr="00792814">
        <w:trPr>
          <w:cantSplit/>
          <w:trHeight w:val="287"/>
        </w:trPr>
        <w:tc>
          <w:tcPr>
            <w:tcW w:w="4800" w:type="dxa"/>
            <w:shd w:val="clear" w:color="auto" w:fill="FFFFFF"/>
          </w:tcPr>
          <w:p w14:paraId="2A491C38" w14:textId="77777777" w:rsidR="00335495" w:rsidRPr="00823DE2" w:rsidRDefault="00335495" w:rsidP="00792814">
            <w:pPr>
              <w:autoSpaceDE w:val="0"/>
              <w:autoSpaceDN w:val="0"/>
              <w:adjustRightInd w:val="0"/>
              <w:spacing w:line="320" w:lineRule="atLeast"/>
              <w:ind w:right="60"/>
              <w:rPr>
                <w:color w:val="000000"/>
              </w:rPr>
            </w:pPr>
            <w:r w:rsidRPr="00823DE2">
              <w:rPr>
                <w:color w:val="000000"/>
              </w:rPr>
              <w:t xml:space="preserve"> Fame and recognition</w:t>
            </w:r>
          </w:p>
        </w:tc>
        <w:tc>
          <w:tcPr>
            <w:tcW w:w="1276" w:type="dxa"/>
            <w:shd w:val="clear" w:color="auto" w:fill="FFFFFF"/>
            <w:vAlign w:val="center"/>
          </w:tcPr>
          <w:p w14:paraId="51CC5AE6"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.760</w:t>
            </w:r>
          </w:p>
        </w:tc>
        <w:tc>
          <w:tcPr>
            <w:tcW w:w="1559" w:type="dxa"/>
            <w:shd w:val="clear" w:color="auto" w:fill="FFFFFF"/>
            <w:vAlign w:val="center"/>
          </w:tcPr>
          <w:p w14:paraId="27C7F921" w14:textId="77777777" w:rsidR="00335495" w:rsidRPr="00823DE2" w:rsidRDefault="00335495" w:rsidP="00792814">
            <w:pPr>
              <w:autoSpaceDE w:val="0"/>
              <w:autoSpaceDN w:val="0"/>
              <w:adjustRightInd w:val="0"/>
              <w:spacing w:line="240" w:lineRule="auto"/>
            </w:pPr>
          </w:p>
        </w:tc>
        <w:tc>
          <w:tcPr>
            <w:tcW w:w="1306" w:type="dxa"/>
            <w:shd w:val="clear" w:color="auto" w:fill="FFFFFF"/>
            <w:vAlign w:val="center"/>
          </w:tcPr>
          <w:p w14:paraId="3DAD3D15" w14:textId="77777777" w:rsidR="00335495" w:rsidRPr="00823DE2" w:rsidRDefault="00335495" w:rsidP="00792814">
            <w:pPr>
              <w:autoSpaceDE w:val="0"/>
              <w:autoSpaceDN w:val="0"/>
              <w:adjustRightInd w:val="0"/>
              <w:spacing w:line="240" w:lineRule="auto"/>
            </w:pPr>
          </w:p>
        </w:tc>
      </w:tr>
      <w:tr w:rsidR="00335495" w:rsidRPr="00823DE2" w14:paraId="0A81153B" w14:textId="77777777" w:rsidTr="00792814">
        <w:trPr>
          <w:cantSplit/>
          <w:trHeight w:val="299"/>
        </w:trPr>
        <w:tc>
          <w:tcPr>
            <w:tcW w:w="4800" w:type="dxa"/>
            <w:shd w:val="clear" w:color="auto" w:fill="FFFFFF"/>
          </w:tcPr>
          <w:p w14:paraId="242448CC"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Encouragement from family and friends</w:t>
            </w:r>
          </w:p>
        </w:tc>
        <w:tc>
          <w:tcPr>
            <w:tcW w:w="1276" w:type="dxa"/>
            <w:shd w:val="clear" w:color="auto" w:fill="FFFFFF"/>
            <w:vAlign w:val="center"/>
          </w:tcPr>
          <w:p w14:paraId="1F09759B"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.684</w:t>
            </w:r>
          </w:p>
        </w:tc>
        <w:tc>
          <w:tcPr>
            <w:tcW w:w="1559" w:type="dxa"/>
            <w:shd w:val="clear" w:color="auto" w:fill="FFFFFF"/>
            <w:vAlign w:val="center"/>
          </w:tcPr>
          <w:p w14:paraId="48F17753" w14:textId="77777777" w:rsidR="00335495" w:rsidRPr="00823DE2" w:rsidRDefault="00335495" w:rsidP="00792814">
            <w:pPr>
              <w:autoSpaceDE w:val="0"/>
              <w:autoSpaceDN w:val="0"/>
              <w:adjustRightInd w:val="0"/>
              <w:spacing w:line="320" w:lineRule="atLeast"/>
              <w:ind w:left="60" w:right="60"/>
              <w:jc w:val="right"/>
              <w:rPr>
                <w:color w:val="000000"/>
              </w:rPr>
            </w:pPr>
          </w:p>
        </w:tc>
        <w:tc>
          <w:tcPr>
            <w:tcW w:w="1306" w:type="dxa"/>
            <w:shd w:val="clear" w:color="auto" w:fill="FFFFFF"/>
            <w:vAlign w:val="center"/>
          </w:tcPr>
          <w:p w14:paraId="727B97F2" w14:textId="77777777" w:rsidR="00335495" w:rsidRPr="00823DE2" w:rsidRDefault="00335495" w:rsidP="00792814">
            <w:pPr>
              <w:autoSpaceDE w:val="0"/>
              <w:autoSpaceDN w:val="0"/>
              <w:adjustRightInd w:val="0"/>
              <w:spacing w:line="240" w:lineRule="auto"/>
            </w:pPr>
          </w:p>
        </w:tc>
      </w:tr>
      <w:tr w:rsidR="00335495" w:rsidRPr="00823DE2" w14:paraId="600A237F" w14:textId="77777777" w:rsidTr="00792814">
        <w:trPr>
          <w:cantSplit/>
          <w:trHeight w:val="287"/>
        </w:trPr>
        <w:tc>
          <w:tcPr>
            <w:tcW w:w="4800" w:type="dxa"/>
            <w:shd w:val="clear" w:color="auto" w:fill="FFFFFF"/>
          </w:tcPr>
          <w:p w14:paraId="151824B8"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Opportunity to earn a high salary</w:t>
            </w:r>
          </w:p>
        </w:tc>
        <w:tc>
          <w:tcPr>
            <w:tcW w:w="1276" w:type="dxa"/>
            <w:shd w:val="clear" w:color="auto" w:fill="FFFFFF"/>
            <w:vAlign w:val="center"/>
          </w:tcPr>
          <w:p w14:paraId="5A4567BB"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.603</w:t>
            </w:r>
          </w:p>
        </w:tc>
        <w:tc>
          <w:tcPr>
            <w:tcW w:w="1559" w:type="dxa"/>
            <w:shd w:val="clear" w:color="auto" w:fill="FFFFFF"/>
            <w:vAlign w:val="center"/>
          </w:tcPr>
          <w:p w14:paraId="33A95650" w14:textId="77777777" w:rsidR="00335495" w:rsidRPr="00823DE2" w:rsidRDefault="00335495" w:rsidP="00792814">
            <w:pPr>
              <w:autoSpaceDE w:val="0"/>
              <w:autoSpaceDN w:val="0"/>
              <w:adjustRightInd w:val="0"/>
              <w:spacing w:line="240" w:lineRule="auto"/>
            </w:pPr>
          </w:p>
        </w:tc>
        <w:tc>
          <w:tcPr>
            <w:tcW w:w="1306" w:type="dxa"/>
            <w:shd w:val="clear" w:color="auto" w:fill="FFFFFF"/>
            <w:vAlign w:val="center"/>
          </w:tcPr>
          <w:p w14:paraId="02610BB0" w14:textId="77777777" w:rsidR="00335495" w:rsidRPr="00823DE2" w:rsidRDefault="00335495" w:rsidP="00792814">
            <w:pPr>
              <w:autoSpaceDE w:val="0"/>
              <w:autoSpaceDN w:val="0"/>
              <w:adjustRightInd w:val="0"/>
              <w:spacing w:line="240" w:lineRule="auto"/>
            </w:pPr>
          </w:p>
        </w:tc>
      </w:tr>
      <w:tr w:rsidR="00335495" w:rsidRPr="00823DE2" w14:paraId="0BE98643" w14:textId="77777777" w:rsidTr="00792814">
        <w:trPr>
          <w:cantSplit/>
          <w:trHeight w:val="287"/>
        </w:trPr>
        <w:tc>
          <w:tcPr>
            <w:tcW w:w="4800" w:type="dxa"/>
            <w:shd w:val="clear" w:color="auto" w:fill="FFFFFF"/>
          </w:tcPr>
          <w:p w14:paraId="0000A0B3"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Job satisfaction</w:t>
            </w:r>
          </w:p>
        </w:tc>
        <w:tc>
          <w:tcPr>
            <w:tcW w:w="1276" w:type="dxa"/>
            <w:shd w:val="clear" w:color="auto" w:fill="FFFFFF"/>
            <w:vAlign w:val="center"/>
          </w:tcPr>
          <w:p w14:paraId="3321AA2D" w14:textId="77777777" w:rsidR="00335495" w:rsidRPr="00823DE2" w:rsidRDefault="00335495" w:rsidP="00792814">
            <w:pPr>
              <w:autoSpaceDE w:val="0"/>
              <w:autoSpaceDN w:val="0"/>
              <w:adjustRightInd w:val="0"/>
              <w:spacing w:line="240" w:lineRule="auto"/>
            </w:pPr>
          </w:p>
        </w:tc>
        <w:tc>
          <w:tcPr>
            <w:tcW w:w="1559" w:type="dxa"/>
            <w:shd w:val="clear" w:color="auto" w:fill="FFFFFF"/>
            <w:vAlign w:val="center"/>
          </w:tcPr>
          <w:p w14:paraId="2D8A4E33"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.830</w:t>
            </w:r>
          </w:p>
        </w:tc>
        <w:tc>
          <w:tcPr>
            <w:tcW w:w="1306" w:type="dxa"/>
            <w:shd w:val="clear" w:color="auto" w:fill="FFFFFF"/>
            <w:vAlign w:val="center"/>
          </w:tcPr>
          <w:p w14:paraId="2DE6D797" w14:textId="77777777" w:rsidR="00335495" w:rsidRPr="00823DE2" w:rsidRDefault="00335495" w:rsidP="00792814">
            <w:pPr>
              <w:autoSpaceDE w:val="0"/>
              <w:autoSpaceDN w:val="0"/>
              <w:adjustRightInd w:val="0"/>
              <w:spacing w:line="240" w:lineRule="auto"/>
            </w:pPr>
          </w:p>
        </w:tc>
      </w:tr>
      <w:tr w:rsidR="00335495" w:rsidRPr="00823DE2" w14:paraId="1D3C6C12" w14:textId="77777777" w:rsidTr="00792814">
        <w:trPr>
          <w:cantSplit/>
          <w:trHeight w:val="280"/>
        </w:trPr>
        <w:tc>
          <w:tcPr>
            <w:tcW w:w="4800" w:type="dxa"/>
            <w:shd w:val="clear" w:color="auto" w:fill="FFFFFF"/>
          </w:tcPr>
          <w:p w14:paraId="18D079FB"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Opportunity to follow my passion/interests</w:t>
            </w:r>
          </w:p>
        </w:tc>
        <w:tc>
          <w:tcPr>
            <w:tcW w:w="1276" w:type="dxa"/>
            <w:shd w:val="clear" w:color="auto" w:fill="FFFFFF"/>
            <w:vAlign w:val="center"/>
          </w:tcPr>
          <w:p w14:paraId="10E44A29" w14:textId="77777777" w:rsidR="00335495" w:rsidRPr="00823DE2" w:rsidRDefault="00335495" w:rsidP="00792814">
            <w:pPr>
              <w:autoSpaceDE w:val="0"/>
              <w:autoSpaceDN w:val="0"/>
              <w:adjustRightInd w:val="0"/>
              <w:spacing w:line="240" w:lineRule="auto"/>
            </w:pPr>
          </w:p>
        </w:tc>
        <w:tc>
          <w:tcPr>
            <w:tcW w:w="1559" w:type="dxa"/>
            <w:shd w:val="clear" w:color="auto" w:fill="FFFFFF"/>
            <w:vAlign w:val="center"/>
          </w:tcPr>
          <w:p w14:paraId="20FDAE4F"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.786</w:t>
            </w:r>
          </w:p>
        </w:tc>
        <w:tc>
          <w:tcPr>
            <w:tcW w:w="1306" w:type="dxa"/>
            <w:shd w:val="clear" w:color="auto" w:fill="FFFFFF"/>
            <w:vAlign w:val="center"/>
          </w:tcPr>
          <w:p w14:paraId="3F14D501" w14:textId="77777777" w:rsidR="00335495" w:rsidRPr="00823DE2" w:rsidRDefault="00335495" w:rsidP="00792814">
            <w:pPr>
              <w:autoSpaceDE w:val="0"/>
              <w:autoSpaceDN w:val="0"/>
              <w:adjustRightInd w:val="0"/>
              <w:spacing w:line="240" w:lineRule="auto"/>
            </w:pPr>
          </w:p>
        </w:tc>
      </w:tr>
      <w:tr w:rsidR="00335495" w:rsidRPr="00823DE2" w14:paraId="0CE80796" w14:textId="77777777" w:rsidTr="00792814">
        <w:trPr>
          <w:cantSplit/>
          <w:trHeight w:val="287"/>
        </w:trPr>
        <w:tc>
          <w:tcPr>
            <w:tcW w:w="4800" w:type="dxa"/>
            <w:shd w:val="clear" w:color="auto" w:fill="FFFFFF"/>
          </w:tcPr>
          <w:p w14:paraId="320AA6D0" w14:textId="77777777" w:rsidR="00335495" w:rsidRPr="00823DE2" w:rsidRDefault="00335495" w:rsidP="00792814">
            <w:pPr>
              <w:autoSpaceDE w:val="0"/>
              <w:autoSpaceDN w:val="0"/>
              <w:adjustRightInd w:val="0"/>
              <w:spacing w:line="320" w:lineRule="atLeast"/>
              <w:ind w:right="60"/>
              <w:rPr>
                <w:color w:val="000000"/>
              </w:rPr>
            </w:pPr>
            <w:r w:rsidRPr="00823DE2">
              <w:rPr>
                <w:color w:val="000000"/>
              </w:rPr>
              <w:t xml:space="preserve"> Flexible working hours</w:t>
            </w:r>
          </w:p>
        </w:tc>
        <w:tc>
          <w:tcPr>
            <w:tcW w:w="1276" w:type="dxa"/>
            <w:shd w:val="clear" w:color="auto" w:fill="FFFFFF"/>
            <w:vAlign w:val="center"/>
          </w:tcPr>
          <w:p w14:paraId="5DAE3CD9" w14:textId="77777777" w:rsidR="00335495" w:rsidRPr="00823DE2" w:rsidRDefault="00335495" w:rsidP="00792814">
            <w:pPr>
              <w:autoSpaceDE w:val="0"/>
              <w:autoSpaceDN w:val="0"/>
              <w:adjustRightInd w:val="0"/>
              <w:spacing w:line="240" w:lineRule="auto"/>
            </w:pPr>
          </w:p>
        </w:tc>
        <w:tc>
          <w:tcPr>
            <w:tcW w:w="1559" w:type="dxa"/>
            <w:shd w:val="clear" w:color="auto" w:fill="FFFFFF"/>
            <w:vAlign w:val="center"/>
          </w:tcPr>
          <w:p w14:paraId="00612F05" w14:textId="77777777" w:rsidR="00335495" w:rsidRPr="00823DE2" w:rsidRDefault="00335495" w:rsidP="00792814">
            <w:pPr>
              <w:autoSpaceDE w:val="0"/>
              <w:autoSpaceDN w:val="0"/>
              <w:adjustRightInd w:val="0"/>
              <w:spacing w:line="240" w:lineRule="auto"/>
            </w:pPr>
          </w:p>
        </w:tc>
        <w:tc>
          <w:tcPr>
            <w:tcW w:w="1306" w:type="dxa"/>
            <w:shd w:val="clear" w:color="auto" w:fill="FFFFFF"/>
            <w:vAlign w:val="center"/>
          </w:tcPr>
          <w:p w14:paraId="2B5592A8"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.829</w:t>
            </w:r>
          </w:p>
        </w:tc>
      </w:tr>
      <w:tr w:rsidR="00335495" w:rsidRPr="00823DE2" w14:paraId="3A4275E7" w14:textId="77777777" w:rsidTr="00792814">
        <w:trPr>
          <w:cantSplit/>
          <w:trHeight w:val="287"/>
        </w:trPr>
        <w:tc>
          <w:tcPr>
            <w:tcW w:w="4800" w:type="dxa"/>
            <w:shd w:val="clear" w:color="auto" w:fill="FFFFFF"/>
          </w:tcPr>
          <w:p w14:paraId="3C77AB1B" w14:textId="77777777" w:rsidR="00335495" w:rsidRPr="00823DE2" w:rsidRDefault="00335495" w:rsidP="00792814">
            <w:pPr>
              <w:autoSpaceDE w:val="0"/>
              <w:autoSpaceDN w:val="0"/>
              <w:adjustRightInd w:val="0"/>
              <w:spacing w:line="320" w:lineRule="atLeast"/>
              <w:ind w:right="60"/>
              <w:rPr>
                <w:color w:val="000000"/>
              </w:rPr>
            </w:pPr>
            <w:r w:rsidRPr="00823DE2">
              <w:rPr>
                <w:color w:val="000000"/>
              </w:rPr>
              <w:t xml:space="preserve"> Option of working from home</w:t>
            </w:r>
          </w:p>
        </w:tc>
        <w:tc>
          <w:tcPr>
            <w:tcW w:w="1276" w:type="dxa"/>
            <w:shd w:val="clear" w:color="auto" w:fill="FFFFFF"/>
            <w:vAlign w:val="center"/>
          </w:tcPr>
          <w:p w14:paraId="55EC0BB1" w14:textId="77777777" w:rsidR="00335495" w:rsidRPr="00823DE2" w:rsidRDefault="00335495" w:rsidP="00792814">
            <w:pPr>
              <w:autoSpaceDE w:val="0"/>
              <w:autoSpaceDN w:val="0"/>
              <w:adjustRightInd w:val="0"/>
              <w:spacing w:line="240" w:lineRule="auto"/>
            </w:pPr>
          </w:p>
        </w:tc>
        <w:tc>
          <w:tcPr>
            <w:tcW w:w="1559" w:type="dxa"/>
            <w:shd w:val="clear" w:color="auto" w:fill="FFFFFF"/>
            <w:vAlign w:val="center"/>
          </w:tcPr>
          <w:p w14:paraId="5B8959D2" w14:textId="77777777" w:rsidR="00335495" w:rsidRPr="00823DE2" w:rsidRDefault="00335495" w:rsidP="00792814">
            <w:pPr>
              <w:autoSpaceDE w:val="0"/>
              <w:autoSpaceDN w:val="0"/>
              <w:adjustRightInd w:val="0"/>
              <w:spacing w:line="240" w:lineRule="auto"/>
            </w:pPr>
          </w:p>
        </w:tc>
        <w:tc>
          <w:tcPr>
            <w:tcW w:w="1306" w:type="dxa"/>
            <w:shd w:val="clear" w:color="auto" w:fill="FFFFFF"/>
            <w:vAlign w:val="center"/>
          </w:tcPr>
          <w:p w14:paraId="3F47A2EF"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.777</w:t>
            </w:r>
          </w:p>
        </w:tc>
      </w:tr>
      <w:tr w:rsidR="00335495" w:rsidRPr="00823DE2" w14:paraId="453821D2" w14:textId="77777777" w:rsidTr="00792814">
        <w:trPr>
          <w:cantSplit/>
          <w:trHeight w:val="280"/>
        </w:trPr>
        <w:tc>
          <w:tcPr>
            <w:tcW w:w="4800" w:type="dxa"/>
            <w:shd w:val="clear" w:color="auto" w:fill="FFFFFF"/>
          </w:tcPr>
          <w:p w14:paraId="22B1F8E9"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Being your own boss</w:t>
            </w:r>
          </w:p>
        </w:tc>
        <w:tc>
          <w:tcPr>
            <w:tcW w:w="1276" w:type="dxa"/>
            <w:shd w:val="clear" w:color="auto" w:fill="FFFFFF"/>
            <w:vAlign w:val="center"/>
          </w:tcPr>
          <w:p w14:paraId="20A6BBE4" w14:textId="77777777" w:rsidR="00335495" w:rsidRPr="00823DE2" w:rsidRDefault="00335495" w:rsidP="00792814">
            <w:pPr>
              <w:autoSpaceDE w:val="0"/>
              <w:autoSpaceDN w:val="0"/>
              <w:adjustRightInd w:val="0"/>
              <w:spacing w:line="240" w:lineRule="auto"/>
            </w:pPr>
          </w:p>
        </w:tc>
        <w:tc>
          <w:tcPr>
            <w:tcW w:w="1559" w:type="dxa"/>
            <w:shd w:val="clear" w:color="auto" w:fill="FFFFFF"/>
            <w:vAlign w:val="center"/>
          </w:tcPr>
          <w:p w14:paraId="3782EAFA"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.494</w:t>
            </w:r>
          </w:p>
        </w:tc>
        <w:tc>
          <w:tcPr>
            <w:tcW w:w="1306" w:type="dxa"/>
            <w:shd w:val="clear" w:color="auto" w:fill="FFFFFF"/>
            <w:vAlign w:val="center"/>
          </w:tcPr>
          <w:p w14:paraId="347D47CC"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.566</w:t>
            </w:r>
          </w:p>
        </w:tc>
      </w:tr>
      <w:tr w:rsidR="00335495" w:rsidRPr="00823DE2" w14:paraId="064B5419" w14:textId="77777777" w:rsidTr="00792814">
        <w:trPr>
          <w:cantSplit/>
          <w:trHeight w:val="280"/>
        </w:trPr>
        <w:tc>
          <w:tcPr>
            <w:tcW w:w="4800" w:type="dxa"/>
            <w:tcBorders>
              <w:bottom w:val="single" w:sz="4" w:space="0" w:color="auto"/>
            </w:tcBorders>
            <w:shd w:val="clear" w:color="auto" w:fill="FFFFFF"/>
          </w:tcPr>
          <w:p w14:paraId="15763E6C"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Variance explained</w:t>
            </w:r>
          </w:p>
        </w:tc>
        <w:tc>
          <w:tcPr>
            <w:tcW w:w="1276" w:type="dxa"/>
            <w:tcBorders>
              <w:bottom w:val="single" w:sz="4" w:space="0" w:color="auto"/>
            </w:tcBorders>
            <w:shd w:val="clear" w:color="auto" w:fill="FFFFFF"/>
            <w:vAlign w:val="center"/>
          </w:tcPr>
          <w:p w14:paraId="7445737F" w14:textId="77777777" w:rsidR="00335495" w:rsidRPr="00823DE2" w:rsidRDefault="00335495" w:rsidP="00792814">
            <w:pPr>
              <w:autoSpaceDE w:val="0"/>
              <w:autoSpaceDN w:val="0"/>
              <w:adjustRightInd w:val="0"/>
              <w:spacing w:line="240" w:lineRule="auto"/>
              <w:jc w:val="right"/>
            </w:pPr>
            <w:r w:rsidRPr="00823DE2">
              <w:t>33.58%</w:t>
            </w:r>
          </w:p>
        </w:tc>
        <w:tc>
          <w:tcPr>
            <w:tcW w:w="1559" w:type="dxa"/>
            <w:tcBorders>
              <w:bottom w:val="single" w:sz="4" w:space="0" w:color="auto"/>
            </w:tcBorders>
            <w:shd w:val="clear" w:color="auto" w:fill="FFFFFF"/>
            <w:vAlign w:val="center"/>
          </w:tcPr>
          <w:p w14:paraId="276CCD2B"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16.40%</w:t>
            </w:r>
          </w:p>
        </w:tc>
        <w:tc>
          <w:tcPr>
            <w:tcW w:w="1306" w:type="dxa"/>
            <w:tcBorders>
              <w:bottom w:val="single" w:sz="4" w:space="0" w:color="auto"/>
            </w:tcBorders>
            <w:shd w:val="clear" w:color="auto" w:fill="FFFFFF"/>
            <w:vAlign w:val="center"/>
          </w:tcPr>
          <w:p w14:paraId="1407B22E" w14:textId="77777777" w:rsidR="00335495" w:rsidRPr="00823DE2" w:rsidRDefault="00335495" w:rsidP="00792814">
            <w:pPr>
              <w:autoSpaceDE w:val="0"/>
              <w:autoSpaceDN w:val="0"/>
              <w:adjustRightInd w:val="0"/>
              <w:spacing w:line="320" w:lineRule="atLeast"/>
              <w:ind w:left="60" w:right="60"/>
              <w:jc w:val="right"/>
              <w:rPr>
                <w:color w:val="000000"/>
              </w:rPr>
            </w:pPr>
            <w:r w:rsidRPr="00823DE2">
              <w:rPr>
                <w:color w:val="000000"/>
              </w:rPr>
              <w:t>12.38%</w:t>
            </w:r>
          </w:p>
        </w:tc>
      </w:tr>
    </w:tbl>
    <w:p w14:paraId="12E5FE34" w14:textId="77777777" w:rsidR="00335495" w:rsidRPr="00823DE2" w:rsidRDefault="00335495" w:rsidP="00335495">
      <w:r w:rsidRPr="00823DE2">
        <w:t xml:space="preserve">Factor loadings below .4 are </w:t>
      </w:r>
      <w:proofErr w:type="gramStart"/>
      <w:r w:rsidRPr="00823DE2">
        <w:t>suppressed.;</w:t>
      </w:r>
      <w:proofErr w:type="gramEnd"/>
      <w:r w:rsidRPr="00823DE2">
        <w:t xml:space="preserve"> KMO=.751</w:t>
      </w:r>
    </w:p>
    <w:p w14:paraId="1C55D06F" w14:textId="77777777" w:rsidR="00335495" w:rsidRPr="00823DE2" w:rsidRDefault="00335495" w:rsidP="00335495">
      <w:pPr>
        <w:pStyle w:val="TableHeader"/>
      </w:pPr>
      <w:r w:rsidRPr="00823DE2">
        <w:t xml:space="preserve">Table </w:t>
      </w:r>
      <w:r w:rsidR="007E1D73">
        <w:t>A2</w:t>
      </w:r>
      <w:r>
        <w:t>.</w:t>
      </w:r>
      <w:r w:rsidRPr="00823DE2">
        <w:t xml:space="preserve"> PCA for barriers</w:t>
      </w:r>
    </w:p>
    <w:tbl>
      <w:tblPr>
        <w:tblW w:w="8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95"/>
        <w:gridCol w:w="1062"/>
        <w:gridCol w:w="1489"/>
        <w:gridCol w:w="1734"/>
      </w:tblGrid>
      <w:tr w:rsidR="00335495" w:rsidRPr="00823DE2" w14:paraId="050E62D5" w14:textId="77777777" w:rsidTr="00792814">
        <w:trPr>
          <w:cantSplit/>
          <w:trHeight w:val="327"/>
        </w:trPr>
        <w:tc>
          <w:tcPr>
            <w:tcW w:w="4395" w:type="dxa"/>
            <w:tcBorders>
              <w:top w:val="single" w:sz="4" w:space="0" w:color="auto"/>
              <w:left w:val="nil"/>
              <w:bottom w:val="single" w:sz="4" w:space="0" w:color="auto"/>
              <w:right w:val="nil"/>
            </w:tcBorders>
            <w:shd w:val="clear" w:color="auto" w:fill="FFFFFF"/>
          </w:tcPr>
          <w:p w14:paraId="2329E700" w14:textId="77777777" w:rsidR="00335495" w:rsidRPr="00823DE2" w:rsidRDefault="00335495" w:rsidP="00792814">
            <w:pPr>
              <w:autoSpaceDE w:val="0"/>
              <w:autoSpaceDN w:val="0"/>
              <w:adjustRightInd w:val="0"/>
              <w:spacing w:line="240" w:lineRule="auto"/>
              <w:rPr>
                <w:rFonts w:eastAsia="Calibri"/>
                <w:color w:val="000000"/>
                <w:lang w:eastAsia="en-US"/>
              </w:rPr>
            </w:pPr>
          </w:p>
        </w:tc>
        <w:tc>
          <w:tcPr>
            <w:tcW w:w="1062" w:type="dxa"/>
            <w:tcBorders>
              <w:top w:val="single" w:sz="4" w:space="0" w:color="auto"/>
              <w:left w:val="nil"/>
              <w:bottom w:val="single" w:sz="4" w:space="0" w:color="auto"/>
              <w:right w:val="nil"/>
            </w:tcBorders>
            <w:shd w:val="clear" w:color="auto" w:fill="FFFFFF"/>
          </w:tcPr>
          <w:p w14:paraId="198FB914" w14:textId="77777777" w:rsidR="00335495" w:rsidRPr="00823DE2" w:rsidRDefault="00335495" w:rsidP="00792814">
            <w:pPr>
              <w:autoSpaceDE w:val="0"/>
              <w:autoSpaceDN w:val="0"/>
              <w:adjustRightInd w:val="0"/>
              <w:spacing w:line="320" w:lineRule="atLeast"/>
              <w:ind w:left="60" w:right="60"/>
              <w:jc w:val="center"/>
            </w:pPr>
            <w:r w:rsidRPr="00823DE2">
              <w:t>Internal/Self</w:t>
            </w:r>
          </w:p>
          <w:p w14:paraId="39BBF215" w14:textId="77777777" w:rsidR="00335495" w:rsidRPr="00823DE2" w:rsidRDefault="00335495" w:rsidP="00792814">
            <w:pPr>
              <w:autoSpaceDE w:val="0"/>
              <w:autoSpaceDN w:val="0"/>
              <w:adjustRightInd w:val="0"/>
              <w:spacing w:line="320" w:lineRule="atLeast"/>
              <w:ind w:left="60" w:right="60"/>
              <w:jc w:val="center"/>
              <w:rPr>
                <w:rFonts w:eastAsia="Calibri"/>
                <w:color w:val="000000"/>
                <w:lang w:eastAsia="en-US"/>
              </w:rPr>
            </w:pPr>
            <w:r w:rsidRPr="00823DE2">
              <w:rPr>
                <w:rFonts w:eastAsia="Calibri"/>
                <w:color w:val="000000"/>
                <w:lang w:eastAsia="en-US"/>
              </w:rPr>
              <w:t>.746</w:t>
            </w:r>
          </w:p>
        </w:tc>
        <w:tc>
          <w:tcPr>
            <w:tcW w:w="1489" w:type="dxa"/>
            <w:tcBorders>
              <w:top w:val="single" w:sz="4" w:space="0" w:color="auto"/>
              <w:left w:val="nil"/>
              <w:bottom w:val="single" w:sz="4" w:space="0" w:color="auto"/>
              <w:right w:val="nil"/>
            </w:tcBorders>
            <w:shd w:val="clear" w:color="auto" w:fill="FFFFFF"/>
          </w:tcPr>
          <w:p w14:paraId="7A42E3D8" w14:textId="77777777" w:rsidR="00335495" w:rsidRPr="00823DE2" w:rsidRDefault="00335495" w:rsidP="00792814">
            <w:pPr>
              <w:autoSpaceDE w:val="0"/>
              <w:autoSpaceDN w:val="0"/>
              <w:adjustRightInd w:val="0"/>
              <w:spacing w:line="320" w:lineRule="atLeast"/>
              <w:ind w:left="60" w:right="60"/>
              <w:jc w:val="center"/>
            </w:pPr>
            <w:r w:rsidRPr="00823DE2">
              <w:t>External</w:t>
            </w:r>
          </w:p>
          <w:p w14:paraId="732BDBF6" w14:textId="77777777" w:rsidR="00335495" w:rsidRPr="00823DE2" w:rsidRDefault="00335495" w:rsidP="00792814">
            <w:pPr>
              <w:autoSpaceDE w:val="0"/>
              <w:autoSpaceDN w:val="0"/>
              <w:adjustRightInd w:val="0"/>
              <w:spacing w:line="320" w:lineRule="atLeast"/>
              <w:ind w:left="60" w:right="60"/>
              <w:jc w:val="center"/>
              <w:rPr>
                <w:rFonts w:eastAsia="Calibri"/>
                <w:color w:val="000000"/>
                <w:lang w:eastAsia="en-US"/>
              </w:rPr>
            </w:pPr>
            <w:r w:rsidRPr="00823DE2">
              <w:rPr>
                <w:rFonts w:eastAsia="Calibri"/>
                <w:color w:val="000000"/>
                <w:lang w:eastAsia="en-US"/>
              </w:rPr>
              <w:t>.634</w:t>
            </w:r>
          </w:p>
        </w:tc>
        <w:tc>
          <w:tcPr>
            <w:tcW w:w="1734" w:type="dxa"/>
            <w:tcBorders>
              <w:top w:val="single" w:sz="4" w:space="0" w:color="auto"/>
              <w:left w:val="nil"/>
              <w:bottom w:val="single" w:sz="4" w:space="0" w:color="auto"/>
              <w:right w:val="nil"/>
            </w:tcBorders>
            <w:shd w:val="clear" w:color="auto" w:fill="FFFFFF"/>
          </w:tcPr>
          <w:p w14:paraId="74A26E5D" w14:textId="77777777" w:rsidR="00335495" w:rsidRPr="00823DE2" w:rsidRDefault="00335495" w:rsidP="00792814">
            <w:pPr>
              <w:autoSpaceDE w:val="0"/>
              <w:autoSpaceDN w:val="0"/>
              <w:adjustRightInd w:val="0"/>
              <w:spacing w:line="320" w:lineRule="atLeast"/>
              <w:ind w:left="60" w:right="60"/>
              <w:jc w:val="center"/>
            </w:pPr>
            <w:r w:rsidRPr="00823DE2">
              <w:t>Personal circumstances</w:t>
            </w:r>
          </w:p>
          <w:p w14:paraId="1670EBAF" w14:textId="77777777" w:rsidR="00335495" w:rsidRPr="00823DE2" w:rsidRDefault="00335495" w:rsidP="00792814">
            <w:pPr>
              <w:autoSpaceDE w:val="0"/>
              <w:autoSpaceDN w:val="0"/>
              <w:adjustRightInd w:val="0"/>
              <w:spacing w:line="320" w:lineRule="atLeast"/>
              <w:ind w:left="60" w:right="60"/>
              <w:jc w:val="center"/>
              <w:rPr>
                <w:rFonts w:eastAsia="Calibri"/>
                <w:color w:val="000000"/>
                <w:lang w:eastAsia="en-US"/>
              </w:rPr>
            </w:pPr>
            <w:r w:rsidRPr="00823DE2">
              <w:rPr>
                <w:rFonts w:eastAsia="Calibri"/>
                <w:color w:val="000000"/>
                <w:lang w:eastAsia="en-US"/>
              </w:rPr>
              <w:t>.561</w:t>
            </w:r>
          </w:p>
        </w:tc>
      </w:tr>
      <w:tr w:rsidR="00335495" w:rsidRPr="00823DE2" w14:paraId="02B75C9A" w14:textId="77777777" w:rsidTr="00792814">
        <w:trPr>
          <w:cantSplit/>
          <w:trHeight w:val="170"/>
        </w:trPr>
        <w:tc>
          <w:tcPr>
            <w:tcW w:w="4395" w:type="dxa"/>
            <w:tcBorders>
              <w:top w:val="single" w:sz="4" w:space="0" w:color="auto"/>
              <w:left w:val="nil"/>
              <w:bottom w:val="nil"/>
              <w:right w:val="nil"/>
            </w:tcBorders>
            <w:shd w:val="clear" w:color="auto" w:fill="FFFFFF"/>
          </w:tcPr>
          <w:p w14:paraId="13F23915"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Confidence</w:t>
            </w:r>
          </w:p>
        </w:tc>
        <w:tc>
          <w:tcPr>
            <w:tcW w:w="1062" w:type="dxa"/>
            <w:tcBorders>
              <w:top w:val="single" w:sz="4" w:space="0" w:color="auto"/>
              <w:left w:val="nil"/>
              <w:bottom w:val="nil"/>
              <w:right w:val="nil"/>
            </w:tcBorders>
            <w:shd w:val="clear" w:color="auto" w:fill="FFFFFF"/>
          </w:tcPr>
          <w:p w14:paraId="4E849AD8"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.758</w:t>
            </w:r>
          </w:p>
        </w:tc>
        <w:tc>
          <w:tcPr>
            <w:tcW w:w="1489" w:type="dxa"/>
            <w:tcBorders>
              <w:top w:val="single" w:sz="4" w:space="0" w:color="auto"/>
              <w:left w:val="nil"/>
              <w:bottom w:val="nil"/>
              <w:right w:val="nil"/>
            </w:tcBorders>
            <w:shd w:val="clear" w:color="auto" w:fill="FFFFFF"/>
          </w:tcPr>
          <w:p w14:paraId="50351D7F" w14:textId="77777777" w:rsidR="00335495" w:rsidRPr="00823DE2" w:rsidRDefault="00335495" w:rsidP="00792814">
            <w:pPr>
              <w:autoSpaceDE w:val="0"/>
              <w:autoSpaceDN w:val="0"/>
              <w:adjustRightInd w:val="0"/>
              <w:spacing w:line="240" w:lineRule="auto"/>
              <w:rPr>
                <w:rFonts w:eastAsia="Calibri"/>
                <w:lang w:eastAsia="en-US"/>
              </w:rPr>
            </w:pPr>
          </w:p>
        </w:tc>
        <w:tc>
          <w:tcPr>
            <w:tcW w:w="1734" w:type="dxa"/>
            <w:tcBorders>
              <w:top w:val="single" w:sz="4" w:space="0" w:color="auto"/>
              <w:left w:val="nil"/>
              <w:bottom w:val="nil"/>
              <w:right w:val="nil"/>
            </w:tcBorders>
            <w:shd w:val="clear" w:color="auto" w:fill="FFFFFF"/>
          </w:tcPr>
          <w:p w14:paraId="20B9607D"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3FD94136" w14:textId="77777777" w:rsidTr="00792814">
        <w:trPr>
          <w:cantSplit/>
          <w:trHeight w:val="170"/>
        </w:trPr>
        <w:tc>
          <w:tcPr>
            <w:tcW w:w="4395" w:type="dxa"/>
            <w:tcBorders>
              <w:top w:val="nil"/>
              <w:left w:val="nil"/>
              <w:bottom w:val="nil"/>
              <w:right w:val="nil"/>
            </w:tcBorders>
            <w:shd w:val="clear" w:color="auto" w:fill="FFFFFF"/>
          </w:tcPr>
          <w:p w14:paraId="4F683478"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Lack of leadership skills</w:t>
            </w:r>
          </w:p>
        </w:tc>
        <w:tc>
          <w:tcPr>
            <w:tcW w:w="1062" w:type="dxa"/>
            <w:tcBorders>
              <w:top w:val="nil"/>
              <w:left w:val="nil"/>
              <w:bottom w:val="nil"/>
              <w:right w:val="nil"/>
            </w:tcBorders>
            <w:shd w:val="clear" w:color="auto" w:fill="FFFFFF"/>
          </w:tcPr>
          <w:p w14:paraId="6BB1C618"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.691</w:t>
            </w:r>
          </w:p>
        </w:tc>
        <w:tc>
          <w:tcPr>
            <w:tcW w:w="1489" w:type="dxa"/>
            <w:tcBorders>
              <w:top w:val="nil"/>
              <w:left w:val="nil"/>
              <w:bottom w:val="nil"/>
              <w:right w:val="nil"/>
            </w:tcBorders>
            <w:shd w:val="clear" w:color="auto" w:fill="FFFFFF"/>
          </w:tcPr>
          <w:p w14:paraId="1E098A25" w14:textId="77777777" w:rsidR="00335495" w:rsidRPr="00823DE2" w:rsidRDefault="00335495" w:rsidP="00792814">
            <w:pPr>
              <w:autoSpaceDE w:val="0"/>
              <w:autoSpaceDN w:val="0"/>
              <w:adjustRightInd w:val="0"/>
              <w:spacing w:line="240" w:lineRule="auto"/>
              <w:rPr>
                <w:rFonts w:eastAsia="Calibri"/>
                <w:lang w:eastAsia="en-US"/>
              </w:rPr>
            </w:pPr>
          </w:p>
        </w:tc>
        <w:tc>
          <w:tcPr>
            <w:tcW w:w="1734" w:type="dxa"/>
            <w:tcBorders>
              <w:top w:val="nil"/>
              <w:left w:val="nil"/>
              <w:bottom w:val="nil"/>
              <w:right w:val="nil"/>
            </w:tcBorders>
            <w:shd w:val="clear" w:color="auto" w:fill="FFFFFF"/>
          </w:tcPr>
          <w:p w14:paraId="6F0577FE"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22684D82" w14:textId="77777777" w:rsidTr="00792814">
        <w:trPr>
          <w:cantSplit/>
          <w:trHeight w:val="170"/>
        </w:trPr>
        <w:tc>
          <w:tcPr>
            <w:tcW w:w="4395" w:type="dxa"/>
            <w:tcBorders>
              <w:top w:val="nil"/>
              <w:left w:val="nil"/>
              <w:bottom w:val="nil"/>
              <w:right w:val="nil"/>
            </w:tcBorders>
            <w:shd w:val="clear" w:color="auto" w:fill="FFFFFF"/>
          </w:tcPr>
          <w:p w14:paraId="0CA78ADD"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Not having found the right idea/concept</w:t>
            </w:r>
          </w:p>
        </w:tc>
        <w:tc>
          <w:tcPr>
            <w:tcW w:w="1062" w:type="dxa"/>
            <w:tcBorders>
              <w:top w:val="nil"/>
              <w:left w:val="nil"/>
              <w:bottom w:val="nil"/>
              <w:right w:val="nil"/>
            </w:tcBorders>
            <w:shd w:val="clear" w:color="auto" w:fill="FFFFFF"/>
          </w:tcPr>
          <w:p w14:paraId="1286F663"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.671</w:t>
            </w:r>
          </w:p>
        </w:tc>
        <w:tc>
          <w:tcPr>
            <w:tcW w:w="1489" w:type="dxa"/>
            <w:tcBorders>
              <w:top w:val="nil"/>
              <w:left w:val="nil"/>
              <w:bottom w:val="nil"/>
              <w:right w:val="nil"/>
            </w:tcBorders>
            <w:shd w:val="clear" w:color="auto" w:fill="FFFFFF"/>
          </w:tcPr>
          <w:p w14:paraId="5EA6ECFC" w14:textId="77777777" w:rsidR="00335495" w:rsidRPr="00823DE2" w:rsidRDefault="00335495" w:rsidP="00792814">
            <w:pPr>
              <w:autoSpaceDE w:val="0"/>
              <w:autoSpaceDN w:val="0"/>
              <w:adjustRightInd w:val="0"/>
              <w:spacing w:line="240" w:lineRule="auto"/>
              <w:rPr>
                <w:rFonts w:eastAsia="Calibri"/>
                <w:lang w:eastAsia="en-US"/>
              </w:rPr>
            </w:pPr>
          </w:p>
        </w:tc>
        <w:tc>
          <w:tcPr>
            <w:tcW w:w="1734" w:type="dxa"/>
            <w:tcBorders>
              <w:top w:val="nil"/>
              <w:left w:val="nil"/>
              <w:bottom w:val="nil"/>
              <w:right w:val="nil"/>
            </w:tcBorders>
            <w:shd w:val="clear" w:color="auto" w:fill="FFFFFF"/>
          </w:tcPr>
          <w:p w14:paraId="44DE6227"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23150510" w14:textId="77777777" w:rsidTr="00792814">
        <w:trPr>
          <w:cantSplit/>
          <w:trHeight w:val="170"/>
        </w:trPr>
        <w:tc>
          <w:tcPr>
            <w:tcW w:w="4395" w:type="dxa"/>
            <w:tcBorders>
              <w:top w:val="nil"/>
              <w:left w:val="nil"/>
              <w:bottom w:val="nil"/>
              <w:right w:val="nil"/>
            </w:tcBorders>
            <w:shd w:val="clear" w:color="auto" w:fill="FFFFFF"/>
          </w:tcPr>
          <w:p w14:paraId="167237D1"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Fear of failure</w:t>
            </w:r>
          </w:p>
        </w:tc>
        <w:tc>
          <w:tcPr>
            <w:tcW w:w="1062" w:type="dxa"/>
            <w:tcBorders>
              <w:top w:val="nil"/>
              <w:left w:val="nil"/>
              <w:bottom w:val="nil"/>
              <w:right w:val="nil"/>
            </w:tcBorders>
            <w:shd w:val="clear" w:color="auto" w:fill="FFFFFF"/>
          </w:tcPr>
          <w:p w14:paraId="36D3FA42"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.645</w:t>
            </w:r>
          </w:p>
        </w:tc>
        <w:tc>
          <w:tcPr>
            <w:tcW w:w="1489" w:type="dxa"/>
            <w:tcBorders>
              <w:top w:val="nil"/>
              <w:left w:val="nil"/>
              <w:bottom w:val="nil"/>
              <w:right w:val="nil"/>
            </w:tcBorders>
            <w:shd w:val="clear" w:color="auto" w:fill="FFFFFF"/>
          </w:tcPr>
          <w:p w14:paraId="7D348BB1" w14:textId="77777777" w:rsidR="00335495" w:rsidRPr="00823DE2" w:rsidRDefault="00335495" w:rsidP="00792814">
            <w:pPr>
              <w:autoSpaceDE w:val="0"/>
              <w:autoSpaceDN w:val="0"/>
              <w:adjustRightInd w:val="0"/>
              <w:spacing w:line="240" w:lineRule="auto"/>
              <w:rPr>
                <w:rFonts w:eastAsia="Calibri"/>
                <w:lang w:eastAsia="en-US"/>
              </w:rPr>
            </w:pPr>
          </w:p>
        </w:tc>
        <w:tc>
          <w:tcPr>
            <w:tcW w:w="1734" w:type="dxa"/>
            <w:tcBorders>
              <w:top w:val="nil"/>
              <w:left w:val="nil"/>
              <w:bottom w:val="nil"/>
              <w:right w:val="nil"/>
            </w:tcBorders>
            <w:shd w:val="clear" w:color="auto" w:fill="FFFFFF"/>
          </w:tcPr>
          <w:p w14:paraId="63DFFDB5"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4F72DE72" w14:textId="77777777" w:rsidTr="00792814">
        <w:trPr>
          <w:cantSplit/>
          <w:trHeight w:val="170"/>
        </w:trPr>
        <w:tc>
          <w:tcPr>
            <w:tcW w:w="4395" w:type="dxa"/>
            <w:tcBorders>
              <w:top w:val="nil"/>
              <w:left w:val="nil"/>
              <w:bottom w:val="nil"/>
              <w:right w:val="nil"/>
            </w:tcBorders>
            <w:shd w:val="clear" w:color="auto" w:fill="FFFFFF"/>
          </w:tcPr>
          <w:p w14:paraId="786FF766"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Limited relevant experience</w:t>
            </w:r>
          </w:p>
        </w:tc>
        <w:tc>
          <w:tcPr>
            <w:tcW w:w="1062" w:type="dxa"/>
            <w:tcBorders>
              <w:top w:val="nil"/>
              <w:left w:val="nil"/>
              <w:bottom w:val="nil"/>
              <w:right w:val="nil"/>
            </w:tcBorders>
            <w:shd w:val="clear" w:color="auto" w:fill="FFFFFF"/>
          </w:tcPr>
          <w:p w14:paraId="7A72F3EB"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.595</w:t>
            </w:r>
          </w:p>
        </w:tc>
        <w:tc>
          <w:tcPr>
            <w:tcW w:w="1489" w:type="dxa"/>
            <w:tcBorders>
              <w:top w:val="nil"/>
              <w:left w:val="nil"/>
              <w:bottom w:val="nil"/>
              <w:right w:val="nil"/>
            </w:tcBorders>
            <w:shd w:val="clear" w:color="auto" w:fill="FFFFFF"/>
          </w:tcPr>
          <w:p w14:paraId="270485EB" w14:textId="77777777" w:rsidR="00335495" w:rsidRPr="00823DE2" w:rsidRDefault="00335495" w:rsidP="00792814">
            <w:pPr>
              <w:autoSpaceDE w:val="0"/>
              <w:autoSpaceDN w:val="0"/>
              <w:adjustRightInd w:val="0"/>
              <w:spacing w:line="240" w:lineRule="auto"/>
              <w:rPr>
                <w:rFonts w:eastAsia="Calibri"/>
                <w:lang w:eastAsia="en-US"/>
              </w:rPr>
            </w:pPr>
          </w:p>
        </w:tc>
        <w:tc>
          <w:tcPr>
            <w:tcW w:w="1734" w:type="dxa"/>
            <w:tcBorders>
              <w:top w:val="nil"/>
              <w:left w:val="nil"/>
              <w:bottom w:val="nil"/>
              <w:right w:val="nil"/>
            </w:tcBorders>
            <w:shd w:val="clear" w:color="auto" w:fill="FFFFFF"/>
          </w:tcPr>
          <w:p w14:paraId="73925279"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7BF2DF14" w14:textId="77777777" w:rsidTr="00792814">
        <w:trPr>
          <w:cantSplit/>
          <w:trHeight w:val="170"/>
        </w:trPr>
        <w:tc>
          <w:tcPr>
            <w:tcW w:w="4395" w:type="dxa"/>
            <w:tcBorders>
              <w:top w:val="nil"/>
              <w:left w:val="nil"/>
              <w:bottom w:val="nil"/>
              <w:right w:val="nil"/>
            </w:tcBorders>
            <w:shd w:val="clear" w:color="auto" w:fill="FFFFFF"/>
          </w:tcPr>
          <w:p w14:paraId="04CCAA3D"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Lack of support and/or knowledge to start a business</w:t>
            </w:r>
          </w:p>
        </w:tc>
        <w:tc>
          <w:tcPr>
            <w:tcW w:w="1062" w:type="dxa"/>
            <w:tcBorders>
              <w:top w:val="nil"/>
              <w:left w:val="nil"/>
              <w:bottom w:val="nil"/>
              <w:right w:val="nil"/>
            </w:tcBorders>
            <w:shd w:val="clear" w:color="auto" w:fill="FFFFFF"/>
          </w:tcPr>
          <w:p w14:paraId="3AAB8C13" w14:textId="77777777" w:rsidR="00335495" w:rsidRPr="00823DE2" w:rsidRDefault="00335495" w:rsidP="00792814">
            <w:pPr>
              <w:autoSpaceDE w:val="0"/>
              <w:autoSpaceDN w:val="0"/>
              <w:adjustRightInd w:val="0"/>
              <w:spacing w:line="240" w:lineRule="auto"/>
              <w:rPr>
                <w:rFonts w:eastAsia="Calibri"/>
                <w:lang w:eastAsia="en-US"/>
              </w:rPr>
            </w:pPr>
          </w:p>
        </w:tc>
        <w:tc>
          <w:tcPr>
            <w:tcW w:w="1489" w:type="dxa"/>
            <w:tcBorders>
              <w:top w:val="nil"/>
              <w:left w:val="nil"/>
              <w:bottom w:val="nil"/>
              <w:right w:val="nil"/>
            </w:tcBorders>
            <w:shd w:val="clear" w:color="auto" w:fill="FFFFFF"/>
          </w:tcPr>
          <w:p w14:paraId="62298B4B"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.801</w:t>
            </w:r>
          </w:p>
        </w:tc>
        <w:tc>
          <w:tcPr>
            <w:tcW w:w="1734" w:type="dxa"/>
            <w:tcBorders>
              <w:top w:val="nil"/>
              <w:left w:val="nil"/>
              <w:bottom w:val="nil"/>
              <w:right w:val="nil"/>
            </w:tcBorders>
            <w:shd w:val="clear" w:color="auto" w:fill="FFFFFF"/>
          </w:tcPr>
          <w:p w14:paraId="6ED1A6A4"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14819A2E" w14:textId="77777777" w:rsidTr="00792814">
        <w:trPr>
          <w:cantSplit/>
          <w:trHeight w:val="170"/>
        </w:trPr>
        <w:tc>
          <w:tcPr>
            <w:tcW w:w="4395" w:type="dxa"/>
            <w:tcBorders>
              <w:top w:val="nil"/>
              <w:left w:val="nil"/>
              <w:bottom w:val="nil"/>
              <w:right w:val="nil"/>
            </w:tcBorders>
            <w:shd w:val="clear" w:color="auto" w:fill="FFFFFF"/>
          </w:tcPr>
          <w:p w14:paraId="2F650C0F"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Lack of industry/network contacts</w:t>
            </w:r>
          </w:p>
        </w:tc>
        <w:tc>
          <w:tcPr>
            <w:tcW w:w="1062" w:type="dxa"/>
            <w:tcBorders>
              <w:top w:val="nil"/>
              <w:left w:val="nil"/>
              <w:bottom w:val="nil"/>
              <w:right w:val="nil"/>
            </w:tcBorders>
            <w:shd w:val="clear" w:color="auto" w:fill="FFFFFF"/>
          </w:tcPr>
          <w:p w14:paraId="528C76C9" w14:textId="77777777" w:rsidR="00335495" w:rsidRPr="00823DE2" w:rsidRDefault="00335495" w:rsidP="00792814">
            <w:pPr>
              <w:autoSpaceDE w:val="0"/>
              <w:autoSpaceDN w:val="0"/>
              <w:adjustRightInd w:val="0"/>
              <w:spacing w:line="240" w:lineRule="auto"/>
              <w:rPr>
                <w:rFonts w:eastAsia="Calibri"/>
                <w:lang w:eastAsia="en-US"/>
              </w:rPr>
            </w:pPr>
          </w:p>
        </w:tc>
        <w:tc>
          <w:tcPr>
            <w:tcW w:w="1489" w:type="dxa"/>
            <w:tcBorders>
              <w:top w:val="nil"/>
              <w:left w:val="nil"/>
              <w:bottom w:val="nil"/>
              <w:right w:val="nil"/>
            </w:tcBorders>
            <w:shd w:val="clear" w:color="auto" w:fill="FFFFFF"/>
          </w:tcPr>
          <w:p w14:paraId="71B5E6F7"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.697</w:t>
            </w:r>
          </w:p>
        </w:tc>
        <w:tc>
          <w:tcPr>
            <w:tcW w:w="1734" w:type="dxa"/>
            <w:tcBorders>
              <w:top w:val="nil"/>
              <w:left w:val="nil"/>
              <w:bottom w:val="nil"/>
              <w:right w:val="nil"/>
            </w:tcBorders>
            <w:shd w:val="clear" w:color="auto" w:fill="FFFFFF"/>
          </w:tcPr>
          <w:p w14:paraId="6A6A8BC9"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47B92ED4" w14:textId="77777777" w:rsidTr="00792814">
        <w:trPr>
          <w:cantSplit/>
          <w:trHeight w:val="170"/>
        </w:trPr>
        <w:tc>
          <w:tcPr>
            <w:tcW w:w="4395" w:type="dxa"/>
            <w:tcBorders>
              <w:top w:val="nil"/>
              <w:left w:val="nil"/>
              <w:bottom w:val="nil"/>
              <w:right w:val="nil"/>
            </w:tcBorders>
            <w:shd w:val="clear" w:color="auto" w:fill="FFFFFF"/>
          </w:tcPr>
          <w:p w14:paraId="4B04895D"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Finance</w:t>
            </w:r>
          </w:p>
        </w:tc>
        <w:tc>
          <w:tcPr>
            <w:tcW w:w="1062" w:type="dxa"/>
            <w:tcBorders>
              <w:top w:val="nil"/>
              <w:left w:val="nil"/>
              <w:bottom w:val="nil"/>
              <w:right w:val="nil"/>
            </w:tcBorders>
            <w:shd w:val="clear" w:color="auto" w:fill="FFFFFF"/>
          </w:tcPr>
          <w:p w14:paraId="08168689" w14:textId="77777777" w:rsidR="00335495" w:rsidRPr="00823DE2" w:rsidRDefault="00335495" w:rsidP="00792814">
            <w:pPr>
              <w:autoSpaceDE w:val="0"/>
              <w:autoSpaceDN w:val="0"/>
              <w:adjustRightInd w:val="0"/>
              <w:spacing w:line="240" w:lineRule="auto"/>
              <w:rPr>
                <w:rFonts w:eastAsia="Calibri"/>
                <w:lang w:eastAsia="en-US"/>
              </w:rPr>
            </w:pPr>
          </w:p>
        </w:tc>
        <w:tc>
          <w:tcPr>
            <w:tcW w:w="1489" w:type="dxa"/>
            <w:tcBorders>
              <w:top w:val="nil"/>
              <w:left w:val="nil"/>
              <w:bottom w:val="nil"/>
              <w:right w:val="nil"/>
            </w:tcBorders>
            <w:shd w:val="clear" w:color="auto" w:fill="FFFFFF"/>
          </w:tcPr>
          <w:p w14:paraId="6333EFC3"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.679</w:t>
            </w:r>
          </w:p>
        </w:tc>
        <w:tc>
          <w:tcPr>
            <w:tcW w:w="1734" w:type="dxa"/>
            <w:tcBorders>
              <w:top w:val="nil"/>
              <w:left w:val="nil"/>
              <w:bottom w:val="nil"/>
              <w:right w:val="nil"/>
            </w:tcBorders>
            <w:shd w:val="clear" w:color="auto" w:fill="FFFFFF"/>
          </w:tcPr>
          <w:p w14:paraId="5A81FC4E" w14:textId="77777777" w:rsidR="00335495" w:rsidRPr="00823DE2" w:rsidRDefault="00335495" w:rsidP="00792814">
            <w:pPr>
              <w:autoSpaceDE w:val="0"/>
              <w:autoSpaceDN w:val="0"/>
              <w:adjustRightInd w:val="0"/>
              <w:spacing w:line="240" w:lineRule="auto"/>
              <w:rPr>
                <w:rFonts w:eastAsia="Calibri"/>
                <w:lang w:eastAsia="en-US"/>
              </w:rPr>
            </w:pPr>
          </w:p>
        </w:tc>
      </w:tr>
      <w:tr w:rsidR="00335495" w:rsidRPr="00823DE2" w14:paraId="3B0364D4" w14:textId="77777777" w:rsidTr="00792814">
        <w:trPr>
          <w:cantSplit/>
          <w:trHeight w:val="170"/>
        </w:trPr>
        <w:tc>
          <w:tcPr>
            <w:tcW w:w="4395" w:type="dxa"/>
            <w:tcBorders>
              <w:top w:val="nil"/>
              <w:left w:val="nil"/>
              <w:bottom w:val="nil"/>
              <w:right w:val="nil"/>
            </w:tcBorders>
            <w:shd w:val="clear" w:color="auto" w:fill="FFFFFF"/>
          </w:tcPr>
          <w:p w14:paraId="26464379"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Lack of support from family/friends</w:t>
            </w:r>
          </w:p>
        </w:tc>
        <w:tc>
          <w:tcPr>
            <w:tcW w:w="1062" w:type="dxa"/>
            <w:tcBorders>
              <w:top w:val="nil"/>
              <w:left w:val="nil"/>
              <w:bottom w:val="nil"/>
              <w:right w:val="nil"/>
            </w:tcBorders>
            <w:shd w:val="clear" w:color="auto" w:fill="FFFFFF"/>
          </w:tcPr>
          <w:p w14:paraId="7097453B" w14:textId="77777777" w:rsidR="00335495" w:rsidRPr="00823DE2" w:rsidRDefault="00335495" w:rsidP="00792814">
            <w:pPr>
              <w:autoSpaceDE w:val="0"/>
              <w:autoSpaceDN w:val="0"/>
              <w:adjustRightInd w:val="0"/>
              <w:spacing w:line="240" w:lineRule="auto"/>
              <w:rPr>
                <w:rFonts w:eastAsia="Calibri"/>
                <w:lang w:eastAsia="en-US"/>
              </w:rPr>
            </w:pPr>
          </w:p>
        </w:tc>
        <w:tc>
          <w:tcPr>
            <w:tcW w:w="1489" w:type="dxa"/>
            <w:tcBorders>
              <w:top w:val="nil"/>
              <w:left w:val="nil"/>
              <w:bottom w:val="nil"/>
              <w:right w:val="nil"/>
            </w:tcBorders>
            <w:shd w:val="clear" w:color="auto" w:fill="FFFFFF"/>
          </w:tcPr>
          <w:p w14:paraId="7647E530" w14:textId="77777777" w:rsidR="00335495" w:rsidRPr="00823DE2" w:rsidRDefault="00335495" w:rsidP="00792814">
            <w:pPr>
              <w:autoSpaceDE w:val="0"/>
              <w:autoSpaceDN w:val="0"/>
              <w:adjustRightInd w:val="0"/>
              <w:spacing w:line="240" w:lineRule="auto"/>
              <w:rPr>
                <w:rFonts w:eastAsia="Calibri"/>
                <w:lang w:eastAsia="en-US"/>
              </w:rPr>
            </w:pPr>
          </w:p>
        </w:tc>
        <w:tc>
          <w:tcPr>
            <w:tcW w:w="1734" w:type="dxa"/>
            <w:tcBorders>
              <w:top w:val="nil"/>
              <w:left w:val="nil"/>
              <w:bottom w:val="nil"/>
              <w:right w:val="nil"/>
            </w:tcBorders>
            <w:shd w:val="clear" w:color="auto" w:fill="FFFFFF"/>
          </w:tcPr>
          <w:p w14:paraId="3F304CE9"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.782</w:t>
            </w:r>
          </w:p>
        </w:tc>
      </w:tr>
      <w:tr w:rsidR="00335495" w:rsidRPr="00823DE2" w14:paraId="71CA805F" w14:textId="77777777" w:rsidTr="00792814">
        <w:trPr>
          <w:cantSplit/>
          <w:trHeight w:val="170"/>
        </w:trPr>
        <w:tc>
          <w:tcPr>
            <w:tcW w:w="4395" w:type="dxa"/>
            <w:tcBorders>
              <w:top w:val="nil"/>
              <w:left w:val="nil"/>
              <w:bottom w:val="nil"/>
              <w:right w:val="nil"/>
            </w:tcBorders>
            <w:shd w:val="clear" w:color="auto" w:fill="FFFFFF"/>
          </w:tcPr>
          <w:p w14:paraId="0C3FFF39"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Visa</w:t>
            </w:r>
          </w:p>
        </w:tc>
        <w:tc>
          <w:tcPr>
            <w:tcW w:w="1062" w:type="dxa"/>
            <w:tcBorders>
              <w:top w:val="nil"/>
              <w:left w:val="nil"/>
              <w:bottom w:val="nil"/>
              <w:right w:val="nil"/>
            </w:tcBorders>
            <w:shd w:val="clear" w:color="auto" w:fill="FFFFFF"/>
          </w:tcPr>
          <w:p w14:paraId="0E2ED7E5" w14:textId="77777777" w:rsidR="00335495" w:rsidRPr="00823DE2" w:rsidRDefault="00335495" w:rsidP="00792814">
            <w:pPr>
              <w:autoSpaceDE w:val="0"/>
              <w:autoSpaceDN w:val="0"/>
              <w:adjustRightInd w:val="0"/>
              <w:spacing w:line="240" w:lineRule="auto"/>
              <w:rPr>
                <w:rFonts w:eastAsia="Calibri"/>
                <w:lang w:eastAsia="en-US"/>
              </w:rPr>
            </w:pPr>
          </w:p>
        </w:tc>
        <w:tc>
          <w:tcPr>
            <w:tcW w:w="1489" w:type="dxa"/>
            <w:tcBorders>
              <w:top w:val="nil"/>
              <w:left w:val="nil"/>
              <w:bottom w:val="nil"/>
              <w:right w:val="nil"/>
            </w:tcBorders>
            <w:shd w:val="clear" w:color="auto" w:fill="FFFFFF"/>
          </w:tcPr>
          <w:p w14:paraId="361D29C9" w14:textId="77777777" w:rsidR="00335495" w:rsidRPr="00823DE2" w:rsidRDefault="00335495" w:rsidP="00792814">
            <w:pPr>
              <w:autoSpaceDE w:val="0"/>
              <w:autoSpaceDN w:val="0"/>
              <w:adjustRightInd w:val="0"/>
              <w:spacing w:line="240" w:lineRule="auto"/>
              <w:rPr>
                <w:rFonts w:eastAsia="Calibri"/>
                <w:lang w:eastAsia="en-US"/>
              </w:rPr>
            </w:pPr>
          </w:p>
        </w:tc>
        <w:tc>
          <w:tcPr>
            <w:tcW w:w="1734" w:type="dxa"/>
            <w:tcBorders>
              <w:top w:val="nil"/>
              <w:left w:val="nil"/>
              <w:bottom w:val="nil"/>
              <w:right w:val="nil"/>
            </w:tcBorders>
            <w:shd w:val="clear" w:color="auto" w:fill="FFFFFF"/>
          </w:tcPr>
          <w:p w14:paraId="17D8C356"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.780</w:t>
            </w:r>
          </w:p>
        </w:tc>
      </w:tr>
      <w:tr w:rsidR="00335495" w:rsidRPr="00823DE2" w14:paraId="19E1D89F" w14:textId="77777777" w:rsidTr="00792814">
        <w:trPr>
          <w:cantSplit/>
          <w:trHeight w:val="170"/>
        </w:trPr>
        <w:tc>
          <w:tcPr>
            <w:tcW w:w="4395" w:type="dxa"/>
            <w:tcBorders>
              <w:top w:val="nil"/>
              <w:left w:val="nil"/>
              <w:bottom w:val="nil"/>
              <w:right w:val="nil"/>
            </w:tcBorders>
            <w:shd w:val="clear" w:color="auto" w:fill="FFFFFF"/>
          </w:tcPr>
          <w:p w14:paraId="00ABBD51"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Family/caring responsibilities</w:t>
            </w:r>
          </w:p>
        </w:tc>
        <w:tc>
          <w:tcPr>
            <w:tcW w:w="1062" w:type="dxa"/>
            <w:tcBorders>
              <w:top w:val="nil"/>
              <w:left w:val="nil"/>
              <w:bottom w:val="nil"/>
              <w:right w:val="nil"/>
            </w:tcBorders>
            <w:shd w:val="clear" w:color="auto" w:fill="FFFFFF"/>
          </w:tcPr>
          <w:p w14:paraId="578A8931" w14:textId="77777777" w:rsidR="00335495" w:rsidRPr="00823DE2" w:rsidRDefault="00335495" w:rsidP="00792814">
            <w:pPr>
              <w:autoSpaceDE w:val="0"/>
              <w:autoSpaceDN w:val="0"/>
              <w:adjustRightInd w:val="0"/>
              <w:spacing w:line="240" w:lineRule="auto"/>
              <w:rPr>
                <w:rFonts w:eastAsia="Calibri"/>
                <w:lang w:eastAsia="en-US"/>
              </w:rPr>
            </w:pPr>
          </w:p>
        </w:tc>
        <w:tc>
          <w:tcPr>
            <w:tcW w:w="1489" w:type="dxa"/>
            <w:tcBorders>
              <w:top w:val="nil"/>
              <w:left w:val="nil"/>
              <w:bottom w:val="nil"/>
              <w:right w:val="nil"/>
            </w:tcBorders>
            <w:shd w:val="clear" w:color="auto" w:fill="FFFFFF"/>
          </w:tcPr>
          <w:p w14:paraId="78BE028D" w14:textId="77777777" w:rsidR="00335495" w:rsidRPr="00823DE2" w:rsidRDefault="00335495" w:rsidP="00792814">
            <w:pPr>
              <w:autoSpaceDE w:val="0"/>
              <w:autoSpaceDN w:val="0"/>
              <w:adjustRightInd w:val="0"/>
              <w:spacing w:line="240" w:lineRule="auto"/>
              <w:jc w:val="right"/>
              <w:rPr>
                <w:rFonts w:eastAsia="Calibri"/>
                <w:lang w:eastAsia="en-US"/>
              </w:rPr>
            </w:pPr>
          </w:p>
        </w:tc>
        <w:tc>
          <w:tcPr>
            <w:tcW w:w="1734" w:type="dxa"/>
            <w:tcBorders>
              <w:top w:val="nil"/>
              <w:left w:val="nil"/>
              <w:bottom w:val="nil"/>
              <w:right w:val="nil"/>
            </w:tcBorders>
            <w:shd w:val="clear" w:color="auto" w:fill="FFFFFF"/>
          </w:tcPr>
          <w:p w14:paraId="2C74DA27"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t>.567</w:t>
            </w:r>
          </w:p>
        </w:tc>
      </w:tr>
      <w:tr w:rsidR="00335495" w:rsidRPr="00823DE2" w14:paraId="3591C914" w14:textId="77777777" w:rsidTr="00792814">
        <w:trPr>
          <w:cantSplit/>
          <w:trHeight w:val="170"/>
        </w:trPr>
        <w:tc>
          <w:tcPr>
            <w:tcW w:w="4395" w:type="dxa"/>
            <w:tcBorders>
              <w:top w:val="nil"/>
              <w:left w:val="nil"/>
              <w:bottom w:val="nil"/>
              <w:right w:val="nil"/>
            </w:tcBorders>
            <w:shd w:val="clear" w:color="auto" w:fill="FFFFFF"/>
          </w:tcPr>
          <w:p w14:paraId="0840060F"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 xml:space="preserve">Variance explained </w:t>
            </w:r>
          </w:p>
        </w:tc>
        <w:tc>
          <w:tcPr>
            <w:tcW w:w="1062" w:type="dxa"/>
            <w:tcBorders>
              <w:top w:val="nil"/>
              <w:left w:val="nil"/>
              <w:bottom w:val="nil"/>
              <w:right w:val="nil"/>
            </w:tcBorders>
            <w:shd w:val="clear" w:color="auto" w:fill="FFFFFF"/>
          </w:tcPr>
          <w:p w14:paraId="1B352D11" w14:textId="77777777" w:rsidR="00335495" w:rsidRPr="00823DE2" w:rsidRDefault="00335495" w:rsidP="00792814">
            <w:pPr>
              <w:autoSpaceDE w:val="0"/>
              <w:autoSpaceDN w:val="0"/>
              <w:adjustRightInd w:val="0"/>
              <w:spacing w:line="240" w:lineRule="auto"/>
              <w:jc w:val="right"/>
              <w:rPr>
                <w:rFonts w:eastAsia="Calibri"/>
                <w:lang w:eastAsia="en-US"/>
              </w:rPr>
            </w:pPr>
            <w:r w:rsidRPr="00823DE2">
              <w:rPr>
                <w:rFonts w:eastAsia="Calibri"/>
                <w:lang w:eastAsia="en-US"/>
              </w:rPr>
              <w:t>31.53%</w:t>
            </w:r>
          </w:p>
        </w:tc>
        <w:tc>
          <w:tcPr>
            <w:tcW w:w="1489" w:type="dxa"/>
            <w:tcBorders>
              <w:top w:val="nil"/>
              <w:left w:val="nil"/>
              <w:bottom w:val="nil"/>
              <w:right w:val="nil"/>
            </w:tcBorders>
            <w:shd w:val="clear" w:color="auto" w:fill="FFFFFF"/>
          </w:tcPr>
          <w:p w14:paraId="620EA0D1" w14:textId="77777777" w:rsidR="00335495" w:rsidRPr="00823DE2" w:rsidRDefault="00335495" w:rsidP="00792814">
            <w:pPr>
              <w:autoSpaceDE w:val="0"/>
              <w:autoSpaceDN w:val="0"/>
              <w:adjustRightInd w:val="0"/>
              <w:spacing w:line="240" w:lineRule="auto"/>
              <w:jc w:val="right"/>
              <w:rPr>
                <w:rFonts w:eastAsia="Calibri"/>
                <w:lang w:eastAsia="en-US"/>
              </w:rPr>
            </w:pPr>
            <w:r w:rsidRPr="00823DE2">
              <w:rPr>
                <w:rFonts w:eastAsia="Calibri"/>
                <w:lang w:eastAsia="en-US"/>
              </w:rPr>
              <w:t>13.18%</w:t>
            </w:r>
          </w:p>
        </w:tc>
        <w:tc>
          <w:tcPr>
            <w:tcW w:w="1734" w:type="dxa"/>
            <w:tcBorders>
              <w:top w:val="nil"/>
              <w:left w:val="nil"/>
              <w:bottom w:val="nil"/>
              <w:right w:val="nil"/>
            </w:tcBorders>
            <w:shd w:val="clear" w:color="auto" w:fill="FFFFFF"/>
          </w:tcPr>
          <w:p w14:paraId="663C623E" w14:textId="77777777" w:rsidR="00335495" w:rsidRPr="00823DE2" w:rsidRDefault="00335495" w:rsidP="00792814">
            <w:pPr>
              <w:autoSpaceDE w:val="0"/>
              <w:autoSpaceDN w:val="0"/>
              <w:adjustRightInd w:val="0"/>
              <w:spacing w:line="320" w:lineRule="atLeast"/>
              <w:ind w:left="60" w:right="60"/>
              <w:jc w:val="right"/>
              <w:rPr>
                <w:rFonts w:eastAsia="Calibri"/>
                <w:color w:val="000000"/>
                <w:lang w:eastAsia="en-US"/>
              </w:rPr>
            </w:pPr>
            <w:r w:rsidRPr="00823DE2">
              <w:rPr>
                <w:rFonts w:eastAsia="Calibri"/>
                <w:color w:val="000000"/>
                <w:lang w:eastAsia="en-US"/>
              </w:rPr>
              <w:t>10.17%</w:t>
            </w:r>
          </w:p>
        </w:tc>
      </w:tr>
      <w:tr w:rsidR="00335495" w:rsidRPr="00823DE2" w14:paraId="7085D341" w14:textId="77777777" w:rsidTr="00792814">
        <w:trPr>
          <w:cantSplit/>
          <w:trHeight w:val="586"/>
        </w:trPr>
        <w:tc>
          <w:tcPr>
            <w:tcW w:w="8680" w:type="dxa"/>
            <w:gridSpan w:val="4"/>
            <w:tcBorders>
              <w:top w:val="single" w:sz="4" w:space="0" w:color="auto"/>
              <w:left w:val="nil"/>
              <w:bottom w:val="nil"/>
              <w:right w:val="nil"/>
            </w:tcBorders>
            <w:shd w:val="clear" w:color="auto" w:fill="FFFFFF"/>
          </w:tcPr>
          <w:p w14:paraId="34DBD4F7" w14:textId="77777777" w:rsidR="00335495" w:rsidRPr="00823DE2" w:rsidRDefault="00335495" w:rsidP="00792814">
            <w:pPr>
              <w:autoSpaceDE w:val="0"/>
              <w:autoSpaceDN w:val="0"/>
              <w:adjustRightInd w:val="0"/>
              <w:spacing w:line="320" w:lineRule="atLeast"/>
              <w:ind w:left="60" w:right="60"/>
              <w:rPr>
                <w:rFonts w:eastAsia="Calibri"/>
                <w:color w:val="000000"/>
                <w:lang w:eastAsia="en-US"/>
              </w:rPr>
            </w:pPr>
            <w:r w:rsidRPr="00823DE2">
              <w:t xml:space="preserve">KMO=.738. Administrative barrier was removed from the analysis due to low factor loading. </w:t>
            </w:r>
          </w:p>
        </w:tc>
      </w:tr>
      <w:tr w:rsidR="00335495" w:rsidRPr="00823DE2" w14:paraId="65E07177" w14:textId="77777777" w:rsidTr="00792814">
        <w:trPr>
          <w:cantSplit/>
          <w:trHeight w:val="286"/>
        </w:trPr>
        <w:tc>
          <w:tcPr>
            <w:tcW w:w="8680" w:type="dxa"/>
            <w:gridSpan w:val="4"/>
            <w:tcBorders>
              <w:top w:val="nil"/>
              <w:left w:val="nil"/>
              <w:bottom w:val="nil"/>
              <w:right w:val="nil"/>
            </w:tcBorders>
            <w:shd w:val="clear" w:color="auto" w:fill="FFFFFF"/>
          </w:tcPr>
          <w:p w14:paraId="59066869" w14:textId="77777777" w:rsidR="00335495" w:rsidRPr="00823DE2" w:rsidRDefault="00335495" w:rsidP="00792814">
            <w:pPr>
              <w:autoSpaceDE w:val="0"/>
              <w:autoSpaceDN w:val="0"/>
              <w:adjustRightInd w:val="0"/>
              <w:spacing w:line="320" w:lineRule="atLeast"/>
              <w:ind w:right="60"/>
              <w:rPr>
                <w:rFonts w:eastAsia="Calibri" w:cs="Arial"/>
                <w:color w:val="000000"/>
                <w:sz w:val="18"/>
                <w:szCs w:val="18"/>
                <w:lang w:eastAsia="en-US"/>
              </w:rPr>
            </w:pPr>
          </w:p>
        </w:tc>
      </w:tr>
    </w:tbl>
    <w:p w14:paraId="6E6DBC97" w14:textId="77777777" w:rsidR="00335495" w:rsidRDefault="00335495" w:rsidP="00335495">
      <w:pPr>
        <w:pStyle w:val="TableHeader"/>
      </w:pPr>
    </w:p>
    <w:p w14:paraId="02E8EF4F" w14:textId="77777777" w:rsidR="00335495" w:rsidRDefault="00335495" w:rsidP="00335495">
      <w:pPr>
        <w:spacing w:after="160" w:line="259" w:lineRule="auto"/>
        <w:rPr>
          <w:i/>
          <w:sz w:val="18"/>
        </w:rPr>
      </w:pPr>
      <w:r>
        <w:br w:type="page"/>
      </w:r>
    </w:p>
    <w:p w14:paraId="3D316651" w14:textId="77777777" w:rsidR="00335495" w:rsidRPr="00823DE2" w:rsidRDefault="00335495" w:rsidP="00335495">
      <w:pPr>
        <w:pStyle w:val="TableHeader"/>
      </w:pPr>
      <w:r w:rsidRPr="00823DE2">
        <w:lastRenderedPageBreak/>
        <w:t>Table</w:t>
      </w:r>
      <w:r w:rsidR="007E1D73">
        <w:t xml:space="preserve"> A3</w:t>
      </w:r>
      <w:r w:rsidRPr="00823DE2">
        <w:t>. PCA for enablers/support</w:t>
      </w:r>
    </w:p>
    <w:tbl>
      <w:tblPr>
        <w:tblW w:w="8757" w:type="dxa"/>
        <w:tblLayout w:type="fixed"/>
        <w:tblCellMar>
          <w:left w:w="0" w:type="dxa"/>
          <w:right w:w="0" w:type="dxa"/>
        </w:tblCellMar>
        <w:tblLook w:val="0000" w:firstRow="0" w:lastRow="0" w:firstColumn="0" w:lastColumn="0" w:noHBand="0" w:noVBand="0"/>
      </w:tblPr>
      <w:tblGrid>
        <w:gridCol w:w="4820"/>
        <w:gridCol w:w="1271"/>
        <w:gridCol w:w="992"/>
        <w:gridCol w:w="1674"/>
      </w:tblGrid>
      <w:tr w:rsidR="00335495" w:rsidRPr="00823DE2" w14:paraId="1E870839" w14:textId="77777777" w:rsidTr="00792814">
        <w:trPr>
          <w:cantSplit/>
          <w:trHeight w:val="517"/>
        </w:trPr>
        <w:tc>
          <w:tcPr>
            <w:tcW w:w="4820" w:type="dxa"/>
            <w:tcBorders>
              <w:top w:val="single" w:sz="4" w:space="0" w:color="auto"/>
              <w:bottom w:val="single" w:sz="4" w:space="0" w:color="auto"/>
            </w:tcBorders>
            <w:shd w:val="clear" w:color="auto" w:fill="FFFFFF"/>
            <w:vAlign w:val="bottom"/>
          </w:tcPr>
          <w:p w14:paraId="2B2F093F" w14:textId="77777777" w:rsidR="00335495" w:rsidRPr="00823DE2" w:rsidRDefault="00335495" w:rsidP="00792814">
            <w:pPr>
              <w:autoSpaceDE w:val="0"/>
              <w:autoSpaceDN w:val="0"/>
              <w:adjustRightInd w:val="0"/>
              <w:spacing w:line="240" w:lineRule="auto"/>
              <w:rPr>
                <w:color w:val="000000"/>
              </w:rPr>
            </w:pPr>
          </w:p>
        </w:tc>
        <w:tc>
          <w:tcPr>
            <w:tcW w:w="1271" w:type="dxa"/>
            <w:tcBorders>
              <w:top w:val="single" w:sz="4" w:space="0" w:color="auto"/>
              <w:bottom w:val="single" w:sz="4" w:space="0" w:color="auto"/>
            </w:tcBorders>
            <w:shd w:val="clear" w:color="auto" w:fill="FFFFFF"/>
            <w:vAlign w:val="bottom"/>
          </w:tcPr>
          <w:p w14:paraId="46827BDF"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Idea Generation</w:t>
            </w:r>
          </w:p>
          <w:p w14:paraId="16D6E684"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.835</w:t>
            </w:r>
          </w:p>
        </w:tc>
        <w:tc>
          <w:tcPr>
            <w:tcW w:w="992" w:type="dxa"/>
            <w:tcBorders>
              <w:top w:val="single" w:sz="4" w:space="0" w:color="auto"/>
              <w:bottom w:val="single" w:sz="4" w:space="0" w:color="auto"/>
            </w:tcBorders>
            <w:shd w:val="clear" w:color="auto" w:fill="FFFFFF"/>
            <w:vAlign w:val="bottom"/>
          </w:tcPr>
          <w:p w14:paraId="4D561AE3"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Policy</w:t>
            </w:r>
          </w:p>
          <w:p w14:paraId="7B52547F"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.821</w:t>
            </w:r>
          </w:p>
        </w:tc>
        <w:tc>
          <w:tcPr>
            <w:tcW w:w="1674" w:type="dxa"/>
            <w:tcBorders>
              <w:top w:val="single" w:sz="4" w:space="0" w:color="auto"/>
              <w:bottom w:val="single" w:sz="4" w:space="0" w:color="auto"/>
            </w:tcBorders>
            <w:shd w:val="clear" w:color="auto" w:fill="FFFFFF"/>
            <w:vAlign w:val="bottom"/>
          </w:tcPr>
          <w:p w14:paraId="20808AC5"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Implementation</w:t>
            </w:r>
          </w:p>
          <w:p w14:paraId="7E585A24"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.704</w:t>
            </w:r>
          </w:p>
        </w:tc>
      </w:tr>
      <w:tr w:rsidR="00335495" w:rsidRPr="00823DE2" w14:paraId="256C8935" w14:textId="77777777" w:rsidTr="00792814">
        <w:trPr>
          <w:cantSplit/>
          <w:trHeight w:val="170"/>
        </w:trPr>
        <w:tc>
          <w:tcPr>
            <w:tcW w:w="4820" w:type="dxa"/>
            <w:tcBorders>
              <w:top w:val="single" w:sz="4" w:space="0" w:color="auto"/>
            </w:tcBorders>
            <w:shd w:val="clear" w:color="auto" w:fill="FFFFFF"/>
          </w:tcPr>
          <w:p w14:paraId="3D5330F9"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Support and advice from academics</w:t>
            </w:r>
          </w:p>
        </w:tc>
        <w:tc>
          <w:tcPr>
            <w:tcW w:w="1271" w:type="dxa"/>
            <w:tcBorders>
              <w:top w:val="single" w:sz="4" w:space="0" w:color="auto"/>
            </w:tcBorders>
            <w:shd w:val="clear" w:color="auto" w:fill="FFFFFF"/>
            <w:vAlign w:val="center"/>
          </w:tcPr>
          <w:p w14:paraId="3B8A9820"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.792</w:t>
            </w:r>
          </w:p>
        </w:tc>
        <w:tc>
          <w:tcPr>
            <w:tcW w:w="992" w:type="dxa"/>
            <w:tcBorders>
              <w:top w:val="single" w:sz="4" w:space="0" w:color="auto"/>
            </w:tcBorders>
            <w:shd w:val="clear" w:color="auto" w:fill="FFFFFF"/>
            <w:vAlign w:val="center"/>
          </w:tcPr>
          <w:p w14:paraId="4EFACB08" w14:textId="77777777" w:rsidR="00335495" w:rsidRPr="00823DE2" w:rsidRDefault="00335495" w:rsidP="00792814">
            <w:pPr>
              <w:autoSpaceDE w:val="0"/>
              <w:autoSpaceDN w:val="0"/>
              <w:adjustRightInd w:val="0"/>
              <w:spacing w:line="240" w:lineRule="auto"/>
              <w:jc w:val="center"/>
            </w:pPr>
          </w:p>
        </w:tc>
        <w:tc>
          <w:tcPr>
            <w:tcW w:w="1674" w:type="dxa"/>
            <w:tcBorders>
              <w:top w:val="single" w:sz="4" w:space="0" w:color="auto"/>
            </w:tcBorders>
            <w:shd w:val="clear" w:color="auto" w:fill="FFFFFF"/>
            <w:vAlign w:val="center"/>
          </w:tcPr>
          <w:p w14:paraId="064BCFB8" w14:textId="77777777" w:rsidR="00335495" w:rsidRPr="00823DE2" w:rsidRDefault="00335495" w:rsidP="00792814">
            <w:pPr>
              <w:autoSpaceDE w:val="0"/>
              <w:autoSpaceDN w:val="0"/>
              <w:adjustRightInd w:val="0"/>
              <w:spacing w:line="240" w:lineRule="auto"/>
              <w:jc w:val="center"/>
            </w:pPr>
          </w:p>
        </w:tc>
      </w:tr>
      <w:tr w:rsidR="00335495" w:rsidRPr="00823DE2" w14:paraId="684BE615" w14:textId="77777777" w:rsidTr="00792814">
        <w:trPr>
          <w:cantSplit/>
          <w:trHeight w:val="170"/>
        </w:trPr>
        <w:tc>
          <w:tcPr>
            <w:tcW w:w="4820" w:type="dxa"/>
            <w:shd w:val="clear" w:color="auto" w:fill="FFFFFF"/>
          </w:tcPr>
          <w:p w14:paraId="4FD8750B"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Participating in a university incubator/activator</w:t>
            </w:r>
          </w:p>
        </w:tc>
        <w:tc>
          <w:tcPr>
            <w:tcW w:w="1271" w:type="dxa"/>
            <w:shd w:val="clear" w:color="auto" w:fill="FFFFFF"/>
            <w:vAlign w:val="center"/>
          </w:tcPr>
          <w:p w14:paraId="3E0F0914"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.779</w:t>
            </w:r>
          </w:p>
        </w:tc>
        <w:tc>
          <w:tcPr>
            <w:tcW w:w="992" w:type="dxa"/>
            <w:shd w:val="clear" w:color="auto" w:fill="FFFFFF"/>
            <w:vAlign w:val="center"/>
          </w:tcPr>
          <w:p w14:paraId="61DC1530" w14:textId="77777777" w:rsidR="00335495" w:rsidRPr="00823DE2" w:rsidRDefault="00335495" w:rsidP="00792814">
            <w:pPr>
              <w:autoSpaceDE w:val="0"/>
              <w:autoSpaceDN w:val="0"/>
              <w:adjustRightInd w:val="0"/>
              <w:spacing w:line="240" w:lineRule="auto"/>
              <w:jc w:val="center"/>
            </w:pPr>
          </w:p>
        </w:tc>
        <w:tc>
          <w:tcPr>
            <w:tcW w:w="1674" w:type="dxa"/>
            <w:shd w:val="clear" w:color="auto" w:fill="FFFFFF"/>
            <w:vAlign w:val="center"/>
          </w:tcPr>
          <w:p w14:paraId="5325B2DF" w14:textId="77777777" w:rsidR="00335495" w:rsidRPr="00823DE2" w:rsidRDefault="00335495" w:rsidP="00792814">
            <w:pPr>
              <w:autoSpaceDE w:val="0"/>
              <w:autoSpaceDN w:val="0"/>
              <w:adjustRightInd w:val="0"/>
              <w:spacing w:line="240" w:lineRule="auto"/>
              <w:jc w:val="center"/>
            </w:pPr>
          </w:p>
        </w:tc>
      </w:tr>
      <w:tr w:rsidR="00335495" w:rsidRPr="00823DE2" w14:paraId="4A7F98C5" w14:textId="77777777" w:rsidTr="00792814">
        <w:trPr>
          <w:cantSplit/>
          <w:trHeight w:val="170"/>
        </w:trPr>
        <w:tc>
          <w:tcPr>
            <w:tcW w:w="4820" w:type="dxa"/>
            <w:shd w:val="clear" w:color="auto" w:fill="FFFFFF"/>
          </w:tcPr>
          <w:p w14:paraId="42C6A200"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Opportunities to discuss or brainstorm ideas</w:t>
            </w:r>
          </w:p>
        </w:tc>
        <w:tc>
          <w:tcPr>
            <w:tcW w:w="1271" w:type="dxa"/>
            <w:shd w:val="clear" w:color="auto" w:fill="FFFFFF"/>
            <w:vAlign w:val="center"/>
          </w:tcPr>
          <w:p w14:paraId="5941A2D4"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.764</w:t>
            </w:r>
          </w:p>
        </w:tc>
        <w:tc>
          <w:tcPr>
            <w:tcW w:w="992" w:type="dxa"/>
            <w:shd w:val="clear" w:color="auto" w:fill="FFFFFF"/>
            <w:vAlign w:val="center"/>
          </w:tcPr>
          <w:p w14:paraId="46108E22" w14:textId="77777777" w:rsidR="00335495" w:rsidRPr="00823DE2" w:rsidRDefault="00335495" w:rsidP="00792814">
            <w:pPr>
              <w:autoSpaceDE w:val="0"/>
              <w:autoSpaceDN w:val="0"/>
              <w:adjustRightInd w:val="0"/>
              <w:spacing w:line="240" w:lineRule="auto"/>
              <w:jc w:val="center"/>
            </w:pPr>
          </w:p>
        </w:tc>
        <w:tc>
          <w:tcPr>
            <w:tcW w:w="1674" w:type="dxa"/>
            <w:shd w:val="clear" w:color="auto" w:fill="FFFFFF"/>
            <w:vAlign w:val="center"/>
          </w:tcPr>
          <w:p w14:paraId="04299682" w14:textId="77777777" w:rsidR="00335495" w:rsidRPr="00823DE2" w:rsidRDefault="00335495" w:rsidP="00792814">
            <w:pPr>
              <w:autoSpaceDE w:val="0"/>
              <w:autoSpaceDN w:val="0"/>
              <w:adjustRightInd w:val="0"/>
              <w:spacing w:line="240" w:lineRule="auto"/>
              <w:jc w:val="center"/>
            </w:pPr>
          </w:p>
        </w:tc>
      </w:tr>
      <w:tr w:rsidR="00335495" w:rsidRPr="00823DE2" w14:paraId="74798287" w14:textId="77777777" w:rsidTr="00792814">
        <w:trPr>
          <w:cantSplit/>
          <w:trHeight w:val="170"/>
        </w:trPr>
        <w:tc>
          <w:tcPr>
            <w:tcW w:w="4820" w:type="dxa"/>
            <w:shd w:val="clear" w:color="auto" w:fill="FFFFFF"/>
          </w:tcPr>
          <w:p w14:paraId="1C14A977"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Education and training in entrepreneurship</w:t>
            </w:r>
          </w:p>
        </w:tc>
        <w:tc>
          <w:tcPr>
            <w:tcW w:w="1271" w:type="dxa"/>
            <w:shd w:val="clear" w:color="auto" w:fill="FFFFFF"/>
            <w:vAlign w:val="center"/>
          </w:tcPr>
          <w:p w14:paraId="5FB60349"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.680</w:t>
            </w:r>
          </w:p>
        </w:tc>
        <w:tc>
          <w:tcPr>
            <w:tcW w:w="992" w:type="dxa"/>
            <w:shd w:val="clear" w:color="auto" w:fill="FFFFFF"/>
            <w:vAlign w:val="center"/>
          </w:tcPr>
          <w:p w14:paraId="64A8E52E" w14:textId="77777777" w:rsidR="00335495" w:rsidRPr="00823DE2" w:rsidRDefault="00335495" w:rsidP="00792814">
            <w:pPr>
              <w:autoSpaceDE w:val="0"/>
              <w:autoSpaceDN w:val="0"/>
              <w:adjustRightInd w:val="0"/>
              <w:spacing w:line="240" w:lineRule="auto"/>
              <w:jc w:val="center"/>
            </w:pPr>
          </w:p>
        </w:tc>
        <w:tc>
          <w:tcPr>
            <w:tcW w:w="1674" w:type="dxa"/>
            <w:shd w:val="clear" w:color="auto" w:fill="FFFFFF"/>
            <w:vAlign w:val="center"/>
          </w:tcPr>
          <w:p w14:paraId="3E6CF180" w14:textId="77777777" w:rsidR="00335495" w:rsidRPr="00823DE2" w:rsidRDefault="00335495" w:rsidP="00792814">
            <w:pPr>
              <w:autoSpaceDE w:val="0"/>
              <w:autoSpaceDN w:val="0"/>
              <w:adjustRightInd w:val="0"/>
              <w:spacing w:line="320" w:lineRule="atLeast"/>
              <w:ind w:left="60" w:right="60"/>
              <w:jc w:val="center"/>
              <w:rPr>
                <w:color w:val="000000"/>
              </w:rPr>
            </w:pPr>
          </w:p>
        </w:tc>
      </w:tr>
      <w:tr w:rsidR="00335495" w:rsidRPr="00823DE2" w14:paraId="09083B21" w14:textId="77777777" w:rsidTr="00792814">
        <w:trPr>
          <w:cantSplit/>
          <w:trHeight w:val="170"/>
        </w:trPr>
        <w:tc>
          <w:tcPr>
            <w:tcW w:w="4820" w:type="dxa"/>
            <w:shd w:val="clear" w:color="auto" w:fill="FFFFFF"/>
          </w:tcPr>
          <w:p w14:paraId="74917CBC"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 xml:space="preserve">Encouragement and support from my family </w:t>
            </w:r>
            <w:r w:rsidRPr="00823DE2">
              <w:rPr>
                <w:color w:val="000000"/>
              </w:rPr>
              <w:br/>
              <w:t xml:space="preserve">       and friends</w:t>
            </w:r>
          </w:p>
        </w:tc>
        <w:tc>
          <w:tcPr>
            <w:tcW w:w="1271" w:type="dxa"/>
            <w:shd w:val="clear" w:color="auto" w:fill="FFFFFF"/>
            <w:vAlign w:val="center"/>
          </w:tcPr>
          <w:p w14:paraId="0C6B36B4"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.656</w:t>
            </w:r>
          </w:p>
        </w:tc>
        <w:tc>
          <w:tcPr>
            <w:tcW w:w="992" w:type="dxa"/>
            <w:shd w:val="clear" w:color="auto" w:fill="FFFFFF"/>
            <w:vAlign w:val="center"/>
          </w:tcPr>
          <w:p w14:paraId="081E5B5B" w14:textId="77777777" w:rsidR="00335495" w:rsidRPr="00823DE2" w:rsidRDefault="00335495" w:rsidP="00792814">
            <w:pPr>
              <w:autoSpaceDE w:val="0"/>
              <w:autoSpaceDN w:val="0"/>
              <w:adjustRightInd w:val="0"/>
              <w:spacing w:line="320" w:lineRule="atLeast"/>
              <w:ind w:left="60" w:right="60"/>
              <w:jc w:val="center"/>
              <w:rPr>
                <w:color w:val="000000"/>
              </w:rPr>
            </w:pPr>
          </w:p>
        </w:tc>
        <w:tc>
          <w:tcPr>
            <w:tcW w:w="1674" w:type="dxa"/>
            <w:shd w:val="clear" w:color="auto" w:fill="FFFFFF"/>
            <w:vAlign w:val="center"/>
          </w:tcPr>
          <w:p w14:paraId="0FA35BDF" w14:textId="77777777" w:rsidR="00335495" w:rsidRPr="00823DE2" w:rsidRDefault="00335495" w:rsidP="00792814">
            <w:pPr>
              <w:autoSpaceDE w:val="0"/>
              <w:autoSpaceDN w:val="0"/>
              <w:adjustRightInd w:val="0"/>
              <w:spacing w:line="240" w:lineRule="auto"/>
              <w:jc w:val="center"/>
            </w:pPr>
          </w:p>
        </w:tc>
      </w:tr>
      <w:tr w:rsidR="00335495" w:rsidRPr="00823DE2" w14:paraId="5BFF6EB3" w14:textId="77777777" w:rsidTr="00792814">
        <w:trPr>
          <w:cantSplit/>
          <w:trHeight w:val="170"/>
        </w:trPr>
        <w:tc>
          <w:tcPr>
            <w:tcW w:w="4820" w:type="dxa"/>
            <w:shd w:val="clear" w:color="auto" w:fill="FFFFFF"/>
          </w:tcPr>
          <w:p w14:paraId="1BD10E8C"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Changes to visa policy</w:t>
            </w:r>
          </w:p>
        </w:tc>
        <w:tc>
          <w:tcPr>
            <w:tcW w:w="1271" w:type="dxa"/>
            <w:shd w:val="clear" w:color="auto" w:fill="FFFFFF"/>
            <w:vAlign w:val="center"/>
          </w:tcPr>
          <w:p w14:paraId="3E27D51F" w14:textId="77777777" w:rsidR="00335495" w:rsidRPr="00823DE2" w:rsidRDefault="00335495" w:rsidP="00792814">
            <w:pPr>
              <w:autoSpaceDE w:val="0"/>
              <w:autoSpaceDN w:val="0"/>
              <w:adjustRightInd w:val="0"/>
              <w:spacing w:line="240" w:lineRule="auto"/>
              <w:jc w:val="center"/>
            </w:pPr>
          </w:p>
        </w:tc>
        <w:tc>
          <w:tcPr>
            <w:tcW w:w="992" w:type="dxa"/>
            <w:shd w:val="clear" w:color="auto" w:fill="FFFFFF"/>
            <w:vAlign w:val="center"/>
          </w:tcPr>
          <w:p w14:paraId="1927CBF3"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.895</w:t>
            </w:r>
          </w:p>
        </w:tc>
        <w:tc>
          <w:tcPr>
            <w:tcW w:w="1674" w:type="dxa"/>
            <w:shd w:val="clear" w:color="auto" w:fill="FFFFFF"/>
            <w:vAlign w:val="center"/>
          </w:tcPr>
          <w:p w14:paraId="26C7D9E8" w14:textId="77777777" w:rsidR="00335495" w:rsidRPr="00823DE2" w:rsidRDefault="00335495" w:rsidP="00792814">
            <w:pPr>
              <w:autoSpaceDE w:val="0"/>
              <w:autoSpaceDN w:val="0"/>
              <w:adjustRightInd w:val="0"/>
              <w:spacing w:line="240" w:lineRule="auto"/>
              <w:jc w:val="center"/>
            </w:pPr>
          </w:p>
        </w:tc>
      </w:tr>
      <w:tr w:rsidR="00335495" w:rsidRPr="00823DE2" w14:paraId="6C71B501" w14:textId="77777777" w:rsidTr="00792814">
        <w:trPr>
          <w:cantSplit/>
          <w:trHeight w:val="170"/>
        </w:trPr>
        <w:tc>
          <w:tcPr>
            <w:tcW w:w="4820" w:type="dxa"/>
            <w:shd w:val="clear" w:color="auto" w:fill="FFFFFF"/>
          </w:tcPr>
          <w:p w14:paraId="7146A590"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Changes to government policy</w:t>
            </w:r>
          </w:p>
        </w:tc>
        <w:tc>
          <w:tcPr>
            <w:tcW w:w="1271" w:type="dxa"/>
            <w:shd w:val="clear" w:color="auto" w:fill="FFFFFF"/>
            <w:vAlign w:val="center"/>
          </w:tcPr>
          <w:p w14:paraId="3E4A6BAA" w14:textId="77777777" w:rsidR="00335495" w:rsidRPr="00823DE2" w:rsidRDefault="00335495" w:rsidP="00792814">
            <w:pPr>
              <w:autoSpaceDE w:val="0"/>
              <w:autoSpaceDN w:val="0"/>
              <w:adjustRightInd w:val="0"/>
              <w:spacing w:line="240" w:lineRule="auto"/>
              <w:jc w:val="center"/>
            </w:pPr>
          </w:p>
        </w:tc>
        <w:tc>
          <w:tcPr>
            <w:tcW w:w="992" w:type="dxa"/>
            <w:shd w:val="clear" w:color="auto" w:fill="FFFFFF"/>
            <w:vAlign w:val="center"/>
          </w:tcPr>
          <w:p w14:paraId="48113764"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.873</w:t>
            </w:r>
          </w:p>
        </w:tc>
        <w:tc>
          <w:tcPr>
            <w:tcW w:w="1674" w:type="dxa"/>
            <w:shd w:val="clear" w:color="auto" w:fill="FFFFFF"/>
            <w:vAlign w:val="center"/>
          </w:tcPr>
          <w:p w14:paraId="5786E0FA" w14:textId="77777777" w:rsidR="00335495" w:rsidRPr="00823DE2" w:rsidRDefault="00335495" w:rsidP="00792814">
            <w:pPr>
              <w:autoSpaceDE w:val="0"/>
              <w:autoSpaceDN w:val="0"/>
              <w:adjustRightInd w:val="0"/>
              <w:spacing w:line="240" w:lineRule="auto"/>
              <w:jc w:val="center"/>
            </w:pPr>
          </w:p>
        </w:tc>
      </w:tr>
      <w:tr w:rsidR="00335495" w:rsidRPr="00823DE2" w14:paraId="2361D18A" w14:textId="77777777" w:rsidTr="00792814">
        <w:trPr>
          <w:cantSplit/>
          <w:trHeight w:val="170"/>
        </w:trPr>
        <w:tc>
          <w:tcPr>
            <w:tcW w:w="4820" w:type="dxa"/>
            <w:shd w:val="clear" w:color="auto" w:fill="FFFFFF"/>
          </w:tcPr>
          <w:p w14:paraId="6139CD90"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Help connecting to relevant industry</w:t>
            </w:r>
          </w:p>
        </w:tc>
        <w:tc>
          <w:tcPr>
            <w:tcW w:w="1271" w:type="dxa"/>
            <w:shd w:val="clear" w:color="auto" w:fill="FFFFFF"/>
            <w:vAlign w:val="center"/>
          </w:tcPr>
          <w:p w14:paraId="0190043A" w14:textId="77777777" w:rsidR="00335495" w:rsidRPr="00823DE2" w:rsidRDefault="00335495" w:rsidP="00792814">
            <w:pPr>
              <w:autoSpaceDE w:val="0"/>
              <w:autoSpaceDN w:val="0"/>
              <w:adjustRightInd w:val="0"/>
              <w:spacing w:line="320" w:lineRule="atLeast"/>
              <w:ind w:left="60" w:right="60"/>
              <w:jc w:val="center"/>
              <w:rPr>
                <w:color w:val="000000"/>
              </w:rPr>
            </w:pPr>
          </w:p>
        </w:tc>
        <w:tc>
          <w:tcPr>
            <w:tcW w:w="992" w:type="dxa"/>
            <w:shd w:val="clear" w:color="auto" w:fill="FFFFFF"/>
            <w:vAlign w:val="center"/>
          </w:tcPr>
          <w:p w14:paraId="0CFEE2AA" w14:textId="77777777" w:rsidR="00335495" w:rsidRPr="00823DE2" w:rsidRDefault="00335495" w:rsidP="00792814">
            <w:pPr>
              <w:autoSpaceDE w:val="0"/>
              <w:autoSpaceDN w:val="0"/>
              <w:adjustRightInd w:val="0"/>
              <w:spacing w:line="240" w:lineRule="auto"/>
              <w:jc w:val="center"/>
            </w:pPr>
          </w:p>
        </w:tc>
        <w:tc>
          <w:tcPr>
            <w:tcW w:w="1674" w:type="dxa"/>
            <w:shd w:val="clear" w:color="auto" w:fill="FFFFFF"/>
            <w:vAlign w:val="center"/>
          </w:tcPr>
          <w:p w14:paraId="294A5313"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.550</w:t>
            </w:r>
          </w:p>
        </w:tc>
      </w:tr>
      <w:tr w:rsidR="00335495" w:rsidRPr="00823DE2" w14:paraId="7763A897" w14:textId="77777777" w:rsidTr="00792814">
        <w:trPr>
          <w:cantSplit/>
          <w:trHeight w:val="170"/>
        </w:trPr>
        <w:tc>
          <w:tcPr>
            <w:tcW w:w="4820" w:type="dxa"/>
            <w:shd w:val="clear" w:color="auto" w:fill="FFFFFF"/>
          </w:tcPr>
          <w:p w14:paraId="7AB05DDA"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Financial support</w:t>
            </w:r>
          </w:p>
        </w:tc>
        <w:tc>
          <w:tcPr>
            <w:tcW w:w="1271" w:type="dxa"/>
            <w:shd w:val="clear" w:color="auto" w:fill="FFFFFF"/>
            <w:vAlign w:val="center"/>
          </w:tcPr>
          <w:p w14:paraId="5B0D7E06" w14:textId="77777777" w:rsidR="00335495" w:rsidRPr="00823DE2" w:rsidRDefault="00335495" w:rsidP="00792814">
            <w:pPr>
              <w:autoSpaceDE w:val="0"/>
              <w:autoSpaceDN w:val="0"/>
              <w:adjustRightInd w:val="0"/>
              <w:spacing w:line="240" w:lineRule="auto"/>
              <w:jc w:val="center"/>
            </w:pPr>
          </w:p>
        </w:tc>
        <w:tc>
          <w:tcPr>
            <w:tcW w:w="992" w:type="dxa"/>
            <w:shd w:val="clear" w:color="auto" w:fill="FFFFFF"/>
            <w:vAlign w:val="center"/>
          </w:tcPr>
          <w:p w14:paraId="2FA89E26" w14:textId="77777777" w:rsidR="00335495" w:rsidRPr="00823DE2" w:rsidRDefault="00335495" w:rsidP="00792814">
            <w:pPr>
              <w:autoSpaceDE w:val="0"/>
              <w:autoSpaceDN w:val="0"/>
              <w:adjustRightInd w:val="0"/>
              <w:spacing w:line="240" w:lineRule="auto"/>
              <w:jc w:val="center"/>
            </w:pPr>
          </w:p>
        </w:tc>
        <w:tc>
          <w:tcPr>
            <w:tcW w:w="1674" w:type="dxa"/>
            <w:shd w:val="clear" w:color="auto" w:fill="FFFFFF"/>
            <w:vAlign w:val="center"/>
          </w:tcPr>
          <w:p w14:paraId="72C7D5D8"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.835</w:t>
            </w:r>
          </w:p>
        </w:tc>
      </w:tr>
      <w:tr w:rsidR="00335495" w:rsidRPr="00823DE2" w14:paraId="07435FA1" w14:textId="77777777" w:rsidTr="00792814">
        <w:trPr>
          <w:cantSplit/>
          <w:trHeight w:val="170"/>
        </w:trPr>
        <w:tc>
          <w:tcPr>
            <w:tcW w:w="4820" w:type="dxa"/>
            <w:shd w:val="clear" w:color="auto" w:fill="FFFFFF"/>
          </w:tcPr>
          <w:p w14:paraId="4547A310"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Mentoring</w:t>
            </w:r>
          </w:p>
        </w:tc>
        <w:tc>
          <w:tcPr>
            <w:tcW w:w="1271" w:type="dxa"/>
            <w:shd w:val="clear" w:color="auto" w:fill="FFFFFF"/>
            <w:vAlign w:val="center"/>
          </w:tcPr>
          <w:p w14:paraId="6847808A" w14:textId="77777777" w:rsidR="00335495" w:rsidRPr="00823DE2" w:rsidRDefault="00335495" w:rsidP="00792814">
            <w:pPr>
              <w:autoSpaceDE w:val="0"/>
              <w:autoSpaceDN w:val="0"/>
              <w:adjustRightInd w:val="0"/>
              <w:spacing w:line="320" w:lineRule="atLeast"/>
              <w:ind w:left="60" w:right="60"/>
              <w:jc w:val="center"/>
              <w:rPr>
                <w:color w:val="000000"/>
              </w:rPr>
            </w:pPr>
          </w:p>
        </w:tc>
        <w:tc>
          <w:tcPr>
            <w:tcW w:w="992" w:type="dxa"/>
            <w:shd w:val="clear" w:color="auto" w:fill="FFFFFF"/>
            <w:vAlign w:val="center"/>
          </w:tcPr>
          <w:p w14:paraId="1A1B2545" w14:textId="77777777" w:rsidR="00335495" w:rsidRPr="00823DE2" w:rsidRDefault="00335495" w:rsidP="00792814">
            <w:pPr>
              <w:autoSpaceDE w:val="0"/>
              <w:autoSpaceDN w:val="0"/>
              <w:adjustRightInd w:val="0"/>
              <w:spacing w:line="240" w:lineRule="auto"/>
              <w:jc w:val="center"/>
            </w:pPr>
          </w:p>
        </w:tc>
        <w:tc>
          <w:tcPr>
            <w:tcW w:w="1674" w:type="dxa"/>
            <w:shd w:val="clear" w:color="auto" w:fill="FFFFFF"/>
            <w:vAlign w:val="center"/>
          </w:tcPr>
          <w:p w14:paraId="1E719A91"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.567</w:t>
            </w:r>
          </w:p>
        </w:tc>
      </w:tr>
      <w:tr w:rsidR="00335495" w:rsidRPr="00823DE2" w14:paraId="580EC8C4" w14:textId="77777777" w:rsidTr="00792814">
        <w:trPr>
          <w:cantSplit/>
          <w:trHeight w:val="170"/>
        </w:trPr>
        <w:tc>
          <w:tcPr>
            <w:tcW w:w="4820" w:type="dxa"/>
            <w:tcBorders>
              <w:bottom w:val="single" w:sz="4" w:space="0" w:color="auto"/>
            </w:tcBorders>
            <w:shd w:val="clear" w:color="auto" w:fill="FFFFFF"/>
          </w:tcPr>
          <w:p w14:paraId="3EB86ABF"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Variance explained</w:t>
            </w:r>
          </w:p>
        </w:tc>
        <w:tc>
          <w:tcPr>
            <w:tcW w:w="1271" w:type="dxa"/>
            <w:tcBorders>
              <w:bottom w:val="single" w:sz="4" w:space="0" w:color="auto"/>
            </w:tcBorders>
            <w:shd w:val="clear" w:color="auto" w:fill="FFFFFF"/>
            <w:vAlign w:val="center"/>
          </w:tcPr>
          <w:p w14:paraId="43E3F143"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46.15%</w:t>
            </w:r>
          </w:p>
        </w:tc>
        <w:tc>
          <w:tcPr>
            <w:tcW w:w="992" w:type="dxa"/>
            <w:tcBorders>
              <w:bottom w:val="single" w:sz="4" w:space="0" w:color="auto"/>
            </w:tcBorders>
            <w:shd w:val="clear" w:color="auto" w:fill="FFFFFF"/>
            <w:vAlign w:val="center"/>
          </w:tcPr>
          <w:p w14:paraId="1AAB62F2" w14:textId="77777777" w:rsidR="00335495" w:rsidRPr="00823DE2" w:rsidRDefault="00335495" w:rsidP="00792814">
            <w:pPr>
              <w:autoSpaceDE w:val="0"/>
              <w:autoSpaceDN w:val="0"/>
              <w:adjustRightInd w:val="0"/>
              <w:spacing w:line="240" w:lineRule="auto"/>
              <w:jc w:val="center"/>
            </w:pPr>
            <w:r w:rsidRPr="00823DE2">
              <w:t>13.94%</w:t>
            </w:r>
          </w:p>
        </w:tc>
        <w:tc>
          <w:tcPr>
            <w:tcW w:w="1674" w:type="dxa"/>
            <w:tcBorders>
              <w:bottom w:val="single" w:sz="4" w:space="0" w:color="auto"/>
            </w:tcBorders>
            <w:shd w:val="clear" w:color="auto" w:fill="FFFFFF"/>
            <w:vAlign w:val="center"/>
          </w:tcPr>
          <w:p w14:paraId="3BFF9BF5" w14:textId="77777777" w:rsidR="00335495" w:rsidRPr="00823DE2" w:rsidRDefault="00335495" w:rsidP="00792814">
            <w:pPr>
              <w:autoSpaceDE w:val="0"/>
              <w:autoSpaceDN w:val="0"/>
              <w:adjustRightInd w:val="0"/>
              <w:spacing w:line="320" w:lineRule="atLeast"/>
              <w:ind w:left="60" w:right="60"/>
              <w:jc w:val="center"/>
              <w:rPr>
                <w:color w:val="000000"/>
              </w:rPr>
            </w:pPr>
            <w:r w:rsidRPr="00823DE2">
              <w:rPr>
                <w:color w:val="000000"/>
              </w:rPr>
              <w:t>9.28%</w:t>
            </w:r>
          </w:p>
        </w:tc>
      </w:tr>
      <w:tr w:rsidR="00335495" w:rsidRPr="00823DE2" w14:paraId="02355F26" w14:textId="77777777" w:rsidTr="00792814">
        <w:trPr>
          <w:cantSplit/>
          <w:trHeight w:val="247"/>
        </w:trPr>
        <w:tc>
          <w:tcPr>
            <w:tcW w:w="8757" w:type="dxa"/>
            <w:gridSpan w:val="4"/>
            <w:tcBorders>
              <w:top w:val="single" w:sz="4" w:space="0" w:color="auto"/>
            </w:tcBorders>
            <w:shd w:val="clear" w:color="auto" w:fill="FFFFFF"/>
          </w:tcPr>
          <w:p w14:paraId="4A38DAF9" w14:textId="77777777" w:rsidR="00335495" w:rsidRPr="00823DE2" w:rsidRDefault="00335495" w:rsidP="00792814">
            <w:pPr>
              <w:autoSpaceDE w:val="0"/>
              <w:autoSpaceDN w:val="0"/>
              <w:adjustRightInd w:val="0"/>
              <w:spacing w:line="320" w:lineRule="atLeast"/>
              <w:ind w:left="60" w:right="60"/>
              <w:rPr>
                <w:color w:val="000000"/>
              </w:rPr>
            </w:pPr>
            <w:r w:rsidRPr="00823DE2">
              <w:rPr>
                <w:color w:val="000000"/>
              </w:rPr>
              <w:t>KMO=.860</w:t>
            </w:r>
          </w:p>
        </w:tc>
      </w:tr>
    </w:tbl>
    <w:p w14:paraId="548FDC5E" w14:textId="77777777" w:rsidR="00335495" w:rsidRDefault="00335495" w:rsidP="00335495"/>
    <w:p w14:paraId="2E05D865" w14:textId="77777777" w:rsidR="005B1937" w:rsidRDefault="005B1937" w:rsidP="005B1937"/>
    <w:p w14:paraId="314B67CB" w14:textId="77777777" w:rsidR="005B1937" w:rsidRPr="00E01A9C" w:rsidRDefault="005B1937" w:rsidP="00C67ABF">
      <w:pPr>
        <w:pStyle w:val="CopyrightBox"/>
        <w:widowControl w:val="0"/>
        <w:spacing w:line="360" w:lineRule="auto"/>
        <w:contextualSpacing/>
        <w:jc w:val="center"/>
      </w:pPr>
    </w:p>
    <w:p w14:paraId="34D9AD11" w14:textId="77777777" w:rsidR="00823DE2" w:rsidRDefault="00823DE2" w:rsidP="00823DE2">
      <w:pPr>
        <w:rPr>
          <w:lang w:val="en-AU" w:eastAsia="en-AU"/>
        </w:rPr>
      </w:pPr>
    </w:p>
    <w:p w14:paraId="1DD1223F" w14:textId="77777777" w:rsidR="00975151" w:rsidRDefault="00975151" w:rsidP="00823DE2">
      <w:pPr>
        <w:rPr>
          <w:lang w:val="en-AU" w:eastAsia="en-AU"/>
        </w:rPr>
      </w:pPr>
    </w:p>
    <w:p w14:paraId="7B1B7FC8" w14:textId="1AA14160" w:rsidR="008D1D53" w:rsidRPr="00E01A9C" w:rsidRDefault="008D1D53" w:rsidP="00935AF7">
      <w:pPr>
        <w:spacing w:line="240" w:lineRule="auto"/>
      </w:pPr>
    </w:p>
    <w:sectPr w:rsidR="008D1D53" w:rsidRPr="00E01A9C" w:rsidSect="004F6F00">
      <w:pgSz w:w="11906" w:h="16838"/>
      <w:pgMar w:top="1134" w:right="1276" w:bottom="1134" w:left="1134" w:header="709" w:footer="709" w:gutter="0"/>
      <w:cols w:space="1134"/>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248E5" w16cid:durableId="203BE5A4"/>
  <w16cid:commentId w16cid:paraId="79C32F23" w16cid:durableId="203BE5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7D79" w14:textId="77777777" w:rsidR="001915F1" w:rsidRDefault="001915F1" w:rsidP="005C657D">
      <w:pPr>
        <w:spacing w:line="240" w:lineRule="auto"/>
      </w:pPr>
      <w:r>
        <w:separator/>
      </w:r>
    </w:p>
    <w:p w14:paraId="2C3F6373" w14:textId="77777777" w:rsidR="001915F1" w:rsidRDefault="001915F1"/>
  </w:endnote>
  <w:endnote w:type="continuationSeparator" w:id="0">
    <w:p w14:paraId="5045DB03" w14:textId="77777777" w:rsidR="001915F1" w:rsidRDefault="001915F1" w:rsidP="005C657D">
      <w:pPr>
        <w:spacing w:line="240" w:lineRule="auto"/>
      </w:pPr>
      <w:r>
        <w:continuationSeparator/>
      </w:r>
    </w:p>
    <w:p w14:paraId="22EFEFF0" w14:textId="77777777" w:rsidR="001915F1" w:rsidRDefault="00191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14:paraId="7DD75ACB" w14:textId="1DF7BA01" w:rsidR="001915F1" w:rsidRDefault="001915F1" w:rsidP="005D4C54">
        <w:pPr>
          <w:pStyle w:val="Footer"/>
          <w:jc w:val="center"/>
        </w:pPr>
        <w:r>
          <w:fldChar w:fldCharType="begin"/>
        </w:r>
        <w:r>
          <w:instrText xml:space="preserve"> PAGE   \* MERGEFORMAT </w:instrText>
        </w:r>
        <w:r>
          <w:fldChar w:fldCharType="separate"/>
        </w:r>
        <w:r w:rsidR="00160051">
          <w:rPr>
            <w:noProof/>
          </w:rPr>
          <w:t>20</w:t>
        </w:r>
        <w:r>
          <w:rPr>
            <w:noProof/>
          </w:rPr>
          <w:fldChar w:fldCharType="end"/>
        </w:r>
      </w:p>
    </w:sdtContent>
  </w:sdt>
  <w:p w14:paraId="49C310E9" w14:textId="77777777" w:rsidR="001915F1" w:rsidRDefault="001915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C396" w14:textId="77777777" w:rsidR="001915F1" w:rsidRDefault="001915F1" w:rsidP="005C657D">
      <w:pPr>
        <w:spacing w:line="240" w:lineRule="auto"/>
      </w:pPr>
      <w:r>
        <w:separator/>
      </w:r>
    </w:p>
    <w:p w14:paraId="523650A5" w14:textId="77777777" w:rsidR="001915F1" w:rsidRDefault="001915F1"/>
  </w:footnote>
  <w:footnote w:type="continuationSeparator" w:id="0">
    <w:p w14:paraId="62C23108" w14:textId="77777777" w:rsidR="001915F1" w:rsidRDefault="001915F1" w:rsidP="005C657D">
      <w:pPr>
        <w:spacing w:line="240" w:lineRule="auto"/>
      </w:pPr>
      <w:r>
        <w:continuationSeparator/>
      </w:r>
    </w:p>
    <w:p w14:paraId="4EDFEB21" w14:textId="77777777" w:rsidR="001915F1" w:rsidRDefault="001915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EA0BF6"/>
    <w:multiLevelType w:val="multilevel"/>
    <w:tmpl w:val="0409001D"/>
    <w:numStyleLink w:val="Singlepunch"/>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B0D5F"/>
    <w:multiLevelType w:val="multilevel"/>
    <w:tmpl w:val="D834BC2E"/>
    <w:lvl w:ilvl="0">
      <w:start w:val="1"/>
      <w:numFmt w:val="decimal"/>
      <w:lvlRestart w:val="0"/>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5"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88E1CE2"/>
    <w:multiLevelType w:val="multilevel"/>
    <w:tmpl w:val="0409001D"/>
    <w:numStyleLink w:val="Multipunch"/>
  </w:abstractNum>
  <w:abstractNum w:abstractNumId="21"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65A8B"/>
    <w:multiLevelType w:val="hybridMultilevel"/>
    <w:tmpl w:val="37BED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D82E20"/>
    <w:multiLevelType w:val="hybridMultilevel"/>
    <w:tmpl w:val="73723E96"/>
    <w:lvl w:ilvl="0" w:tplc="D354D5E6">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63C1314B"/>
    <w:multiLevelType w:val="hybridMultilevel"/>
    <w:tmpl w:val="BD3AFC48"/>
    <w:lvl w:ilvl="0" w:tplc="08BEA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3E0FFC"/>
    <w:multiLevelType w:val="hybridMultilevel"/>
    <w:tmpl w:val="E9B4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26"/>
  </w:num>
  <w:num w:numId="14">
    <w:abstractNumId w:val="25"/>
  </w:num>
  <w:num w:numId="15">
    <w:abstractNumId w:val="15"/>
  </w:num>
  <w:num w:numId="16">
    <w:abstractNumId w:val="30"/>
  </w:num>
  <w:num w:numId="17">
    <w:abstractNumId w:val="21"/>
  </w:num>
  <w:num w:numId="18">
    <w:abstractNumId w:val="20"/>
  </w:num>
  <w:num w:numId="19">
    <w:abstractNumId w:val="27"/>
  </w:num>
  <w:num w:numId="20">
    <w:abstractNumId w:val="12"/>
  </w:num>
  <w:num w:numId="21">
    <w:abstractNumId w:val="37"/>
  </w:num>
  <w:num w:numId="22">
    <w:abstractNumId w:val="33"/>
  </w:num>
  <w:num w:numId="23">
    <w:abstractNumId w:val="19"/>
  </w:num>
  <w:num w:numId="24">
    <w:abstractNumId w:val="28"/>
  </w:num>
  <w:num w:numId="25">
    <w:abstractNumId w:val="10"/>
  </w:num>
  <w:num w:numId="26">
    <w:abstractNumId w:val="23"/>
  </w:num>
  <w:num w:numId="27">
    <w:abstractNumId w:val="29"/>
  </w:num>
  <w:num w:numId="28">
    <w:abstractNumId w:val="18"/>
  </w:num>
  <w:num w:numId="29">
    <w:abstractNumId w:val="22"/>
  </w:num>
  <w:num w:numId="30">
    <w:abstractNumId w:val="11"/>
  </w:num>
  <w:num w:numId="31">
    <w:abstractNumId w:val="0"/>
  </w:num>
  <w:num w:numId="32">
    <w:abstractNumId w:val="13"/>
  </w:num>
  <w:num w:numId="33">
    <w:abstractNumId w:val="24"/>
  </w:num>
  <w:num w:numId="34">
    <w:abstractNumId w:val="31"/>
  </w:num>
  <w:num w:numId="35">
    <w:abstractNumId w:val="34"/>
  </w:num>
  <w:num w:numId="36">
    <w:abstractNumId w:val="17"/>
  </w:num>
  <w:num w:numId="37">
    <w:abstractNumId w:val="36"/>
  </w:num>
  <w:num w:numId="38">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433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3BBF"/>
    <w:rsid w:val="000059BF"/>
    <w:rsid w:val="00011A88"/>
    <w:rsid w:val="00013A6E"/>
    <w:rsid w:val="00013AFD"/>
    <w:rsid w:val="0001536C"/>
    <w:rsid w:val="00016477"/>
    <w:rsid w:val="00020334"/>
    <w:rsid w:val="0002203B"/>
    <w:rsid w:val="00022EB9"/>
    <w:rsid w:val="0002314F"/>
    <w:rsid w:val="00024BF5"/>
    <w:rsid w:val="00026901"/>
    <w:rsid w:val="00026BB7"/>
    <w:rsid w:val="00030581"/>
    <w:rsid w:val="0003182D"/>
    <w:rsid w:val="00031890"/>
    <w:rsid w:val="00031F36"/>
    <w:rsid w:val="0003352B"/>
    <w:rsid w:val="000343C4"/>
    <w:rsid w:val="00034C21"/>
    <w:rsid w:val="000354C0"/>
    <w:rsid w:val="0003583C"/>
    <w:rsid w:val="000373A1"/>
    <w:rsid w:val="000377E4"/>
    <w:rsid w:val="00040694"/>
    <w:rsid w:val="00040C15"/>
    <w:rsid w:val="00041DD2"/>
    <w:rsid w:val="0004296C"/>
    <w:rsid w:val="0004311A"/>
    <w:rsid w:val="000442BD"/>
    <w:rsid w:val="000479BE"/>
    <w:rsid w:val="00050DC2"/>
    <w:rsid w:val="0005300F"/>
    <w:rsid w:val="000540FD"/>
    <w:rsid w:val="00057100"/>
    <w:rsid w:val="000611E2"/>
    <w:rsid w:val="00063036"/>
    <w:rsid w:val="000669AF"/>
    <w:rsid w:val="00066B1C"/>
    <w:rsid w:val="00066E94"/>
    <w:rsid w:val="000741A3"/>
    <w:rsid w:val="00075A95"/>
    <w:rsid w:val="000826D4"/>
    <w:rsid w:val="00083A73"/>
    <w:rsid w:val="00083FD3"/>
    <w:rsid w:val="00084BE3"/>
    <w:rsid w:val="00086184"/>
    <w:rsid w:val="00086B82"/>
    <w:rsid w:val="000870FB"/>
    <w:rsid w:val="000913B5"/>
    <w:rsid w:val="00093594"/>
    <w:rsid w:val="000A035E"/>
    <w:rsid w:val="000A0F2C"/>
    <w:rsid w:val="000A10F4"/>
    <w:rsid w:val="000A1243"/>
    <w:rsid w:val="000A4684"/>
    <w:rsid w:val="000A5561"/>
    <w:rsid w:val="000A6446"/>
    <w:rsid w:val="000A69DA"/>
    <w:rsid w:val="000B3DE0"/>
    <w:rsid w:val="000B4DD8"/>
    <w:rsid w:val="000B6513"/>
    <w:rsid w:val="000B6625"/>
    <w:rsid w:val="000B6E10"/>
    <w:rsid w:val="000C01F2"/>
    <w:rsid w:val="000C0D47"/>
    <w:rsid w:val="000C3C94"/>
    <w:rsid w:val="000C3CEC"/>
    <w:rsid w:val="000C4BB3"/>
    <w:rsid w:val="000C788A"/>
    <w:rsid w:val="000D0C70"/>
    <w:rsid w:val="000D1D30"/>
    <w:rsid w:val="000D3835"/>
    <w:rsid w:val="000D4433"/>
    <w:rsid w:val="000D47CE"/>
    <w:rsid w:val="000D70F3"/>
    <w:rsid w:val="000E3350"/>
    <w:rsid w:val="000F3781"/>
    <w:rsid w:val="000F73F3"/>
    <w:rsid w:val="00100B5E"/>
    <w:rsid w:val="00101A7F"/>
    <w:rsid w:val="00101F87"/>
    <w:rsid w:val="00102037"/>
    <w:rsid w:val="00103E77"/>
    <w:rsid w:val="00105515"/>
    <w:rsid w:val="0010573A"/>
    <w:rsid w:val="00112717"/>
    <w:rsid w:val="00112BD8"/>
    <w:rsid w:val="001140FB"/>
    <w:rsid w:val="0011421B"/>
    <w:rsid w:val="0011494F"/>
    <w:rsid w:val="001164EF"/>
    <w:rsid w:val="00121C6C"/>
    <w:rsid w:val="00124CC7"/>
    <w:rsid w:val="00125773"/>
    <w:rsid w:val="00126B95"/>
    <w:rsid w:val="00132C93"/>
    <w:rsid w:val="00133075"/>
    <w:rsid w:val="0014122D"/>
    <w:rsid w:val="001447BD"/>
    <w:rsid w:val="00147214"/>
    <w:rsid w:val="0014785C"/>
    <w:rsid w:val="0015012F"/>
    <w:rsid w:val="00150D8B"/>
    <w:rsid w:val="00151E88"/>
    <w:rsid w:val="001524BA"/>
    <w:rsid w:val="0015359B"/>
    <w:rsid w:val="001540AA"/>
    <w:rsid w:val="001540AB"/>
    <w:rsid w:val="0015579E"/>
    <w:rsid w:val="001573D8"/>
    <w:rsid w:val="00160051"/>
    <w:rsid w:val="00160F83"/>
    <w:rsid w:val="00161830"/>
    <w:rsid w:val="001673BF"/>
    <w:rsid w:val="00167EB1"/>
    <w:rsid w:val="001747E2"/>
    <w:rsid w:val="00174CF8"/>
    <w:rsid w:val="00176EB9"/>
    <w:rsid w:val="001804B2"/>
    <w:rsid w:val="001804CE"/>
    <w:rsid w:val="00181A4C"/>
    <w:rsid w:val="0018760E"/>
    <w:rsid w:val="00190D79"/>
    <w:rsid w:val="001915F1"/>
    <w:rsid w:val="00195058"/>
    <w:rsid w:val="001950BF"/>
    <w:rsid w:val="00196306"/>
    <w:rsid w:val="001A1037"/>
    <w:rsid w:val="001A3A04"/>
    <w:rsid w:val="001A56AF"/>
    <w:rsid w:val="001A5A14"/>
    <w:rsid w:val="001B2AE2"/>
    <w:rsid w:val="001B330F"/>
    <w:rsid w:val="001B5C15"/>
    <w:rsid w:val="001B796F"/>
    <w:rsid w:val="001B799E"/>
    <w:rsid w:val="001C0348"/>
    <w:rsid w:val="001C5A63"/>
    <w:rsid w:val="001C5EB6"/>
    <w:rsid w:val="001C6629"/>
    <w:rsid w:val="001C77BD"/>
    <w:rsid w:val="001D0082"/>
    <w:rsid w:val="001D0CCA"/>
    <w:rsid w:val="001D247D"/>
    <w:rsid w:val="001D5770"/>
    <w:rsid w:val="001D630A"/>
    <w:rsid w:val="001D6B6F"/>
    <w:rsid w:val="001D79FA"/>
    <w:rsid w:val="001F123C"/>
    <w:rsid w:val="001F3544"/>
    <w:rsid w:val="001F56A8"/>
    <w:rsid w:val="001F79E7"/>
    <w:rsid w:val="00200566"/>
    <w:rsid w:val="00203EC9"/>
    <w:rsid w:val="00206044"/>
    <w:rsid w:val="0021108C"/>
    <w:rsid w:val="002116A6"/>
    <w:rsid w:val="00215AE0"/>
    <w:rsid w:val="0021655D"/>
    <w:rsid w:val="00217019"/>
    <w:rsid w:val="0021791E"/>
    <w:rsid w:val="00217BE1"/>
    <w:rsid w:val="00220353"/>
    <w:rsid w:val="00220816"/>
    <w:rsid w:val="002222B7"/>
    <w:rsid w:val="0022255C"/>
    <w:rsid w:val="0022489D"/>
    <w:rsid w:val="00224C10"/>
    <w:rsid w:val="00225CFF"/>
    <w:rsid w:val="002268A6"/>
    <w:rsid w:val="00227E5A"/>
    <w:rsid w:val="00230559"/>
    <w:rsid w:val="00230D8B"/>
    <w:rsid w:val="00231CA0"/>
    <w:rsid w:val="00231EAF"/>
    <w:rsid w:val="002332F8"/>
    <w:rsid w:val="00233EC1"/>
    <w:rsid w:val="00234F2C"/>
    <w:rsid w:val="00234F75"/>
    <w:rsid w:val="00235304"/>
    <w:rsid w:val="002360AD"/>
    <w:rsid w:val="00236A1D"/>
    <w:rsid w:val="0024036A"/>
    <w:rsid w:val="00240F4B"/>
    <w:rsid w:val="0024175A"/>
    <w:rsid w:val="00252A31"/>
    <w:rsid w:val="00253435"/>
    <w:rsid w:val="00254AAD"/>
    <w:rsid w:val="00255B3F"/>
    <w:rsid w:val="002575C5"/>
    <w:rsid w:val="00263AE8"/>
    <w:rsid w:val="00264D08"/>
    <w:rsid w:val="0026553D"/>
    <w:rsid w:val="002717EE"/>
    <w:rsid w:val="002718FC"/>
    <w:rsid w:val="00271A31"/>
    <w:rsid w:val="00271DF8"/>
    <w:rsid w:val="00271E44"/>
    <w:rsid w:val="00272603"/>
    <w:rsid w:val="0027312E"/>
    <w:rsid w:val="00273521"/>
    <w:rsid w:val="00273F1F"/>
    <w:rsid w:val="00274437"/>
    <w:rsid w:val="002800C1"/>
    <w:rsid w:val="00280422"/>
    <w:rsid w:val="002807CA"/>
    <w:rsid w:val="002839B5"/>
    <w:rsid w:val="002926D4"/>
    <w:rsid w:val="002950E4"/>
    <w:rsid w:val="00297A80"/>
    <w:rsid w:val="002A28F7"/>
    <w:rsid w:val="002A2F36"/>
    <w:rsid w:val="002A3153"/>
    <w:rsid w:val="002A4A4F"/>
    <w:rsid w:val="002A70C2"/>
    <w:rsid w:val="002B064D"/>
    <w:rsid w:val="002B173B"/>
    <w:rsid w:val="002B704B"/>
    <w:rsid w:val="002C36F5"/>
    <w:rsid w:val="002C3AA4"/>
    <w:rsid w:val="002C4A27"/>
    <w:rsid w:val="002C5E63"/>
    <w:rsid w:val="002D14B0"/>
    <w:rsid w:val="002D3515"/>
    <w:rsid w:val="002D3F75"/>
    <w:rsid w:val="002D6B10"/>
    <w:rsid w:val="002E463F"/>
    <w:rsid w:val="002E4E9A"/>
    <w:rsid w:val="002E508B"/>
    <w:rsid w:val="002E5F9F"/>
    <w:rsid w:val="002E7521"/>
    <w:rsid w:val="002E7849"/>
    <w:rsid w:val="002F0EB3"/>
    <w:rsid w:val="002F4702"/>
    <w:rsid w:val="002F6A3C"/>
    <w:rsid w:val="002F7128"/>
    <w:rsid w:val="00300B1D"/>
    <w:rsid w:val="00300F99"/>
    <w:rsid w:val="003011C2"/>
    <w:rsid w:val="00301A9B"/>
    <w:rsid w:val="00302497"/>
    <w:rsid w:val="00302BEE"/>
    <w:rsid w:val="00307015"/>
    <w:rsid w:val="00307157"/>
    <w:rsid w:val="003102C0"/>
    <w:rsid w:val="0031077A"/>
    <w:rsid w:val="00314F22"/>
    <w:rsid w:val="003162A1"/>
    <w:rsid w:val="00322AC3"/>
    <w:rsid w:val="00323769"/>
    <w:rsid w:val="00325DB4"/>
    <w:rsid w:val="003302B0"/>
    <w:rsid w:val="0033152F"/>
    <w:rsid w:val="0033287A"/>
    <w:rsid w:val="00332EFB"/>
    <w:rsid w:val="00335495"/>
    <w:rsid w:val="00335A99"/>
    <w:rsid w:val="00337A42"/>
    <w:rsid w:val="00337CA2"/>
    <w:rsid w:val="0034177C"/>
    <w:rsid w:val="00344CFB"/>
    <w:rsid w:val="00345E25"/>
    <w:rsid w:val="00351268"/>
    <w:rsid w:val="00351CE4"/>
    <w:rsid w:val="00353317"/>
    <w:rsid w:val="003534EF"/>
    <w:rsid w:val="00356239"/>
    <w:rsid w:val="0035780E"/>
    <w:rsid w:val="00357EBC"/>
    <w:rsid w:val="003609D0"/>
    <w:rsid w:val="00361752"/>
    <w:rsid w:val="00362CFF"/>
    <w:rsid w:val="003634DC"/>
    <w:rsid w:val="00371031"/>
    <w:rsid w:val="00372C39"/>
    <w:rsid w:val="00374981"/>
    <w:rsid w:val="003765E7"/>
    <w:rsid w:val="003810D8"/>
    <w:rsid w:val="003853A4"/>
    <w:rsid w:val="003859F5"/>
    <w:rsid w:val="00387982"/>
    <w:rsid w:val="0039099F"/>
    <w:rsid w:val="00392059"/>
    <w:rsid w:val="00395089"/>
    <w:rsid w:val="003952DA"/>
    <w:rsid w:val="003957D7"/>
    <w:rsid w:val="00396E22"/>
    <w:rsid w:val="003A1CC2"/>
    <w:rsid w:val="003A2064"/>
    <w:rsid w:val="003A4D3A"/>
    <w:rsid w:val="003A5160"/>
    <w:rsid w:val="003B09D4"/>
    <w:rsid w:val="003B5CDF"/>
    <w:rsid w:val="003B5E59"/>
    <w:rsid w:val="003B78DE"/>
    <w:rsid w:val="003B7C36"/>
    <w:rsid w:val="003C60B5"/>
    <w:rsid w:val="003C6D09"/>
    <w:rsid w:val="003D0B31"/>
    <w:rsid w:val="003D1EFE"/>
    <w:rsid w:val="003D2E79"/>
    <w:rsid w:val="003D75B3"/>
    <w:rsid w:val="003D7E9A"/>
    <w:rsid w:val="003E0FD9"/>
    <w:rsid w:val="003E1329"/>
    <w:rsid w:val="003E4D9E"/>
    <w:rsid w:val="003E5973"/>
    <w:rsid w:val="003E6E75"/>
    <w:rsid w:val="003F25FA"/>
    <w:rsid w:val="003F2D53"/>
    <w:rsid w:val="003F4572"/>
    <w:rsid w:val="003F776C"/>
    <w:rsid w:val="004033F9"/>
    <w:rsid w:val="004066AF"/>
    <w:rsid w:val="00411250"/>
    <w:rsid w:val="0041423A"/>
    <w:rsid w:val="004219C0"/>
    <w:rsid w:val="00423EBC"/>
    <w:rsid w:val="004242C5"/>
    <w:rsid w:val="00426323"/>
    <w:rsid w:val="00430B8D"/>
    <w:rsid w:val="004313A5"/>
    <w:rsid w:val="00432F73"/>
    <w:rsid w:val="004339FB"/>
    <w:rsid w:val="00434A62"/>
    <w:rsid w:val="00434EB1"/>
    <w:rsid w:val="00442622"/>
    <w:rsid w:val="0044369E"/>
    <w:rsid w:val="0044389E"/>
    <w:rsid w:val="00447EBA"/>
    <w:rsid w:val="004509BE"/>
    <w:rsid w:val="00451A00"/>
    <w:rsid w:val="00454ECF"/>
    <w:rsid w:val="004555E9"/>
    <w:rsid w:val="00456160"/>
    <w:rsid w:val="00456A0B"/>
    <w:rsid w:val="00463594"/>
    <w:rsid w:val="00467A54"/>
    <w:rsid w:val="0047019D"/>
    <w:rsid w:val="00470223"/>
    <w:rsid w:val="00471F14"/>
    <w:rsid w:val="00480AD5"/>
    <w:rsid w:val="004829D8"/>
    <w:rsid w:val="0048303F"/>
    <w:rsid w:val="00485A36"/>
    <w:rsid w:val="004866AD"/>
    <w:rsid w:val="00487DDD"/>
    <w:rsid w:val="004902EF"/>
    <w:rsid w:val="00492928"/>
    <w:rsid w:val="00492EC4"/>
    <w:rsid w:val="004939B3"/>
    <w:rsid w:val="00495AD2"/>
    <w:rsid w:val="004A00D1"/>
    <w:rsid w:val="004A03E6"/>
    <w:rsid w:val="004A4F48"/>
    <w:rsid w:val="004A5397"/>
    <w:rsid w:val="004A62E6"/>
    <w:rsid w:val="004A6FE6"/>
    <w:rsid w:val="004B18F4"/>
    <w:rsid w:val="004B4226"/>
    <w:rsid w:val="004C0657"/>
    <w:rsid w:val="004C153A"/>
    <w:rsid w:val="004C2E66"/>
    <w:rsid w:val="004C4C3E"/>
    <w:rsid w:val="004C5BD5"/>
    <w:rsid w:val="004C6E67"/>
    <w:rsid w:val="004C7A81"/>
    <w:rsid w:val="004D13A3"/>
    <w:rsid w:val="004E2FA4"/>
    <w:rsid w:val="004E3CA7"/>
    <w:rsid w:val="004E5B0B"/>
    <w:rsid w:val="004E5EEE"/>
    <w:rsid w:val="004E696F"/>
    <w:rsid w:val="004E6CD9"/>
    <w:rsid w:val="004F20E3"/>
    <w:rsid w:val="004F211A"/>
    <w:rsid w:val="004F3159"/>
    <w:rsid w:val="004F4AEF"/>
    <w:rsid w:val="004F5F77"/>
    <w:rsid w:val="004F6F00"/>
    <w:rsid w:val="00505263"/>
    <w:rsid w:val="00506A57"/>
    <w:rsid w:val="0050715D"/>
    <w:rsid w:val="00511CF0"/>
    <w:rsid w:val="00512AA5"/>
    <w:rsid w:val="00515793"/>
    <w:rsid w:val="005162CE"/>
    <w:rsid w:val="00522066"/>
    <w:rsid w:val="00523C3D"/>
    <w:rsid w:val="00524017"/>
    <w:rsid w:val="00527630"/>
    <w:rsid w:val="0053040F"/>
    <w:rsid w:val="00531C93"/>
    <w:rsid w:val="00535646"/>
    <w:rsid w:val="00535CC7"/>
    <w:rsid w:val="00536E0B"/>
    <w:rsid w:val="00537BCB"/>
    <w:rsid w:val="00540678"/>
    <w:rsid w:val="00541B28"/>
    <w:rsid w:val="00544673"/>
    <w:rsid w:val="005446D9"/>
    <w:rsid w:val="005504B8"/>
    <w:rsid w:val="005535E5"/>
    <w:rsid w:val="00560451"/>
    <w:rsid w:val="00561AB7"/>
    <w:rsid w:val="00565188"/>
    <w:rsid w:val="005711E9"/>
    <w:rsid w:val="005714C4"/>
    <w:rsid w:val="0057250B"/>
    <w:rsid w:val="00574294"/>
    <w:rsid w:val="005749C5"/>
    <w:rsid w:val="00574BB2"/>
    <w:rsid w:val="0057670A"/>
    <w:rsid w:val="00581372"/>
    <w:rsid w:val="00581D1A"/>
    <w:rsid w:val="00581D79"/>
    <w:rsid w:val="005871E6"/>
    <w:rsid w:val="0058795C"/>
    <w:rsid w:val="005905B1"/>
    <w:rsid w:val="005914F1"/>
    <w:rsid w:val="00593F7B"/>
    <w:rsid w:val="00594171"/>
    <w:rsid w:val="005A07FF"/>
    <w:rsid w:val="005A0E3A"/>
    <w:rsid w:val="005A12CA"/>
    <w:rsid w:val="005A1BCD"/>
    <w:rsid w:val="005A1BEC"/>
    <w:rsid w:val="005A37E9"/>
    <w:rsid w:val="005A4C96"/>
    <w:rsid w:val="005B110E"/>
    <w:rsid w:val="005B1937"/>
    <w:rsid w:val="005C0B41"/>
    <w:rsid w:val="005C1770"/>
    <w:rsid w:val="005C29A4"/>
    <w:rsid w:val="005C3DB7"/>
    <w:rsid w:val="005C571B"/>
    <w:rsid w:val="005C657D"/>
    <w:rsid w:val="005D0A21"/>
    <w:rsid w:val="005D2157"/>
    <w:rsid w:val="005D4C54"/>
    <w:rsid w:val="005D54A6"/>
    <w:rsid w:val="005E0835"/>
    <w:rsid w:val="005E083E"/>
    <w:rsid w:val="005E4B42"/>
    <w:rsid w:val="005E5AAB"/>
    <w:rsid w:val="005F107C"/>
    <w:rsid w:val="005F121F"/>
    <w:rsid w:val="005F1816"/>
    <w:rsid w:val="005F2479"/>
    <w:rsid w:val="005F3A66"/>
    <w:rsid w:val="005F6E7F"/>
    <w:rsid w:val="005F7CF0"/>
    <w:rsid w:val="00600ED5"/>
    <w:rsid w:val="00602F5A"/>
    <w:rsid w:val="00604C76"/>
    <w:rsid w:val="0060702F"/>
    <w:rsid w:val="00607114"/>
    <w:rsid w:val="00607C9F"/>
    <w:rsid w:val="006108B3"/>
    <w:rsid w:val="00611687"/>
    <w:rsid w:val="006171FD"/>
    <w:rsid w:val="00620765"/>
    <w:rsid w:val="006207AE"/>
    <w:rsid w:val="006237FB"/>
    <w:rsid w:val="00624FD4"/>
    <w:rsid w:val="00631F8A"/>
    <w:rsid w:val="00633A35"/>
    <w:rsid w:val="00635D57"/>
    <w:rsid w:val="00637B85"/>
    <w:rsid w:val="006415C3"/>
    <w:rsid w:val="006418B2"/>
    <w:rsid w:val="00642056"/>
    <w:rsid w:val="00642404"/>
    <w:rsid w:val="0064472F"/>
    <w:rsid w:val="0064616F"/>
    <w:rsid w:val="00647EFA"/>
    <w:rsid w:val="00652101"/>
    <w:rsid w:val="00652973"/>
    <w:rsid w:val="0065492C"/>
    <w:rsid w:val="006558CA"/>
    <w:rsid w:val="006606F5"/>
    <w:rsid w:val="00661B91"/>
    <w:rsid w:val="00664658"/>
    <w:rsid w:val="00666BB7"/>
    <w:rsid w:val="0067185E"/>
    <w:rsid w:val="00671D5B"/>
    <w:rsid w:val="0067407F"/>
    <w:rsid w:val="00674A4B"/>
    <w:rsid w:val="00675498"/>
    <w:rsid w:val="006755B4"/>
    <w:rsid w:val="006759C4"/>
    <w:rsid w:val="006775FA"/>
    <w:rsid w:val="0068295C"/>
    <w:rsid w:val="0068544D"/>
    <w:rsid w:val="00687402"/>
    <w:rsid w:val="00693832"/>
    <w:rsid w:val="00693BA7"/>
    <w:rsid w:val="00694EA9"/>
    <w:rsid w:val="00695D08"/>
    <w:rsid w:val="006A1762"/>
    <w:rsid w:val="006A27AA"/>
    <w:rsid w:val="006A2EB6"/>
    <w:rsid w:val="006A2FDF"/>
    <w:rsid w:val="006A3602"/>
    <w:rsid w:val="006A430F"/>
    <w:rsid w:val="006A62E1"/>
    <w:rsid w:val="006B0845"/>
    <w:rsid w:val="006B1F9F"/>
    <w:rsid w:val="006B301E"/>
    <w:rsid w:val="006B7729"/>
    <w:rsid w:val="006C05FE"/>
    <w:rsid w:val="006C126C"/>
    <w:rsid w:val="006C1320"/>
    <w:rsid w:val="006C1B29"/>
    <w:rsid w:val="006C1B48"/>
    <w:rsid w:val="006C37B5"/>
    <w:rsid w:val="006C382D"/>
    <w:rsid w:val="006C51F2"/>
    <w:rsid w:val="006D1162"/>
    <w:rsid w:val="006D20E8"/>
    <w:rsid w:val="006D6DC1"/>
    <w:rsid w:val="006E18B9"/>
    <w:rsid w:val="006E2F5A"/>
    <w:rsid w:val="006E3597"/>
    <w:rsid w:val="006E49D2"/>
    <w:rsid w:val="006E7F39"/>
    <w:rsid w:val="006F1F96"/>
    <w:rsid w:val="006F2D8A"/>
    <w:rsid w:val="006F335B"/>
    <w:rsid w:val="006F4420"/>
    <w:rsid w:val="006F4B73"/>
    <w:rsid w:val="006F4DBA"/>
    <w:rsid w:val="006F5763"/>
    <w:rsid w:val="00700B01"/>
    <w:rsid w:val="00702EBF"/>
    <w:rsid w:val="00704951"/>
    <w:rsid w:val="0070771A"/>
    <w:rsid w:val="0071096B"/>
    <w:rsid w:val="00713414"/>
    <w:rsid w:val="00713977"/>
    <w:rsid w:val="0071500D"/>
    <w:rsid w:val="007172F8"/>
    <w:rsid w:val="0071756D"/>
    <w:rsid w:val="00722565"/>
    <w:rsid w:val="00722FB7"/>
    <w:rsid w:val="007247E6"/>
    <w:rsid w:val="00724BE2"/>
    <w:rsid w:val="00725605"/>
    <w:rsid w:val="00730350"/>
    <w:rsid w:val="0073038E"/>
    <w:rsid w:val="0073095E"/>
    <w:rsid w:val="00732789"/>
    <w:rsid w:val="0073516C"/>
    <w:rsid w:val="007403F5"/>
    <w:rsid w:val="007426B3"/>
    <w:rsid w:val="00742A6E"/>
    <w:rsid w:val="00743353"/>
    <w:rsid w:val="00743AF8"/>
    <w:rsid w:val="0075096B"/>
    <w:rsid w:val="00751648"/>
    <w:rsid w:val="007522D0"/>
    <w:rsid w:val="0075376D"/>
    <w:rsid w:val="00755657"/>
    <w:rsid w:val="0076231A"/>
    <w:rsid w:val="0076265D"/>
    <w:rsid w:val="00764D03"/>
    <w:rsid w:val="00770489"/>
    <w:rsid w:val="0077066F"/>
    <w:rsid w:val="00771395"/>
    <w:rsid w:val="00771F91"/>
    <w:rsid w:val="007722CC"/>
    <w:rsid w:val="007725E8"/>
    <w:rsid w:val="00772B4F"/>
    <w:rsid w:val="00774213"/>
    <w:rsid w:val="00774F55"/>
    <w:rsid w:val="00775A61"/>
    <w:rsid w:val="00775D8A"/>
    <w:rsid w:val="00776543"/>
    <w:rsid w:val="0077659E"/>
    <w:rsid w:val="00777AD4"/>
    <w:rsid w:val="00777DEF"/>
    <w:rsid w:val="00777F12"/>
    <w:rsid w:val="00780950"/>
    <w:rsid w:val="007809EF"/>
    <w:rsid w:val="00783D2C"/>
    <w:rsid w:val="007859E5"/>
    <w:rsid w:val="00786F92"/>
    <w:rsid w:val="00790906"/>
    <w:rsid w:val="00791872"/>
    <w:rsid w:val="007922DC"/>
    <w:rsid w:val="00792814"/>
    <w:rsid w:val="007932A3"/>
    <w:rsid w:val="00793D0A"/>
    <w:rsid w:val="00794F29"/>
    <w:rsid w:val="00796B6B"/>
    <w:rsid w:val="007A0622"/>
    <w:rsid w:val="007A1130"/>
    <w:rsid w:val="007A1F4D"/>
    <w:rsid w:val="007A2250"/>
    <w:rsid w:val="007A2E96"/>
    <w:rsid w:val="007A31C4"/>
    <w:rsid w:val="007A4321"/>
    <w:rsid w:val="007A54CC"/>
    <w:rsid w:val="007A5759"/>
    <w:rsid w:val="007B64D9"/>
    <w:rsid w:val="007B67A8"/>
    <w:rsid w:val="007C15FD"/>
    <w:rsid w:val="007C232D"/>
    <w:rsid w:val="007C2370"/>
    <w:rsid w:val="007C41A5"/>
    <w:rsid w:val="007C4246"/>
    <w:rsid w:val="007C7B9E"/>
    <w:rsid w:val="007D080B"/>
    <w:rsid w:val="007D139B"/>
    <w:rsid w:val="007D1A75"/>
    <w:rsid w:val="007E1BC4"/>
    <w:rsid w:val="007E1D73"/>
    <w:rsid w:val="007E58E4"/>
    <w:rsid w:val="007F00EC"/>
    <w:rsid w:val="007F0474"/>
    <w:rsid w:val="007F20DD"/>
    <w:rsid w:val="007F427D"/>
    <w:rsid w:val="007F7FDE"/>
    <w:rsid w:val="00801F5B"/>
    <w:rsid w:val="008032F6"/>
    <w:rsid w:val="00804276"/>
    <w:rsid w:val="008057CA"/>
    <w:rsid w:val="00806AFD"/>
    <w:rsid w:val="0080766C"/>
    <w:rsid w:val="00811312"/>
    <w:rsid w:val="00811B95"/>
    <w:rsid w:val="00816E77"/>
    <w:rsid w:val="00816FC6"/>
    <w:rsid w:val="00820904"/>
    <w:rsid w:val="00821A4B"/>
    <w:rsid w:val="00821BBB"/>
    <w:rsid w:val="00822172"/>
    <w:rsid w:val="00823DE2"/>
    <w:rsid w:val="00831263"/>
    <w:rsid w:val="00831DB7"/>
    <w:rsid w:val="00832EBF"/>
    <w:rsid w:val="008366CB"/>
    <w:rsid w:val="00837F3A"/>
    <w:rsid w:val="008407ED"/>
    <w:rsid w:val="00840831"/>
    <w:rsid w:val="00841CD7"/>
    <w:rsid w:val="008420B8"/>
    <w:rsid w:val="00842E76"/>
    <w:rsid w:val="008508F4"/>
    <w:rsid w:val="0085220A"/>
    <w:rsid w:val="008524B5"/>
    <w:rsid w:val="00852564"/>
    <w:rsid w:val="0085503E"/>
    <w:rsid w:val="00856727"/>
    <w:rsid w:val="00857324"/>
    <w:rsid w:val="00857BD8"/>
    <w:rsid w:val="008620F3"/>
    <w:rsid w:val="008621F6"/>
    <w:rsid w:val="00866257"/>
    <w:rsid w:val="008715CC"/>
    <w:rsid w:val="00871A3B"/>
    <w:rsid w:val="00874C40"/>
    <w:rsid w:val="00874F24"/>
    <w:rsid w:val="008752A6"/>
    <w:rsid w:val="00876230"/>
    <w:rsid w:val="008765AF"/>
    <w:rsid w:val="008770A6"/>
    <w:rsid w:val="00877C80"/>
    <w:rsid w:val="00877D5B"/>
    <w:rsid w:val="00880F50"/>
    <w:rsid w:val="0088122F"/>
    <w:rsid w:val="008833CA"/>
    <w:rsid w:val="008843DE"/>
    <w:rsid w:val="00884E08"/>
    <w:rsid w:val="008868AD"/>
    <w:rsid w:val="00886B1E"/>
    <w:rsid w:val="00887BE9"/>
    <w:rsid w:val="008975A3"/>
    <w:rsid w:val="008A2141"/>
    <w:rsid w:val="008A460D"/>
    <w:rsid w:val="008A4CD5"/>
    <w:rsid w:val="008A5215"/>
    <w:rsid w:val="008A5E6D"/>
    <w:rsid w:val="008A644A"/>
    <w:rsid w:val="008B05BD"/>
    <w:rsid w:val="008B0C03"/>
    <w:rsid w:val="008B0DD1"/>
    <w:rsid w:val="008B0EAA"/>
    <w:rsid w:val="008B0F89"/>
    <w:rsid w:val="008B4256"/>
    <w:rsid w:val="008B427B"/>
    <w:rsid w:val="008B6009"/>
    <w:rsid w:val="008B618F"/>
    <w:rsid w:val="008B6472"/>
    <w:rsid w:val="008B69E4"/>
    <w:rsid w:val="008B78AA"/>
    <w:rsid w:val="008C055E"/>
    <w:rsid w:val="008C0C62"/>
    <w:rsid w:val="008C148F"/>
    <w:rsid w:val="008C6DC2"/>
    <w:rsid w:val="008D1081"/>
    <w:rsid w:val="008D15AA"/>
    <w:rsid w:val="008D15C6"/>
    <w:rsid w:val="008D1D53"/>
    <w:rsid w:val="008D4BFE"/>
    <w:rsid w:val="008D6968"/>
    <w:rsid w:val="008E3F07"/>
    <w:rsid w:val="008E5F36"/>
    <w:rsid w:val="008F0C14"/>
    <w:rsid w:val="008F15D4"/>
    <w:rsid w:val="008F1B1C"/>
    <w:rsid w:val="008F2757"/>
    <w:rsid w:val="008F2E4F"/>
    <w:rsid w:val="008F3E9A"/>
    <w:rsid w:val="008F4DE6"/>
    <w:rsid w:val="008F7436"/>
    <w:rsid w:val="00901C77"/>
    <w:rsid w:val="00903710"/>
    <w:rsid w:val="00903EA9"/>
    <w:rsid w:val="00903ED6"/>
    <w:rsid w:val="009055E4"/>
    <w:rsid w:val="00917E9C"/>
    <w:rsid w:val="00927127"/>
    <w:rsid w:val="00931CD1"/>
    <w:rsid w:val="00932924"/>
    <w:rsid w:val="00935AF7"/>
    <w:rsid w:val="009363CE"/>
    <w:rsid w:val="00945470"/>
    <w:rsid w:val="00946009"/>
    <w:rsid w:val="00947EFB"/>
    <w:rsid w:val="00950330"/>
    <w:rsid w:val="00951118"/>
    <w:rsid w:val="00951C56"/>
    <w:rsid w:val="00952AB1"/>
    <w:rsid w:val="00954C30"/>
    <w:rsid w:val="0095599F"/>
    <w:rsid w:val="00956057"/>
    <w:rsid w:val="009560C8"/>
    <w:rsid w:val="00956926"/>
    <w:rsid w:val="00956A0E"/>
    <w:rsid w:val="00957312"/>
    <w:rsid w:val="0096424B"/>
    <w:rsid w:val="00970BA8"/>
    <w:rsid w:val="009712AB"/>
    <w:rsid w:val="009716FB"/>
    <w:rsid w:val="00971CCF"/>
    <w:rsid w:val="00973D04"/>
    <w:rsid w:val="00975099"/>
    <w:rsid w:val="00975151"/>
    <w:rsid w:val="0098373C"/>
    <w:rsid w:val="0098601F"/>
    <w:rsid w:val="0098651B"/>
    <w:rsid w:val="0099115D"/>
    <w:rsid w:val="00992F04"/>
    <w:rsid w:val="00994196"/>
    <w:rsid w:val="0099510D"/>
    <w:rsid w:val="009977E8"/>
    <w:rsid w:val="009A1267"/>
    <w:rsid w:val="009A21B7"/>
    <w:rsid w:val="009A386C"/>
    <w:rsid w:val="009A3B01"/>
    <w:rsid w:val="009A6B18"/>
    <w:rsid w:val="009B18DA"/>
    <w:rsid w:val="009B32FA"/>
    <w:rsid w:val="009B5217"/>
    <w:rsid w:val="009B71C4"/>
    <w:rsid w:val="009B765F"/>
    <w:rsid w:val="009B7B40"/>
    <w:rsid w:val="009C125A"/>
    <w:rsid w:val="009C21C4"/>
    <w:rsid w:val="009C73CF"/>
    <w:rsid w:val="009D12AF"/>
    <w:rsid w:val="009D2658"/>
    <w:rsid w:val="009D329F"/>
    <w:rsid w:val="009D57FB"/>
    <w:rsid w:val="009D5F8B"/>
    <w:rsid w:val="009D67B3"/>
    <w:rsid w:val="009E00AE"/>
    <w:rsid w:val="009E09D3"/>
    <w:rsid w:val="009E15F7"/>
    <w:rsid w:val="009E1EF9"/>
    <w:rsid w:val="009E315F"/>
    <w:rsid w:val="009E4071"/>
    <w:rsid w:val="009E6E74"/>
    <w:rsid w:val="009F18A0"/>
    <w:rsid w:val="009F2349"/>
    <w:rsid w:val="009F599E"/>
    <w:rsid w:val="009F6541"/>
    <w:rsid w:val="009F6C37"/>
    <w:rsid w:val="009F72D8"/>
    <w:rsid w:val="00A000BA"/>
    <w:rsid w:val="00A00DB5"/>
    <w:rsid w:val="00A01448"/>
    <w:rsid w:val="00A039F4"/>
    <w:rsid w:val="00A07D10"/>
    <w:rsid w:val="00A11DAD"/>
    <w:rsid w:val="00A13C14"/>
    <w:rsid w:val="00A13E64"/>
    <w:rsid w:val="00A172BB"/>
    <w:rsid w:val="00A21472"/>
    <w:rsid w:val="00A22522"/>
    <w:rsid w:val="00A2420B"/>
    <w:rsid w:val="00A24333"/>
    <w:rsid w:val="00A2545F"/>
    <w:rsid w:val="00A26D3D"/>
    <w:rsid w:val="00A26E15"/>
    <w:rsid w:val="00A302AA"/>
    <w:rsid w:val="00A30BA1"/>
    <w:rsid w:val="00A314E8"/>
    <w:rsid w:val="00A31724"/>
    <w:rsid w:val="00A31FCE"/>
    <w:rsid w:val="00A37DEE"/>
    <w:rsid w:val="00A40E2E"/>
    <w:rsid w:val="00A433AD"/>
    <w:rsid w:val="00A433C3"/>
    <w:rsid w:val="00A445DA"/>
    <w:rsid w:val="00A515F6"/>
    <w:rsid w:val="00A51737"/>
    <w:rsid w:val="00A54BB7"/>
    <w:rsid w:val="00A557BA"/>
    <w:rsid w:val="00A5643A"/>
    <w:rsid w:val="00A5723C"/>
    <w:rsid w:val="00A61A60"/>
    <w:rsid w:val="00A628EC"/>
    <w:rsid w:val="00A64547"/>
    <w:rsid w:val="00A6604E"/>
    <w:rsid w:val="00A70386"/>
    <w:rsid w:val="00A707A4"/>
    <w:rsid w:val="00A7274B"/>
    <w:rsid w:val="00A73749"/>
    <w:rsid w:val="00A73B39"/>
    <w:rsid w:val="00A73FB8"/>
    <w:rsid w:val="00A763CB"/>
    <w:rsid w:val="00A801D1"/>
    <w:rsid w:val="00A81018"/>
    <w:rsid w:val="00A81F69"/>
    <w:rsid w:val="00A83F87"/>
    <w:rsid w:val="00A86DA0"/>
    <w:rsid w:val="00A87B05"/>
    <w:rsid w:val="00A9040A"/>
    <w:rsid w:val="00A9163B"/>
    <w:rsid w:val="00A93813"/>
    <w:rsid w:val="00AA0D01"/>
    <w:rsid w:val="00AA1E6F"/>
    <w:rsid w:val="00AA3484"/>
    <w:rsid w:val="00AA3FEE"/>
    <w:rsid w:val="00AA474E"/>
    <w:rsid w:val="00AA52EC"/>
    <w:rsid w:val="00AA7E7B"/>
    <w:rsid w:val="00AB2B27"/>
    <w:rsid w:val="00AB42A6"/>
    <w:rsid w:val="00AB6ACD"/>
    <w:rsid w:val="00AB6D0F"/>
    <w:rsid w:val="00AB7858"/>
    <w:rsid w:val="00AB7C44"/>
    <w:rsid w:val="00AC1362"/>
    <w:rsid w:val="00AC448B"/>
    <w:rsid w:val="00AC61A6"/>
    <w:rsid w:val="00AC68B7"/>
    <w:rsid w:val="00AD1D1A"/>
    <w:rsid w:val="00AD1DD2"/>
    <w:rsid w:val="00AD2062"/>
    <w:rsid w:val="00AD2F1D"/>
    <w:rsid w:val="00AD4C59"/>
    <w:rsid w:val="00AD5614"/>
    <w:rsid w:val="00AD59B8"/>
    <w:rsid w:val="00AD5EFA"/>
    <w:rsid w:val="00AD5F36"/>
    <w:rsid w:val="00AD6A78"/>
    <w:rsid w:val="00AD7CF2"/>
    <w:rsid w:val="00AE1E46"/>
    <w:rsid w:val="00AE4AA0"/>
    <w:rsid w:val="00AE5FBA"/>
    <w:rsid w:val="00AE69C7"/>
    <w:rsid w:val="00AE794D"/>
    <w:rsid w:val="00AF04C6"/>
    <w:rsid w:val="00AF0989"/>
    <w:rsid w:val="00AF2154"/>
    <w:rsid w:val="00AF40BB"/>
    <w:rsid w:val="00AF49BB"/>
    <w:rsid w:val="00AF57C3"/>
    <w:rsid w:val="00AF785C"/>
    <w:rsid w:val="00B0408C"/>
    <w:rsid w:val="00B0651E"/>
    <w:rsid w:val="00B102A7"/>
    <w:rsid w:val="00B10530"/>
    <w:rsid w:val="00B136F6"/>
    <w:rsid w:val="00B13C99"/>
    <w:rsid w:val="00B17729"/>
    <w:rsid w:val="00B25C67"/>
    <w:rsid w:val="00B316BD"/>
    <w:rsid w:val="00B3498C"/>
    <w:rsid w:val="00B35B72"/>
    <w:rsid w:val="00B3638B"/>
    <w:rsid w:val="00B36776"/>
    <w:rsid w:val="00B37FA8"/>
    <w:rsid w:val="00B42963"/>
    <w:rsid w:val="00B43CAD"/>
    <w:rsid w:val="00B44A90"/>
    <w:rsid w:val="00B46D6C"/>
    <w:rsid w:val="00B518BC"/>
    <w:rsid w:val="00B52846"/>
    <w:rsid w:val="00B5488D"/>
    <w:rsid w:val="00B55A49"/>
    <w:rsid w:val="00B60DB3"/>
    <w:rsid w:val="00B61CE6"/>
    <w:rsid w:val="00B632E9"/>
    <w:rsid w:val="00B675AC"/>
    <w:rsid w:val="00B67F76"/>
    <w:rsid w:val="00B70EFF"/>
    <w:rsid w:val="00B7159B"/>
    <w:rsid w:val="00B7169E"/>
    <w:rsid w:val="00B72D0F"/>
    <w:rsid w:val="00B72E3C"/>
    <w:rsid w:val="00B7532F"/>
    <w:rsid w:val="00B7558C"/>
    <w:rsid w:val="00B809FC"/>
    <w:rsid w:val="00B811F0"/>
    <w:rsid w:val="00B82AAA"/>
    <w:rsid w:val="00B84F2E"/>
    <w:rsid w:val="00B9194F"/>
    <w:rsid w:val="00B91B0E"/>
    <w:rsid w:val="00B9277E"/>
    <w:rsid w:val="00B92828"/>
    <w:rsid w:val="00B931BA"/>
    <w:rsid w:val="00BA003B"/>
    <w:rsid w:val="00BA5870"/>
    <w:rsid w:val="00BA7207"/>
    <w:rsid w:val="00BB05E2"/>
    <w:rsid w:val="00BB0DF3"/>
    <w:rsid w:val="00BB1191"/>
    <w:rsid w:val="00BB22B8"/>
    <w:rsid w:val="00BC16A7"/>
    <w:rsid w:val="00BC18BF"/>
    <w:rsid w:val="00BC47DE"/>
    <w:rsid w:val="00BC50BB"/>
    <w:rsid w:val="00BC5341"/>
    <w:rsid w:val="00BD03F3"/>
    <w:rsid w:val="00BD1111"/>
    <w:rsid w:val="00BD15BF"/>
    <w:rsid w:val="00BD26B6"/>
    <w:rsid w:val="00BD42E3"/>
    <w:rsid w:val="00BE01C6"/>
    <w:rsid w:val="00BE15DB"/>
    <w:rsid w:val="00BE24F0"/>
    <w:rsid w:val="00BE480A"/>
    <w:rsid w:val="00BE4DAC"/>
    <w:rsid w:val="00BE4E70"/>
    <w:rsid w:val="00BE5FB1"/>
    <w:rsid w:val="00BF13F8"/>
    <w:rsid w:val="00BF2A8A"/>
    <w:rsid w:val="00BF39F6"/>
    <w:rsid w:val="00BF3FC7"/>
    <w:rsid w:val="00BF463B"/>
    <w:rsid w:val="00BF4C1B"/>
    <w:rsid w:val="00BF5353"/>
    <w:rsid w:val="00BF5AD6"/>
    <w:rsid w:val="00BF77DE"/>
    <w:rsid w:val="00C01764"/>
    <w:rsid w:val="00C01CFF"/>
    <w:rsid w:val="00C025A2"/>
    <w:rsid w:val="00C0268F"/>
    <w:rsid w:val="00C04FCF"/>
    <w:rsid w:val="00C0612E"/>
    <w:rsid w:val="00C10AE4"/>
    <w:rsid w:val="00C1149F"/>
    <w:rsid w:val="00C13669"/>
    <w:rsid w:val="00C15B78"/>
    <w:rsid w:val="00C2207B"/>
    <w:rsid w:val="00C24934"/>
    <w:rsid w:val="00C24B38"/>
    <w:rsid w:val="00C2510F"/>
    <w:rsid w:val="00C253FE"/>
    <w:rsid w:val="00C26258"/>
    <w:rsid w:val="00C26AE0"/>
    <w:rsid w:val="00C31239"/>
    <w:rsid w:val="00C36F2B"/>
    <w:rsid w:val="00C40ADA"/>
    <w:rsid w:val="00C41EE3"/>
    <w:rsid w:val="00C435B1"/>
    <w:rsid w:val="00C4529C"/>
    <w:rsid w:val="00C46129"/>
    <w:rsid w:val="00C4643B"/>
    <w:rsid w:val="00C50422"/>
    <w:rsid w:val="00C52561"/>
    <w:rsid w:val="00C529E8"/>
    <w:rsid w:val="00C56A1A"/>
    <w:rsid w:val="00C57600"/>
    <w:rsid w:val="00C57D61"/>
    <w:rsid w:val="00C6013F"/>
    <w:rsid w:val="00C6279E"/>
    <w:rsid w:val="00C636C3"/>
    <w:rsid w:val="00C64BCC"/>
    <w:rsid w:val="00C67ABF"/>
    <w:rsid w:val="00C71561"/>
    <w:rsid w:val="00C71F85"/>
    <w:rsid w:val="00C74351"/>
    <w:rsid w:val="00C75467"/>
    <w:rsid w:val="00C76E84"/>
    <w:rsid w:val="00C76F94"/>
    <w:rsid w:val="00C771D2"/>
    <w:rsid w:val="00C8124F"/>
    <w:rsid w:val="00C81513"/>
    <w:rsid w:val="00C84637"/>
    <w:rsid w:val="00C853E3"/>
    <w:rsid w:val="00C90C4F"/>
    <w:rsid w:val="00C910AF"/>
    <w:rsid w:val="00C916B2"/>
    <w:rsid w:val="00C92AD3"/>
    <w:rsid w:val="00C93678"/>
    <w:rsid w:val="00C9477E"/>
    <w:rsid w:val="00C95F67"/>
    <w:rsid w:val="00CA1009"/>
    <w:rsid w:val="00CA126C"/>
    <w:rsid w:val="00CA30B4"/>
    <w:rsid w:val="00CA3B8A"/>
    <w:rsid w:val="00CA43DE"/>
    <w:rsid w:val="00CA5187"/>
    <w:rsid w:val="00CA72FC"/>
    <w:rsid w:val="00CA7D6F"/>
    <w:rsid w:val="00CB11B7"/>
    <w:rsid w:val="00CB22A0"/>
    <w:rsid w:val="00CB56F5"/>
    <w:rsid w:val="00CB6E04"/>
    <w:rsid w:val="00CB78E8"/>
    <w:rsid w:val="00CC08A7"/>
    <w:rsid w:val="00CC18C6"/>
    <w:rsid w:val="00CC2512"/>
    <w:rsid w:val="00CC2959"/>
    <w:rsid w:val="00CC4826"/>
    <w:rsid w:val="00CC547F"/>
    <w:rsid w:val="00CD1151"/>
    <w:rsid w:val="00CD1870"/>
    <w:rsid w:val="00CD428E"/>
    <w:rsid w:val="00CD5D21"/>
    <w:rsid w:val="00CD63E2"/>
    <w:rsid w:val="00CD7710"/>
    <w:rsid w:val="00CE0BCA"/>
    <w:rsid w:val="00CE2E02"/>
    <w:rsid w:val="00CE4470"/>
    <w:rsid w:val="00CE7906"/>
    <w:rsid w:val="00CF0E19"/>
    <w:rsid w:val="00CF23F9"/>
    <w:rsid w:val="00CF322C"/>
    <w:rsid w:val="00CF3C79"/>
    <w:rsid w:val="00CF4A3F"/>
    <w:rsid w:val="00CF74B5"/>
    <w:rsid w:val="00CF7E27"/>
    <w:rsid w:val="00D0057B"/>
    <w:rsid w:val="00D00C3A"/>
    <w:rsid w:val="00D01ADC"/>
    <w:rsid w:val="00D02642"/>
    <w:rsid w:val="00D05E1F"/>
    <w:rsid w:val="00D0660C"/>
    <w:rsid w:val="00D11F20"/>
    <w:rsid w:val="00D13E96"/>
    <w:rsid w:val="00D14196"/>
    <w:rsid w:val="00D155D9"/>
    <w:rsid w:val="00D17069"/>
    <w:rsid w:val="00D21E9C"/>
    <w:rsid w:val="00D23EE0"/>
    <w:rsid w:val="00D25DD6"/>
    <w:rsid w:val="00D26C73"/>
    <w:rsid w:val="00D27D9B"/>
    <w:rsid w:val="00D32D52"/>
    <w:rsid w:val="00D33948"/>
    <w:rsid w:val="00D376DB"/>
    <w:rsid w:val="00D40AC0"/>
    <w:rsid w:val="00D40DE9"/>
    <w:rsid w:val="00D41212"/>
    <w:rsid w:val="00D41A15"/>
    <w:rsid w:val="00D425D6"/>
    <w:rsid w:val="00D42B45"/>
    <w:rsid w:val="00D46913"/>
    <w:rsid w:val="00D46EF1"/>
    <w:rsid w:val="00D47B29"/>
    <w:rsid w:val="00D47C1E"/>
    <w:rsid w:val="00D503E4"/>
    <w:rsid w:val="00D5082C"/>
    <w:rsid w:val="00D56813"/>
    <w:rsid w:val="00D57977"/>
    <w:rsid w:val="00D660A1"/>
    <w:rsid w:val="00D7209C"/>
    <w:rsid w:val="00D73F26"/>
    <w:rsid w:val="00D75DF3"/>
    <w:rsid w:val="00D8061C"/>
    <w:rsid w:val="00D807FE"/>
    <w:rsid w:val="00D81EFA"/>
    <w:rsid w:val="00D8262F"/>
    <w:rsid w:val="00D8668B"/>
    <w:rsid w:val="00D871EE"/>
    <w:rsid w:val="00D90F19"/>
    <w:rsid w:val="00D92274"/>
    <w:rsid w:val="00D94339"/>
    <w:rsid w:val="00D9707F"/>
    <w:rsid w:val="00DA1F8E"/>
    <w:rsid w:val="00DA4C85"/>
    <w:rsid w:val="00DA57A4"/>
    <w:rsid w:val="00DB0D07"/>
    <w:rsid w:val="00DB54AF"/>
    <w:rsid w:val="00DB5D07"/>
    <w:rsid w:val="00DC085F"/>
    <w:rsid w:val="00DC39E8"/>
    <w:rsid w:val="00DC4F22"/>
    <w:rsid w:val="00DC57B1"/>
    <w:rsid w:val="00DC6C39"/>
    <w:rsid w:val="00DC7DEF"/>
    <w:rsid w:val="00DD27E3"/>
    <w:rsid w:val="00DD2B15"/>
    <w:rsid w:val="00DD3A4E"/>
    <w:rsid w:val="00DD51B7"/>
    <w:rsid w:val="00DD5341"/>
    <w:rsid w:val="00DD5F80"/>
    <w:rsid w:val="00DD6502"/>
    <w:rsid w:val="00DD788A"/>
    <w:rsid w:val="00DE138B"/>
    <w:rsid w:val="00DE2205"/>
    <w:rsid w:val="00DE4E1B"/>
    <w:rsid w:val="00DE5E61"/>
    <w:rsid w:val="00DE6998"/>
    <w:rsid w:val="00DF0054"/>
    <w:rsid w:val="00DF1572"/>
    <w:rsid w:val="00DF209F"/>
    <w:rsid w:val="00DF3309"/>
    <w:rsid w:val="00DF4BFB"/>
    <w:rsid w:val="00DF4DD7"/>
    <w:rsid w:val="00DF5124"/>
    <w:rsid w:val="00DF7F39"/>
    <w:rsid w:val="00E00F79"/>
    <w:rsid w:val="00E01A9C"/>
    <w:rsid w:val="00E10BCB"/>
    <w:rsid w:val="00E1167C"/>
    <w:rsid w:val="00E1447E"/>
    <w:rsid w:val="00E1610C"/>
    <w:rsid w:val="00E1702C"/>
    <w:rsid w:val="00E2125B"/>
    <w:rsid w:val="00E22CC7"/>
    <w:rsid w:val="00E22EE8"/>
    <w:rsid w:val="00E23ABB"/>
    <w:rsid w:val="00E23E99"/>
    <w:rsid w:val="00E26BED"/>
    <w:rsid w:val="00E27B19"/>
    <w:rsid w:val="00E3093A"/>
    <w:rsid w:val="00E31ACB"/>
    <w:rsid w:val="00E33078"/>
    <w:rsid w:val="00E335AB"/>
    <w:rsid w:val="00E33AB6"/>
    <w:rsid w:val="00E4012C"/>
    <w:rsid w:val="00E42A8F"/>
    <w:rsid w:val="00E43A21"/>
    <w:rsid w:val="00E4415C"/>
    <w:rsid w:val="00E449EC"/>
    <w:rsid w:val="00E57463"/>
    <w:rsid w:val="00E61D18"/>
    <w:rsid w:val="00E626B4"/>
    <w:rsid w:val="00E6485B"/>
    <w:rsid w:val="00E70C9A"/>
    <w:rsid w:val="00E70EED"/>
    <w:rsid w:val="00E741D5"/>
    <w:rsid w:val="00E74474"/>
    <w:rsid w:val="00E77F68"/>
    <w:rsid w:val="00E80A96"/>
    <w:rsid w:val="00E814B0"/>
    <w:rsid w:val="00E82C09"/>
    <w:rsid w:val="00E8497E"/>
    <w:rsid w:val="00E8776D"/>
    <w:rsid w:val="00E87910"/>
    <w:rsid w:val="00E87A6A"/>
    <w:rsid w:val="00E91658"/>
    <w:rsid w:val="00E9232A"/>
    <w:rsid w:val="00E93420"/>
    <w:rsid w:val="00E951E8"/>
    <w:rsid w:val="00EA4D1B"/>
    <w:rsid w:val="00EA4DF7"/>
    <w:rsid w:val="00EA4F94"/>
    <w:rsid w:val="00EA7BEB"/>
    <w:rsid w:val="00EB1D11"/>
    <w:rsid w:val="00EB2156"/>
    <w:rsid w:val="00EB5926"/>
    <w:rsid w:val="00EC04DB"/>
    <w:rsid w:val="00EC3821"/>
    <w:rsid w:val="00EC456B"/>
    <w:rsid w:val="00EC5E7A"/>
    <w:rsid w:val="00EC66E2"/>
    <w:rsid w:val="00EC7202"/>
    <w:rsid w:val="00EC7A70"/>
    <w:rsid w:val="00EC7D6A"/>
    <w:rsid w:val="00ED3D05"/>
    <w:rsid w:val="00ED445F"/>
    <w:rsid w:val="00ED5D55"/>
    <w:rsid w:val="00ED781A"/>
    <w:rsid w:val="00EE15CE"/>
    <w:rsid w:val="00EE64AE"/>
    <w:rsid w:val="00EF278B"/>
    <w:rsid w:val="00EF2BA7"/>
    <w:rsid w:val="00EF48AD"/>
    <w:rsid w:val="00EF6FAC"/>
    <w:rsid w:val="00F004AC"/>
    <w:rsid w:val="00F028A4"/>
    <w:rsid w:val="00F04763"/>
    <w:rsid w:val="00F06445"/>
    <w:rsid w:val="00F06679"/>
    <w:rsid w:val="00F07114"/>
    <w:rsid w:val="00F11610"/>
    <w:rsid w:val="00F13E1E"/>
    <w:rsid w:val="00F15AD2"/>
    <w:rsid w:val="00F15F6D"/>
    <w:rsid w:val="00F206A7"/>
    <w:rsid w:val="00F20764"/>
    <w:rsid w:val="00F20CFE"/>
    <w:rsid w:val="00F2194B"/>
    <w:rsid w:val="00F22E2E"/>
    <w:rsid w:val="00F3105E"/>
    <w:rsid w:val="00F3210A"/>
    <w:rsid w:val="00F324C2"/>
    <w:rsid w:val="00F332A2"/>
    <w:rsid w:val="00F339BD"/>
    <w:rsid w:val="00F33FA3"/>
    <w:rsid w:val="00F35135"/>
    <w:rsid w:val="00F41591"/>
    <w:rsid w:val="00F41A63"/>
    <w:rsid w:val="00F44AD8"/>
    <w:rsid w:val="00F45BEB"/>
    <w:rsid w:val="00F4731F"/>
    <w:rsid w:val="00F5087C"/>
    <w:rsid w:val="00F51F56"/>
    <w:rsid w:val="00F52241"/>
    <w:rsid w:val="00F54523"/>
    <w:rsid w:val="00F562B1"/>
    <w:rsid w:val="00F63C7E"/>
    <w:rsid w:val="00F64633"/>
    <w:rsid w:val="00F65DCD"/>
    <w:rsid w:val="00F66DBE"/>
    <w:rsid w:val="00F67E86"/>
    <w:rsid w:val="00F716AD"/>
    <w:rsid w:val="00F73EDE"/>
    <w:rsid w:val="00F75583"/>
    <w:rsid w:val="00F77CB9"/>
    <w:rsid w:val="00F83067"/>
    <w:rsid w:val="00F84544"/>
    <w:rsid w:val="00F84BE3"/>
    <w:rsid w:val="00F856BA"/>
    <w:rsid w:val="00F86607"/>
    <w:rsid w:val="00F91918"/>
    <w:rsid w:val="00F92FA8"/>
    <w:rsid w:val="00F94631"/>
    <w:rsid w:val="00F954FA"/>
    <w:rsid w:val="00F95B1F"/>
    <w:rsid w:val="00F9643A"/>
    <w:rsid w:val="00FA05B2"/>
    <w:rsid w:val="00FA486B"/>
    <w:rsid w:val="00FA68A7"/>
    <w:rsid w:val="00FA75AB"/>
    <w:rsid w:val="00FB19C2"/>
    <w:rsid w:val="00FB2D95"/>
    <w:rsid w:val="00FB725F"/>
    <w:rsid w:val="00FC0C51"/>
    <w:rsid w:val="00FC2927"/>
    <w:rsid w:val="00FC78E4"/>
    <w:rsid w:val="00FD427A"/>
    <w:rsid w:val="00FD7480"/>
    <w:rsid w:val="00FD74C3"/>
    <w:rsid w:val="00FE063E"/>
    <w:rsid w:val="00FE0E71"/>
    <w:rsid w:val="00FE0FEF"/>
    <w:rsid w:val="00FE1B88"/>
    <w:rsid w:val="00FE38B7"/>
    <w:rsid w:val="00FE4F63"/>
    <w:rsid w:val="00FF01B7"/>
    <w:rsid w:val="00FF0EE8"/>
    <w:rsid w:val="00FF1770"/>
    <w:rsid w:val="00FF2D72"/>
    <w:rsid w:val="00FF4524"/>
    <w:rsid w:val="00FF4ED7"/>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04f75,#260859,#004712,#8a2529,#c2a204,#e87d1e"/>
    </o:shapedefaults>
    <o:shapelayout v:ext="edit">
      <o:idmap v:ext="edit" data="1"/>
    </o:shapelayout>
  </w:shapeDefaults>
  <w:decimalSymbol w:val="."/>
  <w:listSeparator w:val=","/>
  <w14:docId w14:val="5B867528"/>
  <w15:docId w15:val="{5A1EB944-D5F0-49DA-A274-87BB1FEF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D1A"/>
    <w:pPr>
      <w:spacing w:line="480" w:lineRule="auto"/>
    </w:pPr>
    <w:rPr>
      <w:rFonts w:ascii="Times New Roman" w:hAnsi="Times New Roman"/>
      <w:sz w:val="24"/>
      <w:szCs w:val="24"/>
    </w:rPr>
  </w:style>
  <w:style w:type="paragraph" w:styleId="Heading1">
    <w:name w:val="heading 1"/>
    <w:basedOn w:val="Normal"/>
    <w:next w:val="Paragraph"/>
    <w:link w:val="Heading1Char"/>
    <w:qFormat/>
    <w:rsid w:val="00AD1D1A"/>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D1D1A"/>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D1D1A"/>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AD1D1A"/>
    <w:pPr>
      <w:spacing w:before="360"/>
      <w:outlineLvl w:val="3"/>
    </w:pPr>
    <w:rPr>
      <w:bCs/>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D1A"/>
    <w:rPr>
      <w:rFonts w:ascii="Times New Roman" w:hAnsi="Times New Roman" w:cs="Arial"/>
      <w:b/>
      <w:bCs/>
      <w:kern w:val="32"/>
      <w:sz w:val="24"/>
      <w:szCs w:val="32"/>
    </w:rPr>
  </w:style>
  <w:style w:type="character" w:customStyle="1" w:styleId="Heading2Char">
    <w:name w:val="Heading 2 Char"/>
    <w:basedOn w:val="DefaultParagraphFont"/>
    <w:link w:val="Heading2"/>
    <w:rsid w:val="00AD1D1A"/>
    <w:rPr>
      <w:rFonts w:ascii="Times New Roman" w:hAnsi="Times New Roman" w:cs="Arial"/>
      <w:b/>
      <w:bCs/>
      <w:i/>
      <w:iCs/>
      <w:sz w:val="24"/>
      <w:szCs w:val="28"/>
    </w:rPr>
  </w:style>
  <w:style w:type="character" w:customStyle="1" w:styleId="Heading3Char">
    <w:name w:val="Heading 3 Char"/>
    <w:basedOn w:val="DefaultParagraphFont"/>
    <w:link w:val="Heading3"/>
    <w:rsid w:val="00AD1D1A"/>
    <w:rPr>
      <w:rFonts w:ascii="Times New Roman" w:hAnsi="Times New Roman" w:cs="Arial"/>
      <w:bCs/>
      <w:i/>
      <w:sz w:val="24"/>
      <w:szCs w:val="26"/>
    </w:rPr>
  </w:style>
  <w:style w:type="character" w:styleId="Hyperlink">
    <w:name w:val="Hyperlink"/>
    <w:uiPriority w:val="99"/>
    <w:unhideWhenUsed/>
    <w:qFormat/>
    <w:rsid w:val="00271DF8"/>
    <w:rPr>
      <w:color w:val="0000FF"/>
      <w:u w:val="single"/>
    </w:rPr>
  </w:style>
  <w:style w:type="paragraph" w:styleId="TOCHeading">
    <w:name w:val="TOC Heading"/>
    <w:basedOn w:val="Normal"/>
    <w:next w:val="Normal"/>
    <w:uiPriority w:val="39"/>
    <w:unhideWhenUsed/>
    <w:qFormat/>
    <w:rsid w:val="00780950"/>
    <w:pPr>
      <w:pageBreakBefore/>
    </w:pPr>
    <w:rPr>
      <w:rFonts w:cs="Arial"/>
      <w:b/>
      <w:color w:val="365F91"/>
      <w:sz w:val="36"/>
      <w:szCs w:val="28"/>
      <w:lang w:eastAsia="ja-JP"/>
    </w:rPr>
  </w:style>
  <w:style w:type="paragraph" w:customStyle="1" w:styleId="TitleText">
    <w:name w:val="TitleText"/>
    <w:basedOn w:val="Title"/>
    <w:link w:val="TitleTextChar"/>
    <w:unhideWhenUsed/>
    <w:qFormat/>
    <w:rsid w:val="009F6C37"/>
    <w:pPr>
      <w:spacing w:after="240"/>
    </w:pPr>
  </w:style>
  <w:style w:type="character" w:customStyle="1" w:styleId="TitleTextChar">
    <w:name w:val="TitleText Char"/>
    <w:link w:val="TitleText"/>
    <w:rsid w:val="009F6C37"/>
    <w:rPr>
      <w:b/>
      <w:color w:val="104F75"/>
      <w:sz w:val="92"/>
      <w:szCs w:val="92"/>
    </w:rPr>
  </w:style>
  <w:style w:type="paragraph" w:customStyle="1" w:styleId="SubtitleText">
    <w:name w:val="SubtitleText"/>
    <w:basedOn w:val="Normal"/>
    <w:link w:val="SubtitleTextChar"/>
    <w:unhideWhenUsed/>
    <w:qFormat/>
    <w:rsid w:val="006B7729"/>
    <w:pPr>
      <w:spacing w:after="1520" w:line="240" w:lineRule="auto"/>
    </w:pPr>
    <w:rPr>
      <w:rFonts w:cs="Arial"/>
      <w:b/>
      <w:color w:val="104F75"/>
      <w:sz w:val="48"/>
      <w:szCs w:val="48"/>
    </w:rPr>
  </w:style>
  <w:style w:type="character" w:customStyle="1" w:styleId="SubtitleTextChar">
    <w:name w:val="SubtitleText Char"/>
    <w:link w:val="SubtitleText"/>
    <w:rsid w:val="006B7729"/>
    <w:rPr>
      <w:rFonts w:cs="Arial"/>
      <w:b/>
      <w:color w:val="104F75"/>
      <w:sz w:val="48"/>
      <w:szCs w:val="48"/>
    </w:rPr>
  </w:style>
  <w:style w:type="paragraph" w:customStyle="1" w:styleId="DfESOutNumbered1">
    <w:name w:val="DfESOutNumbered1"/>
    <w:link w:val="DfESOutNumbered1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unhideWhenUsed/>
    <w:rsid w:val="00F332A2"/>
  </w:style>
  <w:style w:type="paragraph" w:styleId="BlockText">
    <w:name w:val="Block Text"/>
    <w:basedOn w:val="Normal"/>
    <w:semiHidden/>
    <w:unhideWhenUsed/>
    <w:rsid w:val="00F332A2"/>
    <w:pPr>
      <w:pBdr>
        <w:top w:val="single" w:sz="2" w:space="10" w:color="104F75" w:themeColor="accent1"/>
        <w:left w:val="single" w:sz="2" w:space="10" w:color="104F75" w:themeColor="accent1"/>
        <w:bottom w:val="single" w:sz="2" w:space="10" w:color="104F75" w:themeColor="accent1"/>
        <w:right w:val="single" w:sz="2" w:space="10" w:color="104F75" w:themeColor="accent1"/>
      </w:pBdr>
      <w:ind w:left="1152" w:right="1152"/>
    </w:pPr>
    <w:rPr>
      <w:rFonts w:asciiTheme="minorHAnsi" w:eastAsiaTheme="minorEastAsia" w:hAnsiTheme="minorHAnsi" w:cstheme="minorBidi"/>
      <w:i/>
      <w:iCs/>
      <w:color w:val="104F75" w:themeColor="accent1"/>
    </w:rPr>
  </w:style>
  <w:style w:type="paragraph" w:styleId="Title">
    <w:name w:val="Title"/>
    <w:basedOn w:val="Normal"/>
    <w:next w:val="Normal"/>
    <w:link w:val="TitleChar"/>
    <w:unhideWhenUsed/>
    <w:rsid w:val="00871A3B"/>
    <w:pPr>
      <w:spacing w:before="360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pPr>
  </w:style>
  <w:style w:type="character" w:customStyle="1" w:styleId="DfESOutNumbered1Char">
    <w:name w:val="DfESOutNumbered1 Char"/>
    <w:link w:val="DfESOutNumbered1"/>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E61D18"/>
    <w:pPr>
      <w:spacing w:before="120" w:after="120"/>
      <w:jc w:val="center"/>
    </w:pPr>
    <w:rPr>
      <w:b/>
      <w:bCs/>
      <w:color w:val="000000" w:themeColor="text1"/>
      <w:sz w:val="20"/>
      <w:szCs w:val="20"/>
    </w:rPr>
  </w:style>
  <w:style w:type="character" w:customStyle="1" w:styleId="Heading4Char">
    <w:name w:val="Heading 4 Char"/>
    <w:basedOn w:val="DefaultParagraphFont"/>
    <w:link w:val="Heading4"/>
    <w:rsid w:val="00AD1D1A"/>
    <w:rPr>
      <w:rFonts w:ascii="Times New Roman" w:hAnsi="Times New Roman"/>
      <w:bCs/>
      <w:sz w:val="24"/>
      <w:szCs w:val="28"/>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4B4226"/>
    <w:rPr>
      <w:i/>
      <w:sz w:val="18"/>
    </w:rPr>
  </w:style>
  <w:style w:type="paragraph" w:styleId="BalloonText">
    <w:name w:val="Balloon Text"/>
    <w:basedOn w:val="Normal"/>
    <w:link w:val="BalloonTextChar"/>
    <w:semiHidden/>
    <w:unhideWhenUsed/>
    <w:rsid w:val="00DA57A4"/>
    <w:pPr>
      <w:spacing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A57A4"/>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A57A4"/>
    <w:rPr>
      <w:sz w:val="24"/>
      <w:szCs w:val="24"/>
    </w:rPr>
  </w:style>
  <w:style w:type="paragraph" w:styleId="Header">
    <w:name w:val="header"/>
    <w:basedOn w:val="Normal"/>
    <w:link w:val="HeaderChar"/>
    <w:rsid w:val="00AD1D1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AD1D1A"/>
    <w:rPr>
      <w:rFonts w:ascii="Times New Roman" w:hAnsi="Times New Roman"/>
      <w:sz w:val="24"/>
      <w:szCs w:val="24"/>
    </w:rPr>
  </w:style>
  <w:style w:type="paragraph" w:styleId="Footer">
    <w:name w:val="footer"/>
    <w:basedOn w:val="Normal"/>
    <w:link w:val="FooterChar"/>
    <w:rsid w:val="00AD1D1A"/>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D1D1A"/>
    <w:rPr>
      <w:rFonts w:ascii="Times New Roman" w:hAnsi="Times New Roman"/>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iPriority w:val="99"/>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autoRedefine/>
    <w:rsid w:val="00AD1D1A"/>
    <w:pPr>
      <w:ind w:left="284" w:hanging="284"/>
    </w:pPr>
    <w:rPr>
      <w:sz w:val="22"/>
      <w:szCs w:val="20"/>
    </w:rPr>
  </w:style>
  <w:style w:type="character" w:customStyle="1" w:styleId="EndnoteTextChar">
    <w:name w:val="Endnote Text Char"/>
    <w:basedOn w:val="DefaultParagraphFont"/>
    <w:link w:val="EndnoteText"/>
    <w:rsid w:val="00AD1D1A"/>
    <w:rPr>
      <w:rFonts w:ascii="Times New Roman" w:hAnsi="Times New Roman"/>
      <w:sz w:val="22"/>
    </w:rPr>
  </w:style>
  <w:style w:type="character" w:styleId="EndnoteReference">
    <w:name w:val="endnote reference"/>
    <w:basedOn w:val="DefaultParagraphFont"/>
    <w:rsid w:val="00AD1D1A"/>
    <w:rPr>
      <w:vertAlign w:val="superscript"/>
    </w:rPr>
  </w:style>
  <w:style w:type="paragraph" w:styleId="FootnoteText">
    <w:name w:val="footnote text"/>
    <w:basedOn w:val="Normal"/>
    <w:link w:val="FootnoteTextChar"/>
    <w:autoRedefine/>
    <w:rsid w:val="00AD1D1A"/>
    <w:pPr>
      <w:ind w:left="284" w:hanging="284"/>
    </w:pPr>
    <w:rPr>
      <w:sz w:val="22"/>
      <w:szCs w:val="20"/>
    </w:rPr>
  </w:style>
  <w:style w:type="character" w:customStyle="1" w:styleId="FootnoteTextChar">
    <w:name w:val="Footnote Text Char"/>
    <w:basedOn w:val="DefaultParagraphFont"/>
    <w:link w:val="FootnoteText"/>
    <w:rsid w:val="00AD1D1A"/>
    <w:rPr>
      <w:rFonts w:ascii="Times New Roman" w:hAnsi="Times New Roman"/>
      <w:sz w:val="22"/>
    </w:rPr>
  </w:style>
  <w:style w:type="character" w:styleId="FootnoteReference">
    <w:name w:val="footnote reference"/>
    <w:basedOn w:val="DefaultParagraphFont"/>
    <w:rsid w:val="00AD1D1A"/>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6B7729"/>
  </w:style>
  <w:style w:type="paragraph" w:customStyle="1" w:styleId="Source">
    <w:name w:val="Source"/>
    <w:basedOn w:val="Normal"/>
    <w:link w:val="SourceChar"/>
    <w:qFormat/>
    <w:rsid w:val="006B7729"/>
    <w:pPr>
      <w:jc w:val="right"/>
    </w:pPr>
    <w:rPr>
      <w:sz w:val="20"/>
      <w:szCs w:val="20"/>
    </w:rPr>
  </w:style>
  <w:style w:type="paragraph" w:customStyle="1" w:styleId="SocialMedia">
    <w:name w:val="SocialMedia"/>
    <w:basedOn w:val="Normal"/>
    <w:link w:val="SocialMediaChar"/>
    <w:rsid w:val="00C2510F"/>
    <w:pPr>
      <w:tabs>
        <w:tab w:val="left" w:pos="4253"/>
        <w:tab w:val="left" w:pos="4820"/>
      </w:tabs>
      <w:spacing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line="240" w:lineRule="auto"/>
      <w:ind w:left="240" w:hanging="240"/>
    </w:pPr>
  </w:style>
  <w:style w:type="paragraph" w:styleId="Index2">
    <w:name w:val="index 2"/>
    <w:basedOn w:val="Normal"/>
    <w:next w:val="Normal"/>
    <w:autoRedefine/>
    <w:semiHidden/>
    <w:unhideWhenUsed/>
    <w:rsid w:val="00F332A2"/>
    <w:pPr>
      <w:spacing w:line="240" w:lineRule="auto"/>
      <w:ind w:left="480" w:hanging="240"/>
    </w:pPr>
  </w:style>
  <w:style w:type="paragraph" w:styleId="Index3">
    <w:name w:val="index 3"/>
    <w:basedOn w:val="Normal"/>
    <w:next w:val="Normal"/>
    <w:autoRedefine/>
    <w:semiHidden/>
    <w:unhideWhenUsed/>
    <w:rsid w:val="00F332A2"/>
    <w:pPr>
      <w:spacing w:line="240" w:lineRule="auto"/>
      <w:ind w:left="720" w:hanging="240"/>
    </w:pPr>
  </w:style>
  <w:style w:type="paragraph" w:styleId="Index4">
    <w:name w:val="index 4"/>
    <w:basedOn w:val="Normal"/>
    <w:next w:val="Normal"/>
    <w:autoRedefine/>
    <w:semiHidden/>
    <w:unhideWhenUsed/>
    <w:rsid w:val="00F332A2"/>
    <w:pPr>
      <w:spacing w:line="240" w:lineRule="auto"/>
      <w:ind w:left="960" w:hanging="240"/>
    </w:pPr>
  </w:style>
  <w:style w:type="paragraph" w:styleId="Index5">
    <w:name w:val="index 5"/>
    <w:basedOn w:val="Normal"/>
    <w:next w:val="Normal"/>
    <w:autoRedefine/>
    <w:semiHidden/>
    <w:unhideWhenUsed/>
    <w:rsid w:val="00F332A2"/>
    <w:pPr>
      <w:spacing w:line="240" w:lineRule="auto"/>
      <w:ind w:left="1200" w:hanging="240"/>
    </w:pPr>
  </w:style>
  <w:style w:type="paragraph" w:styleId="Index6">
    <w:name w:val="index 6"/>
    <w:basedOn w:val="Normal"/>
    <w:next w:val="Normal"/>
    <w:autoRedefine/>
    <w:semiHidden/>
    <w:unhideWhenUsed/>
    <w:rsid w:val="00F332A2"/>
    <w:pPr>
      <w:spacing w:line="240" w:lineRule="auto"/>
      <w:ind w:left="1440" w:hanging="240"/>
    </w:pPr>
  </w:style>
  <w:style w:type="paragraph" w:styleId="Index7">
    <w:name w:val="index 7"/>
    <w:basedOn w:val="Normal"/>
    <w:next w:val="Normal"/>
    <w:autoRedefine/>
    <w:semiHidden/>
    <w:unhideWhenUsed/>
    <w:rsid w:val="00F332A2"/>
    <w:pPr>
      <w:spacing w:line="240" w:lineRule="auto"/>
      <w:ind w:left="1680" w:hanging="240"/>
    </w:pPr>
  </w:style>
  <w:style w:type="paragraph" w:styleId="Index8">
    <w:name w:val="index 8"/>
    <w:basedOn w:val="Normal"/>
    <w:next w:val="Normal"/>
    <w:autoRedefine/>
    <w:semiHidden/>
    <w:unhideWhenUsed/>
    <w:rsid w:val="00F332A2"/>
    <w:pPr>
      <w:spacing w:line="240" w:lineRule="auto"/>
      <w:ind w:left="1920" w:hanging="240"/>
    </w:pPr>
  </w:style>
  <w:style w:type="paragraph" w:styleId="Index9">
    <w:name w:val="index 9"/>
    <w:basedOn w:val="Normal"/>
    <w:next w:val="Normal"/>
    <w:autoRedefine/>
    <w:semiHidden/>
    <w:unhideWhenUsed/>
    <w:rsid w:val="00F332A2"/>
    <w:pPr>
      <w:spacing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332A2"/>
    <w:rPr>
      <w:b/>
      <w:bCs/>
      <w:i/>
      <w:iCs/>
      <w:color w:val="104F75" w:themeColor="accent1"/>
    </w:rPr>
  </w:style>
  <w:style w:type="paragraph" w:styleId="IntenseQuote">
    <w:name w:val="Intense Quote"/>
    <w:basedOn w:val="Normal"/>
    <w:next w:val="Normal"/>
    <w:link w:val="IntenseQuoteChar"/>
    <w:uiPriority w:val="30"/>
    <w:semiHidden/>
    <w:unhideWhenUsed/>
    <w:rsid w:val="00F332A2"/>
    <w:pPr>
      <w:pBdr>
        <w:bottom w:val="single" w:sz="4" w:space="4" w:color="104F75" w:themeColor="accent1"/>
      </w:pBdr>
      <w:spacing w:before="200" w:after="280"/>
      <w:ind w:left="936" w:right="936"/>
    </w:pPr>
    <w:rPr>
      <w:b/>
      <w:bCs/>
      <w:i/>
      <w:iCs/>
      <w:color w:val="104F75" w:themeColor="accent1"/>
    </w:rPr>
  </w:style>
  <w:style w:type="character" w:customStyle="1" w:styleId="IntenseQuoteChar">
    <w:name w:val="Intense Quote Char"/>
    <w:basedOn w:val="DefaultParagraphFont"/>
    <w:link w:val="IntenseQuote"/>
    <w:uiPriority w:val="30"/>
    <w:semiHidden/>
    <w:rsid w:val="00F332A2"/>
    <w:rPr>
      <w:b/>
      <w:bCs/>
      <w:i/>
      <w:iCs/>
      <w:color w:val="104F75" w:themeColor="accent1"/>
      <w:sz w:val="24"/>
      <w:szCs w:val="24"/>
    </w:rPr>
  </w:style>
  <w:style w:type="character" w:styleId="IntenseReference">
    <w:name w:val="Intense Reference"/>
    <w:basedOn w:val="DefaultParagraphFont"/>
    <w:uiPriority w:val="32"/>
    <w:semiHidden/>
    <w:unhideWhenUsed/>
    <w:rsid w:val="00F332A2"/>
    <w:rPr>
      <w:b/>
      <w:bCs/>
      <w:smallCaps/>
      <w:color w:val="407291"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tabs>
        <w:tab w:val="num" w:pos="643"/>
      </w:tabs>
      <w:ind w:left="643" w:hanging="360"/>
      <w:contextualSpacing/>
    </w:pPr>
  </w:style>
  <w:style w:type="paragraph" w:styleId="ListBullet3">
    <w:name w:val="List Bullet 3"/>
    <w:basedOn w:val="Normal"/>
    <w:rsid w:val="00F332A2"/>
    <w:pPr>
      <w:tabs>
        <w:tab w:val="num" w:pos="926"/>
      </w:tabs>
      <w:ind w:left="926" w:hanging="360"/>
      <w:contextualSpacing/>
    </w:pPr>
  </w:style>
  <w:style w:type="paragraph" w:styleId="ListBullet4">
    <w:name w:val="List Bullet 4"/>
    <w:basedOn w:val="Normal"/>
    <w:rsid w:val="00F332A2"/>
    <w:pPr>
      <w:tabs>
        <w:tab w:val="num" w:pos="1209"/>
      </w:tabs>
      <w:ind w:left="1209" w:hanging="360"/>
      <w:contextualSpacing/>
    </w:pPr>
  </w:style>
  <w:style w:type="paragraph" w:styleId="ListBullet5">
    <w:name w:val="List Bullet 5"/>
    <w:basedOn w:val="Normal"/>
    <w:rsid w:val="00F332A2"/>
    <w:pPr>
      <w:tabs>
        <w:tab w:val="num" w:pos="1492"/>
      </w:tabs>
      <w:ind w:left="1492" w:hanging="360"/>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tabs>
        <w:tab w:val="num" w:pos="360"/>
      </w:tabs>
      <w:ind w:left="360" w:hanging="360"/>
      <w:contextualSpacing/>
    </w:pPr>
  </w:style>
  <w:style w:type="paragraph" w:styleId="ListNumber2">
    <w:name w:val="List Number 2"/>
    <w:basedOn w:val="Normal"/>
    <w:semiHidden/>
    <w:unhideWhenUsed/>
    <w:rsid w:val="00F332A2"/>
    <w:pPr>
      <w:tabs>
        <w:tab w:val="num" w:pos="643"/>
      </w:tabs>
      <w:ind w:left="643" w:hanging="360"/>
      <w:contextualSpacing/>
    </w:pPr>
  </w:style>
  <w:style w:type="paragraph" w:styleId="ListNumber3">
    <w:name w:val="List Number 3"/>
    <w:basedOn w:val="Normal"/>
    <w:semiHidden/>
    <w:unhideWhenUsed/>
    <w:rsid w:val="00F332A2"/>
    <w:pPr>
      <w:tabs>
        <w:tab w:val="num" w:pos="926"/>
      </w:tabs>
      <w:ind w:left="926" w:hanging="360"/>
      <w:contextualSpacing/>
    </w:pPr>
  </w:style>
  <w:style w:type="paragraph" w:styleId="ListNumber4">
    <w:name w:val="List Number 4"/>
    <w:basedOn w:val="Normal"/>
    <w:semiHidden/>
    <w:unhideWhenUsed/>
    <w:rsid w:val="00F332A2"/>
    <w:pPr>
      <w:tabs>
        <w:tab w:val="num" w:pos="1209"/>
      </w:tabs>
      <w:ind w:left="1209" w:hanging="360"/>
      <w:contextualSpacing/>
    </w:pPr>
  </w:style>
  <w:style w:type="paragraph" w:styleId="ListNumber5">
    <w:name w:val="List Number 5"/>
    <w:basedOn w:val="Normal"/>
    <w:semiHidden/>
    <w:unhideWhenUsed/>
    <w:rsid w:val="00F332A2"/>
    <w:pPr>
      <w:tabs>
        <w:tab w:val="num" w:pos="1492"/>
      </w:tabs>
      <w:ind w:left="1492" w:hanging="360"/>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style>
  <w:style w:type="paragraph" w:styleId="NormalIndent">
    <w:name w:val="Normal Indent"/>
    <w:basedOn w:val="Normal"/>
    <w:rsid w:val="00AD1D1A"/>
    <w:pPr>
      <w:ind w:left="720"/>
    </w:pPr>
  </w:style>
  <w:style w:type="paragraph" w:styleId="NoteHeading">
    <w:name w:val="Note Heading"/>
    <w:basedOn w:val="Normal"/>
    <w:next w:val="Normal"/>
    <w:link w:val="NoteHeadingChar"/>
    <w:semiHidden/>
    <w:unhideWhenUsed/>
    <w:rsid w:val="00F332A2"/>
    <w:pPr>
      <w:spacing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104F75"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104F75"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407291" w:themeColor="accent2"/>
      <w:u w:val="single"/>
    </w:rPr>
  </w:style>
  <w:style w:type="paragraph" w:styleId="TableofAuthorities">
    <w:name w:val="table of authorities"/>
    <w:basedOn w:val="Normal"/>
    <w:next w:val="Normal"/>
    <w:semiHidden/>
    <w:unhideWhenUsed/>
    <w:rsid w:val="00F332A2"/>
    <w:pPr>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rPr>
  </w:style>
  <w:style w:type="paragraph" w:customStyle="1" w:styleId="textbox">
    <w:name w:val="textbox"/>
    <w:basedOn w:val="Normal"/>
    <w:rsid w:val="00D8061C"/>
    <w:pPr>
      <w:spacing w:before="100" w:beforeAutospacing="1" w:after="100" w:afterAutospacing="1" w:line="240" w:lineRule="auto"/>
    </w:pPr>
    <w:rPr>
      <w:lang w:val="en-AU" w:eastAsia="en-AU"/>
    </w:rPr>
  </w:style>
  <w:style w:type="table" w:customStyle="1" w:styleId="QQuestionTable">
    <w:name w:val="QQuestionTable"/>
    <w:uiPriority w:val="99"/>
    <w:qFormat/>
    <w:rsid w:val="001A56AF"/>
    <w:pPr>
      <w:jc w:val="center"/>
    </w:pPr>
    <w:rPr>
      <w:rFonts w:asciiTheme="minorHAnsi" w:eastAsiaTheme="minorEastAsia" w:hAnsiTheme="minorHAnsi" w:cstheme="minorBidi"/>
      <w:sz w:val="22"/>
      <w:szCs w:val="22"/>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1A56AF"/>
    <w:pPr>
      <w:numPr>
        <w:numId w:val="17"/>
      </w:numPr>
    </w:pPr>
  </w:style>
  <w:style w:type="numbering" w:customStyle="1" w:styleId="Singlepunch">
    <w:name w:val="Single punch"/>
    <w:rsid w:val="001A56AF"/>
    <w:pPr>
      <w:numPr>
        <w:numId w:val="19"/>
      </w:numPr>
    </w:pPr>
  </w:style>
  <w:style w:type="paragraph" w:customStyle="1" w:styleId="QDisplayLogic">
    <w:name w:val="QDisplayLogic"/>
    <w:basedOn w:val="Normal"/>
    <w:qFormat/>
    <w:rsid w:val="001A56AF"/>
    <w:pPr>
      <w:shd w:val="clear" w:color="auto" w:fill="6898BB"/>
      <w:spacing w:before="120" w:after="120" w:line="240" w:lineRule="auto"/>
    </w:pPr>
    <w:rPr>
      <w:rFonts w:asciiTheme="minorHAnsi" w:eastAsiaTheme="minorEastAsia" w:hAnsiTheme="minorHAnsi" w:cstheme="minorBidi"/>
      <w:i/>
      <w:color w:val="FFFFFF"/>
      <w:sz w:val="20"/>
      <w:szCs w:val="22"/>
      <w:lang w:val="en-US" w:eastAsia="en-US"/>
    </w:rPr>
  </w:style>
  <w:style w:type="paragraph" w:customStyle="1" w:styleId="BlockEndLabel">
    <w:name w:val="BlockEndLabel"/>
    <w:basedOn w:val="Normal"/>
    <w:qFormat/>
    <w:rsid w:val="001A56AF"/>
    <w:pPr>
      <w:spacing w:before="120" w:line="240" w:lineRule="auto"/>
    </w:pPr>
    <w:rPr>
      <w:rFonts w:asciiTheme="minorHAnsi" w:eastAsiaTheme="minorEastAsia" w:hAnsiTheme="minorHAnsi" w:cstheme="minorBidi"/>
      <w:b/>
      <w:color w:val="CCCCCC"/>
      <w:sz w:val="22"/>
      <w:szCs w:val="22"/>
      <w:lang w:val="en-US" w:eastAsia="en-US"/>
    </w:rPr>
  </w:style>
  <w:style w:type="paragraph" w:customStyle="1" w:styleId="BlockSeparator">
    <w:name w:val="BlockSeparator"/>
    <w:basedOn w:val="Normal"/>
    <w:qFormat/>
    <w:rsid w:val="001A56AF"/>
    <w:pPr>
      <w:pBdr>
        <w:bottom w:val="single" w:sz="8" w:space="0" w:color="CCCCCC"/>
      </w:pBdr>
      <w:spacing w:line="120" w:lineRule="auto"/>
      <w:jc w:val="center"/>
    </w:pPr>
    <w:rPr>
      <w:rFonts w:asciiTheme="minorHAnsi" w:eastAsiaTheme="minorEastAsia" w:hAnsiTheme="minorHAnsi" w:cstheme="minorBidi"/>
      <w:b/>
      <w:color w:val="CCCCCC"/>
      <w:sz w:val="22"/>
      <w:szCs w:val="22"/>
      <w:lang w:val="en-US" w:eastAsia="en-US"/>
    </w:rPr>
  </w:style>
  <w:style w:type="paragraph" w:customStyle="1" w:styleId="QuestionSeparator">
    <w:name w:val="QuestionSeparator"/>
    <w:basedOn w:val="Normal"/>
    <w:qFormat/>
    <w:rsid w:val="001A56AF"/>
    <w:pPr>
      <w:pBdr>
        <w:top w:val="dashed" w:sz="8" w:space="0" w:color="CCCCCC"/>
      </w:pBdr>
      <w:spacing w:before="120" w:after="120" w:line="120" w:lineRule="auto"/>
    </w:pPr>
    <w:rPr>
      <w:rFonts w:asciiTheme="minorHAnsi" w:eastAsiaTheme="minorEastAsia" w:hAnsiTheme="minorHAnsi" w:cstheme="minorBidi"/>
      <w:sz w:val="22"/>
      <w:szCs w:val="22"/>
      <w:lang w:val="en-US" w:eastAsia="en-US"/>
    </w:rPr>
  </w:style>
  <w:style w:type="paragraph" w:customStyle="1" w:styleId="TextEntryLine">
    <w:name w:val="TextEntryLine"/>
    <w:basedOn w:val="Normal"/>
    <w:qFormat/>
    <w:rsid w:val="001A56AF"/>
    <w:pPr>
      <w:spacing w:before="240" w:line="240" w:lineRule="auto"/>
    </w:pPr>
    <w:rPr>
      <w:rFonts w:asciiTheme="minorHAnsi" w:eastAsiaTheme="minorEastAsia" w:hAnsiTheme="minorHAnsi" w:cstheme="minorBidi"/>
      <w:sz w:val="22"/>
      <w:szCs w:val="22"/>
      <w:lang w:val="en-US" w:eastAsia="en-US"/>
    </w:rPr>
  </w:style>
  <w:style w:type="table" w:customStyle="1" w:styleId="ListTable4-Accent11">
    <w:name w:val="List Table 4 - Accent 11"/>
    <w:basedOn w:val="TableNormal"/>
    <w:uiPriority w:val="49"/>
    <w:rsid w:val="00EF278B"/>
    <w:rPr>
      <w:rFonts w:asciiTheme="minorHAnsi" w:eastAsiaTheme="minorEastAsia" w:hAnsiTheme="minorHAnsi" w:cstheme="minorBidi"/>
      <w:sz w:val="22"/>
      <w:szCs w:val="22"/>
      <w:lang w:val="en-US" w:eastAsia="en-US" w:bidi="en-US"/>
    </w:rPr>
    <w:tblPr>
      <w:tblStyleRowBandSize w:val="1"/>
      <w:tblStyleColBandSize w:val="1"/>
      <w:tblBorders>
        <w:top w:val="single" w:sz="4" w:space="0" w:color="37A3E3" w:themeColor="accent1" w:themeTint="99"/>
        <w:left w:val="single" w:sz="4" w:space="0" w:color="37A3E3" w:themeColor="accent1" w:themeTint="99"/>
        <w:bottom w:val="single" w:sz="4" w:space="0" w:color="37A3E3" w:themeColor="accent1" w:themeTint="99"/>
        <w:right w:val="single" w:sz="4" w:space="0" w:color="37A3E3" w:themeColor="accent1" w:themeTint="99"/>
        <w:insideH w:val="single" w:sz="4" w:space="0" w:color="37A3E3" w:themeColor="accent1" w:themeTint="99"/>
      </w:tblBorders>
    </w:tblPr>
    <w:tblStylePr w:type="firstRow">
      <w:rPr>
        <w:b/>
        <w:bCs/>
        <w:color w:val="FFFFFF" w:themeColor="background1"/>
      </w:rPr>
      <w:tblPr/>
      <w:tcPr>
        <w:tcBorders>
          <w:top w:val="single" w:sz="4" w:space="0" w:color="104F75" w:themeColor="accent1"/>
          <w:left w:val="single" w:sz="4" w:space="0" w:color="104F75" w:themeColor="accent1"/>
          <w:bottom w:val="single" w:sz="4" w:space="0" w:color="104F75" w:themeColor="accent1"/>
          <w:right w:val="single" w:sz="4" w:space="0" w:color="104F75" w:themeColor="accent1"/>
          <w:insideH w:val="nil"/>
        </w:tcBorders>
        <w:shd w:val="clear" w:color="auto" w:fill="104F75" w:themeFill="accent1"/>
      </w:tcPr>
    </w:tblStylePr>
    <w:tblStylePr w:type="lastRow">
      <w:rPr>
        <w:b/>
        <w:bCs/>
      </w:rPr>
      <w:tblPr/>
      <w:tcPr>
        <w:tcBorders>
          <w:top w:val="double" w:sz="4" w:space="0" w:color="37A3E3" w:themeColor="accent1" w:themeTint="99"/>
        </w:tcBorders>
      </w:tcPr>
    </w:tblStylePr>
    <w:tblStylePr w:type="firstCol">
      <w:rPr>
        <w:b/>
        <w:bCs/>
      </w:rPr>
    </w:tblStylePr>
    <w:tblStylePr w:type="lastCol">
      <w:rPr>
        <w:b/>
        <w:bCs/>
      </w:rPr>
    </w:tblStylePr>
    <w:tblStylePr w:type="band1Vert">
      <w:tblPr/>
      <w:tcPr>
        <w:shd w:val="clear" w:color="auto" w:fill="BCE0F6" w:themeFill="accent1" w:themeFillTint="33"/>
      </w:tcPr>
    </w:tblStylePr>
    <w:tblStylePr w:type="band1Horz">
      <w:tblPr/>
      <w:tcPr>
        <w:shd w:val="clear" w:color="auto" w:fill="BCE0F6" w:themeFill="accent1" w:themeFillTint="33"/>
      </w:tcPr>
    </w:tblStylePr>
  </w:style>
  <w:style w:type="table" w:customStyle="1" w:styleId="GridTable4-Accent51">
    <w:name w:val="Grid Table 4 - Accent 51"/>
    <w:basedOn w:val="TableNormal"/>
    <w:uiPriority w:val="49"/>
    <w:rsid w:val="00E87910"/>
    <w:rPr>
      <w:rFonts w:asciiTheme="minorHAnsi" w:eastAsiaTheme="minorEastAsia" w:hAnsiTheme="minorHAnsi" w:cstheme="minorBidi"/>
      <w:sz w:val="22"/>
      <w:szCs w:val="22"/>
      <w:lang w:val="en-US" w:eastAsia="en-US" w:bidi="en-US"/>
    </w:rPr>
    <w:tblPr>
      <w:tblStyleRowBandSize w:val="1"/>
      <w:tblStyleColBandSize w:val="1"/>
      <w:tblBorders>
        <w:top w:val="single" w:sz="4" w:space="0" w:color="C6B0B2" w:themeColor="accent5" w:themeTint="99"/>
        <w:left w:val="single" w:sz="4" w:space="0" w:color="C6B0B2" w:themeColor="accent5" w:themeTint="99"/>
        <w:bottom w:val="single" w:sz="4" w:space="0" w:color="C6B0B2" w:themeColor="accent5" w:themeTint="99"/>
        <w:right w:val="single" w:sz="4" w:space="0" w:color="C6B0B2" w:themeColor="accent5" w:themeTint="99"/>
        <w:insideH w:val="single" w:sz="4" w:space="0" w:color="C6B0B2" w:themeColor="accent5" w:themeTint="99"/>
        <w:insideV w:val="single" w:sz="4" w:space="0" w:color="C6B0B2" w:themeColor="accent5" w:themeTint="99"/>
      </w:tblBorders>
    </w:tblPr>
    <w:tblStylePr w:type="firstRow">
      <w:rPr>
        <w:b/>
        <w:bCs/>
        <w:color w:val="FFFFFF" w:themeColor="background1"/>
      </w:rPr>
      <w:tblPr/>
      <w:tcPr>
        <w:tcBorders>
          <w:top w:val="single" w:sz="4" w:space="0" w:color="A17C7F" w:themeColor="accent5"/>
          <w:left w:val="single" w:sz="4" w:space="0" w:color="A17C7F" w:themeColor="accent5"/>
          <w:bottom w:val="single" w:sz="4" w:space="0" w:color="A17C7F" w:themeColor="accent5"/>
          <w:right w:val="single" w:sz="4" w:space="0" w:color="A17C7F" w:themeColor="accent5"/>
          <w:insideH w:val="nil"/>
          <w:insideV w:val="nil"/>
        </w:tcBorders>
        <w:shd w:val="clear" w:color="auto" w:fill="A17C7F" w:themeFill="accent5"/>
      </w:tcPr>
    </w:tblStylePr>
    <w:tblStylePr w:type="lastRow">
      <w:rPr>
        <w:b/>
        <w:bCs/>
      </w:rPr>
      <w:tblPr/>
      <w:tcPr>
        <w:tcBorders>
          <w:top w:val="double" w:sz="4" w:space="0" w:color="A17C7F" w:themeColor="accent5"/>
        </w:tcBorders>
      </w:tcPr>
    </w:tblStylePr>
    <w:tblStylePr w:type="firstCol">
      <w:rPr>
        <w:b/>
        <w:bCs/>
      </w:rPr>
    </w:tblStylePr>
    <w:tblStylePr w:type="lastCol">
      <w:rPr>
        <w:b/>
        <w:bCs/>
      </w:rPr>
    </w:tblStylePr>
    <w:tblStylePr w:type="band1Vert">
      <w:tblPr/>
      <w:tcPr>
        <w:shd w:val="clear" w:color="auto" w:fill="ECE4E5" w:themeFill="accent5" w:themeFillTint="33"/>
      </w:tcPr>
    </w:tblStylePr>
    <w:tblStylePr w:type="band1Horz">
      <w:tblPr/>
      <w:tcPr>
        <w:shd w:val="clear" w:color="auto" w:fill="ECE4E5" w:themeFill="accent5" w:themeFillTint="33"/>
      </w:tcPr>
    </w:tblStylePr>
  </w:style>
  <w:style w:type="character" w:customStyle="1" w:styleId="UnresolvedMention1">
    <w:name w:val="Unresolved Mention1"/>
    <w:basedOn w:val="DefaultParagraphFont"/>
    <w:uiPriority w:val="99"/>
    <w:semiHidden/>
    <w:unhideWhenUsed/>
    <w:rsid w:val="00467A54"/>
    <w:rPr>
      <w:color w:val="808080"/>
      <w:shd w:val="clear" w:color="auto" w:fill="E6E6E6"/>
    </w:rPr>
  </w:style>
  <w:style w:type="numbering" w:customStyle="1" w:styleId="NoList1">
    <w:name w:val="No List1"/>
    <w:next w:val="NoList"/>
    <w:uiPriority w:val="99"/>
    <w:semiHidden/>
    <w:unhideWhenUsed/>
    <w:rsid w:val="008F15D4"/>
  </w:style>
  <w:style w:type="character" w:customStyle="1" w:styleId="UnresolvedMention10">
    <w:name w:val="Unresolved Mention1"/>
    <w:basedOn w:val="DefaultParagraphFont"/>
    <w:uiPriority w:val="99"/>
    <w:semiHidden/>
    <w:unhideWhenUsed/>
    <w:rsid w:val="008F15D4"/>
    <w:rPr>
      <w:color w:val="808080"/>
      <w:shd w:val="clear" w:color="auto" w:fill="E6E6E6"/>
    </w:rPr>
  </w:style>
  <w:style w:type="paragraph" w:styleId="Revision">
    <w:name w:val="Revision"/>
    <w:hidden/>
    <w:uiPriority w:val="99"/>
    <w:semiHidden/>
    <w:rsid w:val="008F15D4"/>
    <w:rPr>
      <w:sz w:val="24"/>
      <w:szCs w:val="24"/>
    </w:rPr>
  </w:style>
  <w:style w:type="table" w:customStyle="1" w:styleId="TableGrid1">
    <w:name w:val="Table Grid1"/>
    <w:basedOn w:val="TableNormal"/>
    <w:next w:val="TableGrid"/>
    <w:uiPriority w:val="39"/>
    <w:rsid w:val="00823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05FE"/>
    <w:rPr>
      <w:color w:val="605E5C"/>
      <w:shd w:val="clear" w:color="auto" w:fill="E1DFDD"/>
    </w:rPr>
  </w:style>
  <w:style w:type="paragraph" w:customStyle="1" w:styleId="Articletitle">
    <w:name w:val="Article title"/>
    <w:basedOn w:val="Normal"/>
    <w:next w:val="Normal"/>
    <w:qFormat/>
    <w:rsid w:val="00AD1D1A"/>
    <w:pPr>
      <w:spacing w:after="120" w:line="360" w:lineRule="auto"/>
    </w:pPr>
    <w:rPr>
      <w:b/>
      <w:sz w:val="28"/>
    </w:rPr>
  </w:style>
  <w:style w:type="paragraph" w:customStyle="1" w:styleId="Authornames">
    <w:name w:val="Author names"/>
    <w:basedOn w:val="Normal"/>
    <w:next w:val="Normal"/>
    <w:qFormat/>
    <w:rsid w:val="00AD1D1A"/>
    <w:pPr>
      <w:spacing w:before="240" w:line="360" w:lineRule="auto"/>
    </w:pPr>
    <w:rPr>
      <w:sz w:val="28"/>
    </w:rPr>
  </w:style>
  <w:style w:type="paragraph" w:customStyle="1" w:styleId="Affiliation">
    <w:name w:val="Affiliation"/>
    <w:basedOn w:val="Normal"/>
    <w:qFormat/>
    <w:rsid w:val="00AD1D1A"/>
    <w:pPr>
      <w:spacing w:before="240" w:line="360" w:lineRule="auto"/>
    </w:pPr>
    <w:rPr>
      <w:i/>
    </w:rPr>
  </w:style>
  <w:style w:type="paragraph" w:customStyle="1" w:styleId="Receiveddates">
    <w:name w:val="Received dates"/>
    <w:basedOn w:val="Affiliation"/>
    <w:next w:val="Normal"/>
    <w:qFormat/>
    <w:rsid w:val="00AD1D1A"/>
  </w:style>
  <w:style w:type="paragraph" w:customStyle="1" w:styleId="Abstract">
    <w:name w:val="Abstract"/>
    <w:basedOn w:val="Normal"/>
    <w:next w:val="Keywords"/>
    <w:qFormat/>
    <w:rsid w:val="00AD1D1A"/>
    <w:pPr>
      <w:spacing w:before="360" w:after="300" w:line="360" w:lineRule="auto"/>
      <w:ind w:left="720" w:right="567"/>
    </w:pPr>
    <w:rPr>
      <w:sz w:val="22"/>
    </w:rPr>
  </w:style>
  <w:style w:type="paragraph" w:customStyle="1" w:styleId="Keywords">
    <w:name w:val="Keywords"/>
    <w:basedOn w:val="Normal"/>
    <w:next w:val="Paragraph"/>
    <w:qFormat/>
    <w:rsid w:val="00AD1D1A"/>
    <w:pPr>
      <w:spacing w:before="240" w:after="240" w:line="360" w:lineRule="auto"/>
      <w:ind w:left="720" w:right="567"/>
    </w:pPr>
    <w:rPr>
      <w:sz w:val="22"/>
    </w:rPr>
  </w:style>
  <w:style w:type="paragraph" w:customStyle="1" w:styleId="Correspondencedetails">
    <w:name w:val="Correspondence details"/>
    <w:basedOn w:val="Normal"/>
    <w:qFormat/>
    <w:rsid w:val="00AD1D1A"/>
    <w:pPr>
      <w:spacing w:before="240" w:line="360" w:lineRule="auto"/>
    </w:pPr>
  </w:style>
  <w:style w:type="paragraph" w:customStyle="1" w:styleId="Displayedquotation">
    <w:name w:val="Displayed quotation"/>
    <w:basedOn w:val="Normal"/>
    <w:qFormat/>
    <w:rsid w:val="00AD1D1A"/>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D1D1A"/>
    <w:pPr>
      <w:widowControl/>
      <w:numPr>
        <w:numId w:val="26"/>
      </w:numPr>
      <w:spacing w:after="240"/>
      <w:contextualSpacing/>
    </w:pPr>
  </w:style>
  <w:style w:type="paragraph" w:customStyle="1" w:styleId="Displayedequation">
    <w:name w:val="Displayed equation"/>
    <w:basedOn w:val="Normal"/>
    <w:next w:val="Paragraph"/>
    <w:qFormat/>
    <w:rsid w:val="00AD1D1A"/>
    <w:pPr>
      <w:tabs>
        <w:tab w:val="center" w:pos="4253"/>
        <w:tab w:val="right" w:pos="8222"/>
      </w:tabs>
      <w:spacing w:before="240" w:after="240"/>
      <w:jc w:val="center"/>
    </w:pPr>
  </w:style>
  <w:style w:type="paragraph" w:customStyle="1" w:styleId="Acknowledgements">
    <w:name w:val="Acknowledgements"/>
    <w:basedOn w:val="Normal"/>
    <w:next w:val="Normal"/>
    <w:qFormat/>
    <w:rsid w:val="00AD1D1A"/>
    <w:pPr>
      <w:spacing w:before="120" w:line="360" w:lineRule="auto"/>
    </w:pPr>
    <w:rPr>
      <w:sz w:val="22"/>
    </w:rPr>
  </w:style>
  <w:style w:type="paragraph" w:customStyle="1" w:styleId="Tabletitle">
    <w:name w:val="Table title"/>
    <w:basedOn w:val="Normal"/>
    <w:next w:val="Normal"/>
    <w:qFormat/>
    <w:rsid w:val="00AD1D1A"/>
    <w:pPr>
      <w:spacing w:before="240" w:line="360" w:lineRule="auto"/>
    </w:pPr>
  </w:style>
  <w:style w:type="paragraph" w:customStyle="1" w:styleId="Figurecaption">
    <w:name w:val="Figure caption"/>
    <w:basedOn w:val="Normal"/>
    <w:next w:val="Normal"/>
    <w:qFormat/>
    <w:rsid w:val="00AD1D1A"/>
    <w:pPr>
      <w:spacing w:before="240" w:line="360" w:lineRule="auto"/>
    </w:pPr>
  </w:style>
  <w:style w:type="paragraph" w:customStyle="1" w:styleId="Footnotes">
    <w:name w:val="Footnotes"/>
    <w:basedOn w:val="Normal"/>
    <w:qFormat/>
    <w:rsid w:val="00AD1D1A"/>
    <w:pPr>
      <w:spacing w:before="120" w:line="360" w:lineRule="auto"/>
      <w:ind w:left="482" w:hanging="482"/>
      <w:contextualSpacing/>
    </w:pPr>
    <w:rPr>
      <w:sz w:val="22"/>
    </w:rPr>
  </w:style>
  <w:style w:type="paragraph" w:customStyle="1" w:styleId="Notesoncontributors">
    <w:name w:val="Notes on contributors"/>
    <w:basedOn w:val="Normal"/>
    <w:qFormat/>
    <w:rsid w:val="00AD1D1A"/>
    <w:pPr>
      <w:spacing w:before="240" w:line="360" w:lineRule="auto"/>
    </w:pPr>
    <w:rPr>
      <w:sz w:val="22"/>
    </w:rPr>
  </w:style>
  <w:style w:type="paragraph" w:customStyle="1" w:styleId="Normalparagraphstyle">
    <w:name w:val="Normal paragraph style"/>
    <w:basedOn w:val="Normal"/>
    <w:next w:val="Normal"/>
    <w:rsid w:val="00AD1D1A"/>
  </w:style>
  <w:style w:type="paragraph" w:customStyle="1" w:styleId="Paragraph">
    <w:name w:val="Paragraph"/>
    <w:basedOn w:val="Normal"/>
    <w:next w:val="Newparagraph"/>
    <w:qFormat/>
    <w:rsid w:val="00AD1D1A"/>
    <w:pPr>
      <w:widowControl w:val="0"/>
      <w:spacing w:before="240"/>
    </w:pPr>
  </w:style>
  <w:style w:type="paragraph" w:customStyle="1" w:styleId="Newparagraph">
    <w:name w:val="New paragraph"/>
    <w:basedOn w:val="Normal"/>
    <w:qFormat/>
    <w:rsid w:val="00AD1D1A"/>
    <w:pPr>
      <w:ind w:firstLine="720"/>
    </w:pPr>
  </w:style>
  <w:style w:type="paragraph" w:customStyle="1" w:styleId="References">
    <w:name w:val="References"/>
    <w:basedOn w:val="Normal"/>
    <w:qFormat/>
    <w:rsid w:val="00AD1D1A"/>
    <w:pPr>
      <w:spacing w:before="120" w:line="360" w:lineRule="auto"/>
      <w:ind w:left="720" w:hanging="720"/>
      <w:contextualSpacing/>
    </w:pPr>
  </w:style>
  <w:style w:type="paragraph" w:customStyle="1" w:styleId="Subjectcodes">
    <w:name w:val="Subject codes"/>
    <w:basedOn w:val="Keywords"/>
    <w:next w:val="Paragraph"/>
    <w:qFormat/>
    <w:rsid w:val="00AD1D1A"/>
  </w:style>
  <w:style w:type="paragraph" w:customStyle="1" w:styleId="Bulletedlist">
    <w:name w:val="Bulleted list"/>
    <w:basedOn w:val="Paragraph"/>
    <w:next w:val="Paragraph"/>
    <w:qFormat/>
    <w:rsid w:val="00AD1D1A"/>
    <w:pPr>
      <w:widowControl/>
      <w:numPr>
        <w:numId w:val="27"/>
      </w:numPr>
      <w:spacing w:after="240"/>
      <w:contextualSpacing/>
    </w:pPr>
  </w:style>
  <w:style w:type="paragraph" w:customStyle="1" w:styleId="Heading4Paragraph">
    <w:name w:val="Heading 4 + Paragraph"/>
    <w:basedOn w:val="Paragraph"/>
    <w:next w:val="Newparagraph"/>
    <w:qFormat/>
    <w:rsid w:val="00AD1D1A"/>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8772">
      <w:bodyDiv w:val="1"/>
      <w:marLeft w:val="0"/>
      <w:marRight w:val="0"/>
      <w:marTop w:val="0"/>
      <w:marBottom w:val="0"/>
      <w:divBdr>
        <w:top w:val="none" w:sz="0" w:space="0" w:color="auto"/>
        <w:left w:val="none" w:sz="0" w:space="0" w:color="auto"/>
        <w:bottom w:val="none" w:sz="0" w:space="0" w:color="auto"/>
        <w:right w:val="none" w:sz="0" w:space="0" w:color="auto"/>
      </w:divBdr>
    </w:div>
    <w:div w:id="58987374">
      <w:bodyDiv w:val="1"/>
      <w:marLeft w:val="0"/>
      <w:marRight w:val="0"/>
      <w:marTop w:val="0"/>
      <w:marBottom w:val="0"/>
      <w:divBdr>
        <w:top w:val="none" w:sz="0" w:space="0" w:color="auto"/>
        <w:left w:val="none" w:sz="0" w:space="0" w:color="auto"/>
        <w:bottom w:val="none" w:sz="0" w:space="0" w:color="auto"/>
        <w:right w:val="none" w:sz="0" w:space="0" w:color="auto"/>
      </w:divBdr>
      <w:divsChild>
        <w:div w:id="514460441">
          <w:marLeft w:val="240"/>
          <w:marRight w:val="240"/>
          <w:marTop w:val="240"/>
          <w:marBottom w:val="240"/>
          <w:divBdr>
            <w:top w:val="none" w:sz="0" w:space="0" w:color="auto"/>
            <w:left w:val="none" w:sz="0" w:space="0" w:color="auto"/>
            <w:bottom w:val="none" w:sz="0" w:space="0" w:color="auto"/>
            <w:right w:val="none" w:sz="0" w:space="0" w:color="auto"/>
          </w:divBdr>
          <w:divsChild>
            <w:div w:id="483552791">
              <w:marLeft w:val="0"/>
              <w:marRight w:val="0"/>
              <w:marTop w:val="0"/>
              <w:marBottom w:val="0"/>
              <w:divBdr>
                <w:top w:val="none" w:sz="0" w:space="0" w:color="auto"/>
                <w:left w:val="none" w:sz="0" w:space="0" w:color="auto"/>
                <w:bottom w:val="none" w:sz="0" w:space="0" w:color="auto"/>
                <w:right w:val="none" w:sz="0" w:space="0" w:color="auto"/>
              </w:divBdr>
              <w:divsChild>
                <w:div w:id="14768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453">
          <w:marLeft w:val="240"/>
          <w:marRight w:val="240"/>
          <w:marTop w:val="240"/>
          <w:marBottom w:val="240"/>
          <w:divBdr>
            <w:top w:val="none" w:sz="0" w:space="0" w:color="auto"/>
            <w:left w:val="none" w:sz="0" w:space="0" w:color="auto"/>
            <w:bottom w:val="none" w:sz="0" w:space="0" w:color="auto"/>
            <w:right w:val="none" w:sz="0" w:space="0" w:color="auto"/>
          </w:divBdr>
          <w:divsChild>
            <w:div w:id="1018968403">
              <w:marLeft w:val="0"/>
              <w:marRight w:val="0"/>
              <w:marTop w:val="0"/>
              <w:marBottom w:val="0"/>
              <w:divBdr>
                <w:top w:val="none" w:sz="0" w:space="0" w:color="auto"/>
                <w:left w:val="none" w:sz="0" w:space="0" w:color="auto"/>
                <w:bottom w:val="none" w:sz="0" w:space="0" w:color="auto"/>
                <w:right w:val="none" w:sz="0" w:space="0" w:color="auto"/>
              </w:divBdr>
            </w:div>
            <w:div w:id="1015351770">
              <w:marLeft w:val="0"/>
              <w:marRight w:val="0"/>
              <w:marTop w:val="0"/>
              <w:marBottom w:val="0"/>
              <w:divBdr>
                <w:top w:val="none" w:sz="0" w:space="0" w:color="auto"/>
                <w:left w:val="none" w:sz="0" w:space="0" w:color="auto"/>
                <w:bottom w:val="none" w:sz="0" w:space="0" w:color="auto"/>
                <w:right w:val="none" w:sz="0" w:space="0" w:color="auto"/>
              </w:divBdr>
              <w:divsChild>
                <w:div w:id="1086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2871">
      <w:bodyDiv w:val="1"/>
      <w:marLeft w:val="0"/>
      <w:marRight w:val="0"/>
      <w:marTop w:val="0"/>
      <w:marBottom w:val="0"/>
      <w:divBdr>
        <w:top w:val="none" w:sz="0" w:space="0" w:color="auto"/>
        <w:left w:val="none" w:sz="0" w:space="0" w:color="auto"/>
        <w:bottom w:val="none" w:sz="0" w:space="0" w:color="auto"/>
        <w:right w:val="none" w:sz="0" w:space="0" w:color="auto"/>
      </w:divBdr>
    </w:div>
    <w:div w:id="183446546">
      <w:bodyDiv w:val="1"/>
      <w:marLeft w:val="0"/>
      <w:marRight w:val="0"/>
      <w:marTop w:val="0"/>
      <w:marBottom w:val="0"/>
      <w:divBdr>
        <w:top w:val="none" w:sz="0" w:space="0" w:color="auto"/>
        <w:left w:val="none" w:sz="0" w:space="0" w:color="auto"/>
        <w:bottom w:val="none" w:sz="0" w:space="0" w:color="auto"/>
        <w:right w:val="none" w:sz="0" w:space="0" w:color="auto"/>
      </w:divBdr>
    </w:div>
    <w:div w:id="214660315">
      <w:bodyDiv w:val="1"/>
      <w:marLeft w:val="0"/>
      <w:marRight w:val="0"/>
      <w:marTop w:val="0"/>
      <w:marBottom w:val="0"/>
      <w:divBdr>
        <w:top w:val="none" w:sz="0" w:space="0" w:color="auto"/>
        <w:left w:val="none" w:sz="0" w:space="0" w:color="auto"/>
        <w:bottom w:val="none" w:sz="0" w:space="0" w:color="auto"/>
        <w:right w:val="none" w:sz="0" w:space="0" w:color="auto"/>
      </w:divBdr>
    </w:div>
    <w:div w:id="219637186">
      <w:bodyDiv w:val="1"/>
      <w:marLeft w:val="0"/>
      <w:marRight w:val="0"/>
      <w:marTop w:val="0"/>
      <w:marBottom w:val="0"/>
      <w:divBdr>
        <w:top w:val="none" w:sz="0" w:space="0" w:color="auto"/>
        <w:left w:val="none" w:sz="0" w:space="0" w:color="auto"/>
        <w:bottom w:val="none" w:sz="0" w:space="0" w:color="auto"/>
        <w:right w:val="none" w:sz="0" w:space="0" w:color="auto"/>
      </w:divBdr>
    </w:div>
    <w:div w:id="222451190">
      <w:bodyDiv w:val="1"/>
      <w:marLeft w:val="0"/>
      <w:marRight w:val="0"/>
      <w:marTop w:val="0"/>
      <w:marBottom w:val="0"/>
      <w:divBdr>
        <w:top w:val="none" w:sz="0" w:space="0" w:color="auto"/>
        <w:left w:val="none" w:sz="0" w:space="0" w:color="auto"/>
        <w:bottom w:val="none" w:sz="0" w:space="0" w:color="auto"/>
        <w:right w:val="none" w:sz="0" w:space="0" w:color="auto"/>
      </w:divBdr>
    </w:div>
    <w:div w:id="227345869">
      <w:bodyDiv w:val="1"/>
      <w:marLeft w:val="0"/>
      <w:marRight w:val="0"/>
      <w:marTop w:val="0"/>
      <w:marBottom w:val="0"/>
      <w:divBdr>
        <w:top w:val="none" w:sz="0" w:space="0" w:color="auto"/>
        <w:left w:val="none" w:sz="0" w:space="0" w:color="auto"/>
        <w:bottom w:val="none" w:sz="0" w:space="0" w:color="auto"/>
        <w:right w:val="none" w:sz="0" w:space="0" w:color="auto"/>
      </w:divBdr>
    </w:div>
    <w:div w:id="239491168">
      <w:bodyDiv w:val="1"/>
      <w:marLeft w:val="0"/>
      <w:marRight w:val="0"/>
      <w:marTop w:val="0"/>
      <w:marBottom w:val="0"/>
      <w:divBdr>
        <w:top w:val="none" w:sz="0" w:space="0" w:color="auto"/>
        <w:left w:val="none" w:sz="0" w:space="0" w:color="auto"/>
        <w:bottom w:val="none" w:sz="0" w:space="0" w:color="auto"/>
        <w:right w:val="none" w:sz="0" w:space="0" w:color="auto"/>
      </w:divBdr>
    </w:div>
    <w:div w:id="251012960">
      <w:bodyDiv w:val="1"/>
      <w:marLeft w:val="0"/>
      <w:marRight w:val="0"/>
      <w:marTop w:val="0"/>
      <w:marBottom w:val="0"/>
      <w:divBdr>
        <w:top w:val="none" w:sz="0" w:space="0" w:color="auto"/>
        <w:left w:val="none" w:sz="0" w:space="0" w:color="auto"/>
        <w:bottom w:val="none" w:sz="0" w:space="0" w:color="auto"/>
        <w:right w:val="none" w:sz="0" w:space="0" w:color="auto"/>
      </w:divBdr>
    </w:div>
    <w:div w:id="259680562">
      <w:bodyDiv w:val="1"/>
      <w:marLeft w:val="0"/>
      <w:marRight w:val="0"/>
      <w:marTop w:val="0"/>
      <w:marBottom w:val="0"/>
      <w:divBdr>
        <w:top w:val="none" w:sz="0" w:space="0" w:color="auto"/>
        <w:left w:val="none" w:sz="0" w:space="0" w:color="auto"/>
        <w:bottom w:val="none" w:sz="0" w:space="0" w:color="auto"/>
        <w:right w:val="none" w:sz="0" w:space="0" w:color="auto"/>
      </w:divBdr>
    </w:div>
    <w:div w:id="270010578">
      <w:bodyDiv w:val="1"/>
      <w:marLeft w:val="0"/>
      <w:marRight w:val="0"/>
      <w:marTop w:val="0"/>
      <w:marBottom w:val="0"/>
      <w:divBdr>
        <w:top w:val="none" w:sz="0" w:space="0" w:color="auto"/>
        <w:left w:val="none" w:sz="0" w:space="0" w:color="auto"/>
        <w:bottom w:val="none" w:sz="0" w:space="0" w:color="auto"/>
        <w:right w:val="none" w:sz="0" w:space="0" w:color="auto"/>
      </w:divBdr>
    </w:div>
    <w:div w:id="287206022">
      <w:bodyDiv w:val="1"/>
      <w:marLeft w:val="0"/>
      <w:marRight w:val="0"/>
      <w:marTop w:val="0"/>
      <w:marBottom w:val="0"/>
      <w:divBdr>
        <w:top w:val="none" w:sz="0" w:space="0" w:color="auto"/>
        <w:left w:val="none" w:sz="0" w:space="0" w:color="auto"/>
        <w:bottom w:val="none" w:sz="0" w:space="0" w:color="auto"/>
        <w:right w:val="none" w:sz="0" w:space="0" w:color="auto"/>
      </w:divBdr>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15233229">
      <w:bodyDiv w:val="1"/>
      <w:marLeft w:val="0"/>
      <w:marRight w:val="0"/>
      <w:marTop w:val="0"/>
      <w:marBottom w:val="0"/>
      <w:divBdr>
        <w:top w:val="none" w:sz="0" w:space="0" w:color="auto"/>
        <w:left w:val="none" w:sz="0" w:space="0" w:color="auto"/>
        <w:bottom w:val="none" w:sz="0" w:space="0" w:color="auto"/>
        <w:right w:val="none" w:sz="0" w:space="0" w:color="auto"/>
      </w:divBdr>
    </w:div>
    <w:div w:id="341932727">
      <w:bodyDiv w:val="1"/>
      <w:marLeft w:val="0"/>
      <w:marRight w:val="0"/>
      <w:marTop w:val="0"/>
      <w:marBottom w:val="0"/>
      <w:divBdr>
        <w:top w:val="none" w:sz="0" w:space="0" w:color="auto"/>
        <w:left w:val="none" w:sz="0" w:space="0" w:color="auto"/>
        <w:bottom w:val="none" w:sz="0" w:space="0" w:color="auto"/>
        <w:right w:val="none" w:sz="0" w:space="0" w:color="auto"/>
      </w:divBdr>
      <w:divsChild>
        <w:div w:id="101347533">
          <w:marLeft w:val="0"/>
          <w:marRight w:val="0"/>
          <w:marTop w:val="150"/>
          <w:marBottom w:val="0"/>
          <w:divBdr>
            <w:top w:val="none" w:sz="0" w:space="0" w:color="auto"/>
            <w:left w:val="none" w:sz="0" w:space="0" w:color="auto"/>
            <w:bottom w:val="none" w:sz="0" w:space="0" w:color="auto"/>
            <w:right w:val="none" w:sz="0" w:space="0" w:color="auto"/>
          </w:divBdr>
          <w:divsChild>
            <w:div w:id="1197934779">
              <w:marLeft w:val="0"/>
              <w:marRight w:val="0"/>
              <w:marTop w:val="0"/>
              <w:marBottom w:val="0"/>
              <w:divBdr>
                <w:top w:val="none" w:sz="0" w:space="0" w:color="auto"/>
                <w:left w:val="none" w:sz="0" w:space="0" w:color="auto"/>
                <w:bottom w:val="none" w:sz="0" w:space="0" w:color="auto"/>
                <w:right w:val="none" w:sz="0" w:space="0" w:color="auto"/>
              </w:divBdr>
            </w:div>
            <w:div w:id="2137487255">
              <w:marLeft w:val="0"/>
              <w:marRight w:val="0"/>
              <w:marTop w:val="0"/>
              <w:marBottom w:val="0"/>
              <w:divBdr>
                <w:top w:val="none" w:sz="0" w:space="0" w:color="auto"/>
                <w:left w:val="none" w:sz="0" w:space="0" w:color="auto"/>
                <w:bottom w:val="none" w:sz="0" w:space="0" w:color="auto"/>
                <w:right w:val="none" w:sz="0" w:space="0" w:color="auto"/>
              </w:divBdr>
            </w:div>
          </w:divsChild>
        </w:div>
        <w:div w:id="2039699069">
          <w:marLeft w:val="0"/>
          <w:marRight w:val="0"/>
          <w:marTop w:val="0"/>
          <w:marBottom w:val="0"/>
          <w:divBdr>
            <w:top w:val="none" w:sz="0" w:space="0" w:color="auto"/>
            <w:left w:val="none" w:sz="0" w:space="0" w:color="auto"/>
            <w:bottom w:val="none" w:sz="0" w:space="0" w:color="auto"/>
            <w:right w:val="none" w:sz="0" w:space="0" w:color="auto"/>
          </w:divBdr>
          <w:divsChild>
            <w:div w:id="197545422">
              <w:marLeft w:val="0"/>
              <w:marRight w:val="0"/>
              <w:marTop w:val="0"/>
              <w:marBottom w:val="0"/>
              <w:divBdr>
                <w:top w:val="none" w:sz="0" w:space="0" w:color="auto"/>
                <w:left w:val="none" w:sz="0" w:space="0" w:color="auto"/>
                <w:bottom w:val="none" w:sz="0" w:space="0" w:color="auto"/>
                <w:right w:val="none" w:sz="0" w:space="0" w:color="auto"/>
              </w:divBdr>
              <w:divsChild>
                <w:div w:id="1193572981">
                  <w:marLeft w:val="0"/>
                  <w:marRight w:val="0"/>
                  <w:marTop w:val="0"/>
                  <w:marBottom w:val="0"/>
                  <w:divBdr>
                    <w:top w:val="none" w:sz="0" w:space="0" w:color="auto"/>
                    <w:left w:val="none" w:sz="0" w:space="0" w:color="auto"/>
                    <w:bottom w:val="none" w:sz="0" w:space="0" w:color="auto"/>
                    <w:right w:val="none" w:sz="0" w:space="0" w:color="auto"/>
                  </w:divBdr>
                  <w:divsChild>
                    <w:div w:id="2537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0353">
      <w:bodyDiv w:val="1"/>
      <w:marLeft w:val="0"/>
      <w:marRight w:val="0"/>
      <w:marTop w:val="0"/>
      <w:marBottom w:val="0"/>
      <w:divBdr>
        <w:top w:val="none" w:sz="0" w:space="0" w:color="auto"/>
        <w:left w:val="none" w:sz="0" w:space="0" w:color="auto"/>
        <w:bottom w:val="none" w:sz="0" w:space="0" w:color="auto"/>
        <w:right w:val="none" w:sz="0" w:space="0" w:color="auto"/>
      </w:divBdr>
    </w:div>
    <w:div w:id="343436312">
      <w:bodyDiv w:val="1"/>
      <w:marLeft w:val="0"/>
      <w:marRight w:val="0"/>
      <w:marTop w:val="0"/>
      <w:marBottom w:val="0"/>
      <w:divBdr>
        <w:top w:val="none" w:sz="0" w:space="0" w:color="auto"/>
        <w:left w:val="none" w:sz="0" w:space="0" w:color="auto"/>
        <w:bottom w:val="none" w:sz="0" w:space="0" w:color="auto"/>
        <w:right w:val="none" w:sz="0" w:space="0" w:color="auto"/>
      </w:divBdr>
    </w:div>
    <w:div w:id="349259654">
      <w:bodyDiv w:val="1"/>
      <w:marLeft w:val="0"/>
      <w:marRight w:val="0"/>
      <w:marTop w:val="0"/>
      <w:marBottom w:val="0"/>
      <w:divBdr>
        <w:top w:val="none" w:sz="0" w:space="0" w:color="auto"/>
        <w:left w:val="none" w:sz="0" w:space="0" w:color="auto"/>
        <w:bottom w:val="none" w:sz="0" w:space="0" w:color="auto"/>
        <w:right w:val="none" w:sz="0" w:space="0" w:color="auto"/>
      </w:divBdr>
    </w:div>
    <w:div w:id="357119951">
      <w:bodyDiv w:val="1"/>
      <w:marLeft w:val="0"/>
      <w:marRight w:val="0"/>
      <w:marTop w:val="0"/>
      <w:marBottom w:val="0"/>
      <w:divBdr>
        <w:top w:val="none" w:sz="0" w:space="0" w:color="auto"/>
        <w:left w:val="none" w:sz="0" w:space="0" w:color="auto"/>
        <w:bottom w:val="none" w:sz="0" w:space="0" w:color="auto"/>
        <w:right w:val="none" w:sz="0" w:space="0" w:color="auto"/>
      </w:divBdr>
    </w:div>
    <w:div w:id="371737127">
      <w:bodyDiv w:val="1"/>
      <w:marLeft w:val="0"/>
      <w:marRight w:val="0"/>
      <w:marTop w:val="0"/>
      <w:marBottom w:val="0"/>
      <w:divBdr>
        <w:top w:val="none" w:sz="0" w:space="0" w:color="auto"/>
        <w:left w:val="none" w:sz="0" w:space="0" w:color="auto"/>
        <w:bottom w:val="none" w:sz="0" w:space="0" w:color="auto"/>
        <w:right w:val="none" w:sz="0" w:space="0" w:color="auto"/>
      </w:divBdr>
    </w:div>
    <w:div w:id="407002776">
      <w:bodyDiv w:val="1"/>
      <w:marLeft w:val="0"/>
      <w:marRight w:val="0"/>
      <w:marTop w:val="0"/>
      <w:marBottom w:val="0"/>
      <w:divBdr>
        <w:top w:val="none" w:sz="0" w:space="0" w:color="auto"/>
        <w:left w:val="none" w:sz="0" w:space="0" w:color="auto"/>
        <w:bottom w:val="none" w:sz="0" w:space="0" w:color="auto"/>
        <w:right w:val="none" w:sz="0" w:space="0" w:color="auto"/>
      </w:divBdr>
    </w:div>
    <w:div w:id="418869863">
      <w:bodyDiv w:val="1"/>
      <w:marLeft w:val="0"/>
      <w:marRight w:val="0"/>
      <w:marTop w:val="0"/>
      <w:marBottom w:val="0"/>
      <w:divBdr>
        <w:top w:val="none" w:sz="0" w:space="0" w:color="auto"/>
        <w:left w:val="none" w:sz="0" w:space="0" w:color="auto"/>
        <w:bottom w:val="none" w:sz="0" w:space="0" w:color="auto"/>
        <w:right w:val="none" w:sz="0" w:space="0" w:color="auto"/>
      </w:divBdr>
    </w:div>
    <w:div w:id="461310371">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15845220">
      <w:bodyDiv w:val="1"/>
      <w:marLeft w:val="0"/>
      <w:marRight w:val="0"/>
      <w:marTop w:val="0"/>
      <w:marBottom w:val="0"/>
      <w:divBdr>
        <w:top w:val="none" w:sz="0" w:space="0" w:color="auto"/>
        <w:left w:val="none" w:sz="0" w:space="0" w:color="auto"/>
        <w:bottom w:val="none" w:sz="0" w:space="0" w:color="auto"/>
        <w:right w:val="none" w:sz="0" w:space="0" w:color="auto"/>
      </w:divBdr>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563686590">
      <w:bodyDiv w:val="1"/>
      <w:marLeft w:val="0"/>
      <w:marRight w:val="0"/>
      <w:marTop w:val="0"/>
      <w:marBottom w:val="0"/>
      <w:divBdr>
        <w:top w:val="none" w:sz="0" w:space="0" w:color="auto"/>
        <w:left w:val="none" w:sz="0" w:space="0" w:color="auto"/>
        <w:bottom w:val="none" w:sz="0" w:space="0" w:color="auto"/>
        <w:right w:val="none" w:sz="0" w:space="0" w:color="auto"/>
      </w:divBdr>
    </w:div>
    <w:div w:id="579100431">
      <w:bodyDiv w:val="1"/>
      <w:marLeft w:val="0"/>
      <w:marRight w:val="0"/>
      <w:marTop w:val="0"/>
      <w:marBottom w:val="0"/>
      <w:divBdr>
        <w:top w:val="none" w:sz="0" w:space="0" w:color="auto"/>
        <w:left w:val="none" w:sz="0" w:space="0" w:color="auto"/>
        <w:bottom w:val="none" w:sz="0" w:space="0" w:color="auto"/>
        <w:right w:val="none" w:sz="0" w:space="0" w:color="auto"/>
      </w:divBdr>
    </w:div>
    <w:div w:id="607930262">
      <w:bodyDiv w:val="1"/>
      <w:marLeft w:val="0"/>
      <w:marRight w:val="0"/>
      <w:marTop w:val="0"/>
      <w:marBottom w:val="0"/>
      <w:divBdr>
        <w:top w:val="none" w:sz="0" w:space="0" w:color="auto"/>
        <w:left w:val="none" w:sz="0" w:space="0" w:color="auto"/>
        <w:bottom w:val="none" w:sz="0" w:space="0" w:color="auto"/>
        <w:right w:val="none" w:sz="0" w:space="0" w:color="auto"/>
      </w:divBdr>
    </w:div>
    <w:div w:id="614168646">
      <w:bodyDiv w:val="1"/>
      <w:marLeft w:val="0"/>
      <w:marRight w:val="0"/>
      <w:marTop w:val="0"/>
      <w:marBottom w:val="0"/>
      <w:divBdr>
        <w:top w:val="none" w:sz="0" w:space="0" w:color="auto"/>
        <w:left w:val="none" w:sz="0" w:space="0" w:color="auto"/>
        <w:bottom w:val="none" w:sz="0" w:space="0" w:color="auto"/>
        <w:right w:val="none" w:sz="0" w:space="0" w:color="auto"/>
      </w:divBdr>
    </w:div>
    <w:div w:id="678506454">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688726983">
      <w:bodyDiv w:val="1"/>
      <w:marLeft w:val="0"/>
      <w:marRight w:val="0"/>
      <w:marTop w:val="0"/>
      <w:marBottom w:val="0"/>
      <w:divBdr>
        <w:top w:val="none" w:sz="0" w:space="0" w:color="auto"/>
        <w:left w:val="none" w:sz="0" w:space="0" w:color="auto"/>
        <w:bottom w:val="none" w:sz="0" w:space="0" w:color="auto"/>
        <w:right w:val="none" w:sz="0" w:space="0" w:color="auto"/>
      </w:divBdr>
    </w:div>
    <w:div w:id="694386631">
      <w:bodyDiv w:val="1"/>
      <w:marLeft w:val="0"/>
      <w:marRight w:val="0"/>
      <w:marTop w:val="0"/>
      <w:marBottom w:val="0"/>
      <w:divBdr>
        <w:top w:val="none" w:sz="0" w:space="0" w:color="auto"/>
        <w:left w:val="none" w:sz="0" w:space="0" w:color="auto"/>
        <w:bottom w:val="none" w:sz="0" w:space="0" w:color="auto"/>
        <w:right w:val="none" w:sz="0" w:space="0" w:color="auto"/>
      </w:divBdr>
    </w:div>
    <w:div w:id="706174438">
      <w:bodyDiv w:val="1"/>
      <w:marLeft w:val="0"/>
      <w:marRight w:val="0"/>
      <w:marTop w:val="0"/>
      <w:marBottom w:val="0"/>
      <w:divBdr>
        <w:top w:val="none" w:sz="0" w:space="0" w:color="auto"/>
        <w:left w:val="none" w:sz="0" w:space="0" w:color="auto"/>
        <w:bottom w:val="none" w:sz="0" w:space="0" w:color="auto"/>
        <w:right w:val="none" w:sz="0" w:space="0" w:color="auto"/>
      </w:divBdr>
    </w:div>
    <w:div w:id="765151350">
      <w:bodyDiv w:val="1"/>
      <w:marLeft w:val="0"/>
      <w:marRight w:val="0"/>
      <w:marTop w:val="0"/>
      <w:marBottom w:val="0"/>
      <w:divBdr>
        <w:top w:val="none" w:sz="0" w:space="0" w:color="auto"/>
        <w:left w:val="none" w:sz="0" w:space="0" w:color="auto"/>
        <w:bottom w:val="none" w:sz="0" w:space="0" w:color="auto"/>
        <w:right w:val="none" w:sz="0" w:space="0" w:color="auto"/>
      </w:divBdr>
    </w:div>
    <w:div w:id="825320643">
      <w:bodyDiv w:val="1"/>
      <w:marLeft w:val="0"/>
      <w:marRight w:val="0"/>
      <w:marTop w:val="0"/>
      <w:marBottom w:val="0"/>
      <w:divBdr>
        <w:top w:val="none" w:sz="0" w:space="0" w:color="auto"/>
        <w:left w:val="none" w:sz="0" w:space="0" w:color="auto"/>
        <w:bottom w:val="none" w:sz="0" w:space="0" w:color="auto"/>
        <w:right w:val="none" w:sz="0" w:space="0" w:color="auto"/>
      </w:divBdr>
    </w:div>
    <w:div w:id="829059148">
      <w:bodyDiv w:val="1"/>
      <w:marLeft w:val="0"/>
      <w:marRight w:val="0"/>
      <w:marTop w:val="0"/>
      <w:marBottom w:val="0"/>
      <w:divBdr>
        <w:top w:val="none" w:sz="0" w:space="0" w:color="auto"/>
        <w:left w:val="none" w:sz="0" w:space="0" w:color="auto"/>
        <w:bottom w:val="none" w:sz="0" w:space="0" w:color="auto"/>
        <w:right w:val="none" w:sz="0" w:space="0" w:color="auto"/>
      </w:divBdr>
    </w:div>
    <w:div w:id="835192104">
      <w:bodyDiv w:val="1"/>
      <w:marLeft w:val="0"/>
      <w:marRight w:val="0"/>
      <w:marTop w:val="0"/>
      <w:marBottom w:val="0"/>
      <w:divBdr>
        <w:top w:val="none" w:sz="0" w:space="0" w:color="auto"/>
        <w:left w:val="none" w:sz="0" w:space="0" w:color="auto"/>
        <w:bottom w:val="none" w:sz="0" w:space="0" w:color="auto"/>
        <w:right w:val="none" w:sz="0" w:space="0" w:color="auto"/>
      </w:divBdr>
    </w:div>
    <w:div w:id="835804617">
      <w:bodyDiv w:val="1"/>
      <w:marLeft w:val="0"/>
      <w:marRight w:val="0"/>
      <w:marTop w:val="0"/>
      <w:marBottom w:val="0"/>
      <w:divBdr>
        <w:top w:val="none" w:sz="0" w:space="0" w:color="auto"/>
        <w:left w:val="none" w:sz="0" w:space="0" w:color="auto"/>
        <w:bottom w:val="none" w:sz="0" w:space="0" w:color="auto"/>
        <w:right w:val="none" w:sz="0" w:space="0" w:color="auto"/>
      </w:divBdr>
    </w:div>
    <w:div w:id="839196872">
      <w:bodyDiv w:val="1"/>
      <w:marLeft w:val="0"/>
      <w:marRight w:val="0"/>
      <w:marTop w:val="0"/>
      <w:marBottom w:val="0"/>
      <w:divBdr>
        <w:top w:val="none" w:sz="0" w:space="0" w:color="auto"/>
        <w:left w:val="none" w:sz="0" w:space="0" w:color="auto"/>
        <w:bottom w:val="none" w:sz="0" w:space="0" w:color="auto"/>
        <w:right w:val="none" w:sz="0" w:space="0" w:color="auto"/>
      </w:divBdr>
    </w:div>
    <w:div w:id="849684159">
      <w:bodyDiv w:val="1"/>
      <w:marLeft w:val="0"/>
      <w:marRight w:val="0"/>
      <w:marTop w:val="0"/>
      <w:marBottom w:val="0"/>
      <w:divBdr>
        <w:top w:val="none" w:sz="0" w:space="0" w:color="auto"/>
        <w:left w:val="none" w:sz="0" w:space="0" w:color="auto"/>
        <w:bottom w:val="none" w:sz="0" w:space="0" w:color="auto"/>
        <w:right w:val="none" w:sz="0" w:space="0" w:color="auto"/>
      </w:divBdr>
    </w:div>
    <w:div w:id="875192059">
      <w:bodyDiv w:val="1"/>
      <w:marLeft w:val="0"/>
      <w:marRight w:val="0"/>
      <w:marTop w:val="0"/>
      <w:marBottom w:val="0"/>
      <w:divBdr>
        <w:top w:val="none" w:sz="0" w:space="0" w:color="auto"/>
        <w:left w:val="none" w:sz="0" w:space="0" w:color="auto"/>
        <w:bottom w:val="none" w:sz="0" w:space="0" w:color="auto"/>
        <w:right w:val="none" w:sz="0" w:space="0" w:color="auto"/>
      </w:divBdr>
    </w:div>
    <w:div w:id="879978354">
      <w:bodyDiv w:val="1"/>
      <w:marLeft w:val="0"/>
      <w:marRight w:val="0"/>
      <w:marTop w:val="0"/>
      <w:marBottom w:val="0"/>
      <w:divBdr>
        <w:top w:val="none" w:sz="0" w:space="0" w:color="auto"/>
        <w:left w:val="none" w:sz="0" w:space="0" w:color="auto"/>
        <w:bottom w:val="none" w:sz="0" w:space="0" w:color="auto"/>
        <w:right w:val="none" w:sz="0" w:space="0" w:color="auto"/>
      </w:divBdr>
    </w:div>
    <w:div w:id="887760088">
      <w:bodyDiv w:val="1"/>
      <w:marLeft w:val="0"/>
      <w:marRight w:val="0"/>
      <w:marTop w:val="0"/>
      <w:marBottom w:val="0"/>
      <w:divBdr>
        <w:top w:val="none" w:sz="0" w:space="0" w:color="auto"/>
        <w:left w:val="none" w:sz="0" w:space="0" w:color="auto"/>
        <w:bottom w:val="none" w:sz="0" w:space="0" w:color="auto"/>
        <w:right w:val="none" w:sz="0" w:space="0" w:color="auto"/>
      </w:divBdr>
    </w:div>
    <w:div w:id="915751025">
      <w:bodyDiv w:val="1"/>
      <w:marLeft w:val="0"/>
      <w:marRight w:val="0"/>
      <w:marTop w:val="0"/>
      <w:marBottom w:val="0"/>
      <w:divBdr>
        <w:top w:val="none" w:sz="0" w:space="0" w:color="auto"/>
        <w:left w:val="none" w:sz="0" w:space="0" w:color="auto"/>
        <w:bottom w:val="none" w:sz="0" w:space="0" w:color="auto"/>
        <w:right w:val="none" w:sz="0" w:space="0" w:color="auto"/>
      </w:divBdr>
    </w:div>
    <w:div w:id="927038076">
      <w:bodyDiv w:val="1"/>
      <w:marLeft w:val="0"/>
      <w:marRight w:val="0"/>
      <w:marTop w:val="0"/>
      <w:marBottom w:val="0"/>
      <w:divBdr>
        <w:top w:val="none" w:sz="0" w:space="0" w:color="auto"/>
        <w:left w:val="none" w:sz="0" w:space="0" w:color="auto"/>
        <w:bottom w:val="none" w:sz="0" w:space="0" w:color="auto"/>
        <w:right w:val="none" w:sz="0" w:space="0" w:color="auto"/>
      </w:divBdr>
    </w:div>
    <w:div w:id="928125410">
      <w:bodyDiv w:val="1"/>
      <w:marLeft w:val="0"/>
      <w:marRight w:val="0"/>
      <w:marTop w:val="0"/>
      <w:marBottom w:val="0"/>
      <w:divBdr>
        <w:top w:val="none" w:sz="0" w:space="0" w:color="auto"/>
        <w:left w:val="none" w:sz="0" w:space="0" w:color="auto"/>
        <w:bottom w:val="none" w:sz="0" w:space="0" w:color="auto"/>
        <w:right w:val="none" w:sz="0" w:space="0" w:color="auto"/>
      </w:divBdr>
    </w:div>
    <w:div w:id="950281318">
      <w:bodyDiv w:val="1"/>
      <w:marLeft w:val="0"/>
      <w:marRight w:val="0"/>
      <w:marTop w:val="0"/>
      <w:marBottom w:val="0"/>
      <w:divBdr>
        <w:top w:val="none" w:sz="0" w:space="0" w:color="auto"/>
        <w:left w:val="none" w:sz="0" w:space="0" w:color="auto"/>
        <w:bottom w:val="none" w:sz="0" w:space="0" w:color="auto"/>
        <w:right w:val="none" w:sz="0" w:space="0" w:color="auto"/>
      </w:divBdr>
    </w:div>
    <w:div w:id="975528438">
      <w:bodyDiv w:val="1"/>
      <w:marLeft w:val="0"/>
      <w:marRight w:val="0"/>
      <w:marTop w:val="0"/>
      <w:marBottom w:val="0"/>
      <w:divBdr>
        <w:top w:val="none" w:sz="0" w:space="0" w:color="auto"/>
        <w:left w:val="none" w:sz="0" w:space="0" w:color="auto"/>
        <w:bottom w:val="none" w:sz="0" w:space="0" w:color="auto"/>
        <w:right w:val="none" w:sz="0" w:space="0" w:color="auto"/>
      </w:divBdr>
    </w:div>
    <w:div w:id="1009407304">
      <w:bodyDiv w:val="1"/>
      <w:marLeft w:val="0"/>
      <w:marRight w:val="0"/>
      <w:marTop w:val="0"/>
      <w:marBottom w:val="0"/>
      <w:divBdr>
        <w:top w:val="none" w:sz="0" w:space="0" w:color="auto"/>
        <w:left w:val="none" w:sz="0" w:space="0" w:color="auto"/>
        <w:bottom w:val="none" w:sz="0" w:space="0" w:color="auto"/>
        <w:right w:val="none" w:sz="0" w:space="0" w:color="auto"/>
      </w:divBdr>
    </w:div>
    <w:div w:id="1015812175">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17347149">
      <w:bodyDiv w:val="1"/>
      <w:marLeft w:val="0"/>
      <w:marRight w:val="0"/>
      <w:marTop w:val="0"/>
      <w:marBottom w:val="0"/>
      <w:divBdr>
        <w:top w:val="none" w:sz="0" w:space="0" w:color="auto"/>
        <w:left w:val="none" w:sz="0" w:space="0" w:color="auto"/>
        <w:bottom w:val="none" w:sz="0" w:space="0" w:color="auto"/>
        <w:right w:val="none" w:sz="0" w:space="0" w:color="auto"/>
      </w:divBdr>
    </w:div>
    <w:div w:id="1019429162">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048340025">
      <w:bodyDiv w:val="1"/>
      <w:marLeft w:val="0"/>
      <w:marRight w:val="0"/>
      <w:marTop w:val="0"/>
      <w:marBottom w:val="0"/>
      <w:divBdr>
        <w:top w:val="none" w:sz="0" w:space="0" w:color="auto"/>
        <w:left w:val="none" w:sz="0" w:space="0" w:color="auto"/>
        <w:bottom w:val="none" w:sz="0" w:space="0" w:color="auto"/>
        <w:right w:val="none" w:sz="0" w:space="0" w:color="auto"/>
      </w:divBdr>
    </w:div>
    <w:div w:id="1051923296">
      <w:bodyDiv w:val="1"/>
      <w:marLeft w:val="0"/>
      <w:marRight w:val="0"/>
      <w:marTop w:val="0"/>
      <w:marBottom w:val="0"/>
      <w:divBdr>
        <w:top w:val="none" w:sz="0" w:space="0" w:color="auto"/>
        <w:left w:val="none" w:sz="0" w:space="0" w:color="auto"/>
        <w:bottom w:val="none" w:sz="0" w:space="0" w:color="auto"/>
        <w:right w:val="none" w:sz="0" w:space="0" w:color="auto"/>
      </w:divBdr>
    </w:div>
    <w:div w:id="1073818053">
      <w:bodyDiv w:val="1"/>
      <w:marLeft w:val="0"/>
      <w:marRight w:val="0"/>
      <w:marTop w:val="0"/>
      <w:marBottom w:val="0"/>
      <w:divBdr>
        <w:top w:val="none" w:sz="0" w:space="0" w:color="auto"/>
        <w:left w:val="none" w:sz="0" w:space="0" w:color="auto"/>
        <w:bottom w:val="none" w:sz="0" w:space="0" w:color="auto"/>
        <w:right w:val="none" w:sz="0" w:space="0" w:color="auto"/>
      </w:divBdr>
    </w:div>
    <w:div w:id="1078477726">
      <w:bodyDiv w:val="1"/>
      <w:marLeft w:val="0"/>
      <w:marRight w:val="0"/>
      <w:marTop w:val="0"/>
      <w:marBottom w:val="0"/>
      <w:divBdr>
        <w:top w:val="none" w:sz="0" w:space="0" w:color="auto"/>
        <w:left w:val="none" w:sz="0" w:space="0" w:color="auto"/>
        <w:bottom w:val="none" w:sz="0" w:space="0" w:color="auto"/>
        <w:right w:val="none" w:sz="0" w:space="0" w:color="auto"/>
      </w:divBdr>
    </w:div>
    <w:div w:id="1084032497">
      <w:bodyDiv w:val="1"/>
      <w:marLeft w:val="0"/>
      <w:marRight w:val="0"/>
      <w:marTop w:val="0"/>
      <w:marBottom w:val="0"/>
      <w:divBdr>
        <w:top w:val="none" w:sz="0" w:space="0" w:color="auto"/>
        <w:left w:val="none" w:sz="0" w:space="0" w:color="auto"/>
        <w:bottom w:val="none" w:sz="0" w:space="0" w:color="auto"/>
        <w:right w:val="none" w:sz="0" w:space="0" w:color="auto"/>
      </w:divBdr>
    </w:div>
    <w:div w:id="1097091122">
      <w:bodyDiv w:val="1"/>
      <w:marLeft w:val="0"/>
      <w:marRight w:val="0"/>
      <w:marTop w:val="0"/>
      <w:marBottom w:val="0"/>
      <w:divBdr>
        <w:top w:val="none" w:sz="0" w:space="0" w:color="auto"/>
        <w:left w:val="none" w:sz="0" w:space="0" w:color="auto"/>
        <w:bottom w:val="none" w:sz="0" w:space="0" w:color="auto"/>
        <w:right w:val="none" w:sz="0" w:space="0" w:color="auto"/>
      </w:divBdr>
    </w:div>
    <w:div w:id="1116633549">
      <w:bodyDiv w:val="1"/>
      <w:marLeft w:val="0"/>
      <w:marRight w:val="0"/>
      <w:marTop w:val="0"/>
      <w:marBottom w:val="0"/>
      <w:divBdr>
        <w:top w:val="none" w:sz="0" w:space="0" w:color="auto"/>
        <w:left w:val="none" w:sz="0" w:space="0" w:color="auto"/>
        <w:bottom w:val="none" w:sz="0" w:space="0" w:color="auto"/>
        <w:right w:val="none" w:sz="0" w:space="0" w:color="auto"/>
      </w:divBdr>
    </w:div>
    <w:div w:id="1120303262">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49444067">
      <w:bodyDiv w:val="1"/>
      <w:marLeft w:val="0"/>
      <w:marRight w:val="0"/>
      <w:marTop w:val="0"/>
      <w:marBottom w:val="0"/>
      <w:divBdr>
        <w:top w:val="none" w:sz="0" w:space="0" w:color="auto"/>
        <w:left w:val="none" w:sz="0" w:space="0" w:color="auto"/>
        <w:bottom w:val="none" w:sz="0" w:space="0" w:color="auto"/>
        <w:right w:val="none" w:sz="0" w:space="0" w:color="auto"/>
      </w:divBdr>
    </w:div>
    <w:div w:id="1164247301">
      <w:bodyDiv w:val="1"/>
      <w:marLeft w:val="0"/>
      <w:marRight w:val="0"/>
      <w:marTop w:val="0"/>
      <w:marBottom w:val="0"/>
      <w:divBdr>
        <w:top w:val="none" w:sz="0" w:space="0" w:color="auto"/>
        <w:left w:val="none" w:sz="0" w:space="0" w:color="auto"/>
        <w:bottom w:val="none" w:sz="0" w:space="0" w:color="auto"/>
        <w:right w:val="none" w:sz="0" w:space="0" w:color="auto"/>
      </w:divBdr>
    </w:div>
    <w:div w:id="1191527915">
      <w:bodyDiv w:val="1"/>
      <w:marLeft w:val="0"/>
      <w:marRight w:val="0"/>
      <w:marTop w:val="0"/>
      <w:marBottom w:val="0"/>
      <w:divBdr>
        <w:top w:val="none" w:sz="0" w:space="0" w:color="auto"/>
        <w:left w:val="none" w:sz="0" w:space="0" w:color="auto"/>
        <w:bottom w:val="none" w:sz="0" w:space="0" w:color="auto"/>
        <w:right w:val="none" w:sz="0" w:space="0" w:color="auto"/>
      </w:divBdr>
    </w:div>
    <w:div w:id="1234467691">
      <w:bodyDiv w:val="1"/>
      <w:marLeft w:val="0"/>
      <w:marRight w:val="0"/>
      <w:marTop w:val="0"/>
      <w:marBottom w:val="0"/>
      <w:divBdr>
        <w:top w:val="none" w:sz="0" w:space="0" w:color="auto"/>
        <w:left w:val="none" w:sz="0" w:space="0" w:color="auto"/>
        <w:bottom w:val="none" w:sz="0" w:space="0" w:color="auto"/>
        <w:right w:val="none" w:sz="0" w:space="0" w:color="auto"/>
      </w:divBdr>
    </w:div>
    <w:div w:id="1235579161">
      <w:bodyDiv w:val="1"/>
      <w:marLeft w:val="0"/>
      <w:marRight w:val="0"/>
      <w:marTop w:val="0"/>
      <w:marBottom w:val="0"/>
      <w:divBdr>
        <w:top w:val="none" w:sz="0" w:space="0" w:color="auto"/>
        <w:left w:val="none" w:sz="0" w:space="0" w:color="auto"/>
        <w:bottom w:val="none" w:sz="0" w:space="0" w:color="auto"/>
        <w:right w:val="none" w:sz="0" w:space="0" w:color="auto"/>
      </w:divBdr>
    </w:div>
    <w:div w:id="1252473356">
      <w:bodyDiv w:val="1"/>
      <w:marLeft w:val="0"/>
      <w:marRight w:val="0"/>
      <w:marTop w:val="0"/>
      <w:marBottom w:val="0"/>
      <w:divBdr>
        <w:top w:val="none" w:sz="0" w:space="0" w:color="auto"/>
        <w:left w:val="none" w:sz="0" w:space="0" w:color="auto"/>
        <w:bottom w:val="none" w:sz="0" w:space="0" w:color="auto"/>
        <w:right w:val="none" w:sz="0" w:space="0" w:color="auto"/>
      </w:divBdr>
    </w:div>
    <w:div w:id="1287931036">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4385850">
      <w:bodyDiv w:val="1"/>
      <w:marLeft w:val="0"/>
      <w:marRight w:val="0"/>
      <w:marTop w:val="0"/>
      <w:marBottom w:val="0"/>
      <w:divBdr>
        <w:top w:val="none" w:sz="0" w:space="0" w:color="auto"/>
        <w:left w:val="none" w:sz="0" w:space="0" w:color="auto"/>
        <w:bottom w:val="none" w:sz="0" w:space="0" w:color="auto"/>
        <w:right w:val="none" w:sz="0" w:space="0" w:color="auto"/>
      </w:divBdr>
    </w:div>
    <w:div w:id="1309894303">
      <w:bodyDiv w:val="1"/>
      <w:marLeft w:val="0"/>
      <w:marRight w:val="0"/>
      <w:marTop w:val="0"/>
      <w:marBottom w:val="0"/>
      <w:divBdr>
        <w:top w:val="none" w:sz="0" w:space="0" w:color="auto"/>
        <w:left w:val="none" w:sz="0" w:space="0" w:color="auto"/>
        <w:bottom w:val="none" w:sz="0" w:space="0" w:color="auto"/>
        <w:right w:val="none" w:sz="0" w:space="0" w:color="auto"/>
      </w:divBdr>
    </w:div>
    <w:div w:id="1314484327">
      <w:bodyDiv w:val="1"/>
      <w:marLeft w:val="0"/>
      <w:marRight w:val="0"/>
      <w:marTop w:val="0"/>
      <w:marBottom w:val="0"/>
      <w:divBdr>
        <w:top w:val="none" w:sz="0" w:space="0" w:color="auto"/>
        <w:left w:val="none" w:sz="0" w:space="0" w:color="auto"/>
        <w:bottom w:val="none" w:sz="0" w:space="0" w:color="auto"/>
        <w:right w:val="none" w:sz="0" w:space="0" w:color="auto"/>
      </w:divBdr>
    </w:div>
    <w:div w:id="1327896888">
      <w:bodyDiv w:val="1"/>
      <w:marLeft w:val="0"/>
      <w:marRight w:val="0"/>
      <w:marTop w:val="0"/>
      <w:marBottom w:val="0"/>
      <w:divBdr>
        <w:top w:val="none" w:sz="0" w:space="0" w:color="auto"/>
        <w:left w:val="none" w:sz="0" w:space="0" w:color="auto"/>
        <w:bottom w:val="none" w:sz="0" w:space="0" w:color="auto"/>
        <w:right w:val="none" w:sz="0" w:space="0" w:color="auto"/>
      </w:divBdr>
    </w:div>
    <w:div w:id="1344357319">
      <w:bodyDiv w:val="1"/>
      <w:marLeft w:val="0"/>
      <w:marRight w:val="0"/>
      <w:marTop w:val="0"/>
      <w:marBottom w:val="0"/>
      <w:divBdr>
        <w:top w:val="none" w:sz="0" w:space="0" w:color="auto"/>
        <w:left w:val="none" w:sz="0" w:space="0" w:color="auto"/>
        <w:bottom w:val="none" w:sz="0" w:space="0" w:color="auto"/>
        <w:right w:val="none" w:sz="0" w:space="0" w:color="auto"/>
      </w:divBdr>
    </w:div>
    <w:div w:id="1347100795">
      <w:bodyDiv w:val="1"/>
      <w:marLeft w:val="0"/>
      <w:marRight w:val="0"/>
      <w:marTop w:val="0"/>
      <w:marBottom w:val="0"/>
      <w:divBdr>
        <w:top w:val="none" w:sz="0" w:space="0" w:color="auto"/>
        <w:left w:val="none" w:sz="0" w:space="0" w:color="auto"/>
        <w:bottom w:val="none" w:sz="0" w:space="0" w:color="auto"/>
        <w:right w:val="none" w:sz="0" w:space="0" w:color="auto"/>
      </w:divBdr>
    </w:div>
    <w:div w:id="1364551898">
      <w:bodyDiv w:val="1"/>
      <w:marLeft w:val="0"/>
      <w:marRight w:val="0"/>
      <w:marTop w:val="0"/>
      <w:marBottom w:val="0"/>
      <w:divBdr>
        <w:top w:val="none" w:sz="0" w:space="0" w:color="auto"/>
        <w:left w:val="none" w:sz="0" w:space="0" w:color="auto"/>
        <w:bottom w:val="none" w:sz="0" w:space="0" w:color="auto"/>
        <w:right w:val="none" w:sz="0" w:space="0" w:color="auto"/>
      </w:divBdr>
    </w:div>
    <w:div w:id="137654629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438908499">
      <w:bodyDiv w:val="1"/>
      <w:marLeft w:val="0"/>
      <w:marRight w:val="0"/>
      <w:marTop w:val="0"/>
      <w:marBottom w:val="0"/>
      <w:divBdr>
        <w:top w:val="none" w:sz="0" w:space="0" w:color="auto"/>
        <w:left w:val="none" w:sz="0" w:space="0" w:color="auto"/>
        <w:bottom w:val="none" w:sz="0" w:space="0" w:color="auto"/>
        <w:right w:val="none" w:sz="0" w:space="0" w:color="auto"/>
      </w:divBdr>
    </w:div>
    <w:div w:id="1490975232">
      <w:bodyDiv w:val="1"/>
      <w:marLeft w:val="0"/>
      <w:marRight w:val="0"/>
      <w:marTop w:val="0"/>
      <w:marBottom w:val="0"/>
      <w:divBdr>
        <w:top w:val="none" w:sz="0" w:space="0" w:color="auto"/>
        <w:left w:val="none" w:sz="0" w:space="0" w:color="auto"/>
        <w:bottom w:val="none" w:sz="0" w:space="0" w:color="auto"/>
        <w:right w:val="none" w:sz="0" w:space="0" w:color="auto"/>
      </w:divBdr>
    </w:div>
    <w:div w:id="1510871350">
      <w:bodyDiv w:val="1"/>
      <w:marLeft w:val="0"/>
      <w:marRight w:val="0"/>
      <w:marTop w:val="0"/>
      <w:marBottom w:val="0"/>
      <w:divBdr>
        <w:top w:val="none" w:sz="0" w:space="0" w:color="auto"/>
        <w:left w:val="none" w:sz="0" w:space="0" w:color="auto"/>
        <w:bottom w:val="none" w:sz="0" w:space="0" w:color="auto"/>
        <w:right w:val="none" w:sz="0" w:space="0" w:color="auto"/>
      </w:divBdr>
    </w:div>
    <w:div w:id="1565480784">
      <w:bodyDiv w:val="1"/>
      <w:marLeft w:val="0"/>
      <w:marRight w:val="0"/>
      <w:marTop w:val="0"/>
      <w:marBottom w:val="0"/>
      <w:divBdr>
        <w:top w:val="none" w:sz="0" w:space="0" w:color="auto"/>
        <w:left w:val="none" w:sz="0" w:space="0" w:color="auto"/>
        <w:bottom w:val="none" w:sz="0" w:space="0" w:color="auto"/>
        <w:right w:val="none" w:sz="0" w:space="0" w:color="auto"/>
      </w:divBdr>
    </w:div>
    <w:div w:id="1569656600">
      <w:bodyDiv w:val="1"/>
      <w:marLeft w:val="0"/>
      <w:marRight w:val="0"/>
      <w:marTop w:val="0"/>
      <w:marBottom w:val="0"/>
      <w:divBdr>
        <w:top w:val="none" w:sz="0" w:space="0" w:color="auto"/>
        <w:left w:val="none" w:sz="0" w:space="0" w:color="auto"/>
        <w:bottom w:val="none" w:sz="0" w:space="0" w:color="auto"/>
        <w:right w:val="none" w:sz="0" w:space="0" w:color="auto"/>
      </w:divBdr>
    </w:div>
    <w:div w:id="1573810910">
      <w:bodyDiv w:val="1"/>
      <w:marLeft w:val="0"/>
      <w:marRight w:val="0"/>
      <w:marTop w:val="0"/>
      <w:marBottom w:val="0"/>
      <w:divBdr>
        <w:top w:val="none" w:sz="0" w:space="0" w:color="auto"/>
        <w:left w:val="none" w:sz="0" w:space="0" w:color="auto"/>
        <w:bottom w:val="none" w:sz="0" w:space="0" w:color="auto"/>
        <w:right w:val="none" w:sz="0" w:space="0" w:color="auto"/>
      </w:divBdr>
    </w:div>
    <w:div w:id="1584221891">
      <w:bodyDiv w:val="1"/>
      <w:marLeft w:val="0"/>
      <w:marRight w:val="0"/>
      <w:marTop w:val="0"/>
      <w:marBottom w:val="0"/>
      <w:divBdr>
        <w:top w:val="none" w:sz="0" w:space="0" w:color="auto"/>
        <w:left w:val="none" w:sz="0" w:space="0" w:color="auto"/>
        <w:bottom w:val="none" w:sz="0" w:space="0" w:color="auto"/>
        <w:right w:val="none" w:sz="0" w:space="0" w:color="auto"/>
      </w:divBdr>
    </w:div>
    <w:div w:id="1593776153">
      <w:bodyDiv w:val="1"/>
      <w:marLeft w:val="0"/>
      <w:marRight w:val="0"/>
      <w:marTop w:val="0"/>
      <w:marBottom w:val="0"/>
      <w:divBdr>
        <w:top w:val="none" w:sz="0" w:space="0" w:color="auto"/>
        <w:left w:val="none" w:sz="0" w:space="0" w:color="auto"/>
        <w:bottom w:val="none" w:sz="0" w:space="0" w:color="auto"/>
        <w:right w:val="none" w:sz="0" w:space="0" w:color="auto"/>
      </w:divBdr>
    </w:div>
    <w:div w:id="1630630506">
      <w:bodyDiv w:val="1"/>
      <w:marLeft w:val="0"/>
      <w:marRight w:val="0"/>
      <w:marTop w:val="0"/>
      <w:marBottom w:val="0"/>
      <w:divBdr>
        <w:top w:val="none" w:sz="0" w:space="0" w:color="auto"/>
        <w:left w:val="none" w:sz="0" w:space="0" w:color="auto"/>
        <w:bottom w:val="none" w:sz="0" w:space="0" w:color="auto"/>
        <w:right w:val="none" w:sz="0" w:space="0" w:color="auto"/>
      </w:divBdr>
    </w:div>
    <w:div w:id="1636718573">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681808888">
      <w:bodyDiv w:val="1"/>
      <w:marLeft w:val="0"/>
      <w:marRight w:val="0"/>
      <w:marTop w:val="0"/>
      <w:marBottom w:val="0"/>
      <w:divBdr>
        <w:top w:val="none" w:sz="0" w:space="0" w:color="auto"/>
        <w:left w:val="none" w:sz="0" w:space="0" w:color="auto"/>
        <w:bottom w:val="none" w:sz="0" w:space="0" w:color="auto"/>
        <w:right w:val="none" w:sz="0" w:space="0" w:color="auto"/>
      </w:divBdr>
    </w:div>
    <w:div w:id="1709454071">
      <w:bodyDiv w:val="1"/>
      <w:marLeft w:val="0"/>
      <w:marRight w:val="0"/>
      <w:marTop w:val="0"/>
      <w:marBottom w:val="0"/>
      <w:divBdr>
        <w:top w:val="none" w:sz="0" w:space="0" w:color="auto"/>
        <w:left w:val="none" w:sz="0" w:space="0" w:color="auto"/>
        <w:bottom w:val="none" w:sz="0" w:space="0" w:color="auto"/>
        <w:right w:val="none" w:sz="0" w:space="0" w:color="auto"/>
      </w:divBdr>
    </w:div>
    <w:div w:id="1778258364">
      <w:bodyDiv w:val="1"/>
      <w:marLeft w:val="0"/>
      <w:marRight w:val="0"/>
      <w:marTop w:val="0"/>
      <w:marBottom w:val="0"/>
      <w:divBdr>
        <w:top w:val="none" w:sz="0" w:space="0" w:color="auto"/>
        <w:left w:val="none" w:sz="0" w:space="0" w:color="auto"/>
        <w:bottom w:val="none" w:sz="0" w:space="0" w:color="auto"/>
        <w:right w:val="none" w:sz="0" w:space="0" w:color="auto"/>
      </w:divBdr>
    </w:div>
    <w:div w:id="1788423014">
      <w:bodyDiv w:val="1"/>
      <w:marLeft w:val="0"/>
      <w:marRight w:val="0"/>
      <w:marTop w:val="0"/>
      <w:marBottom w:val="0"/>
      <w:divBdr>
        <w:top w:val="none" w:sz="0" w:space="0" w:color="auto"/>
        <w:left w:val="none" w:sz="0" w:space="0" w:color="auto"/>
        <w:bottom w:val="none" w:sz="0" w:space="0" w:color="auto"/>
        <w:right w:val="none" w:sz="0" w:space="0" w:color="auto"/>
      </w:divBdr>
    </w:div>
    <w:div w:id="1797985467">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07502824">
      <w:bodyDiv w:val="1"/>
      <w:marLeft w:val="0"/>
      <w:marRight w:val="0"/>
      <w:marTop w:val="0"/>
      <w:marBottom w:val="0"/>
      <w:divBdr>
        <w:top w:val="none" w:sz="0" w:space="0" w:color="auto"/>
        <w:left w:val="none" w:sz="0" w:space="0" w:color="auto"/>
        <w:bottom w:val="none" w:sz="0" w:space="0" w:color="auto"/>
        <w:right w:val="none" w:sz="0" w:space="0" w:color="auto"/>
      </w:divBdr>
    </w:div>
    <w:div w:id="1810200148">
      <w:bodyDiv w:val="1"/>
      <w:marLeft w:val="0"/>
      <w:marRight w:val="0"/>
      <w:marTop w:val="0"/>
      <w:marBottom w:val="0"/>
      <w:divBdr>
        <w:top w:val="none" w:sz="0" w:space="0" w:color="auto"/>
        <w:left w:val="none" w:sz="0" w:space="0" w:color="auto"/>
        <w:bottom w:val="none" w:sz="0" w:space="0" w:color="auto"/>
        <w:right w:val="none" w:sz="0" w:space="0" w:color="auto"/>
      </w:divBdr>
    </w:div>
    <w:div w:id="1812285958">
      <w:bodyDiv w:val="1"/>
      <w:marLeft w:val="0"/>
      <w:marRight w:val="0"/>
      <w:marTop w:val="0"/>
      <w:marBottom w:val="0"/>
      <w:divBdr>
        <w:top w:val="none" w:sz="0" w:space="0" w:color="auto"/>
        <w:left w:val="none" w:sz="0" w:space="0" w:color="auto"/>
        <w:bottom w:val="none" w:sz="0" w:space="0" w:color="auto"/>
        <w:right w:val="none" w:sz="0" w:space="0" w:color="auto"/>
      </w:divBdr>
      <w:divsChild>
        <w:div w:id="1229346275">
          <w:marLeft w:val="0"/>
          <w:marRight w:val="0"/>
          <w:marTop w:val="240"/>
          <w:marBottom w:val="240"/>
          <w:divBdr>
            <w:top w:val="single" w:sz="6" w:space="0" w:color="E8E8E8"/>
            <w:left w:val="single" w:sz="6" w:space="0" w:color="E8E8E8"/>
            <w:bottom w:val="single" w:sz="6" w:space="0" w:color="E8E8E8"/>
            <w:right w:val="single" w:sz="6" w:space="0" w:color="E8E8E8"/>
          </w:divBdr>
          <w:divsChild>
            <w:div w:id="1106510080">
              <w:marLeft w:val="0"/>
              <w:marRight w:val="0"/>
              <w:marTop w:val="0"/>
              <w:marBottom w:val="0"/>
              <w:divBdr>
                <w:top w:val="none" w:sz="0" w:space="0" w:color="auto"/>
                <w:left w:val="none" w:sz="0" w:space="0" w:color="auto"/>
                <w:bottom w:val="none" w:sz="0" w:space="0" w:color="auto"/>
                <w:right w:val="none" w:sz="0" w:space="0" w:color="auto"/>
              </w:divBdr>
            </w:div>
            <w:div w:id="692147154">
              <w:marLeft w:val="0"/>
              <w:marRight w:val="0"/>
              <w:marTop w:val="0"/>
              <w:marBottom w:val="0"/>
              <w:divBdr>
                <w:top w:val="none" w:sz="0" w:space="0" w:color="auto"/>
                <w:left w:val="none" w:sz="0" w:space="0" w:color="auto"/>
                <w:bottom w:val="none" w:sz="0" w:space="0" w:color="auto"/>
                <w:right w:val="none" w:sz="0" w:space="0" w:color="auto"/>
              </w:divBdr>
              <w:divsChild>
                <w:div w:id="16374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9501">
          <w:marLeft w:val="0"/>
          <w:marRight w:val="0"/>
          <w:marTop w:val="240"/>
          <w:marBottom w:val="240"/>
          <w:divBdr>
            <w:top w:val="single" w:sz="6" w:space="0" w:color="E8E8E8"/>
            <w:left w:val="single" w:sz="6" w:space="0" w:color="E8E8E8"/>
            <w:bottom w:val="single" w:sz="6" w:space="0" w:color="E8E8E8"/>
            <w:right w:val="single" w:sz="6" w:space="0" w:color="E8E8E8"/>
          </w:divBdr>
          <w:divsChild>
            <w:div w:id="69811117">
              <w:marLeft w:val="0"/>
              <w:marRight w:val="0"/>
              <w:marTop w:val="0"/>
              <w:marBottom w:val="0"/>
              <w:divBdr>
                <w:top w:val="none" w:sz="0" w:space="0" w:color="auto"/>
                <w:left w:val="none" w:sz="0" w:space="0" w:color="auto"/>
                <w:bottom w:val="none" w:sz="0" w:space="0" w:color="auto"/>
                <w:right w:val="none" w:sz="0" w:space="0" w:color="auto"/>
              </w:divBdr>
            </w:div>
            <w:div w:id="944268772">
              <w:marLeft w:val="0"/>
              <w:marRight w:val="0"/>
              <w:marTop w:val="0"/>
              <w:marBottom w:val="0"/>
              <w:divBdr>
                <w:top w:val="none" w:sz="0" w:space="0" w:color="auto"/>
                <w:left w:val="none" w:sz="0" w:space="0" w:color="auto"/>
                <w:bottom w:val="none" w:sz="0" w:space="0" w:color="auto"/>
                <w:right w:val="none" w:sz="0" w:space="0" w:color="auto"/>
              </w:divBdr>
              <w:divsChild>
                <w:div w:id="20985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610">
          <w:marLeft w:val="0"/>
          <w:marRight w:val="0"/>
          <w:marTop w:val="240"/>
          <w:marBottom w:val="240"/>
          <w:divBdr>
            <w:top w:val="single" w:sz="6" w:space="0" w:color="E8E8E8"/>
            <w:left w:val="single" w:sz="6" w:space="0" w:color="E8E8E8"/>
            <w:bottom w:val="single" w:sz="6" w:space="0" w:color="E8E8E8"/>
            <w:right w:val="single" w:sz="6" w:space="0" w:color="E8E8E8"/>
          </w:divBdr>
          <w:divsChild>
            <w:div w:id="642546924">
              <w:marLeft w:val="0"/>
              <w:marRight w:val="0"/>
              <w:marTop w:val="0"/>
              <w:marBottom w:val="0"/>
              <w:divBdr>
                <w:top w:val="none" w:sz="0" w:space="0" w:color="auto"/>
                <w:left w:val="none" w:sz="0" w:space="0" w:color="auto"/>
                <w:bottom w:val="none" w:sz="0" w:space="0" w:color="auto"/>
                <w:right w:val="none" w:sz="0" w:space="0" w:color="auto"/>
              </w:divBdr>
            </w:div>
            <w:div w:id="1457139421">
              <w:marLeft w:val="0"/>
              <w:marRight w:val="0"/>
              <w:marTop w:val="0"/>
              <w:marBottom w:val="0"/>
              <w:divBdr>
                <w:top w:val="none" w:sz="0" w:space="0" w:color="auto"/>
                <w:left w:val="none" w:sz="0" w:space="0" w:color="auto"/>
                <w:bottom w:val="none" w:sz="0" w:space="0" w:color="auto"/>
                <w:right w:val="none" w:sz="0" w:space="0" w:color="auto"/>
              </w:divBdr>
              <w:divsChild>
                <w:div w:id="3372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7301">
          <w:marLeft w:val="0"/>
          <w:marRight w:val="0"/>
          <w:marTop w:val="240"/>
          <w:marBottom w:val="240"/>
          <w:divBdr>
            <w:top w:val="single" w:sz="6" w:space="0" w:color="E8E8E8"/>
            <w:left w:val="single" w:sz="6" w:space="0" w:color="E8E8E8"/>
            <w:bottom w:val="single" w:sz="6" w:space="0" w:color="E8E8E8"/>
            <w:right w:val="single" w:sz="6" w:space="0" w:color="E8E8E8"/>
          </w:divBdr>
          <w:divsChild>
            <w:div w:id="1332686414">
              <w:marLeft w:val="0"/>
              <w:marRight w:val="0"/>
              <w:marTop w:val="0"/>
              <w:marBottom w:val="0"/>
              <w:divBdr>
                <w:top w:val="none" w:sz="0" w:space="0" w:color="auto"/>
                <w:left w:val="none" w:sz="0" w:space="0" w:color="auto"/>
                <w:bottom w:val="none" w:sz="0" w:space="0" w:color="auto"/>
                <w:right w:val="none" w:sz="0" w:space="0" w:color="auto"/>
              </w:divBdr>
            </w:div>
            <w:div w:id="1832720390">
              <w:marLeft w:val="0"/>
              <w:marRight w:val="0"/>
              <w:marTop w:val="0"/>
              <w:marBottom w:val="0"/>
              <w:divBdr>
                <w:top w:val="none" w:sz="0" w:space="0" w:color="auto"/>
                <w:left w:val="none" w:sz="0" w:space="0" w:color="auto"/>
                <w:bottom w:val="none" w:sz="0" w:space="0" w:color="auto"/>
                <w:right w:val="none" w:sz="0" w:space="0" w:color="auto"/>
              </w:divBdr>
              <w:divsChild>
                <w:div w:id="2030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8074">
      <w:bodyDiv w:val="1"/>
      <w:marLeft w:val="0"/>
      <w:marRight w:val="0"/>
      <w:marTop w:val="0"/>
      <w:marBottom w:val="0"/>
      <w:divBdr>
        <w:top w:val="none" w:sz="0" w:space="0" w:color="auto"/>
        <w:left w:val="none" w:sz="0" w:space="0" w:color="auto"/>
        <w:bottom w:val="none" w:sz="0" w:space="0" w:color="auto"/>
        <w:right w:val="none" w:sz="0" w:space="0" w:color="auto"/>
      </w:divBdr>
    </w:div>
    <w:div w:id="1841769709">
      <w:bodyDiv w:val="1"/>
      <w:marLeft w:val="0"/>
      <w:marRight w:val="0"/>
      <w:marTop w:val="0"/>
      <w:marBottom w:val="0"/>
      <w:divBdr>
        <w:top w:val="none" w:sz="0" w:space="0" w:color="auto"/>
        <w:left w:val="none" w:sz="0" w:space="0" w:color="auto"/>
        <w:bottom w:val="none" w:sz="0" w:space="0" w:color="auto"/>
        <w:right w:val="none" w:sz="0" w:space="0" w:color="auto"/>
      </w:divBdr>
    </w:div>
    <w:div w:id="1842118062">
      <w:bodyDiv w:val="1"/>
      <w:marLeft w:val="0"/>
      <w:marRight w:val="0"/>
      <w:marTop w:val="0"/>
      <w:marBottom w:val="0"/>
      <w:divBdr>
        <w:top w:val="none" w:sz="0" w:space="0" w:color="auto"/>
        <w:left w:val="none" w:sz="0" w:space="0" w:color="auto"/>
        <w:bottom w:val="none" w:sz="0" w:space="0" w:color="auto"/>
        <w:right w:val="none" w:sz="0" w:space="0" w:color="auto"/>
      </w:divBdr>
    </w:div>
    <w:div w:id="1858615028">
      <w:bodyDiv w:val="1"/>
      <w:marLeft w:val="0"/>
      <w:marRight w:val="0"/>
      <w:marTop w:val="0"/>
      <w:marBottom w:val="0"/>
      <w:divBdr>
        <w:top w:val="none" w:sz="0" w:space="0" w:color="auto"/>
        <w:left w:val="none" w:sz="0" w:space="0" w:color="auto"/>
        <w:bottom w:val="none" w:sz="0" w:space="0" w:color="auto"/>
        <w:right w:val="none" w:sz="0" w:space="0" w:color="auto"/>
      </w:divBdr>
    </w:div>
    <w:div w:id="1863011050">
      <w:bodyDiv w:val="1"/>
      <w:marLeft w:val="0"/>
      <w:marRight w:val="0"/>
      <w:marTop w:val="0"/>
      <w:marBottom w:val="0"/>
      <w:divBdr>
        <w:top w:val="none" w:sz="0" w:space="0" w:color="auto"/>
        <w:left w:val="none" w:sz="0" w:space="0" w:color="auto"/>
        <w:bottom w:val="none" w:sz="0" w:space="0" w:color="auto"/>
        <w:right w:val="none" w:sz="0" w:space="0" w:color="auto"/>
      </w:divBdr>
    </w:div>
    <w:div w:id="1863779238">
      <w:bodyDiv w:val="1"/>
      <w:marLeft w:val="0"/>
      <w:marRight w:val="0"/>
      <w:marTop w:val="0"/>
      <w:marBottom w:val="0"/>
      <w:divBdr>
        <w:top w:val="none" w:sz="0" w:space="0" w:color="auto"/>
        <w:left w:val="none" w:sz="0" w:space="0" w:color="auto"/>
        <w:bottom w:val="none" w:sz="0" w:space="0" w:color="auto"/>
        <w:right w:val="none" w:sz="0" w:space="0" w:color="auto"/>
      </w:divBdr>
    </w:div>
    <w:div w:id="1872107154">
      <w:bodyDiv w:val="1"/>
      <w:marLeft w:val="0"/>
      <w:marRight w:val="0"/>
      <w:marTop w:val="0"/>
      <w:marBottom w:val="0"/>
      <w:divBdr>
        <w:top w:val="none" w:sz="0" w:space="0" w:color="auto"/>
        <w:left w:val="none" w:sz="0" w:space="0" w:color="auto"/>
        <w:bottom w:val="none" w:sz="0" w:space="0" w:color="auto"/>
        <w:right w:val="none" w:sz="0" w:space="0" w:color="auto"/>
      </w:divBdr>
    </w:div>
    <w:div w:id="1889339192">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1978946915">
      <w:bodyDiv w:val="1"/>
      <w:marLeft w:val="0"/>
      <w:marRight w:val="0"/>
      <w:marTop w:val="0"/>
      <w:marBottom w:val="0"/>
      <w:divBdr>
        <w:top w:val="none" w:sz="0" w:space="0" w:color="auto"/>
        <w:left w:val="none" w:sz="0" w:space="0" w:color="auto"/>
        <w:bottom w:val="none" w:sz="0" w:space="0" w:color="auto"/>
        <w:right w:val="none" w:sz="0" w:space="0" w:color="auto"/>
      </w:divBdr>
    </w:div>
    <w:div w:id="1979335167">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18536897">
      <w:bodyDiv w:val="1"/>
      <w:marLeft w:val="0"/>
      <w:marRight w:val="0"/>
      <w:marTop w:val="0"/>
      <w:marBottom w:val="0"/>
      <w:divBdr>
        <w:top w:val="none" w:sz="0" w:space="0" w:color="auto"/>
        <w:left w:val="none" w:sz="0" w:space="0" w:color="auto"/>
        <w:bottom w:val="none" w:sz="0" w:space="0" w:color="auto"/>
        <w:right w:val="none" w:sz="0" w:space="0" w:color="auto"/>
      </w:divBdr>
    </w:div>
    <w:div w:id="2034187436">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48143581">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086293557">
      <w:bodyDiv w:val="1"/>
      <w:marLeft w:val="0"/>
      <w:marRight w:val="0"/>
      <w:marTop w:val="0"/>
      <w:marBottom w:val="0"/>
      <w:divBdr>
        <w:top w:val="none" w:sz="0" w:space="0" w:color="auto"/>
        <w:left w:val="none" w:sz="0" w:space="0" w:color="auto"/>
        <w:bottom w:val="none" w:sz="0" w:space="0" w:color="auto"/>
        <w:right w:val="none" w:sz="0" w:space="0" w:color="auto"/>
      </w:divBdr>
    </w:div>
    <w:div w:id="2115397184">
      <w:bodyDiv w:val="1"/>
      <w:marLeft w:val="0"/>
      <w:marRight w:val="0"/>
      <w:marTop w:val="0"/>
      <w:marBottom w:val="0"/>
      <w:divBdr>
        <w:top w:val="none" w:sz="0" w:space="0" w:color="auto"/>
        <w:left w:val="none" w:sz="0" w:space="0" w:color="auto"/>
        <w:bottom w:val="none" w:sz="0" w:space="0" w:color="auto"/>
        <w:right w:val="none" w:sz="0" w:space="0" w:color="auto"/>
      </w:divBdr>
    </w:div>
    <w:div w:id="2116631385">
      <w:bodyDiv w:val="1"/>
      <w:marLeft w:val="0"/>
      <w:marRight w:val="0"/>
      <w:marTop w:val="0"/>
      <w:marBottom w:val="0"/>
      <w:divBdr>
        <w:top w:val="none" w:sz="0" w:space="0" w:color="auto"/>
        <w:left w:val="none" w:sz="0" w:space="0" w:color="auto"/>
        <w:bottom w:val="none" w:sz="0" w:space="0" w:color="auto"/>
        <w:right w:val="none" w:sz="0" w:space="0" w:color="auto"/>
      </w:divBdr>
    </w:div>
    <w:div w:id="2131505988">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358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smith@napier.ac.uk"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Downloads\TF_Template_Word_Windows_2016%20(1)\TF_Template_Word_Windows_2016.dotx" TargetMode="External"/></Relationships>
</file>

<file path=word/theme/theme1.xml><?xml version="1.0" encoding="utf-8"?>
<a:theme xmlns:a="http://schemas.openxmlformats.org/drawingml/2006/main" name="DfETheme">
  <a:themeElements>
    <a:clrScheme name="DfE Brand Colours">
      <a:dk1>
        <a:sysClr val="windowText" lastClr="000000"/>
      </a:dk1>
      <a:lt1>
        <a:sysClr val="window" lastClr="FFFFFF"/>
      </a:lt1>
      <a:dk2>
        <a:srgbClr val="1F497D"/>
      </a:dk2>
      <a:lt2>
        <a:srgbClr val="EEECE1"/>
      </a:lt2>
      <a:accent1>
        <a:srgbClr val="104F75"/>
      </a:accent1>
      <a:accent2>
        <a:srgbClr val="407291"/>
      </a:accent2>
      <a:accent3>
        <a:srgbClr val="CFDCE3"/>
      </a:accent3>
      <a:accent4>
        <a:srgbClr val="8A2529"/>
      </a:accent4>
      <a:accent5>
        <a:srgbClr val="A17C7F"/>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14CB6A2E13D64E91F34BBB07B71985" ma:contentTypeVersion="1" ma:contentTypeDescription="Create a new document." ma:contentTypeScope="" ma:versionID="c484cc14069ffb26a47bb0f1ce20929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Sch12</b:Tag>
    <b:SourceType>JournalArticle</b:SourceType>
    <b:Guid>{61F6267D-4BAC-430C-B6A7-416B5B1E01AD}</b:Guid>
    <b:Author>
      <b:Author>
        <b:NameList>
          <b:Person>
            <b:Last>Schoon</b:Last>
            <b:First>I</b:First>
          </b:Person>
          <b:Person>
            <b:Last>Duckworth</b:Last>
            <b:First>K</b:First>
          </b:Person>
        </b:NameList>
      </b:Author>
    </b:Author>
    <b:Title>Who becomes an entrepreneur? Early life experiences as predictors of entrepreneurship</b:Title>
    <b:Year>2012</b:Year>
    <b:JournalName>Developmental psychology</b:JournalName>
    <b:Pages>48(6) 1719</b:Pages>
    <b:RefOrder>17</b:RefOrder>
  </b:Source>
  <b:Source>
    <b:Tag>Smi11</b:Tag>
    <b:SourceType>JournalArticle</b:SourceType>
    <b:Guid>{F74A1EE1-6F2C-480E-9CDF-F7E7D4C55DC6}</b:Guid>
    <b:Title> Graduate entrepreneurs: intentions, barriers and solutions</b:Title>
    <b:JournalName>Education+ Training</b:JournalName>
    <b:Year>2011</b:Year>
    <b:Pages>53(8/9), 722-740</b:Pages>
    <b:Author>
      <b:Author>
        <b:NameList>
          <b:Person>
            <b:Last>Smith</b:Last>
            <b:First>K</b:First>
          </b:Person>
          <b:Person>
            <b:Last>Beasley</b:Last>
            <b:First>M</b:First>
          </b:Person>
        </b:NameList>
      </b:Author>
    </b:Author>
    <b:RefOrder>14</b:RefOrder>
  </b:Source>
  <b:Source>
    <b:Tag>Wan04</b:Tag>
    <b:SourceType>JournalArticle</b:SourceType>
    <b:Guid>{DD50D9F7-AE09-4071-8988-B65652FC95DC}</b:Guid>
    <b:Title>Entrepreneurial interest of university students in Singapore</b:Title>
    <b:JournalName>Technovation</b:JournalName>
    <b:Year>2004</b:Year>
    <b:Pages>24(2), 163-172</b:Pages>
    <b:Author>
      <b:Author>
        <b:NameList>
          <b:Person>
            <b:Last>Wang</b:Last>
            <b:Middle>K</b:Middle>
            <b:First>C</b:First>
          </b:Person>
          <b:Person>
            <b:Last>Wong</b:Last>
            <b:Middle>K</b:Middle>
            <b:First>P</b:First>
          </b:Person>
        </b:NameList>
      </b:Author>
    </b:Author>
    <b:RefOrder>15</b:RefOrder>
  </b:Source>
  <b:Source>
    <b:Tag>Ede16</b:Tag>
    <b:SourceType>JournalArticle</b:SourceType>
    <b:Guid>{ECB20174-2E60-4F21-97EC-83C30BA67D9B}</b:Guid>
    <b:Title> The impact of family support on young entrepreneurs' start-up activities</b:Title>
    <b:JournalName>Journal of Business Venturing</b:JournalName>
    <b:Year>2016</b:Year>
    <b:Pages>31(4), 428-448</b:Pages>
    <b:Author>
      <b:Author>
        <b:NameList>
          <b:Person>
            <b:Last>Edelman</b:Last>
            <b:Middle>F</b:Middle>
            <b:First>L</b:First>
          </b:Person>
          <b:Person>
            <b:Last>Manolova</b:Last>
            <b:First>T</b:First>
          </b:Person>
          <b:Person>
            <b:Last>Shirokova</b:Last>
            <b:First>G</b:First>
          </b:Person>
          <b:Person>
            <b:Last>Tsukanova</b:Last>
            <b:First>T</b:First>
          </b:Person>
        </b:NameList>
      </b:Author>
    </b:Author>
    <b:RefOrder>18</b:RefOrder>
  </b:Source>
  <b:Source>
    <b:Tag>OEC17</b:Tag>
    <b:SourceType>JournalArticle</b:SourceType>
    <b:Guid>{298A3A4C-A4E7-4921-84C9-D7D5A583594F}</b:Guid>
    <b:Author>
      <b:Author>
        <b:NameList>
          <b:Person>
            <b:Last>OECD</b:Last>
          </b:Person>
        </b:NameList>
      </b:Author>
    </b:Author>
    <b:Title>Entrepreneurship at a Glance 2017</b:Title>
    <b:JournalName>OECD Publishing</b:JournalName>
    <b:Year>2017</b:Year>
    <b:RefOrder>1</b:RefOrder>
  </b:Source>
  <b:Source>
    <b:Tag>Par18</b:Tag>
    <b:SourceType>JournalArticle</b:SourceType>
    <b:Guid>{ED3F9382-6777-459E-922E-DC34F97D2ECE}</b:Guid>
    <b:Title>The economics of entrepreneurship </b:Title>
    <b:JournalName>Cambridge University Press</b:JournalName>
    <b:Year>2018</b:Year>
    <b:Author>
      <b:Author>
        <b:NameList>
          <b:Person>
            <b:Last>Parker</b:Last>
            <b:Middle>C</b:Middle>
            <b:First>S</b:First>
          </b:Person>
        </b:NameList>
      </b:Author>
    </b:Author>
    <b:RefOrder>4</b:RefOrder>
  </b:Source>
  <b:Source>
    <b:Tag>Nau14</b:Tag>
    <b:SourceType>JournalArticle</b:SourceType>
    <b:Guid>{33029570-6C01-4E8C-87DC-B2A705416F2B}</b:Guid>
    <b:Title>Entrepreneurship and economic development</b:Title>
    <b:JournalName> International Development. Ideas, Experiences and Prospects.</b:JournalName>
    <b:Year>2014</b:Year>
    <b:Author>
      <b:Author>
        <b:NameList>
          <b:Person>
            <b:Last>Naude</b:Last>
            <b:First>W</b:First>
          </b:Person>
        </b:NameList>
      </b:Author>
    </b:Author>
    <b:RefOrder>5</b:RefOrder>
  </b:Source>
  <b:Source>
    <b:Tag>Aud06</b:Tag>
    <b:SourceType>Book</b:SourceType>
    <b:Guid>{79BCE53D-7085-4C23-AE70-737C604C952D}</b:Guid>
    <b:Title>(2006). Entrepreneurship and economic growth</b:Title>
    <b:JournalName>Oxford University Press</b:JournalName>
    <b:Year>2006</b:Year>
    <b:Author>
      <b:Author>
        <b:NameList>
          <b:Person>
            <b:Last>Audretsch</b:Last>
            <b:Middle>B</b:Middle>
            <b:First>D</b:First>
          </b:Person>
          <b:Person>
            <b:Last>Keilbach</b:Last>
            <b:Middle>C</b:Middle>
            <b:First>M</b:First>
          </b:Person>
          <b:Person>
            <b:Last>Lehmann</b:Last>
            <b:Middle>E</b:Middle>
            <b:First>E</b:First>
          </b:Person>
        </b:NameList>
      </b:Author>
    </b:Author>
    <b:Publisher>Oxford University Press</b:Publisher>
    <b:RefOrder>2</b:RefOrder>
  </b:Source>
  <b:Source>
    <b:Tag>Lig13</b:Tag>
    <b:SourceType>JournalArticle</b:SourceType>
    <b:Guid>{F52CA74F-566D-4FBF-A1E9-A2DA84AF4978}</b:Guid>
    <b:Title> Boundaries of social capital in entrepreneurship</b:Title>
    <b:JournalName>Entrepreneurship Theory and Practice</b:JournalName>
    <b:Year>2013</b:Year>
    <b:Pages>37(3), 603-624</b:Pages>
    <b:Author>
      <b:Author>
        <b:NameList>
          <b:Person>
            <b:Last>Light</b:Last>
            <b:First>I</b:First>
          </b:Person>
          <b:Person>
            <b:Last>Dana</b:Last>
            <b:Middle>P</b:Middle>
            <b:First>L</b:First>
          </b:Person>
        </b:NameList>
      </b:Author>
    </b:Author>
    <b:RefOrder>16</b:RefOrder>
  </b:Source>
  <b:Source>
    <b:Tag>AlD14</b:Tag>
    <b:SourceType>JournalArticle</b:SourceType>
    <b:Guid>{7F39A091-332F-4B55-9F19-83B067372682}</b:Guid>
    <b:Title>Graduate entrepreneurship incubation environments: A framework of key success factors</b:Title>
    <b:JournalName>Industry and Higher Education</b:JournalName>
    <b:Year>2014</b:Year>
    <b:Pages>28(3), 201-213</b:Pages>
    <b:Author>
      <b:Author>
        <b:NameList>
          <b:Person>
            <b:Last>Al-Dajani</b:Last>
            <b:First>H</b:First>
          </b:Person>
          <b:Person>
            <b:Last>Dedoussis</b:Last>
            <b:First>E</b:First>
          </b:Person>
          <b:Person>
            <b:Last>Watson</b:Last>
            <b:First>E</b:First>
          </b:Person>
          <b:Person>
            <b:Last>Tzokas</b:Last>
            <b:First>N</b:First>
          </b:Person>
        </b:NameList>
      </b:Author>
    </b:Author>
    <b:RefOrder>8</b:RefOrder>
  </b:Source>
  <b:Source>
    <b:Tag>Nab17</b:Tag>
    <b:SourceType>JournalArticle</b:SourceType>
    <b:Guid>{8F68DD47-9631-4551-B90D-75586FE4965B}</b:Guid>
    <b:Title> The impact of entrepreneurship education in higher education: A systematic review and research agenda </b:Title>
    <b:JournalName>Academy of Management Learning &amp; Education</b:JournalName>
    <b:Year>2017</b:Year>
    <b:Pages>16(2), 277-299</b:Pages>
    <b:Author>
      <b:Author>
        <b:NameList>
          <b:Person>
            <b:Last>Nabi</b:Last>
            <b:First>G</b:First>
          </b:Person>
          <b:Person>
            <b:Last>Linan</b:Last>
            <b:First>F</b:First>
          </b:Person>
          <b:Person>
            <b:Last>Fayolle</b:Last>
            <b:First>A</b:First>
          </b:Person>
          <b:Person>
            <b:Last>Krueger</b:Last>
            <b:First>N</b:First>
          </b:Person>
          <b:Person>
            <b:Last>Walmsley</b:Last>
            <b:First>A</b:First>
          </b:Person>
        </b:NameList>
      </b:Author>
    </b:Author>
    <b:RefOrder>6</b:RefOrder>
  </b:Source>
  <b:Source>
    <b:Tag>Eng10</b:Tag>
    <b:SourceType>JournalArticle</b:SourceType>
    <b:Guid>{B0981F5B-6FE5-400D-84E7-056375B9600C}</b:Guid>
    <b:Title>Entrepreneurial orientation as a function of national cultural variations in two countries</b:Title>
    <b:JournalName>Journal of International Management</b:JournalName>
    <b:Year>2010</b:Year>
    <b:Pages>16(4), 354-368.</b:Pages>
    <b:Author>
      <b:Author>
        <b:NameList>
          <b:Person>
            <b:Last>Engelen</b:Last>
            <b:First>A</b:First>
          </b:Person>
        </b:NameList>
      </b:Author>
    </b:Author>
    <b:RefOrder>10</b:RefOrder>
  </b:Source>
  <b:Source>
    <b:Tag>Kwo10</b:Tag>
    <b:SourceType>JournalArticle</b:SourceType>
    <b:Guid>{E21A6F1E-E578-4F0B-A72F-718F51003FEB}</b:Guid>
    <b:Title>Nations of entrepreneurs: A social capital perspective</b:Title>
    <b:JournalName>Journal of Business Venturing</b:JournalName>
    <b:Year>2010</b:Year>
    <b:Pages>25(3), 315-330</b:Pages>
    <b:Author>
      <b:Author>
        <b:NameList>
          <b:Person>
            <b:Last>Kwon</b:Last>
            <b:Middle>W</b:Middle>
            <b:First>S</b:First>
          </b:Person>
          <b:Person>
            <b:Last>Arenius</b:Last>
            <b:First>P</b:First>
          </b:Person>
        </b:NameList>
      </b:Author>
    </b:Author>
    <b:RefOrder>11</b:RefOrder>
  </b:Source>
  <b:Source>
    <b:Tag>Mil15</b:Tag>
    <b:SourceType>JournalArticle</b:SourceType>
    <b:Guid>{D71DBD1C-B71A-4175-816E-0D7F770FE08F}</b:Guid>
    <b:Title> A downside to the entrepreneurial personality?</b:Title>
    <b:JournalName>Entrepreneurship Theory and Practice</b:JournalName>
    <b:Year>2015</b:Year>
    <b:Pages>39(1), 1-8.</b:Pages>
    <b:Author>
      <b:Author>
        <b:NameList>
          <b:Person>
            <b:Last>Miller</b:Last>
            <b:First>D</b:First>
          </b:Person>
        </b:NameList>
      </b:Author>
    </b:Author>
    <b:RefOrder>13</b:RefOrder>
  </b:Source>
  <b:Source>
    <b:Tag>Tri18</b:Tag>
    <b:SourceType>Book</b:SourceType>
    <b:Guid>{F7A718B7-8E71-4FED-859C-FB18DBE674F9}</b:Guid>
    <b:Title>Individualism and collectivism</b:Title>
    <b:Year>2018</b:Year>
    <b:Publisher>Routledge</b:Publisher>
    <b:Author>
      <b:Author>
        <b:NameList>
          <b:Person>
            <b:Last>Triandis</b:Last>
            <b:Middle>C</b:Middle>
            <b:First>H</b:First>
          </b:Person>
        </b:NameList>
      </b:Author>
    </b:Author>
    <b:RefOrder>12</b:RefOrder>
  </b:Source>
  <b:Source>
    <b:Tag>Shi12</b:Tag>
    <b:SourceType>JournalArticle</b:SourceType>
    <b:Guid>{374EC250-A60F-422A-AC76-C3B2BD1E0DA4}</b:Guid>
    <b:Title>Entrepreneurial perceptions and intentions: The role of gender and culture </b:Title>
    <b:Year>2012</b:Year>
    <b:Author>
      <b:Author>
        <b:NameList>
          <b:Person>
            <b:Last>Shinnar</b:Last>
            <b:Middle>S</b:Middle>
            <b:First>R</b:First>
          </b:Person>
          <b:Person>
            <b:Last>Giacomin</b:Last>
            <b:First>O</b:First>
          </b:Person>
          <b:Person>
            <b:Last>Janssen</b:Last>
            <b:First>F</b:First>
          </b:Person>
        </b:NameList>
      </b:Author>
    </b:Author>
    <b:JournalName>Entrepreneurship theory and practice</b:JournalName>
    <b:Pages>36(3), 465-493.</b:Pages>
    <b:RefOrder>9</b:RefOrder>
  </b:Source>
  <b:Source>
    <b:Tag>Lee15</b:Tag>
    <b:SourceType>JournalArticle</b:SourceType>
    <b:Guid>{7F78B5FE-B449-4096-8DB6-CB2446D6F593}</b:Guid>
    <b:Title> Entrepreneurial Intention and Motivating Factors for Entrepreneurship: A Survey of Shantou University Students and Graduates</b:Title>
    <b:JournalName>Journal of Asia Entrepreneurship and Sustainability</b:JournalName>
    <b:Year>2015</b:Year>
    <b:Pages>11(2), 115</b:Pages>
    <b:Author>
      <b:Author>
        <b:NameList>
          <b:Person>
            <b:Last>Lee</b:Last>
            <b:Middle>P</b:Middle>
            <b:First>D</b:First>
          </b:Person>
          <b:Person>
            <b:Last>Meiller</b:Last>
            <b:First>J</b:First>
          </b:Person>
          <b:Person>
            <b:Last>Haixia</b:Last>
            <b:First>Z</b:First>
          </b:Person>
        </b:NameList>
      </b:Author>
    </b:Author>
    <b:RefOrder>20</b:RefOrder>
  </b:Source>
  <b:Source>
    <b:Tag>Pip</b:Tag>
    <b:SourceType>JournalArticle</b:SourceType>
    <b:Guid>{501B0AB6-6BA6-4E05-88C7-EC937D67F3E5}</b:Guid>
    <b:Title>Burst bubbles or build steam? Entrepreneurship education, entrepreneurial self‐efficacy, and entrepreneurial intentions</b:Title>
    <b:JournalName>Journal of Small Business Management</b:JournalName>
    <b:Pages>53(4), 970-985.</b:Pages>
    <b:Author>
      <b:Author>
        <b:NameList>
          <b:Person>
            <b:Last>Piperopoulos</b:Last>
            <b:First>P</b:First>
          </b:Person>
          <b:Person>
            <b:Last>Dimov</b:Last>
            <b:First>D</b:First>
          </b:Person>
        </b:NameList>
      </b:Author>
    </b:Author>
    <b:Year>2015</b:Year>
    <b:RefOrder>7</b:RefOrder>
  </b:Source>
  <b:Source>
    <b:Tag>Kwo12</b:Tag>
    <b:SourceType>JournalArticle</b:SourceType>
    <b:Guid>{AE491A6B-9636-4DDF-81FB-F2F15283CC6F}</b:Guid>
    <b:Title>Differences in perceptions of access to finance between potential male and female entrepreneurs: Evidence from the UK</b:Title>
    <b:JournalName> International Journal of Entrepreneurial Behavior &amp; Research</b:JournalName>
    <b:Year>2012</b:Year>
    <b:Pages>18(1), 75-97</b:Pages>
    <b:Author>
      <b:Author>
        <b:NameList>
          <b:Person>
            <b:Last>Kwong</b:Last>
            <b:First>C</b:First>
          </b:Person>
          <b:Person>
            <b:Last>Jones-Evans</b:Last>
            <b:First>D</b:First>
          </b:Person>
          <b:Person>
            <b:Last>Thompson</b:Last>
            <b:First>P</b:First>
          </b:Person>
        </b:NameList>
      </b:Author>
    </b:Author>
    <b:RefOrder>19</b:RefOrder>
  </b:Source>
  <b:Source>
    <b:Tag>Lee18</b:Tag>
    <b:SourceType>BookSection</b:SourceType>
    <b:Guid>{9C00EB9E-A088-4C8B-9F09-49C67ABE35D9}</b:Guid>
    <b:Title>A comparative analysis of Asian versus Asian American entrepreneurship: Evidence from Stanford University alumni</b:Title>
    <b:Year>2018</b:Year>
    <b:Pages>132-146</b:Pages>
    <b:BookTitle>Strategic, Policy and Social Innovation for a Post-Industrial Korea</b:BookTitle>
    <b:Publisher>Routledge</b:Publisher>
    <b:Author>
      <b:Author>
        <b:NameList>
          <b:Person>
            <b:Last>Lee</b:Last>
            <b:Middle>S</b:Middle>
            <b:First>Y</b:First>
          </b:Person>
          <b:Person>
            <b:Last>Eesley</b:Last>
            <b:First>C</b:First>
          </b:Person>
        </b:NameList>
      </b:Author>
      <b:BookAuthor>
        <b:NameList>
          <b:Person>
            <b:Last>Choi</b:Last>
            <b:Middle>N</b:Middle>
            <b:First>J</b:First>
          </b:Person>
          <b:Person>
            <b:Last>Lee</b:Last>
            <b:Middle>S</b:Middle>
            <b:First>Y</b:First>
          </b:Person>
          <b:Person>
            <b:Last>Shin</b:Last>
            <b:Middle>W</b:Middle>
            <b:First>G</b:First>
          </b:Person>
        </b:NameList>
      </b:BookAuthor>
    </b:Author>
    <b:RefOrder>21</b:RefOrder>
  </b:Source>
  <b:Source>
    <b:Tag>Bou87</b:Tag>
    <b:SourceType>JournalArticle</b:SourceType>
    <b:Guid>{00011ACA-6B1E-4396-91AE-DFEDCA79B7CB}</b:Guid>
    <b:Title>What makes a social class? On the theoretical and practical existence of groups</b:Title>
    <b:Year>1987</b:Year>
    <b:Pages>32, 1-17</b:Pages>
    <b:JournalName>Berkeley Journal of Sociology</b:JournalName>
    <b:Author>
      <b:Author>
        <b:NameList>
          <b:Person>
            <b:Last>Bourdieu</b:Last>
            <b:First>P</b:First>
          </b:Person>
        </b:NameList>
      </b:Author>
    </b:Author>
    <b:RefOrder>22</b:RefOrder>
  </b:Source>
  <b:Source>
    <b:Tag>Aud07</b:Tag>
    <b:SourceType>JournalArticle</b:SourceType>
    <b:Guid>{7FC00C39-DDEE-4DA6-8AA2-47E24FC6969A}</b:Guid>
    <b:Title>Entrepreneurship capital and economic growth</b:Title>
    <b:Year>2007</b:Year>
    <b:JournalName>Oxford Review of Economic Policy</b:JournalName>
    <b:Pages>23(1), 63-78</b:Pages>
    <b:Author>
      <b:Author>
        <b:NameList>
          <b:Person>
            <b:Last>Audretsch</b:Last>
            <b:Middle>B</b:Middle>
            <b:First>D</b:First>
          </b:Person>
        </b:NameList>
      </b:Author>
    </b:Author>
    <b:RefOrder>23</b:RefOrder>
  </b:Source>
  <b:Source>
    <b:Tag>Urb18</b:Tag>
    <b:SourceType>JournalArticle</b:SourceType>
    <b:Guid>{69E270E7-72F7-4157-864D-DE5616E5D153}</b:Guid>
    <b:Title>Urbano, D., Aparicio, S., &amp; Audretsch, D. (2018). Twenty-five years of research on institutions, entrepreneurship, and economic growth: what has been learned?</b:Title>
    <b:JournalName>Small Business Economics</b:JournalName>
    <b:Year>2018</b:Year>
    <b:Pages>1-29.</b:Pages>
    <b:Author>
      <b:Author>
        <b:NameList>
          <b:Person>
            <b:Last>Urbano</b:Last>
            <b:First>D</b:First>
          </b:Person>
          <b:Person>
            <b:Last>Aparicio</b:Last>
            <b:First>S</b:First>
          </b:Person>
          <b:Person>
            <b:Last>Audretsch</b:Last>
            <b:First>D</b:First>
          </b:Person>
        </b:NameList>
      </b:Author>
    </b:Author>
    <b:RefOrder>3</b:RefOrder>
  </b:Source>
  <b:Source>
    <b:Tag>Tat14</b:Tag>
    <b:SourceType>JournalArticle</b:SourceType>
    <b:Guid>{308B655E-F9C9-46B4-9791-9B303CEBEE8A}</b:Guid>
    <b:Title>A Bourdieuan relational perspective for entrepreneurship research</b:Title>
    <b:JournalName>Journal of Small Business Management</b:JournalName>
    <b:Year>2014</b:Year>
    <b:Pages>52(4), 615-632</b:Pages>
    <b:Author>
      <b:Author>
        <b:NameList>
          <b:Person>
            <b:Last>Tatli</b:Last>
            <b:First>A</b:First>
          </b:Person>
          <b:Person>
            <b:Last>Vassilopoulou</b:Last>
            <b:First>J</b:First>
          </b:Person>
          <b:Person>
            <b:Last>Özbilgin</b:Last>
            <b:First>M</b:First>
          </b:Person>
          <b:Person>
            <b:Last>Forson</b:Last>
            <b:First>C</b:First>
          </b:Person>
          <b:Person>
            <b:Last>Slutskaya</b:Last>
            <b:First>N</b:First>
          </b:Person>
        </b:NameList>
      </b:Author>
    </b:Author>
    <b:RefOrder>24</b:RefOrder>
  </b:Source>
</b:Sources>
</file>

<file path=customXml/itemProps1.xml><?xml version="1.0" encoding="utf-8"?>
<ds:datastoreItem xmlns:ds="http://schemas.openxmlformats.org/officeDocument/2006/customXml" ds:itemID="{4B7DCE39-AB92-4048-BD16-472514B227E0}">
  <ds:schemaRef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20FE91F6-FF60-4379-A3C8-4CF9B9136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842B27-7990-4CC5-B658-2A688155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67</TotalTime>
  <Pages>29</Pages>
  <Words>7058</Words>
  <Characters>168683</Characters>
  <Application>Microsoft Office Word</Application>
  <DocSecurity>0</DocSecurity>
  <Lines>1405</Lines>
  <Paragraphs>350</Paragraphs>
  <ScaleCrop>false</ScaleCrop>
  <HeadingPairs>
    <vt:vector size="2" baseType="variant">
      <vt:variant>
        <vt:lpstr>Title</vt:lpstr>
      </vt:variant>
      <vt:variant>
        <vt:i4>1</vt:i4>
      </vt:variant>
    </vt:vector>
  </HeadingPairs>
  <TitlesOfParts>
    <vt:vector size="1" baseType="lpstr">
      <vt:lpstr>Stat guidance template</vt:lpstr>
    </vt:vector>
  </TitlesOfParts>
  <Company>Department for Education</Company>
  <LinksUpToDate>false</LinksUpToDate>
  <CharactersWithSpaces>175391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guidance template</dc:title>
  <dc:creator>Publishing.TEAM@education.gsi.gov.uk</dc:creator>
  <dc:description>DfE-SG-Master-v3.4</dc:description>
  <cp:lastModifiedBy>Smith, Sally</cp:lastModifiedBy>
  <cp:revision>6</cp:revision>
  <cp:lastPrinted>2018-10-15T15:46:00Z</cp:lastPrinted>
  <dcterms:created xsi:type="dcterms:W3CDTF">2019-05-31T14:59:00Z</dcterms:created>
  <dcterms:modified xsi:type="dcterms:W3CDTF">2019-06-04T11:13:00Z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0x0101001D14CB6A2E13D64E91F34BBB07B71985</vt:lpwstr>
  </property>
  <property fmtid="{D5CDD505-2E9C-101B-9397-08002B2CF9AE}" pid="4" name="_dlc_DocIdItemGuid">
    <vt:lpwstr>453ced71-93fc-46de-989b-09d563bcdfe0</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http://www.zotero.org/styles/american-sociological-association</vt:lpwstr>
  </property>
  <property fmtid="{D5CDD505-2E9C-101B-9397-08002B2CF9AE}" pid="16" name="Mendeley Recent Style Name 2_1">
    <vt:lpwstr>American Sociological Association</vt:lpwstr>
  </property>
  <property fmtid="{D5CDD505-2E9C-101B-9397-08002B2CF9AE}" pid="17" name="Mendeley Recent Style Id 3_1">
    <vt:lpwstr>http://www.zotero.org/styles/chicago-author-date-16th-edition</vt:lpwstr>
  </property>
  <property fmtid="{D5CDD505-2E9C-101B-9397-08002B2CF9AE}" pid="18" name="Mendeley Recent Style Name 3_1">
    <vt:lpwstr>Chicago Manual of Style 16th edition (author-date)</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10th edition - Harvard</vt:lpwstr>
  </property>
  <property fmtid="{D5CDD505-2E9C-101B-9397-08002B2CF9AE}" pid="23" name="Mendeley Recent Style Id 6_1">
    <vt:lpwstr>http://www.zotero.org/styles/contemporary-educational-psychology</vt:lpwstr>
  </property>
  <property fmtid="{D5CDD505-2E9C-101B-9397-08002B2CF9AE}" pid="24" name="Mendeley Recent Style Name 6_1">
    <vt:lpwstr>Contemporary Educational Psychology</vt:lpwstr>
  </property>
  <property fmtid="{D5CDD505-2E9C-101B-9397-08002B2CF9AE}" pid="25" name="Mendeley Recent Style Id 7_1">
    <vt:lpwstr>http://www.zotero.org/styles/ieee</vt:lpwstr>
  </property>
  <property fmtid="{D5CDD505-2E9C-101B-9397-08002B2CF9AE}" pid="26" name="Mendeley Recent Style Name 7_1">
    <vt:lpwstr>IEEE</vt:lpwstr>
  </property>
  <property fmtid="{D5CDD505-2E9C-101B-9397-08002B2CF9AE}" pid="27" name="Mendeley Recent Style Id 8_1">
    <vt:lpwstr>http://www.zotero.org/styles/modern-humanities-research-association</vt:lpwstr>
  </property>
  <property fmtid="{D5CDD505-2E9C-101B-9397-08002B2CF9AE}" pid="28" name="Mendeley Recent Style Name 8_1">
    <vt:lpwstr>Modern Humanities Research Association 3rd edition (note with bibliography)</vt:lpwstr>
  </property>
  <property fmtid="{D5CDD505-2E9C-101B-9397-08002B2CF9AE}" pid="29" name="Mendeley Recent Style Id 9_1">
    <vt:lpwstr>http://www.zotero.org/styles/modern-language-association</vt:lpwstr>
  </property>
  <property fmtid="{D5CDD505-2E9C-101B-9397-08002B2CF9AE}" pid="30" name="Mendeley Recent Style Name 9_1">
    <vt:lpwstr>Modern Language Association 8th edition</vt:lpwstr>
  </property>
  <property fmtid="{D5CDD505-2E9C-101B-9397-08002B2CF9AE}" pid="31" name="Mendeley Document_1">
    <vt:lpwstr>True</vt:lpwstr>
  </property>
  <property fmtid="{D5CDD505-2E9C-101B-9397-08002B2CF9AE}" pid="32" name="Mendeley Unique User Id_1">
    <vt:lpwstr>22ae06bb-c968-3198-8acb-caffc399d023</vt:lpwstr>
  </property>
  <property fmtid="{D5CDD505-2E9C-101B-9397-08002B2CF9AE}" pid="33" name="Mendeley Citation Style_1">
    <vt:lpwstr>http://www.zotero.org/styles/chicago-author-date</vt:lpwstr>
  </property>
</Properties>
</file>