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69A6B" w14:textId="77777777" w:rsidR="00154316" w:rsidRDefault="00154316" w:rsidP="00154316">
      <w:pPr>
        <w:pStyle w:val="Heading2"/>
      </w:pPr>
      <w:r>
        <w:t xml:space="preserve">Authors </w:t>
      </w:r>
    </w:p>
    <w:p w14:paraId="4A7EAC2C" w14:textId="77777777" w:rsidR="00154316" w:rsidRDefault="00154316" w:rsidP="00154316">
      <w:r>
        <w:t>Duane, Brett</w:t>
      </w:r>
      <w:r>
        <w:rPr>
          <w:rStyle w:val="FootnoteReference"/>
        </w:rPr>
        <w:footnoteReference w:id="1"/>
      </w:r>
    </w:p>
    <w:p w14:paraId="78A001C0" w14:textId="77777777" w:rsidR="00154316" w:rsidRDefault="00154316" w:rsidP="00154316">
      <w:r>
        <w:t>Ramasubbu, Darshini</w:t>
      </w:r>
      <w:r>
        <w:rPr>
          <w:rStyle w:val="FootnoteReference"/>
        </w:rPr>
        <w:footnoteReference w:id="2"/>
      </w:r>
    </w:p>
    <w:p w14:paraId="2D7026ED" w14:textId="77777777" w:rsidR="00154316" w:rsidRDefault="00154316" w:rsidP="00154316">
      <w:r>
        <w:t>Harford, Sara</w:t>
      </w:r>
      <w:r>
        <w:rPr>
          <w:rStyle w:val="FootnoteReference"/>
        </w:rPr>
        <w:footnoteReference w:id="3"/>
      </w:r>
    </w:p>
    <w:p w14:paraId="42921575" w14:textId="77777777" w:rsidR="00154316" w:rsidRDefault="00154316" w:rsidP="00154316">
      <w:r>
        <w:t>Steinbach, Ingeborg</w:t>
      </w:r>
      <w:r>
        <w:rPr>
          <w:rStyle w:val="FootnoteReference"/>
        </w:rPr>
        <w:footnoteReference w:id="4"/>
      </w:r>
    </w:p>
    <w:p w14:paraId="794E0EA7" w14:textId="77777777" w:rsidR="00154316" w:rsidRDefault="00154316" w:rsidP="00154316">
      <w:r>
        <w:t>Stancliffe Rachel</w:t>
      </w:r>
      <w:r>
        <w:rPr>
          <w:rStyle w:val="FootnoteReference"/>
        </w:rPr>
        <w:footnoteReference w:id="5"/>
      </w:r>
    </w:p>
    <w:p w14:paraId="4295251D" w14:textId="77777777" w:rsidR="00154316" w:rsidRDefault="00154316" w:rsidP="00154316">
      <w:r>
        <w:t>Ballantyne, Gavin</w:t>
      </w:r>
      <w:r>
        <w:rPr>
          <w:rStyle w:val="FootnoteReference"/>
        </w:rPr>
        <w:footnoteReference w:id="6"/>
      </w:r>
    </w:p>
    <w:p w14:paraId="6EBD9A88" w14:textId="77777777" w:rsidR="00154316" w:rsidRDefault="00154316" w:rsidP="00154316"/>
    <w:p w14:paraId="3D9FC269" w14:textId="77777777" w:rsidR="00154316" w:rsidRDefault="00154316" w:rsidP="00154316">
      <w:pPr>
        <w:pStyle w:val="Heading2"/>
      </w:pPr>
    </w:p>
    <w:p w14:paraId="0D11B27D" w14:textId="77777777" w:rsidR="00154316" w:rsidRDefault="00154316" w:rsidP="00154316"/>
    <w:p w14:paraId="7AF92BFD" w14:textId="77777777" w:rsidR="00154316" w:rsidRDefault="00154316" w:rsidP="00154316"/>
    <w:p w14:paraId="44198D29" w14:textId="77777777" w:rsidR="00154316" w:rsidRPr="00154316" w:rsidRDefault="00154316" w:rsidP="00154316"/>
    <w:p w14:paraId="34F215AE" w14:textId="77777777" w:rsidR="00154316" w:rsidRDefault="00154316" w:rsidP="00154316">
      <w:pPr>
        <w:pStyle w:val="Heading2"/>
      </w:pPr>
      <w:bookmarkStart w:id="0" w:name="_GoBack"/>
      <w:bookmarkEnd w:id="0"/>
    </w:p>
    <w:p w14:paraId="7D4892F4" w14:textId="77777777" w:rsidR="00154316" w:rsidRPr="009B1FA3" w:rsidRDefault="00154316" w:rsidP="00154316">
      <w:pPr>
        <w:pStyle w:val="Heading2"/>
      </w:pPr>
      <w:r w:rsidRPr="009B1FA3">
        <w:t>Abstract</w:t>
      </w:r>
    </w:p>
    <w:p w14:paraId="643A8BEE" w14:textId="77777777" w:rsidR="00154316" w:rsidRPr="00C4473C" w:rsidRDefault="00154316" w:rsidP="00154316">
      <w:r w:rsidRPr="00C4473C">
        <w:t>Biodiversity is decreasing sharply.</w:t>
      </w:r>
      <w:r>
        <w:t xml:space="preserve"> </w:t>
      </w:r>
      <w:r w:rsidRPr="00C4473C">
        <w:t>Human well-being</w:t>
      </w:r>
      <w:r w:rsidRPr="00C4473C">
        <w:rPr>
          <w:shd w:val="clear" w:color="auto" w:fill="FFFFFF"/>
        </w:rPr>
        <w:t xml:space="preserve"> </w:t>
      </w:r>
      <w:r w:rsidRPr="00C4473C">
        <w:t>depends on the interacting web of living species</w:t>
      </w:r>
      <w:r>
        <w:t>:</w:t>
      </w:r>
      <w:r w:rsidRPr="00C4473C">
        <w:t xml:space="preserve"> if health providers are </w:t>
      </w:r>
      <w:r>
        <w:t xml:space="preserve">truly </w:t>
      </w:r>
      <w:r w:rsidRPr="00C4473C">
        <w:t xml:space="preserve">concerned about human health they also need to concern themselves with the health of the </w:t>
      </w:r>
      <w:r>
        <w:t>planet</w:t>
      </w:r>
      <w:r w:rsidRPr="00C4473C">
        <w:rPr>
          <w:shd w:val="clear" w:color="auto" w:fill="FFFFFF"/>
        </w:rPr>
        <w:t>.</w:t>
      </w:r>
      <w:r w:rsidRPr="00C4473C">
        <w:t xml:space="preserve"> Awareness of the relationship between global health and human health is improving</w:t>
      </w:r>
      <w:r>
        <w:t xml:space="preserve"> and t</w:t>
      </w:r>
      <w:r w:rsidRPr="00C4473C">
        <w:t xml:space="preserve">he dental team can contribute to </w:t>
      </w:r>
      <w:r>
        <w:t>environmental</w:t>
      </w:r>
      <w:r w:rsidRPr="00C4473C">
        <w:t xml:space="preserve"> health </w:t>
      </w:r>
      <w:r>
        <w:t>and,</w:t>
      </w:r>
      <w:r w:rsidRPr="00C4473C">
        <w:t xml:space="preserve"> in doing so, to the overall health of the people they care for.</w:t>
      </w:r>
    </w:p>
    <w:p w14:paraId="35171BE1" w14:textId="77777777" w:rsidR="00154316" w:rsidRDefault="00154316" w:rsidP="00154316">
      <w:r w:rsidRPr="00C4473C">
        <w:rPr>
          <w:shd w:val="clear" w:color="auto" w:fill="FFFFFF"/>
        </w:rPr>
        <w:t>Many dental practices have backyards that can</w:t>
      </w:r>
      <w:r>
        <w:rPr>
          <w:shd w:val="clear" w:color="auto" w:fill="FFFFFF"/>
        </w:rPr>
        <w:t xml:space="preserve"> </w:t>
      </w:r>
      <w:r w:rsidRPr="00C4473C">
        <w:rPr>
          <w:shd w:val="clear" w:color="auto" w:fill="FFFFFF"/>
        </w:rPr>
        <w:t>perhaps be used more effectively to encourage biodiversity</w:t>
      </w:r>
      <w:r w:rsidRPr="00C4473C">
        <w:t xml:space="preserve"> and provide food and shelter for many species</w:t>
      </w:r>
      <w:r>
        <w:t>.</w:t>
      </w:r>
      <w:r w:rsidRPr="00C4473C">
        <w:t xml:space="preserve"> </w:t>
      </w:r>
      <w:r>
        <w:t>The frequency of lawn cutting c</w:t>
      </w:r>
      <w:r w:rsidRPr="00C4473C">
        <w:t xml:space="preserve">ould be reduced to improve biodiversity. Practices should consider </w:t>
      </w:r>
      <w:r>
        <w:t xml:space="preserve">creating </w:t>
      </w:r>
      <w:r w:rsidRPr="00C4473C">
        <w:t xml:space="preserve">areas of water </w:t>
      </w:r>
      <w:r>
        <w:t xml:space="preserve">or </w:t>
      </w:r>
      <w:r w:rsidRPr="00C4473C">
        <w:t xml:space="preserve">left-aside areas in their gardens or </w:t>
      </w:r>
      <w:r>
        <w:t>to store fallen leaves</w:t>
      </w:r>
      <w:r w:rsidRPr="00C4473C">
        <w:t>, dry wood and branches</w:t>
      </w:r>
      <w:r>
        <w:t xml:space="preserve"> for composting, such areas will</w:t>
      </w:r>
      <w:r w:rsidRPr="00C4473C">
        <w:t xml:space="preserve"> provide </w:t>
      </w:r>
      <w:r>
        <w:t xml:space="preserve">a natural habitat </w:t>
      </w:r>
      <w:r w:rsidRPr="00C4473C">
        <w:t xml:space="preserve">for a range of species. The dental </w:t>
      </w:r>
      <w:r>
        <w:t xml:space="preserve">practice </w:t>
      </w:r>
      <w:r w:rsidRPr="00C4473C">
        <w:t>could also include flora</w:t>
      </w:r>
      <w:r>
        <w:t>-</w:t>
      </w:r>
      <w:r w:rsidRPr="00C4473C">
        <w:t xml:space="preserve"> and fauna</w:t>
      </w:r>
      <w:r>
        <w:t>-</w:t>
      </w:r>
      <w:r w:rsidRPr="00C4473C">
        <w:t>friendly structures in their building structure or surrounds</w:t>
      </w:r>
      <w:r>
        <w:t>.</w:t>
      </w:r>
    </w:p>
    <w:p w14:paraId="5295483A" w14:textId="77777777" w:rsidR="00154316" w:rsidRDefault="00154316" w:rsidP="00154316">
      <w:r w:rsidRPr="00C4473C">
        <w:t xml:space="preserve">Dental practices </w:t>
      </w:r>
      <w:r>
        <w:t xml:space="preserve">might also give thought to </w:t>
      </w:r>
      <w:r w:rsidRPr="00C4473C">
        <w:t xml:space="preserve">the type of ground covering they </w:t>
      </w:r>
      <w:r>
        <w:t xml:space="preserve">have. Traditional </w:t>
      </w:r>
      <w:r w:rsidRPr="00C4473C">
        <w:t xml:space="preserve">coverings </w:t>
      </w:r>
      <w:r>
        <w:t>do not provide</w:t>
      </w:r>
      <w:r w:rsidRPr="00C4473C">
        <w:t xml:space="preserve"> potential for plants or wildlife to live, but a </w:t>
      </w:r>
      <w:r>
        <w:t xml:space="preserve">natural </w:t>
      </w:r>
      <w:r w:rsidRPr="00C4473C">
        <w:t>surface with some vegetation provides greater potential for small plants and insects to exist.</w:t>
      </w:r>
    </w:p>
    <w:p w14:paraId="08959E68" w14:textId="77777777" w:rsidR="00B52997" w:rsidRPr="00263EF6" w:rsidRDefault="00B52997" w:rsidP="00B52997">
      <w:pPr>
        <w:spacing w:line="259" w:lineRule="auto"/>
      </w:pPr>
    </w:p>
    <w:p w14:paraId="6EEAB374" w14:textId="77777777" w:rsidR="00B52997" w:rsidRPr="00263EF6" w:rsidRDefault="00B52997" w:rsidP="00B52997"/>
    <w:p w14:paraId="3CF35866" w14:textId="77777777" w:rsidR="00B52997" w:rsidRPr="00263EF6" w:rsidRDefault="00B83B00" w:rsidP="00B52997">
      <w:pPr>
        <w:pStyle w:val="Heading2"/>
        <w:rPr>
          <w:color w:val="000000" w:themeColor="text1"/>
        </w:rPr>
      </w:pPr>
      <w:bookmarkStart w:id="1" w:name="OLE_LINK3"/>
      <w:bookmarkStart w:id="2" w:name="OLE_LINK4"/>
      <w:r w:rsidRPr="00263EF6">
        <w:rPr>
          <w:color w:val="000000" w:themeColor="text1"/>
        </w:rPr>
        <w:t>Environmental s</w:t>
      </w:r>
      <w:r w:rsidR="003156B9" w:rsidRPr="00263EF6">
        <w:rPr>
          <w:color w:val="000000" w:themeColor="text1"/>
        </w:rPr>
        <w:t>ustainability and b</w:t>
      </w:r>
      <w:r w:rsidR="00B52997" w:rsidRPr="00263EF6">
        <w:rPr>
          <w:color w:val="000000" w:themeColor="text1"/>
        </w:rPr>
        <w:t>iodiversity within the dental practice</w:t>
      </w:r>
    </w:p>
    <w:bookmarkEnd w:id="1"/>
    <w:bookmarkEnd w:id="2"/>
    <w:p w14:paraId="5E9327EE" w14:textId="77777777" w:rsidR="00B52997" w:rsidRPr="00263EF6" w:rsidRDefault="00B52997" w:rsidP="00B52997">
      <w:r w:rsidRPr="00263EF6">
        <w:t xml:space="preserve">The purpose of the British Dental Journal </w:t>
      </w:r>
      <w:r w:rsidRPr="00263EF6">
        <w:rPr>
          <w:b/>
        </w:rPr>
        <w:t xml:space="preserve">(BDJ) </w:t>
      </w:r>
      <w:r w:rsidRPr="00263EF6">
        <w:t>is to inform its readers of ideas, opinions, developments and key issues in dentistry. This paper forms part of a series of papers (7 in total) which have been requested by colleagues to help them as clinicians understand sustainability as it relates to dentistry. This paper focuses on biodiversity and how the dental team can become more sustainable. In the spirit of the BDJ it is hoped that these series of papers stimulates interest, debate and discussion and, ultimately, influence dentistry to become more environmentally sustainable.</w:t>
      </w:r>
    </w:p>
    <w:p w14:paraId="4E6FBE5C" w14:textId="77777777" w:rsidR="003D5826" w:rsidRPr="00263EF6" w:rsidRDefault="003D5826" w:rsidP="003D5826">
      <w:pPr>
        <w:pStyle w:val="Heading2"/>
        <w:rPr>
          <w:color w:val="000000" w:themeColor="text1"/>
        </w:rPr>
      </w:pPr>
      <w:r w:rsidRPr="00263EF6">
        <w:rPr>
          <w:color w:val="000000" w:themeColor="text1"/>
        </w:rPr>
        <w:t>Relationship between biodiversity and health</w:t>
      </w:r>
    </w:p>
    <w:p w14:paraId="2FE6B4A7" w14:textId="77777777" w:rsidR="00B52997" w:rsidRPr="00263EF6" w:rsidRDefault="00B52997" w:rsidP="00B52997">
      <w:r w:rsidRPr="00263EF6">
        <w:t>Human well-being depends very much on the interacting web of living species: if health care providers are truly concerned about human health they also need to concern themselves with the health of the planet.</w:t>
      </w:r>
      <w:bookmarkStart w:id="3" w:name="_Ref529390194"/>
      <w:r w:rsidRPr="00263EF6">
        <w:rPr>
          <w:rStyle w:val="EndnoteReference"/>
        </w:rPr>
        <w:endnoteReference w:id="1"/>
      </w:r>
      <w:bookmarkEnd w:id="3"/>
      <w:r w:rsidRPr="00263EF6">
        <w:t xml:space="preserve"> Awareness of the links between quality of environment, climate change and human health is increasing. However, to date, much of the limited research on dentistry and environmental sustainability has focussed on carbon dioxide emissions and the impact of amalgam.</w:t>
      </w:r>
      <w:r w:rsidRPr="00263EF6">
        <w:rPr>
          <w:rStyle w:val="EndnoteReference"/>
        </w:rPr>
        <w:endnoteReference w:id="2"/>
      </w:r>
      <w:r w:rsidRPr="00263EF6">
        <w:rPr>
          <w:vertAlign w:val="superscript"/>
        </w:rPr>
        <w:t>,</w:t>
      </w:r>
      <w:r w:rsidRPr="00263EF6">
        <w:rPr>
          <w:rStyle w:val="EndnoteReference"/>
        </w:rPr>
        <w:endnoteReference w:id="3"/>
      </w:r>
      <w:r w:rsidRPr="00263EF6">
        <w:rPr>
          <w:vertAlign w:val="superscript"/>
        </w:rPr>
        <w:t>,</w:t>
      </w:r>
      <w:r w:rsidRPr="00263EF6">
        <w:rPr>
          <w:rStyle w:val="EndnoteReference"/>
        </w:rPr>
        <w:endnoteReference w:id="4"/>
      </w:r>
      <w:r w:rsidRPr="00263EF6">
        <w:t xml:space="preserve"> Papers 2-5 within this series on sustainability within the dental practice focus directly and/or indirectly on these emissions.</w:t>
      </w:r>
      <w:r w:rsidRPr="00263EF6">
        <w:rPr>
          <w:rStyle w:val="EndnoteReference"/>
        </w:rPr>
        <w:endnoteReference w:id="5"/>
      </w:r>
      <w:r w:rsidRPr="00263EF6">
        <w:t xml:space="preserve"> Even though the link between dentistry and encouraging biodiversity seems weak, there is a </w:t>
      </w:r>
      <w:r w:rsidRPr="00263EF6">
        <w:lastRenderedPageBreak/>
        <w:t>significant amount the dental team can contribute to the health of the local environment and, in doing so, to the overall health of the people they care for.</w:t>
      </w:r>
    </w:p>
    <w:p w14:paraId="40AD2D5B" w14:textId="535DC6D4" w:rsidR="00B52997" w:rsidRPr="00263EF6" w:rsidRDefault="00B52997" w:rsidP="00B52997">
      <w:pPr>
        <w:rPr>
          <w:shd w:val="clear" w:color="auto" w:fill="FFFFFF"/>
        </w:rPr>
      </w:pPr>
      <w:r w:rsidRPr="00263EF6">
        <w:t>Biodiversity means the variability among living organisms and the ecological communities of which they are part.</w:t>
      </w:r>
      <w:r w:rsidRPr="00263EF6">
        <w:rPr>
          <w:rStyle w:val="EndnoteReference"/>
        </w:rPr>
        <w:endnoteReference w:id="6"/>
      </w:r>
      <w:r w:rsidRPr="00263EF6">
        <w:t xml:space="preserve"> </w:t>
      </w:r>
      <w:r w:rsidRPr="00263EF6">
        <w:rPr>
          <w:shd w:val="clear" w:color="auto" w:fill="FFFFFF"/>
        </w:rPr>
        <w:t>In 2017 Ceballos et al published a review highlighting the significant decline in populations of most global vertebrate species, predominately due to a reduction in their habitat, which ultimately effects the ecosystems human society depends on.</w:t>
      </w:r>
      <w:bookmarkStart w:id="4" w:name="_Ref521575159"/>
      <w:r w:rsidRPr="00263EF6">
        <w:rPr>
          <w:rStyle w:val="EndnoteReference"/>
          <w:shd w:val="clear" w:color="auto" w:fill="FFFFFF"/>
        </w:rPr>
        <w:endnoteReference w:id="7"/>
      </w:r>
      <w:bookmarkEnd w:id="4"/>
      <w:r w:rsidRPr="00263EF6">
        <w:rPr>
          <w:shd w:val="clear" w:color="auto" w:fill="FFFFFF"/>
        </w:rPr>
        <w:t xml:space="preserve"> Around 30% of land vertebrates (reptiles, birds and amphibians) are losing population and habitat.</w:t>
      </w:r>
      <w:r w:rsidR="00113B4A" w:rsidRPr="00263EF6">
        <w:rPr>
          <w:shd w:val="clear" w:color="auto" w:fill="FFFFFF"/>
        </w:rPr>
        <w:fldChar w:fldCharType="begin"/>
      </w:r>
      <w:r w:rsidR="00113B4A" w:rsidRPr="00263EF6">
        <w:rPr>
          <w:shd w:val="clear" w:color="auto" w:fill="FFFFFF"/>
        </w:rPr>
        <w:instrText xml:space="preserve"> NOTEREF _Ref529390194 \f </w:instrText>
      </w:r>
      <w:r w:rsidR="00113B4A" w:rsidRPr="00263EF6">
        <w:rPr>
          <w:shd w:val="clear" w:color="auto" w:fill="FFFFFF"/>
        </w:rPr>
        <w:fldChar w:fldCharType="separate"/>
      </w:r>
      <w:r w:rsidR="00675D72" w:rsidRPr="00263EF6">
        <w:rPr>
          <w:rStyle w:val="EndnoteReference"/>
        </w:rPr>
        <w:t>1</w:t>
      </w:r>
      <w:r w:rsidR="00113B4A" w:rsidRPr="00263EF6">
        <w:rPr>
          <w:shd w:val="clear" w:color="auto" w:fill="FFFFFF"/>
        </w:rPr>
        <w:fldChar w:fldCharType="end"/>
      </w:r>
      <w:r w:rsidRPr="00263EF6">
        <w:rPr>
          <w:shd w:val="clear" w:color="auto" w:fill="FFFFFF"/>
        </w:rPr>
        <w:t xml:space="preserve"> Within the UK, 15% of around 8000 species assessed are facing extinction, with renowned naturalist David Attenborough suggesting that the UK has lost more nature long term than the global average, making the UK one of the most nature-depleted countries in the world.</w:t>
      </w:r>
      <w:r w:rsidRPr="00263EF6">
        <w:rPr>
          <w:rStyle w:val="EndnoteReference"/>
          <w:shd w:val="clear" w:color="auto" w:fill="FFFFFF"/>
        </w:rPr>
        <w:endnoteReference w:id="8"/>
      </w:r>
      <w:r w:rsidRPr="00263EF6">
        <w:rPr>
          <w:shd w:val="clear" w:color="auto" w:fill="FFFFFF"/>
        </w:rPr>
        <w:t xml:space="preserve"> Biodiversity declines are being recorded across all food chains. Between the 1950s and 2013, insect numbers in </w:t>
      </w:r>
      <w:r w:rsidR="002B122C" w:rsidRPr="00263EF6">
        <w:rPr>
          <w:shd w:val="clear" w:color="auto" w:fill="FFFFFF"/>
        </w:rPr>
        <w:t xml:space="preserve">protected </w:t>
      </w:r>
      <w:r w:rsidRPr="00263EF6">
        <w:rPr>
          <w:shd w:val="clear" w:color="auto" w:fill="FFFFFF"/>
        </w:rPr>
        <w:t xml:space="preserve">areas of Germany have plummeted 80%, likely due to widespread use of insecticides and habitat loss in the surrounding </w:t>
      </w:r>
      <w:r w:rsidR="002B122C" w:rsidRPr="00263EF6">
        <w:rPr>
          <w:shd w:val="clear" w:color="auto" w:fill="FFFFFF"/>
        </w:rPr>
        <w:t>countryside</w:t>
      </w:r>
      <w:r w:rsidRPr="00263EF6">
        <w:rPr>
          <w:shd w:val="clear" w:color="auto" w:fill="FFFFFF"/>
        </w:rPr>
        <w:t>. Similar losses in bee and insect-pollinated plant diversity are being recorded in the UK and the Netherlands.</w:t>
      </w:r>
      <w:r w:rsidRPr="00263EF6">
        <w:rPr>
          <w:rStyle w:val="EndnoteReference"/>
          <w:shd w:val="clear" w:color="auto" w:fill="FFFFFF"/>
        </w:rPr>
        <w:endnoteReference w:id="9"/>
      </w:r>
      <w:r w:rsidRPr="00263EF6">
        <w:rPr>
          <w:shd w:val="clear" w:color="auto" w:fill="FFFFFF"/>
          <w:vertAlign w:val="superscript"/>
        </w:rPr>
        <w:t>,</w:t>
      </w:r>
      <w:r w:rsidRPr="00263EF6">
        <w:rPr>
          <w:rStyle w:val="EndnoteReference"/>
          <w:shd w:val="clear" w:color="auto" w:fill="FFFFFF"/>
        </w:rPr>
        <w:endnoteReference w:id="10"/>
      </w:r>
      <w:r w:rsidRPr="00263EF6">
        <w:rPr>
          <w:shd w:val="clear" w:color="auto" w:fill="FFFFFF"/>
          <w:vertAlign w:val="superscript"/>
        </w:rPr>
        <w:t>,</w:t>
      </w:r>
      <w:bookmarkStart w:id="5" w:name="_Ref521575288"/>
      <w:r w:rsidRPr="00263EF6">
        <w:rPr>
          <w:rStyle w:val="EndnoteReference"/>
          <w:shd w:val="clear" w:color="auto" w:fill="FFFFFF"/>
        </w:rPr>
        <w:endnoteReference w:id="11"/>
      </w:r>
      <w:bookmarkEnd w:id="5"/>
      <w:r w:rsidRPr="00263EF6">
        <w:rPr>
          <w:shd w:val="clear" w:color="auto" w:fill="FFFFFF"/>
          <w:vertAlign w:val="superscript"/>
        </w:rPr>
        <w:t>,</w:t>
      </w:r>
      <w:r w:rsidRPr="00263EF6">
        <w:rPr>
          <w:rStyle w:val="EndnoteReference"/>
          <w:shd w:val="clear" w:color="auto" w:fill="FFFFFF"/>
        </w:rPr>
        <w:endnoteReference w:id="12"/>
      </w:r>
    </w:p>
    <w:p w14:paraId="4EB1C8DC" w14:textId="06F858F4" w:rsidR="00B52997" w:rsidRPr="00263EF6" w:rsidRDefault="00B52997" w:rsidP="00B52997">
      <w:pPr>
        <w:rPr>
          <w:shd w:val="clear" w:color="auto" w:fill="FFFFFF"/>
          <w:vertAlign w:val="superscript"/>
        </w:rPr>
      </w:pPr>
      <w:r w:rsidRPr="00263EF6">
        <w:rPr>
          <w:shd w:val="clear" w:color="auto" w:fill="FFFFFF"/>
        </w:rPr>
        <w:t xml:space="preserve">Scientists provide many reasons for the reduction in the world’s insect populations, notably the use of pesticides, the spread of monoculture crops, urbanisation and habitat destruction. As we rely on insects for a wide range of ecosystem services, the significant drop in insect populations we are </w:t>
      </w:r>
      <w:proofErr w:type="gramStart"/>
      <w:r w:rsidRPr="00263EF6">
        <w:rPr>
          <w:shd w:val="clear" w:color="auto" w:fill="FFFFFF"/>
        </w:rPr>
        <w:t xml:space="preserve">seeing  </w:t>
      </w:r>
      <w:r w:rsidRPr="00263EF6">
        <w:rPr>
          <w:shd w:val="clear" w:color="auto" w:fill="FFFFFF"/>
        </w:rPr>
        <w:lastRenderedPageBreak/>
        <w:t>could</w:t>
      </w:r>
      <w:proofErr w:type="gramEnd"/>
      <w:r w:rsidRPr="00263EF6">
        <w:rPr>
          <w:shd w:val="clear" w:color="auto" w:fill="FFFFFF"/>
        </w:rPr>
        <w:t xml:space="preserve"> be disastrous as it impacts on the  pollination of crops and wild plants, control of pest species, decomposition of waste and as food source</w:t>
      </w:r>
      <w:r w:rsidR="002B122C" w:rsidRPr="00263EF6">
        <w:rPr>
          <w:shd w:val="clear" w:color="auto" w:fill="FFFFFF"/>
        </w:rPr>
        <w:t>s</w:t>
      </w:r>
      <w:r w:rsidRPr="00263EF6">
        <w:rPr>
          <w:shd w:val="clear" w:color="auto" w:fill="FFFFFF"/>
        </w:rPr>
        <w:t xml:space="preserve"> for other animals.</w:t>
      </w:r>
      <w:r w:rsidR="00D76626" w:rsidRPr="00263EF6">
        <w:rPr>
          <w:shd w:val="clear" w:color="auto" w:fill="FFFFFF"/>
          <w:vertAlign w:val="superscript"/>
        </w:rPr>
        <w:fldChar w:fldCharType="begin"/>
      </w:r>
      <w:r w:rsidR="00D76626" w:rsidRPr="00263EF6">
        <w:rPr>
          <w:shd w:val="clear" w:color="auto" w:fill="FFFFFF"/>
          <w:vertAlign w:val="superscript"/>
        </w:rPr>
        <w:instrText xml:space="preserve"> NOTEREF _Ref521575288 \f \h  \* MERGEFORMAT </w:instrText>
      </w:r>
      <w:r w:rsidR="00D76626" w:rsidRPr="00263EF6">
        <w:rPr>
          <w:shd w:val="clear" w:color="auto" w:fill="FFFFFF"/>
          <w:vertAlign w:val="superscript"/>
        </w:rPr>
      </w:r>
      <w:r w:rsidR="00D76626" w:rsidRPr="00263EF6">
        <w:rPr>
          <w:shd w:val="clear" w:color="auto" w:fill="FFFFFF"/>
          <w:vertAlign w:val="superscript"/>
        </w:rPr>
        <w:fldChar w:fldCharType="separate"/>
      </w:r>
      <w:r w:rsidR="00675D72" w:rsidRPr="00263EF6">
        <w:rPr>
          <w:rStyle w:val="EndnoteReference"/>
        </w:rPr>
        <w:t>11</w:t>
      </w:r>
      <w:r w:rsidR="00D76626" w:rsidRPr="00263EF6">
        <w:rPr>
          <w:shd w:val="clear" w:color="auto" w:fill="FFFFFF"/>
          <w:vertAlign w:val="superscript"/>
        </w:rPr>
        <w:fldChar w:fldCharType="end"/>
      </w:r>
      <w:r w:rsidR="00D76626" w:rsidRPr="00263EF6">
        <w:rPr>
          <w:shd w:val="clear" w:color="auto" w:fill="FFFFFF"/>
          <w:vertAlign w:val="superscript"/>
        </w:rPr>
        <w:t>,</w:t>
      </w:r>
      <w:r w:rsidRPr="00263EF6">
        <w:rPr>
          <w:rStyle w:val="EndnoteReference"/>
          <w:shd w:val="clear" w:color="auto" w:fill="FFFFFF"/>
        </w:rPr>
        <w:endnoteReference w:id="13"/>
      </w:r>
      <w:r w:rsidRPr="00263EF6">
        <w:rPr>
          <w:shd w:val="clear" w:color="auto" w:fill="FFFFFF"/>
          <w:vertAlign w:val="superscript"/>
        </w:rPr>
        <w:t>,</w:t>
      </w:r>
      <w:r w:rsidRPr="00263EF6">
        <w:rPr>
          <w:rStyle w:val="EndnoteReference"/>
          <w:shd w:val="clear" w:color="auto" w:fill="FFFFFF"/>
        </w:rPr>
        <w:endnoteReference w:id="14"/>
      </w:r>
      <w:r w:rsidRPr="00263EF6">
        <w:rPr>
          <w:shd w:val="clear" w:color="auto" w:fill="FFFFFF"/>
          <w:vertAlign w:val="superscript"/>
        </w:rPr>
        <w:t xml:space="preserve"> ,</w:t>
      </w:r>
      <w:r w:rsidRPr="00263EF6">
        <w:rPr>
          <w:rStyle w:val="EndnoteReference"/>
          <w:shd w:val="clear" w:color="auto" w:fill="FFFFFF"/>
        </w:rPr>
        <w:endnoteReference w:id="15"/>
      </w:r>
    </w:p>
    <w:p w14:paraId="157380BB" w14:textId="77777777" w:rsidR="004C6CE7" w:rsidRPr="00263EF6" w:rsidRDefault="004C6CE7" w:rsidP="00B52997">
      <w:pPr>
        <w:rPr>
          <w:shd w:val="clear" w:color="auto" w:fill="FFFFFF"/>
        </w:rPr>
      </w:pPr>
      <w:r w:rsidRPr="00263EF6">
        <w:rPr>
          <w:shd w:val="clear" w:color="auto" w:fill="FFFFFF"/>
        </w:rPr>
        <w:t>Within the overall NHS there is estate land surrounding NHS premises</w:t>
      </w:r>
      <w:r w:rsidR="00392237" w:rsidRPr="00263EF6">
        <w:rPr>
          <w:shd w:val="clear" w:color="auto" w:fill="FFFFFF"/>
        </w:rPr>
        <w:t>.  The NHS Forest has over 150 sites across England</w:t>
      </w:r>
      <w:r w:rsidR="00257086" w:rsidRPr="00263EF6">
        <w:rPr>
          <w:shd w:val="clear" w:color="auto" w:fill="FFFFFF"/>
        </w:rPr>
        <w:t xml:space="preserve"> coordinated by the Centre for Sutainable Healthcare to improve the public health and wellbeing, encourage greater social cohesion, and help initiate projects to use new and existing woodland for food, crops, reflective or exercise space and to encourage biodiversity. </w:t>
      </w:r>
      <w:bookmarkStart w:id="6" w:name="_Ref528754786"/>
      <w:r w:rsidR="00392237" w:rsidRPr="00263EF6">
        <w:rPr>
          <w:rStyle w:val="EndnoteReference"/>
          <w:shd w:val="clear" w:color="auto" w:fill="FFFFFF"/>
        </w:rPr>
        <w:endnoteReference w:id="16"/>
      </w:r>
      <w:bookmarkEnd w:id="6"/>
      <w:r w:rsidR="00392237" w:rsidRPr="00263EF6">
        <w:rPr>
          <w:shd w:val="clear" w:color="auto" w:fill="FFFFFF"/>
        </w:rPr>
        <w:t xml:space="preserve"> </w:t>
      </w:r>
      <w:r w:rsidR="00986A01" w:rsidRPr="00263EF6">
        <w:rPr>
          <w:shd w:val="clear" w:color="auto" w:fill="FFFFFF"/>
        </w:rPr>
        <w:t xml:space="preserve"> </w:t>
      </w:r>
      <w:r w:rsidR="00392237" w:rsidRPr="00263EF6">
        <w:rPr>
          <w:shd w:val="clear" w:color="auto" w:fill="FFFFFF"/>
        </w:rPr>
        <w:t>There is considerable evidence that greenspace can improve health across a number of different dimensions including mental health</w:t>
      </w:r>
      <w:r w:rsidR="00E85E57" w:rsidRPr="00263EF6">
        <w:rPr>
          <w:shd w:val="clear" w:color="auto" w:fill="FFFFFF"/>
        </w:rPr>
        <w:t xml:space="preserve"> and physical health (in particular </w:t>
      </w:r>
      <w:r w:rsidR="00986A01" w:rsidRPr="00263EF6">
        <w:rPr>
          <w:shd w:val="clear" w:color="auto" w:fill="FFFFFF"/>
        </w:rPr>
        <w:t xml:space="preserve">obesity, </w:t>
      </w:r>
      <w:r w:rsidR="00E85E57" w:rsidRPr="00263EF6">
        <w:rPr>
          <w:shd w:val="clear" w:color="auto" w:fill="FFFFFF"/>
        </w:rPr>
        <w:t xml:space="preserve">cardiovascular and </w:t>
      </w:r>
      <w:r w:rsidR="00392237" w:rsidRPr="00263EF6">
        <w:rPr>
          <w:shd w:val="clear" w:color="auto" w:fill="FFFFFF"/>
        </w:rPr>
        <w:t>respiratory health</w:t>
      </w:r>
      <w:r w:rsidR="00E85E57" w:rsidRPr="00263EF6">
        <w:rPr>
          <w:shd w:val="clear" w:color="auto" w:fill="FFFFFF"/>
        </w:rPr>
        <w:t>). The evidence is weak, but growing and is reviewed in recent papers by Markevych</w:t>
      </w:r>
      <w:r w:rsidR="00986A01" w:rsidRPr="00263EF6">
        <w:rPr>
          <w:shd w:val="clear" w:color="auto" w:fill="FFFFFF"/>
        </w:rPr>
        <w:t>.</w:t>
      </w:r>
      <w:r w:rsidR="00E85E57" w:rsidRPr="00263EF6">
        <w:rPr>
          <w:rStyle w:val="EndnoteReference"/>
          <w:shd w:val="clear" w:color="auto" w:fill="FFFFFF"/>
        </w:rPr>
        <w:endnoteReference w:id="17"/>
      </w:r>
    </w:p>
    <w:p w14:paraId="0B1E537D" w14:textId="77777777" w:rsidR="00B52997" w:rsidRPr="00263EF6" w:rsidRDefault="00B52997" w:rsidP="00B52997">
      <w:pPr>
        <w:rPr>
          <w:shd w:val="clear" w:color="auto" w:fill="FFFFFF"/>
        </w:rPr>
      </w:pPr>
      <w:r w:rsidRPr="00263EF6">
        <w:rPr>
          <w:shd w:val="clear" w:color="auto" w:fill="FFFFFF"/>
        </w:rPr>
        <w:t>There were 46 thousand dental practitioners registered in the United Kingdom during the period 2010-2017.</w:t>
      </w:r>
      <w:r w:rsidRPr="00263EF6">
        <w:rPr>
          <w:vertAlign w:val="superscript"/>
        </w:rPr>
        <w:endnoteReference w:id="18"/>
      </w:r>
      <w:r w:rsidRPr="00263EF6">
        <w:rPr>
          <w:shd w:val="clear" w:color="auto" w:fill="FFFFFF"/>
        </w:rPr>
        <w:t xml:space="preserve"> </w:t>
      </w:r>
      <w:r w:rsidR="004C6CE7" w:rsidRPr="00263EF6">
        <w:rPr>
          <w:shd w:val="clear" w:color="auto" w:fill="FFFFFF"/>
        </w:rPr>
        <w:t xml:space="preserve"> Although there is no official information on land associated with NHS dental practices it is expected that a number of </w:t>
      </w:r>
      <w:r w:rsidRPr="00263EF6">
        <w:rPr>
          <w:shd w:val="clear" w:color="auto" w:fill="FFFFFF"/>
        </w:rPr>
        <w:t xml:space="preserve">dental practices within the UK and Ireland have outside areas that can be </w:t>
      </w:r>
      <w:r w:rsidRPr="00263EF6">
        <w:rPr>
          <w:strike/>
          <w:shd w:val="clear" w:color="auto" w:fill="FFFFFF"/>
        </w:rPr>
        <w:t>perhaps</w:t>
      </w:r>
      <w:r w:rsidRPr="00263EF6">
        <w:rPr>
          <w:shd w:val="clear" w:color="auto" w:fill="FFFFFF"/>
        </w:rPr>
        <w:t xml:space="preserve"> used more effectively to encourage biodiversity. This paper is written mainly for dental practices with some external space, whether it be a large garden or a small lawn and provides advice on how to do this.</w:t>
      </w:r>
    </w:p>
    <w:p w14:paraId="257595D0" w14:textId="77777777" w:rsidR="004C6CE7" w:rsidRPr="00263EF6" w:rsidRDefault="004C6CE7" w:rsidP="00B52997">
      <w:pPr>
        <w:rPr>
          <w:shd w:val="clear" w:color="auto" w:fill="FFFFFF"/>
        </w:rPr>
      </w:pPr>
    </w:p>
    <w:p w14:paraId="2B011745" w14:textId="77777777" w:rsidR="0078285B" w:rsidRPr="00263EF6" w:rsidRDefault="0078285B" w:rsidP="0078285B">
      <w:pPr>
        <w:pStyle w:val="Heading2"/>
        <w:rPr>
          <w:color w:val="000000" w:themeColor="text1"/>
          <w:shd w:val="clear" w:color="auto" w:fill="FFFFFF"/>
        </w:rPr>
      </w:pPr>
      <w:r w:rsidRPr="00263EF6">
        <w:rPr>
          <w:color w:val="000000" w:themeColor="text1"/>
          <w:shd w:val="clear" w:color="auto" w:fill="FFFFFF"/>
        </w:rPr>
        <w:lastRenderedPageBreak/>
        <w:t>Importance of urban areas for biodiversity</w:t>
      </w:r>
    </w:p>
    <w:p w14:paraId="63E66936" w14:textId="471DCFE5" w:rsidR="00B52997" w:rsidRPr="00263EF6" w:rsidRDefault="00B52997" w:rsidP="00B52997">
      <w:r w:rsidRPr="00263EF6">
        <w:rPr>
          <w:shd w:val="clear" w:color="auto" w:fill="FFFFFF"/>
        </w:rPr>
        <w:t>Traditionally, urban spaces were considered significantly less important for maintaining the natural environment than rural areas. However, biodiversity can be high in urban areas too, providing opportunities for rich and varied plant and animal life to thrive.</w:t>
      </w:r>
      <w:r w:rsidRPr="00263EF6">
        <w:rPr>
          <w:shd w:val="clear" w:color="auto" w:fill="FFFFFF"/>
          <w:vertAlign w:val="superscript"/>
        </w:rPr>
        <w:endnoteReference w:id="19"/>
      </w:r>
      <w:r w:rsidRPr="00263EF6">
        <w:rPr>
          <w:shd w:val="clear" w:color="auto" w:fill="FFFFFF"/>
          <w:vertAlign w:val="superscript"/>
        </w:rPr>
        <w:t>,</w:t>
      </w:r>
      <w:r w:rsidRPr="00263EF6">
        <w:rPr>
          <w:rStyle w:val="EndnoteReference"/>
          <w:shd w:val="clear" w:color="auto" w:fill="FFFFFF"/>
        </w:rPr>
        <w:endnoteReference w:id="20"/>
      </w:r>
      <w:r w:rsidRPr="00263EF6">
        <w:rPr>
          <w:shd w:val="clear" w:color="auto" w:fill="FFFFFF"/>
          <w:vertAlign w:val="superscript"/>
        </w:rPr>
        <w:t xml:space="preserve"> </w:t>
      </w:r>
      <w:r w:rsidRPr="00263EF6">
        <w:rPr>
          <w:shd w:val="clear" w:color="auto" w:fill="FFFFFF"/>
        </w:rPr>
        <w:t>Ensuring there is high quality green space and biodiversity within towns and cities also provides benefits such as cleaner air and water and more attractive properties.</w:t>
      </w:r>
      <w:bookmarkStart w:id="7" w:name="_Ref513324106"/>
      <w:r w:rsidRPr="00263EF6">
        <w:rPr>
          <w:shd w:val="clear" w:color="auto" w:fill="FFFFFF"/>
          <w:vertAlign w:val="superscript"/>
        </w:rPr>
        <w:endnoteReference w:id="21"/>
      </w:r>
      <w:bookmarkEnd w:id="7"/>
      <w:r w:rsidRPr="00263EF6">
        <w:rPr>
          <w:shd w:val="clear" w:color="auto" w:fill="FFFFFF"/>
        </w:rPr>
        <w:t xml:space="preserve"> As urban areas expand and rural areas decline, the value of urban biodiversity is </w:t>
      </w:r>
      <w:proofErr w:type="gramStart"/>
      <w:r w:rsidRPr="00263EF6">
        <w:rPr>
          <w:shd w:val="clear" w:color="auto" w:fill="FFFFFF"/>
        </w:rPr>
        <w:t>increasing.</w:t>
      </w:r>
      <w:r w:rsidRPr="00263EF6">
        <w:rPr>
          <w:rStyle w:val="EndnoteReference"/>
          <w:shd w:val="clear" w:color="auto" w:fill="FFFFFF"/>
        </w:rPr>
        <w:endnoteReference w:id="22"/>
      </w:r>
      <w:r w:rsidRPr="00263EF6">
        <w:rPr>
          <w:shd w:val="clear" w:color="auto" w:fill="FFFFFF"/>
          <w:vertAlign w:val="superscript"/>
        </w:rPr>
        <w:t>,</w:t>
      </w:r>
      <w:bookmarkStart w:id="8" w:name="_Ref521575413"/>
      <w:proofErr w:type="gramEnd"/>
      <w:r w:rsidRPr="00263EF6">
        <w:rPr>
          <w:rStyle w:val="EndnoteReference"/>
          <w:shd w:val="clear" w:color="auto" w:fill="FFFFFF"/>
        </w:rPr>
        <w:endnoteReference w:id="23"/>
      </w:r>
      <w:bookmarkEnd w:id="8"/>
      <w:r w:rsidRPr="00263EF6">
        <w:rPr>
          <w:shd w:val="clear" w:color="auto" w:fill="FFFFFF"/>
        </w:rPr>
        <w:t xml:space="preserve"> </w:t>
      </w:r>
      <w:r w:rsidRPr="00263EF6">
        <w:t>From a sustainability perspective and within the dental setting, urban environments are divided into green space, grey space and brownsites.</w:t>
      </w:r>
      <w:r w:rsidR="00351FB4" w:rsidRPr="00263EF6">
        <w:fldChar w:fldCharType="begin"/>
      </w:r>
      <w:r w:rsidR="00351FB4" w:rsidRPr="00263EF6">
        <w:instrText xml:space="preserve"> NOTEREF _Ref513324106 \f \h </w:instrText>
      </w:r>
      <w:r w:rsidR="00351FB4" w:rsidRPr="00263EF6">
        <w:fldChar w:fldCharType="separate"/>
      </w:r>
      <w:r w:rsidR="00675D72" w:rsidRPr="00263EF6">
        <w:rPr>
          <w:rStyle w:val="EndnoteReference"/>
        </w:rPr>
        <w:t>21</w:t>
      </w:r>
      <w:r w:rsidR="00351FB4" w:rsidRPr="00263EF6">
        <w:fldChar w:fldCharType="end"/>
      </w:r>
      <w:r w:rsidRPr="00263EF6">
        <w:t xml:space="preserve"> Bearing in mind the relevance to dental practices, only green and grey spaces will be discussed in this paper.  </w:t>
      </w:r>
    </w:p>
    <w:p w14:paraId="195F30D5" w14:textId="77777777" w:rsidR="0078285B" w:rsidRPr="00263EF6" w:rsidRDefault="002B122C" w:rsidP="0078285B">
      <w:pPr>
        <w:pStyle w:val="Heading3"/>
        <w:rPr>
          <w:color w:val="000000" w:themeColor="text1"/>
        </w:rPr>
      </w:pPr>
      <w:r w:rsidRPr="00263EF6">
        <w:rPr>
          <w:color w:val="000000" w:themeColor="text1"/>
        </w:rPr>
        <w:t xml:space="preserve">1. </w:t>
      </w:r>
      <w:r w:rsidR="0078285B" w:rsidRPr="00263EF6">
        <w:rPr>
          <w:color w:val="000000" w:themeColor="text1"/>
        </w:rPr>
        <w:t>Greenspace</w:t>
      </w:r>
    </w:p>
    <w:p w14:paraId="73E12AA6" w14:textId="47739785" w:rsidR="00B52997" w:rsidRPr="00263EF6" w:rsidRDefault="00B52997" w:rsidP="00B52997">
      <w:r w:rsidRPr="00263EF6">
        <w:t xml:space="preserve">Green space within a city </w:t>
      </w:r>
      <w:r w:rsidR="002B122C" w:rsidRPr="00263EF6">
        <w:t xml:space="preserve">describes </w:t>
      </w:r>
      <w:r w:rsidRPr="00263EF6">
        <w:t>everywhere vegetation grows. Within a dental setting, the term describes any green area surrounding a dental practice.</w:t>
      </w:r>
      <w:r w:rsidRPr="00263EF6">
        <w:fldChar w:fldCharType="begin"/>
      </w:r>
      <w:r w:rsidRPr="00263EF6">
        <w:instrText xml:space="preserve"> NOTEREF _Ref513324106 \f \h  \* MERGEFORMAT </w:instrText>
      </w:r>
      <w:r w:rsidRPr="00263EF6">
        <w:fldChar w:fldCharType="separate"/>
      </w:r>
      <w:r w:rsidR="00675D72" w:rsidRPr="00263EF6">
        <w:rPr>
          <w:rStyle w:val="EndnoteReference"/>
        </w:rPr>
        <w:t>21</w:t>
      </w:r>
      <w:r w:rsidRPr="00263EF6">
        <w:fldChar w:fldCharType="end"/>
      </w:r>
      <w:r w:rsidRPr="00263EF6">
        <w:t xml:space="preserve"> Green infrastructure encompasses the entire working landscape and has a crucial role to play in improving air quality, providing protection both against floods and heat in the summer and helping control pollution.</w:t>
      </w:r>
      <w:r w:rsidRPr="00263EF6">
        <w:rPr>
          <w:rStyle w:val="EndnoteReference"/>
        </w:rPr>
        <w:endnoteReference w:id="24"/>
      </w:r>
    </w:p>
    <w:p w14:paraId="202E2941" w14:textId="6F5D8AE1" w:rsidR="00B52997" w:rsidRPr="00263EF6" w:rsidRDefault="00B52997" w:rsidP="00B52997">
      <w:pPr>
        <w:rPr>
          <w:vertAlign w:val="superscript"/>
        </w:rPr>
      </w:pPr>
      <w:r w:rsidRPr="00263EF6">
        <w:t>Gardens are significant contributors to urban biodiversity and can reduce urban fragmentation (the loss of</w:t>
      </w:r>
      <w:bookmarkStart w:id="9" w:name="_Ref513362504"/>
      <w:r w:rsidRPr="00263EF6">
        <w:t xml:space="preserve"> connection between green </w:t>
      </w:r>
      <w:proofErr w:type="gramStart"/>
      <w:r w:rsidRPr="00263EF6">
        <w:t>space</w:t>
      </w:r>
      <w:proofErr w:type="gramEnd"/>
      <w:r w:rsidRPr="00263EF6">
        <w:t>).</w:t>
      </w:r>
      <w:bookmarkStart w:id="10" w:name="_Ref521575241"/>
      <w:r w:rsidRPr="00263EF6">
        <w:rPr>
          <w:rStyle w:val="EndnoteReference"/>
        </w:rPr>
        <w:endnoteReference w:id="25"/>
      </w:r>
      <w:bookmarkEnd w:id="9"/>
      <w:bookmarkEnd w:id="10"/>
      <w:r w:rsidRPr="00263EF6">
        <w:rPr>
          <w:vertAlign w:val="superscript"/>
        </w:rPr>
        <w:t xml:space="preserve"> ,</w:t>
      </w:r>
      <w:bookmarkStart w:id="11" w:name="_Ref521575111"/>
      <w:r w:rsidRPr="00263EF6">
        <w:rPr>
          <w:rStyle w:val="EndnoteReference"/>
        </w:rPr>
        <w:endnoteReference w:id="26"/>
      </w:r>
      <w:bookmarkEnd w:id="11"/>
      <w:proofErr w:type="gramStart"/>
      <w:r w:rsidRPr="00263EF6">
        <w:rPr>
          <w:vertAlign w:val="superscript"/>
        </w:rPr>
        <w:t>,</w:t>
      </w:r>
      <w:proofErr w:type="gramEnd"/>
      <w:r w:rsidRPr="00263EF6">
        <w:rPr>
          <w:rStyle w:val="EndnoteReference"/>
        </w:rPr>
        <w:endnoteReference w:id="27"/>
      </w:r>
      <w:r w:rsidRPr="00263EF6">
        <w:rPr>
          <w:vertAlign w:val="superscript"/>
        </w:rPr>
        <w:t xml:space="preserve"> </w:t>
      </w:r>
      <w:r w:rsidRPr="00263EF6">
        <w:t xml:space="preserve">This connectivity increases the area of continuous habitat and diversity of natural or </w:t>
      </w:r>
      <w:r w:rsidRPr="00263EF6">
        <w:lastRenderedPageBreak/>
        <w:t>semi natural habitats that support native plants and animals.</w:t>
      </w:r>
      <w:r w:rsidRPr="00263EF6">
        <w:fldChar w:fldCharType="begin"/>
      </w:r>
      <w:r w:rsidRPr="00263EF6">
        <w:instrText xml:space="preserve"> NOTEREF _Ref513324106 \f \h  \* MERGEFORMAT </w:instrText>
      </w:r>
      <w:r w:rsidRPr="00263EF6">
        <w:fldChar w:fldCharType="separate"/>
      </w:r>
      <w:r w:rsidR="00675D72" w:rsidRPr="00263EF6">
        <w:rPr>
          <w:rStyle w:val="EndnoteReference"/>
        </w:rPr>
        <w:t>21</w:t>
      </w:r>
      <w:r w:rsidRPr="00263EF6">
        <w:fldChar w:fldCharType="end"/>
      </w:r>
      <w:r w:rsidRPr="00263EF6">
        <w:rPr>
          <w:vertAlign w:val="superscript"/>
        </w:rPr>
        <w:t>,</w:t>
      </w:r>
      <w:r w:rsidRPr="00263EF6">
        <w:rPr>
          <w:rStyle w:val="EndnoteReference"/>
        </w:rPr>
        <w:endnoteReference w:id="28"/>
      </w:r>
      <w:r w:rsidRPr="00263EF6">
        <w:rPr>
          <w:vertAlign w:val="superscript"/>
        </w:rPr>
        <w:t xml:space="preserve"> </w:t>
      </w:r>
      <w:r w:rsidRPr="00263EF6">
        <w:t>There is also growing evidence of the psychological benefits of seeing and caring for plants.</w:t>
      </w:r>
      <w:bookmarkStart w:id="12" w:name="_Ref521575371"/>
      <w:r w:rsidRPr="00263EF6">
        <w:rPr>
          <w:rStyle w:val="EndnoteReference"/>
        </w:rPr>
        <w:endnoteReference w:id="29"/>
      </w:r>
      <w:bookmarkEnd w:id="12"/>
    </w:p>
    <w:p w14:paraId="25F15B56" w14:textId="5C9047C9" w:rsidR="0078285B" w:rsidRPr="00263EF6" w:rsidRDefault="00B52997" w:rsidP="00B52997">
      <w:r w:rsidRPr="00263EF6">
        <w:t>By contributing to the wider network of green space, gardens can help provide habitat for a variety of wildlife, including insects, birds and smaller mammals.</w:t>
      </w:r>
      <w:r w:rsidR="00E25B58" w:rsidRPr="00263EF6">
        <w:fldChar w:fldCharType="begin"/>
      </w:r>
      <w:r w:rsidR="00E25B58" w:rsidRPr="00263EF6">
        <w:instrText xml:space="preserve"> NOTEREF _Ref521575241 \f \h </w:instrText>
      </w:r>
      <w:r w:rsidR="00E25B58" w:rsidRPr="00263EF6">
        <w:fldChar w:fldCharType="separate"/>
      </w:r>
      <w:r w:rsidR="00675D72" w:rsidRPr="00263EF6">
        <w:rPr>
          <w:rStyle w:val="EndnoteReference"/>
        </w:rPr>
        <w:t>25</w:t>
      </w:r>
      <w:r w:rsidR="00E25B58" w:rsidRPr="00263EF6">
        <w:fldChar w:fldCharType="end"/>
      </w:r>
      <w:r w:rsidRPr="00263EF6">
        <w:t xml:space="preserve"> Gardens also contribute to a number of beneficial processes including regulating water drainage via their porous surfaces and reducing the effects of strong winds.</w:t>
      </w:r>
      <w:bookmarkStart w:id="13" w:name="_Ref521575498"/>
      <w:r w:rsidRPr="00263EF6">
        <w:rPr>
          <w:rStyle w:val="EndnoteReference"/>
        </w:rPr>
        <w:endnoteReference w:id="30"/>
      </w:r>
      <w:bookmarkEnd w:id="13"/>
      <w:r w:rsidRPr="00263EF6">
        <w:t xml:space="preserve"> </w:t>
      </w:r>
      <w:r w:rsidR="003A7B09" w:rsidRPr="00263EF6">
        <w:t xml:space="preserve">There are a number of types of greenspace including lawns, plants, left-aside areas, water, and the creation of simple structures for </w:t>
      </w:r>
      <w:r w:rsidR="008B1A8A" w:rsidRPr="00263EF6">
        <w:t>insects etc.</w:t>
      </w:r>
    </w:p>
    <w:p w14:paraId="3749B8FA" w14:textId="77777777" w:rsidR="0078285B" w:rsidRPr="00263EF6" w:rsidRDefault="002B122C" w:rsidP="00276604">
      <w:pPr>
        <w:pStyle w:val="Heading4"/>
        <w:numPr>
          <w:ilvl w:val="0"/>
          <w:numId w:val="0"/>
        </w:numPr>
        <w:ind w:left="360"/>
        <w:rPr>
          <w:color w:val="000000" w:themeColor="text1"/>
          <w:shd w:val="clear" w:color="auto" w:fill="FFFFFF"/>
        </w:rPr>
      </w:pPr>
      <w:r w:rsidRPr="00263EF6">
        <w:rPr>
          <w:color w:val="000000" w:themeColor="text1"/>
          <w:shd w:val="clear" w:color="auto" w:fill="FFFFFF"/>
        </w:rPr>
        <w:t xml:space="preserve">1.1 </w:t>
      </w:r>
      <w:r w:rsidR="0078285B" w:rsidRPr="00263EF6">
        <w:rPr>
          <w:color w:val="000000" w:themeColor="text1"/>
          <w:shd w:val="clear" w:color="auto" w:fill="FFFFFF"/>
        </w:rPr>
        <w:t>Lawns</w:t>
      </w:r>
    </w:p>
    <w:p w14:paraId="224A1448" w14:textId="085A7D6C" w:rsidR="0078285B" w:rsidRPr="00263EF6" w:rsidRDefault="00B52997" w:rsidP="0078285B">
      <w:r w:rsidRPr="00263EF6">
        <w:rPr>
          <w:shd w:val="clear" w:color="auto" w:fill="FFFFFF"/>
        </w:rPr>
        <w:t>In reality many gardens may be poorly equipped to perform these functions. In many countries there is still a tradition of having neat and tidy gardens, mown lawns and clean concrete areas, reliant on frequent weeding and application of insecticides. However, ‘weed’ species, such as clover and dandelion, are important sources of pollen for a wide range of beneficial insects</w:t>
      </w:r>
      <w:r w:rsidR="002B122C" w:rsidRPr="00263EF6">
        <w:rPr>
          <w:shd w:val="clear" w:color="auto" w:fill="FFFFFF"/>
        </w:rPr>
        <w:t xml:space="preserve">, e.g. bees, </w:t>
      </w:r>
      <w:r w:rsidRPr="00263EF6">
        <w:rPr>
          <w:shd w:val="clear" w:color="auto" w:fill="FFFFFF"/>
        </w:rPr>
        <w:t xml:space="preserve">that are </w:t>
      </w:r>
      <w:r w:rsidR="002B122C" w:rsidRPr="00263EF6">
        <w:rPr>
          <w:shd w:val="clear" w:color="auto" w:fill="FFFFFF"/>
        </w:rPr>
        <w:t xml:space="preserve">also </w:t>
      </w:r>
      <w:r w:rsidRPr="00263EF6">
        <w:rPr>
          <w:shd w:val="clear" w:color="auto" w:fill="FFFFFF"/>
        </w:rPr>
        <w:t>harmed by insecticides.</w:t>
      </w:r>
      <w:bookmarkStart w:id="14" w:name="_Ref521575328"/>
      <w:r w:rsidRPr="00263EF6">
        <w:rPr>
          <w:shd w:val="clear" w:color="auto" w:fill="FFFFFF"/>
          <w:vertAlign w:val="superscript"/>
        </w:rPr>
        <w:endnoteReference w:id="31"/>
      </w:r>
      <w:bookmarkEnd w:id="14"/>
      <w:r w:rsidRPr="00263EF6">
        <w:rPr>
          <w:shd w:val="clear" w:color="auto" w:fill="FFFFFF"/>
        </w:rPr>
        <w:t xml:space="preserve"> </w:t>
      </w:r>
      <w:r w:rsidRPr="00263EF6">
        <w:t>A carefully manicured lawn is very poor from a bio-diversity perspective. The invertebrate conservation trust, Buglife, suggest that mown lawns should at least have a wild corner to attract wild flowers and insects.</w:t>
      </w:r>
      <w:r w:rsidRPr="00263EF6">
        <w:rPr>
          <w:rStyle w:val="EndnoteReference"/>
        </w:rPr>
        <w:endnoteReference w:id="32"/>
      </w:r>
      <w:r w:rsidR="0078285B" w:rsidRPr="00263EF6">
        <w:t xml:space="preserve"> The frequency of lawn cutting should be reduced to improve biodiversity. Wild lawns should only be cut occasionally and infrequently fertilised as few </w:t>
      </w:r>
      <w:r w:rsidR="002B122C" w:rsidRPr="00263EF6">
        <w:t>herbaceous</w:t>
      </w:r>
      <w:r w:rsidR="0078285B" w:rsidRPr="00263EF6">
        <w:t xml:space="preserve"> species can cope with the disturbance of grass mowing.</w:t>
      </w:r>
      <w:r w:rsidR="0078285B" w:rsidRPr="00263EF6">
        <w:fldChar w:fldCharType="begin"/>
      </w:r>
      <w:r w:rsidR="0078285B" w:rsidRPr="00263EF6">
        <w:instrText xml:space="preserve"> NOTEREF _Ref521575205 \f \h </w:instrText>
      </w:r>
      <w:r w:rsidR="0078285B" w:rsidRPr="00263EF6">
        <w:fldChar w:fldCharType="separate"/>
      </w:r>
      <w:r w:rsidR="00675D72" w:rsidRPr="00263EF6">
        <w:rPr>
          <w:rStyle w:val="EndnoteReference"/>
        </w:rPr>
        <w:t>33</w:t>
      </w:r>
      <w:r w:rsidR="0078285B" w:rsidRPr="00263EF6">
        <w:fldChar w:fldCharType="end"/>
      </w:r>
    </w:p>
    <w:p w14:paraId="0EF8D03F" w14:textId="77777777" w:rsidR="00B52997" w:rsidRPr="00263EF6" w:rsidRDefault="00B52997" w:rsidP="00B52997"/>
    <w:p w14:paraId="7A59BC4D" w14:textId="77777777" w:rsidR="0078285B" w:rsidRPr="00263EF6" w:rsidRDefault="002B122C" w:rsidP="00276604">
      <w:pPr>
        <w:pStyle w:val="Heading4"/>
        <w:numPr>
          <w:ilvl w:val="0"/>
          <w:numId w:val="0"/>
        </w:numPr>
        <w:rPr>
          <w:rStyle w:val="EndnoteReference"/>
          <w:rFonts w:ascii="Times New Roman" w:eastAsiaTheme="minorHAnsi" w:hAnsi="Times New Roman" w:cs="Times New Roman"/>
          <w:i w:val="0"/>
          <w:iCs w:val="0"/>
          <w:color w:val="000000" w:themeColor="text1"/>
          <w:sz w:val="28"/>
          <w:vertAlign w:val="baseline"/>
        </w:rPr>
      </w:pPr>
      <w:r w:rsidRPr="00263EF6">
        <w:rPr>
          <w:color w:val="000000" w:themeColor="text1"/>
        </w:rPr>
        <w:t xml:space="preserve">1.2 </w:t>
      </w:r>
      <w:r w:rsidR="0078285B" w:rsidRPr="00263EF6">
        <w:rPr>
          <w:color w:val="000000" w:themeColor="text1"/>
        </w:rPr>
        <w:t>Plant type</w:t>
      </w:r>
    </w:p>
    <w:p w14:paraId="5F99D7BF" w14:textId="27DBEE3B" w:rsidR="00B52997" w:rsidRPr="00263EF6" w:rsidRDefault="00B52997" w:rsidP="00B52997">
      <w:r w:rsidRPr="00263EF6">
        <w:t>When choosing plant types for a sustainable garden, the dental team should consider value of plants to optimise conditions and allow for reproduction of species, for example, by providing resources for bees and other pollinating insects.</w:t>
      </w:r>
      <w:r w:rsidR="00D76626" w:rsidRPr="00263EF6">
        <w:fldChar w:fldCharType="begin"/>
      </w:r>
      <w:r w:rsidR="00D76626" w:rsidRPr="00263EF6">
        <w:instrText xml:space="preserve"> NOTEREF _Ref521575328 \f \h </w:instrText>
      </w:r>
      <w:r w:rsidR="00D76626" w:rsidRPr="00263EF6">
        <w:fldChar w:fldCharType="separate"/>
      </w:r>
      <w:r w:rsidR="00675D72" w:rsidRPr="00263EF6">
        <w:rPr>
          <w:rStyle w:val="EndnoteReference"/>
        </w:rPr>
        <w:t>31</w:t>
      </w:r>
      <w:r w:rsidR="00D76626" w:rsidRPr="00263EF6">
        <w:fldChar w:fldCharType="end"/>
      </w:r>
      <w:r w:rsidRPr="00263EF6">
        <w:t xml:space="preserve"> There is not a list of plants per se that will provide this function, but a biodiverse garden is one that produces a diverse range of flowers that bloom at different times of the </w:t>
      </w:r>
      <w:bookmarkStart w:id="15" w:name="_Ref513363527"/>
      <w:r w:rsidRPr="00263EF6">
        <w:t>year.</w:t>
      </w:r>
      <w:bookmarkEnd w:id="15"/>
      <w:r w:rsidR="00D76626" w:rsidRPr="00263EF6">
        <w:fldChar w:fldCharType="begin"/>
      </w:r>
      <w:r w:rsidR="00D76626" w:rsidRPr="00263EF6">
        <w:instrText xml:space="preserve"> NOTEREF _Ref521575413 \f \h </w:instrText>
      </w:r>
      <w:r w:rsidR="00D76626" w:rsidRPr="00263EF6">
        <w:fldChar w:fldCharType="separate"/>
      </w:r>
      <w:r w:rsidR="00675D72" w:rsidRPr="00263EF6">
        <w:rPr>
          <w:rStyle w:val="EndnoteReference"/>
        </w:rPr>
        <w:t>23</w:t>
      </w:r>
      <w:r w:rsidR="00D76626" w:rsidRPr="00263EF6">
        <w:fldChar w:fldCharType="end"/>
      </w:r>
      <w:r w:rsidRPr="00263EF6">
        <w:rPr>
          <w:vertAlign w:val="superscript"/>
        </w:rPr>
        <w:t>,</w:t>
      </w:r>
      <w:bookmarkStart w:id="16" w:name="_Ref521575205"/>
      <w:r w:rsidRPr="00263EF6">
        <w:rPr>
          <w:rStyle w:val="EndnoteReference"/>
        </w:rPr>
        <w:endnoteReference w:id="33"/>
      </w:r>
      <w:bookmarkEnd w:id="16"/>
    </w:p>
    <w:p w14:paraId="2BF6AB4E" w14:textId="77777777" w:rsidR="00B52997" w:rsidRPr="00263EF6" w:rsidRDefault="00B52997" w:rsidP="00B52997">
      <w:r w:rsidRPr="00263EF6">
        <w:t>Native plants are the ideal. Depending on which country the dental practice is based in, herbs, fruits and vegetables may all produce valuable flowers. Fruit and herbs are all attractive to insects; e.g. berries, melon, squash, cucumber, blossoming trees, mint, rosemary and sage.</w:t>
      </w:r>
      <w:r w:rsidRPr="00263EF6">
        <w:rPr>
          <w:rStyle w:val="EndnoteReference"/>
        </w:rPr>
        <w:endnoteReference w:id="34"/>
      </w:r>
      <w:r w:rsidRPr="00263EF6">
        <w:t xml:space="preserve"> Non-scented commercial plant types, such as hybrid rose bushes, are not as attractive or beneficial to insects.</w:t>
      </w:r>
    </w:p>
    <w:p w14:paraId="31169EE9" w14:textId="638EDD89" w:rsidR="0078285B" w:rsidRPr="00263EF6" w:rsidRDefault="00B52997" w:rsidP="00B52997">
      <w:r w:rsidRPr="00263EF6">
        <w:t>Herbaceous communities such as meadows and pastures have very high diversity and can be successfully replicated in small urban areas.</w:t>
      </w:r>
      <w:r w:rsidR="00E25B58" w:rsidRPr="00263EF6">
        <w:fldChar w:fldCharType="begin"/>
      </w:r>
      <w:r w:rsidR="00E25B58" w:rsidRPr="00263EF6">
        <w:instrText xml:space="preserve"> NOTEREF _Ref521575111 \f \h </w:instrText>
      </w:r>
      <w:r w:rsidR="00E25B58" w:rsidRPr="00263EF6">
        <w:fldChar w:fldCharType="separate"/>
      </w:r>
      <w:r w:rsidR="00675D72" w:rsidRPr="00263EF6">
        <w:rPr>
          <w:rStyle w:val="EndnoteReference"/>
        </w:rPr>
        <w:t>26</w:t>
      </w:r>
      <w:r w:rsidR="00E25B58" w:rsidRPr="00263EF6">
        <w:fldChar w:fldCharType="end"/>
      </w:r>
      <w:r w:rsidRPr="00263EF6">
        <w:t xml:space="preserve"> </w:t>
      </w:r>
    </w:p>
    <w:p w14:paraId="4BDB26BD" w14:textId="77777777" w:rsidR="008B1A8A" w:rsidRPr="00263EF6" w:rsidRDefault="008B1A8A" w:rsidP="008B1A8A">
      <w:pPr>
        <w:rPr>
          <w:shd w:val="clear" w:color="auto" w:fill="FFFFFF"/>
        </w:rPr>
      </w:pPr>
      <w:r w:rsidRPr="00263EF6">
        <w:rPr>
          <w:shd w:val="clear" w:color="auto" w:fill="FFFFFF"/>
        </w:rPr>
        <w:t>The use of pesticides should be avoided. A recent report by the United Nations highlights the dangers of pesticides and supports the use of other more biologically sustainable options.</w:t>
      </w:r>
      <w:r w:rsidRPr="00263EF6">
        <w:rPr>
          <w:rStyle w:val="EndnoteReference"/>
          <w:shd w:val="clear" w:color="auto" w:fill="FFFFFF"/>
        </w:rPr>
        <w:endnoteReference w:id="35"/>
      </w:r>
      <w:r w:rsidRPr="00263EF6">
        <w:rPr>
          <w:shd w:val="clear" w:color="auto" w:fill="FFFFFF"/>
        </w:rPr>
        <w:t xml:space="preserve"> When there is a real need to resort to pesticides, they should be used in a specifically targeted manner, for example to control invasive plants.</w:t>
      </w:r>
    </w:p>
    <w:p w14:paraId="3169EF30" w14:textId="77777777" w:rsidR="008B1A8A" w:rsidRPr="00263EF6" w:rsidRDefault="008B1A8A" w:rsidP="00B52997"/>
    <w:p w14:paraId="4809C5B3" w14:textId="77777777" w:rsidR="0078285B" w:rsidRPr="00263EF6" w:rsidRDefault="002B122C" w:rsidP="00276604">
      <w:pPr>
        <w:pStyle w:val="Heading4"/>
        <w:numPr>
          <w:ilvl w:val="0"/>
          <w:numId w:val="0"/>
        </w:numPr>
        <w:rPr>
          <w:color w:val="000000" w:themeColor="text1"/>
        </w:rPr>
      </w:pPr>
      <w:r w:rsidRPr="00263EF6">
        <w:rPr>
          <w:color w:val="000000" w:themeColor="text1"/>
        </w:rPr>
        <w:lastRenderedPageBreak/>
        <w:t xml:space="preserve">1.3 </w:t>
      </w:r>
      <w:r w:rsidR="0078285B" w:rsidRPr="00263EF6">
        <w:rPr>
          <w:color w:val="000000" w:themeColor="text1"/>
        </w:rPr>
        <w:t>Left-aside areas</w:t>
      </w:r>
    </w:p>
    <w:p w14:paraId="39F245E2" w14:textId="746BD868" w:rsidR="0078285B" w:rsidRPr="00263EF6" w:rsidRDefault="00B52997" w:rsidP="0078285B">
      <w:r w:rsidRPr="00263EF6">
        <w:t xml:space="preserve">This strategy can be combined with left-aside areas, which can include piles of fallen leaves, dry wood and branches. These can look more conventionally attractive with careful stacking and/or arrangement. </w:t>
      </w:r>
      <w:r w:rsidR="0078285B" w:rsidRPr="00263EF6">
        <w:t>Woodpiles and/or fallen leaves within a garden provide resources for fungi, lichen and moss to flourish and are ideal habitats for insects, such as ground beetles, which act as pest managers of slugs.</w:t>
      </w:r>
      <w:r w:rsidR="0078285B" w:rsidRPr="00263EF6">
        <w:fldChar w:fldCharType="begin"/>
      </w:r>
      <w:r w:rsidR="0078285B" w:rsidRPr="00263EF6">
        <w:instrText xml:space="preserve"> NOTEREF _Ref521575498 \f \h </w:instrText>
      </w:r>
      <w:r w:rsidR="0078285B" w:rsidRPr="00263EF6">
        <w:fldChar w:fldCharType="separate"/>
      </w:r>
      <w:r w:rsidR="00675D72" w:rsidRPr="00263EF6">
        <w:rPr>
          <w:rStyle w:val="EndnoteReference"/>
        </w:rPr>
        <w:t>30</w:t>
      </w:r>
      <w:r w:rsidR="0078285B" w:rsidRPr="00263EF6">
        <w:fldChar w:fldCharType="end"/>
      </w:r>
    </w:p>
    <w:p w14:paraId="1E6FD17C" w14:textId="77777777" w:rsidR="00B52997" w:rsidRPr="00263EF6" w:rsidRDefault="00B52997" w:rsidP="00B52997">
      <w:r w:rsidRPr="00263EF6">
        <w:t>A moderate level of management is needed to prevent these areas becoming totally overgrown by a species that reduces diversity but, for most of the year, the area would be very low maintenance. These areas provide nesting space for bumblebee colonies and overwintering shelter for a range of species, including hedgehogs.</w:t>
      </w:r>
      <w:r w:rsidRPr="00263EF6">
        <w:rPr>
          <w:rStyle w:val="EndnoteReference"/>
        </w:rPr>
        <w:endnoteReference w:id="36"/>
      </w:r>
      <w:r w:rsidRPr="00263EF6">
        <w:rPr>
          <w:vertAlign w:val="superscript"/>
        </w:rPr>
        <w:t>,</w:t>
      </w:r>
      <w:r w:rsidRPr="00263EF6">
        <w:rPr>
          <w:rStyle w:val="EndnoteReference"/>
        </w:rPr>
        <w:endnoteReference w:id="37"/>
      </w:r>
      <w:r w:rsidRPr="00263EF6">
        <w:rPr>
          <w:vertAlign w:val="superscript"/>
        </w:rPr>
        <w:t>,</w:t>
      </w:r>
      <w:r w:rsidRPr="00263EF6">
        <w:rPr>
          <w:rStyle w:val="EndnoteReference"/>
        </w:rPr>
        <w:endnoteReference w:id="38"/>
      </w:r>
      <w:r w:rsidRPr="00263EF6">
        <w:t xml:space="preserve"> Set aside areas can also double as a location for a compost heap. If there is sufficient external space within a dental practice, tree canopies dramatically increase the volume of habitat space for many bird, insect and reptile species.</w:t>
      </w:r>
    </w:p>
    <w:p w14:paraId="42C4487B" w14:textId="77777777" w:rsidR="0078285B" w:rsidRPr="00263EF6" w:rsidRDefault="002B122C" w:rsidP="00276604">
      <w:pPr>
        <w:pStyle w:val="Heading4"/>
        <w:numPr>
          <w:ilvl w:val="0"/>
          <w:numId w:val="0"/>
        </w:numPr>
        <w:rPr>
          <w:color w:val="000000" w:themeColor="text1"/>
        </w:rPr>
      </w:pPr>
      <w:r w:rsidRPr="00263EF6">
        <w:rPr>
          <w:color w:val="000000" w:themeColor="text1"/>
        </w:rPr>
        <w:t xml:space="preserve">1.4 </w:t>
      </w:r>
      <w:r w:rsidR="0078285B" w:rsidRPr="00263EF6">
        <w:rPr>
          <w:color w:val="000000" w:themeColor="text1"/>
        </w:rPr>
        <w:t>Water</w:t>
      </w:r>
    </w:p>
    <w:p w14:paraId="7F1D66A1" w14:textId="77777777" w:rsidR="0078285B" w:rsidRPr="00263EF6" w:rsidRDefault="00B52997" w:rsidP="00B52997">
      <w:r w:rsidRPr="00263EF6">
        <w:t>There are various</w:t>
      </w:r>
      <w:r w:rsidR="00E25B58" w:rsidRPr="00263EF6">
        <w:t xml:space="preserve"> </w:t>
      </w:r>
      <w:r w:rsidRPr="00263EF6">
        <w:t>other elements the dental team could introduce into an outside area to improve sustainability. Areas of standing water, such as containers filled with water</w:t>
      </w:r>
      <w:r w:rsidR="00E25B58" w:rsidRPr="00263EF6">
        <w:t>, or</w:t>
      </w:r>
      <w:r w:rsidRPr="00263EF6">
        <w:t xml:space="preserve"> ponds can help attract insects, birds and amphibians. Larger areas provide habitats for frogs, toads and newts to live and reproduce</w:t>
      </w:r>
      <w:r w:rsidRPr="00263EF6">
        <w:rPr>
          <w:rStyle w:val="EndnoteReference"/>
        </w:rPr>
        <w:t>.</w:t>
      </w:r>
      <w:bookmarkStart w:id="17" w:name="_Ref513364342"/>
      <w:r w:rsidRPr="00263EF6">
        <w:rPr>
          <w:rStyle w:val="EndnoteReference"/>
        </w:rPr>
        <w:endnoteReference w:id="39"/>
      </w:r>
      <w:bookmarkEnd w:id="17"/>
      <w:r w:rsidRPr="00263EF6">
        <w:t xml:space="preserve"> </w:t>
      </w:r>
    </w:p>
    <w:p w14:paraId="25F7276D" w14:textId="77777777" w:rsidR="0078285B" w:rsidRPr="00263EF6" w:rsidRDefault="002B122C" w:rsidP="00276604">
      <w:pPr>
        <w:pStyle w:val="Heading4"/>
        <w:numPr>
          <w:ilvl w:val="0"/>
          <w:numId w:val="0"/>
        </w:numPr>
        <w:ind w:left="720" w:hanging="360"/>
        <w:rPr>
          <w:color w:val="000000" w:themeColor="text1"/>
        </w:rPr>
      </w:pPr>
      <w:r w:rsidRPr="00263EF6">
        <w:rPr>
          <w:color w:val="000000" w:themeColor="text1"/>
        </w:rPr>
        <w:lastRenderedPageBreak/>
        <w:t xml:space="preserve">1.5 </w:t>
      </w:r>
      <w:r w:rsidR="0078285B" w:rsidRPr="00263EF6">
        <w:rPr>
          <w:color w:val="000000" w:themeColor="text1"/>
        </w:rPr>
        <w:t>Simple structures for insects, reptiles etc</w:t>
      </w:r>
    </w:p>
    <w:p w14:paraId="15B03AAC" w14:textId="60A0DC42" w:rsidR="00B52997" w:rsidRPr="00263EF6" w:rsidRDefault="00B52997" w:rsidP="00B52997">
      <w:r w:rsidRPr="00263EF6">
        <w:t xml:space="preserve">Habitats for insects, including solitary bees, can be encouraged by making insect homes using bamboo canes tied together. If a box is used to hold the </w:t>
      </w:r>
      <w:r w:rsidR="00E25B58" w:rsidRPr="00263EF6">
        <w:t>canes</w:t>
      </w:r>
      <w:r w:rsidRPr="00263EF6">
        <w:t>, it should be turned on its side and hung from a tree or a post at eye level, sheltered from the rain. Such ‘bee hotels’ provide valuable nesting space</w:t>
      </w:r>
      <w:r w:rsidRPr="00263EF6">
        <w:rPr>
          <w:rStyle w:val="EndnoteReference"/>
        </w:rPr>
        <w:endnoteReference w:id="40"/>
      </w:r>
      <w:r w:rsidRPr="00263EF6">
        <w:t xml:space="preserve"> but in some situations could lead to increased disease-spread or exploitation by invasive species (for more information check with your local insect conservation charity). </w:t>
      </w:r>
      <w:r w:rsidR="00E25B58" w:rsidRPr="00263EF6">
        <w:rPr>
          <w:rStyle w:val="EndnoteReference"/>
        </w:rPr>
        <w:endnoteReference w:id="41"/>
      </w:r>
      <w:r w:rsidR="00E40F48" w:rsidRPr="00263EF6">
        <w:t xml:space="preserve"> </w:t>
      </w:r>
      <w:r w:rsidRPr="00263EF6">
        <w:t>Small reptiles and slowworms can be accommodated by placing strong canvas or other natural material, like compost heaps/piles of mown grass, in a</w:t>
      </w:r>
      <w:r w:rsidR="00E25B58" w:rsidRPr="00263EF6">
        <w:t xml:space="preserve"> </w:t>
      </w:r>
      <w:r w:rsidRPr="00263EF6">
        <w:t>corner of the</w:t>
      </w:r>
      <w:r w:rsidR="00E25B58" w:rsidRPr="00263EF6">
        <w:t xml:space="preserve"> </w:t>
      </w:r>
      <w:r w:rsidRPr="00263EF6">
        <w:t>garden.</w:t>
      </w:r>
      <w:r w:rsidR="00351FB4" w:rsidRPr="00263EF6">
        <w:fldChar w:fldCharType="begin"/>
      </w:r>
      <w:r w:rsidR="00351FB4" w:rsidRPr="00263EF6">
        <w:instrText xml:space="preserve"> NOTEREF _Ref521575498 \f \h </w:instrText>
      </w:r>
      <w:r w:rsidR="00351FB4" w:rsidRPr="00263EF6">
        <w:fldChar w:fldCharType="separate"/>
      </w:r>
      <w:r w:rsidR="00675D72" w:rsidRPr="00263EF6">
        <w:rPr>
          <w:rStyle w:val="EndnoteReference"/>
        </w:rPr>
        <w:t>30</w:t>
      </w:r>
      <w:r w:rsidR="00351FB4" w:rsidRPr="00263EF6">
        <w:fldChar w:fldCharType="end"/>
      </w:r>
      <w:r w:rsidRPr="00263EF6">
        <w:t xml:space="preserve"> </w:t>
      </w:r>
      <w:r w:rsidR="00E25B58" w:rsidRPr="00263EF6">
        <w:t>P</w:t>
      </w:r>
      <w:r w:rsidRPr="00263EF6">
        <w:t>iles of stones and bricks provide an ideal environment for reptiles. Dental practices could also place bird food in bird feeders during winter months.</w:t>
      </w:r>
    </w:p>
    <w:p w14:paraId="24C78332" w14:textId="77777777" w:rsidR="0078285B" w:rsidRPr="00263EF6" w:rsidRDefault="002B122C" w:rsidP="0078285B">
      <w:pPr>
        <w:pStyle w:val="Heading3"/>
        <w:rPr>
          <w:color w:val="000000" w:themeColor="text1"/>
        </w:rPr>
      </w:pPr>
      <w:r w:rsidRPr="00263EF6">
        <w:rPr>
          <w:color w:val="000000" w:themeColor="text1"/>
        </w:rPr>
        <w:t xml:space="preserve">2. </w:t>
      </w:r>
      <w:r w:rsidR="0078285B" w:rsidRPr="00263EF6">
        <w:rPr>
          <w:color w:val="000000" w:themeColor="text1"/>
        </w:rPr>
        <w:t>Grey space</w:t>
      </w:r>
    </w:p>
    <w:p w14:paraId="1500DD2C" w14:textId="4768A6E1" w:rsidR="00B52997" w:rsidRPr="00263EF6" w:rsidRDefault="00B52997" w:rsidP="00B52997">
      <w:r w:rsidRPr="00263EF6">
        <w:t xml:space="preserve">Grey space within a town/city is the non-green elements, including buildings, footpaths and roads. There are a number of ways these areas can be adapted to reduce the impact of growing urban sprawl on our environment, including green roofs, green walls, </w:t>
      </w:r>
      <w:r w:rsidR="008B1A8A" w:rsidRPr="00263EF6">
        <w:t xml:space="preserve">balconies, </w:t>
      </w:r>
      <w:r w:rsidRPr="00263EF6">
        <w:t>balconies</w:t>
      </w:r>
      <w:r w:rsidR="008B1A8A" w:rsidRPr="00263EF6">
        <w:t>, r</w:t>
      </w:r>
      <w:r w:rsidRPr="00263EF6">
        <w:t>oof eaves</w:t>
      </w:r>
      <w:r w:rsidR="008B1A8A" w:rsidRPr="00263EF6">
        <w:t xml:space="preserve"> and living ground coverings</w:t>
      </w:r>
      <w:r w:rsidRPr="00263EF6">
        <w:t>.</w:t>
      </w:r>
      <w:bookmarkStart w:id="18" w:name="_Ref521575183"/>
      <w:r w:rsidRPr="00263EF6">
        <w:rPr>
          <w:rStyle w:val="EndnoteReference"/>
        </w:rPr>
        <w:endnoteReference w:id="42"/>
      </w:r>
      <w:bookmarkEnd w:id="18"/>
    </w:p>
    <w:p w14:paraId="5D31A9D0" w14:textId="77777777" w:rsidR="0078285B" w:rsidRPr="00263EF6" w:rsidRDefault="002B122C" w:rsidP="00276604">
      <w:pPr>
        <w:pStyle w:val="Heading4"/>
        <w:numPr>
          <w:ilvl w:val="0"/>
          <w:numId w:val="0"/>
        </w:numPr>
        <w:ind w:left="720" w:hanging="360"/>
        <w:rPr>
          <w:color w:val="000000" w:themeColor="text1"/>
        </w:rPr>
      </w:pPr>
      <w:r w:rsidRPr="00263EF6">
        <w:rPr>
          <w:color w:val="000000" w:themeColor="text1"/>
        </w:rPr>
        <w:t xml:space="preserve">2.1 </w:t>
      </w:r>
      <w:r w:rsidR="0078285B" w:rsidRPr="00263EF6">
        <w:rPr>
          <w:color w:val="000000" w:themeColor="text1"/>
        </w:rPr>
        <w:t>Green roof</w:t>
      </w:r>
    </w:p>
    <w:p w14:paraId="554C7FAE" w14:textId="13C494C7" w:rsidR="00B52997" w:rsidRPr="00263EF6" w:rsidRDefault="00B52997" w:rsidP="00B52997">
      <w:r w:rsidRPr="00263EF6">
        <w:t>A green roof</w:t>
      </w:r>
      <w:r w:rsidR="00E25B58" w:rsidRPr="00263EF6">
        <w:t xml:space="preserve"> </w:t>
      </w:r>
      <w:r w:rsidR="002B122C" w:rsidRPr="00263EF6">
        <w:t>(</w:t>
      </w:r>
      <w:r w:rsidRPr="00263EF6">
        <w:t>also known as a living roof, brown roof or biodiverse roof) is a relatively inexpensiv</w:t>
      </w:r>
      <w:r w:rsidR="00E25B58" w:rsidRPr="00263EF6">
        <w:t xml:space="preserve">e </w:t>
      </w:r>
      <w:r w:rsidRPr="00263EF6">
        <w:t xml:space="preserve">option to improve the sustainability of a building. Green </w:t>
      </w:r>
      <w:r w:rsidRPr="00263EF6">
        <w:lastRenderedPageBreak/>
        <w:t>roofs are designed to allow growth of different vegetations.</w:t>
      </w:r>
      <w:r w:rsidR="00E25B58" w:rsidRPr="00263EF6">
        <w:fldChar w:fldCharType="begin"/>
      </w:r>
      <w:r w:rsidR="00E25B58" w:rsidRPr="00263EF6">
        <w:instrText xml:space="preserve"> NOTEREF _Ref521575183 \f \h </w:instrText>
      </w:r>
      <w:r w:rsidR="00E25B58" w:rsidRPr="00263EF6">
        <w:fldChar w:fldCharType="separate"/>
      </w:r>
      <w:r w:rsidR="00675D72" w:rsidRPr="00263EF6">
        <w:rPr>
          <w:rStyle w:val="EndnoteReference"/>
        </w:rPr>
        <w:t>42</w:t>
      </w:r>
      <w:r w:rsidR="00E25B58" w:rsidRPr="00263EF6">
        <w:fldChar w:fldCharType="end"/>
      </w:r>
      <w:r w:rsidRPr="00263EF6">
        <w:t xml:space="preserve"> Creating a green roof can be as simple as rolling out matting or wildflower turf, or can be more specialised; websites such as Blackdown</w:t>
      </w:r>
      <w:r w:rsidRPr="00263EF6">
        <w:rPr>
          <w:rStyle w:val="EndnoteReference"/>
        </w:rPr>
        <w:endnoteReference w:id="43"/>
      </w:r>
      <w:r w:rsidRPr="00263EF6">
        <w:t xml:space="preserve"> offer a full range of options. These roofs aim to replicate a natural growing environment for plants without being overly heavy and can also be used on smaller structures, like sheds. By planting a diverse range of plants, they are beneficial to urban biodiversity.</w:t>
      </w:r>
      <w:r w:rsidR="00E25B58" w:rsidRPr="00263EF6">
        <w:fldChar w:fldCharType="begin"/>
      </w:r>
      <w:r w:rsidR="00E25B58" w:rsidRPr="00263EF6">
        <w:instrText xml:space="preserve"> NOTEREF _Ref521575111 \f \h </w:instrText>
      </w:r>
      <w:r w:rsidR="00E25B58" w:rsidRPr="00263EF6">
        <w:fldChar w:fldCharType="separate"/>
      </w:r>
      <w:r w:rsidR="00675D72" w:rsidRPr="00263EF6">
        <w:rPr>
          <w:rStyle w:val="EndnoteReference"/>
        </w:rPr>
        <w:t>26</w:t>
      </w:r>
      <w:r w:rsidR="00E25B58" w:rsidRPr="00263EF6">
        <w:fldChar w:fldCharType="end"/>
      </w:r>
      <w:r w:rsidRPr="00263EF6">
        <w:t xml:space="preserve"> The roof structure can be quite low maintenance, especially if stress-tolerant plant species are used.</w:t>
      </w:r>
      <w:r w:rsidRPr="00263EF6">
        <w:rPr>
          <w:rStyle w:val="EndnoteReference"/>
        </w:rPr>
        <w:endnoteReference w:id="44"/>
      </w:r>
      <w:r w:rsidRPr="00263EF6">
        <w:t xml:space="preserve"> Green roofs help mitigate the urban heat island effect </w:t>
      </w:r>
      <w:r w:rsidR="00E25B58" w:rsidRPr="00263EF6">
        <w:t>(an urban area</w:t>
      </w:r>
      <w:r w:rsidR="002B122C" w:rsidRPr="00263EF6">
        <w:t>,</w:t>
      </w:r>
      <w:r w:rsidR="00E25B58" w:rsidRPr="00263EF6">
        <w:t xml:space="preserve"> </w:t>
      </w:r>
      <w:r w:rsidR="002B122C" w:rsidRPr="00263EF6">
        <w:t>like</w:t>
      </w:r>
      <w:r w:rsidR="00E25B58" w:rsidRPr="00263EF6">
        <w:t xml:space="preserve"> London</w:t>
      </w:r>
      <w:r w:rsidR="002B122C" w:rsidRPr="00263EF6">
        <w:t>,</w:t>
      </w:r>
      <w:r w:rsidR="00E25B58" w:rsidRPr="00263EF6">
        <w:t xml:space="preserve"> is significantly warmer than surrounding countryside) </w:t>
      </w:r>
      <w:r w:rsidRPr="00263EF6">
        <w:t>and help with both energy conversation and storm water management.</w:t>
      </w:r>
      <w:r w:rsidRPr="00263EF6">
        <w:rPr>
          <w:rStyle w:val="EndnoteReference"/>
        </w:rPr>
        <w:endnoteReference w:id="45"/>
      </w:r>
      <w:r w:rsidRPr="00263EF6">
        <w:rPr>
          <w:vertAlign w:val="superscript"/>
        </w:rPr>
        <w:t>,</w:t>
      </w:r>
      <w:r w:rsidRPr="00263EF6">
        <w:rPr>
          <w:rStyle w:val="EndnoteReference"/>
        </w:rPr>
        <w:endnoteReference w:id="46"/>
      </w:r>
    </w:p>
    <w:p w14:paraId="72CB1E5C" w14:textId="77777777" w:rsidR="0078285B" w:rsidRPr="00263EF6" w:rsidRDefault="002B122C" w:rsidP="00276604">
      <w:pPr>
        <w:pStyle w:val="Heading4"/>
        <w:numPr>
          <w:ilvl w:val="0"/>
          <w:numId w:val="0"/>
        </w:numPr>
        <w:ind w:left="720" w:hanging="360"/>
        <w:rPr>
          <w:color w:val="000000" w:themeColor="text1"/>
        </w:rPr>
      </w:pPr>
      <w:r w:rsidRPr="00263EF6">
        <w:rPr>
          <w:color w:val="000000" w:themeColor="text1"/>
        </w:rPr>
        <w:t xml:space="preserve">2.2 </w:t>
      </w:r>
      <w:r w:rsidR="0078285B" w:rsidRPr="00263EF6">
        <w:rPr>
          <w:color w:val="000000" w:themeColor="text1"/>
        </w:rPr>
        <w:t>Green walls</w:t>
      </w:r>
    </w:p>
    <w:p w14:paraId="75589BB1" w14:textId="77777777" w:rsidR="00B52997" w:rsidRPr="00263EF6" w:rsidRDefault="00B52997" w:rsidP="00B52997">
      <w:r w:rsidRPr="00263EF6">
        <w:t>Green walls are vertical systems of green foliage. They can be found on any type of vertical surface, attached directly to buildings or free-standing.</w:t>
      </w:r>
      <w:r w:rsidRPr="00263EF6">
        <w:rPr>
          <w:rStyle w:val="EndnoteReference"/>
        </w:rPr>
        <w:endnoteReference w:id="47"/>
      </w:r>
      <w:r w:rsidRPr="00263EF6">
        <w:t xml:space="preserve"> Plants can have their roots in the ground, the wall itself or in an inert medium. These systems are suitable for small spaces and create unique ecosystems that enable underexploited vertical space to be used to grow plants and provide a habitat for insects and smaller animals.</w:t>
      </w:r>
      <w:r w:rsidRPr="00263EF6">
        <w:rPr>
          <w:rStyle w:val="EndnoteReference"/>
        </w:rPr>
        <w:endnoteReference w:id="48"/>
      </w:r>
    </w:p>
    <w:p w14:paraId="6359C145" w14:textId="77777777" w:rsidR="0078285B" w:rsidRPr="00263EF6" w:rsidRDefault="002B122C" w:rsidP="00276604">
      <w:pPr>
        <w:pStyle w:val="Heading4"/>
        <w:numPr>
          <w:ilvl w:val="0"/>
          <w:numId w:val="0"/>
        </w:numPr>
        <w:ind w:left="720" w:hanging="360"/>
        <w:rPr>
          <w:color w:val="000000" w:themeColor="text1"/>
        </w:rPr>
      </w:pPr>
      <w:r w:rsidRPr="00263EF6">
        <w:rPr>
          <w:color w:val="000000" w:themeColor="text1"/>
        </w:rPr>
        <w:t xml:space="preserve">2.3 </w:t>
      </w:r>
      <w:r w:rsidR="0078285B" w:rsidRPr="00263EF6">
        <w:rPr>
          <w:color w:val="000000" w:themeColor="text1"/>
        </w:rPr>
        <w:t>Balconies</w:t>
      </w:r>
    </w:p>
    <w:p w14:paraId="05586A88" w14:textId="5E1BE389" w:rsidR="00B52997" w:rsidRPr="00263EF6" w:rsidRDefault="00B52997" w:rsidP="00B52997">
      <w:pPr>
        <w:rPr>
          <w:vertAlign w:val="superscript"/>
        </w:rPr>
      </w:pPr>
      <w:r w:rsidRPr="00263EF6">
        <w:t>Some dental practices may have balconies; this space could be used for pot plants including herbs, flowering plants or grasses</w:t>
      </w:r>
      <w:r w:rsidR="00E25B58" w:rsidRPr="00263EF6">
        <w:t xml:space="preserve">. Where there is room fruit </w:t>
      </w:r>
      <w:r w:rsidR="00E25B58" w:rsidRPr="00263EF6">
        <w:lastRenderedPageBreak/>
        <w:t xml:space="preserve">and vegetables can be grown to provide locally sourced food, further adding to the </w:t>
      </w:r>
      <w:r w:rsidRPr="00263EF6">
        <w:t>biodiversity and the overall network of green space.</w:t>
      </w:r>
      <w:r w:rsidR="00D76626" w:rsidRPr="00263EF6">
        <w:rPr>
          <w:vertAlign w:val="superscript"/>
        </w:rPr>
        <w:fldChar w:fldCharType="begin"/>
      </w:r>
      <w:r w:rsidR="00D76626" w:rsidRPr="00263EF6">
        <w:rPr>
          <w:vertAlign w:val="superscript"/>
        </w:rPr>
        <w:instrText xml:space="preserve"> NOTEREF _Ref521575371 \f \h  \* MERGEFORMAT </w:instrText>
      </w:r>
      <w:r w:rsidR="00D76626" w:rsidRPr="00263EF6">
        <w:rPr>
          <w:vertAlign w:val="superscript"/>
        </w:rPr>
      </w:r>
      <w:r w:rsidR="00D76626" w:rsidRPr="00263EF6">
        <w:rPr>
          <w:vertAlign w:val="superscript"/>
        </w:rPr>
        <w:fldChar w:fldCharType="separate"/>
      </w:r>
      <w:r w:rsidR="00675D72" w:rsidRPr="00263EF6">
        <w:rPr>
          <w:rStyle w:val="EndnoteReference"/>
        </w:rPr>
        <w:t>29</w:t>
      </w:r>
      <w:r w:rsidR="00D76626" w:rsidRPr="00263EF6">
        <w:rPr>
          <w:vertAlign w:val="superscript"/>
        </w:rPr>
        <w:fldChar w:fldCharType="end"/>
      </w:r>
      <w:r w:rsidR="00D76626" w:rsidRPr="00263EF6">
        <w:rPr>
          <w:vertAlign w:val="superscript"/>
        </w:rPr>
        <w:t>,</w:t>
      </w:r>
      <w:r w:rsidRPr="00263EF6">
        <w:rPr>
          <w:rStyle w:val="EndnoteReference"/>
        </w:rPr>
        <w:endnoteReference w:id="49"/>
      </w:r>
    </w:p>
    <w:p w14:paraId="2BFB9D8D" w14:textId="77777777" w:rsidR="0078285B" w:rsidRPr="00263EF6" w:rsidRDefault="0078285B" w:rsidP="0078285B">
      <w:pPr>
        <w:pStyle w:val="Heading4"/>
        <w:rPr>
          <w:color w:val="000000" w:themeColor="text1"/>
        </w:rPr>
      </w:pPr>
      <w:r w:rsidRPr="00263EF6">
        <w:rPr>
          <w:color w:val="000000" w:themeColor="text1"/>
        </w:rPr>
        <w:t>Roof eaves</w:t>
      </w:r>
    </w:p>
    <w:p w14:paraId="6ED80243" w14:textId="77777777" w:rsidR="00B52997" w:rsidRPr="00263EF6" w:rsidRDefault="00B52997" w:rsidP="00B52997">
      <w:r w:rsidRPr="00263EF6">
        <w:t>Many bird species and bats are under threat as their natural nesting sites are disappearing in urban areas.</w:t>
      </w:r>
      <w:r w:rsidRPr="00263EF6">
        <w:rPr>
          <w:rStyle w:val="EndnoteReference"/>
        </w:rPr>
        <w:endnoteReference w:id="50"/>
      </w:r>
      <w:r w:rsidRPr="00263EF6">
        <w:t xml:space="preserve"> The eaves of a roof can be used to place artificial nest boxes for birds and bats and can easily be incorporated into new buildings or extensions. There are many types of ready-made nest boxes and the provision of different sized boxes for different bird species is recommended. Correct positioning of the boxes is vital to their success and factors such as the type of species to be supported, site height, direction of sunlight and prevailing wind (as well as its proximity to fresh water for a bat box) should be considered.</w:t>
      </w:r>
      <w:r w:rsidRPr="00263EF6">
        <w:rPr>
          <w:rStyle w:val="EndnoteReference"/>
        </w:rPr>
        <w:endnoteReference w:id="51"/>
      </w:r>
    </w:p>
    <w:p w14:paraId="6FDBAE96" w14:textId="77777777" w:rsidR="0078285B" w:rsidRPr="00263EF6" w:rsidRDefault="0078285B" w:rsidP="0078285B">
      <w:pPr>
        <w:pStyle w:val="Heading4"/>
        <w:rPr>
          <w:color w:val="000000" w:themeColor="text1"/>
        </w:rPr>
      </w:pPr>
      <w:r w:rsidRPr="00263EF6">
        <w:rPr>
          <w:color w:val="000000" w:themeColor="text1"/>
        </w:rPr>
        <w:t>Ground covering</w:t>
      </w:r>
    </w:p>
    <w:p w14:paraId="59C5A036" w14:textId="0EE83B00" w:rsidR="00B52997" w:rsidRPr="00263EF6" w:rsidRDefault="00B52997" w:rsidP="00E40F48">
      <w:pPr>
        <w:rPr>
          <w:rFonts w:eastAsiaTheme="majorEastAsia" w:cstheme="majorBidi"/>
          <w:szCs w:val="26"/>
        </w:rPr>
      </w:pPr>
      <w:r w:rsidRPr="00263EF6">
        <w:t>Dental practices should consider the type of ground covering they use within any outside area. Traditional road coverings such as concrete or tarmac does not provide any opportunity for plants and wildlife to live. Such ground covering also increases the risk of flooding as the surface will not absorb any water. Dental practices could consider partially sealed surfaces, for example, gravel with grass coverage and/or non-sealed paving. Combining a useable surface with some vegetation provides greater potential for small plants and insects to exist.</w:t>
      </w:r>
    </w:p>
    <w:p w14:paraId="0DA00ADE" w14:textId="77777777" w:rsidR="00986A01" w:rsidRPr="00263EF6" w:rsidRDefault="00986A01" w:rsidP="00B52997">
      <w:pPr>
        <w:pStyle w:val="Heading2"/>
        <w:rPr>
          <w:color w:val="000000" w:themeColor="text1"/>
        </w:rPr>
      </w:pPr>
      <w:r w:rsidRPr="00263EF6">
        <w:rPr>
          <w:color w:val="000000" w:themeColor="text1"/>
        </w:rPr>
        <w:lastRenderedPageBreak/>
        <w:t xml:space="preserve">Barriers and Facilitators </w:t>
      </w:r>
    </w:p>
    <w:p w14:paraId="4FCD928E" w14:textId="7ADBE220" w:rsidR="00947239" w:rsidRPr="00263EF6" w:rsidRDefault="003E6F59" w:rsidP="00EC4ABB">
      <w:r w:rsidRPr="00263EF6">
        <w:t xml:space="preserve">There are however a number of barriers and facilitators for the dental team to incorporate biodiversity changes in their open spaces. </w:t>
      </w:r>
      <w:r w:rsidR="000A4F09" w:rsidRPr="00263EF6">
        <w:t>In a recent study by Harford</w:t>
      </w:r>
      <w:r w:rsidR="001F5D8E" w:rsidRPr="00263EF6">
        <w:t>,</w:t>
      </w:r>
      <w:r w:rsidR="000A4F09" w:rsidRPr="00263EF6">
        <w:t xml:space="preserve"> </w:t>
      </w:r>
      <w:r w:rsidR="00276604" w:rsidRPr="00263EF6">
        <w:t>dental members who completed a questionnaire were</w:t>
      </w:r>
      <w:r w:rsidR="000A4F09" w:rsidRPr="00263EF6">
        <w:t xml:space="preserve"> very interested becoming more environmentally sustainable, however </w:t>
      </w:r>
      <w:r w:rsidR="00FC3139" w:rsidRPr="00263EF6">
        <w:t xml:space="preserve">a </w:t>
      </w:r>
      <w:r w:rsidR="000A4F09" w:rsidRPr="00263EF6">
        <w:t>lack of awareness o</w:t>
      </w:r>
      <w:r w:rsidR="00FC3139" w:rsidRPr="00263EF6">
        <w:t>n</w:t>
      </w:r>
      <w:r w:rsidR="000A4F09" w:rsidRPr="00263EF6">
        <w:t xml:space="preserve"> how best to accomplish this.</w:t>
      </w:r>
      <w:bookmarkStart w:id="19" w:name="_Ref528765872"/>
      <w:r w:rsidR="000A4F09" w:rsidRPr="00263EF6">
        <w:rPr>
          <w:rStyle w:val="EndnoteReference"/>
        </w:rPr>
        <w:endnoteReference w:id="52"/>
      </w:r>
      <w:bookmarkEnd w:id="19"/>
      <w:r w:rsidR="00FC3139" w:rsidRPr="00263EF6">
        <w:t xml:space="preserve"> It is also clear from the latest NHS staff study that 98% staff think that it is important for the health and social system to work in a way that supports the environment. </w:t>
      </w:r>
      <w:r w:rsidR="00947239" w:rsidRPr="00263EF6">
        <w:t>In Harford’s research 77% of all dental team responded that they were interested in environmental sustainability.</w:t>
      </w:r>
      <w:r w:rsidRPr="00263EF6">
        <w:t xml:space="preserve"> </w:t>
      </w:r>
    </w:p>
    <w:p w14:paraId="1C7C3C5C" w14:textId="49BD2E4B" w:rsidR="00986A01" w:rsidRPr="00263EF6" w:rsidRDefault="007E0054" w:rsidP="00EC4ABB">
      <w:r w:rsidRPr="00263EF6">
        <w:t>A recent paper by Grose highlighted some of the barriers to implementing sustainability changes within dental practice.</w:t>
      </w:r>
      <w:r w:rsidRPr="00263EF6">
        <w:rPr>
          <w:rStyle w:val="EndnoteReference"/>
        </w:rPr>
        <w:endnoteReference w:id="53"/>
      </w:r>
      <w:r w:rsidRPr="00263EF6">
        <w:t xml:space="preserve"> </w:t>
      </w:r>
      <w:r w:rsidR="003E6F59" w:rsidRPr="00263EF6">
        <w:t>P</w:t>
      </w:r>
      <w:r w:rsidR="00D1360B" w:rsidRPr="00263EF6">
        <w:t xml:space="preserve">ractice barriers including competing demands, personal motivation and </w:t>
      </w:r>
      <w:r w:rsidR="00986A01" w:rsidRPr="00263EF6">
        <w:t xml:space="preserve">the </w:t>
      </w:r>
      <w:r w:rsidR="00E56B51" w:rsidRPr="00263EF6">
        <w:t>cost and time</w:t>
      </w:r>
      <w:r w:rsidR="00986A01" w:rsidRPr="00263EF6">
        <w:t xml:space="preserve"> to implement these changes as well as</w:t>
      </w:r>
      <w:r w:rsidR="00143C9F" w:rsidRPr="00263EF6">
        <w:t xml:space="preserve"> patients questioning the choice of the surgery to remove the lawn</w:t>
      </w:r>
      <w:r w:rsidR="00986A01" w:rsidRPr="00263EF6">
        <w:t xml:space="preserve"> </w:t>
      </w:r>
      <w:r w:rsidR="00143C9F" w:rsidRPr="00263EF6">
        <w:t>and replace it with something perhaps more wild and unkempt.</w:t>
      </w:r>
      <w:bookmarkStart w:id="20" w:name="_Ref528763097"/>
      <w:r w:rsidR="00143C9F" w:rsidRPr="00263EF6">
        <w:rPr>
          <w:rStyle w:val="EndnoteReference"/>
        </w:rPr>
        <w:endnoteReference w:id="54"/>
      </w:r>
      <w:bookmarkEnd w:id="20"/>
      <w:r w:rsidR="00986A01" w:rsidRPr="00263EF6">
        <w:t xml:space="preserve"> </w:t>
      </w:r>
      <w:r w:rsidR="00D1360B" w:rsidRPr="00263EF6">
        <w:t xml:space="preserve"> From a biodiversity perspective t</w:t>
      </w:r>
      <w:r w:rsidR="00986A01" w:rsidRPr="00263EF6">
        <w:t xml:space="preserve">here are limited papers demonstrating cost benefits of providing a bio-diverse </w:t>
      </w:r>
      <w:r w:rsidR="009D3711" w:rsidRPr="00263EF6">
        <w:t>space</w:t>
      </w:r>
      <w:r w:rsidR="00986A01" w:rsidRPr="00263EF6">
        <w:t>. It is known that trees, by providing shelter and shade, can contribute to a reduction in a building’s energy budget, through reduced air conditioning, and improved solar gain</w:t>
      </w:r>
      <w:r w:rsidR="00986A01" w:rsidRPr="00263EF6">
        <w:rPr>
          <w:rStyle w:val="EndnoteReference"/>
        </w:rPr>
        <w:endnoteReference w:id="55"/>
      </w:r>
      <w:r w:rsidR="00986A01" w:rsidRPr="00263EF6">
        <w:t xml:space="preserve">. </w:t>
      </w:r>
      <w:r w:rsidR="00E60FB1" w:rsidRPr="00263EF6">
        <w:t>In an American study it was demonstrated that once a native grassland was established there was no mowing, no requirement of fertilisers, pesticides, her</w:t>
      </w:r>
      <w:r w:rsidR="00257086" w:rsidRPr="00263EF6">
        <w:t>b</w:t>
      </w:r>
      <w:r w:rsidR="00E60FB1" w:rsidRPr="00263EF6">
        <w:t xml:space="preserve">icides or watering; resulting in annual long term cost reductions of around </w:t>
      </w:r>
      <w:r w:rsidR="00E60FB1" w:rsidRPr="00263EF6">
        <w:lastRenderedPageBreak/>
        <w:t>80-90% in comparison to the costs of traditional lawn mowing and maintenance.</w:t>
      </w:r>
      <w:r w:rsidR="00581EAE" w:rsidRPr="00263EF6">
        <w:rPr>
          <w:rStyle w:val="EndnoteReference"/>
        </w:rPr>
        <w:endnoteReference w:id="56"/>
      </w:r>
    </w:p>
    <w:p w14:paraId="6524690A" w14:textId="0FC6FD9E" w:rsidR="00E56B51" w:rsidRPr="00263EF6" w:rsidRDefault="00D2354B" w:rsidP="00EC4ABB">
      <w:r w:rsidRPr="00263EF6">
        <w:t>T</w:t>
      </w:r>
      <w:r w:rsidR="00E56B51" w:rsidRPr="00263EF6">
        <w:t>he practice</w:t>
      </w:r>
      <w:r w:rsidRPr="00263EF6">
        <w:t xml:space="preserve"> also</w:t>
      </w:r>
      <w:r w:rsidR="00E56B51" w:rsidRPr="00263EF6">
        <w:t xml:space="preserve"> needs to consider th</w:t>
      </w:r>
      <w:r w:rsidRPr="00263EF6">
        <w:t xml:space="preserve">e time constraints inherent in </w:t>
      </w:r>
      <w:r w:rsidR="00E56B51" w:rsidRPr="00263EF6">
        <w:t xml:space="preserve"> produc</w:t>
      </w:r>
      <w:r w:rsidRPr="00263EF6">
        <w:t>ing</w:t>
      </w:r>
      <w:r w:rsidR="00E56B51" w:rsidRPr="00263EF6">
        <w:t xml:space="preserve"> a biodiverse garden</w:t>
      </w:r>
      <w:r w:rsidRPr="00263EF6">
        <w:t>. These may be high</w:t>
      </w:r>
      <w:r w:rsidR="00E56B51" w:rsidRPr="00263EF6">
        <w:t xml:space="preserve"> in the short term, but over the long term is more likely to be less time intensive than lawn mowing.  NHS Forests works with volunteer organisations </w:t>
      </w:r>
      <w:r w:rsidR="002A260D" w:rsidRPr="00263EF6">
        <w:t>such as the British Trust for Conservation volunteers who have developed the Guidance Pack for the organization. It is possible that patient groups</w:t>
      </w:r>
      <w:r w:rsidRPr="00263EF6">
        <w:t xml:space="preserve"> or local schools</w:t>
      </w:r>
      <w:r w:rsidR="002A260D" w:rsidRPr="00263EF6">
        <w:t xml:space="preserve"> could help support the development and maintenance of the greenspace of a dental practice on a voluntary basis. </w:t>
      </w:r>
      <w:r w:rsidR="007C2C95" w:rsidRPr="00263EF6">
        <w:t>Some patients may not have a garden of their own and be grateful for the opportunity</w:t>
      </w:r>
      <w:r w:rsidR="007E0054" w:rsidRPr="00263EF6">
        <w:t>. Evidence from this comes from the experience of the Lambeth GP food coop and increasing waiting lists for allotments</w:t>
      </w:r>
      <w:bookmarkStart w:id="21" w:name="_Ref528763779"/>
      <w:r w:rsidR="007E0054" w:rsidRPr="00263EF6">
        <w:t>.</w:t>
      </w:r>
      <w:r w:rsidR="00EC4ABB" w:rsidRPr="00263EF6">
        <w:rPr>
          <w:rStyle w:val="EndnoteReference"/>
          <w:rFonts w:ascii="Calibri" w:eastAsia="Times New Roman" w:hAnsi="Calibri" w:cs="Calibri"/>
          <w:lang w:val="en-IE"/>
        </w:rPr>
        <w:endnoteReference w:id="57"/>
      </w:r>
      <w:bookmarkEnd w:id="21"/>
      <w:r w:rsidR="007E0054" w:rsidRPr="00263EF6">
        <w:t>’</w:t>
      </w:r>
      <w:r w:rsidR="007E0054" w:rsidRPr="00263EF6">
        <w:rPr>
          <w:rStyle w:val="EndnoteReference"/>
        </w:rPr>
        <w:endnoteReference w:id="58"/>
      </w:r>
      <w:r w:rsidR="007C2C95" w:rsidRPr="00263EF6">
        <w:t xml:space="preserve"> </w:t>
      </w:r>
      <w:r w:rsidR="002A260D" w:rsidRPr="00263EF6">
        <w:t xml:space="preserve">They could share in any </w:t>
      </w:r>
      <w:r w:rsidRPr="00263EF6">
        <w:t xml:space="preserve">food </w:t>
      </w:r>
      <w:r w:rsidR="002A260D" w:rsidRPr="00263EF6">
        <w:t>produce produced</w:t>
      </w:r>
      <w:r w:rsidRPr="00263EF6">
        <w:t xml:space="preserve"> by the garden</w:t>
      </w:r>
      <w:r w:rsidR="007C2C95" w:rsidRPr="00263EF6">
        <w:t>.</w:t>
      </w:r>
      <w:r w:rsidR="00EC4ABB" w:rsidRPr="00263EF6">
        <w:t xml:space="preserve"> The development of a green biodiverse space, like all sustainability initiatives would need to be led by a team member passionate about championing this change.  As discussed in the 7</w:t>
      </w:r>
      <w:r w:rsidR="00EC4ABB" w:rsidRPr="00263EF6">
        <w:rPr>
          <w:vertAlign w:val="superscript"/>
        </w:rPr>
        <w:t>th</w:t>
      </w:r>
      <w:r w:rsidR="00EC4ABB" w:rsidRPr="00263EF6">
        <w:t xml:space="preserve"> paper in this series any sustainability initiative needs to have senior leadership with the team member feeling incentivised and support to make change.</w:t>
      </w:r>
    </w:p>
    <w:p w14:paraId="40DE99BF" w14:textId="5FFC47B3" w:rsidR="007C2C95" w:rsidRPr="00263EF6" w:rsidRDefault="00C320C3" w:rsidP="003E6F59">
      <w:pPr>
        <w:rPr>
          <w:rFonts w:eastAsia="Times New Roman"/>
          <w:lang w:val="en-IE"/>
        </w:rPr>
      </w:pPr>
      <w:r w:rsidRPr="00263EF6">
        <w:rPr>
          <w:rFonts w:ascii="Calibri" w:eastAsia="Times New Roman" w:hAnsi="Calibri" w:cs="Calibri"/>
          <w:lang w:val="en-IE"/>
        </w:rPr>
        <w:t>An example of existing practice (although not within dentistry)is t</w:t>
      </w:r>
      <w:r w:rsidR="007C2C95" w:rsidRPr="00263EF6">
        <w:rPr>
          <w:rFonts w:ascii="Calibri" w:eastAsia="Times New Roman" w:hAnsi="Calibri" w:cs="Calibri"/>
          <w:lang w:val="en-IE"/>
        </w:rPr>
        <w:t>he Lambeth food cooperative</w:t>
      </w:r>
      <w:r w:rsidRPr="00263EF6">
        <w:rPr>
          <w:rFonts w:ascii="Calibri" w:eastAsia="Times New Roman" w:hAnsi="Calibri" w:cs="Calibri"/>
          <w:lang w:val="en-IE"/>
        </w:rPr>
        <w:t>,</w:t>
      </w:r>
      <w:r w:rsidR="007C2C95" w:rsidRPr="00263EF6">
        <w:rPr>
          <w:rFonts w:ascii="Calibri" w:eastAsia="Times New Roman" w:hAnsi="Calibri" w:cs="Calibri"/>
          <w:lang w:val="en-IE"/>
        </w:rPr>
        <w:t xml:space="preserve"> an inclusive open project, the result of a collaboration between 45 GP practices in Lambeth. Patients are supported by an </w:t>
      </w:r>
      <w:r w:rsidR="007C2C95" w:rsidRPr="00263EF6">
        <w:rPr>
          <w:rFonts w:ascii="Calibri" w:eastAsia="Times New Roman" w:hAnsi="Calibri" w:cs="Calibri"/>
          <w:lang w:val="en-IE"/>
        </w:rPr>
        <w:lastRenderedPageBreak/>
        <w:t>experienced gardener to learn how to grow fruit and vegetables and in the process interact with other people. Patients are encouraged to join, attending sessions run by practice nurses. The vision of Lambeth is to develop a vision of new environments for health and well</w:t>
      </w:r>
      <w:r w:rsidR="003E6F59" w:rsidRPr="00263EF6">
        <w:rPr>
          <w:rFonts w:ascii="Calibri" w:eastAsia="Times New Roman" w:hAnsi="Calibri" w:cs="Calibri"/>
          <w:lang w:val="en-IE"/>
        </w:rPr>
        <w:t>-</w:t>
      </w:r>
      <w:r w:rsidR="007C2C95" w:rsidRPr="00263EF6">
        <w:rPr>
          <w:rFonts w:ascii="Calibri" w:eastAsia="Times New Roman" w:hAnsi="Calibri" w:cs="Calibri"/>
          <w:lang w:val="en-IE"/>
        </w:rPr>
        <w:t>being, for galvanising local communities and building the potential for greater resilience, and reduce social isolation and health inequalities. The cooperative supports the growth of a variety of foods.</w:t>
      </w:r>
      <w:r w:rsidRPr="00263EF6">
        <w:rPr>
          <w:rFonts w:ascii="Calibri" w:eastAsia="Times New Roman" w:hAnsi="Calibri" w:cs="Calibri"/>
          <w:lang w:val="en-IE"/>
        </w:rPr>
        <w:t xml:space="preserve"> </w:t>
      </w:r>
      <w:r w:rsidRPr="00263EF6">
        <w:rPr>
          <w:rFonts w:eastAsia="Times New Roman"/>
          <w:lang w:val="en-IE"/>
        </w:rPr>
        <w:t>Further details are available on their website.</w:t>
      </w:r>
    </w:p>
    <w:p w14:paraId="36BD0A8E" w14:textId="77777777" w:rsidR="0054614F" w:rsidRPr="00263EF6" w:rsidRDefault="0054614F" w:rsidP="003E6F59">
      <w:pPr>
        <w:spacing w:after="0"/>
        <w:rPr>
          <w:rFonts w:eastAsia="Times New Roman"/>
          <w:lang w:val="en-IE"/>
        </w:rPr>
      </w:pPr>
      <w:r w:rsidRPr="00263EF6">
        <w:rPr>
          <w:rFonts w:eastAsia="Times New Roman"/>
          <w:lang w:val="en-IE"/>
        </w:rPr>
        <w:t>It may be possible for dental practices to seek charitable funding or work in partnership with health insurance companies. One example of this is the partnership between Bupa and the Royal Society P</w:t>
      </w:r>
      <w:r w:rsidR="003E6F59" w:rsidRPr="00263EF6">
        <w:rPr>
          <w:rFonts w:eastAsia="Times New Roman"/>
          <w:lang w:val="en-IE"/>
        </w:rPr>
        <w:t>rotection Birds (RSPB)</w:t>
      </w:r>
      <w:r w:rsidRPr="00263EF6">
        <w:rPr>
          <w:rFonts w:eastAsia="Times New Roman"/>
          <w:lang w:val="en-IE"/>
        </w:rPr>
        <w:t xml:space="preserve"> which is transforming green</w:t>
      </w:r>
      <w:r w:rsidR="003E6F59" w:rsidRPr="00263EF6">
        <w:rPr>
          <w:rFonts w:eastAsia="Times New Roman"/>
          <w:lang w:val="en-IE"/>
        </w:rPr>
        <w:t>spa</w:t>
      </w:r>
      <w:r w:rsidRPr="00263EF6">
        <w:rPr>
          <w:rFonts w:eastAsia="Times New Roman"/>
          <w:lang w:val="en-IE"/>
        </w:rPr>
        <w:t xml:space="preserve">ces and </w:t>
      </w:r>
      <w:r w:rsidR="003E6F59" w:rsidRPr="00263EF6">
        <w:rPr>
          <w:rFonts w:eastAsia="Times New Roman"/>
          <w:lang w:val="en-IE"/>
        </w:rPr>
        <w:t>encouraging</w:t>
      </w:r>
      <w:r w:rsidRPr="00263EF6">
        <w:rPr>
          <w:rFonts w:eastAsia="Times New Roman"/>
          <w:lang w:val="en-IE"/>
        </w:rPr>
        <w:t xml:space="preserve"> wildlife into healthcare and residential environments.</w:t>
      </w:r>
      <w:r w:rsidR="003E6F59" w:rsidRPr="00263EF6">
        <w:rPr>
          <w:vertAlign w:val="superscript"/>
        </w:rPr>
        <w:endnoteReference w:id="59"/>
      </w:r>
    </w:p>
    <w:p w14:paraId="6B2E78CC" w14:textId="51DC43A5" w:rsidR="000C3D5D" w:rsidRPr="00263EF6" w:rsidRDefault="00C320C3" w:rsidP="00EC4ABB">
      <w:pPr>
        <w:rPr>
          <w:rFonts w:eastAsia="Times New Roman"/>
          <w:lang w:val="en-IE"/>
        </w:rPr>
      </w:pPr>
      <w:r w:rsidRPr="00263EF6">
        <w:rPr>
          <w:rFonts w:eastAsia="Times New Roman"/>
          <w:lang w:val="en-IE"/>
        </w:rPr>
        <w:t xml:space="preserve">Alternatively the practice could consider </w:t>
      </w:r>
      <w:r w:rsidR="007E0054" w:rsidRPr="00263EF6">
        <w:rPr>
          <w:rFonts w:eastAsia="Times New Roman"/>
          <w:lang w:val="en-IE"/>
        </w:rPr>
        <w:t>professional help</w:t>
      </w:r>
      <w:r w:rsidR="00D2354B" w:rsidRPr="00263EF6">
        <w:rPr>
          <w:rFonts w:eastAsia="Times New Roman"/>
          <w:lang w:val="en-IE"/>
        </w:rPr>
        <w:t xml:space="preserve"> </w:t>
      </w:r>
      <w:r w:rsidRPr="00263EF6">
        <w:rPr>
          <w:rFonts w:eastAsia="Times New Roman"/>
          <w:lang w:val="en-IE"/>
        </w:rPr>
        <w:t xml:space="preserve">to develop an eco-friendly space for the practice, using existing funds they currently spend on lawn installation etc </w:t>
      </w:r>
      <w:r w:rsidR="00143C9F" w:rsidRPr="00263EF6">
        <w:rPr>
          <w:rFonts w:eastAsia="Times New Roman"/>
          <w:lang w:val="en-IE"/>
        </w:rPr>
        <w:t>. There are a number of companies online that specialise in ecological gardens</w:t>
      </w:r>
      <w:r w:rsidR="00C37CBF" w:rsidRPr="00263EF6">
        <w:rPr>
          <w:rFonts w:eastAsia="Times New Roman"/>
          <w:lang w:val="en-IE"/>
        </w:rPr>
        <w:t>..</w:t>
      </w:r>
    </w:p>
    <w:p w14:paraId="7973415E" w14:textId="6C6F6C6C" w:rsidR="00D2354B" w:rsidRPr="00263EF6" w:rsidRDefault="00D2354B" w:rsidP="00EC4ABB">
      <w:pPr>
        <w:rPr>
          <w:rFonts w:eastAsia="Times New Roman"/>
          <w:lang w:val="en-IE"/>
        </w:rPr>
      </w:pPr>
      <w:r w:rsidRPr="00263EF6">
        <w:rPr>
          <w:rFonts w:eastAsia="Times New Roman"/>
          <w:lang w:val="en-IE"/>
        </w:rPr>
        <w:t>The transition to an environmentally friendly dental practice environment need not be an all or nothing dichotomy. By incorporating measures that are logistically feasible into the day to day running of the practice we can all take steps toward improving both ecological and human well-being.</w:t>
      </w:r>
    </w:p>
    <w:p w14:paraId="6A995679" w14:textId="77777777" w:rsidR="00D2354B" w:rsidRPr="00263EF6" w:rsidRDefault="00D2354B" w:rsidP="00EC4ABB">
      <w:pPr>
        <w:rPr>
          <w:rFonts w:eastAsia="Times New Roman"/>
          <w:lang w:val="en-IE"/>
        </w:rPr>
      </w:pPr>
    </w:p>
    <w:p w14:paraId="70DD08F7" w14:textId="77777777" w:rsidR="0054614F" w:rsidRPr="00263EF6" w:rsidRDefault="0054614F" w:rsidP="0054614F">
      <w:pPr>
        <w:pStyle w:val="Heading2"/>
        <w:rPr>
          <w:color w:val="000000" w:themeColor="text1"/>
        </w:rPr>
      </w:pPr>
      <w:r w:rsidRPr="00263EF6">
        <w:rPr>
          <w:color w:val="000000" w:themeColor="text1"/>
        </w:rPr>
        <w:lastRenderedPageBreak/>
        <w:t>Action points</w:t>
      </w:r>
    </w:p>
    <w:p w14:paraId="6AADEA6F" w14:textId="77777777" w:rsidR="0054614F" w:rsidRPr="00263EF6" w:rsidRDefault="0054614F" w:rsidP="0054614F">
      <w:r w:rsidRPr="00263EF6">
        <w:t xml:space="preserve">The following Action box (see Box 1) provides some summary for readers to consider to improve their biodiversity. The reader should be advised that the judgement of ease, cost and impact is subjective, and more evidence is needed. </w:t>
      </w:r>
    </w:p>
    <w:p w14:paraId="2D078429" w14:textId="77777777" w:rsidR="0054614F" w:rsidRPr="00263EF6" w:rsidRDefault="0054614F" w:rsidP="0054614F">
      <w:r w:rsidRPr="00263EF6">
        <w:t>Box 1: Action on biodiversity</w:t>
      </w:r>
    </w:p>
    <w:p w14:paraId="1465D896" w14:textId="77777777" w:rsidR="0054614F" w:rsidRPr="00263EF6" w:rsidRDefault="0054614F" w:rsidP="0054614F">
      <w:r w:rsidRPr="00263EF6">
        <w:t>Insert Box 1 here.</w:t>
      </w:r>
    </w:p>
    <w:p w14:paraId="2232B51B" w14:textId="77777777" w:rsidR="00986A01" w:rsidRPr="00263EF6" w:rsidRDefault="00986A01" w:rsidP="00986A01"/>
    <w:p w14:paraId="0E5A92A5" w14:textId="77777777" w:rsidR="00B52997" w:rsidRPr="00263EF6" w:rsidRDefault="00B52997" w:rsidP="00B52997">
      <w:pPr>
        <w:pStyle w:val="Heading2"/>
        <w:rPr>
          <w:color w:val="000000" w:themeColor="text1"/>
        </w:rPr>
      </w:pPr>
      <w:r w:rsidRPr="00263EF6">
        <w:rPr>
          <w:color w:val="000000" w:themeColor="text1"/>
        </w:rPr>
        <w:t xml:space="preserve">Three main points from this paper: </w:t>
      </w:r>
    </w:p>
    <w:p w14:paraId="43B88282" w14:textId="77777777" w:rsidR="00B52997" w:rsidRPr="00263EF6" w:rsidRDefault="00B52997" w:rsidP="00B52997">
      <w:pPr>
        <w:pStyle w:val="ListParagraph"/>
        <w:numPr>
          <w:ilvl w:val="0"/>
          <w:numId w:val="2"/>
        </w:numPr>
        <w:spacing w:line="360" w:lineRule="auto"/>
        <w:rPr>
          <w:shd w:val="clear" w:color="auto" w:fill="FFFFFF"/>
        </w:rPr>
      </w:pPr>
      <w:r w:rsidRPr="00263EF6">
        <w:t>Human well-being</w:t>
      </w:r>
      <w:r w:rsidRPr="00263EF6">
        <w:rPr>
          <w:shd w:val="clear" w:color="auto" w:fill="FFFFFF"/>
        </w:rPr>
        <w:t xml:space="preserve"> </w:t>
      </w:r>
      <w:r w:rsidRPr="00263EF6">
        <w:t>depends on the health of the biosphere planet.</w:t>
      </w:r>
    </w:p>
    <w:p w14:paraId="18738268" w14:textId="77777777" w:rsidR="00B52997" w:rsidRPr="00263EF6" w:rsidRDefault="00B52997" w:rsidP="00B52997">
      <w:pPr>
        <w:pStyle w:val="ListParagraph"/>
        <w:numPr>
          <w:ilvl w:val="0"/>
          <w:numId w:val="2"/>
        </w:numPr>
        <w:spacing w:line="360" w:lineRule="auto"/>
        <w:rPr>
          <w:shd w:val="clear" w:color="auto" w:fill="FFFFFF"/>
        </w:rPr>
      </w:pPr>
      <w:r w:rsidRPr="00263EF6">
        <w:rPr>
          <w:shd w:val="clear" w:color="auto" w:fill="FFFFFF"/>
        </w:rPr>
        <w:t>Many dental practices have outside areas that could be used to encourage biodiversity, provide benefits such as cleaner air and water and create a more attractive property.</w:t>
      </w:r>
    </w:p>
    <w:p w14:paraId="225E86B5" w14:textId="77777777" w:rsidR="00B52997" w:rsidRPr="00263EF6" w:rsidRDefault="00B52997" w:rsidP="00B52997">
      <w:pPr>
        <w:pStyle w:val="ListParagraph"/>
        <w:numPr>
          <w:ilvl w:val="0"/>
          <w:numId w:val="2"/>
        </w:numPr>
        <w:spacing w:line="360" w:lineRule="auto"/>
      </w:pPr>
      <w:r w:rsidRPr="00263EF6">
        <w:t>To encourage biodiversity, dental practices could provide wild areas (ponds, trees, wood and fallen leaf piles) as a preference to lawns and concrete and also incorporate building structures, such as green roofs, green walls, modified brick and roof tiles, balconies and roof eaves.</w:t>
      </w:r>
    </w:p>
    <w:p w14:paraId="1F6286B4" w14:textId="77777777" w:rsidR="00B52997" w:rsidRPr="00263EF6" w:rsidRDefault="00B52997" w:rsidP="00B52997"/>
    <w:p w14:paraId="21D65CAB" w14:textId="77777777" w:rsidR="00B52997" w:rsidRPr="00263EF6" w:rsidRDefault="00B52997" w:rsidP="00B52997"/>
    <w:p w14:paraId="37ADC538" w14:textId="77777777" w:rsidR="00311D1F" w:rsidRPr="00263EF6" w:rsidRDefault="00311D1F"/>
    <w:sectPr w:rsidR="00311D1F" w:rsidRPr="00263EF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98870" w14:textId="77777777" w:rsidR="00F25D31" w:rsidRDefault="00F25D31" w:rsidP="00B52997">
      <w:pPr>
        <w:spacing w:after="0" w:line="240" w:lineRule="auto"/>
      </w:pPr>
      <w:r>
        <w:separator/>
      </w:r>
    </w:p>
  </w:endnote>
  <w:endnote w:type="continuationSeparator" w:id="0">
    <w:p w14:paraId="5FD81B84" w14:textId="77777777" w:rsidR="00F25D31" w:rsidRDefault="00F25D31" w:rsidP="00B52997">
      <w:pPr>
        <w:spacing w:after="0" w:line="240" w:lineRule="auto"/>
      </w:pPr>
      <w:r>
        <w:continuationSeparator/>
      </w:r>
    </w:p>
  </w:endnote>
  <w:endnote w:id="1">
    <w:p w14:paraId="1EE8DA39" w14:textId="77777777" w:rsidR="00B52997" w:rsidRPr="00581EAE" w:rsidRDefault="00B52997" w:rsidP="00581EAE">
      <w:pPr>
        <w:pStyle w:val="EndnoteText"/>
        <w:spacing w:line="480" w:lineRule="auto"/>
        <w:rPr>
          <w:sz w:val="24"/>
          <w:szCs w:val="24"/>
        </w:rPr>
      </w:pPr>
      <w:r w:rsidRPr="00581EAE">
        <w:rPr>
          <w:rStyle w:val="EndnoteReference"/>
          <w:sz w:val="24"/>
          <w:szCs w:val="24"/>
        </w:rPr>
        <w:endnoteRef/>
      </w:r>
      <w:r w:rsidRPr="00581EAE">
        <w:rPr>
          <w:sz w:val="24"/>
          <w:szCs w:val="24"/>
        </w:rPr>
        <w:t xml:space="preserve">Healthy Planet. Healthy People. A guide to human health and biodiversity. Online information available at </w:t>
      </w:r>
      <w:hyperlink r:id="rId1" w:history="1">
        <w:r w:rsidRPr="00581EAE">
          <w:rPr>
            <w:rStyle w:val="Hyperlink"/>
            <w:sz w:val="24"/>
            <w:szCs w:val="24"/>
            <w:lang w:val="en-IE"/>
          </w:rPr>
          <w:t>https://www.cbd.int/health/doc/guide-biodiversity-health-en.pdf</w:t>
        </w:r>
      </w:hyperlink>
      <w:r w:rsidRPr="00581EAE">
        <w:rPr>
          <w:sz w:val="24"/>
          <w:szCs w:val="24"/>
          <w:lang w:val="en-IE"/>
        </w:rPr>
        <w:t xml:space="preserve"> </w:t>
      </w:r>
      <w:r w:rsidRPr="00581EAE">
        <w:rPr>
          <w:sz w:val="24"/>
          <w:szCs w:val="24"/>
        </w:rPr>
        <w:t>(accessed May 2018).</w:t>
      </w:r>
    </w:p>
    <w:p w14:paraId="660880AA" w14:textId="77777777" w:rsidR="00616A0F" w:rsidRPr="00581EAE" w:rsidRDefault="00616A0F" w:rsidP="00581EAE">
      <w:pPr>
        <w:pStyle w:val="EndnoteText"/>
        <w:spacing w:line="480" w:lineRule="auto"/>
        <w:rPr>
          <w:sz w:val="24"/>
          <w:szCs w:val="24"/>
          <w:lang w:val="en-IE"/>
        </w:rPr>
      </w:pPr>
    </w:p>
  </w:endnote>
  <w:endnote w:id="2">
    <w:p w14:paraId="6F3CF04B" w14:textId="77777777" w:rsidR="00B52997" w:rsidRPr="00581EAE" w:rsidRDefault="00B52997" w:rsidP="00581EAE">
      <w:pPr>
        <w:pStyle w:val="Heading1"/>
        <w:numPr>
          <w:ilvl w:val="0"/>
          <w:numId w:val="0"/>
        </w:numPr>
        <w:rPr>
          <w:rFonts w:ascii="Times New Roman" w:hAnsi="Times New Roman" w:cs="Times New Roman"/>
          <w:sz w:val="24"/>
          <w:szCs w:val="24"/>
          <w:lang w:eastAsia="en-GB"/>
        </w:rPr>
      </w:pPr>
      <w:r w:rsidRPr="00581EAE">
        <w:rPr>
          <w:rStyle w:val="EndnoteReference"/>
          <w:rFonts w:ascii="Times New Roman" w:hAnsi="Times New Roman" w:cs="Times New Roman"/>
          <w:color w:val="000000" w:themeColor="text1"/>
          <w:sz w:val="24"/>
          <w:szCs w:val="24"/>
        </w:rPr>
        <w:endnoteRef/>
      </w:r>
      <w:r w:rsidRPr="00581EAE">
        <w:rPr>
          <w:rFonts w:ascii="Times New Roman" w:hAnsi="Times New Roman" w:cs="Times New Roman"/>
          <w:color w:val="000000" w:themeColor="text1"/>
          <w:sz w:val="24"/>
          <w:szCs w:val="24"/>
        </w:rPr>
        <w:t xml:space="preserve">Duane B, Hyland J, Rowan J, Archibald B. Taking a bite out of Scotland's dental carbon emissions in the transition to a low carbon future. </w:t>
      </w:r>
      <w:r w:rsidRPr="00581EAE">
        <w:rPr>
          <w:rFonts w:ascii="Times New Roman" w:eastAsia="Times New Roman" w:hAnsi="Times New Roman" w:cs="Times New Roman"/>
          <w:i/>
          <w:iCs/>
          <w:color w:val="000000" w:themeColor="text1"/>
          <w:spacing w:val="3"/>
          <w:sz w:val="24"/>
          <w:szCs w:val="24"/>
          <w:lang w:eastAsia="en-GB"/>
        </w:rPr>
        <w:t xml:space="preserve">Public Health </w:t>
      </w:r>
      <w:r w:rsidRPr="00581EAE">
        <w:rPr>
          <w:rFonts w:ascii="Times New Roman" w:eastAsia="Times New Roman" w:hAnsi="Times New Roman" w:cs="Times New Roman"/>
          <w:color w:val="000000" w:themeColor="text1"/>
          <w:spacing w:val="3"/>
          <w:sz w:val="24"/>
          <w:szCs w:val="24"/>
          <w:shd w:val="clear" w:color="auto" w:fill="FFFFFF"/>
          <w:lang w:eastAsia="en-GB"/>
        </w:rPr>
        <w:t xml:space="preserve">2012; </w:t>
      </w:r>
      <w:r w:rsidRPr="00581EAE">
        <w:rPr>
          <w:rFonts w:ascii="Times New Roman" w:eastAsia="Times New Roman" w:hAnsi="Times New Roman" w:cs="Times New Roman"/>
          <w:b/>
          <w:bCs/>
          <w:color w:val="000000" w:themeColor="text1"/>
          <w:spacing w:val="3"/>
          <w:sz w:val="24"/>
          <w:szCs w:val="24"/>
          <w:lang w:eastAsia="en-GB"/>
        </w:rPr>
        <w:t>126(9)</w:t>
      </w:r>
      <w:r w:rsidRPr="00581EAE">
        <w:rPr>
          <w:rFonts w:ascii="Times New Roman" w:eastAsia="Times New Roman" w:hAnsi="Times New Roman" w:cs="Times New Roman"/>
          <w:color w:val="000000" w:themeColor="text1"/>
          <w:spacing w:val="3"/>
          <w:sz w:val="24"/>
          <w:szCs w:val="24"/>
          <w:shd w:val="clear" w:color="auto" w:fill="FFFFFF"/>
          <w:lang w:eastAsia="en-GB"/>
        </w:rPr>
        <w:t>: 770-777.</w:t>
      </w:r>
    </w:p>
  </w:endnote>
  <w:endnote w:id="3">
    <w:p w14:paraId="0FDB54BA" w14:textId="77777777" w:rsidR="00B52997" w:rsidRPr="00581EAE" w:rsidRDefault="00B52997" w:rsidP="00581EAE">
      <w:pPr>
        <w:rPr>
          <w:sz w:val="24"/>
          <w:szCs w:val="24"/>
          <w:lang w:val="en-US"/>
        </w:rPr>
      </w:pPr>
      <w:r w:rsidRPr="00581EAE">
        <w:rPr>
          <w:rStyle w:val="EndnoteReference"/>
          <w:sz w:val="24"/>
          <w:szCs w:val="24"/>
        </w:rPr>
        <w:endnoteRef/>
      </w:r>
      <w:r w:rsidRPr="00581EAE">
        <w:rPr>
          <w:sz w:val="24"/>
          <w:szCs w:val="24"/>
        </w:rPr>
        <w:t>Duane B, Berners Lee M, White S, Stancliffe R, Steinbach I. An estimated carbon footprint of NHS primary dental care within England. How can dentistry be more environmentally sustainable?</w:t>
      </w:r>
      <w:r w:rsidRPr="00581EAE">
        <w:rPr>
          <w:sz w:val="24"/>
          <w:szCs w:val="24"/>
          <w:lang w:val="en-US"/>
        </w:rPr>
        <w:t xml:space="preserve"> </w:t>
      </w:r>
      <w:r w:rsidRPr="00581EAE">
        <w:rPr>
          <w:i/>
          <w:sz w:val="24"/>
          <w:szCs w:val="24"/>
          <w:lang w:val="en-US"/>
        </w:rPr>
        <w:t>British Dental Journal</w:t>
      </w:r>
      <w:r w:rsidRPr="00581EAE">
        <w:rPr>
          <w:sz w:val="24"/>
          <w:szCs w:val="24"/>
          <w:lang w:val="en-US"/>
        </w:rPr>
        <w:t xml:space="preserve"> 2017; </w:t>
      </w:r>
      <w:r w:rsidRPr="00581EAE">
        <w:rPr>
          <w:b/>
          <w:sz w:val="24"/>
          <w:szCs w:val="24"/>
          <w:lang w:val="en-US"/>
        </w:rPr>
        <w:t xml:space="preserve">223: </w:t>
      </w:r>
      <w:r w:rsidRPr="00581EAE">
        <w:rPr>
          <w:sz w:val="24"/>
          <w:szCs w:val="24"/>
          <w:lang w:val="en-US"/>
        </w:rPr>
        <w:t>589-593.</w:t>
      </w:r>
    </w:p>
    <w:p w14:paraId="6C4E1133" w14:textId="77777777" w:rsidR="00616A0F" w:rsidRPr="00581EAE" w:rsidRDefault="00616A0F" w:rsidP="00581EAE">
      <w:pPr>
        <w:rPr>
          <w:sz w:val="24"/>
          <w:szCs w:val="24"/>
        </w:rPr>
      </w:pPr>
    </w:p>
  </w:endnote>
  <w:endnote w:id="4">
    <w:p w14:paraId="09F6C31F" w14:textId="77777777" w:rsidR="00B52997" w:rsidRPr="00581EAE" w:rsidRDefault="00B52997" w:rsidP="00581EAE">
      <w:pPr>
        <w:rPr>
          <w:sz w:val="24"/>
          <w:szCs w:val="24"/>
          <w:shd w:val="clear" w:color="auto" w:fill="FFFFFF"/>
          <w:lang w:eastAsia="en-GB"/>
        </w:rPr>
      </w:pPr>
      <w:r w:rsidRPr="00581EAE">
        <w:rPr>
          <w:rStyle w:val="EndnoteReference"/>
          <w:sz w:val="24"/>
          <w:szCs w:val="24"/>
        </w:rPr>
        <w:endnoteRef/>
      </w:r>
      <w:r w:rsidRPr="00581EAE">
        <w:rPr>
          <w:sz w:val="24"/>
          <w:szCs w:val="24"/>
          <w:lang w:eastAsia="en-GB"/>
        </w:rPr>
        <w:t>Duane B</w:t>
      </w:r>
      <w:r w:rsidRPr="00581EAE">
        <w:rPr>
          <w:sz w:val="24"/>
          <w:szCs w:val="24"/>
          <w:shd w:val="clear" w:color="auto" w:fill="FFFFFF"/>
          <w:lang w:eastAsia="en-GB"/>
        </w:rPr>
        <w:t xml:space="preserve">, </w:t>
      </w:r>
      <w:r w:rsidRPr="00581EAE">
        <w:rPr>
          <w:sz w:val="24"/>
          <w:szCs w:val="24"/>
          <w:lang w:eastAsia="en-GB"/>
        </w:rPr>
        <w:t>Taylor T</w:t>
      </w:r>
      <w:r w:rsidRPr="00581EAE">
        <w:rPr>
          <w:sz w:val="24"/>
          <w:szCs w:val="24"/>
          <w:shd w:val="clear" w:color="auto" w:fill="FFFFFF"/>
          <w:lang w:eastAsia="en-GB"/>
        </w:rPr>
        <w:t xml:space="preserve">, </w:t>
      </w:r>
      <w:r w:rsidRPr="00581EAE">
        <w:rPr>
          <w:sz w:val="24"/>
          <w:szCs w:val="24"/>
          <w:lang w:eastAsia="en-GB"/>
        </w:rPr>
        <w:t>Stahl-Timmins W</w:t>
      </w:r>
      <w:r w:rsidRPr="00581EAE">
        <w:rPr>
          <w:sz w:val="24"/>
          <w:szCs w:val="24"/>
          <w:shd w:val="clear" w:color="auto" w:fill="FFFFFF"/>
          <w:lang w:eastAsia="en-GB"/>
        </w:rPr>
        <w:t xml:space="preserve">, </w:t>
      </w:r>
      <w:r w:rsidRPr="00581EAE">
        <w:rPr>
          <w:sz w:val="24"/>
          <w:szCs w:val="24"/>
          <w:lang w:eastAsia="en-GB"/>
        </w:rPr>
        <w:t>Hyland J</w:t>
      </w:r>
      <w:r w:rsidRPr="00581EAE">
        <w:rPr>
          <w:sz w:val="24"/>
          <w:szCs w:val="24"/>
          <w:shd w:val="clear" w:color="auto" w:fill="FFFFFF"/>
          <w:lang w:eastAsia="en-GB"/>
        </w:rPr>
        <w:t xml:space="preserve">, </w:t>
      </w:r>
      <w:r w:rsidRPr="00581EAE">
        <w:rPr>
          <w:sz w:val="24"/>
          <w:szCs w:val="24"/>
          <w:lang w:eastAsia="en-GB"/>
        </w:rPr>
        <w:t>Mackie P</w:t>
      </w:r>
      <w:r w:rsidRPr="00581EAE">
        <w:rPr>
          <w:sz w:val="24"/>
          <w:szCs w:val="24"/>
          <w:shd w:val="clear" w:color="auto" w:fill="FFFFFF"/>
          <w:lang w:eastAsia="en-GB"/>
        </w:rPr>
        <w:t xml:space="preserve">, </w:t>
      </w:r>
      <w:r w:rsidRPr="00581EAE">
        <w:rPr>
          <w:sz w:val="24"/>
          <w:szCs w:val="24"/>
          <w:lang w:eastAsia="en-GB"/>
        </w:rPr>
        <w:t>Pollard A</w:t>
      </w:r>
      <w:r w:rsidRPr="00581EAE">
        <w:rPr>
          <w:sz w:val="24"/>
          <w:szCs w:val="24"/>
          <w:shd w:val="clear" w:color="auto" w:fill="FFFFFF"/>
          <w:lang w:eastAsia="en-GB"/>
        </w:rPr>
        <w:t xml:space="preserve">. </w:t>
      </w:r>
      <w:r w:rsidRPr="00581EAE">
        <w:rPr>
          <w:sz w:val="24"/>
          <w:szCs w:val="24"/>
          <w:lang w:eastAsia="en-GB"/>
        </w:rPr>
        <w:t>Carbon mitigation, patient choice and cost reduction – triple bottom line optimisation for health care planning</w:t>
      </w:r>
      <w:r w:rsidRPr="00581EAE">
        <w:rPr>
          <w:sz w:val="24"/>
          <w:szCs w:val="24"/>
          <w:shd w:val="clear" w:color="auto" w:fill="FFFFFF"/>
          <w:lang w:eastAsia="en-GB"/>
        </w:rPr>
        <w:t xml:space="preserve">. </w:t>
      </w:r>
      <w:r w:rsidRPr="00581EAE">
        <w:rPr>
          <w:i/>
          <w:iCs/>
          <w:sz w:val="24"/>
          <w:szCs w:val="24"/>
          <w:lang w:eastAsia="en-GB"/>
        </w:rPr>
        <w:t xml:space="preserve">Public Health </w:t>
      </w:r>
      <w:r w:rsidRPr="00581EAE">
        <w:rPr>
          <w:sz w:val="24"/>
          <w:szCs w:val="24"/>
          <w:shd w:val="clear" w:color="auto" w:fill="FFFFFF"/>
          <w:lang w:eastAsia="en-GB"/>
        </w:rPr>
        <w:t>2014; </w:t>
      </w:r>
      <w:r w:rsidRPr="00581EAE">
        <w:rPr>
          <w:b/>
          <w:bCs/>
          <w:sz w:val="24"/>
          <w:szCs w:val="24"/>
          <w:lang w:eastAsia="en-GB"/>
        </w:rPr>
        <w:t>128</w:t>
      </w:r>
      <w:r w:rsidRPr="00581EAE">
        <w:rPr>
          <w:sz w:val="24"/>
          <w:szCs w:val="24"/>
          <w:shd w:val="clear" w:color="auto" w:fill="FFFFFF"/>
          <w:lang w:eastAsia="en-GB"/>
        </w:rPr>
        <w:t>: 920–924.</w:t>
      </w:r>
    </w:p>
    <w:p w14:paraId="5AA83DD3" w14:textId="77777777" w:rsidR="00616A0F" w:rsidRPr="00581EAE" w:rsidRDefault="00616A0F" w:rsidP="00581EAE">
      <w:pPr>
        <w:rPr>
          <w:sz w:val="24"/>
          <w:szCs w:val="24"/>
        </w:rPr>
      </w:pPr>
    </w:p>
  </w:endnote>
  <w:endnote w:id="5">
    <w:p w14:paraId="03589F06" w14:textId="77777777" w:rsidR="00B52997" w:rsidRPr="00581EAE" w:rsidRDefault="00B52997" w:rsidP="00581EAE">
      <w:pPr>
        <w:pStyle w:val="EndnoteText"/>
        <w:spacing w:line="480" w:lineRule="auto"/>
        <w:rPr>
          <w:sz w:val="24"/>
          <w:szCs w:val="24"/>
        </w:rPr>
      </w:pPr>
      <w:r w:rsidRPr="00581EAE">
        <w:rPr>
          <w:rStyle w:val="EndnoteReference"/>
          <w:sz w:val="24"/>
          <w:szCs w:val="24"/>
        </w:rPr>
        <w:endnoteRef/>
      </w:r>
      <w:r w:rsidRPr="00581EAE">
        <w:rPr>
          <w:sz w:val="24"/>
          <w:szCs w:val="24"/>
        </w:rPr>
        <w:t>Reference the first 4 papers in this series. Reference with help of editorial team.</w:t>
      </w:r>
    </w:p>
  </w:endnote>
  <w:endnote w:id="6">
    <w:p w14:paraId="79D954B6"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Millennium Ecosystem Assessment. Biodiversity. in: G Mace, H Masundire, J Baillie, (Eds.) Millennium ecosystem assessment: current state and trends: findings of the condition and trends working group ecosystems and human well-being. Island Press, Washington, DC; 2005.</w:t>
      </w:r>
    </w:p>
    <w:p w14:paraId="2193B86A" w14:textId="77777777" w:rsidR="00616A0F" w:rsidRPr="00581EAE" w:rsidRDefault="00616A0F" w:rsidP="00581EAE">
      <w:pPr>
        <w:rPr>
          <w:sz w:val="24"/>
          <w:szCs w:val="24"/>
        </w:rPr>
      </w:pPr>
    </w:p>
  </w:endnote>
  <w:endnote w:id="7">
    <w:p w14:paraId="3B167C5F" w14:textId="77777777" w:rsidR="00B52997" w:rsidRPr="00581EAE" w:rsidRDefault="00B52997" w:rsidP="00581EAE">
      <w:pPr>
        <w:pStyle w:val="Heading1"/>
        <w:numPr>
          <w:ilvl w:val="0"/>
          <w:numId w:val="0"/>
        </w:numPr>
        <w:rPr>
          <w:rFonts w:ascii="Times New Roman" w:hAnsi="Times New Roman" w:cs="Times New Roman"/>
          <w:sz w:val="24"/>
          <w:szCs w:val="24"/>
          <w:lang w:eastAsia="en-GB"/>
        </w:rPr>
      </w:pPr>
      <w:r w:rsidRPr="00581EAE">
        <w:rPr>
          <w:rStyle w:val="EndnoteReference"/>
          <w:rFonts w:ascii="Times New Roman" w:hAnsi="Times New Roman" w:cs="Times New Roman"/>
          <w:color w:val="000000" w:themeColor="text1"/>
          <w:sz w:val="24"/>
          <w:szCs w:val="24"/>
        </w:rPr>
        <w:endnoteRef/>
      </w:r>
      <w:r w:rsidRPr="00581EAE">
        <w:rPr>
          <w:rFonts w:ascii="Times New Roman" w:eastAsia="Times New Roman" w:hAnsi="Times New Roman" w:cs="Times New Roman"/>
          <w:color w:val="000000" w:themeColor="text1"/>
          <w:spacing w:val="3"/>
          <w:sz w:val="24"/>
          <w:szCs w:val="24"/>
          <w:lang w:eastAsia="en-GB"/>
        </w:rPr>
        <w:t xml:space="preserve">Ceballos G, Ehrlich P, Dirzo R. </w:t>
      </w:r>
      <w:r w:rsidRPr="00581EAE">
        <w:rPr>
          <w:rFonts w:ascii="Times New Roman" w:eastAsia="Times New Roman" w:hAnsi="Times New Roman" w:cs="Times New Roman"/>
          <w:color w:val="000000" w:themeColor="text1"/>
          <w:sz w:val="24"/>
          <w:szCs w:val="24"/>
          <w:lang w:eastAsia="en-GB"/>
        </w:rPr>
        <w:t xml:space="preserve">Biological annihilation via the ongoing sixth mass extinction signalled by vertebrate population losses and declines. </w:t>
      </w:r>
      <w:r w:rsidRPr="00581EAE">
        <w:rPr>
          <w:rFonts w:ascii="Times New Roman" w:eastAsia="Times New Roman" w:hAnsi="Times New Roman" w:cs="Times New Roman"/>
          <w:i/>
          <w:color w:val="000000" w:themeColor="text1"/>
          <w:sz w:val="24"/>
          <w:szCs w:val="24"/>
          <w:lang w:eastAsia="en-GB"/>
        </w:rPr>
        <w:t>PNAS</w:t>
      </w:r>
      <w:r w:rsidRPr="00581EAE">
        <w:rPr>
          <w:rFonts w:ascii="Times New Roman" w:eastAsia="Times New Roman" w:hAnsi="Times New Roman" w:cs="Times New Roman"/>
          <w:color w:val="000000" w:themeColor="text1"/>
          <w:sz w:val="24"/>
          <w:szCs w:val="24"/>
          <w:lang w:eastAsia="en-GB"/>
        </w:rPr>
        <w:t xml:space="preserve"> 2017; </w:t>
      </w:r>
      <w:r w:rsidRPr="00581EAE">
        <w:rPr>
          <w:rFonts w:ascii="Times New Roman" w:eastAsia="Times New Roman" w:hAnsi="Times New Roman" w:cs="Times New Roman"/>
          <w:b/>
          <w:color w:val="000000" w:themeColor="text1"/>
          <w:sz w:val="24"/>
          <w:szCs w:val="24"/>
          <w:lang w:eastAsia="en-GB"/>
        </w:rPr>
        <w:t>114:</w:t>
      </w:r>
      <w:r w:rsidRPr="00581EAE">
        <w:rPr>
          <w:rFonts w:ascii="Times New Roman" w:eastAsia="Times New Roman" w:hAnsi="Times New Roman" w:cs="Times New Roman"/>
          <w:color w:val="000000" w:themeColor="text1"/>
          <w:sz w:val="24"/>
          <w:szCs w:val="24"/>
          <w:lang w:eastAsia="en-GB"/>
        </w:rPr>
        <w:t xml:space="preserve"> 30.</w:t>
      </w:r>
    </w:p>
  </w:endnote>
  <w:endnote w:id="8">
    <w:p w14:paraId="68AE1563"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Royal Society for the Protection of Birds. State of Nature Report 2016. Online information available at </w:t>
      </w:r>
      <w:hyperlink r:id="rId2" w:history="1">
        <w:r w:rsidRPr="00581EAE">
          <w:rPr>
            <w:rStyle w:val="Hyperlink"/>
            <w:color w:val="000000" w:themeColor="text1"/>
            <w:sz w:val="24"/>
            <w:szCs w:val="24"/>
          </w:rPr>
          <w:t>https://www.rspb.org.uk/globalassets/downloads/documents/conservation-projects/state-of-nature/state-of-nature-uk-report-2016.pdf</w:t>
        </w:r>
      </w:hyperlink>
      <w:r w:rsidR="00616A0F" w:rsidRPr="00581EAE">
        <w:rPr>
          <w:rStyle w:val="Hyperlink"/>
          <w:color w:val="000000" w:themeColor="text1"/>
          <w:sz w:val="24"/>
          <w:szCs w:val="24"/>
        </w:rPr>
        <w:t xml:space="preserve"> </w:t>
      </w:r>
      <w:r w:rsidRPr="00581EAE">
        <w:rPr>
          <w:sz w:val="24"/>
          <w:szCs w:val="24"/>
        </w:rPr>
        <w:t>(accessed April 2018).</w:t>
      </w:r>
    </w:p>
    <w:p w14:paraId="79775EBD" w14:textId="77777777" w:rsidR="00616A0F" w:rsidRPr="00581EAE" w:rsidRDefault="00616A0F" w:rsidP="00581EAE">
      <w:pPr>
        <w:rPr>
          <w:sz w:val="24"/>
          <w:szCs w:val="24"/>
          <w:u w:val="single"/>
        </w:rPr>
      </w:pPr>
    </w:p>
  </w:endnote>
  <w:endnote w:id="9">
    <w:p w14:paraId="737A6873"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lang w:val="de-DE"/>
        </w:rPr>
        <w:t xml:space="preserve">Hallman C, Sorg M, Jongejans E, Siepel H, Hofland N et al. </w:t>
      </w:r>
      <w:r w:rsidRPr="00581EAE">
        <w:rPr>
          <w:sz w:val="24"/>
          <w:szCs w:val="24"/>
        </w:rPr>
        <w:t xml:space="preserve">More than 75 percent decline over 27 years in total flying insect biomass in protected areas. </w:t>
      </w:r>
      <w:r w:rsidRPr="00581EAE">
        <w:rPr>
          <w:i/>
          <w:sz w:val="24"/>
          <w:szCs w:val="24"/>
        </w:rPr>
        <w:t xml:space="preserve">PLoS One </w:t>
      </w:r>
      <w:r w:rsidRPr="00581EAE">
        <w:rPr>
          <w:sz w:val="24"/>
          <w:szCs w:val="24"/>
        </w:rPr>
        <w:t xml:space="preserve">2017; </w:t>
      </w:r>
      <w:r w:rsidRPr="00581EAE">
        <w:rPr>
          <w:b/>
          <w:sz w:val="24"/>
          <w:szCs w:val="24"/>
        </w:rPr>
        <w:t>12</w:t>
      </w:r>
      <w:r w:rsidRPr="00581EAE">
        <w:rPr>
          <w:sz w:val="24"/>
          <w:szCs w:val="24"/>
        </w:rPr>
        <w:t>(10): e0185809.</w:t>
      </w:r>
    </w:p>
    <w:p w14:paraId="3A060448" w14:textId="77777777" w:rsidR="00616A0F" w:rsidRPr="00581EAE" w:rsidRDefault="00616A0F" w:rsidP="00581EAE">
      <w:pPr>
        <w:rPr>
          <w:sz w:val="24"/>
          <w:szCs w:val="24"/>
        </w:rPr>
      </w:pPr>
    </w:p>
  </w:endnote>
  <w:endnote w:id="10">
    <w:p w14:paraId="13DF056B" w14:textId="43A653E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Biesmeijer J, Roberts S, Reemer M, Ohlemüller R, Edwards M, Peeters T, Schaffers A, Potts S, Kleukers R, Thomas C, Settele J, Kunin W. Parallel declines in pollinators and insect- pollinated plants in Britain and the Netherlands. </w:t>
      </w:r>
      <w:r w:rsidRPr="00581EAE">
        <w:rPr>
          <w:i/>
          <w:sz w:val="24"/>
          <w:szCs w:val="24"/>
        </w:rPr>
        <w:t>Science</w:t>
      </w:r>
      <w:r w:rsidRPr="00581EAE">
        <w:rPr>
          <w:sz w:val="24"/>
          <w:szCs w:val="24"/>
        </w:rPr>
        <w:t xml:space="preserve"> 2006; </w:t>
      </w:r>
      <w:r w:rsidRPr="00581EAE">
        <w:rPr>
          <w:b/>
          <w:sz w:val="24"/>
          <w:szCs w:val="24"/>
        </w:rPr>
        <w:t>313</w:t>
      </w:r>
      <w:r w:rsidRPr="00581EAE">
        <w:rPr>
          <w:sz w:val="24"/>
          <w:szCs w:val="24"/>
        </w:rPr>
        <w:t>:351–354.</w:t>
      </w:r>
    </w:p>
    <w:p w14:paraId="5EED8DE6" w14:textId="77777777" w:rsidR="00581EAE" w:rsidRPr="00581EAE" w:rsidRDefault="00581EAE" w:rsidP="00581EAE">
      <w:pPr>
        <w:rPr>
          <w:sz w:val="24"/>
          <w:szCs w:val="24"/>
        </w:rPr>
      </w:pPr>
    </w:p>
  </w:endnote>
  <w:endnote w:id="11">
    <w:p w14:paraId="6DDF8361"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Hallmann C, Foppen R, van Turnhout C, de Kroon H, Jongejans E. Declines in insectivorous birds are associated with high neonicotinoid concentrations. </w:t>
      </w:r>
      <w:r w:rsidRPr="00581EAE">
        <w:rPr>
          <w:i/>
          <w:sz w:val="24"/>
          <w:szCs w:val="24"/>
        </w:rPr>
        <w:t xml:space="preserve">Nature </w:t>
      </w:r>
      <w:r w:rsidRPr="00581EAE">
        <w:rPr>
          <w:sz w:val="24"/>
          <w:szCs w:val="24"/>
        </w:rPr>
        <w:t xml:space="preserve">2014; </w:t>
      </w:r>
      <w:r w:rsidRPr="00581EAE">
        <w:rPr>
          <w:b/>
          <w:sz w:val="24"/>
          <w:szCs w:val="24"/>
        </w:rPr>
        <w:t>511</w:t>
      </w:r>
      <w:r w:rsidRPr="00581EAE">
        <w:rPr>
          <w:sz w:val="24"/>
          <w:szCs w:val="24"/>
        </w:rPr>
        <w:t>:341-343.</w:t>
      </w:r>
    </w:p>
    <w:p w14:paraId="32C01235" w14:textId="77777777" w:rsidR="00616A0F" w:rsidRPr="00581EAE" w:rsidRDefault="00616A0F" w:rsidP="00581EAE">
      <w:pPr>
        <w:rPr>
          <w:sz w:val="24"/>
          <w:szCs w:val="24"/>
        </w:rPr>
      </w:pPr>
    </w:p>
  </w:endnote>
  <w:endnote w:id="12">
    <w:p w14:paraId="0D87395F"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British Hedgehog Preservation Society. Wilson E, Wembridge. The State of Britain’s Hedgehogs 2018. Online information available at </w:t>
      </w:r>
      <w:hyperlink r:id="rId3" w:history="1">
        <w:r w:rsidRPr="00581EAE">
          <w:rPr>
            <w:rStyle w:val="Hyperlink"/>
            <w:color w:val="000000" w:themeColor="text1"/>
            <w:sz w:val="24"/>
            <w:szCs w:val="24"/>
          </w:rPr>
          <w:t>https://www.theguardian.com/environment/2018/feb/07/hedgehog-numbers-plummet-by-half-in-uk-countryside-since-2000</w:t>
        </w:r>
      </w:hyperlink>
      <w:r w:rsidRPr="00581EAE">
        <w:rPr>
          <w:rStyle w:val="Hyperlink"/>
          <w:color w:val="000000" w:themeColor="text1"/>
          <w:sz w:val="24"/>
          <w:szCs w:val="24"/>
        </w:rPr>
        <w:t xml:space="preserve"> </w:t>
      </w:r>
      <w:r w:rsidRPr="00581EAE">
        <w:rPr>
          <w:sz w:val="24"/>
          <w:szCs w:val="24"/>
        </w:rPr>
        <w:t>(accessed April 2018).</w:t>
      </w:r>
    </w:p>
    <w:p w14:paraId="17B0BB3E" w14:textId="77777777" w:rsidR="00616A0F" w:rsidRPr="00581EAE" w:rsidRDefault="00616A0F" w:rsidP="00581EAE">
      <w:pPr>
        <w:rPr>
          <w:sz w:val="24"/>
          <w:szCs w:val="24"/>
        </w:rPr>
      </w:pPr>
    </w:p>
  </w:endnote>
  <w:endnote w:id="13">
    <w:p w14:paraId="720C092B"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Garibaldi L, Carvalheiro L, Leonhardt S, Aizen M, Blaauw B, Isaacs R, Kuhlmann M, Kleijn D, Klein A, Kremen C, Morandin L, Scheper J, Winfree R. From research to action: enhancing crop yield through wild pollinators. </w:t>
      </w:r>
      <w:r w:rsidRPr="00581EAE">
        <w:rPr>
          <w:i/>
          <w:sz w:val="24"/>
          <w:szCs w:val="24"/>
        </w:rPr>
        <w:t xml:space="preserve">Frontiers in Ecology and the Environment </w:t>
      </w:r>
      <w:r w:rsidRPr="00581EAE">
        <w:rPr>
          <w:sz w:val="24"/>
          <w:szCs w:val="24"/>
        </w:rPr>
        <w:t xml:space="preserve">2014; </w:t>
      </w:r>
      <w:r w:rsidRPr="00581EAE">
        <w:rPr>
          <w:b/>
          <w:sz w:val="24"/>
          <w:szCs w:val="24"/>
        </w:rPr>
        <w:t>12</w:t>
      </w:r>
      <w:r w:rsidRPr="00581EAE">
        <w:rPr>
          <w:sz w:val="24"/>
          <w:szCs w:val="24"/>
        </w:rPr>
        <w:t>: 439-447.</w:t>
      </w:r>
    </w:p>
    <w:p w14:paraId="52C8BA0B" w14:textId="77777777" w:rsidR="00616A0F" w:rsidRPr="00581EAE" w:rsidRDefault="00616A0F" w:rsidP="00581EAE">
      <w:pPr>
        <w:rPr>
          <w:sz w:val="24"/>
          <w:szCs w:val="24"/>
        </w:rPr>
      </w:pPr>
    </w:p>
  </w:endnote>
  <w:endnote w:id="14">
    <w:p w14:paraId="799628E9" w14:textId="5A69873F" w:rsidR="00B52997" w:rsidRPr="00581EAE" w:rsidRDefault="00B52997" w:rsidP="00581EAE">
      <w:pPr>
        <w:pStyle w:val="EndnoteText"/>
        <w:spacing w:line="480" w:lineRule="auto"/>
        <w:rPr>
          <w:sz w:val="24"/>
          <w:szCs w:val="24"/>
        </w:rPr>
      </w:pPr>
      <w:r w:rsidRPr="00581EAE">
        <w:rPr>
          <w:rStyle w:val="EndnoteReference"/>
          <w:sz w:val="24"/>
          <w:szCs w:val="24"/>
        </w:rPr>
        <w:endnoteRef/>
      </w:r>
      <w:r w:rsidRPr="00581EAE">
        <w:rPr>
          <w:sz w:val="24"/>
          <w:szCs w:val="24"/>
        </w:rPr>
        <w:t xml:space="preserve">Fiedler A, Landis D &amp; Wratten S. Maximizing ecosystem services from conservation biological control: The role of habitat management. Biological control 2008; </w:t>
      </w:r>
      <w:r w:rsidRPr="00581EAE">
        <w:rPr>
          <w:b/>
          <w:sz w:val="24"/>
          <w:szCs w:val="24"/>
        </w:rPr>
        <w:t>45</w:t>
      </w:r>
      <w:r w:rsidRPr="00581EAE">
        <w:rPr>
          <w:sz w:val="24"/>
          <w:szCs w:val="24"/>
        </w:rPr>
        <w:t>:254-271</w:t>
      </w:r>
    </w:p>
    <w:p w14:paraId="1D765BCC" w14:textId="77777777" w:rsidR="00581EAE" w:rsidRPr="00581EAE" w:rsidRDefault="00581EAE" w:rsidP="00581EAE">
      <w:pPr>
        <w:pStyle w:val="EndnoteText"/>
        <w:spacing w:line="480" w:lineRule="auto"/>
        <w:rPr>
          <w:sz w:val="24"/>
          <w:szCs w:val="24"/>
        </w:rPr>
      </w:pPr>
    </w:p>
  </w:endnote>
  <w:endnote w:id="15">
    <w:p w14:paraId="10AC6896" w14:textId="77777777" w:rsidR="00B52997" w:rsidRPr="00581EAE" w:rsidRDefault="00B52997" w:rsidP="00581EAE">
      <w:pPr>
        <w:pStyle w:val="EndnoteText"/>
        <w:spacing w:line="480" w:lineRule="auto"/>
        <w:rPr>
          <w:sz w:val="24"/>
          <w:szCs w:val="24"/>
        </w:rPr>
      </w:pPr>
      <w:r w:rsidRPr="00581EAE">
        <w:rPr>
          <w:rStyle w:val="EndnoteReference"/>
          <w:sz w:val="24"/>
          <w:szCs w:val="24"/>
        </w:rPr>
        <w:endnoteRef/>
      </w:r>
      <w:r w:rsidRPr="00581EAE">
        <w:rPr>
          <w:sz w:val="24"/>
          <w:szCs w:val="24"/>
        </w:rPr>
        <w:t>Poveda K, Steffan</w:t>
      </w:r>
      <w:r w:rsidRPr="00581EAE">
        <w:rPr>
          <w:rFonts w:ascii="Cambria Math" w:hAnsi="Cambria Math" w:cs="Cambria Math"/>
          <w:sz w:val="24"/>
          <w:szCs w:val="24"/>
        </w:rPr>
        <w:t>‐</w:t>
      </w:r>
      <w:r w:rsidRPr="00581EAE">
        <w:rPr>
          <w:sz w:val="24"/>
          <w:szCs w:val="24"/>
        </w:rPr>
        <w:t>Dewenter I, Scheu S &amp; Tscharntke T. Effects of decomposers and herbivores on plant performance and aboveground plant</w:t>
      </w:r>
      <w:r w:rsidRPr="00581EAE">
        <w:rPr>
          <w:rFonts w:ascii="Cambria Math" w:hAnsi="Cambria Math" w:cs="Cambria Math"/>
          <w:sz w:val="24"/>
          <w:szCs w:val="24"/>
        </w:rPr>
        <w:t>‐</w:t>
      </w:r>
      <w:r w:rsidRPr="00581EAE">
        <w:rPr>
          <w:sz w:val="24"/>
          <w:szCs w:val="24"/>
        </w:rPr>
        <w:t xml:space="preserve">insect interactions. Oikos 2005; </w:t>
      </w:r>
      <w:r w:rsidRPr="00581EAE">
        <w:rPr>
          <w:b/>
          <w:sz w:val="24"/>
          <w:szCs w:val="24"/>
        </w:rPr>
        <w:t>108</w:t>
      </w:r>
      <w:r w:rsidRPr="00581EAE">
        <w:rPr>
          <w:sz w:val="24"/>
          <w:szCs w:val="24"/>
        </w:rPr>
        <w:t>:503-510.</w:t>
      </w:r>
    </w:p>
    <w:p w14:paraId="4134F25F" w14:textId="77777777" w:rsidR="00616A0F" w:rsidRPr="00581EAE" w:rsidRDefault="00616A0F" w:rsidP="00581EAE">
      <w:pPr>
        <w:pStyle w:val="EndnoteText"/>
        <w:spacing w:line="480" w:lineRule="auto"/>
        <w:rPr>
          <w:sz w:val="24"/>
          <w:szCs w:val="24"/>
        </w:rPr>
      </w:pPr>
    </w:p>
  </w:endnote>
  <w:endnote w:id="16">
    <w:p w14:paraId="274302FA" w14:textId="77777777" w:rsidR="00392237" w:rsidRPr="00581EAE" w:rsidRDefault="00392237" w:rsidP="00581EAE">
      <w:pPr>
        <w:pStyle w:val="EndnoteText"/>
        <w:spacing w:line="480" w:lineRule="auto"/>
        <w:rPr>
          <w:sz w:val="24"/>
          <w:szCs w:val="24"/>
        </w:rPr>
      </w:pPr>
      <w:r w:rsidRPr="00581EAE">
        <w:rPr>
          <w:rStyle w:val="EndnoteReference"/>
          <w:sz w:val="24"/>
          <w:szCs w:val="24"/>
        </w:rPr>
        <w:endnoteRef/>
      </w:r>
      <w:r w:rsidRPr="00581EAE">
        <w:rPr>
          <w:sz w:val="24"/>
          <w:szCs w:val="24"/>
        </w:rPr>
        <w:t xml:space="preserve"> Centre for Sustainable Healthcare. NHS Forest. Online information available at; </w:t>
      </w:r>
      <w:hyperlink r:id="rId4" w:history="1">
        <w:r w:rsidRPr="00581EAE">
          <w:rPr>
            <w:sz w:val="24"/>
            <w:szCs w:val="24"/>
          </w:rPr>
          <w:t>www.nhsforest.org</w:t>
        </w:r>
      </w:hyperlink>
      <w:r w:rsidRPr="00581EAE">
        <w:rPr>
          <w:sz w:val="24"/>
          <w:szCs w:val="24"/>
        </w:rPr>
        <w:t xml:space="preserve"> (accessed October 2018)</w:t>
      </w:r>
    </w:p>
    <w:p w14:paraId="50D5E9D7" w14:textId="77777777" w:rsidR="00392237" w:rsidRPr="00581EAE" w:rsidRDefault="00392237" w:rsidP="00581EAE">
      <w:pPr>
        <w:pStyle w:val="EndnoteText"/>
        <w:spacing w:line="480" w:lineRule="auto"/>
        <w:rPr>
          <w:sz w:val="24"/>
          <w:szCs w:val="24"/>
          <w:lang w:val="en-US"/>
        </w:rPr>
      </w:pPr>
    </w:p>
    <w:p w14:paraId="3978BFB6" w14:textId="77777777" w:rsidR="00392237" w:rsidRPr="00581EAE" w:rsidRDefault="00392237" w:rsidP="00581EAE">
      <w:pPr>
        <w:pStyle w:val="EndnoteText"/>
        <w:spacing w:line="480" w:lineRule="auto"/>
        <w:rPr>
          <w:sz w:val="24"/>
          <w:szCs w:val="24"/>
          <w:lang w:val="en-US"/>
        </w:rPr>
      </w:pPr>
    </w:p>
  </w:endnote>
  <w:endnote w:id="17">
    <w:p w14:paraId="685F8474" w14:textId="77777777" w:rsidR="00986A01" w:rsidRPr="00581EAE" w:rsidRDefault="00E85E57" w:rsidP="00581EAE">
      <w:pPr>
        <w:shd w:val="clear" w:color="auto" w:fill="FFFFFF"/>
        <w:spacing w:after="0"/>
        <w:rPr>
          <w:rFonts w:eastAsia="Times New Roman"/>
          <w:color w:val="222222"/>
          <w:sz w:val="24"/>
          <w:szCs w:val="24"/>
          <w:lang w:val="en-IE"/>
        </w:rPr>
      </w:pPr>
      <w:r w:rsidRPr="00581EAE">
        <w:rPr>
          <w:rStyle w:val="EndnoteReference"/>
          <w:sz w:val="24"/>
          <w:szCs w:val="24"/>
        </w:rPr>
        <w:endnoteRef/>
      </w:r>
      <w:r w:rsidRPr="00581EAE">
        <w:rPr>
          <w:sz w:val="24"/>
          <w:szCs w:val="24"/>
        </w:rPr>
        <w:t xml:space="preserve"> </w:t>
      </w:r>
      <w:r w:rsidR="00986A01" w:rsidRPr="00581EAE">
        <w:rPr>
          <w:rFonts w:eastAsia="Times New Roman"/>
          <w:color w:val="222222"/>
          <w:sz w:val="24"/>
          <w:szCs w:val="24"/>
          <w:lang w:val="en-IE"/>
        </w:rPr>
        <w:t>Markevych I, Schoierer J, Hartig T, Chudnovsky A, Hystad P, Dzhambov A, de Vries S, Triguero-Mas M, Brauer M, Nieuwenhuijsen M, Lupp G,  Richardson E, Astell-Burt T, Dimitrova D, Feng X, Sadeh M, Standl M, Heinrich J, Fuertes E.    </w:t>
      </w:r>
    </w:p>
    <w:p w14:paraId="33694017" w14:textId="77777777" w:rsidR="00E85E57" w:rsidRPr="00581EAE" w:rsidRDefault="00986A01" w:rsidP="00581EAE">
      <w:pPr>
        <w:shd w:val="clear" w:color="auto" w:fill="FFFFFF"/>
        <w:spacing w:after="0"/>
        <w:rPr>
          <w:rFonts w:eastAsia="Times New Roman"/>
          <w:color w:val="222222"/>
          <w:sz w:val="24"/>
          <w:szCs w:val="24"/>
          <w:lang w:val="en-IE"/>
        </w:rPr>
      </w:pPr>
      <w:r w:rsidRPr="00581EAE">
        <w:rPr>
          <w:rFonts w:eastAsia="Times New Roman"/>
          <w:color w:val="222222"/>
          <w:sz w:val="24"/>
          <w:szCs w:val="24"/>
          <w:lang w:val="en-IE"/>
        </w:rPr>
        <w:t xml:space="preserve">Environmental Research 2017; 158 (301-317). </w:t>
      </w:r>
      <w:r w:rsidR="00E85E57" w:rsidRPr="00581EAE">
        <w:rPr>
          <w:rFonts w:eastAsia="Times New Roman"/>
          <w:color w:val="222222"/>
          <w:sz w:val="24"/>
          <w:szCs w:val="24"/>
          <w:lang w:val="en-IE"/>
        </w:rPr>
        <w:t>Exploring pathways linking greenspace to health: Theoretical and methodological</w:t>
      </w:r>
      <w:r w:rsidRPr="00581EAE">
        <w:rPr>
          <w:rFonts w:eastAsia="Times New Roman"/>
          <w:color w:val="222222"/>
          <w:sz w:val="24"/>
          <w:szCs w:val="24"/>
          <w:lang w:val="en-IE"/>
        </w:rPr>
        <w:t xml:space="preserve"> </w:t>
      </w:r>
      <w:r w:rsidR="00E85E57" w:rsidRPr="00581EAE">
        <w:rPr>
          <w:rFonts w:eastAsia="Times New Roman"/>
          <w:color w:val="222222"/>
          <w:sz w:val="24"/>
          <w:szCs w:val="24"/>
          <w:lang w:val="en-IE"/>
        </w:rPr>
        <w:t>guidance</w:t>
      </w:r>
    </w:p>
    <w:p w14:paraId="67CC860C" w14:textId="77777777" w:rsidR="00E85E57" w:rsidRPr="00581EAE" w:rsidRDefault="00E85E57" w:rsidP="00581EAE">
      <w:pPr>
        <w:shd w:val="clear" w:color="auto" w:fill="FFFFFF"/>
        <w:spacing w:after="0"/>
        <w:rPr>
          <w:rFonts w:eastAsia="Times New Roman"/>
          <w:color w:val="222222"/>
          <w:sz w:val="24"/>
          <w:szCs w:val="24"/>
          <w:lang w:val="en-IE"/>
        </w:rPr>
      </w:pPr>
      <w:r w:rsidRPr="00581EAE">
        <w:rPr>
          <w:rFonts w:eastAsia="Times New Roman"/>
          <w:color w:val="222222"/>
          <w:sz w:val="24"/>
          <w:szCs w:val="24"/>
          <w:lang w:val="en-IE"/>
        </w:rPr>
        <w:t> </w:t>
      </w:r>
    </w:p>
    <w:p w14:paraId="2C3F7671" w14:textId="77777777" w:rsidR="00E85E57" w:rsidRPr="00581EAE" w:rsidRDefault="00E85E57" w:rsidP="00581EAE">
      <w:pPr>
        <w:pStyle w:val="EndnoteText"/>
        <w:spacing w:line="480" w:lineRule="auto"/>
        <w:rPr>
          <w:sz w:val="24"/>
          <w:szCs w:val="24"/>
          <w:lang w:val="en-US"/>
        </w:rPr>
      </w:pPr>
    </w:p>
  </w:endnote>
  <w:endnote w:id="18">
    <w:p w14:paraId="19AF9F1A" w14:textId="77777777" w:rsidR="00B52997" w:rsidRPr="00581EAE" w:rsidRDefault="00B52997" w:rsidP="00581EAE">
      <w:pPr>
        <w:rPr>
          <w:rStyle w:val="Hyperlink"/>
          <w:sz w:val="24"/>
          <w:szCs w:val="24"/>
        </w:rPr>
      </w:pPr>
      <w:r w:rsidRPr="00581EAE">
        <w:rPr>
          <w:rStyle w:val="EndnoteReference"/>
          <w:sz w:val="24"/>
          <w:szCs w:val="24"/>
        </w:rPr>
        <w:endnoteRef/>
      </w:r>
      <w:r w:rsidRPr="00581EAE">
        <w:rPr>
          <w:sz w:val="24"/>
          <w:szCs w:val="24"/>
        </w:rPr>
        <w:t xml:space="preserve">The Statistics Portal. Number of dental practitioners in the United Kingdom (UK) 2010-2017. Annual number of dental practitioners in the United Kingdom (UK) from 2010 to 2017 (in 1,000). Online information available at </w:t>
      </w:r>
      <w:hyperlink r:id="rId5" w:history="1">
        <w:r w:rsidRPr="00581EAE">
          <w:rPr>
            <w:rStyle w:val="Hyperlink"/>
            <w:sz w:val="24"/>
            <w:szCs w:val="24"/>
          </w:rPr>
          <w:t>https://www.statista.com/statistics/318885/numbers-of-dental-practitioners-in-the-uk/</w:t>
        </w:r>
      </w:hyperlink>
    </w:p>
    <w:p w14:paraId="017757F4" w14:textId="77777777" w:rsidR="00616A0F" w:rsidRPr="00581EAE" w:rsidRDefault="00616A0F" w:rsidP="00581EAE">
      <w:pPr>
        <w:rPr>
          <w:sz w:val="24"/>
          <w:szCs w:val="24"/>
        </w:rPr>
      </w:pPr>
    </w:p>
  </w:endnote>
  <w:endnote w:id="19">
    <w:p w14:paraId="5A75E542"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Angold P, Sadler J, Hill M, Pullin A, Rushton S, Austin K et al. Biodiversity in urban habitat patches. </w:t>
      </w:r>
      <w:r w:rsidRPr="00581EAE">
        <w:rPr>
          <w:i/>
          <w:sz w:val="24"/>
          <w:szCs w:val="24"/>
        </w:rPr>
        <w:t>Sci Total Environ.</w:t>
      </w:r>
      <w:r w:rsidRPr="00581EAE">
        <w:rPr>
          <w:sz w:val="24"/>
          <w:szCs w:val="24"/>
        </w:rPr>
        <w:t xml:space="preserve"> 2006; </w:t>
      </w:r>
      <w:r w:rsidRPr="00581EAE">
        <w:rPr>
          <w:b/>
          <w:sz w:val="24"/>
          <w:szCs w:val="24"/>
        </w:rPr>
        <w:t>360</w:t>
      </w:r>
      <w:r w:rsidRPr="00581EAE">
        <w:rPr>
          <w:sz w:val="24"/>
          <w:szCs w:val="24"/>
        </w:rPr>
        <w:t>(1-2):196-204.</w:t>
      </w:r>
    </w:p>
    <w:p w14:paraId="77E908F7" w14:textId="77777777" w:rsidR="00616A0F" w:rsidRPr="00581EAE" w:rsidRDefault="00616A0F" w:rsidP="00581EAE">
      <w:pPr>
        <w:rPr>
          <w:sz w:val="24"/>
          <w:szCs w:val="24"/>
        </w:rPr>
      </w:pPr>
    </w:p>
  </w:endnote>
  <w:endnote w:id="20">
    <w:p w14:paraId="4209D7ED"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Samuelson A, Gill R, Brown M, Leadbeater E. Lower bumblebee colony reproductive success in agriculture compared with urban environments. </w:t>
      </w:r>
      <w:r w:rsidRPr="00581EAE">
        <w:rPr>
          <w:i/>
          <w:sz w:val="24"/>
          <w:szCs w:val="24"/>
        </w:rPr>
        <w:t>Proceedings of the Royal Society B</w:t>
      </w:r>
      <w:r w:rsidRPr="00581EAE">
        <w:rPr>
          <w:sz w:val="24"/>
          <w:szCs w:val="24"/>
        </w:rPr>
        <w:t xml:space="preserve"> 2018; </w:t>
      </w:r>
      <w:r w:rsidRPr="00581EAE">
        <w:rPr>
          <w:b/>
          <w:sz w:val="24"/>
          <w:szCs w:val="24"/>
        </w:rPr>
        <w:t>285</w:t>
      </w:r>
      <w:r w:rsidRPr="00581EAE">
        <w:rPr>
          <w:sz w:val="24"/>
          <w:szCs w:val="24"/>
        </w:rPr>
        <w:t>: 20180807.</w:t>
      </w:r>
    </w:p>
    <w:p w14:paraId="0EAD8408" w14:textId="77777777" w:rsidR="00616A0F" w:rsidRPr="00581EAE" w:rsidRDefault="00616A0F" w:rsidP="00581EAE">
      <w:pPr>
        <w:rPr>
          <w:sz w:val="24"/>
          <w:szCs w:val="24"/>
        </w:rPr>
      </w:pPr>
    </w:p>
  </w:endnote>
  <w:endnote w:id="21">
    <w:p w14:paraId="31AECDB8"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Urban Environment Project. Making space for biodiversity in urban areas. Online information available at </w:t>
      </w:r>
      <w:hyperlink r:id="rId6" w:history="1">
        <w:r w:rsidRPr="00581EAE">
          <w:rPr>
            <w:rStyle w:val="Hyperlink"/>
            <w:color w:val="000000" w:themeColor="text1"/>
            <w:sz w:val="24"/>
            <w:szCs w:val="24"/>
          </w:rPr>
          <w:t>http://www.uep.ie/pdfs/guidelines_CH2.pdf</w:t>
        </w:r>
      </w:hyperlink>
      <w:r w:rsidRPr="00581EAE">
        <w:rPr>
          <w:sz w:val="24"/>
          <w:szCs w:val="24"/>
        </w:rPr>
        <w:t>. (accessed April 2018).</w:t>
      </w:r>
    </w:p>
    <w:p w14:paraId="1A16E922" w14:textId="77777777" w:rsidR="00616A0F" w:rsidRPr="00581EAE" w:rsidRDefault="00616A0F" w:rsidP="00581EAE">
      <w:pPr>
        <w:rPr>
          <w:sz w:val="24"/>
          <w:szCs w:val="24"/>
        </w:rPr>
      </w:pPr>
    </w:p>
  </w:endnote>
  <w:endnote w:id="22">
    <w:p w14:paraId="7BFA764B"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Jones E, Leather S. Invertebrates in urban areas: A review. </w:t>
      </w:r>
      <w:r w:rsidRPr="00581EAE">
        <w:rPr>
          <w:i/>
          <w:sz w:val="24"/>
          <w:szCs w:val="24"/>
        </w:rPr>
        <w:t>Eur J Entomol</w:t>
      </w:r>
      <w:r w:rsidRPr="00581EAE">
        <w:rPr>
          <w:sz w:val="24"/>
          <w:szCs w:val="24"/>
        </w:rPr>
        <w:t xml:space="preserve">. 2012; </w:t>
      </w:r>
      <w:r w:rsidRPr="00581EAE">
        <w:rPr>
          <w:b/>
          <w:sz w:val="24"/>
          <w:szCs w:val="24"/>
        </w:rPr>
        <w:t>109</w:t>
      </w:r>
      <w:r w:rsidRPr="00581EAE">
        <w:rPr>
          <w:sz w:val="24"/>
          <w:szCs w:val="24"/>
        </w:rPr>
        <w:t>: 463–478.</w:t>
      </w:r>
    </w:p>
    <w:p w14:paraId="52991D3F" w14:textId="77777777" w:rsidR="00616A0F" w:rsidRPr="00581EAE" w:rsidRDefault="00616A0F" w:rsidP="00581EAE">
      <w:pPr>
        <w:rPr>
          <w:sz w:val="24"/>
          <w:szCs w:val="24"/>
        </w:rPr>
      </w:pPr>
    </w:p>
  </w:endnote>
  <w:endnote w:id="23">
    <w:p w14:paraId="49B8CE6A" w14:textId="5115AF0E"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Olive A, Minichiello A. Wild things in urban places: America’s largest cities and multi-scales of governance for endangered species conservation. Appl Geogr. 2013; </w:t>
      </w:r>
      <w:r w:rsidRPr="00581EAE">
        <w:rPr>
          <w:b/>
          <w:sz w:val="24"/>
          <w:szCs w:val="24"/>
        </w:rPr>
        <w:t>43</w:t>
      </w:r>
      <w:r w:rsidRPr="00581EAE">
        <w:rPr>
          <w:sz w:val="24"/>
          <w:szCs w:val="24"/>
        </w:rPr>
        <w:t>: 56–66.</w:t>
      </w:r>
    </w:p>
    <w:p w14:paraId="47E998A8" w14:textId="77777777" w:rsidR="00581EAE" w:rsidRPr="00581EAE" w:rsidRDefault="00581EAE" w:rsidP="00581EAE">
      <w:pPr>
        <w:rPr>
          <w:sz w:val="24"/>
          <w:szCs w:val="24"/>
        </w:rPr>
      </w:pPr>
    </w:p>
  </w:endnote>
  <w:endnote w:id="24">
    <w:p w14:paraId="51D38B9A" w14:textId="77777777" w:rsidR="00B52997" w:rsidRPr="00581EAE" w:rsidRDefault="00B52997" w:rsidP="00581EAE">
      <w:pPr>
        <w:pStyle w:val="NormalWeb"/>
        <w:spacing w:line="480" w:lineRule="auto"/>
      </w:pPr>
      <w:r w:rsidRPr="00581EAE">
        <w:rPr>
          <w:rStyle w:val="EndnoteReference"/>
        </w:rPr>
        <w:endnoteRef/>
      </w:r>
      <w:r w:rsidRPr="00581EAE">
        <w:t xml:space="preserve">Girling C &amp; Kellett R. Skinny Streets and Green Neighbourhoods Design for Environment and Community, </w:t>
      </w:r>
      <w:r w:rsidRPr="00581EAE">
        <w:rPr>
          <w:i/>
        </w:rPr>
        <w:t>Island Press</w:t>
      </w:r>
      <w:r w:rsidRPr="00581EAE">
        <w:t xml:space="preserve"> 2005.</w:t>
      </w:r>
    </w:p>
    <w:p w14:paraId="3B9F7DA5" w14:textId="77777777" w:rsidR="00616A0F" w:rsidRPr="00581EAE" w:rsidRDefault="00616A0F" w:rsidP="00581EAE">
      <w:pPr>
        <w:pStyle w:val="NormalWeb"/>
        <w:spacing w:line="480" w:lineRule="auto"/>
      </w:pPr>
    </w:p>
  </w:endnote>
  <w:endnote w:id="25">
    <w:p w14:paraId="70A3EF97"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Goddard M, Dougill B. Scaling up from gardens: biodiversity conservation in urban environments </w:t>
      </w:r>
      <w:r w:rsidRPr="00581EAE">
        <w:rPr>
          <w:i/>
          <w:sz w:val="24"/>
          <w:szCs w:val="24"/>
        </w:rPr>
        <w:t>Trends in Ecology &amp; Evolution</w:t>
      </w:r>
      <w:r w:rsidRPr="00581EAE">
        <w:rPr>
          <w:sz w:val="24"/>
          <w:szCs w:val="24"/>
        </w:rPr>
        <w:t xml:space="preserve"> 2010; </w:t>
      </w:r>
      <w:r w:rsidRPr="00581EAE">
        <w:rPr>
          <w:b/>
          <w:sz w:val="24"/>
          <w:szCs w:val="24"/>
        </w:rPr>
        <w:t>25(2):</w:t>
      </w:r>
      <w:r w:rsidRPr="00581EAE">
        <w:rPr>
          <w:sz w:val="24"/>
          <w:szCs w:val="24"/>
        </w:rPr>
        <w:t xml:space="preserve"> 90-98.</w:t>
      </w:r>
    </w:p>
    <w:p w14:paraId="5C2B6D17" w14:textId="77777777" w:rsidR="00616A0F" w:rsidRPr="00581EAE" w:rsidRDefault="00616A0F" w:rsidP="00581EAE">
      <w:pPr>
        <w:rPr>
          <w:sz w:val="24"/>
          <w:szCs w:val="24"/>
        </w:rPr>
      </w:pPr>
    </w:p>
  </w:endnote>
  <w:endnote w:id="26">
    <w:p w14:paraId="0904E14D"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Bretzel F, Vannucchi F, Romano D, Malorgio F, </w:t>
      </w:r>
      <w:hyperlink r:id="rId7" w:history="1">
        <w:r w:rsidRPr="00581EAE">
          <w:rPr>
            <w:sz w:val="24"/>
            <w:szCs w:val="24"/>
          </w:rPr>
          <w:t>Benvenuti</w:t>
        </w:r>
      </w:hyperlink>
      <w:r w:rsidRPr="00581EAE">
        <w:rPr>
          <w:sz w:val="24"/>
          <w:szCs w:val="24"/>
        </w:rPr>
        <w:t xml:space="preserve"> S and </w:t>
      </w:r>
      <w:hyperlink r:id="rId8" w:history="1">
        <w:r w:rsidRPr="00581EAE">
          <w:rPr>
            <w:sz w:val="24"/>
            <w:szCs w:val="24"/>
          </w:rPr>
          <w:t>Pezzarossa</w:t>
        </w:r>
      </w:hyperlink>
      <w:r w:rsidRPr="00581EAE">
        <w:rPr>
          <w:sz w:val="24"/>
          <w:szCs w:val="24"/>
        </w:rPr>
        <w:t xml:space="preserve"> B. Wildflowers: From conserving biodiversity to urban greening- A review. </w:t>
      </w:r>
      <w:r w:rsidRPr="00581EAE">
        <w:rPr>
          <w:i/>
          <w:sz w:val="24"/>
          <w:szCs w:val="24"/>
        </w:rPr>
        <w:t>Urban Forestry &amp; Urban Greening</w:t>
      </w:r>
      <w:r w:rsidRPr="00581EAE">
        <w:rPr>
          <w:sz w:val="24"/>
          <w:szCs w:val="24"/>
        </w:rPr>
        <w:t xml:space="preserve"> 2016;</w:t>
      </w:r>
      <w:r w:rsidRPr="00581EAE">
        <w:rPr>
          <w:b/>
          <w:sz w:val="24"/>
          <w:szCs w:val="24"/>
        </w:rPr>
        <w:t>20(1)</w:t>
      </w:r>
      <w:r w:rsidRPr="00581EAE">
        <w:rPr>
          <w:sz w:val="24"/>
          <w:szCs w:val="24"/>
        </w:rPr>
        <w:t>: 428-436.</w:t>
      </w:r>
    </w:p>
    <w:p w14:paraId="1B440790" w14:textId="77777777" w:rsidR="00616A0F" w:rsidRPr="00581EAE" w:rsidRDefault="00616A0F" w:rsidP="00581EAE">
      <w:pPr>
        <w:rPr>
          <w:sz w:val="24"/>
          <w:szCs w:val="24"/>
        </w:rPr>
      </w:pPr>
    </w:p>
  </w:endnote>
  <w:endnote w:id="27">
    <w:p w14:paraId="1BE2E8D2" w14:textId="77777777" w:rsidR="00B52997" w:rsidRPr="00581EAE" w:rsidRDefault="00B52997" w:rsidP="00581EAE">
      <w:pPr>
        <w:rPr>
          <w:b/>
          <w:sz w:val="24"/>
          <w:szCs w:val="24"/>
        </w:rPr>
      </w:pPr>
      <w:r w:rsidRPr="00581EAE">
        <w:rPr>
          <w:rStyle w:val="EndnoteReference"/>
          <w:sz w:val="24"/>
          <w:szCs w:val="24"/>
        </w:rPr>
        <w:endnoteRef/>
      </w:r>
      <w:r w:rsidRPr="00581EAE">
        <w:rPr>
          <w:sz w:val="24"/>
          <w:szCs w:val="24"/>
        </w:rPr>
        <w:t xml:space="preserve">Baldock K, Goddard M, Hicks D, Kunin W, Mitschunas N, Osgathorpe L. Where is the UK’s pollinator biodiversity? The importance of urban areas for flower visiting insects. </w:t>
      </w:r>
      <w:r w:rsidRPr="00581EAE">
        <w:rPr>
          <w:i/>
          <w:sz w:val="24"/>
          <w:szCs w:val="24"/>
        </w:rPr>
        <w:t xml:space="preserve">Proceedings of the Royal Society Biological Sciences </w:t>
      </w:r>
      <w:r w:rsidRPr="00581EAE">
        <w:rPr>
          <w:sz w:val="24"/>
          <w:szCs w:val="24"/>
        </w:rPr>
        <w:t xml:space="preserve">2015; </w:t>
      </w:r>
      <w:r w:rsidRPr="00581EAE">
        <w:rPr>
          <w:b/>
          <w:sz w:val="24"/>
          <w:szCs w:val="24"/>
        </w:rPr>
        <w:t>282(1803).</w:t>
      </w:r>
    </w:p>
    <w:p w14:paraId="6B0A7B08" w14:textId="77777777" w:rsidR="00616A0F" w:rsidRPr="00581EAE" w:rsidRDefault="00616A0F" w:rsidP="00581EAE">
      <w:pPr>
        <w:rPr>
          <w:b/>
          <w:sz w:val="24"/>
          <w:szCs w:val="24"/>
        </w:rPr>
      </w:pPr>
    </w:p>
  </w:endnote>
  <w:endnote w:id="28">
    <w:p w14:paraId="0C1ECB55" w14:textId="77777777" w:rsidR="00B52997" w:rsidRPr="00581EAE" w:rsidRDefault="00B52997" w:rsidP="00581EAE">
      <w:pPr>
        <w:pStyle w:val="Heading1"/>
        <w:numPr>
          <w:ilvl w:val="0"/>
          <w:numId w:val="0"/>
        </w:numPr>
        <w:rPr>
          <w:rStyle w:val="a-size-medium"/>
          <w:rFonts w:ascii="Times New Roman" w:hAnsi="Times New Roman" w:cs="Times New Roman"/>
          <w:sz w:val="24"/>
          <w:szCs w:val="24"/>
        </w:rPr>
      </w:pPr>
      <w:r w:rsidRPr="00581EAE">
        <w:rPr>
          <w:rStyle w:val="EndnoteReference"/>
          <w:rFonts w:ascii="Times New Roman" w:hAnsi="Times New Roman" w:cs="Times New Roman"/>
          <w:color w:val="000000" w:themeColor="text1"/>
          <w:sz w:val="24"/>
          <w:szCs w:val="24"/>
        </w:rPr>
        <w:endnoteRef/>
      </w:r>
      <w:r w:rsidRPr="00581EAE">
        <w:rPr>
          <w:rStyle w:val="a-size-large"/>
          <w:rFonts w:ascii="Times New Roman" w:hAnsi="Times New Roman" w:cs="Times New Roman"/>
          <w:color w:val="000000" w:themeColor="text1"/>
          <w:sz w:val="24"/>
          <w:szCs w:val="24"/>
        </w:rPr>
        <w:t>Ratcliffe D.  A Nature Conservation Review: Volume 1: The Selection of Biological Sites of National Importance to Nature Conservation in Britain: v.1</w:t>
      </w:r>
      <w:r w:rsidRPr="00581EAE">
        <w:rPr>
          <w:rStyle w:val="apple-converted-space"/>
          <w:rFonts w:ascii="Times New Roman" w:hAnsi="Times New Roman" w:cs="Times New Roman"/>
          <w:color w:val="000000" w:themeColor="text1"/>
          <w:sz w:val="24"/>
          <w:szCs w:val="24"/>
        </w:rPr>
        <w:t xml:space="preserve">; </w:t>
      </w:r>
      <w:r w:rsidRPr="00581EAE">
        <w:rPr>
          <w:rStyle w:val="a-size-medium"/>
          <w:rFonts w:ascii="Times New Roman" w:hAnsi="Times New Roman" w:cs="Times New Roman"/>
          <w:sz w:val="24"/>
          <w:szCs w:val="24"/>
        </w:rPr>
        <w:t>1977.</w:t>
      </w:r>
    </w:p>
    <w:p w14:paraId="146B453D" w14:textId="77777777" w:rsidR="00616A0F" w:rsidRPr="00581EAE" w:rsidRDefault="00616A0F" w:rsidP="00581EAE">
      <w:pPr>
        <w:rPr>
          <w:sz w:val="24"/>
          <w:szCs w:val="24"/>
        </w:rPr>
      </w:pPr>
    </w:p>
  </w:endnote>
  <w:endnote w:id="29">
    <w:p w14:paraId="724BE1F7"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Johnston J, Newton J. Building green, a guide to plants on roofs, walls and pavements. Greater London Authority, 2004.</w:t>
      </w:r>
    </w:p>
    <w:p w14:paraId="6428B265" w14:textId="77777777" w:rsidR="00616A0F" w:rsidRPr="00581EAE" w:rsidRDefault="00616A0F" w:rsidP="00581EAE">
      <w:pPr>
        <w:rPr>
          <w:sz w:val="24"/>
          <w:szCs w:val="24"/>
        </w:rPr>
      </w:pPr>
    </w:p>
  </w:endnote>
  <w:endnote w:id="30">
    <w:p w14:paraId="0850BBAA"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Pataki D, Carreiro M, Cherrier J, Grulke N, Jennings V, Pincetl S </w:t>
      </w:r>
      <w:r w:rsidRPr="00581EAE">
        <w:rPr>
          <w:i/>
          <w:sz w:val="24"/>
          <w:szCs w:val="24"/>
        </w:rPr>
        <w:t>et al.</w:t>
      </w:r>
      <w:r w:rsidRPr="00581EAE">
        <w:rPr>
          <w:sz w:val="24"/>
          <w:szCs w:val="24"/>
          <w:shd w:val="clear" w:color="auto" w:fill="FFFFFF"/>
        </w:rPr>
        <w:t xml:space="preserve"> </w:t>
      </w:r>
      <w:r w:rsidRPr="00581EAE">
        <w:rPr>
          <w:sz w:val="24"/>
          <w:szCs w:val="24"/>
        </w:rPr>
        <w:t xml:space="preserve">Coupling biogeochemical cycles in urban environments: ecosystem services, green solutions and misconceptions. </w:t>
      </w:r>
      <w:r w:rsidRPr="00581EAE">
        <w:rPr>
          <w:i/>
          <w:sz w:val="24"/>
          <w:szCs w:val="24"/>
        </w:rPr>
        <w:t xml:space="preserve">Front Ecol Environ </w:t>
      </w:r>
      <w:r w:rsidRPr="00581EAE">
        <w:rPr>
          <w:sz w:val="24"/>
          <w:szCs w:val="24"/>
        </w:rPr>
        <w:t xml:space="preserve">2011; </w:t>
      </w:r>
      <w:r w:rsidRPr="00581EAE">
        <w:rPr>
          <w:b/>
          <w:sz w:val="24"/>
          <w:szCs w:val="24"/>
        </w:rPr>
        <w:t>9</w:t>
      </w:r>
      <w:r w:rsidRPr="00581EAE">
        <w:rPr>
          <w:sz w:val="24"/>
          <w:szCs w:val="24"/>
        </w:rPr>
        <w:t>: 27–36.</w:t>
      </w:r>
    </w:p>
    <w:p w14:paraId="1C3C1C9C" w14:textId="77777777" w:rsidR="00616A0F" w:rsidRPr="00581EAE" w:rsidRDefault="00616A0F" w:rsidP="00581EAE">
      <w:pPr>
        <w:rPr>
          <w:sz w:val="24"/>
          <w:szCs w:val="24"/>
        </w:rPr>
      </w:pPr>
    </w:p>
  </w:endnote>
  <w:endnote w:id="31">
    <w:p w14:paraId="49225AD2"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Hicks D, Ouvrard P, Baldock K, Baude M, Goddard M, Kunin W. Stone G </w:t>
      </w:r>
      <w:r w:rsidRPr="00581EAE">
        <w:rPr>
          <w:i/>
          <w:sz w:val="24"/>
          <w:szCs w:val="24"/>
        </w:rPr>
        <w:t>et al.</w:t>
      </w:r>
      <w:r w:rsidRPr="00581EAE">
        <w:rPr>
          <w:sz w:val="24"/>
          <w:szCs w:val="24"/>
        </w:rPr>
        <w:t xml:space="preserve"> Food for Pollinators: Quantifying the Nectar and Pollen Resources of Urban Flower Meadows. </w:t>
      </w:r>
      <w:r w:rsidRPr="00581EAE">
        <w:rPr>
          <w:i/>
          <w:sz w:val="24"/>
          <w:szCs w:val="24"/>
        </w:rPr>
        <w:t>PLoS One</w:t>
      </w:r>
      <w:r w:rsidRPr="00581EAE">
        <w:rPr>
          <w:sz w:val="24"/>
          <w:szCs w:val="24"/>
        </w:rPr>
        <w:t xml:space="preserve"> 2016; </w:t>
      </w:r>
      <w:r w:rsidRPr="00581EAE">
        <w:rPr>
          <w:b/>
          <w:sz w:val="24"/>
          <w:szCs w:val="24"/>
        </w:rPr>
        <w:t>11(6)</w:t>
      </w:r>
      <w:r w:rsidRPr="00581EAE">
        <w:rPr>
          <w:sz w:val="24"/>
          <w:szCs w:val="24"/>
        </w:rPr>
        <w:t>:37.</w:t>
      </w:r>
    </w:p>
    <w:p w14:paraId="46031570" w14:textId="77777777" w:rsidR="00616A0F" w:rsidRPr="00581EAE" w:rsidRDefault="00616A0F" w:rsidP="00581EAE">
      <w:pPr>
        <w:rPr>
          <w:sz w:val="24"/>
          <w:szCs w:val="24"/>
        </w:rPr>
      </w:pPr>
    </w:p>
  </w:endnote>
  <w:endnote w:id="32">
    <w:p w14:paraId="7F5A39C8" w14:textId="77777777" w:rsidR="00B52997" w:rsidRPr="00581EAE" w:rsidRDefault="00B52997" w:rsidP="00581EAE">
      <w:pPr>
        <w:pStyle w:val="EndnoteText"/>
        <w:spacing w:line="480" w:lineRule="auto"/>
        <w:rPr>
          <w:sz w:val="24"/>
          <w:szCs w:val="24"/>
        </w:rPr>
      </w:pPr>
      <w:r w:rsidRPr="00581EAE">
        <w:rPr>
          <w:rStyle w:val="EndnoteReference"/>
          <w:sz w:val="24"/>
          <w:szCs w:val="24"/>
        </w:rPr>
        <w:endnoteRef/>
      </w:r>
      <w:r w:rsidRPr="00581EAE">
        <w:rPr>
          <w:sz w:val="24"/>
          <w:szCs w:val="24"/>
        </w:rPr>
        <w:t>Buglife. 2011. Scottish Invertebrate Habitat Management: School</w:t>
      </w:r>
    </w:p>
    <w:p w14:paraId="4367B487" w14:textId="77777777" w:rsidR="00B52997" w:rsidRPr="00581EAE" w:rsidRDefault="00B52997" w:rsidP="00581EAE">
      <w:pPr>
        <w:pStyle w:val="EndnoteText"/>
        <w:spacing w:line="480" w:lineRule="auto"/>
        <w:rPr>
          <w:sz w:val="24"/>
          <w:szCs w:val="24"/>
        </w:rPr>
      </w:pPr>
      <w:r w:rsidRPr="00581EAE">
        <w:rPr>
          <w:sz w:val="24"/>
          <w:szCs w:val="24"/>
        </w:rPr>
        <w:t>grounds, parks and urban greenspace. Buglife – The Invertebrate</w:t>
      </w:r>
    </w:p>
    <w:p w14:paraId="7C857715" w14:textId="77777777" w:rsidR="00B52997" w:rsidRPr="00581EAE" w:rsidRDefault="00B52997" w:rsidP="00581EAE">
      <w:pPr>
        <w:pStyle w:val="EndnoteText"/>
        <w:spacing w:line="480" w:lineRule="auto"/>
        <w:rPr>
          <w:sz w:val="24"/>
          <w:szCs w:val="24"/>
        </w:rPr>
      </w:pPr>
      <w:r w:rsidRPr="00581EAE">
        <w:rPr>
          <w:sz w:val="24"/>
          <w:szCs w:val="24"/>
        </w:rPr>
        <w:t>Conservation Trust.</w:t>
      </w:r>
    </w:p>
    <w:p w14:paraId="27364AE1" w14:textId="77777777" w:rsidR="00616A0F" w:rsidRPr="00581EAE" w:rsidRDefault="00616A0F" w:rsidP="00581EAE">
      <w:pPr>
        <w:pStyle w:val="EndnoteText"/>
        <w:spacing w:line="480" w:lineRule="auto"/>
        <w:rPr>
          <w:sz w:val="24"/>
          <w:szCs w:val="24"/>
        </w:rPr>
      </w:pPr>
    </w:p>
  </w:endnote>
  <w:endnote w:id="33">
    <w:p w14:paraId="68E36317"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Garbuzov M. and Ratnieks F.L.W. Listmania: The Strengths and Weaknesses of Lists of Garden Plants to Help Pollinators. BioScience 2014; </w:t>
      </w:r>
      <w:r w:rsidRPr="00581EAE">
        <w:rPr>
          <w:b/>
          <w:sz w:val="24"/>
          <w:szCs w:val="24"/>
        </w:rPr>
        <w:t>64</w:t>
      </w:r>
      <w:r w:rsidRPr="00581EAE">
        <w:rPr>
          <w:sz w:val="24"/>
          <w:szCs w:val="24"/>
        </w:rPr>
        <w:t>:1019-1026.</w:t>
      </w:r>
    </w:p>
    <w:p w14:paraId="765D62E3" w14:textId="77777777" w:rsidR="00616A0F" w:rsidRPr="00581EAE" w:rsidRDefault="00616A0F" w:rsidP="00581EAE">
      <w:pPr>
        <w:rPr>
          <w:sz w:val="24"/>
          <w:szCs w:val="24"/>
        </w:rPr>
      </w:pPr>
    </w:p>
  </w:endnote>
  <w:endnote w:id="34">
    <w:p w14:paraId="77A79021" w14:textId="77777777" w:rsidR="00B52997" w:rsidRPr="00581EAE" w:rsidRDefault="00B52997" w:rsidP="00581EAE">
      <w:pPr>
        <w:pStyle w:val="EndnoteText"/>
        <w:spacing w:line="480" w:lineRule="auto"/>
        <w:rPr>
          <w:sz w:val="24"/>
          <w:szCs w:val="24"/>
          <w:lang w:val="en-IE"/>
        </w:rPr>
      </w:pPr>
      <w:r w:rsidRPr="00581EAE">
        <w:rPr>
          <w:rStyle w:val="EndnoteReference"/>
          <w:sz w:val="24"/>
          <w:szCs w:val="24"/>
        </w:rPr>
        <w:endnoteRef/>
      </w:r>
      <w:r w:rsidRPr="00581EAE">
        <w:rPr>
          <w:sz w:val="24"/>
          <w:szCs w:val="24"/>
        </w:rPr>
        <w:t xml:space="preserve">Lowenstein D, Matteson K and Minor E. Diversity of wild bees supports pollination services in an urbanized landscape. Oecologia 2015; </w:t>
      </w:r>
      <w:r w:rsidRPr="00581EAE">
        <w:rPr>
          <w:b/>
          <w:sz w:val="24"/>
          <w:szCs w:val="24"/>
        </w:rPr>
        <w:t>179</w:t>
      </w:r>
      <w:r w:rsidRPr="00581EAE">
        <w:rPr>
          <w:sz w:val="24"/>
          <w:szCs w:val="24"/>
        </w:rPr>
        <w:t>:811-821.</w:t>
      </w:r>
    </w:p>
  </w:endnote>
  <w:endnote w:id="35">
    <w:p w14:paraId="725130F4" w14:textId="77777777" w:rsidR="008B1A8A" w:rsidRPr="00581EAE" w:rsidRDefault="008B1A8A" w:rsidP="00581EAE">
      <w:pPr>
        <w:rPr>
          <w:sz w:val="24"/>
          <w:szCs w:val="24"/>
        </w:rPr>
      </w:pPr>
      <w:r w:rsidRPr="00581EAE">
        <w:rPr>
          <w:rStyle w:val="EndnoteReference"/>
          <w:sz w:val="24"/>
          <w:szCs w:val="24"/>
        </w:rPr>
        <w:endnoteRef/>
      </w:r>
      <w:r w:rsidRPr="00581EAE">
        <w:rPr>
          <w:sz w:val="24"/>
          <w:szCs w:val="24"/>
        </w:rPr>
        <w:t xml:space="preserve">United Nations Human Rights. Pesticides are ‘global human rights concern’ say UN experts urging new treaty. Online information available at </w:t>
      </w:r>
      <w:hyperlink r:id="rId9" w:history="1">
        <w:r w:rsidRPr="00581EAE">
          <w:rPr>
            <w:rStyle w:val="Hyperlink"/>
            <w:color w:val="000000" w:themeColor="text1"/>
            <w:sz w:val="24"/>
            <w:szCs w:val="24"/>
          </w:rPr>
          <w:t>http://www.ohchr.org/EN/NewsEvents/Pages/DisplayNews.aspx?NewsID=21306&amp;LangID=E</w:t>
        </w:r>
      </w:hyperlink>
      <w:r w:rsidRPr="00581EAE">
        <w:rPr>
          <w:sz w:val="24"/>
          <w:szCs w:val="24"/>
        </w:rPr>
        <w:t>. (accessed April 2018).</w:t>
      </w:r>
    </w:p>
    <w:p w14:paraId="2FD0014B" w14:textId="77777777" w:rsidR="008B1A8A" w:rsidRPr="00581EAE" w:rsidRDefault="008B1A8A" w:rsidP="00581EAE">
      <w:pPr>
        <w:rPr>
          <w:sz w:val="24"/>
          <w:szCs w:val="24"/>
        </w:rPr>
      </w:pPr>
    </w:p>
  </w:endnote>
  <w:endnote w:id="36">
    <w:p w14:paraId="59CE6F70" w14:textId="77777777" w:rsidR="00B52997" w:rsidRPr="00581EAE" w:rsidRDefault="00B52997" w:rsidP="00581EAE">
      <w:pPr>
        <w:pStyle w:val="EndnoteText"/>
        <w:spacing w:line="480" w:lineRule="auto"/>
        <w:rPr>
          <w:sz w:val="24"/>
          <w:szCs w:val="24"/>
        </w:rPr>
      </w:pPr>
      <w:r w:rsidRPr="00581EAE">
        <w:rPr>
          <w:rStyle w:val="EndnoteReference"/>
          <w:sz w:val="24"/>
          <w:szCs w:val="24"/>
        </w:rPr>
        <w:endnoteRef/>
      </w:r>
      <w:r w:rsidRPr="00581EAE">
        <w:rPr>
          <w:sz w:val="24"/>
          <w:szCs w:val="24"/>
        </w:rPr>
        <w:t xml:space="preserve">Lye G, Osborne J, Park K &amp; Goulson D. Using citizen science to monitor Bombus populations in the UK: nesting ecology and relative abundance in the urban environment. Journal of Insect Conservation 2012. </w:t>
      </w:r>
      <w:r w:rsidRPr="00581EAE">
        <w:rPr>
          <w:b/>
          <w:sz w:val="24"/>
          <w:szCs w:val="24"/>
        </w:rPr>
        <w:t>16</w:t>
      </w:r>
      <w:r w:rsidRPr="00581EAE">
        <w:rPr>
          <w:sz w:val="24"/>
          <w:szCs w:val="24"/>
        </w:rPr>
        <w:t>:697–707.</w:t>
      </w:r>
    </w:p>
    <w:p w14:paraId="5F9609AE" w14:textId="77777777" w:rsidR="00616A0F" w:rsidRPr="00581EAE" w:rsidRDefault="00616A0F" w:rsidP="00581EAE">
      <w:pPr>
        <w:pStyle w:val="EndnoteText"/>
        <w:spacing w:line="480" w:lineRule="auto"/>
        <w:rPr>
          <w:sz w:val="24"/>
          <w:szCs w:val="24"/>
        </w:rPr>
      </w:pPr>
    </w:p>
  </w:endnote>
  <w:endnote w:id="37">
    <w:p w14:paraId="19FE4AEE" w14:textId="77777777" w:rsidR="00B52997" w:rsidRPr="00581EAE" w:rsidRDefault="00B52997" w:rsidP="00581EAE">
      <w:pPr>
        <w:pStyle w:val="EndnoteText"/>
        <w:spacing w:line="480" w:lineRule="auto"/>
        <w:rPr>
          <w:sz w:val="24"/>
          <w:szCs w:val="24"/>
        </w:rPr>
      </w:pPr>
      <w:r w:rsidRPr="00581EAE">
        <w:rPr>
          <w:rStyle w:val="EndnoteReference"/>
          <w:sz w:val="24"/>
          <w:szCs w:val="24"/>
        </w:rPr>
        <w:endnoteRef/>
      </w:r>
      <w:r w:rsidRPr="00581EAE">
        <w:rPr>
          <w:sz w:val="24"/>
          <w:szCs w:val="24"/>
        </w:rPr>
        <w:t>Rautio A, Valtonen A, Auttila M, Kunnasranta M. Nesting patterns of European hedgehogs (Erinaceus europaeus) under northern conditions. Acta Theriol 2013.</w:t>
      </w:r>
    </w:p>
    <w:p w14:paraId="4B8D4375" w14:textId="77777777" w:rsidR="00616A0F" w:rsidRPr="00581EAE" w:rsidRDefault="00616A0F" w:rsidP="00581EAE">
      <w:pPr>
        <w:pStyle w:val="EndnoteText"/>
        <w:spacing w:line="480" w:lineRule="auto"/>
        <w:rPr>
          <w:sz w:val="24"/>
          <w:szCs w:val="24"/>
        </w:rPr>
      </w:pPr>
    </w:p>
  </w:endnote>
  <w:endnote w:id="38">
    <w:p w14:paraId="0561C5C9"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Gloucestershire Wildlife Trust. Help a Hedgehog. Online information available at </w:t>
      </w:r>
      <w:hyperlink r:id="rId10" w:history="1">
        <w:r w:rsidRPr="00581EAE">
          <w:rPr>
            <w:rStyle w:val="Hyperlink"/>
            <w:color w:val="000000" w:themeColor="text1"/>
            <w:sz w:val="24"/>
            <w:szCs w:val="24"/>
          </w:rPr>
          <w:t>http://www.gloucestershirewildlifetrust.co.uk/sites/default/files/Hedgehogsml.jpg</w:t>
        </w:r>
      </w:hyperlink>
      <w:r w:rsidRPr="00581EAE">
        <w:rPr>
          <w:sz w:val="24"/>
          <w:szCs w:val="24"/>
        </w:rPr>
        <w:t>. (accessed April 2018).</w:t>
      </w:r>
    </w:p>
    <w:p w14:paraId="12ED612D" w14:textId="77777777" w:rsidR="00616A0F" w:rsidRPr="00581EAE" w:rsidRDefault="00616A0F" w:rsidP="00581EAE">
      <w:pPr>
        <w:rPr>
          <w:sz w:val="24"/>
          <w:szCs w:val="24"/>
        </w:rPr>
      </w:pPr>
    </w:p>
  </w:endnote>
  <w:endnote w:id="39">
    <w:p w14:paraId="37B5B4D2"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Oertli B. Editorial: Freshwater biodiversity conservation: The role of artificial ponds in the 21st century. Aquatic Conservation: Marine and Freshwater Ecosystems 2018; 28:264-269.</w:t>
      </w:r>
    </w:p>
    <w:p w14:paraId="50E69BFA" w14:textId="77777777" w:rsidR="00616A0F" w:rsidRPr="00581EAE" w:rsidRDefault="00616A0F" w:rsidP="00581EAE">
      <w:pPr>
        <w:rPr>
          <w:sz w:val="24"/>
          <w:szCs w:val="24"/>
        </w:rPr>
      </w:pPr>
    </w:p>
  </w:endnote>
  <w:endnote w:id="40">
    <w:p w14:paraId="39FAAECC"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Fortel L, Henry M, Guilbaud L et al. Use of human-made nesting structures by wild bees in an urban environment. J Insect Conserv 2016. </w:t>
      </w:r>
      <w:r w:rsidRPr="00581EAE">
        <w:rPr>
          <w:b/>
          <w:sz w:val="24"/>
          <w:szCs w:val="24"/>
        </w:rPr>
        <w:t>20</w:t>
      </w:r>
      <w:r w:rsidRPr="00581EAE">
        <w:rPr>
          <w:sz w:val="24"/>
          <w:szCs w:val="24"/>
        </w:rPr>
        <w:t>: 239.</w:t>
      </w:r>
    </w:p>
    <w:p w14:paraId="61108DF1" w14:textId="77777777" w:rsidR="00616A0F" w:rsidRPr="00581EAE" w:rsidRDefault="00616A0F" w:rsidP="00581EAE">
      <w:pPr>
        <w:rPr>
          <w:sz w:val="24"/>
          <w:szCs w:val="24"/>
        </w:rPr>
      </w:pPr>
    </w:p>
  </w:endnote>
  <w:endnote w:id="41">
    <w:p w14:paraId="53223B7A" w14:textId="77777777" w:rsidR="00E25B58" w:rsidRPr="00581EAE" w:rsidRDefault="00E25B58" w:rsidP="00581EAE">
      <w:pPr>
        <w:pStyle w:val="EndnoteText"/>
        <w:spacing w:line="480" w:lineRule="auto"/>
        <w:rPr>
          <w:sz w:val="24"/>
          <w:szCs w:val="24"/>
        </w:rPr>
      </w:pPr>
      <w:r w:rsidRPr="00581EAE">
        <w:rPr>
          <w:rStyle w:val="EndnoteReference"/>
          <w:sz w:val="24"/>
          <w:szCs w:val="24"/>
        </w:rPr>
        <w:endnoteRef/>
      </w:r>
      <w:r w:rsidRPr="00581EAE">
        <w:rPr>
          <w:sz w:val="24"/>
          <w:szCs w:val="24"/>
        </w:rPr>
        <w:t xml:space="preserve">MacIvor J, Packer L. ‘Bee Hotels’ as Tools for Native Pollinator Conservation: A Premature Verdict? </w:t>
      </w:r>
      <w:r w:rsidRPr="00581EAE">
        <w:rPr>
          <w:i/>
          <w:sz w:val="24"/>
          <w:szCs w:val="24"/>
        </w:rPr>
        <w:t>PLoS ONE</w:t>
      </w:r>
      <w:r w:rsidRPr="00581EAE">
        <w:rPr>
          <w:sz w:val="24"/>
          <w:szCs w:val="24"/>
        </w:rPr>
        <w:t xml:space="preserve"> 2015; </w:t>
      </w:r>
      <w:r w:rsidRPr="00581EAE">
        <w:rPr>
          <w:b/>
          <w:sz w:val="24"/>
          <w:szCs w:val="24"/>
        </w:rPr>
        <w:t>10</w:t>
      </w:r>
      <w:r w:rsidRPr="00581EAE">
        <w:rPr>
          <w:sz w:val="24"/>
          <w:szCs w:val="24"/>
        </w:rPr>
        <w:t>: e0122126.</w:t>
      </w:r>
    </w:p>
    <w:p w14:paraId="6350AADC" w14:textId="77777777" w:rsidR="00616A0F" w:rsidRPr="00581EAE" w:rsidRDefault="00616A0F" w:rsidP="00581EAE">
      <w:pPr>
        <w:pStyle w:val="EndnoteText"/>
        <w:spacing w:line="480" w:lineRule="auto"/>
        <w:rPr>
          <w:sz w:val="24"/>
          <w:szCs w:val="24"/>
        </w:rPr>
      </w:pPr>
    </w:p>
  </w:endnote>
  <w:endnote w:id="42">
    <w:p w14:paraId="28B79736"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Francis R, Lorimer J. Urban reconciliation ecology: The potential of living roofs and walls. Journal of Environmental Management 2011. 92:1429-1437.</w:t>
      </w:r>
    </w:p>
    <w:p w14:paraId="2630AB91" w14:textId="77777777" w:rsidR="00616A0F" w:rsidRPr="00581EAE" w:rsidRDefault="00616A0F" w:rsidP="00581EAE">
      <w:pPr>
        <w:rPr>
          <w:sz w:val="24"/>
          <w:szCs w:val="24"/>
        </w:rPr>
      </w:pPr>
    </w:p>
  </w:endnote>
  <w:endnote w:id="43">
    <w:p w14:paraId="34328EF3"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Blackdown Greenroofs. Online information available at </w:t>
      </w:r>
      <w:hyperlink r:id="rId11" w:history="1">
        <w:r w:rsidRPr="00581EAE">
          <w:rPr>
            <w:rStyle w:val="Hyperlink"/>
            <w:color w:val="000000" w:themeColor="text1"/>
            <w:sz w:val="24"/>
            <w:szCs w:val="24"/>
          </w:rPr>
          <w:t>www.blackdown.co.uk</w:t>
        </w:r>
      </w:hyperlink>
      <w:r w:rsidRPr="00581EAE">
        <w:rPr>
          <w:sz w:val="24"/>
          <w:szCs w:val="24"/>
        </w:rPr>
        <w:t xml:space="preserve"> (accessed April 2018).</w:t>
      </w:r>
    </w:p>
    <w:p w14:paraId="12A2DFBD" w14:textId="77777777" w:rsidR="00616A0F" w:rsidRPr="00581EAE" w:rsidRDefault="00616A0F" w:rsidP="00581EAE">
      <w:pPr>
        <w:rPr>
          <w:sz w:val="24"/>
          <w:szCs w:val="24"/>
        </w:rPr>
      </w:pPr>
    </w:p>
  </w:endnote>
  <w:endnote w:id="44">
    <w:p w14:paraId="0D6E18E0"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Oberndorfer et al. Green Roofs as Ecosystems: Ecological Structures, Functions and Services. </w:t>
      </w:r>
      <w:r w:rsidRPr="00581EAE">
        <w:rPr>
          <w:i/>
          <w:sz w:val="24"/>
          <w:szCs w:val="24"/>
        </w:rPr>
        <w:t>BioScience</w:t>
      </w:r>
      <w:r w:rsidRPr="00581EAE">
        <w:rPr>
          <w:sz w:val="24"/>
          <w:szCs w:val="24"/>
        </w:rPr>
        <w:t xml:space="preserve"> 2007; </w:t>
      </w:r>
      <w:r w:rsidRPr="00581EAE">
        <w:rPr>
          <w:b/>
          <w:sz w:val="24"/>
          <w:szCs w:val="24"/>
        </w:rPr>
        <w:t xml:space="preserve">57(10): </w:t>
      </w:r>
      <w:r w:rsidRPr="00581EAE">
        <w:rPr>
          <w:sz w:val="24"/>
          <w:szCs w:val="24"/>
        </w:rPr>
        <w:t>823-833.</w:t>
      </w:r>
    </w:p>
    <w:p w14:paraId="53BCFA3A" w14:textId="77777777" w:rsidR="00616A0F" w:rsidRPr="00581EAE" w:rsidRDefault="00616A0F" w:rsidP="00581EAE">
      <w:pPr>
        <w:rPr>
          <w:sz w:val="24"/>
          <w:szCs w:val="24"/>
        </w:rPr>
      </w:pPr>
    </w:p>
  </w:endnote>
  <w:endnote w:id="45">
    <w:p w14:paraId="13D86D66"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Niachou A, Papakonstantinou K, Santamouris M, Tsangrassoulis A,</w:t>
      </w:r>
    </w:p>
    <w:p w14:paraId="70E98BDD" w14:textId="77777777" w:rsidR="00B52997" w:rsidRPr="00581EAE" w:rsidRDefault="00B52997" w:rsidP="00581EAE">
      <w:pPr>
        <w:rPr>
          <w:sz w:val="24"/>
          <w:szCs w:val="24"/>
        </w:rPr>
      </w:pPr>
      <w:r w:rsidRPr="00581EAE">
        <w:rPr>
          <w:sz w:val="24"/>
          <w:szCs w:val="24"/>
        </w:rPr>
        <w:t>Mihalakakou G.. Analysis of the green roof thermal properties and</w:t>
      </w:r>
    </w:p>
    <w:p w14:paraId="179D00D6" w14:textId="3DE195EC" w:rsidR="00616A0F" w:rsidRDefault="00B52997" w:rsidP="00581EAE">
      <w:pPr>
        <w:rPr>
          <w:sz w:val="24"/>
          <w:szCs w:val="24"/>
        </w:rPr>
      </w:pPr>
      <w:r w:rsidRPr="00581EAE">
        <w:rPr>
          <w:sz w:val="24"/>
          <w:szCs w:val="24"/>
        </w:rPr>
        <w:t xml:space="preserve">investigation of its energy performance. </w:t>
      </w:r>
      <w:r w:rsidRPr="00581EAE">
        <w:rPr>
          <w:i/>
          <w:sz w:val="24"/>
          <w:szCs w:val="24"/>
        </w:rPr>
        <w:t>Energy Build</w:t>
      </w:r>
      <w:r w:rsidRPr="00581EAE">
        <w:rPr>
          <w:sz w:val="24"/>
          <w:szCs w:val="24"/>
        </w:rPr>
        <w:t xml:space="preserve"> 2001; </w:t>
      </w:r>
      <w:r w:rsidRPr="00581EAE">
        <w:rPr>
          <w:b/>
          <w:sz w:val="24"/>
          <w:szCs w:val="24"/>
        </w:rPr>
        <w:t>33:</w:t>
      </w:r>
      <w:r w:rsidRPr="00581EAE">
        <w:rPr>
          <w:sz w:val="24"/>
          <w:szCs w:val="24"/>
        </w:rPr>
        <w:t xml:space="preserve"> 719e729.</w:t>
      </w:r>
    </w:p>
    <w:p w14:paraId="12415F2C" w14:textId="77777777" w:rsidR="00581EAE" w:rsidRPr="00581EAE" w:rsidRDefault="00581EAE" w:rsidP="00581EAE">
      <w:pPr>
        <w:rPr>
          <w:sz w:val="24"/>
          <w:szCs w:val="24"/>
        </w:rPr>
      </w:pPr>
    </w:p>
  </w:endnote>
  <w:endnote w:id="46">
    <w:p w14:paraId="7D35DCF7" w14:textId="77777777" w:rsidR="00B52997" w:rsidRPr="00581EAE" w:rsidRDefault="00B52997" w:rsidP="00581EAE">
      <w:pPr>
        <w:pStyle w:val="EndnoteText"/>
        <w:spacing w:line="480" w:lineRule="auto"/>
        <w:rPr>
          <w:sz w:val="24"/>
          <w:szCs w:val="24"/>
        </w:rPr>
      </w:pPr>
      <w:r w:rsidRPr="00581EAE">
        <w:rPr>
          <w:rStyle w:val="EndnoteReference"/>
          <w:sz w:val="24"/>
          <w:szCs w:val="24"/>
        </w:rPr>
        <w:endnoteRef/>
      </w:r>
      <w:r w:rsidRPr="00581EAE">
        <w:rPr>
          <w:sz w:val="24"/>
          <w:szCs w:val="24"/>
        </w:rPr>
        <w:t xml:space="preserve">Getter K, Rowe D. The role of extensive green roofs in sustainable development. </w:t>
      </w:r>
      <w:r w:rsidRPr="00581EAE">
        <w:rPr>
          <w:i/>
          <w:sz w:val="24"/>
          <w:szCs w:val="24"/>
        </w:rPr>
        <w:t>HortScience</w:t>
      </w:r>
      <w:r w:rsidRPr="00581EAE">
        <w:rPr>
          <w:sz w:val="24"/>
          <w:szCs w:val="24"/>
        </w:rPr>
        <w:t xml:space="preserve"> 2006; </w:t>
      </w:r>
      <w:r w:rsidRPr="00581EAE">
        <w:rPr>
          <w:b/>
          <w:sz w:val="24"/>
          <w:szCs w:val="24"/>
        </w:rPr>
        <w:t>41</w:t>
      </w:r>
      <w:r w:rsidRPr="00581EAE">
        <w:rPr>
          <w:sz w:val="24"/>
          <w:szCs w:val="24"/>
        </w:rPr>
        <w:t>:1276e1285.</w:t>
      </w:r>
    </w:p>
    <w:p w14:paraId="166AFE06" w14:textId="77777777" w:rsidR="00616A0F" w:rsidRPr="00581EAE" w:rsidRDefault="00616A0F" w:rsidP="00581EAE">
      <w:pPr>
        <w:pStyle w:val="EndnoteText"/>
        <w:spacing w:line="480" w:lineRule="auto"/>
        <w:rPr>
          <w:sz w:val="24"/>
          <w:szCs w:val="24"/>
        </w:rPr>
      </w:pPr>
    </w:p>
  </w:endnote>
  <w:endnote w:id="47">
    <w:p w14:paraId="219FDD43"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Perini K, Ottelé M, Haas E, Raiteri R. Vetical greening systems, a process tree for green facades and living walls. </w:t>
      </w:r>
      <w:r w:rsidRPr="00581EAE">
        <w:rPr>
          <w:i/>
          <w:sz w:val="24"/>
          <w:szCs w:val="24"/>
        </w:rPr>
        <w:t>Urban Ecosystems</w:t>
      </w:r>
      <w:r w:rsidRPr="00581EAE">
        <w:rPr>
          <w:sz w:val="24"/>
          <w:szCs w:val="24"/>
        </w:rPr>
        <w:t xml:space="preserve"> 2013 </w:t>
      </w:r>
      <w:r w:rsidRPr="00581EAE">
        <w:rPr>
          <w:b/>
          <w:sz w:val="24"/>
          <w:szCs w:val="24"/>
        </w:rPr>
        <w:t>16</w:t>
      </w:r>
      <w:r w:rsidRPr="00581EAE">
        <w:rPr>
          <w:sz w:val="24"/>
          <w:szCs w:val="24"/>
        </w:rPr>
        <w:t>:2 (265-277).</w:t>
      </w:r>
    </w:p>
    <w:p w14:paraId="0CF805D8" w14:textId="77777777" w:rsidR="00616A0F" w:rsidRPr="00581EAE" w:rsidRDefault="00616A0F" w:rsidP="00581EAE">
      <w:pPr>
        <w:rPr>
          <w:sz w:val="24"/>
          <w:szCs w:val="24"/>
        </w:rPr>
      </w:pPr>
    </w:p>
  </w:endnote>
  <w:endnote w:id="48">
    <w:p w14:paraId="2204F348"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Chiquet C. PhD Thesis: The animal biodiversity of green walls in the urban environment. Online information available at </w:t>
      </w:r>
      <w:hyperlink r:id="rId12" w:history="1">
        <w:r w:rsidRPr="00581EAE">
          <w:rPr>
            <w:rStyle w:val="Hyperlink"/>
            <w:color w:val="000000" w:themeColor="text1"/>
            <w:sz w:val="24"/>
            <w:szCs w:val="24"/>
          </w:rPr>
          <w:t>https://core.ac.uk/download/pdf/43609063.pdf</w:t>
        </w:r>
      </w:hyperlink>
      <w:r w:rsidRPr="00581EAE">
        <w:rPr>
          <w:sz w:val="24"/>
          <w:szCs w:val="24"/>
        </w:rPr>
        <w:t>. (accessed April 2018).</w:t>
      </w:r>
    </w:p>
    <w:p w14:paraId="32F5D365" w14:textId="77777777" w:rsidR="00616A0F" w:rsidRPr="00581EAE" w:rsidRDefault="00616A0F" w:rsidP="00581EAE">
      <w:pPr>
        <w:rPr>
          <w:sz w:val="24"/>
          <w:szCs w:val="24"/>
        </w:rPr>
      </w:pPr>
    </w:p>
  </w:endnote>
  <w:endnote w:id="49">
    <w:p w14:paraId="1BBB930C"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Van den Berg M, Wendel-Vos W, van Poppel M, Kemper H, van Mechelen W &amp; Maas J. Health benefits of green spaces in the living environment: A systematic review of epidemiological studies. 2015. Urban Forestry &amp; Urban Greening 14:806-816.</w:t>
      </w:r>
    </w:p>
    <w:p w14:paraId="06050689" w14:textId="77777777" w:rsidR="00616A0F" w:rsidRPr="00581EAE" w:rsidRDefault="00616A0F" w:rsidP="00581EAE">
      <w:pPr>
        <w:rPr>
          <w:sz w:val="24"/>
          <w:szCs w:val="24"/>
        </w:rPr>
      </w:pPr>
    </w:p>
  </w:endnote>
  <w:endnote w:id="50">
    <w:p w14:paraId="09D85AB6" w14:textId="77777777" w:rsidR="00B52997" w:rsidRPr="00581EAE" w:rsidRDefault="00B52997" w:rsidP="00581EAE">
      <w:pPr>
        <w:rPr>
          <w:sz w:val="24"/>
          <w:szCs w:val="24"/>
        </w:rPr>
      </w:pPr>
      <w:r w:rsidRPr="00581EAE">
        <w:rPr>
          <w:rStyle w:val="EndnoteReference"/>
          <w:sz w:val="24"/>
          <w:szCs w:val="24"/>
        </w:rPr>
        <w:endnoteRef/>
      </w:r>
      <w:r w:rsidRPr="00581EAE">
        <w:rPr>
          <w:sz w:val="24"/>
          <w:szCs w:val="24"/>
        </w:rPr>
        <w:t xml:space="preserve">Islington. Biodiversity in the Built Environment: Good Practice Guide 4. Online information available at </w:t>
      </w:r>
      <w:hyperlink r:id="rId13" w:history="1">
        <w:r w:rsidRPr="00581EAE">
          <w:rPr>
            <w:rStyle w:val="Hyperlink"/>
            <w:color w:val="000000" w:themeColor="text1"/>
            <w:sz w:val="24"/>
            <w:szCs w:val="24"/>
          </w:rPr>
          <w:t>https://www.islington.gov.uk//~/media/sharepoint-lists/public-records/planningandbuildingcontrol/publicity/publicconsultation/20122013/20121220goodpracticeguide4biodiversity</w:t>
        </w:r>
      </w:hyperlink>
      <w:r w:rsidRPr="00581EAE">
        <w:rPr>
          <w:rStyle w:val="Hyperlink"/>
          <w:color w:val="000000" w:themeColor="text1"/>
          <w:sz w:val="24"/>
          <w:szCs w:val="24"/>
        </w:rPr>
        <w:t xml:space="preserve">. </w:t>
      </w:r>
      <w:r w:rsidRPr="00581EAE">
        <w:rPr>
          <w:sz w:val="24"/>
          <w:szCs w:val="24"/>
        </w:rPr>
        <w:t>(accessed April 2018).</w:t>
      </w:r>
    </w:p>
    <w:p w14:paraId="4C1CC0A6" w14:textId="77777777" w:rsidR="00616A0F" w:rsidRPr="00581EAE" w:rsidRDefault="00616A0F" w:rsidP="00581EAE">
      <w:pPr>
        <w:rPr>
          <w:sz w:val="24"/>
          <w:szCs w:val="24"/>
          <w:lang w:val="en-US"/>
        </w:rPr>
      </w:pPr>
    </w:p>
  </w:endnote>
  <w:endnote w:id="51">
    <w:p w14:paraId="0617738E" w14:textId="70ECC5B1" w:rsidR="00B52997" w:rsidRDefault="00B52997" w:rsidP="00581EAE">
      <w:pPr>
        <w:rPr>
          <w:sz w:val="24"/>
          <w:szCs w:val="24"/>
        </w:rPr>
      </w:pPr>
      <w:r w:rsidRPr="00581EAE">
        <w:rPr>
          <w:rStyle w:val="EndnoteReference"/>
          <w:sz w:val="24"/>
          <w:szCs w:val="24"/>
        </w:rPr>
        <w:endnoteRef/>
      </w:r>
      <w:r w:rsidRPr="00581EAE">
        <w:rPr>
          <w:sz w:val="24"/>
          <w:szCs w:val="24"/>
        </w:rPr>
        <w:t>Royal Society f</w:t>
      </w:r>
      <w:r w:rsidR="00351FB4" w:rsidRPr="00581EAE">
        <w:rPr>
          <w:sz w:val="24"/>
          <w:szCs w:val="24"/>
        </w:rPr>
        <w:t>or the Protection of Birds. Roof</w:t>
      </w:r>
      <w:r w:rsidRPr="00581EAE">
        <w:rPr>
          <w:sz w:val="24"/>
          <w:szCs w:val="24"/>
        </w:rPr>
        <w:t xml:space="preserve">s for wildlife. Online information available at </w:t>
      </w:r>
      <w:hyperlink r:id="rId14" w:history="1">
        <w:r w:rsidRPr="00581EAE">
          <w:rPr>
            <w:rStyle w:val="Hyperlink"/>
            <w:color w:val="000000" w:themeColor="text1"/>
            <w:sz w:val="24"/>
            <w:szCs w:val="24"/>
          </w:rPr>
          <w:t>https://www.rspb.org.uk/makeahomeforwildlife/advice/helpingbirdstest/nestboxes/naturalnests/</w:t>
        </w:r>
      </w:hyperlink>
      <w:r w:rsidRPr="00581EAE">
        <w:rPr>
          <w:rStyle w:val="Hyperlink"/>
          <w:color w:val="000000" w:themeColor="text1"/>
          <w:sz w:val="24"/>
          <w:szCs w:val="24"/>
        </w:rPr>
        <w:t xml:space="preserve">. </w:t>
      </w:r>
      <w:r w:rsidRPr="00581EAE">
        <w:rPr>
          <w:sz w:val="24"/>
          <w:szCs w:val="24"/>
        </w:rPr>
        <w:t>(accessed April 2018).</w:t>
      </w:r>
    </w:p>
    <w:p w14:paraId="466905AC" w14:textId="77777777" w:rsidR="00581EAE" w:rsidRPr="00581EAE" w:rsidRDefault="00581EAE" w:rsidP="00581EAE">
      <w:pPr>
        <w:rPr>
          <w:sz w:val="24"/>
          <w:szCs w:val="24"/>
          <w:lang w:val="en-US"/>
        </w:rPr>
      </w:pPr>
    </w:p>
  </w:endnote>
  <w:endnote w:id="52">
    <w:p w14:paraId="4CB8BA7E" w14:textId="77777777" w:rsidR="000A4F09" w:rsidRPr="00581EAE" w:rsidRDefault="000A4F09" w:rsidP="00581EAE">
      <w:pPr>
        <w:pStyle w:val="EndnoteText"/>
        <w:spacing w:line="480" w:lineRule="auto"/>
        <w:rPr>
          <w:sz w:val="24"/>
          <w:szCs w:val="24"/>
          <w:lang w:val="en-US"/>
        </w:rPr>
      </w:pPr>
      <w:r w:rsidRPr="00581EAE">
        <w:rPr>
          <w:rStyle w:val="EndnoteReference"/>
          <w:sz w:val="24"/>
          <w:szCs w:val="24"/>
        </w:rPr>
        <w:endnoteRef/>
      </w:r>
      <w:r w:rsidRPr="00581EAE">
        <w:rPr>
          <w:sz w:val="24"/>
          <w:szCs w:val="24"/>
        </w:rPr>
        <w:t xml:space="preserve">Harford S, Ramasubbu D, Duane B. </w:t>
      </w:r>
      <w:r w:rsidRPr="00581EAE">
        <w:rPr>
          <w:sz w:val="24"/>
          <w:szCs w:val="24"/>
          <w:lang w:val="en-US"/>
        </w:rPr>
        <w:t>Development of a questionnaire to understand the perceptions of the dental team relating to environmental sustainability in dental practice. Unpublished.</w:t>
      </w:r>
    </w:p>
    <w:p w14:paraId="65D75E8B" w14:textId="77777777" w:rsidR="000A4F09" w:rsidRPr="00581EAE" w:rsidRDefault="000A4F09" w:rsidP="00581EAE">
      <w:pPr>
        <w:pStyle w:val="EndnoteText"/>
        <w:spacing w:line="480" w:lineRule="auto"/>
        <w:rPr>
          <w:sz w:val="24"/>
          <w:szCs w:val="24"/>
          <w:lang w:val="en-US"/>
        </w:rPr>
      </w:pPr>
    </w:p>
  </w:endnote>
  <w:endnote w:id="53">
    <w:p w14:paraId="138CB4DC" w14:textId="2DB2F76B" w:rsidR="00581EAE" w:rsidRPr="00581EAE" w:rsidRDefault="007E0054" w:rsidP="00581EAE">
      <w:pPr>
        <w:rPr>
          <w:rFonts w:eastAsia="Times New Roman"/>
          <w:color w:val="auto"/>
          <w:sz w:val="24"/>
          <w:szCs w:val="24"/>
          <w:lang w:val="en-IE"/>
        </w:rPr>
      </w:pPr>
      <w:r w:rsidRPr="00581EAE">
        <w:rPr>
          <w:rStyle w:val="EndnoteReference"/>
          <w:sz w:val="24"/>
          <w:szCs w:val="24"/>
        </w:rPr>
        <w:endnoteRef/>
      </w:r>
      <w:r w:rsidRPr="00581EAE">
        <w:rPr>
          <w:sz w:val="24"/>
          <w:szCs w:val="24"/>
        </w:rPr>
        <w:t xml:space="preserve"> </w:t>
      </w:r>
      <w:r w:rsidR="00581EAE" w:rsidRPr="00581EAE">
        <w:rPr>
          <w:rFonts w:eastAsia="Times New Roman"/>
          <w:color w:val="2E414F"/>
          <w:sz w:val="24"/>
          <w:szCs w:val="24"/>
          <w:shd w:val="clear" w:color="auto" w:fill="FFFFFF"/>
          <w:lang w:val="en-IE"/>
        </w:rPr>
        <w:t>Grose J, Burns L, Mukonoweshuro R, Richardson J, Mills I, Nasser M, &amp; Moles D. Developing sustainability in a dental practice through an action research approach. </w:t>
      </w:r>
      <w:r w:rsidR="00581EAE" w:rsidRPr="00581EAE">
        <w:rPr>
          <w:rFonts w:eastAsia="Times New Roman"/>
          <w:i/>
          <w:iCs/>
          <w:color w:val="2E414F"/>
          <w:sz w:val="24"/>
          <w:szCs w:val="24"/>
          <w:shd w:val="clear" w:color="auto" w:fill="FFFFFF"/>
          <w:lang w:val="en-IE"/>
        </w:rPr>
        <w:t>BDJ (2018) 225</w:t>
      </w:r>
      <w:r w:rsidR="00581EAE" w:rsidRPr="00581EAE">
        <w:rPr>
          <w:rFonts w:eastAsia="Times New Roman"/>
          <w:color w:val="2E414F"/>
          <w:sz w:val="24"/>
          <w:szCs w:val="24"/>
          <w:shd w:val="clear" w:color="auto" w:fill="FFFFFF"/>
          <w:lang w:val="en-IE"/>
        </w:rPr>
        <w:t>;409-413.</w:t>
      </w:r>
    </w:p>
    <w:p w14:paraId="71A5159E" w14:textId="77777777" w:rsidR="00581EAE" w:rsidRPr="00581EAE" w:rsidRDefault="00581EAE" w:rsidP="00581EAE">
      <w:pPr>
        <w:pStyle w:val="EndnoteText"/>
        <w:spacing w:line="480" w:lineRule="auto"/>
        <w:rPr>
          <w:sz w:val="24"/>
          <w:szCs w:val="24"/>
          <w:lang w:val="en-US"/>
        </w:rPr>
      </w:pPr>
    </w:p>
  </w:endnote>
  <w:endnote w:id="54">
    <w:p w14:paraId="1252F47C" w14:textId="026F9501" w:rsidR="00143C9F" w:rsidRPr="00581EAE" w:rsidRDefault="00143C9F" w:rsidP="00581EAE">
      <w:pPr>
        <w:pStyle w:val="EndnoteText"/>
        <w:spacing w:line="480" w:lineRule="auto"/>
        <w:rPr>
          <w:sz w:val="24"/>
          <w:szCs w:val="24"/>
          <w:lang w:val="en-US"/>
        </w:rPr>
      </w:pPr>
      <w:r w:rsidRPr="00581EAE">
        <w:rPr>
          <w:rStyle w:val="EndnoteReference"/>
          <w:sz w:val="24"/>
          <w:szCs w:val="24"/>
        </w:rPr>
        <w:endnoteRef/>
      </w:r>
      <w:r w:rsidRPr="00581EAE">
        <w:rPr>
          <w:sz w:val="24"/>
          <w:szCs w:val="24"/>
        </w:rPr>
        <w:t xml:space="preserve"> </w:t>
      </w:r>
      <w:r w:rsidR="00581EAE">
        <w:rPr>
          <w:sz w:val="24"/>
          <w:szCs w:val="24"/>
        </w:rPr>
        <w:t xml:space="preserve">Ecolandscaping. Online information available at </w:t>
      </w:r>
      <w:hyperlink r:id="rId15" w:history="1">
        <w:r w:rsidR="00581EAE" w:rsidRPr="007B7E1D">
          <w:rPr>
            <w:rStyle w:val="Hyperlink"/>
            <w:sz w:val="24"/>
            <w:szCs w:val="24"/>
            <w:lang w:val="en-US"/>
          </w:rPr>
          <w:t>www.ecolandscaping.org/07/lawn-care/lawns-killing-us-time-kick-habit</w:t>
        </w:r>
      </w:hyperlink>
      <w:r w:rsidR="00581EAE">
        <w:rPr>
          <w:rStyle w:val="Hyperlink"/>
          <w:sz w:val="24"/>
          <w:szCs w:val="24"/>
          <w:lang w:val="en-US"/>
        </w:rPr>
        <w:t xml:space="preserve"> (accessed November 2018)</w:t>
      </w:r>
    </w:p>
    <w:p w14:paraId="1379E170" w14:textId="77777777" w:rsidR="00143C9F" w:rsidRPr="00581EAE" w:rsidRDefault="00143C9F" w:rsidP="00581EAE">
      <w:pPr>
        <w:pStyle w:val="EndnoteText"/>
        <w:spacing w:line="480" w:lineRule="auto"/>
        <w:rPr>
          <w:sz w:val="24"/>
          <w:szCs w:val="24"/>
          <w:lang w:val="en-US"/>
        </w:rPr>
      </w:pPr>
    </w:p>
  </w:endnote>
  <w:endnote w:id="55">
    <w:p w14:paraId="7972F843" w14:textId="18379DE8" w:rsidR="00986A01" w:rsidRPr="00581EAE" w:rsidRDefault="00986A01" w:rsidP="00581EAE">
      <w:pPr>
        <w:pStyle w:val="EndnoteText"/>
        <w:spacing w:line="480" w:lineRule="auto"/>
        <w:rPr>
          <w:sz w:val="24"/>
          <w:szCs w:val="24"/>
          <w:lang w:val="en-US"/>
        </w:rPr>
      </w:pPr>
      <w:r w:rsidRPr="00581EAE">
        <w:rPr>
          <w:rStyle w:val="EndnoteReference"/>
          <w:sz w:val="24"/>
          <w:szCs w:val="24"/>
        </w:rPr>
        <w:endnoteRef/>
      </w:r>
      <w:r w:rsidRPr="00581EAE">
        <w:rPr>
          <w:sz w:val="24"/>
          <w:szCs w:val="24"/>
        </w:rPr>
        <w:t xml:space="preserve"> </w:t>
      </w:r>
      <w:r w:rsidRPr="00581EAE">
        <w:rPr>
          <w:sz w:val="24"/>
          <w:szCs w:val="24"/>
          <w:lang w:val="en-US"/>
        </w:rPr>
        <w:t>The UK low carbon transition plan- national strategy for climate and energy. The stationary office</w:t>
      </w:r>
      <w:r w:rsidR="00581EAE" w:rsidRPr="00581EAE">
        <w:rPr>
          <w:sz w:val="24"/>
          <w:szCs w:val="24"/>
          <w:lang w:val="en-US"/>
        </w:rPr>
        <w:t xml:space="preserve">. Online information available at </w:t>
      </w:r>
      <w:hyperlink r:id="rId16" w:history="1">
        <w:r w:rsidR="00581EAE" w:rsidRPr="00581EAE">
          <w:rPr>
            <w:rStyle w:val="Hyperlink"/>
            <w:sz w:val="24"/>
            <w:szCs w:val="24"/>
            <w:lang w:val="en-US"/>
          </w:rPr>
          <w:t>https://assets.publishing.service.gov.uk/government/uploads/system/uploads/attachment_data/file/228752/9780108508394.pdf</w:t>
        </w:r>
      </w:hyperlink>
      <w:r w:rsidR="00581EAE" w:rsidRPr="00581EAE">
        <w:rPr>
          <w:sz w:val="24"/>
          <w:szCs w:val="24"/>
          <w:lang w:val="en-US"/>
        </w:rPr>
        <w:t xml:space="preserve"> (accessed November 2018)</w:t>
      </w:r>
    </w:p>
    <w:p w14:paraId="3287374A" w14:textId="77777777" w:rsidR="00581EAE" w:rsidRPr="00581EAE" w:rsidRDefault="00581EAE" w:rsidP="00581EAE">
      <w:pPr>
        <w:pStyle w:val="EndnoteText"/>
        <w:spacing w:line="480" w:lineRule="auto"/>
        <w:rPr>
          <w:sz w:val="24"/>
          <w:szCs w:val="24"/>
          <w:lang w:val="en-US"/>
        </w:rPr>
      </w:pPr>
    </w:p>
  </w:endnote>
  <w:endnote w:id="56">
    <w:p w14:paraId="79A5BFBF" w14:textId="1C7A48CB" w:rsidR="00581EAE" w:rsidRPr="00581EAE" w:rsidRDefault="00581EAE" w:rsidP="00581EAE">
      <w:pPr>
        <w:pStyle w:val="EndnoteText"/>
        <w:spacing w:line="480" w:lineRule="auto"/>
        <w:rPr>
          <w:sz w:val="24"/>
          <w:szCs w:val="24"/>
        </w:rPr>
      </w:pPr>
      <w:r w:rsidRPr="00581EAE">
        <w:rPr>
          <w:rStyle w:val="EndnoteReference"/>
          <w:sz w:val="24"/>
          <w:szCs w:val="24"/>
        </w:rPr>
        <w:endnoteRef/>
      </w:r>
      <w:r w:rsidRPr="00581EAE">
        <w:rPr>
          <w:sz w:val="24"/>
          <w:szCs w:val="24"/>
        </w:rPr>
        <w:t xml:space="preserve"> American Society of Landscape Artists. Online information available at </w:t>
      </w:r>
      <w:hyperlink r:id="rId17" w:history="1">
        <w:r w:rsidRPr="00581EAE">
          <w:rPr>
            <w:rStyle w:val="Hyperlink"/>
            <w:sz w:val="24"/>
            <w:szCs w:val="24"/>
          </w:rPr>
          <w:t>https://www.asla.org/uploadedFiles/CMS/Meetings_and_Events/2015_Annual_Meeting_Handouts/SUN-B06_Native%20Meadows%20and%20Grasslands.pdf</w:t>
        </w:r>
      </w:hyperlink>
      <w:r w:rsidRPr="00581EAE">
        <w:rPr>
          <w:rFonts w:eastAsia="Times New Roman"/>
          <w:color w:val="auto"/>
          <w:sz w:val="24"/>
          <w:szCs w:val="24"/>
          <w:lang w:val="en-IE"/>
        </w:rPr>
        <w:t>(accessed November 2018)</w:t>
      </w:r>
    </w:p>
    <w:p w14:paraId="073C95DF" w14:textId="77777777" w:rsidR="00581EAE" w:rsidRPr="00581EAE" w:rsidRDefault="00581EAE" w:rsidP="00581EAE">
      <w:pPr>
        <w:pStyle w:val="EndnoteText"/>
        <w:spacing w:line="480" w:lineRule="auto"/>
        <w:rPr>
          <w:sz w:val="24"/>
          <w:szCs w:val="24"/>
          <w:lang w:val="en-US"/>
        </w:rPr>
      </w:pPr>
    </w:p>
  </w:endnote>
  <w:endnote w:id="57">
    <w:p w14:paraId="23CBCF7D" w14:textId="7E397B14" w:rsidR="00EC4ABB" w:rsidRPr="00581EAE" w:rsidRDefault="00EC4ABB" w:rsidP="00581EAE">
      <w:pPr>
        <w:pStyle w:val="EndnoteText"/>
        <w:spacing w:line="480" w:lineRule="auto"/>
        <w:rPr>
          <w:sz w:val="24"/>
          <w:szCs w:val="24"/>
        </w:rPr>
      </w:pPr>
      <w:r w:rsidRPr="00581EAE">
        <w:rPr>
          <w:rStyle w:val="EndnoteReference"/>
          <w:sz w:val="24"/>
          <w:szCs w:val="24"/>
        </w:rPr>
        <w:endnoteRef/>
      </w:r>
      <w:r w:rsidRPr="00581EAE">
        <w:rPr>
          <w:sz w:val="24"/>
          <w:szCs w:val="24"/>
        </w:rPr>
        <w:t xml:space="preserve"> </w:t>
      </w:r>
      <w:r w:rsidR="00581EAE" w:rsidRPr="00581EAE">
        <w:rPr>
          <w:sz w:val="24"/>
          <w:szCs w:val="24"/>
        </w:rPr>
        <w:t xml:space="preserve">Lambeth GP Food Cooperative. Online information available at </w:t>
      </w:r>
      <w:hyperlink r:id="rId18" w:history="1">
        <w:r w:rsidR="00581EAE" w:rsidRPr="00581EAE">
          <w:rPr>
            <w:rStyle w:val="Hyperlink"/>
            <w:sz w:val="24"/>
            <w:szCs w:val="24"/>
          </w:rPr>
          <w:t>http://lambeth.gpfoodcoop.org.uk/What-we-do/?Category=3766</w:t>
        </w:r>
      </w:hyperlink>
      <w:r w:rsidR="00581EAE" w:rsidRPr="00581EAE">
        <w:rPr>
          <w:rFonts w:eastAsia="Times New Roman"/>
          <w:color w:val="auto"/>
          <w:sz w:val="24"/>
          <w:szCs w:val="24"/>
          <w:lang w:val="en-IE"/>
        </w:rPr>
        <w:t>(accessed November 2018)</w:t>
      </w:r>
    </w:p>
    <w:p w14:paraId="711BB0C7" w14:textId="77777777" w:rsidR="00581EAE" w:rsidRPr="00581EAE" w:rsidRDefault="00581EAE" w:rsidP="00581EAE">
      <w:pPr>
        <w:pStyle w:val="EndnoteText"/>
        <w:spacing w:line="480" w:lineRule="auto"/>
        <w:rPr>
          <w:sz w:val="24"/>
          <w:szCs w:val="24"/>
          <w:lang w:val="en-US"/>
        </w:rPr>
      </w:pPr>
    </w:p>
  </w:endnote>
  <w:endnote w:id="58">
    <w:p w14:paraId="3D2D195B" w14:textId="0D493771" w:rsidR="007E0054" w:rsidRPr="00581EAE" w:rsidRDefault="007E0054" w:rsidP="00581EAE">
      <w:pPr>
        <w:pStyle w:val="EndnoteText"/>
        <w:spacing w:line="480" w:lineRule="auto"/>
        <w:rPr>
          <w:sz w:val="24"/>
          <w:szCs w:val="24"/>
        </w:rPr>
      </w:pPr>
      <w:r w:rsidRPr="00581EAE">
        <w:rPr>
          <w:rStyle w:val="EndnoteReference"/>
          <w:sz w:val="24"/>
          <w:szCs w:val="24"/>
        </w:rPr>
        <w:endnoteRef/>
      </w:r>
      <w:r w:rsidRPr="00581EAE">
        <w:rPr>
          <w:sz w:val="24"/>
          <w:szCs w:val="24"/>
        </w:rPr>
        <w:t xml:space="preserve"> </w:t>
      </w:r>
      <w:r w:rsidR="00581EAE" w:rsidRPr="00581EAE">
        <w:rPr>
          <w:sz w:val="24"/>
          <w:szCs w:val="24"/>
        </w:rPr>
        <w:t xml:space="preserve">Property Reporter. Online information available at </w:t>
      </w:r>
      <w:hyperlink r:id="rId19" w:history="1">
        <w:r w:rsidR="00581EAE" w:rsidRPr="00581EAE">
          <w:rPr>
            <w:rStyle w:val="Hyperlink"/>
            <w:sz w:val="24"/>
            <w:szCs w:val="24"/>
          </w:rPr>
          <w:t>http://www.propertyreporter.co.uk/household/demand-for-allotments-is-growing.html</w:t>
        </w:r>
      </w:hyperlink>
      <w:r w:rsidR="00581EAE" w:rsidRPr="00581EAE">
        <w:rPr>
          <w:sz w:val="24"/>
          <w:szCs w:val="24"/>
        </w:rPr>
        <w:t xml:space="preserve"> (accessed November 2018)</w:t>
      </w:r>
    </w:p>
    <w:p w14:paraId="426ECBC4" w14:textId="77777777" w:rsidR="00581EAE" w:rsidRPr="00581EAE" w:rsidRDefault="00581EAE" w:rsidP="00581EAE">
      <w:pPr>
        <w:pStyle w:val="EndnoteText"/>
        <w:spacing w:line="480" w:lineRule="auto"/>
        <w:rPr>
          <w:sz w:val="24"/>
          <w:szCs w:val="24"/>
          <w:lang w:val="en-US"/>
        </w:rPr>
      </w:pPr>
    </w:p>
  </w:endnote>
  <w:endnote w:id="59">
    <w:p w14:paraId="5CE3A6E8" w14:textId="0F4B9DE1" w:rsidR="003E6F59" w:rsidRPr="00581EAE" w:rsidRDefault="003E6F59" w:rsidP="00581EAE">
      <w:pPr>
        <w:rPr>
          <w:rFonts w:eastAsia="Times New Roman"/>
          <w:color w:val="auto"/>
          <w:sz w:val="24"/>
          <w:szCs w:val="24"/>
          <w:lang w:val="en-IE"/>
        </w:rPr>
      </w:pPr>
      <w:r w:rsidRPr="00581EAE">
        <w:rPr>
          <w:rStyle w:val="EndnoteReference"/>
          <w:sz w:val="24"/>
          <w:szCs w:val="24"/>
        </w:rPr>
        <w:endnoteRef/>
      </w:r>
      <w:r w:rsidRPr="00581EAE">
        <w:rPr>
          <w:sz w:val="24"/>
          <w:szCs w:val="24"/>
        </w:rPr>
        <w:t xml:space="preserve"> </w:t>
      </w:r>
      <w:r w:rsidR="00581EAE" w:rsidRPr="00581EAE">
        <w:rPr>
          <w:sz w:val="24"/>
          <w:szCs w:val="24"/>
        </w:rPr>
        <w:t xml:space="preserve">The Guardian. Online information available at </w:t>
      </w:r>
      <w:hyperlink r:id="rId20" w:history="1">
        <w:r w:rsidR="00581EAE" w:rsidRPr="00581EAE">
          <w:rPr>
            <w:rStyle w:val="Hyperlink"/>
            <w:rFonts w:eastAsia="Times New Roman"/>
            <w:sz w:val="24"/>
            <w:szCs w:val="24"/>
            <w:lang w:val="en-IE"/>
          </w:rPr>
          <w:t>https://www.theguardian.com/sustainable-business/blog/green-spaces-bupa-rspb-partnership-care-home</w:t>
        </w:r>
      </w:hyperlink>
      <w:r w:rsidR="00581EAE" w:rsidRPr="00581EAE">
        <w:rPr>
          <w:rFonts w:eastAsia="Times New Roman"/>
          <w:color w:val="auto"/>
          <w:sz w:val="24"/>
          <w:szCs w:val="24"/>
          <w:lang w:val="en-IE"/>
        </w:rPr>
        <w:t xml:space="preserve"> (accessed November 2018)</w:t>
      </w:r>
    </w:p>
    <w:p w14:paraId="2486EA79" w14:textId="77777777" w:rsidR="003E6F59" w:rsidRDefault="003E6F59" w:rsidP="00581EAE">
      <w:pPr>
        <w:pStyle w:val="EndnoteText"/>
        <w:spacing w:line="480" w:lineRule="auto"/>
        <w:rPr>
          <w:sz w:val="24"/>
          <w:szCs w:val="24"/>
          <w:lang w:val="en-US"/>
        </w:rPr>
      </w:pPr>
    </w:p>
    <w:p w14:paraId="2349284D" w14:textId="77777777" w:rsidR="00154316" w:rsidRDefault="00154316" w:rsidP="00581EAE">
      <w:pPr>
        <w:pStyle w:val="EndnoteText"/>
        <w:spacing w:line="480" w:lineRule="auto"/>
        <w:rPr>
          <w:sz w:val="24"/>
          <w:szCs w:val="24"/>
          <w:lang w:val="en-US"/>
        </w:rPr>
      </w:pPr>
    </w:p>
    <w:p w14:paraId="489BD39C" w14:textId="77777777" w:rsidR="00154316" w:rsidRDefault="00154316" w:rsidP="00581EAE">
      <w:pPr>
        <w:pStyle w:val="EndnoteText"/>
        <w:spacing w:line="480" w:lineRule="auto"/>
        <w:rPr>
          <w:sz w:val="24"/>
          <w:szCs w:val="24"/>
          <w:lang w:val="en-US"/>
        </w:rPr>
      </w:pPr>
    </w:p>
    <w:p w14:paraId="1D11E602" w14:textId="77777777" w:rsidR="00154316" w:rsidRDefault="00154316" w:rsidP="00581EAE">
      <w:pPr>
        <w:pStyle w:val="EndnoteText"/>
        <w:spacing w:line="480" w:lineRule="auto"/>
        <w:rPr>
          <w:sz w:val="24"/>
          <w:szCs w:val="24"/>
          <w:lang w:val="en-US"/>
        </w:rPr>
      </w:pPr>
    </w:p>
    <w:p w14:paraId="52B1A880" w14:textId="77777777" w:rsidR="00154316" w:rsidRDefault="00154316" w:rsidP="00581EAE">
      <w:pPr>
        <w:pStyle w:val="EndnoteText"/>
        <w:spacing w:line="480" w:lineRule="auto"/>
        <w:rPr>
          <w:sz w:val="24"/>
          <w:szCs w:val="24"/>
          <w:lang w:val="en-US"/>
        </w:rPr>
      </w:pPr>
    </w:p>
    <w:p w14:paraId="049A252C" w14:textId="77777777" w:rsidR="00154316" w:rsidRDefault="00154316" w:rsidP="00581EAE">
      <w:pPr>
        <w:pStyle w:val="EndnoteText"/>
        <w:spacing w:line="480" w:lineRule="auto"/>
        <w:rPr>
          <w:sz w:val="24"/>
          <w:szCs w:val="24"/>
          <w:lang w:val="en-US"/>
        </w:rPr>
      </w:pPr>
    </w:p>
    <w:p w14:paraId="2890C754" w14:textId="77777777" w:rsidR="00154316" w:rsidRDefault="00154316" w:rsidP="00581EAE">
      <w:pPr>
        <w:pStyle w:val="EndnoteText"/>
        <w:spacing w:line="480" w:lineRule="auto"/>
        <w:rPr>
          <w:sz w:val="24"/>
          <w:szCs w:val="24"/>
          <w:lang w:val="en-US"/>
        </w:rPr>
      </w:pPr>
    </w:p>
    <w:p w14:paraId="553B99C9" w14:textId="77777777" w:rsidR="00154316" w:rsidRDefault="00154316" w:rsidP="00581EAE">
      <w:pPr>
        <w:pStyle w:val="EndnoteText"/>
        <w:spacing w:line="480" w:lineRule="auto"/>
        <w:rPr>
          <w:sz w:val="24"/>
          <w:szCs w:val="24"/>
          <w:lang w:val="en-US"/>
        </w:rPr>
      </w:pPr>
    </w:p>
    <w:p w14:paraId="6A879DAB" w14:textId="77777777" w:rsidR="00154316" w:rsidRDefault="00154316" w:rsidP="00581EAE">
      <w:pPr>
        <w:pStyle w:val="EndnoteText"/>
        <w:spacing w:line="480" w:lineRule="auto"/>
        <w:rPr>
          <w:sz w:val="24"/>
          <w:szCs w:val="24"/>
          <w:lang w:val="en-US"/>
        </w:rPr>
      </w:pPr>
    </w:p>
    <w:p w14:paraId="6FB8874E" w14:textId="77777777" w:rsidR="00154316" w:rsidRDefault="00154316" w:rsidP="00581EAE">
      <w:pPr>
        <w:pStyle w:val="EndnoteText"/>
        <w:spacing w:line="480" w:lineRule="auto"/>
        <w:rPr>
          <w:sz w:val="24"/>
          <w:szCs w:val="24"/>
          <w:lang w:val="en-US"/>
        </w:rPr>
      </w:pPr>
    </w:p>
    <w:p w14:paraId="152BA18B" w14:textId="77777777" w:rsidR="00154316" w:rsidRDefault="00154316" w:rsidP="00581EAE">
      <w:pPr>
        <w:pStyle w:val="EndnoteText"/>
        <w:spacing w:line="480" w:lineRule="auto"/>
        <w:rPr>
          <w:sz w:val="24"/>
          <w:szCs w:val="24"/>
          <w:lang w:val="en-US"/>
        </w:rPr>
      </w:pPr>
    </w:p>
    <w:p w14:paraId="45E0FBAE" w14:textId="77777777" w:rsidR="00154316" w:rsidRDefault="00154316" w:rsidP="00581EAE">
      <w:pPr>
        <w:pStyle w:val="EndnoteText"/>
        <w:spacing w:line="480" w:lineRule="auto"/>
        <w:rPr>
          <w:sz w:val="24"/>
          <w:szCs w:val="24"/>
          <w:lang w:val="en-US"/>
        </w:rPr>
      </w:pPr>
    </w:p>
    <w:p w14:paraId="6324262A" w14:textId="77777777" w:rsidR="00154316" w:rsidRDefault="00154316" w:rsidP="00581EAE">
      <w:pPr>
        <w:pStyle w:val="EndnoteText"/>
        <w:spacing w:line="480" w:lineRule="auto"/>
        <w:rPr>
          <w:sz w:val="24"/>
          <w:szCs w:val="24"/>
          <w:lang w:val="en-US"/>
        </w:rPr>
      </w:pPr>
    </w:p>
    <w:p w14:paraId="7CD8FEEF" w14:textId="77777777" w:rsidR="00154316" w:rsidRDefault="00154316" w:rsidP="00581EAE">
      <w:pPr>
        <w:pStyle w:val="EndnoteText"/>
        <w:spacing w:line="480" w:lineRule="auto"/>
        <w:rPr>
          <w:sz w:val="24"/>
          <w:szCs w:val="24"/>
          <w:lang w:val="en-US"/>
        </w:rPr>
      </w:pPr>
    </w:p>
    <w:p w14:paraId="2BB90352" w14:textId="77777777" w:rsidR="00154316" w:rsidRDefault="00154316" w:rsidP="00581EAE">
      <w:pPr>
        <w:pStyle w:val="EndnoteText"/>
        <w:spacing w:line="480" w:lineRule="auto"/>
        <w:rPr>
          <w:sz w:val="24"/>
          <w:szCs w:val="24"/>
          <w:lang w:val="en-US"/>
        </w:rPr>
      </w:pPr>
    </w:p>
    <w:p w14:paraId="3626C18F" w14:textId="77777777" w:rsidR="00154316" w:rsidRDefault="00154316" w:rsidP="00581EAE">
      <w:pPr>
        <w:pStyle w:val="EndnoteText"/>
        <w:spacing w:line="480" w:lineRule="auto"/>
        <w:rPr>
          <w:sz w:val="24"/>
          <w:szCs w:val="24"/>
          <w:lang w:val="en-US"/>
        </w:rPr>
      </w:pPr>
    </w:p>
    <w:p w14:paraId="3C83C64B" w14:textId="77777777" w:rsidR="00154316" w:rsidRPr="00154316" w:rsidRDefault="00154316" w:rsidP="00154316">
      <w:pPr>
        <w:spacing w:after="0" w:line="240" w:lineRule="auto"/>
        <w:rPr>
          <w:rFonts w:ascii="Calibri" w:eastAsia="Calibri" w:hAnsi="Calibri"/>
          <w:color w:val="auto"/>
          <w:sz w:val="24"/>
          <w:szCs w:val="24"/>
          <w:lang w:val="en-IE"/>
        </w:rPr>
      </w:pPr>
    </w:p>
    <w:p w14:paraId="265AFFFE" w14:textId="77777777" w:rsidR="00154316" w:rsidRPr="00154316" w:rsidRDefault="00154316" w:rsidP="00154316">
      <w:pPr>
        <w:spacing w:after="0" w:line="240" w:lineRule="auto"/>
        <w:rPr>
          <w:rFonts w:ascii="Calibri" w:eastAsia="Calibri" w:hAnsi="Calibri"/>
          <w:color w:val="auto"/>
          <w:sz w:val="24"/>
          <w:szCs w:val="24"/>
          <w:lang w:val="en-IE"/>
        </w:rPr>
      </w:pPr>
      <w:r w:rsidRPr="00154316">
        <w:rPr>
          <w:rFonts w:ascii="Calibri" w:eastAsia="Calibri" w:hAnsi="Calibri"/>
          <w:color w:val="auto"/>
          <w:sz w:val="24"/>
          <w:szCs w:val="24"/>
          <w:lang w:val="en-IE"/>
        </w:rPr>
        <w:t>Box 1: Action box; Biodiversity</w:t>
      </w:r>
    </w:p>
    <w:p w14:paraId="0C1B7776" w14:textId="77777777" w:rsidR="00154316" w:rsidRPr="00154316" w:rsidRDefault="00154316" w:rsidP="00154316">
      <w:pPr>
        <w:spacing w:after="0" w:line="240" w:lineRule="auto"/>
        <w:rPr>
          <w:rFonts w:ascii="Calibri" w:eastAsia="Calibri" w:hAnsi="Calibri"/>
          <w:color w:val="auto"/>
          <w:sz w:val="24"/>
          <w:szCs w:val="24"/>
          <w:lang w:val="en-IE"/>
        </w:rPr>
      </w:pPr>
    </w:p>
    <w:tbl>
      <w:tblPr>
        <w:tblStyle w:val="TableGrid"/>
        <w:tblW w:w="0" w:type="auto"/>
        <w:tblInd w:w="0" w:type="dxa"/>
        <w:tblLook w:val="04A0" w:firstRow="1" w:lastRow="0" w:firstColumn="1" w:lastColumn="0" w:noHBand="0" w:noVBand="1"/>
      </w:tblPr>
      <w:tblGrid>
        <w:gridCol w:w="4727"/>
        <w:gridCol w:w="1206"/>
        <w:gridCol w:w="581"/>
        <w:gridCol w:w="1236"/>
        <w:gridCol w:w="1266"/>
      </w:tblGrid>
      <w:tr w:rsidR="00154316" w:rsidRPr="00154316" w14:paraId="36CF7371" w14:textId="77777777" w:rsidTr="00154316">
        <w:tc>
          <w:tcPr>
            <w:tcW w:w="4756" w:type="dxa"/>
            <w:tcBorders>
              <w:top w:val="single" w:sz="4" w:space="0" w:color="auto"/>
              <w:left w:val="single" w:sz="4" w:space="0" w:color="auto"/>
              <w:bottom w:val="single" w:sz="4" w:space="0" w:color="auto"/>
              <w:right w:val="single" w:sz="4" w:space="0" w:color="auto"/>
            </w:tcBorders>
          </w:tcPr>
          <w:p w14:paraId="14C2A896" w14:textId="77777777" w:rsidR="00154316" w:rsidRPr="00154316" w:rsidRDefault="00154316" w:rsidP="00154316">
            <w:pPr>
              <w:spacing w:line="240" w:lineRule="auto"/>
              <w:rPr>
                <w:rFonts w:ascii="Calibri" w:hAnsi="Calibri"/>
                <w:color w:val="auto"/>
                <w:sz w:val="24"/>
                <w:szCs w:val="24"/>
                <w:lang w:val="en-IE"/>
              </w:rPr>
            </w:pPr>
          </w:p>
        </w:tc>
        <w:tc>
          <w:tcPr>
            <w:tcW w:w="1196" w:type="dxa"/>
            <w:tcBorders>
              <w:top w:val="single" w:sz="4" w:space="0" w:color="auto"/>
              <w:left w:val="single" w:sz="4" w:space="0" w:color="auto"/>
              <w:bottom w:val="single" w:sz="4" w:space="0" w:color="auto"/>
              <w:right w:val="single" w:sz="4" w:space="0" w:color="auto"/>
            </w:tcBorders>
            <w:hideMark/>
          </w:tcPr>
          <w:p w14:paraId="0ACA373F"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268EF6B8" wp14:editId="559BB746">
                  <wp:extent cx="619125" cy="619125"/>
                  <wp:effectExtent l="0" t="0" r="9525" b="9525"/>
                  <wp:docPr id="2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0AB61A92"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07260CBD"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51D2EEBE" wp14:editId="241DC199">
                  <wp:extent cx="638175" cy="495300"/>
                  <wp:effectExtent l="0" t="0" r="9525" b="0"/>
                  <wp:docPr id="2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8175" cy="4953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59C35CE4"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2498C481" wp14:editId="13B74C01">
                  <wp:extent cx="657225" cy="723900"/>
                  <wp:effectExtent l="0" t="0" r="9525" b="0"/>
                  <wp:docPr id="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154316" w:rsidRPr="00154316" w14:paraId="2876BEA9"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4F8C7D02"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Provide greenspace in your outdoor area</w:t>
            </w:r>
          </w:p>
        </w:tc>
        <w:tc>
          <w:tcPr>
            <w:tcW w:w="1196" w:type="dxa"/>
            <w:tcBorders>
              <w:top w:val="single" w:sz="4" w:space="0" w:color="auto"/>
              <w:left w:val="single" w:sz="4" w:space="0" w:color="auto"/>
              <w:bottom w:val="single" w:sz="4" w:space="0" w:color="auto"/>
              <w:right w:val="single" w:sz="4" w:space="0" w:color="auto"/>
            </w:tcBorders>
            <w:hideMark/>
          </w:tcPr>
          <w:p w14:paraId="5BA49017"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79EB6C3F" wp14:editId="57A49B54">
                  <wp:extent cx="190500" cy="190500"/>
                  <wp:effectExtent l="0" t="0" r="0" b="0"/>
                  <wp:docPr id="2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60E7DBD3" wp14:editId="39E92696">
                  <wp:extent cx="190500" cy="190500"/>
                  <wp:effectExtent l="0" t="0" r="0" b="0"/>
                  <wp:docPr id="21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407A28C6" wp14:editId="297B1D6E">
                  <wp:extent cx="190500" cy="190500"/>
                  <wp:effectExtent l="0" t="0" r="0" b="0"/>
                  <wp:docPr id="21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53389E71"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3E2337F5"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7324D535" wp14:editId="671440B2">
                  <wp:extent cx="238125" cy="190500"/>
                  <wp:effectExtent l="0" t="0" r="9525" b="0"/>
                  <wp:docPr id="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682682D9"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0F02E2FB" wp14:editId="7CCA6363">
                  <wp:extent cx="171450" cy="190500"/>
                  <wp:effectExtent l="0" t="0" r="0" b="0"/>
                  <wp:docPr id="22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7B53D39C" wp14:editId="59E9F13F">
                  <wp:extent cx="171450" cy="190500"/>
                  <wp:effectExtent l="0" t="0" r="0" b="0"/>
                  <wp:docPr id="22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1EE83F5B"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6E7D2E96"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Stopping mowing your lawn as often</w:t>
            </w:r>
          </w:p>
        </w:tc>
        <w:tc>
          <w:tcPr>
            <w:tcW w:w="1196" w:type="dxa"/>
            <w:tcBorders>
              <w:top w:val="single" w:sz="4" w:space="0" w:color="auto"/>
              <w:left w:val="single" w:sz="4" w:space="0" w:color="auto"/>
              <w:bottom w:val="single" w:sz="4" w:space="0" w:color="auto"/>
              <w:right w:val="single" w:sz="4" w:space="0" w:color="auto"/>
            </w:tcBorders>
            <w:hideMark/>
          </w:tcPr>
          <w:p w14:paraId="53711E7C"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7ED8D52D" wp14:editId="5F7710A3">
                  <wp:extent cx="190500" cy="190500"/>
                  <wp:effectExtent l="0" t="0" r="0" b="0"/>
                  <wp:docPr id="2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75C62FA1" wp14:editId="4F1E1B57">
                  <wp:extent cx="190500" cy="190500"/>
                  <wp:effectExtent l="0" t="0" r="0" b="0"/>
                  <wp:docPr id="2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510BA927" wp14:editId="4765211F">
                  <wp:extent cx="190500" cy="190500"/>
                  <wp:effectExtent l="0" t="0" r="0" b="0"/>
                  <wp:docPr id="2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35AB6DC3"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0C9EAF34"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0DB487F1" wp14:editId="61CFEEAF">
                  <wp:extent cx="238125" cy="190500"/>
                  <wp:effectExtent l="0" t="0" r="9525" b="0"/>
                  <wp:docPr id="2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3EB41DCE"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01048A04" wp14:editId="262F7826">
                  <wp:extent cx="171450" cy="190500"/>
                  <wp:effectExtent l="0" t="0" r="0" b="0"/>
                  <wp:docPr id="227"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0621023B" wp14:editId="3B5F47CB">
                  <wp:extent cx="171450" cy="190500"/>
                  <wp:effectExtent l="0" t="0" r="0" b="0"/>
                  <wp:docPr id="22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793BBD59"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4ED33F87"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Choose plant and insect friendly plants</w:t>
            </w:r>
          </w:p>
        </w:tc>
        <w:tc>
          <w:tcPr>
            <w:tcW w:w="1196" w:type="dxa"/>
            <w:tcBorders>
              <w:top w:val="single" w:sz="4" w:space="0" w:color="auto"/>
              <w:left w:val="single" w:sz="4" w:space="0" w:color="auto"/>
              <w:bottom w:val="single" w:sz="4" w:space="0" w:color="auto"/>
              <w:right w:val="single" w:sz="4" w:space="0" w:color="auto"/>
            </w:tcBorders>
            <w:hideMark/>
          </w:tcPr>
          <w:p w14:paraId="19390419"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51521B56" wp14:editId="55EF99A4">
                  <wp:extent cx="190500" cy="190500"/>
                  <wp:effectExtent l="0" t="0" r="0" b="0"/>
                  <wp:docPr id="2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63E61BE4" wp14:editId="0DC8E893">
                  <wp:extent cx="190500" cy="190500"/>
                  <wp:effectExtent l="0" t="0" r="0" b="0"/>
                  <wp:docPr id="23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6F8F14B5" wp14:editId="5F1A64A1">
                  <wp:extent cx="190500" cy="190500"/>
                  <wp:effectExtent l="0" t="0" r="0" b="0"/>
                  <wp:docPr id="23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3B5EF5B2"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4504737F"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12935E84" wp14:editId="3A9DA241">
                  <wp:extent cx="238125" cy="190500"/>
                  <wp:effectExtent l="0" t="0" r="9525" b="0"/>
                  <wp:docPr id="2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56CFB410"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4C666936" wp14:editId="0FDF0F0B">
                  <wp:extent cx="171450" cy="190500"/>
                  <wp:effectExtent l="0" t="0" r="0" b="0"/>
                  <wp:docPr id="23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7B50C4FA" wp14:editId="64A19C8F">
                  <wp:extent cx="171450" cy="190500"/>
                  <wp:effectExtent l="0" t="0" r="0" b="0"/>
                  <wp:docPr id="23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00D1DFC7"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03DC02FC"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Choose native plants</w:t>
            </w:r>
          </w:p>
        </w:tc>
        <w:tc>
          <w:tcPr>
            <w:tcW w:w="1196" w:type="dxa"/>
            <w:tcBorders>
              <w:top w:val="single" w:sz="4" w:space="0" w:color="auto"/>
              <w:left w:val="single" w:sz="4" w:space="0" w:color="auto"/>
              <w:bottom w:val="single" w:sz="4" w:space="0" w:color="auto"/>
              <w:right w:val="single" w:sz="4" w:space="0" w:color="auto"/>
            </w:tcBorders>
            <w:hideMark/>
          </w:tcPr>
          <w:p w14:paraId="2A6B3692"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27000FF7" wp14:editId="48712D6E">
                  <wp:extent cx="190500" cy="190500"/>
                  <wp:effectExtent l="0" t="0" r="0" b="0"/>
                  <wp:docPr id="2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38E89F5E" wp14:editId="4F369AC9">
                  <wp:extent cx="190500" cy="190500"/>
                  <wp:effectExtent l="0" t="0" r="0" b="0"/>
                  <wp:docPr id="23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7CDCEF5A" wp14:editId="42D743D6">
                  <wp:extent cx="190500" cy="190500"/>
                  <wp:effectExtent l="0" t="0" r="0" b="0"/>
                  <wp:docPr id="23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6E193B47"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5904147E"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57523132" wp14:editId="07363DCF">
                  <wp:extent cx="238125" cy="190500"/>
                  <wp:effectExtent l="0" t="0" r="9525" b="0"/>
                  <wp:docPr id="2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0C930FCD"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46EDDE3A" wp14:editId="2E734178">
                  <wp:extent cx="171450" cy="190500"/>
                  <wp:effectExtent l="0" t="0" r="0" b="0"/>
                  <wp:docPr id="23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16A36FBD" wp14:editId="170262A8">
                  <wp:extent cx="171450" cy="190500"/>
                  <wp:effectExtent l="0" t="0" r="0" b="0"/>
                  <wp:docPr id="24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78FFCBBE"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0E828088"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Leave left aside areas (piles of fallen leaves, branches)</w:t>
            </w:r>
          </w:p>
        </w:tc>
        <w:tc>
          <w:tcPr>
            <w:tcW w:w="1196" w:type="dxa"/>
            <w:tcBorders>
              <w:top w:val="single" w:sz="4" w:space="0" w:color="auto"/>
              <w:left w:val="single" w:sz="4" w:space="0" w:color="auto"/>
              <w:bottom w:val="single" w:sz="4" w:space="0" w:color="auto"/>
              <w:right w:val="single" w:sz="4" w:space="0" w:color="auto"/>
            </w:tcBorders>
            <w:hideMark/>
          </w:tcPr>
          <w:p w14:paraId="3F898D77"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518F74F6" wp14:editId="0786E879">
                  <wp:extent cx="190500" cy="190500"/>
                  <wp:effectExtent l="0" t="0" r="0" b="0"/>
                  <wp:docPr id="24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5D911B09" wp14:editId="22C70123">
                  <wp:extent cx="190500" cy="190500"/>
                  <wp:effectExtent l="0" t="0" r="0" b="0"/>
                  <wp:docPr id="24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47835F86" wp14:editId="15F48048">
                  <wp:extent cx="190500" cy="190500"/>
                  <wp:effectExtent l="0" t="0" r="0" b="0"/>
                  <wp:docPr id="24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1B04EC15"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26E19555"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5FEA1382" wp14:editId="31FB5BC3">
                  <wp:extent cx="238125" cy="190500"/>
                  <wp:effectExtent l="0" t="0" r="9525" b="0"/>
                  <wp:docPr id="2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372A9E18"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12FC1325" wp14:editId="6B773AF8">
                  <wp:extent cx="171450" cy="190500"/>
                  <wp:effectExtent l="0" t="0" r="0" b="0"/>
                  <wp:docPr id="24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7F5FAEF2"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08382DBD"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Think about providing insect habitats (bug hotels)</w:t>
            </w:r>
          </w:p>
        </w:tc>
        <w:tc>
          <w:tcPr>
            <w:tcW w:w="1196" w:type="dxa"/>
            <w:tcBorders>
              <w:top w:val="single" w:sz="4" w:space="0" w:color="auto"/>
              <w:left w:val="single" w:sz="4" w:space="0" w:color="auto"/>
              <w:bottom w:val="single" w:sz="4" w:space="0" w:color="auto"/>
              <w:right w:val="single" w:sz="4" w:space="0" w:color="auto"/>
            </w:tcBorders>
            <w:hideMark/>
          </w:tcPr>
          <w:p w14:paraId="6E3F6CEC"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581E35B4" wp14:editId="19FF0CBD">
                  <wp:extent cx="190500" cy="190500"/>
                  <wp:effectExtent l="0" t="0" r="0" b="0"/>
                  <wp:docPr id="2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68987A09" wp14:editId="3C8EA122">
                  <wp:extent cx="190500" cy="190500"/>
                  <wp:effectExtent l="0" t="0" r="0" b="0"/>
                  <wp:docPr id="24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12427B98"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1B8C3264"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46C8647A" wp14:editId="10C36EF8">
                  <wp:extent cx="238125" cy="190500"/>
                  <wp:effectExtent l="0" t="0" r="9525" b="0"/>
                  <wp:docPr id="2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6C75D455"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3484E0FC" wp14:editId="68B7E28F">
                  <wp:extent cx="171450" cy="190500"/>
                  <wp:effectExtent l="0" t="0" r="0" b="0"/>
                  <wp:docPr id="249"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6A606857"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14C773AD"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Avoid pesticides</w:t>
            </w:r>
          </w:p>
        </w:tc>
        <w:tc>
          <w:tcPr>
            <w:tcW w:w="1196" w:type="dxa"/>
            <w:tcBorders>
              <w:top w:val="single" w:sz="4" w:space="0" w:color="auto"/>
              <w:left w:val="single" w:sz="4" w:space="0" w:color="auto"/>
              <w:bottom w:val="single" w:sz="4" w:space="0" w:color="auto"/>
              <w:right w:val="single" w:sz="4" w:space="0" w:color="auto"/>
            </w:tcBorders>
            <w:hideMark/>
          </w:tcPr>
          <w:p w14:paraId="42AD6DC4"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717B7EEF" wp14:editId="29C181C0">
                  <wp:extent cx="190500" cy="190500"/>
                  <wp:effectExtent l="0" t="0" r="0" b="0"/>
                  <wp:docPr id="25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7F9B5E04" wp14:editId="0672B34C">
                  <wp:extent cx="190500" cy="190500"/>
                  <wp:effectExtent l="0" t="0" r="0" b="0"/>
                  <wp:docPr id="25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79551730" wp14:editId="50678F90">
                  <wp:extent cx="190500" cy="190500"/>
                  <wp:effectExtent l="0" t="0" r="0" b="0"/>
                  <wp:docPr id="25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1258E1B5"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76D786A3"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2FFB5C5B" wp14:editId="5912EF1E">
                  <wp:extent cx="238125" cy="190500"/>
                  <wp:effectExtent l="0" t="0" r="9525" b="0"/>
                  <wp:docPr id="25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455509A9"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466C267E" wp14:editId="3E0D8C63">
                  <wp:extent cx="171450" cy="190500"/>
                  <wp:effectExtent l="0" t="0" r="0" b="0"/>
                  <wp:docPr id="254"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28CF78EC" wp14:editId="3A5ED019">
                  <wp:extent cx="171450" cy="190500"/>
                  <wp:effectExtent l="0" t="0" r="0" b="0"/>
                  <wp:docPr id="255"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1E87DBB8"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0F8FCA8B"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Create a green roof or wall</w:t>
            </w:r>
          </w:p>
        </w:tc>
        <w:tc>
          <w:tcPr>
            <w:tcW w:w="1196" w:type="dxa"/>
            <w:tcBorders>
              <w:top w:val="single" w:sz="4" w:space="0" w:color="auto"/>
              <w:left w:val="single" w:sz="4" w:space="0" w:color="auto"/>
              <w:bottom w:val="single" w:sz="4" w:space="0" w:color="auto"/>
              <w:right w:val="single" w:sz="4" w:space="0" w:color="auto"/>
            </w:tcBorders>
            <w:hideMark/>
          </w:tcPr>
          <w:p w14:paraId="1A59F06B"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62622B2B" wp14:editId="6B1EF386">
                  <wp:extent cx="190500" cy="190500"/>
                  <wp:effectExtent l="0" t="0" r="0" b="0"/>
                  <wp:docPr id="25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0768FC03"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6198A8F9"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1D7152E5" wp14:editId="1F85CE5F">
                  <wp:extent cx="238125" cy="190500"/>
                  <wp:effectExtent l="0" t="0" r="9525" b="0"/>
                  <wp:docPr id="25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389746E7"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6B4AC84F" wp14:editId="2EF36893">
                  <wp:extent cx="171450" cy="190500"/>
                  <wp:effectExtent l="0" t="0" r="0" b="0"/>
                  <wp:docPr id="25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4AFF9C34" wp14:editId="4B1857B3">
                  <wp:extent cx="171450" cy="190500"/>
                  <wp:effectExtent l="0" t="0" r="0" b="0"/>
                  <wp:docPr id="25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1AB3837F"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5D04E67A"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Plant out the balconies</w:t>
            </w:r>
          </w:p>
        </w:tc>
        <w:tc>
          <w:tcPr>
            <w:tcW w:w="1196" w:type="dxa"/>
            <w:tcBorders>
              <w:top w:val="single" w:sz="4" w:space="0" w:color="auto"/>
              <w:left w:val="single" w:sz="4" w:space="0" w:color="auto"/>
              <w:bottom w:val="single" w:sz="4" w:space="0" w:color="auto"/>
              <w:right w:val="single" w:sz="4" w:space="0" w:color="auto"/>
            </w:tcBorders>
            <w:hideMark/>
          </w:tcPr>
          <w:p w14:paraId="200ABED9"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7FE93B93" wp14:editId="319F7688">
                  <wp:extent cx="190500" cy="190500"/>
                  <wp:effectExtent l="0" t="0" r="0" b="0"/>
                  <wp:docPr id="26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4D930A42" wp14:editId="1CFD716D">
                  <wp:extent cx="190500" cy="190500"/>
                  <wp:effectExtent l="0" t="0" r="0" b="0"/>
                  <wp:docPr id="26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41F52835" wp14:editId="75144946">
                  <wp:extent cx="190500" cy="190500"/>
                  <wp:effectExtent l="0" t="0" r="0" b="0"/>
                  <wp:docPr id="2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57484D38"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0BC734A4"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264C0256" wp14:editId="4D02531D">
                  <wp:extent cx="238125" cy="190500"/>
                  <wp:effectExtent l="0" t="0" r="9525" b="0"/>
                  <wp:docPr id="2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743B1C24"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6D3B7060" wp14:editId="1C5301D9">
                  <wp:extent cx="171450" cy="190500"/>
                  <wp:effectExtent l="0" t="0" r="0" b="0"/>
                  <wp:docPr id="264"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377A95C2" wp14:editId="74D00898">
                  <wp:extent cx="171450" cy="190500"/>
                  <wp:effectExtent l="0" t="0" r="0" b="0"/>
                  <wp:docPr id="26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5FE37F3E"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73C860B2"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Place nest boxes in the roof eaves</w:t>
            </w:r>
          </w:p>
        </w:tc>
        <w:tc>
          <w:tcPr>
            <w:tcW w:w="1196" w:type="dxa"/>
            <w:tcBorders>
              <w:top w:val="single" w:sz="4" w:space="0" w:color="auto"/>
              <w:left w:val="single" w:sz="4" w:space="0" w:color="auto"/>
              <w:bottom w:val="single" w:sz="4" w:space="0" w:color="auto"/>
              <w:right w:val="single" w:sz="4" w:space="0" w:color="auto"/>
            </w:tcBorders>
            <w:hideMark/>
          </w:tcPr>
          <w:p w14:paraId="69328A64"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6BE6963E" wp14:editId="081EBF70">
                  <wp:extent cx="190500" cy="190500"/>
                  <wp:effectExtent l="0" t="0" r="0" b="0"/>
                  <wp:docPr id="26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52F416BD"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79192686"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1EA2E95B" wp14:editId="6ADF0E57">
                  <wp:extent cx="238125" cy="190500"/>
                  <wp:effectExtent l="0" t="0" r="9525" b="0"/>
                  <wp:docPr id="2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54E7E906"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0A3607FC" wp14:editId="55DD0312">
                  <wp:extent cx="171450" cy="190500"/>
                  <wp:effectExtent l="0" t="0" r="0" b="0"/>
                  <wp:docPr id="26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0913ABCC" w14:textId="77777777" w:rsidTr="00154316">
        <w:tc>
          <w:tcPr>
            <w:tcW w:w="4756" w:type="dxa"/>
            <w:tcBorders>
              <w:top w:val="single" w:sz="4" w:space="0" w:color="auto"/>
              <w:left w:val="single" w:sz="4" w:space="0" w:color="auto"/>
              <w:bottom w:val="single" w:sz="4" w:space="0" w:color="auto"/>
              <w:right w:val="single" w:sz="4" w:space="0" w:color="auto"/>
            </w:tcBorders>
            <w:hideMark/>
          </w:tcPr>
          <w:p w14:paraId="3595553A"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color w:val="auto"/>
                <w:sz w:val="24"/>
                <w:szCs w:val="24"/>
                <w:lang w:val="en-IE"/>
              </w:rPr>
              <w:t>Lose the concrete or tarmac and allow ground coverings to be porous and living</w:t>
            </w:r>
          </w:p>
        </w:tc>
        <w:tc>
          <w:tcPr>
            <w:tcW w:w="1196" w:type="dxa"/>
            <w:tcBorders>
              <w:top w:val="single" w:sz="4" w:space="0" w:color="auto"/>
              <w:left w:val="single" w:sz="4" w:space="0" w:color="auto"/>
              <w:bottom w:val="single" w:sz="4" w:space="0" w:color="auto"/>
              <w:right w:val="single" w:sz="4" w:space="0" w:color="auto"/>
            </w:tcBorders>
            <w:hideMark/>
          </w:tcPr>
          <w:p w14:paraId="3CF35488"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1ACBB00B" wp14:editId="132D5C0F">
                  <wp:extent cx="190500" cy="190500"/>
                  <wp:effectExtent l="0" t="0" r="0" b="0"/>
                  <wp:docPr id="269"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581" w:type="dxa"/>
            <w:tcBorders>
              <w:top w:val="single" w:sz="4" w:space="0" w:color="auto"/>
              <w:left w:val="single" w:sz="4" w:space="0" w:color="auto"/>
              <w:bottom w:val="single" w:sz="4" w:space="0" w:color="auto"/>
              <w:right w:val="single" w:sz="4" w:space="0" w:color="auto"/>
            </w:tcBorders>
            <w:hideMark/>
          </w:tcPr>
          <w:p w14:paraId="5DFEC3AA" w14:textId="77777777" w:rsidR="00154316" w:rsidRPr="00154316" w:rsidRDefault="00154316" w:rsidP="00154316">
            <w:pPr>
              <w:spacing w:line="240" w:lineRule="auto"/>
              <w:rPr>
                <w:rFonts w:ascii="Calibri" w:hAnsi="Calibri"/>
                <w:noProof/>
                <w:color w:val="auto"/>
                <w:sz w:val="24"/>
                <w:szCs w:val="24"/>
                <w:lang w:val="en-IE"/>
              </w:rPr>
            </w:pPr>
            <w:r w:rsidRPr="00154316">
              <w:rPr>
                <w:rFonts w:ascii="Calibri" w:hAnsi="Calibri"/>
                <w:noProof/>
                <w:color w:val="auto"/>
                <w:sz w:val="24"/>
                <w:szCs w:val="24"/>
                <w:lang w:val="en-IE"/>
              </w:rPr>
              <w:t>£££</w:t>
            </w:r>
          </w:p>
        </w:tc>
        <w:tc>
          <w:tcPr>
            <w:tcW w:w="1221" w:type="dxa"/>
            <w:tcBorders>
              <w:top w:val="single" w:sz="4" w:space="0" w:color="auto"/>
              <w:left w:val="single" w:sz="4" w:space="0" w:color="auto"/>
              <w:bottom w:val="single" w:sz="4" w:space="0" w:color="auto"/>
              <w:right w:val="single" w:sz="4" w:space="0" w:color="auto"/>
            </w:tcBorders>
            <w:hideMark/>
          </w:tcPr>
          <w:p w14:paraId="11A53DEE"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4E31588E" wp14:editId="561F26C3">
                  <wp:extent cx="238125" cy="190500"/>
                  <wp:effectExtent l="0" t="0" r="9525" b="0"/>
                  <wp:docPr id="2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hideMark/>
          </w:tcPr>
          <w:p w14:paraId="0B459FE4" w14:textId="77777777" w:rsidR="00154316" w:rsidRPr="00154316" w:rsidRDefault="00154316" w:rsidP="00154316">
            <w:pPr>
              <w:spacing w:line="240" w:lineRule="auto"/>
              <w:rPr>
                <w:rFonts w:ascii="Calibri" w:hAnsi="Calibri"/>
                <w:color w:val="auto"/>
                <w:sz w:val="24"/>
                <w:szCs w:val="24"/>
                <w:lang w:val="en-IE"/>
              </w:rPr>
            </w:pPr>
            <w:r w:rsidRPr="00154316">
              <w:rPr>
                <w:rFonts w:ascii="Calibri" w:hAnsi="Calibri"/>
                <w:noProof/>
                <w:color w:val="auto"/>
                <w:sz w:val="24"/>
                <w:szCs w:val="24"/>
                <w:lang w:eastAsia="en-GB"/>
              </w:rPr>
              <w:drawing>
                <wp:inline distT="0" distB="0" distL="0" distR="0" wp14:anchorId="041EE541" wp14:editId="304D9CFF">
                  <wp:extent cx="171450" cy="190500"/>
                  <wp:effectExtent l="0" t="0" r="0" b="0"/>
                  <wp:docPr id="271"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r w:rsidRPr="00154316">
              <w:rPr>
                <w:rFonts w:ascii="Calibri" w:hAnsi="Calibri"/>
                <w:noProof/>
                <w:color w:val="auto"/>
                <w:sz w:val="24"/>
                <w:szCs w:val="24"/>
                <w:lang w:eastAsia="en-GB"/>
              </w:rPr>
              <w:drawing>
                <wp:inline distT="0" distB="0" distL="0" distR="0" wp14:anchorId="2C8CA6D3" wp14:editId="2AE8AB5E">
                  <wp:extent cx="171450" cy="190500"/>
                  <wp:effectExtent l="0" t="0" r="0" b="0"/>
                  <wp:docPr id="272"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V="1">
                            <a:off x="0" y="0"/>
                            <a:ext cx="171450" cy="190500"/>
                          </a:xfrm>
                          <a:prstGeom prst="rect">
                            <a:avLst/>
                          </a:prstGeom>
                          <a:noFill/>
                          <a:ln>
                            <a:noFill/>
                          </a:ln>
                        </pic:spPr>
                      </pic:pic>
                    </a:graphicData>
                  </a:graphic>
                </wp:inline>
              </w:drawing>
            </w:r>
          </w:p>
        </w:tc>
      </w:tr>
      <w:tr w:rsidR="00154316" w:rsidRPr="00154316" w14:paraId="429A2E83" w14:textId="77777777" w:rsidTr="00154316">
        <w:tc>
          <w:tcPr>
            <w:tcW w:w="9010" w:type="dxa"/>
            <w:gridSpan w:val="5"/>
            <w:tcBorders>
              <w:top w:val="single" w:sz="4" w:space="0" w:color="auto"/>
              <w:left w:val="single" w:sz="4" w:space="0" w:color="auto"/>
              <w:bottom w:val="single" w:sz="4" w:space="0" w:color="auto"/>
              <w:right w:val="single" w:sz="4" w:space="0" w:color="auto"/>
            </w:tcBorders>
            <w:hideMark/>
          </w:tcPr>
          <w:p w14:paraId="52B26CE7" w14:textId="77777777" w:rsidR="00154316" w:rsidRPr="00154316" w:rsidRDefault="00154316" w:rsidP="00154316">
            <w:pPr>
              <w:spacing w:line="240" w:lineRule="auto"/>
              <w:rPr>
                <w:color w:val="auto"/>
                <w:sz w:val="24"/>
                <w:szCs w:val="24"/>
                <w:lang w:val="en-IE"/>
              </w:rPr>
            </w:pPr>
            <w:r w:rsidRPr="00154316">
              <w:rPr>
                <w:color w:val="auto"/>
                <w:sz w:val="24"/>
                <w:szCs w:val="24"/>
                <w:lang w:val="en-IE"/>
              </w:rPr>
              <w:t xml:space="preserve">Implementation: </w:t>
            </w:r>
          </w:p>
          <w:p w14:paraId="2208B1D0" w14:textId="77777777" w:rsidR="00154316" w:rsidRPr="00154316" w:rsidRDefault="00154316" w:rsidP="00154316">
            <w:pPr>
              <w:spacing w:line="240" w:lineRule="auto"/>
              <w:rPr>
                <w:rFonts w:ascii="Calibri" w:hAnsi="Calibri"/>
                <w:color w:val="auto"/>
                <w:sz w:val="24"/>
                <w:szCs w:val="24"/>
                <w:lang w:val="en-IE"/>
              </w:rPr>
            </w:pPr>
            <w:r w:rsidRPr="00154316">
              <w:rPr>
                <w:color w:val="auto"/>
                <w:sz w:val="24"/>
                <w:szCs w:val="24"/>
                <w:lang w:val="en-IE"/>
              </w:rPr>
              <w:t xml:space="preserve">Easy </w:t>
            </w:r>
            <w:r w:rsidRPr="00154316">
              <w:rPr>
                <w:noProof/>
                <w:color w:val="auto"/>
                <w:sz w:val="24"/>
                <w:szCs w:val="24"/>
                <w:lang w:eastAsia="en-GB"/>
              </w:rPr>
              <w:drawing>
                <wp:inline distT="0" distB="0" distL="0" distR="0" wp14:anchorId="3B031043" wp14:editId="7F93AF61">
                  <wp:extent cx="285750" cy="285750"/>
                  <wp:effectExtent l="0" t="0" r="0" b="0"/>
                  <wp:docPr id="273"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54316">
              <w:rPr>
                <w:noProof/>
                <w:color w:val="auto"/>
                <w:sz w:val="24"/>
                <w:szCs w:val="24"/>
                <w:lang w:eastAsia="en-GB"/>
              </w:rPr>
              <w:drawing>
                <wp:inline distT="0" distB="0" distL="0" distR="0" wp14:anchorId="5FBC22A8" wp14:editId="4F8A8223">
                  <wp:extent cx="285750" cy="285750"/>
                  <wp:effectExtent l="0" t="0" r="0" b="0"/>
                  <wp:docPr id="274"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54316">
              <w:rPr>
                <w:noProof/>
                <w:color w:val="auto"/>
                <w:sz w:val="24"/>
                <w:szCs w:val="24"/>
                <w:lang w:eastAsia="en-GB"/>
              </w:rPr>
              <w:drawing>
                <wp:inline distT="0" distB="0" distL="0" distR="0" wp14:anchorId="0FAF6344" wp14:editId="567FE66B">
                  <wp:extent cx="285750" cy="285750"/>
                  <wp:effectExtent l="0" t="0" r="0" b="0"/>
                  <wp:docPr id="275"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54316">
              <w:rPr>
                <w:color w:val="auto"/>
                <w:sz w:val="24"/>
                <w:szCs w:val="24"/>
                <w:lang w:val="en-IE"/>
              </w:rPr>
              <w:t xml:space="preserve"> Less easy </w:t>
            </w:r>
            <w:r w:rsidRPr="00154316">
              <w:rPr>
                <w:noProof/>
                <w:color w:val="auto"/>
                <w:sz w:val="24"/>
                <w:szCs w:val="24"/>
                <w:lang w:eastAsia="en-GB"/>
              </w:rPr>
              <w:drawing>
                <wp:inline distT="0" distB="0" distL="0" distR="0" wp14:anchorId="03B771FD" wp14:editId="2F9CA598">
                  <wp:extent cx="285750" cy="285750"/>
                  <wp:effectExtent l="0" t="0" r="0" b="0"/>
                  <wp:docPr id="276"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r w:rsidR="00154316" w:rsidRPr="00154316" w14:paraId="37EE291E" w14:textId="77777777" w:rsidTr="00154316">
        <w:tc>
          <w:tcPr>
            <w:tcW w:w="9010" w:type="dxa"/>
            <w:gridSpan w:val="5"/>
            <w:tcBorders>
              <w:top w:val="single" w:sz="4" w:space="0" w:color="auto"/>
              <w:left w:val="single" w:sz="4" w:space="0" w:color="auto"/>
              <w:bottom w:val="single" w:sz="4" w:space="0" w:color="auto"/>
              <w:right w:val="single" w:sz="4" w:space="0" w:color="auto"/>
            </w:tcBorders>
            <w:hideMark/>
          </w:tcPr>
          <w:p w14:paraId="2FF7290A" w14:textId="77777777" w:rsidR="00154316" w:rsidRPr="00154316" w:rsidRDefault="00154316" w:rsidP="00154316">
            <w:pPr>
              <w:spacing w:line="240" w:lineRule="auto"/>
              <w:rPr>
                <w:rFonts w:ascii="Calibri" w:hAnsi="Calibri"/>
                <w:color w:val="auto"/>
                <w:sz w:val="24"/>
                <w:szCs w:val="24"/>
                <w:lang w:val="en-IE"/>
              </w:rPr>
            </w:pPr>
            <w:r w:rsidRPr="00154316">
              <w:rPr>
                <w:color w:val="auto"/>
                <w:sz w:val="24"/>
                <w:szCs w:val="24"/>
                <w:lang w:val="en-IE"/>
              </w:rPr>
              <w:t>Investment costs: low £ … high £££</w:t>
            </w:r>
          </w:p>
        </w:tc>
      </w:tr>
      <w:tr w:rsidR="00154316" w:rsidRPr="00154316" w14:paraId="0C68B22E" w14:textId="77777777" w:rsidTr="00154316">
        <w:tc>
          <w:tcPr>
            <w:tcW w:w="9010" w:type="dxa"/>
            <w:gridSpan w:val="5"/>
            <w:tcBorders>
              <w:top w:val="single" w:sz="4" w:space="0" w:color="auto"/>
              <w:left w:val="single" w:sz="4" w:space="0" w:color="auto"/>
              <w:bottom w:val="single" w:sz="4" w:space="0" w:color="auto"/>
              <w:right w:val="single" w:sz="4" w:space="0" w:color="auto"/>
            </w:tcBorders>
            <w:hideMark/>
          </w:tcPr>
          <w:p w14:paraId="46AC3E7D" w14:textId="77777777" w:rsidR="00154316" w:rsidRPr="00154316" w:rsidRDefault="00154316" w:rsidP="00154316">
            <w:pPr>
              <w:spacing w:line="240" w:lineRule="auto"/>
              <w:rPr>
                <w:color w:val="auto"/>
                <w:sz w:val="24"/>
                <w:szCs w:val="24"/>
                <w:lang w:val="en-IE"/>
              </w:rPr>
            </w:pPr>
            <w:r w:rsidRPr="00154316">
              <w:rPr>
                <w:color w:val="auto"/>
                <w:sz w:val="24"/>
                <w:szCs w:val="24"/>
                <w:lang w:val="en-IE"/>
              </w:rPr>
              <w:t xml:space="preserve">Financial return on investment (ROI): </w:t>
            </w:r>
          </w:p>
          <w:p w14:paraId="58E60C0A" w14:textId="77777777" w:rsidR="00154316" w:rsidRPr="00154316" w:rsidRDefault="00154316" w:rsidP="00154316">
            <w:pPr>
              <w:spacing w:line="240" w:lineRule="auto"/>
              <w:rPr>
                <w:rFonts w:ascii="Calibri" w:hAnsi="Calibri"/>
                <w:color w:val="auto"/>
                <w:sz w:val="24"/>
                <w:szCs w:val="24"/>
                <w:lang w:val="en-IE"/>
              </w:rPr>
            </w:pPr>
            <w:r w:rsidRPr="00154316">
              <w:rPr>
                <w:color w:val="auto"/>
                <w:sz w:val="24"/>
                <w:szCs w:val="24"/>
                <w:lang w:val="en-IE"/>
              </w:rPr>
              <w:t xml:space="preserve">Low  </w:t>
            </w:r>
            <w:r w:rsidRPr="00154316">
              <w:rPr>
                <w:noProof/>
                <w:color w:val="auto"/>
                <w:sz w:val="24"/>
                <w:szCs w:val="24"/>
                <w:lang w:eastAsia="en-GB"/>
              </w:rPr>
              <w:drawing>
                <wp:inline distT="0" distB="0" distL="0" distR="0" wp14:anchorId="278971EA" wp14:editId="5EE3F29A">
                  <wp:extent cx="342900" cy="276225"/>
                  <wp:effectExtent l="0" t="0" r="0" b="9525"/>
                  <wp:docPr id="27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154316">
              <w:rPr>
                <w:color w:val="auto"/>
                <w:sz w:val="24"/>
                <w:szCs w:val="24"/>
                <w:lang w:val="en-IE"/>
              </w:rPr>
              <w:t xml:space="preserve"> … High </w:t>
            </w:r>
            <w:r w:rsidRPr="00154316">
              <w:rPr>
                <w:noProof/>
                <w:color w:val="auto"/>
                <w:sz w:val="24"/>
                <w:szCs w:val="24"/>
                <w:lang w:eastAsia="en-GB"/>
              </w:rPr>
              <w:drawing>
                <wp:inline distT="0" distB="0" distL="0" distR="0" wp14:anchorId="69DEDA8E" wp14:editId="257366E9">
                  <wp:extent cx="342900" cy="276225"/>
                  <wp:effectExtent l="0" t="0" r="0" b="9525"/>
                  <wp:docPr id="27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154316">
              <w:rPr>
                <w:noProof/>
                <w:color w:val="auto"/>
                <w:sz w:val="24"/>
                <w:szCs w:val="24"/>
                <w:lang w:eastAsia="en-GB"/>
              </w:rPr>
              <w:drawing>
                <wp:inline distT="0" distB="0" distL="0" distR="0" wp14:anchorId="573FACA5" wp14:editId="40CF1207">
                  <wp:extent cx="342900" cy="276225"/>
                  <wp:effectExtent l="0" t="0" r="0" b="9525"/>
                  <wp:docPr id="279"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154316">
              <w:rPr>
                <w:noProof/>
                <w:color w:val="auto"/>
                <w:sz w:val="24"/>
                <w:szCs w:val="24"/>
                <w:lang w:eastAsia="en-GB"/>
              </w:rPr>
              <w:drawing>
                <wp:inline distT="0" distB="0" distL="0" distR="0" wp14:anchorId="62F37972" wp14:editId="318701A0">
                  <wp:extent cx="342900" cy="276225"/>
                  <wp:effectExtent l="0" t="0" r="0" b="9525"/>
                  <wp:docPr id="280"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p>
        </w:tc>
      </w:tr>
      <w:tr w:rsidR="00154316" w:rsidRPr="00154316" w14:paraId="0F9C860C" w14:textId="77777777" w:rsidTr="00154316">
        <w:tc>
          <w:tcPr>
            <w:tcW w:w="9010" w:type="dxa"/>
            <w:gridSpan w:val="5"/>
            <w:tcBorders>
              <w:top w:val="single" w:sz="4" w:space="0" w:color="auto"/>
              <w:left w:val="single" w:sz="4" w:space="0" w:color="auto"/>
              <w:bottom w:val="single" w:sz="4" w:space="0" w:color="auto"/>
              <w:right w:val="single" w:sz="4" w:space="0" w:color="auto"/>
            </w:tcBorders>
            <w:hideMark/>
          </w:tcPr>
          <w:p w14:paraId="27883A52" w14:textId="77777777" w:rsidR="00154316" w:rsidRPr="00154316" w:rsidRDefault="00154316" w:rsidP="00154316">
            <w:pPr>
              <w:spacing w:line="240" w:lineRule="auto"/>
              <w:rPr>
                <w:color w:val="auto"/>
                <w:sz w:val="24"/>
                <w:szCs w:val="24"/>
                <w:lang w:val="en-IE"/>
              </w:rPr>
            </w:pPr>
            <w:r w:rsidRPr="00154316">
              <w:rPr>
                <w:color w:val="auto"/>
                <w:sz w:val="24"/>
                <w:szCs w:val="24"/>
                <w:lang w:val="en-IE"/>
              </w:rPr>
              <w:t xml:space="preserve">Environmental benefit: </w:t>
            </w:r>
          </w:p>
          <w:p w14:paraId="30322AB1" w14:textId="77777777" w:rsidR="00154316" w:rsidRPr="00154316" w:rsidRDefault="00154316" w:rsidP="00154316">
            <w:pPr>
              <w:spacing w:line="240" w:lineRule="auto"/>
              <w:rPr>
                <w:rFonts w:ascii="Calibri" w:hAnsi="Calibri"/>
                <w:color w:val="auto"/>
                <w:sz w:val="24"/>
                <w:szCs w:val="24"/>
                <w:lang w:val="en-IE"/>
              </w:rPr>
            </w:pPr>
            <w:r w:rsidRPr="00154316">
              <w:rPr>
                <w:color w:val="auto"/>
                <w:sz w:val="24"/>
                <w:szCs w:val="24"/>
                <w:lang w:val="en-IE"/>
              </w:rPr>
              <w:t xml:space="preserve">Small  </w:t>
            </w:r>
            <w:r w:rsidRPr="00154316">
              <w:rPr>
                <w:noProof/>
                <w:color w:val="auto"/>
                <w:sz w:val="24"/>
                <w:szCs w:val="24"/>
                <w:lang w:eastAsia="en-GB"/>
              </w:rPr>
              <w:drawing>
                <wp:inline distT="0" distB="0" distL="0" distR="0" wp14:anchorId="23563097" wp14:editId="3C92E60D">
                  <wp:extent cx="266700" cy="285750"/>
                  <wp:effectExtent l="0" t="0" r="0" b="0"/>
                  <wp:docPr id="281"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154316">
              <w:rPr>
                <w:color w:val="auto"/>
                <w:sz w:val="24"/>
                <w:szCs w:val="24"/>
                <w:lang w:val="en-IE"/>
              </w:rPr>
              <w:t xml:space="preserve"> … Large  </w:t>
            </w:r>
            <w:r w:rsidRPr="00154316">
              <w:rPr>
                <w:noProof/>
                <w:color w:val="auto"/>
                <w:sz w:val="24"/>
                <w:szCs w:val="24"/>
                <w:lang w:eastAsia="en-GB"/>
              </w:rPr>
              <w:drawing>
                <wp:inline distT="0" distB="0" distL="0" distR="0" wp14:anchorId="6A90485A" wp14:editId="3C349769">
                  <wp:extent cx="266700" cy="285750"/>
                  <wp:effectExtent l="0" t="0" r="0" b="0"/>
                  <wp:docPr id="282"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154316">
              <w:rPr>
                <w:noProof/>
                <w:color w:val="auto"/>
                <w:sz w:val="24"/>
                <w:szCs w:val="24"/>
                <w:lang w:eastAsia="en-GB"/>
              </w:rPr>
              <w:drawing>
                <wp:inline distT="0" distB="0" distL="0" distR="0" wp14:anchorId="48A17481" wp14:editId="74FF5F23">
                  <wp:extent cx="266700" cy="285750"/>
                  <wp:effectExtent l="0" t="0" r="0" b="0"/>
                  <wp:docPr id="283"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154316">
              <w:rPr>
                <w:noProof/>
                <w:color w:val="auto"/>
                <w:sz w:val="24"/>
                <w:szCs w:val="24"/>
                <w:lang w:eastAsia="en-GB"/>
              </w:rPr>
              <w:drawing>
                <wp:inline distT="0" distB="0" distL="0" distR="0" wp14:anchorId="03F1BF99" wp14:editId="6C500A0D">
                  <wp:extent cx="266700" cy="285750"/>
                  <wp:effectExtent l="0" t="0" r="0" b="0"/>
                  <wp:docPr id="28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tc>
      </w:tr>
    </w:tbl>
    <w:p w14:paraId="02CF2140" w14:textId="77777777" w:rsidR="00154316" w:rsidRPr="00154316" w:rsidRDefault="00154316" w:rsidP="00154316">
      <w:pPr>
        <w:spacing w:after="0" w:line="240" w:lineRule="auto"/>
        <w:rPr>
          <w:rFonts w:ascii="Calibri" w:eastAsia="Calibri" w:hAnsi="Calibri"/>
          <w:color w:val="auto"/>
          <w:sz w:val="24"/>
          <w:szCs w:val="24"/>
          <w:lang w:val="en-IE"/>
        </w:rPr>
      </w:pPr>
    </w:p>
    <w:p w14:paraId="5F3B5224" w14:textId="77777777" w:rsidR="00154316" w:rsidRPr="00154316" w:rsidRDefault="00154316" w:rsidP="00154316">
      <w:pPr>
        <w:spacing w:after="0" w:line="240" w:lineRule="auto"/>
        <w:rPr>
          <w:rFonts w:ascii="Calibri" w:eastAsia="Calibri" w:hAnsi="Calibri"/>
          <w:color w:val="auto"/>
          <w:sz w:val="24"/>
          <w:szCs w:val="24"/>
          <w:lang w:val="en-IE"/>
        </w:rPr>
      </w:pPr>
      <w:r w:rsidRPr="00154316">
        <w:rPr>
          <w:rFonts w:ascii="Calibri" w:eastAsia="Calibri" w:hAnsi="Calibri"/>
          <w:color w:val="auto"/>
          <w:sz w:val="24"/>
          <w:szCs w:val="24"/>
          <w:lang w:val="en-IE"/>
        </w:rPr>
        <w:t xml:space="preserve">The following Action box (see Box 1) provides a summary for readers to consider. The reader should be advised that the judgement of ease, cost and impact is subjective, and more evidence is needed. </w:t>
      </w:r>
    </w:p>
    <w:p w14:paraId="01CB0A46" w14:textId="77777777" w:rsidR="00154316" w:rsidRPr="00154316" w:rsidRDefault="00154316" w:rsidP="00154316">
      <w:pPr>
        <w:spacing w:after="0" w:line="240" w:lineRule="auto"/>
        <w:rPr>
          <w:rFonts w:ascii="Calibri" w:eastAsia="Calibri" w:hAnsi="Calibri"/>
          <w:color w:val="auto"/>
          <w:sz w:val="24"/>
          <w:szCs w:val="24"/>
          <w:lang w:val="en-IE"/>
        </w:rPr>
      </w:pPr>
    </w:p>
    <w:p w14:paraId="6555C5B7" w14:textId="77777777" w:rsidR="00154316" w:rsidRPr="00154316" w:rsidRDefault="00154316" w:rsidP="00154316">
      <w:pPr>
        <w:spacing w:after="0" w:line="240" w:lineRule="auto"/>
        <w:rPr>
          <w:rFonts w:ascii="Calibri" w:eastAsia="Calibri" w:hAnsi="Calibri"/>
          <w:color w:val="auto"/>
          <w:sz w:val="24"/>
          <w:szCs w:val="24"/>
          <w:lang w:val="en-IE"/>
        </w:rPr>
      </w:pPr>
      <w:r w:rsidRPr="00154316">
        <w:rPr>
          <w:rFonts w:ascii="Calibri" w:eastAsia="Calibri" w:hAnsi="Calibri"/>
          <w:color w:val="auto"/>
          <w:sz w:val="24"/>
          <w:szCs w:val="24"/>
          <w:lang w:val="en-IE"/>
        </w:rPr>
        <w:t xml:space="preserve"> </w:t>
      </w:r>
    </w:p>
    <w:p w14:paraId="07DC6A1D" w14:textId="77777777" w:rsidR="00154316" w:rsidRPr="00581EAE" w:rsidRDefault="00154316" w:rsidP="00581EAE">
      <w:pPr>
        <w:pStyle w:val="EndnoteText"/>
        <w:spacing w:line="480" w:lineRule="auto"/>
        <w:rPr>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Headings CS)">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D77E0" w14:textId="77777777" w:rsidR="00F25D31" w:rsidRDefault="00F25D31" w:rsidP="00B52997">
      <w:pPr>
        <w:spacing w:after="0" w:line="240" w:lineRule="auto"/>
      </w:pPr>
      <w:r>
        <w:separator/>
      </w:r>
    </w:p>
  </w:footnote>
  <w:footnote w:type="continuationSeparator" w:id="0">
    <w:p w14:paraId="307A98ED" w14:textId="77777777" w:rsidR="00F25D31" w:rsidRDefault="00F25D31" w:rsidP="00B52997">
      <w:pPr>
        <w:spacing w:after="0" w:line="240" w:lineRule="auto"/>
      </w:pPr>
      <w:r>
        <w:continuationSeparator/>
      </w:r>
    </w:p>
  </w:footnote>
  <w:footnote w:id="1">
    <w:p w14:paraId="7ADE3ACE" w14:textId="77777777" w:rsidR="00154316" w:rsidRDefault="00154316" w:rsidP="00154316">
      <w:pPr>
        <w:pStyle w:val="FootnoteText"/>
      </w:pPr>
      <w:r>
        <w:rPr>
          <w:rStyle w:val="FootnoteReference"/>
        </w:rPr>
        <w:footnoteRef/>
      </w:r>
      <w:r>
        <w:t>Associate Professor, Dental Public Health, Dublin Dental University Hospital, Trinity College Dublin</w:t>
      </w:r>
    </w:p>
  </w:footnote>
  <w:footnote w:id="2">
    <w:p w14:paraId="3A82E427" w14:textId="77777777" w:rsidR="00154316" w:rsidRDefault="00154316" w:rsidP="00154316">
      <w:pPr>
        <w:pStyle w:val="FootnoteText"/>
      </w:pPr>
      <w:r>
        <w:rPr>
          <w:rStyle w:val="FootnoteReference"/>
        </w:rPr>
        <w:footnoteRef/>
      </w:r>
      <w:r>
        <w:t>Clinical Fellow in Sustainable Dentistry (Dental Public Health), Centre for Sustainable Healthcare, Cranbrook House, 287-291 Banbury Road, Oxford, OX2 7JQ, UK</w:t>
      </w:r>
    </w:p>
  </w:footnote>
  <w:footnote w:id="3">
    <w:p w14:paraId="4A7774A0" w14:textId="77777777" w:rsidR="00154316" w:rsidRDefault="00154316" w:rsidP="00154316">
      <w:pPr>
        <w:pStyle w:val="FootnoteText"/>
      </w:pPr>
      <w:r>
        <w:rPr>
          <w:rStyle w:val="FootnoteReference"/>
        </w:rPr>
        <w:footnoteRef/>
      </w:r>
      <w:r>
        <w:t>Clinical Fellow in Sustainable Dentistry (Dental Public Health), Centre for Sustainable Healthcare, Cranbrook House, 287-291 Banbury Road, Oxford, OX2 7JQ, UK</w:t>
      </w:r>
    </w:p>
  </w:footnote>
  <w:footnote w:id="4">
    <w:p w14:paraId="63C1EA66" w14:textId="77777777" w:rsidR="00154316" w:rsidRDefault="00154316" w:rsidP="00154316">
      <w:pPr>
        <w:pStyle w:val="FootnoteText"/>
      </w:pPr>
      <w:r>
        <w:rPr>
          <w:rStyle w:val="FootnoteReference"/>
        </w:rPr>
        <w:footnoteRef/>
      </w:r>
      <w:r>
        <w:t>Project Manager, Centre for Sustainable Healthcare, Cranbrook House, 287-291 Banbury Road, Oxford, OX2 7JQ, UK</w:t>
      </w:r>
    </w:p>
  </w:footnote>
  <w:footnote w:id="5">
    <w:p w14:paraId="214A47D0" w14:textId="77777777" w:rsidR="00154316" w:rsidRDefault="00154316" w:rsidP="00154316">
      <w:pPr>
        <w:pStyle w:val="FootnoteText"/>
      </w:pPr>
      <w:r>
        <w:rPr>
          <w:rStyle w:val="FootnoteReference"/>
        </w:rPr>
        <w:footnoteRef/>
      </w:r>
      <w:r>
        <w:t>Director, Centre for Sustainable Healthcare, Cranbrook House, 287-291 Banbury Road, Oxford, OX2 7JQ, UK</w:t>
      </w:r>
    </w:p>
  </w:footnote>
  <w:footnote w:id="6">
    <w:p w14:paraId="39B1BA99" w14:textId="77777777" w:rsidR="00154316" w:rsidRDefault="00154316" w:rsidP="00154316">
      <w:pPr>
        <w:pStyle w:val="FootnoteText"/>
      </w:pPr>
      <w:r>
        <w:rPr>
          <w:rStyle w:val="FootnoteReference"/>
        </w:rPr>
        <w:footnoteRef/>
      </w:r>
      <w:r>
        <w:t>Lecturer, Animal and Plant Science Research Group, School of Applied Sciences</w:t>
      </w:r>
    </w:p>
    <w:p w14:paraId="725056B9" w14:textId="77777777" w:rsidR="00154316" w:rsidRDefault="00154316" w:rsidP="00154316">
      <w:pPr>
        <w:pStyle w:val="FootnoteText"/>
      </w:pPr>
      <w:r>
        <w:t xml:space="preserve">Edinburgh Napier University, Edinburgh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408EF"/>
    <w:multiLevelType w:val="hybridMultilevel"/>
    <w:tmpl w:val="D6E6CD24"/>
    <w:lvl w:ilvl="0" w:tplc="ECC61314">
      <w:start w:val="1"/>
      <w:numFmt w:val="decimal"/>
      <w:pStyle w:val="Heading1"/>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0AF3D11"/>
    <w:multiLevelType w:val="hybridMultilevel"/>
    <w:tmpl w:val="DFC6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3223A"/>
    <w:multiLevelType w:val="hybridMultilevel"/>
    <w:tmpl w:val="379A6B66"/>
    <w:lvl w:ilvl="0" w:tplc="86D40BD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97"/>
    <w:rsid w:val="000A4F09"/>
    <w:rsid w:val="000C23E4"/>
    <w:rsid w:val="000C3D5D"/>
    <w:rsid w:val="00113B4A"/>
    <w:rsid w:val="00143C9F"/>
    <w:rsid w:val="00154316"/>
    <w:rsid w:val="001F5D8E"/>
    <w:rsid w:val="00257086"/>
    <w:rsid w:val="00263EF6"/>
    <w:rsid w:val="00276604"/>
    <w:rsid w:val="002A260D"/>
    <w:rsid w:val="002B122C"/>
    <w:rsid w:val="00311D1F"/>
    <w:rsid w:val="003156B9"/>
    <w:rsid w:val="00341A83"/>
    <w:rsid w:val="00351FB4"/>
    <w:rsid w:val="00392237"/>
    <w:rsid w:val="003A7B09"/>
    <w:rsid w:val="003D5826"/>
    <w:rsid w:val="003E6F59"/>
    <w:rsid w:val="00461AF8"/>
    <w:rsid w:val="00485213"/>
    <w:rsid w:val="004C0AC3"/>
    <w:rsid w:val="004C6CE7"/>
    <w:rsid w:val="00504848"/>
    <w:rsid w:val="0054614F"/>
    <w:rsid w:val="00581EAE"/>
    <w:rsid w:val="005A40B4"/>
    <w:rsid w:val="00616A0F"/>
    <w:rsid w:val="00675D72"/>
    <w:rsid w:val="0068316E"/>
    <w:rsid w:val="007333B3"/>
    <w:rsid w:val="0078285B"/>
    <w:rsid w:val="007C2C95"/>
    <w:rsid w:val="007E0054"/>
    <w:rsid w:val="00867533"/>
    <w:rsid w:val="008B1A8A"/>
    <w:rsid w:val="008D114A"/>
    <w:rsid w:val="00947239"/>
    <w:rsid w:val="00986A01"/>
    <w:rsid w:val="009D3711"/>
    <w:rsid w:val="00A87F43"/>
    <w:rsid w:val="00B52997"/>
    <w:rsid w:val="00B77902"/>
    <w:rsid w:val="00B83B00"/>
    <w:rsid w:val="00BD4C2C"/>
    <w:rsid w:val="00BE3851"/>
    <w:rsid w:val="00BE701E"/>
    <w:rsid w:val="00C1401C"/>
    <w:rsid w:val="00C320C3"/>
    <w:rsid w:val="00C37CBF"/>
    <w:rsid w:val="00D1360B"/>
    <w:rsid w:val="00D2354B"/>
    <w:rsid w:val="00D7056F"/>
    <w:rsid w:val="00D76626"/>
    <w:rsid w:val="00E25B58"/>
    <w:rsid w:val="00E40F48"/>
    <w:rsid w:val="00E56B51"/>
    <w:rsid w:val="00E60FB1"/>
    <w:rsid w:val="00E7616A"/>
    <w:rsid w:val="00E85E57"/>
    <w:rsid w:val="00EC4ABB"/>
    <w:rsid w:val="00F25D31"/>
    <w:rsid w:val="00FC31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62BBF"/>
  <w15:chartTrackingRefBased/>
  <w15:docId w15:val="{7FFDEB6E-300A-4E13-9B8E-B1E78B9A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97"/>
    <w:pPr>
      <w:spacing w:line="480" w:lineRule="auto"/>
    </w:pPr>
    <w:rPr>
      <w:rFonts w:ascii="Times New Roman" w:hAnsi="Times New Roman" w:cs="Times New Roman"/>
      <w:color w:val="000000" w:themeColor="text1"/>
      <w:sz w:val="28"/>
      <w:szCs w:val="28"/>
      <w:lang w:val="en-GB"/>
    </w:rPr>
  </w:style>
  <w:style w:type="paragraph" w:styleId="Heading1">
    <w:name w:val="heading 1"/>
    <w:basedOn w:val="Normal"/>
    <w:next w:val="Normal"/>
    <w:link w:val="Heading1Char"/>
    <w:uiPriority w:val="9"/>
    <w:qFormat/>
    <w:rsid w:val="00B52997"/>
    <w:pPr>
      <w:keepNext/>
      <w:keepLines/>
      <w:numPr>
        <w:numId w:val="1"/>
      </w:numPr>
      <w:spacing w:before="240" w:after="0"/>
      <w:outlineLvl w:val="0"/>
    </w:pPr>
    <w:rPr>
      <w:rFonts w:asciiTheme="majorHAnsi" w:eastAsiaTheme="majorEastAsia" w:hAnsiTheme="majorHAnsi" w:cstheme="majorBidi"/>
      <w:color w:val="2E74B5" w:themeColor="accent1" w:themeShade="BF"/>
      <w:szCs w:val="32"/>
    </w:rPr>
  </w:style>
  <w:style w:type="paragraph" w:styleId="Heading2">
    <w:name w:val="heading 2"/>
    <w:basedOn w:val="Normal"/>
    <w:next w:val="Normal"/>
    <w:link w:val="Heading2Char"/>
    <w:uiPriority w:val="9"/>
    <w:unhideWhenUsed/>
    <w:qFormat/>
    <w:rsid w:val="00B52997"/>
    <w:pPr>
      <w:keepNext/>
      <w:keepLines/>
      <w:spacing w:before="40" w:after="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782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8285B"/>
    <w:pPr>
      <w:keepNext/>
      <w:keepLines/>
      <w:numPr>
        <w:numId w:val="3"/>
      </w:numPr>
      <w:spacing w:before="40" w:after="0"/>
      <w:outlineLvl w:val="3"/>
    </w:pPr>
    <w:rPr>
      <w:rFonts w:asciiTheme="majorHAnsi" w:eastAsiaTheme="majorEastAsia" w:hAnsiTheme="majorHAnsi" w:cs="Times New Roman (Headings CS)"/>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97"/>
    <w:rPr>
      <w:rFonts w:asciiTheme="majorHAnsi" w:eastAsiaTheme="majorEastAsia" w:hAnsiTheme="majorHAnsi" w:cstheme="majorBidi"/>
      <w:color w:val="2E74B5" w:themeColor="accent1" w:themeShade="BF"/>
      <w:sz w:val="28"/>
      <w:szCs w:val="32"/>
      <w:lang w:val="en-GB"/>
    </w:rPr>
  </w:style>
  <w:style w:type="character" w:customStyle="1" w:styleId="Heading2Char">
    <w:name w:val="Heading 2 Char"/>
    <w:basedOn w:val="DefaultParagraphFont"/>
    <w:link w:val="Heading2"/>
    <w:uiPriority w:val="9"/>
    <w:rsid w:val="00B52997"/>
    <w:rPr>
      <w:rFonts w:ascii="Times New Roman" w:eastAsiaTheme="majorEastAsia" w:hAnsi="Times New Roman" w:cstheme="majorBidi"/>
      <w:color w:val="2E74B5" w:themeColor="accent1" w:themeShade="BF"/>
      <w:sz w:val="28"/>
      <w:szCs w:val="26"/>
      <w:lang w:val="en-GB"/>
    </w:rPr>
  </w:style>
  <w:style w:type="character" w:styleId="Hyperlink">
    <w:name w:val="Hyperlink"/>
    <w:basedOn w:val="DefaultParagraphFont"/>
    <w:uiPriority w:val="99"/>
    <w:unhideWhenUsed/>
    <w:rsid w:val="00B52997"/>
    <w:rPr>
      <w:color w:val="0000FF"/>
      <w:u w:val="single"/>
    </w:rPr>
  </w:style>
  <w:style w:type="paragraph" w:styleId="EndnoteText">
    <w:name w:val="endnote text"/>
    <w:basedOn w:val="Normal"/>
    <w:link w:val="EndnoteTextChar"/>
    <w:uiPriority w:val="99"/>
    <w:unhideWhenUsed/>
    <w:rsid w:val="00B52997"/>
    <w:pPr>
      <w:spacing w:after="0" w:line="240" w:lineRule="auto"/>
    </w:pPr>
    <w:rPr>
      <w:sz w:val="20"/>
      <w:szCs w:val="20"/>
    </w:rPr>
  </w:style>
  <w:style w:type="character" w:customStyle="1" w:styleId="EndnoteTextChar">
    <w:name w:val="Endnote Text Char"/>
    <w:basedOn w:val="DefaultParagraphFont"/>
    <w:link w:val="EndnoteText"/>
    <w:uiPriority w:val="99"/>
    <w:rsid w:val="00B52997"/>
    <w:rPr>
      <w:rFonts w:ascii="Times New Roman" w:hAnsi="Times New Roman" w:cs="Times New Roman"/>
      <w:color w:val="000000" w:themeColor="text1"/>
      <w:sz w:val="20"/>
      <w:szCs w:val="20"/>
      <w:lang w:val="en-GB"/>
    </w:rPr>
  </w:style>
  <w:style w:type="character" w:styleId="EndnoteReference">
    <w:name w:val="endnote reference"/>
    <w:basedOn w:val="DefaultParagraphFont"/>
    <w:uiPriority w:val="99"/>
    <w:unhideWhenUsed/>
    <w:rsid w:val="00B52997"/>
    <w:rPr>
      <w:vertAlign w:val="superscript"/>
    </w:rPr>
  </w:style>
  <w:style w:type="paragraph" w:styleId="NormalWeb">
    <w:name w:val="Normal (Web)"/>
    <w:basedOn w:val="Normal"/>
    <w:uiPriority w:val="99"/>
    <w:unhideWhenUsed/>
    <w:rsid w:val="00B52997"/>
    <w:pPr>
      <w:spacing w:before="100" w:beforeAutospacing="1" w:after="100" w:afterAutospacing="1" w:line="240" w:lineRule="auto"/>
    </w:pPr>
    <w:rPr>
      <w:rFonts w:eastAsia="Times New Roman"/>
      <w:sz w:val="24"/>
      <w:szCs w:val="24"/>
      <w:lang w:eastAsia="en-IE"/>
    </w:rPr>
  </w:style>
  <w:style w:type="character" w:customStyle="1" w:styleId="apple-converted-space">
    <w:name w:val="apple-converted-space"/>
    <w:basedOn w:val="DefaultParagraphFont"/>
    <w:rsid w:val="00B52997"/>
  </w:style>
  <w:style w:type="character" w:customStyle="1" w:styleId="a-size-large">
    <w:name w:val="a-size-large"/>
    <w:basedOn w:val="DefaultParagraphFont"/>
    <w:rsid w:val="00B52997"/>
  </w:style>
  <w:style w:type="character" w:customStyle="1" w:styleId="a-size-medium">
    <w:name w:val="a-size-medium"/>
    <w:basedOn w:val="DefaultParagraphFont"/>
    <w:rsid w:val="00B52997"/>
  </w:style>
  <w:style w:type="paragraph" w:styleId="ListParagraph">
    <w:name w:val="List Paragraph"/>
    <w:basedOn w:val="Normal"/>
    <w:uiPriority w:val="34"/>
    <w:qFormat/>
    <w:rsid w:val="00B52997"/>
    <w:pPr>
      <w:pBdr>
        <w:top w:val="nil"/>
        <w:left w:val="nil"/>
        <w:bottom w:val="nil"/>
        <w:right w:val="nil"/>
        <w:between w:val="nil"/>
        <w:bar w:val="nil"/>
      </w:pBdr>
      <w:spacing w:after="0" w:line="276" w:lineRule="auto"/>
      <w:ind w:left="720"/>
      <w:contextualSpacing/>
    </w:pPr>
    <w:rPr>
      <w:rFonts w:eastAsia="Arial Unicode MS"/>
      <w:szCs w:val="24"/>
      <w:bdr w:val="nil"/>
    </w:rPr>
  </w:style>
  <w:style w:type="paragraph" w:styleId="BalloonText">
    <w:name w:val="Balloon Text"/>
    <w:basedOn w:val="Normal"/>
    <w:link w:val="BalloonTextChar"/>
    <w:uiPriority w:val="99"/>
    <w:semiHidden/>
    <w:unhideWhenUsed/>
    <w:rsid w:val="00B52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997"/>
    <w:rPr>
      <w:rFonts w:ascii="Segoe UI" w:hAnsi="Segoe UI" w:cs="Segoe UI"/>
      <w:color w:val="000000" w:themeColor="text1"/>
      <w:sz w:val="18"/>
      <w:szCs w:val="18"/>
      <w:lang w:val="en-GB"/>
    </w:rPr>
  </w:style>
  <w:style w:type="character" w:styleId="Emphasis">
    <w:name w:val="Emphasis"/>
    <w:basedOn w:val="DefaultParagraphFont"/>
    <w:uiPriority w:val="20"/>
    <w:qFormat/>
    <w:rsid w:val="00E25B58"/>
    <w:rPr>
      <w:i/>
      <w:iCs/>
    </w:rPr>
  </w:style>
  <w:style w:type="character" w:customStyle="1" w:styleId="Heading3Char">
    <w:name w:val="Heading 3 Char"/>
    <w:basedOn w:val="DefaultParagraphFont"/>
    <w:link w:val="Heading3"/>
    <w:uiPriority w:val="9"/>
    <w:rsid w:val="0078285B"/>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78285B"/>
    <w:rPr>
      <w:rFonts w:asciiTheme="majorHAnsi" w:eastAsiaTheme="majorEastAsia" w:hAnsiTheme="majorHAnsi" w:cs="Times New Roman (Headings CS)"/>
      <w:i/>
      <w:iCs/>
      <w:color w:val="2E74B5" w:themeColor="accent1" w:themeShade="BF"/>
      <w:sz w:val="24"/>
      <w:szCs w:val="28"/>
      <w:lang w:val="en-GB"/>
    </w:rPr>
  </w:style>
  <w:style w:type="paragraph" w:styleId="Revision">
    <w:name w:val="Revision"/>
    <w:hidden/>
    <w:uiPriority w:val="99"/>
    <w:semiHidden/>
    <w:rsid w:val="0078285B"/>
    <w:pPr>
      <w:spacing w:after="0" w:line="240" w:lineRule="auto"/>
    </w:pPr>
    <w:rPr>
      <w:rFonts w:ascii="Times New Roman" w:hAnsi="Times New Roman" w:cs="Times New Roman"/>
      <w:color w:val="000000" w:themeColor="text1"/>
      <w:sz w:val="28"/>
      <w:szCs w:val="28"/>
      <w:lang w:val="en-GB"/>
    </w:rPr>
  </w:style>
  <w:style w:type="character" w:customStyle="1" w:styleId="UnresolvedMention">
    <w:name w:val="Unresolved Mention"/>
    <w:basedOn w:val="DefaultParagraphFont"/>
    <w:uiPriority w:val="99"/>
    <w:semiHidden/>
    <w:unhideWhenUsed/>
    <w:rsid w:val="00392237"/>
    <w:rPr>
      <w:color w:val="605E5C"/>
      <w:shd w:val="clear" w:color="auto" w:fill="E1DFDD"/>
    </w:rPr>
  </w:style>
  <w:style w:type="character" w:styleId="CommentReference">
    <w:name w:val="annotation reference"/>
    <w:basedOn w:val="DefaultParagraphFont"/>
    <w:uiPriority w:val="99"/>
    <w:semiHidden/>
    <w:unhideWhenUsed/>
    <w:rsid w:val="002B122C"/>
    <w:rPr>
      <w:sz w:val="16"/>
      <w:szCs w:val="16"/>
    </w:rPr>
  </w:style>
  <w:style w:type="paragraph" w:styleId="CommentText">
    <w:name w:val="annotation text"/>
    <w:basedOn w:val="Normal"/>
    <w:link w:val="CommentTextChar"/>
    <w:uiPriority w:val="99"/>
    <w:semiHidden/>
    <w:unhideWhenUsed/>
    <w:rsid w:val="002B122C"/>
    <w:pPr>
      <w:spacing w:line="240" w:lineRule="auto"/>
    </w:pPr>
    <w:rPr>
      <w:sz w:val="20"/>
      <w:szCs w:val="20"/>
    </w:rPr>
  </w:style>
  <w:style w:type="character" w:customStyle="1" w:styleId="CommentTextChar">
    <w:name w:val="Comment Text Char"/>
    <w:basedOn w:val="DefaultParagraphFont"/>
    <w:link w:val="CommentText"/>
    <w:uiPriority w:val="99"/>
    <w:semiHidden/>
    <w:rsid w:val="002B122C"/>
    <w:rPr>
      <w:rFonts w:ascii="Times New Roman" w:hAnsi="Times New Roman" w:cs="Times New Roman"/>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2B122C"/>
    <w:rPr>
      <w:b/>
      <w:bCs/>
    </w:rPr>
  </w:style>
  <w:style w:type="character" w:customStyle="1" w:styleId="CommentSubjectChar">
    <w:name w:val="Comment Subject Char"/>
    <w:basedOn w:val="CommentTextChar"/>
    <w:link w:val="CommentSubject"/>
    <w:uiPriority w:val="99"/>
    <w:semiHidden/>
    <w:rsid w:val="002B122C"/>
    <w:rPr>
      <w:rFonts w:ascii="Times New Roman" w:hAnsi="Times New Roman" w:cs="Times New Roman"/>
      <w:b/>
      <w:bCs/>
      <w:color w:val="000000" w:themeColor="text1"/>
      <w:sz w:val="20"/>
      <w:szCs w:val="20"/>
      <w:lang w:val="en-GB"/>
    </w:rPr>
  </w:style>
  <w:style w:type="paragraph" w:styleId="FootnoteText">
    <w:name w:val="footnote text"/>
    <w:basedOn w:val="Normal"/>
    <w:link w:val="FootnoteTextChar"/>
    <w:uiPriority w:val="99"/>
    <w:semiHidden/>
    <w:unhideWhenUsed/>
    <w:rsid w:val="001543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316"/>
    <w:rPr>
      <w:rFonts w:ascii="Times New Roman" w:hAnsi="Times New Roman" w:cs="Times New Roman"/>
      <w:color w:val="000000" w:themeColor="text1"/>
      <w:sz w:val="20"/>
      <w:szCs w:val="20"/>
      <w:lang w:val="en-GB"/>
    </w:rPr>
  </w:style>
  <w:style w:type="character" w:styleId="FootnoteReference">
    <w:name w:val="footnote reference"/>
    <w:basedOn w:val="DefaultParagraphFont"/>
    <w:uiPriority w:val="99"/>
    <w:semiHidden/>
    <w:unhideWhenUsed/>
    <w:rsid w:val="00154316"/>
    <w:rPr>
      <w:vertAlign w:val="superscript"/>
    </w:rPr>
  </w:style>
  <w:style w:type="table" w:styleId="TableGrid">
    <w:name w:val="Table Grid"/>
    <w:basedOn w:val="TableNormal"/>
    <w:uiPriority w:val="39"/>
    <w:rsid w:val="00154316"/>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259">
      <w:bodyDiv w:val="1"/>
      <w:marLeft w:val="0"/>
      <w:marRight w:val="0"/>
      <w:marTop w:val="0"/>
      <w:marBottom w:val="0"/>
      <w:divBdr>
        <w:top w:val="none" w:sz="0" w:space="0" w:color="auto"/>
        <w:left w:val="none" w:sz="0" w:space="0" w:color="auto"/>
        <w:bottom w:val="none" w:sz="0" w:space="0" w:color="auto"/>
        <w:right w:val="none" w:sz="0" w:space="0" w:color="auto"/>
      </w:divBdr>
    </w:div>
    <w:div w:id="265505607">
      <w:bodyDiv w:val="1"/>
      <w:marLeft w:val="0"/>
      <w:marRight w:val="0"/>
      <w:marTop w:val="0"/>
      <w:marBottom w:val="0"/>
      <w:divBdr>
        <w:top w:val="none" w:sz="0" w:space="0" w:color="auto"/>
        <w:left w:val="none" w:sz="0" w:space="0" w:color="auto"/>
        <w:bottom w:val="none" w:sz="0" w:space="0" w:color="auto"/>
        <w:right w:val="none" w:sz="0" w:space="0" w:color="auto"/>
      </w:divBdr>
    </w:div>
    <w:div w:id="1022584521">
      <w:bodyDiv w:val="1"/>
      <w:marLeft w:val="0"/>
      <w:marRight w:val="0"/>
      <w:marTop w:val="0"/>
      <w:marBottom w:val="0"/>
      <w:divBdr>
        <w:top w:val="none" w:sz="0" w:space="0" w:color="auto"/>
        <w:left w:val="none" w:sz="0" w:space="0" w:color="auto"/>
        <w:bottom w:val="none" w:sz="0" w:space="0" w:color="auto"/>
        <w:right w:val="none" w:sz="0" w:space="0" w:color="auto"/>
      </w:divBdr>
    </w:div>
    <w:div w:id="1091197618">
      <w:bodyDiv w:val="1"/>
      <w:marLeft w:val="0"/>
      <w:marRight w:val="0"/>
      <w:marTop w:val="0"/>
      <w:marBottom w:val="0"/>
      <w:divBdr>
        <w:top w:val="none" w:sz="0" w:space="0" w:color="auto"/>
        <w:left w:val="none" w:sz="0" w:space="0" w:color="auto"/>
        <w:bottom w:val="none" w:sz="0" w:space="0" w:color="auto"/>
        <w:right w:val="none" w:sz="0" w:space="0" w:color="auto"/>
      </w:divBdr>
    </w:div>
    <w:div w:id="1842424284">
      <w:bodyDiv w:val="1"/>
      <w:marLeft w:val="0"/>
      <w:marRight w:val="0"/>
      <w:marTop w:val="0"/>
      <w:marBottom w:val="0"/>
      <w:divBdr>
        <w:top w:val="none" w:sz="0" w:space="0" w:color="auto"/>
        <w:left w:val="none" w:sz="0" w:space="0" w:color="auto"/>
        <w:bottom w:val="none" w:sz="0" w:space="0" w:color="auto"/>
        <w:right w:val="none" w:sz="0" w:space="0" w:color="auto"/>
      </w:divBdr>
    </w:div>
    <w:div w:id="1973897542">
      <w:bodyDiv w:val="1"/>
      <w:marLeft w:val="0"/>
      <w:marRight w:val="0"/>
      <w:marTop w:val="0"/>
      <w:marBottom w:val="0"/>
      <w:divBdr>
        <w:top w:val="none" w:sz="0" w:space="0" w:color="auto"/>
        <w:left w:val="none" w:sz="0" w:space="0" w:color="auto"/>
        <w:bottom w:val="none" w:sz="0" w:space="0" w:color="auto"/>
        <w:right w:val="none" w:sz="0" w:space="0" w:color="auto"/>
      </w:divBdr>
    </w:div>
    <w:div w:id="20193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researchgate.net/profile/Beatrice_Pezzarossa" TargetMode="External"/><Relationship Id="rId13" Type="http://schemas.openxmlformats.org/officeDocument/2006/relationships/hyperlink" Target="https://www.islington.gov.uk//~/media/sharepoint-lists/public-records/planningandbuildingcontrol/publicity/publicconsultation/20122013/20121220goodpracticeguide4biodiversity" TargetMode="External"/><Relationship Id="rId18" Type="http://schemas.openxmlformats.org/officeDocument/2006/relationships/hyperlink" Target="http://lambeth.gpfoodcoop.org.uk/What-we-do/?Category=3766" TargetMode="External"/><Relationship Id="rId26" Type="http://schemas.openxmlformats.org/officeDocument/2006/relationships/image" Target="media/image6.png"/><Relationship Id="rId3" Type="http://schemas.openxmlformats.org/officeDocument/2006/relationships/hyperlink" Target="https://www.theguardian.com/environment/2018/feb/07/hedgehog-numbers-plummet-by-half-in-uk-countryside-since-2000" TargetMode="External"/><Relationship Id="rId21" Type="http://schemas.openxmlformats.org/officeDocument/2006/relationships/image" Target="media/image1.png"/><Relationship Id="rId7" Type="http://schemas.openxmlformats.org/officeDocument/2006/relationships/hyperlink" Target="https://www.researchgate.net/scientific-contributions/2117935045_Stefano_Benvenuti" TargetMode="External"/><Relationship Id="rId12" Type="http://schemas.openxmlformats.org/officeDocument/2006/relationships/hyperlink" Target="https://core.ac.uk/download/pdf/43609063.pdf" TargetMode="External"/><Relationship Id="rId17" Type="http://schemas.openxmlformats.org/officeDocument/2006/relationships/hyperlink" Target="https://www.asla.org/uploadedFiles/CMS/Meetings_and_Events/2015_Annual_Meeting_Handouts/SUN-B06_Native%20Meadows%20and%20Grasslands.pdf" TargetMode="External"/><Relationship Id="rId25" Type="http://schemas.openxmlformats.org/officeDocument/2006/relationships/image" Target="media/image5.png"/><Relationship Id="rId2" Type="http://schemas.openxmlformats.org/officeDocument/2006/relationships/hyperlink" Target="https://www.rspb.org.uk/globalassets/downloads/documents/conservation-projects/state-of-nature/state-of-nature-uk-report-2016.pdf" TargetMode="External"/><Relationship Id="rId16" Type="http://schemas.openxmlformats.org/officeDocument/2006/relationships/hyperlink" Target="https://assets.publishing.service.gov.uk/government/uploads/system/uploads/attachment_data/file/228752/9780108508394.pdf" TargetMode="External"/><Relationship Id="rId20" Type="http://schemas.openxmlformats.org/officeDocument/2006/relationships/hyperlink" Target="https://www.theguardian.com/sustainable-business/blog/green-spaces-bupa-rspb-partnership-care-home" TargetMode="External"/><Relationship Id="rId29" Type="http://schemas.openxmlformats.org/officeDocument/2006/relationships/image" Target="media/image9.png"/><Relationship Id="rId1" Type="http://schemas.openxmlformats.org/officeDocument/2006/relationships/hyperlink" Target="https://www.cbd.int/health/doc/guide-biodiversity-health-en.pdf" TargetMode="External"/><Relationship Id="rId6" Type="http://schemas.openxmlformats.org/officeDocument/2006/relationships/hyperlink" Target="http://www.uep.ie/pdfs/guidelines_CH2.pdf" TargetMode="External"/><Relationship Id="rId11" Type="http://schemas.openxmlformats.org/officeDocument/2006/relationships/hyperlink" Target="http://www.blackdown.co.uk" TargetMode="External"/><Relationship Id="rId24" Type="http://schemas.openxmlformats.org/officeDocument/2006/relationships/image" Target="media/image4.png"/><Relationship Id="rId5" Type="http://schemas.openxmlformats.org/officeDocument/2006/relationships/hyperlink" Target="https://www.statista.com/statistics/318885/numbers-of-dental-practitioners-in-the-uk/" TargetMode="External"/><Relationship Id="rId15" Type="http://schemas.openxmlformats.org/officeDocument/2006/relationships/hyperlink" Target="http://www.ecolandscaping.org/07/lawn-care/lawns-killing-us-time-kick-habit"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www.gloucestershirewildlifetrust.co.uk/sites/default/files/Hedgehogsml.jpg" TargetMode="External"/><Relationship Id="rId19" Type="http://schemas.openxmlformats.org/officeDocument/2006/relationships/hyperlink" Target="http://www.propertyreporter.co.uk/household/demand-for-allotments-is-growing.html" TargetMode="External"/><Relationship Id="rId4" Type="http://schemas.openxmlformats.org/officeDocument/2006/relationships/hyperlink" Target="http://www.nhsforest.org" TargetMode="External"/><Relationship Id="rId9" Type="http://schemas.openxmlformats.org/officeDocument/2006/relationships/hyperlink" Target="http://www.ohchr.org/EN/NewsEvents/Pages/DisplayNews.aspx?NewsID=21306&amp;LangID=E" TargetMode="External"/><Relationship Id="rId14" Type="http://schemas.openxmlformats.org/officeDocument/2006/relationships/hyperlink" Target="https://www.rspb.org.uk/makeahomeforwildlife/advice/helpingbirdstest/nestboxes/naturalnests/" TargetMode="External"/><Relationship Id="rId22" Type="http://schemas.openxmlformats.org/officeDocument/2006/relationships/image" Target="media/image2.png"/><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88A8-1232-4668-90E1-943DF203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Cran-</Company>
  <LinksUpToDate>false</LinksUpToDate>
  <CharactersWithSpaces>21229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Duane</dc:creator>
  <cp:keywords/>
  <dc:description/>
  <cp:lastModifiedBy>Ballantyne, Gavin</cp:lastModifiedBy>
  <cp:revision>3</cp:revision>
  <cp:lastPrinted>2018-11-07T21:45:00Z</cp:lastPrinted>
  <dcterms:created xsi:type="dcterms:W3CDTF">2019-06-19T12:11:00Z</dcterms:created>
  <dcterms:modified xsi:type="dcterms:W3CDTF">2019-06-19T12:13:00Z</dcterms:modified>
</cp:coreProperties>
</file>