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BB254" w14:textId="77777777" w:rsidR="000362D0" w:rsidRDefault="000362D0" w:rsidP="006F45B1">
      <w:pPr>
        <w:autoSpaceDE w:val="0"/>
        <w:autoSpaceDN w:val="0"/>
        <w:adjustRightInd w:val="0"/>
        <w:spacing w:after="0" w:line="480" w:lineRule="auto"/>
        <w:rPr>
          <w:rFonts w:ascii="Arial" w:hAnsi="Arial" w:cs="Arial"/>
          <w:b/>
          <w:sz w:val="24"/>
          <w:szCs w:val="24"/>
        </w:rPr>
      </w:pPr>
      <w:bookmarkStart w:id="0" w:name="_Hlk481581259"/>
      <w:bookmarkStart w:id="1" w:name="_GoBack"/>
      <w:r>
        <w:rPr>
          <w:rFonts w:ascii="Arial" w:hAnsi="Arial" w:cs="Arial"/>
          <w:b/>
          <w:sz w:val="24"/>
          <w:szCs w:val="24"/>
        </w:rPr>
        <w:t xml:space="preserve">Incidence of </w:t>
      </w:r>
      <w:r w:rsidRPr="00E8217B">
        <w:rPr>
          <w:rFonts w:ascii="Arial" w:hAnsi="Arial" w:cs="Arial"/>
          <w:b/>
          <w:sz w:val="24"/>
          <w:szCs w:val="24"/>
        </w:rPr>
        <w:t>post-operative atrial fibrillation</w:t>
      </w:r>
      <w:r>
        <w:rPr>
          <w:rFonts w:ascii="Arial" w:hAnsi="Arial" w:cs="Arial"/>
          <w:b/>
          <w:sz w:val="24"/>
          <w:szCs w:val="24"/>
        </w:rPr>
        <w:t xml:space="preserve"> recurrence in patients discharged in sinus rhythm after cardiac surgery</w:t>
      </w:r>
      <w:r w:rsidRPr="00E8217B">
        <w:rPr>
          <w:rFonts w:ascii="Arial" w:hAnsi="Arial" w:cs="Arial"/>
          <w:b/>
          <w:sz w:val="24"/>
          <w:szCs w:val="24"/>
        </w:rPr>
        <w:t>: A systematic review</w:t>
      </w:r>
      <w:r>
        <w:rPr>
          <w:rFonts w:ascii="Arial" w:hAnsi="Arial" w:cs="Arial"/>
          <w:b/>
          <w:sz w:val="24"/>
          <w:szCs w:val="24"/>
        </w:rPr>
        <w:t xml:space="preserve"> and meta-analysis</w:t>
      </w:r>
    </w:p>
    <w:bookmarkEnd w:id="0"/>
    <w:bookmarkEnd w:id="1"/>
    <w:p w14:paraId="50C538A0" w14:textId="77777777" w:rsidR="000362D0" w:rsidRPr="008872EC" w:rsidRDefault="000362D0" w:rsidP="006F45B1">
      <w:pPr>
        <w:autoSpaceDE w:val="0"/>
        <w:autoSpaceDN w:val="0"/>
        <w:adjustRightInd w:val="0"/>
        <w:spacing w:after="0" w:line="480" w:lineRule="auto"/>
        <w:rPr>
          <w:rFonts w:ascii="Arial" w:hAnsi="Arial" w:cs="Arial"/>
          <w:b/>
        </w:rPr>
      </w:pPr>
    </w:p>
    <w:p w14:paraId="391A328F" w14:textId="77777777" w:rsidR="000362D0" w:rsidRPr="008872EC" w:rsidRDefault="000362D0" w:rsidP="006F45B1">
      <w:pPr>
        <w:autoSpaceDE w:val="0"/>
        <w:autoSpaceDN w:val="0"/>
        <w:adjustRightInd w:val="0"/>
        <w:spacing w:after="0" w:line="480" w:lineRule="auto"/>
        <w:rPr>
          <w:rFonts w:ascii="Arial" w:hAnsi="Arial" w:cs="Arial"/>
        </w:rPr>
      </w:pPr>
      <w:r w:rsidRPr="008872EC">
        <w:rPr>
          <w:rFonts w:ascii="Arial" w:hAnsi="Arial" w:cs="Arial"/>
        </w:rPr>
        <w:t>Nicole Lowres</w:t>
      </w:r>
      <w:r w:rsidRPr="008872EC">
        <w:rPr>
          <w:rFonts w:ascii="Arial" w:hAnsi="Arial" w:cs="Arial"/>
          <w:vertAlign w:val="superscript"/>
        </w:rPr>
        <w:t>1,2</w:t>
      </w:r>
      <w:r w:rsidRPr="008872EC">
        <w:rPr>
          <w:rFonts w:ascii="Arial" w:hAnsi="Arial" w:cs="Arial"/>
        </w:rPr>
        <w:t>, Georgina Mulcahy</w:t>
      </w:r>
      <w:r w:rsidRPr="008872EC">
        <w:rPr>
          <w:rFonts w:ascii="Arial" w:hAnsi="Arial" w:cs="Arial"/>
          <w:vertAlign w:val="superscript"/>
        </w:rPr>
        <w:t>2</w:t>
      </w:r>
      <w:r w:rsidRPr="008872EC">
        <w:rPr>
          <w:rFonts w:ascii="Arial" w:hAnsi="Arial" w:cs="Arial"/>
        </w:rPr>
        <w:t>, Kai Jin</w:t>
      </w:r>
      <w:r w:rsidRPr="008872EC">
        <w:rPr>
          <w:rFonts w:ascii="Arial" w:hAnsi="Arial" w:cs="Arial"/>
          <w:vertAlign w:val="superscript"/>
        </w:rPr>
        <w:t>3</w:t>
      </w:r>
      <w:r w:rsidRPr="008872EC">
        <w:rPr>
          <w:rFonts w:ascii="Arial" w:hAnsi="Arial" w:cs="Arial"/>
        </w:rPr>
        <w:t>, Robyn Gallagher</w:t>
      </w:r>
      <w:r w:rsidRPr="008872EC">
        <w:rPr>
          <w:rFonts w:ascii="Arial" w:hAnsi="Arial" w:cs="Arial"/>
          <w:vertAlign w:val="superscript"/>
        </w:rPr>
        <w:t>3</w:t>
      </w:r>
      <w:r w:rsidRPr="008872EC">
        <w:rPr>
          <w:rFonts w:ascii="Arial" w:hAnsi="Arial" w:cs="Arial"/>
        </w:rPr>
        <w:t>, Lis Neubeck</w:t>
      </w:r>
      <w:r w:rsidRPr="008872EC">
        <w:rPr>
          <w:rFonts w:ascii="Arial" w:hAnsi="Arial" w:cs="Arial"/>
          <w:vertAlign w:val="superscript"/>
        </w:rPr>
        <w:t>3</w:t>
      </w:r>
      <w:r w:rsidRPr="008872EC">
        <w:rPr>
          <w:rFonts w:ascii="Arial" w:hAnsi="Arial" w:cs="Arial"/>
        </w:rPr>
        <w:t>, S Ben Freedman</w:t>
      </w:r>
      <w:r w:rsidRPr="008872EC">
        <w:rPr>
          <w:rFonts w:ascii="Arial" w:hAnsi="Arial" w:cs="Arial"/>
          <w:vertAlign w:val="superscript"/>
        </w:rPr>
        <w:t>1,2</w:t>
      </w:r>
    </w:p>
    <w:p w14:paraId="3D126906" w14:textId="77777777" w:rsidR="000362D0" w:rsidRPr="008872EC" w:rsidRDefault="000362D0" w:rsidP="006F45B1">
      <w:pPr>
        <w:autoSpaceDE w:val="0"/>
        <w:autoSpaceDN w:val="0"/>
        <w:adjustRightInd w:val="0"/>
        <w:spacing w:after="0" w:line="480" w:lineRule="auto"/>
        <w:rPr>
          <w:rFonts w:ascii="Arial" w:hAnsi="Arial" w:cs="Arial"/>
        </w:rPr>
      </w:pPr>
    </w:p>
    <w:p w14:paraId="0653D331" w14:textId="77777777" w:rsidR="000362D0" w:rsidRPr="00C67B2D" w:rsidRDefault="000362D0" w:rsidP="006F45B1">
      <w:pPr>
        <w:pStyle w:val="ListParagraph"/>
        <w:numPr>
          <w:ilvl w:val="0"/>
          <w:numId w:val="12"/>
        </w:numPr>
        <w:autoSpaceDE w:val="0"/>
        <w:autoSpaceDN w:val="0"/>
        <w:adjustRightInd w:val="0"/>
        <w:spacing w:after="0" w:line="480" w:lineRule="auto"/>
        <w:rPr>
          <w:rFonts w:ascii="Arial" w:hAnsi="Arial" w:cs="Arial"/>
        </w:rPr>
      </w:pPr>
      <w:r w:rsidRPr="00C67B2D">
        <w:rPr>
          <w:rFonts w:ascii="Arial" w:hAnsi="Arial" w:cs="Arial"/>
        </w:rPr>
        <w:t xml:space="preserve">Heart Research Institute, Sydney, AUSTRALIA </w:t>
      </w:r>
    </w:p>
    <w:p w14:paraId="58D9A144" w14:textId="77777777" w:rsidR="000362D0" w:rsidRPr="00C67B2D" w:rsidRDefault="000362D0" w:rsidP="006F45B1">
      <w:pPr>
        <w:pStyle w:val="ListParagraph"/>
        <w:numPr>
          <w:ilvl w:val="0"/>
          <w:numId w:val="12"/>
        </w:numPr>
        <w:autoSpaceDE w:val="0"/>
        <w:autoSpaceDN w:val="0"/>
        <w:adjustRightInd w:val="0"/>
        <w:spacing w:after="0" w:line="480" w:lineRule="auto"/>
        <w:rPr>
          <w:rFonts w:ascii="Arial" w:hAnsi="Arial" w:cs="Arial"/>
        </w:rPr>
      </w:pPr>
      <w:r w:rsidRPr="00C67B2D">
        <w:rPr>
          <w:rFonts w:ascii="Arial" w:hAnsi="Arial" w:cs="Arial"/>
        </w:rPr>
        <w:t xml:space="preserve">Charles Perkins Centre, University of Sydney, Sydney, AUSTRALIA </w:t>
      </w:r>
    </w:p>
    <w:p w14:paraId="300C9CD3" w14:textId="77777777" w:rsidR="000362D0" w:rsidRPr="00C67B2D" w:rsidRDefault="000362D0" w:rsidP="006F45B1">
      <w:pPr>
        <w:pStyle w:val="ListParagraph"/>
        <w:numPr>
          <w:ilvl w:val="0"/>
          <w:numId w:val="12"/>
        </w:numPr>
        <w:autoSpaceDE w:val="0"/>
        <w:autoSpaceDN w:val="0"/>
        <w:adjustRightInd w:val="0"/>
        <w:spacing w:after="0" w:line="480" w:lineRule="auto"/>
        <w:rPr>
          <w:rFonts w:ascii="Arial" w:hAnsi="Arial" w:cs="Arial"/>
        </w:rPr>
      </w:pPr>
      <w:r w:rsidRPr="00C67B2D">
        <w:rPr>
          <w:rFonts w:ascii="Arial" w:hAnsi="Arial" w:cs="Arial"/>
        </w:rPr>
        <w:t>Sydney Nursing School, University of Sydney, Sydney, AUSTRALIA</w:t>
      </w:r>
    </w:p>
    <w:p w14:paraId="6EE90C70" w14:textId="77777777" w:rsidR="000362D0" w:rsidRPr="00C67B2D" w:rsidRDefault="000362D0" w:rsidP="006F45B1">
      <w:pPr>
        <w:pStyle w:val="ListParagraph"/>
        <w:numPr>
          <w:ilvl w:val="0"/>
          <w:numId w:val="12"/>
        </w:numPr>
        <w:autoSpaceDE w:val="0"/>
        <w:autoSpaceDN w:val="0"/>
        <w:adjustRightInd w:val="0"/>
        <w:spacing w:after="0" w:line="480" w:lineRule="auto"/>
        <w:rPr>
          <w:rFonts w:ascii="Arial" w:hAnsi="Arial" w:cs="Arial"/>
        </w:rPr>
      </w:pPr>
      <w:r w:rsidRPr="00C67B2D">
        <w:rPr>
          <w:rFonts w:ascii="Arial" w:hAnsi="Arial" w:cs="Arial"/>
        </w:rPr>
        <w:t xml:space="preserve">School of Health and Social Care, Edinburgh Napier University, Edinburgh, UK </w:t>
      </w:r>
    </w:p>
    <w:p w14:paraId="7D8F10F5" w14:textId="77777777" w:rsidR="000362D0" w:rsidRPr="00C67B2D" w:rsidRDefault="000362D0" w:rsidP="006F45B1">
      <w:pPr>
        <w:pStyle w:val="ListParagraph"/>
        <w:numPr>
          <w:ilvl w:val="0"/>
          <w:numId w:val="12"/>
        </w:numPr>
        <w:autoSpaceDE w:val="0"/>
        <w:autoSpaceDN w:val="0"/>
        <w:adjustRightInd w:val="0"/>
        <w:spacing w:after="0" w:line="480" w:lineRule="auto"/>
        <w:rPr>
          <w:rFonts w:ascii="Arial" w:hAnsi="Arial" w:cs="Arial"/>
          <w:b/>
        </w:rPr>
      </w:pPr>
      <w:r w:rsidRPr="00C67B2D">
        <w:rPr>
          <w:rFonts w:ascii="Arial" w:hAnsi="Arial" w:cs="Arial"/>
        </w:rPr>
        <w:t>School of Nursing and Midwifery, Faculty of Medicine, Nursing, and Health Sciences at Flinders University, Adelaide, AUSTRALIA</w:t>
      </w:r>
    </w:p>
    <w:p w14:paraId="748A72F9" w14:textId="77777777" w:rsidR="000362D0" w:rsidRPr="008872EC" w:rsidRDefault="000362D0" w:rsidP="006F45B1">
      <w:pPr>
        <w:autoSpaceDE w:val="0"/>
        <w:autoSpaceDN w:val="0"/>
        <w:adjustRightInd w:val="0"/>
        <w:spacing w:after="0" w:line="480" w:lineRule="auto"/>
        <w:rPr>
          <w:rFonts w:ascii="Arial" w:hAnsi="Arial" w:cs="Arial"/>
          <w:b/>
        </w:rPr>
      </w:pPr>
    </w:p>
    <w:p w14:paraId="7E69B0EA" w14:textId="77777777" w:rsidR="000362D0" w:rsidRPr="008872EC" w:rsidRDefault="000362D0" w:rsidP="006F45B1">
      <w:pPr>
        <w:autoSpaceDE w:val="0"/>
        <w:autoSpaceDN w:val="0"/>
        <w:adjustRightInd w:val="0"/>
        <w:spacing w:after="0" w:line="480" w:lineRule="auto"/>
        <w:rPr>
          <w:rFonts w:ascii="Arial" w:hAnsi="Arial" w:cs="Arial"/>
          <w:b/>
        </w:rPr>
      </w:pPr>
      <w:r w:rsidRPr="008872EC">
        <w:rPr>
          <w:rFonts w:ascii="Arial" w:hAnsi="Arial" w:cs="Arial"/>
          <w:b/>
        </w:rPr>
        <w:t xml:space="preserve">Address for correspondence: </w:t>
      </w:r>
    </w:p>
    <w:p w14:paraId="37B507F4" w14:textId="77777777" w:rsidR="000362D0" w:rsidRPr="008872EC" w:rsidRDefault="000362D0" w:rsidP="006F45B1">
      <w:pPr>
        <w:autoSpaceDE w:val="0"/>
        <w:autoSpaceDN w:val="0"/>
        <w:adjustRightInd w:val="0"/>
        <w:spacing w:after="0" w:line="480" w:lineRule="auto"/>
        <w:rPr>
          <w:rFonts w:ascii="Arial" w:hAnsi="Arial" w:cs="Arial"/>
          <w:b/>
        </w:rPr>
      </w:pPr>
      <w:r w:rsidRPr="008872EC">
        <w:rPr>
          <w:rFonts w:ascii="Arial" w:hAnsi="Arial" w:cs="Arial"/>
        </w:rPr>
        <w:t xml:space="preserve">Dr Nicole Lowres, </w:t>
      </w:r>
      <w:r w:rsidRPr="008872EC">
        <w:rPr>
          <w:rFonts w:ascii="Arial" w:eastAsiaTheme="minorEastAsia" w:hAnsi="Arial" w:cs="Arial"/>
          <w:noProof/>
        </w:rPr>
        <w:t>Heart Research Institute, Building D17, University of Sydney, NSW, AUSTRALIA, 2006</w:t>
      </w:r>
    </w:p>
    <w:p w14:paraId="36FEFABA" w14:textId="77777777" w:rsidR="000362D0" w:rsidRPr="008872EC" w:rsidRDefault="000362D0" w:rsidP="006F45B1">
      <w:pPr>
        <w:autoSpaceDE w:val="0"/>
        <w:autoSpaceDN w:val="0"/>
        <w:adjustRightInd w:val="0"/>
        <w:spacing w:after="0" w:line="480" w:lineRule="auto"/>
        <w:rPr>
          <w:rFonts w:ascii="Arial" w:hAnsi="Arial" w:cs="Arial"/>
        </w:rPr>
      </w:pPr>
      <w:r w:rsidRPr="008872EC">
        <w:rPr>
          <w:rFonts w:ascii="Arial" w:hAnsi="Arial" w:cs="Arial"/>
          <w:lang w:val="en-US"/>
        </w:rPr>
        <w:t>Email: nicole.lowres@sydney.edu.au</w:t>
      </w:r>
      <w:r w:rsidRPr="008872EC">
        <w:rPr>
          <w:rFonts w:ascii="Arial" w:hAnsi="Arial" w:cs="Arial"/>
        </w:rPr>
        <w:t xml:space="preserve"> </w:t>
      </w:r>
      <w:r w:rsidRPr="008872EC">
        <w:rPr>
          <w:rFonts w:ascii="Arial" w:hAnsi="Arial" w:cs="Arial"/>
        </w:rPr>
        <w:tab/>
        <w:t>Phone:</w:t>
      </w:r>
      <w:r w:rsidRPr="008872EC">
        <w:rPr>
          <w:rFonts w:ascii="Arial" w:hAnsi="Arial" w:cs="Arial"/>
          <w:b/>
        </w:rPr>
        <w:t xml:space="preserve"> </w:t>
      </w:r>
      <w:r w:rsidRPr="008872EC">
        <w:rPr>
          <w:rFonts w:ascii="Arial" w:hAnsi="Arial" w:cs="Arial"/>
        </w:rPr>
        <w:t>+612 8627 5940</w:t>
      </w:r>
    </w:p>
    <w:p w14:paraId="6EE5784D" w14:textId="77777777" w:rsidR="000362D0" w:rsidRPr="008872EC" w:rsidRDefault="000362D0" w:rsidP="006F45B1">
      <w:pPr>
        <w:autoSpaceDE w:val="0"/>
        <w:autoSpaceDN w:val="0"/>
        <w:adjustRightInd w:val="0"/>
        <w:spacing w:after="0" w:line="480" w:lineRule="auto"/>
        <w:rPr>
          <w:rFonts w:ascii="Arial" w:hAnsi="Arial" w:cs="Arial"/>
          <w:b/>
        </w:rPr>
      </w:pPr>
    </w:p>
    <w:p w14:paraId="74450DCB" w14:textId="77777777" w:rsidR="000362D0" w:rsidRPr="008872EC" w:rsidRDefault="000362D0" w:rsidP="006F45B1">
      <w:pPr>
        <w:autoSpaceDE w:val="0"/>
        <w:autoSpaceDN w:val="0"/>
        <w:adjustRightInd w:val="0"/>
        <w:spacing w:after="0" w:line="480" w:lineRule="auto"/>
        <w:rPr>
          <w:rFonts w:ascii="Arial" w:hAnsi="Arial" w:cs="Arial"/>
        </w:rPr>
      </w:pPr>
      <w:r w:rsidRPr="008872EC">
        <w:rPr>
          <w:rFonts w:ascii="Arial" w:hAnsi="Arial" w:cs="Arial"/>
          <w:b/>
        </w:rPr>
        <w:t>Meeting presentation:</w:t>
      </w:r>
      <w:r w:rsidRPr="008872EC">
        <w:rPr>
          <w:rFonts w:ascii="Arial" w:hAnsi="Arial" w:cs="Arial"/>
        </w:rPr>
        <w:t xml:space="preserve"> </w:t>
      </w:r>
      <w:r w:rsidRPr="008872EC">
        <w:rPr>
          <w:rFonts w:ascii="Arial" w:hAnsi="Arial" w:cs="Arial"/>
          <w:bCs/>
        </w:rPr>
        <w:t xml:space="preserve">The material </w:t>
      </w:r>
      <w:r>
        <w:rPr>
          <w:rFonts w:ascii="Arial" w:hAnsi="Arial" w:cs="Arial"/>
          <w:bCs/>
        </w:rPr>
        <w:t xml:space="preserve">in this manuscript </w:t>
      </w:r>
      <w:r w:rsidRPr="008872EC">
        <w:rPr>
          <w:rFonts w:ascii="Arial" w:hAnsi="Arial" w:cs="Arial"/>
          <w:bCs/>
        </w:rPr>
        <w:t>was presented as a poster presentation at the World Cardiology Congress 2016 in Mexico.</w:t>
      </w:r>
    </w:p>
    <w:p w14:paraId="182F0D46" w14:textId="77777777" w:rsidR="000362D0" w:rsidRPr="00E024C7" w:rsidRDefault="000362D0" w:rsidP="006F45B1">
      <w:pPr>
        <w:autoSpaceDE w:val="0"/>
        <w:autoSpaceDN w:val="0"/>
        <w:adjustRightInd w:val="0"/>
        <w:spacing w:after="0" w:line="480" w:lineRule="auto"/>
        <w:rPr>
          <w:rFonts w:ascii="Arial" w:hAnsi="Arial" w:cs="Arial"/>
          <w:b/>
        </w:rPr>
      </w:pPr>
    </w:p>
    <w:p w14:paraId="601CF8E4" w14:textId="77777777" w:rsidR="000362D0" w:rsidRDefault="000362D0" w:rsidP="006F45B1">
      <w:pPr>
        <w:autoSpaceDE w:val="0"/>
        <w:autoSpaceDN w:val="0"/>
        <w:adjustRightInd w:val="0"/>
        <w:spacing w:after="0" w:line="480" w:lineRule="auto"/>
        <w:rPr>
          <w:rFonts w:ascii="Arial" w:hAnsi="Arial" w:cs="Arial"/>
        </w:rPr>
      </w:pPr>
      <w:r w:rsidRPr="00E024C7">
        <w:rPr>
          <w:rFonts w:ascii="Arial" w:hAnsi="Arial" w:cs="Arial"/>
          <w:b/>
        </w:rPr>
        <w:t xml:space="preserve">Word Count: </w:t>
      </w:r>
      <w:r>
        <w:rPr>
          <w:rFonts w:ascii="Arial" w:hAnsi="Arial" w:cs="Arial"/>
        </w:rPr>
        <w:t>5,615 total</w:t>
      </w:r>
    </w:p>
    <w:p w14:paraId="52852116" w14:textId="77777777" w:rsidR="000362D0" w:rsidRPr="00E024C7" w:rsidRDefault="000362D0" w:rsidP="006F45B1">
      <w:pPr>
        <w:autoSpaceDE w:val="0"/>
        <w:autoSpaceDN w:val="0"/>
        <w:adjustRightInd w:val="0"/>
        <w:spacing w:after="0" w:line="480" w:lineRule="auto"/>
        <w:rPr>
          <w:rFonts w:ascii="Arial" w:hAnsi="Arial" w:cs="Arial"/>
        </w:rPr>
        <w:sectPr w:rsidR="000362D0" w:rsidRPr="00E024C7" w:rsidSect="006F45B1">
          <w:footerReference w:type="default" r:id="rId7"/>
          <w:pgSz w:w="11900" w:h="16840"/>
          <w:pgMar w:top="1440" w:right="1800" w:bottom="1440" w:left="1800" w:header="708" w:footer="708" w:gutter="0"/>
          <w:cols w:space="708"/>
          <w:docGrid w:linePitch="360"/>
        </w:sectPr>
      </w:pPr>
    </w:p>
    <w:p w14:paraId="58533629" w14:textId="77777777" w:rsidR="000362D0" w:rsidRPr="00E024C7" w:rsidRDefault="000362D0" w:rsidP="006F45B1">
      <w:pPr>
        <w:pStyle w:val="NoSpacing"/>
        <w:spacing w:line="480" w:lineRule="auto"/>
        <w:rPr>
          <w:rFonts w:ascii="Arial" w:hAnsi="Arial" w:cs="Arial"/>
          <w:b/>
        </w:rPr>
      </w:pPr>
      <w:r w:rsidRPr="00E024C7">
        <w:rPr>
          <w:rFonts w:ascii="Arial" w:hAnsi="Arial" w:cs="Arial"/>
          <w:b/>
        </w:rPr>
        <w:lastRenderedPageBreak/>
        <w:t xml:space="preserve">ABSTRACT </w:t>
      </w:r>
    </w:p>
    <w:p w14:paraId="0B51B5B0" w14:textId="77777777" w:rsidR="000362D0" w:rsidRPr="000E294A" w:rsidRDefault="000362D0" w:rsidP="006F45B1">
      <w:pPr>
        <w:spacing w:after="0" w:line="480" w:lineRule="auto"/>
        <w:rPr>
          <w:rFonts w:ascii="Arial" w:eastAsiaTheme="minorHAnsi" w:hAnsi="Arial" w:cs="Arial"/>
          <w:lang w:eastAsia="en-US"/>
        </w:rPr>
      </w:pPr>
      <w:r w:rsidRPr="000E294A">
        <w:rPr>
          <w:rFonts w:ascii="Arial" w:eastAsiaTheme="minorHAnsi" w:hAnsi="Arial" w:cs="Arial"/>
          <w:lang w:eastAsia="en-US"/>
        </w:rPr>
        <w:t>Post-operative atrial fibrillation (POAF) is associated with increased stroke risk and mortality post-discharge. POAF is often considered transient, however recurrence is likely under-recognized as symptoms are an unreliable guide. Surveillance post-discharge may identify asymptomatic POAF recurrences</w:t>
      </w:r>
      <w:r>
        <w:rPr>
          <w:rFonts w:ascii="Arial" w:eastAsiaTheme="minorHAnsi" w:hAnsi="Arial" w:cs="Arial"/>
          <w:lang w:eastAsia="en-US"/>
        </w:rPr>
        <w:t xml:space="preserve"> in patients discharged in sinus rhythm</w:t>
      </w:r>
      <w:r w:rsidRPr="000E294A">
        <w:rPr>
          <w:rFonts w:ascii="Arial" w:eastAsiaTheme="minorHAnsi" w:hAnsi="Arial" w:cs="Arial"/>
          <w:lang w:eastAsia="en-US"/>
        </w:rPr>
        <w:t>.</w:t>
      </w:r>
      <w:r>
        <w:rPr>
          <w:rFonts w:ascii="Arial" w:eastAsiaTheme="minorHAnsi" w:hAnsi="Arial" w:cs="Arial"/>
          <w:lang w:eastAsia="en-US"/>
        </w:rPr>
        <w:t xml:space="preserve"> Therefore, we performed a s</w:t>
      </w:r>
      <w:r w:rsidRPr="000E294A">
        <w:rPr>
          <w:rFonts w:ascii="Arial" w:eastAsiaTheme="minorHAnsi" w:hAnsi="Arial" w:cs="Arial"/>
          <w:lang w:eastAsia="en-US"/>
        </w:rPr>
        <w:t xml:space="preserve">ystematic review and meta-analysis of studies investigating POAF recurrence post-discharge, in patients with new-onset POAF following cardiac surgery who reverted to sinus rhythm prior to discharge. Two independent reviewers searched medical databases, clinical trial registries, reference lists, and the internet. From 6,525 studies screened, 8 studies were identified (n=1,157 participants; mean 66±10 years; 73% male). Monitoring methods included: telemetry during twice-daily exercise sessions (n=2); continuous telemetry for 3-weeks (n=1); daily 20-second ECG using wearable event recorder (n=1); 30-second single-lead ECG, 4x/day (n=1); and implanted continuous monitoring (n=2). Incidence rate of POAF recurrence identified through non-invasive monitoring </w:t>
      </w:r>
      <w:r>
        <w:rPr>
          <w:rFonts w:ascii="Arial" w:eastAsiaTheme="minorHAnsi" w:hAnsi="Arial" w:cs="Arial"/>
          <w:lang w:eastAsia="en-US"/>
        </w:rPr>
        <w:t xml:space="preserve">in the first 4-weeks </w:t>
      </w:r>
      <w:r w:rsidRPr="000E294A">
        <w:rPr>
          <w:rFonts w:ascii="Arial" w:eastAsiaTheme="minorHAnsi" w:hAnsi="Arial" w:cs="Arial"/>
          <w:lang w:eastAsia="en-US"/>
        </w:rPr>
        <w:t xml:space="preserve">post-discharge was </w:t>
      </w:r>
      <w:r>
        <w:rPr>
          <w:rFonts w:ascii="Arial" w:eastAsiaTheme="minorHAnsi" w:hAnsi="Arial" w:cs="Arial"/>
          <w:lang w:eastAsia="en-US"/>
        </w:rPr>
        <w:t>28.3</w:t>
      </w:r>
      <w:r w:rsidRPr="000E294A">
        <w:rPr>
          <w:rFonts w:ascii="Arial" w:eastAsiaTheme="minorHAnsi" w:hAnsi="Arial" w:cs="Arial"/>
          <w:lang w:eastAsia="en-US"/>
        </w:rPr>
        <w:t xml:space="preserve">% (CI, </w:t>
      </w:r>
      <w:r>
        <w:rPr>
          <w:rFonts w:ascii="Arial" w:eastAsiaTheme="minorHAnsi" w:hAnsi="Arial" w:cs="Arial"/>
          <w:lang w:eastAsia="en-US"/>
        </w:rPr>
        <w:t>23</w:t>
      </w:r>
      <w:r w:rsidRPr="000E294A">
        <w:rPr>
          <w:rFonts w:ascii="Arial" w:eastAsiaTheme="minorHAnsi" w:hAnsi="Arial" w:cs="Arial"/>
          <w:lang w:eastAsia="en-US"/>
        </w:rPr>
        <w:t>.0-</w:t>
      </w:r>
      <w:r>
        <w:rPr>
          <w:rFonts w:ascii="Arial" w:eastAsiaTheme="minorHAnsi" w:hAnsi="Arial" w:cs="Arial"/>
          <w:lang w:eastAsia="en-US"/>
        </w:rPr>
        <w:t>33</w:t>
      </w:r>
      <w:r w:rsidRPr="000E294A">
        <w:rPr>
          <w:rFonts w:ascii="Arial" w:eastAsiaTheme="minorHAnsi" w:hAnsi="Arial" w:cs="Arial"/>
          <w:lang w:eastAsia="en-US"/>
        </w:rPr>
        <w:t xml:space="preserve">.6%); recurring 12±5 days (mean ± SD) post-surgery. Incidence identified through implanted continuous monitoring was 61-100% within 2-years. Between 40-93% of episodes were asymptomatic. In one </w:t>
      </w:r>
      <w:r>
        <w:rPr>
          <w:rFonts w:ascii="Arial" w:eastAsiaTheme="minorHAnsi" w:hAnsi="Arial" w:cs="Arial"/>
          <w:lang w:eastAsia="en-US"/>
        </w:rPr>
        <w:t xml:space="preserve">small </w:t>
      </w:r>
      <w:r w:rsidRPr="000E294A">
        <w:rPr>
          <w:rFonts w:ascii="Arial" w:eastAsiaTheme="minorHAnsi" w:hAnsi="Arial" w:cs="Arial"/>
          <w:lang w:eastAsia="en-US"/>
        </w:rPr>
        <w:t>study reporting stroke risk</w:t>
      </w:r>
      <w:r>
        <w:rPr>
          <w:rFonts w:ascii="Arial" w:eastAsiaTheme="minorHAnsi" w:hAnsi="Arial" w:cs="Arial"/>
          <w:lang w:eastAsia="en-US"/>
        </w:rPr>
        <w:t xml:space="preserve">, 8/10 patients with recurrence </w:t>
      </w:r>
      <w:r w:rsidRPr="000E294A">
        <w:rPr>
          <w:rFonts w:ascii="Arial" w:eastAsiaTheme="minorHAnsi" w:hAnsi="Arial" w:cs="Arial"/>
          <w:lang w:eastAsia="en-US"/>
        </w:rPr>
        <w:t xml:space="preserve">were guideline-indicated (CHA2DS2-VASc score ≥2) for oral-anticoagulation for stroke prevention. </w:t>
      </w:r>
      <w:r>
        <w:rPr>
          <w:rFonts w:ascii="Arial" w:eastAsiaTheme="minorHAnsi" w:hAnsi="Arial" w:cs="Arial"/>
          <w:lang w:eastAsia="en-US"/>
        </w:rPr>
        <w:t>M</w:t>
      </w:r>
      <w:r w:rsidRPr="000E294A">
        <w:rPr>
          <w:rFonts w:ascii="Arial" w:eastAsiaTheme="minorHAnsi" w:hAnsi="Arial" w:cs="Arial"/>
          <w:lang w:eastAsia="en-US"/>
        </w:rPr>
        <w:t>onitoring for POAF recurrence post-hospital discharge identifies significant numbers of early asymptomatic recurrences in patients at high risk of stroke, who may benefit from anticoagulation for stroke prevention. More intense monitoring is more likely to identify POAF recurrence. Future research is required to investigate the prognostic significance of POAF recurrence, especially stroke and mortality risk.</w:t>
      </w:r>
    </w:p>
    <w:p w14:paraId="58B3DEE7" w14:textId="77777777" w:rsidR="000362D0" w:rsidRPr="008872EC" w:rsidRDefault="000362D0" w:rsidP="006F45B1">
      <w:pPr>
        <w:pStyle w:val="NoSpacing"/>
        <w:spacing w:line="480" w:lineRule="auto"/>
        <w:rPr>
          <w:rFonts w:ascii="Arial" w:hAnsi="Arial" w:cs="Arial"/>
        </w:rPr>
      </w:pPr>
    </w:p>
    <w:p w14:paraId="077B2614" w14:textId="77777777" w:rsidR="000362D0" w:rsidRPr="008872EC" w:rsidRDefault="000362D0" w:rsidP="006F45B1">
      <w:pPr>
        <w:pStyle w:val="NoSpacing"/>
        <w:spacing w:line="480" w:lineRule="auto"/>
        <w:rPr>
          <w:rFonts w:ascii="Arial" w:hAnsi="Arial" w:cs="Arial"/>
          <w:b/>
        </w:rPr>
      </w:pPr>
      <w:r w:rsidRPr="008872EC">
        <w:rPr>
          <w:rFonts w:ascii="Arial" w:hAnsi="Arial" w:cs="Arial"/>
          <w:b/>
        </w:rPr>
        <w:t>Key words</w:t>
      </w:r>
    </w:p>
    <w:p w14:paraId="1A707ECC" w14:textId="77777777" w:rsidR="000362D0" w:rsidRPr="008872EC" w:rsidRDefault="000362D0" w:rsidP="006F45B1">
      <w:pPr>
        <w:pStyle w:val="NoSpacing"/>
        <w:spacing w:line="480" w:lineRule="auto"/>
        <w:rPr>
          <w:rFonts w:ascii="Arial" w:hAnsi="Arial" w:cs="Arial"/>
        </w:rPr>
      </w:pPr>
      <w:r w:rsidRPr="008872EC">
        <w:rPr>
          <w:rFonts w:ascii="Arial" w:hAnsi="Arial" w:cs="Arial"/>
        </w:rPr>
        <w:t xml:space="preserve">post-operative, atrial fibrillation, screening, </w:t>
      </w:r>
      <w:r>
        <w:rPr>
          <w:rFonts w:ascii="Arial" w:hAnsi="Arial" w:cs="Arial"/>
        </w:rPr>
        <w:t>recurrence, electrocardiogram</w:t>
      </w:r>
      <w:r w:rsidRPr="008872EC">
        <w:rPr>
          <w:rFonts w:ascii="Arial" w:hAnsi="Arial" w:cs="Arial"/>
          <w:b/>
        </w:rPr>
        <w:br w:type="page"/>
      </w:r>
    </w:p>
    <w:p w14:paraId="68BD0E0E" w14:textId="77777777" w:rsidR="000362D0" w:rsidRPr="008872EC" w:rsidRDefault="000362D0" w:rsidP="006F45B1">
      <w:pPr>
        <w:pStyle w:val="NoSpacing"/>
        <w:spacing w:line="480" w:lineRule="auto"/>
        <w:rPr>
          <w:rFonts w:ascii="Arial" w:hAnsi="Arial" w:cs="Arial"/>
          <w:b/>
        </w:rPr>
      </w:pPr>
      <w:r w:rsidRPr="008872EC">
        <w:rPr>
          <w:rFonts w:ascii="Arial" w:hAnsi="Arial" w:cs="Arial"/>
          <w:b/>
        </w:rPr>
        <w:lastRenderedPageBreak/>
        <w:t>INTRODUCTION</w:t>
      </w:r>
    </w:p>
    <w:p w14:paraId="37D126E6" w14:textId="77777777" w:rsidR="000362D0" w:rsidRPr="008872EC" w:rsidRDefault="000362D0" w:rsidP="006F45B1">
      <w:pPr>
        <w:spacing w:after="0" w:line="480" w:lineRule="auto"/>
        <w:jc w:val="both"/>
        <w:rPr>
          <w:rFonts w:ascii="Arial" w:hAnsi="Arial" w:cs="Arial"/>
        </w:rPr>
      </w:pPr>
      <w:r w:rsidRPr="008872EC">
        <w:rPr>
          <w:rFonts w:ascii="Arial" w:hAnsi="Arial" w:cs="Arial"/>
        </w:rPr>
        <w:t>New-onset post-operative atrial fibrillation (POAF) occurs in 16-44% of patients following cardiac surgery prior to discharge,</w:t>
      </w:r>
      <w:r>
        <w:rPr>
          <w:rFonts w:ascii="Arial" w:hAnsi="Arial" w:cs="Arial"/>
          <w:noProof/>
        </w:rPr>
        <w:t>(1, 2)</w:t>
      </w:r>
      <w:r w:rsidRPr="008872EC">
        <w:rPr>
          <w:rFonts w:ascii="Arial" w:hAnsi="Arial" w:cs="Arial"/>
        </w:rPr>
        <w:t xml:space="preserve"> and is associated with an increased risk of postoperative complications such as stroke, respiratory failure, and pneumonia.</w:t>
      </w:r>
      <w:r>
        <w:rPr>
          <w:rFonts w:ascii="Arial" w:hAnsi="Arial" w:cs="Arial"/>
          <w:noProof/>
        </w:rPr>
        <w:t>(3)</w:t>
      </w:r>
      <w:r w:rsidRPr="008872EC">
        <w:rPr>
          <w:rFonts w:ascii="Arial" w:hAnsi="Arial" w:cs="Arial"/>
        </w:rPr>
        <w:t xml:space="preserve"> An episode of POAF after cardiac surgery is associated with a significantly increased long-term risk of embolic stroke (HR, 2.1; 95% CI, 1.4-3.1);</w:t>
      </w:r>
      <w:r>
        <w:rPr>
          <w:rFonts w:ascii="Arial" w:hAnsi="Arial" w:cs="Arial"/>
          <w:noProof/>
        </w:rPr>
        <w:t>(2)</w:t>
      </w:r>
      <w:r w:rsidRPr="008872EC">
        <w:rPr>
          <w:rFonts w:ascii="Arial" w:hAnsi="Arial" w:cs="Arial"/>
        </w:rPr>
        <w:t xml:space="preserve"> and increased all-cause mortality, with the overall ten-year survival for patients with POAF being 65.5% compared to 75.3% in those without POAF.</w:t>
      </w:r>
      <w:r>
        <w:rPr>
          <w:rFonts w:ascii="Arial" w:hAnsi="Arial" w:cs="Arial"/>
          <w:noProof/>
        </w:rPr>
        <w:t>(3)</w:t>
      </w:r>
      <w:r w:rsidRPr="008872EC">
        <w:rPr>
          <w:rFonts w:ascii="Arial" w:hAnsi="Arial" w:cs="Arial"/>
        </w:rPr>
        <w:t xml:space="preserve"> POAF is often thought to be transient as it often resolves spontaneously, and there is also uncertainty about the need for treatment.</w:t>
      </w:r>
      <w:r>
        <w:rPr>
          <w:rFonts w:ascii="Arial" w:hAnsi="Arial" w:cs="Arial"/>
          <w:noProof/>
        </w:rPr>
        <w:t>(4)</w:t>
      </w:r>
      <w:r w:rsidRPr="008872EC">
        <w:rPr>
          <w:rFonts w:ascii="Arial" w:hAnsi="Arial" w:cs="Arial"/>
        </w:rPr>
        <w:t xml:space="preserve"> Therefore, patients who convert to sinus rhythm prior to discharge are rarely monitored for recurrence. However, these patients with POAF have a 5-fold increased risk of developing long-term atrial fibrillation (AF)</w:t>
      </w:r>
      <w:hyperlink w:anchor="_ENREF_5" w:tooltip="Lee, 2014 #94" w:history="1"/>
      <w:r w:rsidRPr="008872EC">
        <w:rPr>
          <w:rFonts w:ascii="Arial" w:hAnsi="Arial" w:cs="Arial"/>
        </w:rPr>
        <w:t>.</w:t>
      </w:r>
      <w:r>
        <w:rPr>
          <w:rFonts w:ascii="Arial" w:hAnsi="Arial" w:cs="Arial"/>
          <w:noProof/>
        </w:rPr>
        <w:t>(5)</w:t>
      </w:r>
    </w:p>
    <w:p w14:paraId="6DCE0A09" w14:textId="77777777" w:rsidR="000362D0" w:rsidRPr="008872EC" w:rsidRDefault="000362D0" w:rsidP="006F45B1">
      <w:pPr>
        <w:spacing w:after="0" w:line="480" w:lineRule="auto"/>
        <w:jc w:val="both"/>
        <w:rPr>
          <w:rFonts w:ascii="Arial" w:hAnsi="Arial" w:cs="Arial"/>
        </w:rPr>
      </w:pPr>
    </w:p>
    <w:p w14:paraId="1463FC39" w14:textId="77777777" w:rsidR="000362D0" w:rsidRPr="008872EC" w:rsidRDefault="000362D0" w:rsidP="006F45B1">
      <w:pPr>
        <w:spacing w:after="0" w:line="480" w:lineRule="auto"/>
        <w:jc w:val="both"/>
        <w:rPr>
          <w:rFonts w:ascii="Arial" w:hAnsi="Arial" w:cs="Arial"/>
        </w:rPr>
      </w:pPr>
      <w:r w:rsidRPr="008872EC">
        <w:rPr>
          <w:rFonts w:ascii="Arial" w:hAnsi="Arial" w:cs="Arial"/>
        </w:rPr>
        <w:t>In current practice, routine surveillance for POAF recurrence largely falls to the patient and their GP, and generally relies on identification of AF symptoms. Symptoms occur in only 1/3 of all AF episodes,</w:t>
      </w:r>
      <w:r>
        <w:rPr>
          <w:rFonts w:ascii="Arial" w:hAnsi="Arial" w:cs="Arial"/>
          <w:noProof/>
        </w:rPr>
        <w:t>(6)</w:t>
      </w:r>
      <w:r w:rsidRPr="008872EC">
        <w:rPr>
          <w:rFonts w:ascii="Arial" w:hAnsi="Arial" w:cs="Arial"/>
        </w:rPr>
        <w:t xml:space="preserve"> and many symptoms experienced such as fatigue, dizziness, or shortness of breath are non-specific and easily confused with what might be expected during recovery from surgery. Notably, after discharge from cardiac surgery palpitations occur in only 30% of POAF recurrences.</w:t>
      </w:r>
      <w:r>
        <w:rPr>
          <w:rFonts w:ascii="Arial" w:hAnsi="Arial" w:cs="Arial"/>
          <w:noProof/>
        </w:rPr>
        <w:t>(7)</w:t>
      </w:r>
      <w:r w:rsidRPr="008872EC">
        <w:rPr>
          <w:rFonts w:ascii="Arial" w:hAnsi="Arial" w:cs="Arial"/>
        </w:rPr>
        <w:t xml:space="preserve"> Therefore, symptoms are unreliable as a guide to identify POAF recurrence. </w:t>
      </w:r>
    </w:p>
    <w:p w14:paraId="5ACFE169" w14:textId="77777777" w:rsidR="000362D0" w:rsidRPr="008872EC" w:rsidRDefault="000362D0" w:rsidP="006F45B1">
      <w:pPr>
        <w:spacing w:after="0" w:line="480" w:lineRule="auto"/>
        <w:jc w:val="both"/>
        <w:rPr>
          <w:rFonts w:ascii="Arial" w:hAnsi="Arial" w:cs="Arial"/>
          <w:b/>
        </w:rPr>
      </w:pPr>
    </w:p>
    <w:p w14:paraId="740756A7" w14:textId="77777777" w:rsidR="000362D0" w:rsidRPr="008872EC" w:rsidRDefault="000362D0" w:rsidP="006F45B1">
      <w:pPr>
        <w:spacing w:after="0" w:line="480" w:lineRule="auto"/>
        <w:rPr>
          <w:rFonts w:ascii="Arial" w:hAnsi="Arial" w:cs="Arial"/>
        </w:rPr>
      </w:pPr>
      <w:r w:rsidRPr="008872EC">
        <w:rPr>
          <w:rFonts w:ascii="Arial" w:hAnsi="Arial" w:cs="Arial"/>
        </w:rPr>
        <w:t xml:space="preserve">The need for surveillance of POAF recurrence is </w:t>
      </w:r>
      <w:r w:rsidRPr="00597E09">
        <w:rPr>
          <w:rFonts w:ascii="Arial" w:hAnsi="Arial" w:cs="Arial"/>
        </w:rPr>
        <w:t>advocated by many recent studies.</w:t>
      </w:r>
      <w:r w:rsidRPr="00597E09">
        <w:rPr>
          <w:rFonts w:ascii="Arial" w:hAnsi="Arial" w:cs="Arial"/>
          <w:noProof/>
        </w:rPr>
        <w:t>(3, 5, 8-10)</w:t>
      </w:r>
      <w:r w:rsidRPr="00597E09">
        <w:rPr>
          <w:rFonts w:ascii="Arial" w:hAnsi="Arial" w:cs="Arial"/>
        </w:rPr>
        <w:t xml:space="preserve"> It is likely that surveillance post-discharge would identify patients with asymptomatic recurrences of AF who are at increased risk of stroke; however this is neither routinely implemented, nor recommended in guidelines.</w:t>
      </w:r>
      <w:r w:rsidRPr="00597E09">
        <w:rPr>
          <w:rFonts w:ascii="Arial" w:hAnsi="Arial" w:cs="Arial"/>
          <w:noProof/>
        </w:rPr>
        <w:t>(11, 12)</w:t>
      </w:r>
      <w:r w:rsidRPr="00597E09">
        <w:rPr>
          <w:rFonts w:ascii="Arial" w:hAnsi="Arial" w:cs="Arial"/>
        </w:rPr>
        <w:t xml:space="preserve"> Therefore, the aim of this systematic review was to focus on patients with new-onset POAF deemed </w:t>
      </w:r>
      <w:r>
        <w:rPr>
          <w:rFonts w:ascii="Arial" w:hAnsi="Arial" w:cs="Arial"/>
        </w:rPr>
        <w:t>to be</w:t>
      </w:r>
      <w:r w:rsidRPr="008872EC">
        <w:rPr>
          <w:rFonts w:ascii="Arial" w:hAnsi="Arial" w:cs="Arial"/>
        </w:rPr>
        <w:t xml:space="preserve"> in stable sinus rhythm</w:t>
      </w:r>
      <w:r>
        <w:rPr>
          <w:rFonts w:ascii="Arial" w:hAnsi="Arial" w:cs="Arial"/>
        </w:rPr>
        <w:t xml:space="preserve"> on discharge, and </w:t>
      </w:r>
      <w:r w:rsidRPr="008872EC">
        <w:rPr>
          <w:rFonts w:ascii="Arial" w:hAnsi="Arial" w:cs="Arial"/>
        </w:rPr>
        <w:t xml:space="preserve">determine the recurrence of POAF identified through </w:t>
      </w:r>
      <w:r>
        <w:rPr>
          <w:rFonts w:ascii="Arial" w:hAnsi="Arial" w:cs="Arial"/>
        </w:rPr>
        <w:t xml:space="preserve">active </w:t>
      </w:r>
      <w:r w:rsidRPr="008872EC">
        <w:rPr>
          <w:rFonts w:ascii="Arial" w:hAnsi="Arial" w:cs="Arial"/>
        </w:rPr>
        <w:t>screening after discharge. The secondary aim was to determine the stroke risk of the patients with recurrence of POAF after discharge.</w:t>
      </w:r>
    </w:p>
    <w:p w14:paraId="589438E1" w14:textId="77777777" w:rsidR="000362D0" w:rsidRPr="008872EC" w:rsidRDefault="000362D0" w:rsidP="006F45B1">
      <w:pPr>
        <w:spacing w:after="0" w:line="480" w:lineRule="auto"/>
        <w:rPr>
          <w:rFonts w:ascii="Arial" w:hAnsi="Arial" w:cs="Arial"/>
        </w:rPr>
      </w:pPr>
    </w:p>
    <w:p w14:paraId="49570573" w14:textId="77777777" w:rsidR="000362D0" w:rsidRPr="008872EC" w:rsidRDefault="000362D0" w:rsidP="006F45B1">
      <w:pPr>
        <w:spacing w:before="60" w:after="60" w:line="480" w:lineRule="auto"/>
        <w:rPr>
          <w:rFonts w:ascii="Arial" w:hAnsi="Arial" w:cs="Arial"/>
        </w:rPr>
      </w:pPr>
      <w:r w:rsidRPr="008872EC">
        <w:rPr>
          <w:rFonts w:ascii="Arial" w:hAnsi="Arial" w:cs="Arial"/>
          <w:b/>
        </w:rPr>
        <w:t>METHODS</w:t>
      </w:r>
    </w:p>
    <w:p w14:paraId="2A78F454" w14:textId="77777777" w:rsidR="000362D0" w:rsidRPr="008872EC" w:rsidRDefault="000362D0" w:rsidP="006F45B1">
      <w:pPr>
        <w:pStyle w:val="NoSpacing"/>
        <w:spacing w:line="480" w:lineRule="auto"/>
        <w:rPr>
          <w:rFonts w:ascii="Arial" w:hAnsi="Arial" w:cs="Arial"/>
          <w:b/>
        </w:rPr>
      </w:pPr>
      <w:r w:rsidRPr="008872EC">
        <w:rPr>
          <w:rFonts w:ascii="Arial" w:hAnsi="Arial" w:cs="Arial"/>
          <w:b/>
        </w:rPr>
        <w:t>Search strategy</w:t>
      </w:r>
    </w:p>
    <w:p w14:paraId="7D421566" w14:textId="77777777" w:rsidR="000362D0" w:rsidRPr="008872EC" w:rsidRDefault="000362D0" w:rsidP="006F45B1">
      <w:pPr>
        <w:pStyle w:val="NoSpacing"/>
        <w:spacing w:line="480" w:lineRule="auto"/>
        <w:rPr>
          <w:rFonts w:ascii="Arial" w:hAnsi="Arial" w:cs="Arial"/>
        </w:rPr>
      </w:pPr>
      <w:r w:rsidRPr="008872EC">
        <w:rPr>
          <w:rFonts w:ascii="Arial" w:hAnsi="Arial" w:cs="Arial"/>
        </w:rPr>
        <w:t>Relevant studies were identified by a search of the medical databases MEDLINE (to Feb 2017), EMBASE (to Feb 2017), and Cochrane Library (to Feb 2017); clinical trials registries; reference lists; and the Internet using Google search engine. The keyword search terms were atrial fibrillation AND (postoperative OR post-surgery OR post CABG OR post-surgical OR cardiac surgery OR heart surgery OR valve surgery) AND (detection OR screening OR identification OR incidence OR prevalence OR surveillance OR ECG OR Electrocardiogram OR monitoring OR recurrence OR case finding). Limits were applied for the years 1990 onwards, and for humans only. All languages were included.</w:t>
      </w:r>
    </w:p>
    <w:p w14:paraId="6B3BF6EB" w14:textId="77777777" w:rsidR="000362D0" w:rsidRPr="008872EC" w:rsidRDefault="000362D0" w:rsidP="006F45B1">
      <w:pPr>
        <w:pStyle w:val="NoSpacing"/>
        <w:spacing w:line="480" w:lineRule="auto"/>
        <w:rPr>
          <w:rFonts w:ascii="Arial" w:hAnsi="Arial" w:cs="Arial"/>
        </w:rPr>
      </w:pPr>
    </w:p>
    <w:p w14:paraId="767C81CA" w14:textId="77777777" w:rsidR="000362D0" w:rsidRDefault="000362D0" w:rsidP="006F45B1">
      <w:pPr>
        <w:pStyle w:val="NoSpacing"/>
        <w:spacing w:line="480" w:lineRule="auto"/>
        <w:rPr>
          <w:rFonts w:ascii="Arial" w:hAnsi="Arial" w:cs="Arial"/>
        </w:rPr>
      </w:pPr>
      <w:r>
        <w:rPr>
          <w:rFonts w:ascii="Arial" w:hAnsi="Arial" w:cs="Arial"/>
        </w:rPr>
        <w:t>For stage one of the review, t</w:t>
      </w:r>
      <w:r w:rsidRPr="008872EC">
        <w:rPr>
          <w:rFonts w:ascii="Arial" w:hAnsi="Arial" w:cs="Arial"/>
        </w:rPr>
        <w:t>wo ind</w:t>
      </w:r>
      <w:r>
        <w:rPr>
          <w:rFonts w:ascii="Arial" w:hAnsi="Arial" w:cs="Arial"/>
        </w:rPr>
        <w:t xml:space="preserve">ependent reviewers (GM, NL) </w:t>
      </w:r>
      <w:r w:rsidRPr="008872EC">
        <w:rPr>
          <w:rFonts w:ascii="Arial" w:hAnsi="Arial" w:cs="Arial"/>
        </w:rPr>
        <w:t>reviewed all titles and abstracts</w:t>
      </w:r>
      <w:r>
        <w:rPr>
          <w:rFonts w:ascii="Arial" w:hAnsi="Arial" w:cs="Arial"/>
        </w:rPr>
        <w:t xml:space="preserve"> from the search</w:t>
      </w:r>
      <w:r w:rsidRPr="008872EC">
        <w:rPr>
          <w:rFonts w:ascii="Arial" w:hAnsi="Arial" w:cs="Arial"/>
        </w:rPr>
        <w:t xml:space="preserve"> </w:t>
      </w:r>
      <w:r>
        <w:rPr>
          <w:rFonts w:ascii="Arial" w:hAnsi="Arial" w:cs="Arial"/>
        </w:rPr>
        <w:t>to identify p</w:t>
      </w:r>
      <w:r w:rsidRPr="008872EC">
        <w:rPr>
          <w:rFonts w:ascii="Arial" w:hAnsi="Arial" w:cs="Arial"/>
        </w:rPr>
        <w:t xml:space="preserve">otentially relevant articles. All </w:t>
      </w:r>
      <w:r>
        <w:rPr>
          <w:rFonts w:ascii="Arial" w:hAnsi="Arial" w:cs="Arial"/>
        </w:rPr>
        <w:t xml:space="preserve">relevant </w:t>
      </w:r>
      <w:r w:rsidRPr="008872EC">
        <w:rPr>
          <w:rFonts w:ascii="Arial" w:hAnsi="Arial" w:cs="Arial"/>
        </w:rPr>
        <w:t>references were imported into Endnote X7 bibliographic software and duplicates removed. Where papers reported outcomes for the same study at different time points the longest follow-up point was used.</w:t>
      </w:r>
      <w:r>
        <w:rPr>
          <w:rFonts w:ascii="Arial" w:hAnsi="Arial" w:cs="Arial"/>
        </w:rPr>
        <w:t xml:space="preserve"> In stage two, f</w:t>
      </w:r>
      <w:r w:rsidRPr="008872EC">
        <w:rPr>
          <w:rFonts w:ascii="Arial" w:hAnsi="Arial" w:cs="Arial"/>
        </w:rPr>
        <w:t xml:space="preserve">ull text manuscripts were obtained for all </w:t>
      </w:r>
      <w:r>
        <w:rPr>
          <w:rFonts w:ascii="Arial" w:hAnsi="Arial" w:cs="Arial"/>
        </w:rPr>
        <w:t xml:space="preserve">potentially </w:t>
      </w:r>
      <w:r w:rsidRPr="008872EC">
        <w:rPr>
          <w:rFonts w:ascii="Arial" w:hAnsi="Arial" w:cs="Arial"/>
        </w:rPr>
        <w:t>relevant studies</w:t>
      </w:r>
      <w:r>
        <w:rPr>
          <w:rFonts w:ascii="Arial" w:hAnsi="Arial" w:cs="Arial"/>
        </w:rPr>
        <w:t xml:space="preserve"> and screened by the reviewers (GM, NL) against the inclusion and exclusion criteria</w:t>
      </w:r>
      <w:r w:rsidRPr="008872EC">
        <w:rPr>
          <w:rFonts w:ascii="Arial" w:hAnsi="Arial" w:cs="Arial"/>
        </w:rPr>
        <w:t>.</w:t>
      </w:r>
    </w:p>
    <w:p w14:paraId="218C1C4B" w14:textId="77777777" w:rsidR="000362D0" w:rsidRDefault="000362D0" w:rsidP="006F45B1">
      <w:pPr>
        <w:pStyle w:val="NoSpacing"/>
        <w:spacing w:line="480" w:lineRule="auto"/>
        <w:rPr>
          <w:rFonts w:ascii="Arial" w:hAnsi="Arial" w:cs="Arial"/>
        </w:rPr>
      </w:pPr>
    </w:p>
    <w:p w14:paraId="1726311B" w14:textId="77777777" w:rsidR="000362D0" w:rsidRDefault="000362D0" w:rsidP="006F45B1">
      <w:pPr>
        <w:pStyle w:val="NoSpacing"/>
        <w:spacing w:line="480" w:lineRule="auto"/>
        <w:rPr>
          <w:rFonts w:ascii="Arial" w:hAnsi="Arial" w:cs="Arial"/>
        </w:rPr>
      </w:pPr>
      <w:r>
        <w:rPr>
          <w:rFonts w:ascii="Arial" w:hAnsi="Arial" w:cs="Arial"/>
        </w:rPr>
        <w:t>I</w:t>
      </w:r>
      <w:r w:rsidRPr="008872EC">
        <w:rPr>
          <w:rFonts w:ascii="Arial" w:hAnsi="Arial" w:cs="Arial"/>
        </w:rPr>
        <w:t>nclusion criteria</w:t>
      </w:r>
      <w:r>
        <w:rPr>
          <w:rFonts w:ascii="Arial" w:hAnsi="Arial" w:cs="Arial"/>
        </w:rPr>
        <w:t>:</w:t>
      </w:r>
    </w:p>
    <w:p w14:paraId="2F3693B4" w14:textId="77777777" w:rsidR="000362D0" w:rsidRDefault="000362D0" w:rsidP="006F45B1">
      <w:pPr>
        <w:pStyle w:val="NoSpacing"/>
        <w:numPr>
          <w:ilvl w:val="0"/>
          <w:numId w:val="13"/>
        </w:numPr>
        <w:spacing w:line="480" w:lineRule="auto"/>
        <w:rPr>
          <w:rFonts w:ascii="Arial" w:hAnsi="Arial" w:cs="Arial"/>
        </w:rPr>
      </w:pPr>
      <w:r w:rsidRPr="008872EC">
        <w:rPr>
          <w:rFonts w:ascii="Arial" w:hAnsi="Arial" w:cs="Arial"/>
        </w:rPr>
        <w:t>cardiac surgery population</w:t>
      </w:r>
      <w:r>
        <w:rPr>
          <w:rFonts w:ascii="Arial" w:hAnsi="Arial" w:cs="Arial"/>
        </w:rPr>
        <w:t>,</w:t>
      </w:r>
      <w:r w:rsidRPr="008872EC">
        <w:rPr>
          <w:rFonts w:ascii="Arial" w:hAnsi="Arial" w:cs="Arial"/>
        </w:rPr>
        <w:t xml:space="preserve"> with </w:t>
      </w:r>
      <w:r>
        <w:rPr>
          <w:rFonts w:ascii="Arial" w:hAnsi="Arial" w:cs="Arial"/>
        </w:rPr>
        <w:t xml:space="preserve">episode of new-onset </w:t>
      </w:r>
      <w:r w:rsidRPr="008872EC">
        <w:rPr>
          <w:rFonts w:ascii="Arial" w:hAnsi="Arial" w:cs="Arial"/>
        </w:rPr>
        <w:t>POAF</w:t>
      </w:r>
      <w:r w:rsidRPr="00215931">
        <w:rPr>
          <w:rFonts w:ascii="Arial" w:hAnsi="Arial" w:cs="Arial"/>
        </w:rPr>
        <w:t xml:space="preserve"> </w:t>
      </w:r>
      <w:r w:rsidRPr="00D03755">
        <w:rPr>
          <w:rFonts w:ascii="Arial" w:hAnsi="Arial" w:cs="Arial"/>
        </w:rPr>
        <w:t>during hospitalization for cardiac surgery</w:t>
      </w:r>
    </w:p>
    <w:p w14:paraId="5BCD3163" w14:textId="77777777" w:rsidR="000362D0" w:rsidRDefault="000362D0" w:rsidP="006F45B1">
      <w:pPr>
        <w:pStyle w:val="NoSpacing"/>
        <w:numPr>
          <w:ilvl w:val="0"/>
          <w:numId w:val="13"/>
        </w:numPr>
        <w:spacing w:line="480" w:lineRule="auto"/>
        <w:rPr>
          <w:rFonts w:ascii="Arial" w:hAnsi="Arial" w:cs="Arial"/>
        </w:rPr>
      </w:pPr>
      <w:r>
        <w:rPr>
          <w:rFonts w:ascii="Arial" w:hAnsi="Arial" w:cs="Arial"/>
        </w:rPr>
        <w:t xml:space="preserve">patients </w:t>
      </w:r>
      <w:r w:rsidRPr="008872EC">
        <w:rPr>
          <w:rFonts w:ascii="Arial" w:hAnsi="Arial" w:cs="Arial"/>
        </w:rPr>
        <w:t>reverted to sinus rhythm prior to hospital discharge</w:t>
      </w:r>
    </w:p>
    <w:p w14:paraId="69EC8A5D" w14:textId="77777777" w:rsidR="000362D0" w:rsidRDefault="000362D0" w:rsidP="006F45B1">
      <w:pPr>
        <w:pStyle w:val="NoSpacing"/>
        <w:numPr>
          <w:ilvl w:val="0"/>
          <w:numId w:val="13"/>
        </w:numPr>
        <w:spacing w:line="480" w:lineRule="auto"/>
        <w:rPr>
          <w:rFonts w:ascii="Arial" w:hAnsi="Arial" w:cs="Arial"/>
        </w:rPr>
      </w:pPr>
      <w:r>
        <w:rPr>
          <w:rFonts w:ascii="Arial" w:hAnsi="Arial" w:cs="Arial"/>
        </w:rPr>
        <w:t>patients were</w:t>
      </w:r>
      <w:r w:rsidRPr="008872EC">
        <w:rPr>
          <w:rFonts w:ascii="Arial" w:hAnsi="Arial" w:cs="Arial"/>
        </w:rPr>
        <w:t xml:space="preserve"> </w:t>
      </w:r>
      <w:r>
        <w:rPr>
          <w:rFonts w:ascii="Arial" w:hAnsi="Arial" w:cs="Arial"/>
        </w:rPr>
        <w:t xml:space="preserve">actively </w:t>
      </w:r>
      <w:r w:rsidRPr="008872EC">
        <w:rPr>
          <w:rFonts w:ascii="Arial" w:hAnsi="Arial" w:cs="Arial"/>
        </w:rPr>
        <w:t>screened for AF recurrence post-hospital discharge</w:t>
      </w:r>
      <w:r>
        <w:rPr>
          <w:rFonts w:ascii="Arial" w:hAnsi="Arial" w:cs="Arial"/>
        </w:rPr>
        <w:t xml:space="preserve"> (no limits placed on timeframe) </w:t>
      </w:r>
      <w:r w:rsidRPr="008872EC">
        <w:rPr>
          <w:rFonts w:ascii="Arial" w:hAnsi="Arial" w:cs="Arial"/>
        </w:rPr>
        <w:t xml:space="preserve"> </w:t>
      </w:r>
    </w:p>
    <w:p w14:paraId="3285051A" w14:textId="77777777" w:rsidR="000362D0" w:rsidRDefault="000362D0" w:rsidP="006F45B1">
      <w:pPr>
        <w:pStyle w:val="NoSpacing"/>
        <w:spacing w:line="480" w:lineRule="auto"/>
        <w:rPr>
          <w:rFonts w:ascii="Arial" w:hAnsi="Arial" w:cs="Arial"/>
        </w:rPr>
      </w:pPr>
    </w:p>
    <w:p w14:paraId="34217ED4" w14:textId="77777777" w:rsidR="000362D0" w:rsidRDefault="000362D0" w:rsidP="006F45B1">
      <w:pPr>
        <w:pStyle w:val="NoSpacing"/>
        <w:spacing w:line="480" w:lineRule="auto"/>
        <w:rPr>
          <w:rFonts w:ascii="Arial" w:hAnsi="Arial" w:cs="Arial"/>
        </w:rPr>
      </w:pPr>
      <w:r>
        <w:rPr>
          <w:rFonts w:ascii="Arial" w:hAnsi="Arial" w:cs="Arial"/>
        </w:rPr>
        <w:t>E</w:t>
      </w:r>
      <w:r w:rsidRPr="008872EC">
        <w:rPr>
          <w:rFonts w:ascii="Arial" w:hAnsi="Arial" w:cs="Arial"/>
        </w:rPr>
        <w:t>xclu</w:t>
      </w:r>
      <w:r>
        <w:rPr>
          <w:rFonts w:ascii="Arial" w:hAnsi="Arial" w:cs="Arial"/>
        </w:rPr>
        <w:t>sion criteria:</w:t>
      </w:r>
    </w:p>
    <w:p w14:paraId="040B5054" w14:textId="77777777" w:rsidR="000362D0" w:rsidRDefault="000362D0" w:rsidP="006F45B1">
      <w:pPr>
        <w:pStyle w:val="NoSpacing"/>
        <w:numPr>
          <w:ilvl w:val="0"/>
          <w:numId w:val="14"/>
        </w:numPr>
        <w:spacing w:line="480" w:lineRule="auto"/>
        <w:rPr>
          <w:rFonts w:ascii="Arial" w:hAnsi="Arial" w:cs="Arial"/>
        </w:rPr>
      </w:pPr>
      <w:r>
        <w:rPr>
          <w:rFonts w:ascii="Arial" w:hAnsi="Arial" w:cs="Arial"/>
        </w:rPr>
        <w:lastRenderedPageBreak/>
        <w:t>patients with known history of AF prior to surgery</w:t>
      </w:r>
    </w:p>
    <w:p w14:paraId="41155AAA" w14:textId="77777777" w:rsidR="000362D0" w:rsidRDefault="000362D0" w:rsidP="006F45B1">
      <w:pPr>
        <w:pStyle w:val="NoSpacing"/>
        <w:numPr>
          <w:ilvl w:val="0"/>
          <w:numId w:val="14"/>
        </w:numPr>
        <w:spacing w:line="480" w:lineRule="auto"/>
        <w:rPr>
          <w:rFonts w:ascii="Arial" w:hAnsi="Arial" w:cs="Arial"/>
        </w:rPr>
      </w:pPr>
      <w:r>
        <w:rPr>
          <w:rFonts w:ascii="Arial" w:hAnsi="Arial" w:cs="Arial"/>
        </w:rPr>
        <w:t>studies</w:t>
      </w:r>
      <w:r w:rsidRPr="008872EC">
        <w:rPr>
          <w:rFonts w:ascii="Arial" w:hAnsi="Arial" w:cs="Arial"/>
        </w:rPr>
        <w:t xml:space="preserve"> did not distinguish any known history of AF prior to surgery</w:t>
      </w:r>
    </w:p>
    <w:p w14:paraId="6B4415C7" w14:textId="77777777" w:rsidR="000362D0" w:rsidRDefault="000362D0" w:rsidP="006F45B1">
      <w:pPr>
        <w:pStyle w:val="NoSpacing"/>
        <w:numPr>
          <w:ilvl w:val="0"/>
          <w:numId w:val="14"/>
        </w:numPr>
        <w:spacing w:line="480" w:lineRule="auto"/>
        <w:rPr>
          <w:rFonts w:ascii="Arial" w:hAnsi="Arial" w:cs="Arial"/>
        </w:rPr>
      </w:pPr>
      <w:r>
        <w:rPr>
          <w:rFonts w:ascii="Arial" w:hAnsi="Arial" w:cs="Arial"/>
        </w:rPr>
        <w:t xml:space="preserve">studies did not distinguish the patients who reverted to sinus rhythm prior to discharge </w:t>
      </w:r>
    </w:p>
    <w:p w14:paraId="2E047452" w14:textId="77777777" w:rsidR="000362D0" w:rsidRPr="008872EC" w:rsidRDefault="000362D0" w:rsidP="006F45B1">
      <w:pPr>
        <w:pStyle w:val="NoSpacing"/>
        <w:numPr>
          <w:ilvl w:val="0"/>
          <w:numId w:val="14"/>
        </w:numPr>
        <w:spacing w:line="480" w:lineRule="auto"/>
        <w:rPr>
          <w:rFonts w:ascii="Arial" w:hAnsi="Arial" w:cs="Arial"/>
        </w:rPr>
      </w:pPr>
      <w:r>
        <w:rPr>
          <w:rFonts w:ascii="Arial" w:hAnsi="Arial" w:cs="Arial"/>
        </w:rPr>
        <w:t>studies</w:t>
      </w:r>
      <w:r w:rsidRPr="008872EC">
        <w:rPr>
          <w:rFonts w:ascii="Arial" w:hAnsi="Arial" w:cs="Arial"/>
        </w:rPr>
        <w:t xml:space="preserve"> only screened in the post-surgical in-patient period. </w:t>
      </w:r>
    </w:p>
    <w:p w14:paraId="7BEF3F88" w14:textId="77777777" w:rsidR="000362D0" w:rsidRDefault="000362D0" w:rsidP="006F45B1">
      <w:pPr>
        <w:pStyle w:val="NoSpacing"/>
        <w:spacing w:line="480" w:lineRule="auto"/>
        <w:rPr>
          <w:rFonts w:ascii="Arial" w:hAnsi="Arial" w:cs="Arial"/>
        </w:rPr>
      </w:pPr>
    </w:p>
    <w:p w14:paraId="24654B21" w14:textId="77777777" w:rsidR="000362D0" w:rsidRPr="008872EC" w:rsidRDefault="000362D0" w:rsidP="006F45B1">
      <w:pPr>
        <w:pStyle w:val="NoSpacing"/>
        <w:spacing w:line="480" w:lineRule="auto"/>
        <w:rPr>
          <w:rFonts w:ascii="Arial" w:hAnsi="Arial" w:cs="Arial"/>
        </w:rPr>
      </w:pPr>
      <w:r w:rsidRPr="008872EC">
        <w:rPr>
          <w:rFonts w:ascii="Arial" w:hAnsi="Arial" w:cs="Arial"/>
        </w:rPr>
        <w:t xml:space="preserve">Outcome data were collected independently by two reviewers (GM, NL), on a pre-determined data-extraction form. In cases where data were unclear or not reported, the primary study authors were contacted. Quality of reporting and risk of bias in each study were assessed using the </w:t>
      </w:r>
      <w:r>
        <w:rPr>
          <w:rFonts w:ascii="Arial" w:hAnsi="Arial" w:cs="Arial"/>
        </w:rPr>
        <w:t>Newcastle-Ottawa scale</w:t>
      </w:r>
      <w:r w:rsidRPr="00D43352">
        <w:rPr>
          <w:rFonts w:ascii="Arial" w:hAnsi="Arial" w:cs="Arial"/>
        </w:rPr>
        <w:t>.</w:t>
      </w:r>
      <w:r>
        <w:rPr>
          <w:rFonts w:ascii="Arial" w:hAnsi="Arial" w:cs="Arial"/>
          <w:noProof/>
        </w:rPr>
        <w:t>(13)</w:t>
      </w:r>
    </w:p>
    <w:p w14:paraId="5CFFFB3E" w14:textId="77777777" w:rsidR="000362D0" w:rsidRPr="008872EC" w:rsidRDefault="000362D0" w:rsidP="006F45B1">
      <w:pPr>
        <w:pStyle w:val="NoSpacing"/>
        <w:spacing w:line="480" w:lineRule="auto"/>
        <w:rPr>
          <w:rFonts w:ascii="Arial" w:hAnsi="Arial" w:cs="Arial"/>
        </w:rPr>
      </w:pPr>
    </w:p>
    <w:p w14:paraId="63565396" w14:textId="77777777" w:rsidR="000362D0" w:rsidRPr="008872EC" w:rsidRDefault="000362D0" w:rsidP="006F45B1">
      <w:pPr>
        <w:pStyle w:val="NoSpacing"/>
        <w:spacing w:line="480" w:lineRule="auto"/>
        <w:rPr>
          <w:rFonts w:ascii="Arial" w:hAnsi="Arial" w:cs="Arial"/>
        </w:rPr>
      </w:pPr>
      <w:r w:rsidRPr="008872EC">
        <w:rPr>
          <w:rFonts w:ascii="Arial" w:hAnsi="Arial" w:cs="Arial"/>
          <w:b/>
        </w:rPr>
        <w:t>Outcomes</w:t>
      </w:r>
    </w:p>
    <w:p w14:paraId="01D18813" w14:textId="77777777" w:rsidR="000362D0" w:rsidRPr="008872EC" w:rsidRDefault="000362D0" w:rsidP="006F45B1">
      <w:pPr>
        <w:pStyle w:val="NoSpacing"/>
        <w:spacing w:line="480" w:lineRule="auto"/>
        <w:rPr>
          <w:rFonts w:ascii="Arial" w:hAnsi="Arial" w:cs="Arial"/>
        </w:rPr>
      </w:pPr>
      <w:r w:rsidRPr="008872EC">
        <w:rPr>
          <w:rFonts w:ascii="Arial" w:hAnsi="Arial" w:cs="Arial"/>
        </w:rPr>
        <w:t>The primary outcome was recurrence of POAF following hospital discharge. Secondary outcomes were reported timeframe to first recurrence, symptomatic status of AF recurrences, stroke risk scores (i.e. CHADS</w:t>
      </w:r>
      <w:r w:rsidRPr="008872EC">
        <w:rPr>
          <w:rFonts w:ascii="Arial" w:hAnsi="Arial" w:cs="Arial"/>
          <w:vertAlign w:val="subscript"/>
        </w:rPr>
        <w:t>2</w:t>
      </w:r>
      <w:r w:rsidRPr="008872EC">
        <w:rPr>
          <w:rFonts w:ascii="Arial" w:hAnsi="Arial" w:cs="Arial"/>
        </w:rPr>
        <w:t xml:space="preserve"> or CHA</w:t>
      </w:r>
      <w:r w:rsidRPr="008872EC">
        <w:rPr>
          <w:rFonts w:ascii="Arial" w:hAnsi="Arial" w:cs="Arial"/>
          <w:vertAlign w:val="subscript"/>
        </w:rPr>
        <w:t>2</w:t>
      </w:r>
      <w:r w:rsidRPr="008872EC">
        <w:rPr>
          <w:rFonts w:ascii="Arial" w:hAnsi="Arial" w:cs="Arial"/>
        </w:rPr>
        <w:t>DS</w:t>
      </w:r>
      <w:r w:rsidRPr="008872EC">
        <w:rPr>
          <w:rFonts w:ascii="Arial" w:hAnsi="Arial" w:cs="Arial"/>
          <w:vertAlign w:val="subscript"/>
        </w:rPr>
        <w:t>2</w:t>
      </w:r>
      <w:r w:rsidRPr="008872EC">
        <w:rPr>
          <w:rFonts w:ascii="Arial" w:hAnsi="Arial" w:cs="Arial"/>
        </w:rPr>
        <w:t>-VASc)</w:t>
      </w:r>
      <w:r>
        <w:rPr>
          <w:rFonts w:ascii="Arial" w:hAnsi="Arial" w:cs="Arial"/>
          <w:noProof/>
        </w:rPr>
        <w:t>(12)</w:t>
      </w:r>
      <w:r w:rsidRPr="008872EC">
        <w:rPr>
          <w:rFonts w:ascii="Arial" w:hAnsi="Arial" w:cs="Arial"/>
        </w:rPr>
        <w:t xml:space="preserve">, and eligibility and prescription of oral anticoagulation (OAC) therapy. </w:t>
      </w:r>
    </w:p>
    <w:p w14:paraId="5E5DE790" w14:textId="77777777" w:rsidR="000362D0" w:rsidRPr="008872EC" w:rsidRDefault="000362D0" w:rsidP="006F45B1">
      <w:pPr>
        <w:pStyle w:val="NoSpacing"/>
        <w:spacing w:line="480" w:lineRule="auto"/>
        <w:rPr>
          <w:rFonts w:ascii="Arial" w:hAnsi="Arial" w:cs="Arial"/>
        </w:rPr>
      </w:pPr>
    </w:p>
    <w:p w14:paraId="53897507" w14:textId="77777777" w:rsidR="000362D0" w:rsidRPr="008872EC" w:rsidRDefault="000362D0" w:rsidP="006F45B1">
      <w:pPr>
        <w:pStyle w:val="NoSpacing"/>
        <w:spacing w:line="480" w:lineRule="auto"/>
        <w:rPr>
          <w:rFonts w:ascii="Arial" w:hAnsi="Arial" w:cs="Arial"/>
          <w:b/>
        </w:rPr>
      </w:pPr>
      <w:r w:rsidRPr="008872EC">
        <w:rPr>
          <w:rFonts w:ascii="Arial" w:hAnsi="Arial" w:cs="Arial"/>
          <w:b/>
        </w:rPr>
        <w:t>Data analysis</w:t>
      </w:r>
    </w:p>
    <w:p w14:paraId="5B5B65BB" w14:textId="77777777" w:rsidR="000362D0" w:rsidRPr="008872EC" w:rsidRDefault="000362D0" w:rsidP="006F45B1">
      <w:pPr>
        <w:pStyle w:val="NoSpacing"/>
        <w:spacing w:line="480" w:lineRule="auto"/>
        <w:rPr>
          <w:rFonts w:ascii="Arial" w:hAnsi="Arial" w:cs="Arial"/>
        </w:rPr>
      </w:pPr>
      <w:r w:rsidRPr="008872EC">
        <w:rPr>
          <w:rFonts w:ascii="Arial" w:hAnsi="Arial" w:cs="Arial"/>
        </w:rPr>
        <w:t>Meta analyses</w:t>
      </w:r>
      <w:r>
        <w:rPr>
          <w:rFonts w:ascii="Arial" w:hAnsi="Arial" w:cs="Arial"/>
        </w:rPr>
        <w:t xml:space="preserve"> </w:t>
      </w:r>
      <w:r w:rsidRPr="008872EC">
        <w:rPr>
          <w:rFonts w:ascii="Arial" w:hAnsi="Arial" w:cs="Arial"/>
        </w:rPr>
        <w:t>were performed on outcome data with the use of ‘Comprehensive Meta</w:t>
      </w:r>
      <w:r>
        <w:rPr>
          <w:rFonts w:ascii="Arial" w:hAnsi="Arial" w:cs="Arial"/>
        </w:rPr>
        <w:t>-</w:t>
      </w:r>
      <w:r w:rsidRPr="008872EC">
        <w:rPr>
          <w:rFonts w:ascii="Arial" w:hAnsi="Arial" w:cs="Arial"/>
        </w:rPr>
        <w:t>Analysis</w:t>
      </w:r>
      <w:r>
        <w:rPr>
          <w:rFonts w:ascii="Arial" w:hAnsi="Arial" w:cs="Arial"/>
        </w:rPr>
        <w:t xml:space="preserve">’ </w:t>
      </w:r>
      <w:r w:rsidRPr="008872EC">
        <w:rPr>
          <w:rFonts w:ascii="Arial" w:hAnsi="Arial" w:cs="Arial"/>
        </w:rPr>
        <w:t>software</w:t>
      </w:r>
      <w:r>
        <w:rPr>
          <w:rFonts w:ascii="Arial" w:hAnsi="Arial" w:cs="Arial"/>
        </w:rPr>
        <w:t xml:space="preserve"> v</w:t>
      </w:r>
      <w:r w:rsidRPr="008872EC">
        <w:rPr>
          <w:rFonts w:ascii="Arial" w:hAnsi="Arial" w:cs="Arial"/>
        </w:rPr>
        <w:t>ersion 3.3</w:t>
      </w:r>
      <w:r>
        <w:rPr>
          <w:rFonts w:ascii="Arial" w:hAnsi="Arial" w:cs="Arial"/>
        </w:rPr>
        <w:t xml:space="preserve"> (Biostat, Inc)</w:t>
      </w:r>
      <w:r w:rsidRPr="008872EC">
        <w:rPr>
          <w:rFonts w:ascii="Arial" w:hAnsi="Arial" w:cs="Arial"/>
        </w:rPr>
        <w:t xml:space="preserve">. </w:t>
      </w:r>
      <w:r>
        <w:rPr>
          <w:rFonts w:ascii="Arial" w:hAnsi="Arial" w:cs="Arial"/>
        </w:rPr>
        <w:t xml:space="preserve">Incidence rates were calculated </w:t>
      </w:r>
      <w:r w:rsidRPr="008872EC">
        <w:rPr>
          <w:rFonts w:ascii="Arial" w:hAnsi="Arial" w:cs="Arial"/>
        </w:rPr>
        <w:t>utilising random effects models,</w:t>
      </w:r>
      <w:r w:rsidRPr="00C01E39">
        <w:rPr>
          <w:rFonts w:ascii="Arial" w:hAnsi="Arial" w:cs="Arial"/>
        </w:rPr>
        <w:t xml:space="preserve"> </w:t>
      </w:r>
      <w:r>
        <w:rPr>
          <w:rFonts w:ascii="Arial" w:hAnsi="Arial" w:cs="Arial"/>
        </w:rPr>
        <w:t>and heterogeneity tests were performed.</w:t>
      </w:r>
    </w:p>
    <w:p w14:paraId="5C5AAF1E" w14:textId="77777777" w:rsidR="000362D0" w:rsidRPr="008872EC" w:rsidRDefault="000362D0" w:rsidP="006F45B1">
      <w:pPr>
        <w:pStyle w:val="NoSpacing"/>
        <w:spacing w:line="480" w:lineRule="auto"/>
        <w:rPr>
          <w:rFonts w:ascii="Arial" w:hAnsi="Arial" w:cs="Arial"/>
          <w:b/>
        </w:rPr>
      </w:pPr>
    </w:p>
    <w:p w14:paraId="1DFCF93A" w14:textId="77777777" w:rsidR="000362D0" w:rsidRPr="008872EC" w:rsidRDefault="000362D0" w:rsidP="006F45B1">
      <w:pPr>
        <w:pStyle w:val="NoSpacing"/>
        <w:spacing w:line="480" w:lineRule="auto"/>
        <w:rPr>
          <w:rFonts w:ascii="Arial" w:hAnsi="Arial" w:cs="Arial"/>
          <w:b/>
        </w:rPr>
      </w:pPr>
      <w:r w:rsidRPr="008872EC">
        <w:rPr>
          <w:rFonts w:ascii="Arial" w:hAnsi="Arial" w:cs="Arial"/>
          <w:b/>
        </w:rPr>
        <w:t>RESULTS</w:t>
      </w:r>
    </w:p>
    <w:p w14:paraId="0CF1EC0F" w14:textId="77777777" w:rsidR="000362D0" w:rsidRPr="008872EC" w:rsidRDefault="000362D0" w:rsidP="006F45B1">
      <w:pPr>
        <w:spacing w:after="0" w:line="480" w:lineRule="auto"/>
        <w:rPr>
          <w:rFonts w:ascii="Arial" w:hAnsi="Arial" w:cs="Arial"/>
          <w:b/>
        </w:rPr>
      </w:pPr>
      <w:r w:rsidRPr="008872EC">
        <w:rPr>
          <w:rFonts w:ascii="Arial" w:hAnsi="Arial" w:cs="Arial"/>
          <w:b/>
        </w:rPr>
        <w:t>Study selection and characteristics</w:t>
      </w:r>
    </w:p>
    <w:p w14:paraId="37F9A197" w14:textId="77777777" w:rsidR="000362D0" w:rsidRPr="008872EC" w:rsidRDefault="000362D0" w:rsidP="006F45B1">
      <w:pPr>
        <w:spacing w:after="0" w:line="480" w:lineRule="auto"/>
        <w:rPr>
          <w:rFonts w:ascii="Arial" w:hAnsi="Arial" w:cs="Arial"/>
        </w:rPr>
      </w:pPr>
      <w:r w:rsidRPr="008872EC">
        <w:rPr>
          <w:rFonts w:ascii="Arial" w:hAnsi="Arial" w:cs="Arial"/>
        </w:rPr>
        <w:t xml:space="preserve">A total of 6,525 studies were screened </w:t>
      </w:r>
      <w:r w:rsidRPr="008872EC">
        <w:rPr>
          <w:rFonts w:ascii="Arial" w:hAnsi="Arial" w:cs="Arial"/>
          <w:bCs/>
        </w:rPr>
        <w:t>against the inclusion and exclusion criteria</w:t>
      </w:r>
      <w:r w:rsidRPr="008872EC">
        <w:rPr>
          <w:rFonts w:ascii="Arial" w:hAnsi="Arial" w:cs="Arial"/>
        </w:rPr>
        <w:t xml:space="preserve"> and 56 full manuscripts were reviewed (Figure 1). Cohen’s kappa coefficient for inter-rater agreement measured </w:t>
      </w:r>
      <w:r w:rsidRPr="008872EC">
        <w:rPr>
          <w:rFonts w:ascii="Arial" w:hAnsi="Arial" w:cs="Arial"/>
          <w:bCs/>
        </w:rPr>
        <w:t xml:space="preserve">κ 0.47 (CI, </w:t>
      </w:r>
      <w:r w:rsidRPr="008872EC">
        <w:rPr>
          <w:rFonts w:ascii="Arial" w:eastAsiaTheme="minorHAnsi" w:hAnsi="Arial" w:cs="Arial"/>
          <w:lang w:val="en-US" w:eastAsia="en-US"/>
        </w:rPr>
        <w:t>0.28 to 0.66)</w:t>
      </w:r>
      <w:r w:rsidRPr="008872EC">
        <w:rPr>
          <w:rFonts w:ascii="Arial" w:hAnsi="Arial" w:cs="Arial"/>
          <w:bCs/>
        </w:rPr>
        <w:t xml:space="preserve"> for stage one of </w:t>
      </w:r>
      <w:r>
        <w:rPr>
          <w:rFonts w:ascii="Arial" w:hAnsi="Arial" w:cs="Arial"/>
          <w:bCs/>
        </w:rPr>
        <w:t>the review process</w:t>
      </w:r>
      <w:r w:rsidRPr="008872EC">
        <w:rPr>
          <w:rFonts w:ascii="Arial" w:hAnsi="Arial" w:cs="Arial"/>
          <w:bCs/>
        </w:rPr>
        <w:t xml:space="preserve">, and κ 0.78 (CI, </w:t>
      </w:r>
      <w:r w:rsidRPr="008872EC">
        <w:rPr>
          <w:rFonts w:ascii="Arial" w:eastAsiaTheme="minorHAnsi" w:hAnsi="Arial" w:cs="Arial"/>
          <w:lang w:val="en-US" w:eastAsia="en-US"/>
        </w:rPr>
        <w:t xml:space="preserve">0.58 </w:t>
      </w:r>
      <w:r w:rsidRPr="008872EC">
        <w:rPr>
          <w:rFonts w:ascii="Arial" w:eastAsiaTheme="minorHAnsi" w:hAnsi="Arial" w:cs="Arial"/>
          <w:lang w:val="en-US" w:eastAsia="en-US"/>
        </w:rPr>
        <w:lastRenderedPageBreak/>
        <w:t>to 0.98)</w:t>
      </w:r>
      <w:r w:rsidRPr="008872EC">
        <w:rPr>
          <w:rFonts w:ascii="Arial" w:hAnsi="Arial" w:cs="Arial"/>
          <w:bCs/>
        </w:rPr>
        <w:t xml:space="preserve"> for stage two. Eight </w:t>
      </w:r>
      <w:r w:rsidRPr="008872EC">
        <w:rPr>
          <w:rFonts w:ascii="Arial" w:hAnsi="Arial" w:cs="Arial"/>
        </w:rPr>
        <w:t xml:space="preserve">unique studies were ultimately included (Figure 1), with a combined total of </w:t>
      </w:r>
      <w:r w:rsidRPr="008872EC">
        <w:rPr>
          <w:rFonts w:ascii="Arial" w:eastAsia="Times New Roman" w:hAnsi="Arial" w:cs="Arial"/>
          <w:lang w:eastAsia="en-US"/>
        </w:rPr>
        <w:t xml:space="preserve">1,157 </w:t>
      </w:r>
      <w:r w:rsidRPr="008872EC">
        <w:rPr>
          <w:rFonts w:ascii="Arial" w:hAnsi="Arial" w:cs="Arial"/>
        </w:rPr>
        <w:t>participants, a mean age of 66</w:t>
      </w:r>
      <w:r w:rsidRPr="008872EC">
        <w:rPr>
          <w:rFonts w:ascii="Arial" w:eastAsia="Times New Roman" w:hAnsi="Arial" w:cs="Arial"/>
          <w:color w:val="000000"/>
        </w:rPr>
        <w:t>±10</w:t>
      </w:r>
      <w:r w:rsidRPr="008872EC">
        <w:rPr>
          <w:rFonts w:ascii="Arial" w:hAnsi="Arial" w:cs="Arial"/>
        </w:rPr>
        <w:t xml:space="preserve"> years and 73% males.</w:t>
      </w:r>
    </w:p>
    <w:p w14:paraId="7EB8E2C9" w14:textId="77777777" w:rsidR="000362D0" w:rsidRPr="008872EC" w:rsidRDefault="000362D0" w:rsidP="006F45B1">
      <w:pPr>
        <w:spacing w:after="0" w:line="480" w:lineRule="auto"/>
        <w:rPr>
          <w:rFonts w:ascii="Arial" w:hAnsi="Arial" w:cs="Arial"/>
        </w:rPr>
      </w:pPr>
    </w:p>
    <w:p w14:paraId="15E13D6C" w14:textId="77777777" w:rsidR="000362D0" w:rsidRPr="008872EC" w:rsidRDefault="000362D0" w:rsidP="006F45B1">
      <w:pPr>
        <w:spacing w:after="0" w:line="480" w:lineRule="auto"/>
        <w:rPr>
          <w:rFonts w:ascii="Arial" w:hAnsi="Arial" w:cs="Arial"/>
        </w:rPr>
      </w:pPr>
      <w:r w:rsidRPr="008872EC">
        <w:rPr>
          <w:rFonts w:ascii="Arial" w:hAnsi="Arial" w:cs="Arial"/>
        </w:rPr>
        <w:t>The studies originated from Italy,</w:t>
      </w:r>
      <w:r>
        <w:rPr>
          <w:rFonts w:ascii="Arial" w:hAnsi="Arial" w:cs="Arial"/>
          <w:noProof/>
        </w:rPr>
        <w:t>(14-17)</w:t>
      </w:r>
      <w:r w:rsidRPr="008872EC">
        <w:rPr>
          <w:rFonts w:ascii="Arial" w:hAnsi="Arial" w:cs="Arial"/>
        </w:rPr>
        <w:t xml:space="preserve"> America,</w:t>
      </w:r>
      <w:r>
        <w:rPr>
          <w:rFonts w:ascii="Arial" w:hAnsi="Arial" w:cs="Arial"/>
          <w:noProof/>
        </w:rPr>
        <w:t>(18, 19)</w:t>
      </w:r>
      <w:r w:rsidRPr="008872EC">
        <w:rPr>
          <w:rFonts w:ascii="Arial" w:hAnsi="Arial" w:cs="Arial"/>
        </w:rPr>
        <w:t xml:space="preserve"> Russia,</w:t>
      </w:r>
      <w:r>
        <w:rPr>
          <w:rFonts w:ascii="Arial" w:hAnsi="Arial" w:cs="Arial"/>
          <w:noProof/>
        </w:rPr>
        <w:t>(20)</w:t>
      </w:r>
      <w:r w:rsidRPr="008872EC">
        <w:rPr>
          <w:rFonts w:ascii="Arial" w:hAnsi="Arial" w:cs="Arial"/>
        </w:rPr>
        <w:t xml:space="preserve"> and Australia</w:t>
      </w:r>
      <w:r>
        <w:rPr>
          <w:rFonts w:ascii="Arial" w:hAnsi="Arial" w:cs="Arial"/>
          <w:noProof/>
        </w:rPr>
        <w:t>(7)</w:t>
      </w:r>
      <w:r w:rsidRPr="008872EC">
        <w:rPr>
          <w:rFonts w:ascii="Arial" w:hAnsi="Arial" w:cs="Arial"/>
        </w:rPr>
        <w:t xml:space="preserve"> (Table 1). Study designs varied, including prospective randomised controlled trials,</w:t>
      </w:r>
      <w:r>
        <w:rPr>
          <w:rFonts w:ascii="Arial" w:hAnsi="Arial" w:cs="Arial"/>
          <w:noProof/>
        </w:rPr>
        <w:t>(15, 20)</w:t>
      </w:r>
      <w:r w:rsidRPr="008872EC">
        <w:rPr>
          <w:rFonts w:ascii="Arial" w:hAnsi="Arial" w:cs="Arial"/>
        </w:rPr>
        <w:t xml:space="preserve"> prospective cohorts,</w:t>
      </w:r>
      <w:r>
        <w:rPr>
          <w:rFonts w:ascii="Arial" w:hAnsi="Arial" w:cs="Arial"/>
          <w:noProof/>
        </w:rPr>
        <w:t>(7, 17-19)</w:t>
      </w:r>
      <w:r w:rsidRPr="008872EC">
        <w:rPr>
          <w:rFonts w:ascii="Arial" w:hAnsi="Arial" w:cs="Arial"/>
        </w:rPr>
        <w:t xml:space="preserve"> and retrospective cohorts.</w:t>
      </w:r>
      <w:r>
        <w:rPr>
          <w:rFonts w:ascii="Arial" w:hAnsi="Arial" w:cs="Arial"/>
          <w:noProof/>
        </w:rPr>
        <w:t>(14, 16)</w:t>
      </w:r>
      <w:hyperlink w:anchor="_ENREF_16" w:tooltip="Cioffi, 2001 #72" w:history="1"/>
      <w:r w:rsidRPr="008872EC">
        <w:rPr>
          <w:rFonts w:ascii="Arial" w:hAnsi="Arial" w:cs="Arial"/>
        </w:rPr>
        <w:t xml:space="preserve"> All studies recruited cardiac surgery patients with a transient episode of POAF, in sinus rhythm on discharge, with no history of AF and with stable sinus rhythm on admission. Participants were monitored for AF recurrence using a variation of 12 lead ECG, single lead ECG, 24-hour Holter monitor, telemetry, event recorders, and implanted devices (Table 1). </w:t>
      </w:r>
      <w:r>
        <w:rPr>
          <w:rFonts w:ascii="Arial" w:hAnsi="Arial" w:cs="Arial"/>
        </w:rPr>
        <w:t xml:space="preserve">Although AF guidelines define AF as any episode lasting </w:t>
      </w:r>
      <w:r w:rsidRPr="008872EC">
        <w:rPr>
          <w:rFonts w:ascii="Arial" w:hAnsi="Arial" w:cs="Arial"/>
        </w:rPr>
        <w:t>≥</w:t>
      </w:r>
      <w:r>
        <w:rPr>
          <w:rFonts w:ascii="Arial" w:hAnsi="Arial" w:cs="Arial"/>
        </w:rPr>
        <w:t>30 seconds,</w:t>
      </w:r>
      <w:r>
        <w:rPr>
          <w:rFonts w:ascii="Arial" w:hAnsi="Arial" w:cs="Arial"/>
          <w:noProof/>
        </w:rPr>
        <w:t>(12)</w:t>
      </w:r>
      <w:r>
        <w:rPr>
          <w:rFonts w:ascii="Arial" w:hAnsi="Arial" w:cs="Arial"/>
        </w:rPr>
        <w:t xml:space="preserve"> AF definitions varied between each study (Table 1). </w:t>
      </w:r>
      <w:r w:rsidRPr="008872EC">
        <w:rPr>
          <w:rFonts w:ascii="Arial" w:hAnsi="Arial" w:cs="Arial"/>
        </w:rPr>
        <w:t xml:space="preserve">The period of post-discharge monitoring ranged from two to four weeks, with three studies performing additional long-term follow-up up to 24 months (Table 1). </w:t>
      </w:r>
    </w:p>
    <w:p w14:paraId="7CFE0A35" w14:textId="77777777" w:rsidR="000362D0" w:rsidRPr="008872EC" w:rsidRDefault="000362D0" w:rsidP="006F45B1">
      <w:pPr>
        <w:spacing w:after="0" w:line="480" w:lineRule="auto"/>
        <w:rPr>
          <w:rFonts w:ascii="Arial" w:hAnsi="Arial" w:cs="Arial"/>
          <w:b/>
        </w:rPr>
      </w:pPr>
    </w:p>
    <w:p w14:paraId="38DA9960" w14:textId="77777777" w:rsidR="000362D0" w:rsidRPr="008872EC" w:rsidRDefault="000362D0" w:rsidP="006F45B1">
      <w:pPr>
        <w:spacing w:after="0" w:line="480" w:lineRule="auto"/>
        <w:rPr>
          <w:rFonts w:ascii="Arial" w:hAnsi="Arial" w:cs="Arial"/>
          <w:b/>
        </w:rPr>
      </w:pPr>
      <w:r w:rsidRPr="008872EC">
        <w:rPr>
          <w:rFonts w:ascii="Arial" w:hAnsi="Arial" w:cs="Arial"/>
          <w:b/>
        </w:rPr>
        <w:t>Quality assessment</w:t>
      </w:r>
    </w:p>
    <w:p w14:paraId="353AD71C" w14:textId="77777777" w:rsidR="000362D0" w:rsidRPr="008872EC" w:rsidRDefault="000362D0" w:rsidP="006F45B1">
      <w:pPr>
        <w:autoSpaceDE w:val="0"/>
        <w:autoSpaceDN w:val="0"/>
        <w:adjustRightInd w:val="0"/>
        <w:spacing w:after="0" w:line="480" w:lineRule="auto"/>
        <w:rPr>
          <w:rFonts w:ascii="Arial" w:hAnsi="Arial" w:cs="Arial"/>
        </w:rPr>
      </w:pPr>
      <w:r w:rsidRPr="008872EC">
        <w:rPr>
          <w:rFonts w:ascii="Arial" w:hAnsi="Arial" w:cs="Arial"/>
        </w:rPr>
        <w:t xml:space="preserve">Overall quality of </w:t>
      </w:r>
      <w:r w:rsidRPr="00734E34">
        <w:rPr>
          <w:rFonts w:ascii="Arial" w:hAnsi="Arial" w:cs="Arial"/>
        </w:rPr>
        <w:t xml:space="preserve">reporting was moderate. </w:t>
      </w:r>
      <w:r>
        <w:rPr>
          <w:rFonts w:ascii="Arial" w:hAnsi="Arial" w:cs="Arial"/>
        </w:rPr>
        <w:t xml:space="preserve">All studies </w:t>
      </w:r>
      <w:r w:rsidRPr="00734E34">
        <w:rPr>
          <w:rFonts w:ascii="Arial" w:hAnsi="Arial" w:cs="Arial"/>
        </w:rPr>
        <w:t>scored 8/9 stars on the Newcastle-Ottawa Scale,</w:t>
      </w:r>
      <w:r>
        <w:rPr>
          <w:rFonts w:ascii="Arial" w:hAnsi="Arial" w:cs="Arial"/>
        </w:rPr>
        <w:t xml:space="preserve"> where 9 stars is the best score</w:t>
      </w:r>
      <w:r w:rsidRPr="00734E34">
        <w:rPr>
          <w:rFonts w:ascii="Arial" w:hAnsi="Arial" w:cs="Arial"/>
          <w:noProof/>
        </w:rPr>
        <w:t>(</w:t>
      </w:r>
      <w:r w:rsidRPr="0086175E">
        <w:rPr>
          <w:rFonts w:ascii="Arial" w:hAnsi="Arial" w:cs="Arial"/>
          <w:noProof/>
        </w:rPr>
        <w:t>13)</w:t>
      </w:r>
      <w:r w:rsidRPr="0086175E">
        <w:rPr>
          <w:rFonts w:ascii="Arial" w:hAnsi="Arial" w:cs="Arial"/>
        </w:rPr>
        <w:t xml:space="preserve"> however, </w:t>
      </w:r>
      <w:r>
        <w:rPr>
          <w:rFonts w:ascii="Arial" w:hAnsi="Arial" w:cs="Arial"/>
        </w:rPr>
        <w:t xml:space="preserve">against </w:t>
      </w:r>
      <w:r w:rsidRPr="00734E34">
        <w:rPr>
          <w:rFonts w:ascii="Arial" w:hAnsi="Arial" w:cs="Arial"/>
        </w:rPr>
        <w:t>the STROBE</w:t>
      </w:r>
      <w:r>
        <w:rPr>
          <w:rFonts w:ascii="Arial" w:hAnsi="Arial" w:cs="Arial"/>
        </w:rPr>
        <w:t xml:space="preserve"> reporting</w:t>
      </w:r>
      <w:r w:rsidRPr="00734E34">
        <w:rPr>
          <w:rFonts w:ascii="Arial" w:hAnsi="Arial" w:cs="Arial"/>
        </w:rPr>
        <w:t xml:space="preserve"> guidelines</w:t>
      </w:r>
      <w:r>
        <w:rPr>
          <w:rFonts w:ascii="Arial" w:hAnsi="Arial" w:cs="Arial"/>
          <w:noProof/>
        </w:rPr>
        <w:t>(21)</w:t>
      </w:r>
      <w:r w:rsidRPr="00734E34">
        <w:rPr>
          <w:rFonts w:ascii="Arial" w:hAnsi="Arial" w:cs="Arial"/>
        </w:rPr>
        <w:t xml:space="preserve"> five studies did not adequately report patient numbers at each stage, 6 studies did not report efforts to address potential study bias and 2 studies failed to address the limitations of the study (Supplement 1).</w:t>
      </w:r>
    </w:p>
    <w:p w14:paraId="2D5B21D8" w14:textId="77777777" w:rsidR="000362D0" w:rsidRPr="008872EC" w:rsidRDefault="000362D0" w:rsidP="006F45B1">
      <w:pPr>
        <w:pStyle w:val="NoSpacing"/>
        <w:spacing w:line="480" w:lineRule="auto"/>
        <w:rPr>
          <w:rFonts w:ascii="Arial" w:hAnsi="Arial" w:cs="Arial"/>
          <w:b/>
        </w:rPr>
      </w:pPr>
    </w:p>
    <w:p w14:paraId="1C2E18B0" w14:textId="77777777" w:rsidR="000362D0" w:rsidRPr="008872EC" w:rsidRDefault="000362D0" w:rsidP="006F45B1">
      <w:pPr>
        <w:spacing w:after="0" w:line="480" w:lineRule="auto"/>
        <w:rPr>
          <w:rFonts w:ascii="Arial" w:hAnsi="Arial" w:cs="Arial"/>
          <w:b/>
        </w:rPr>
      </w:pPr>
      <w:r w:rsidRPr="008872EC">
        <w:rPr>
          <w:rFonts w:ascii="Arial" w:hAnsi="Arial" w:cs="Arial"/>
          <w:b/>
        </w:rPr>
        <w:t xml:space="preserve">Recurrence of post-operative AF </w:t>
      </w:r>
    </w:p>
    <w:p w14:paraId="2F75DAC6" w14:textId="77777777" w:rsidR="000362D0" w:rsidRPr="008872EC" w:rsidRDefault="000362D0" w:rsidP="006F45B1">
      <w:pPr>
        <w:spacing w:after="0" w:line="480" w:lineRule="auto"/>
        <w:rPr>
          <w:rFonts w:ascii="Arial" w:hAnsi="Arial" w:cs="Arial"/>
        </w:rPr>
      </w:pPr>
      <w:r w:rsidRPr="008872EC">
        <w:rPr>
          <w:rFonts w:ascii="Arial" w:hAnsi="Arial" w:cs="Arial"/>
        </w:rPr>
        <w:t xml:space="preserve">When monitored with non-invasive monitoring </w:t>
      </w:r>
      <w:r>
        <w:rPr>
          <w:rFonts w:ascii="Arial" w:hAnsi="Arial" w:cs="Arial"/>
        </w:rPr>
        <w:t>in the first</w:t>
      </w:r>
      <w:r w:rsidRPr="008872EC">
        <w:rPr>
          <w:rFonts w:ascii="Arial" w:hAnsi="Arial" w:cs="Arial"/>
        </w:rPr>
        <w:t xml:space="preserve"> 2-4 weeks post discharge, the incidence rate </w:t>
      </w:r>
      <w:r>
        <w:rPr>
          <w:rFonts w:ascii="Arial" w:hAnsi="Arial" w:cs="Arial"/>
        </w:rPr>
        <w:t>(cases per 100 person</w:t>
      </w:r>
      <w:r w:rsidRPr="008872EC">
        <w:rPr>
          <w:rFonts w:ascii="Arial" w:hAnsi="Arial" w:cs="Arial"/>
        </w:rPr>
        <w:t>s</w:t>
      </w:r>
      <w:r>
        <w:rPr>
          <w:rFonts w:ascii="Arial" w:hAnsi="Arial" w:cs="Arial"/>
        </w:rPr>
        <w:t xml:space="preserve"> screened)</w:t>
      </w:r>
      <w:r w:rsidRPr="008872EC">
        <w:rPr>
          <w:rFonts w:ascii="Arial" w:hAnsi="Arial" w:cs="Arial"/>
        </w:rPr>
        <w:t xml:space="preserve"> of POAF recurrence was </w:t>
      </w:r>
      <w:r>
        <w:rPr>
          <w:rFonts w:ascii="Arial" w:hAnsi="Arial" w:cs="Arial"/>
        </w:rPr>
        <w:t>28.3</w:t>
      </w:r>
      <w:r w:rsidRPr="008872EC">
        <w:rPr>
          <w:rFonts w:ascii="Arial" w:hAnsi="Arial" w:cs="Arial"/>
        </w:rPr>
        <w:t xml:space="preserve">% (95% CI, </w:t>
      </w:r>
      <w:r>
        <w:rPr>
          <w:rFonts w:ascii="Arial" w:hAnsi="Arial" w:cs="Arial"/>
        </w:rPr>
        <w:t>23</w:t>
      </w:r>
      <w:r w:rsidRPr="008872EC">
        <w:rPr>
          <w:rFonts w:ascii="Arial" w:hAnsi="Arial" w:cs="Arial"/>
        </w:rPr>
        <w:t xml:space="preserve">.0 – </w:t>
      </w:r>
      <w:r>
        <w:rPr>
          <w:rFonts w:ascii="Arial" w:hAnsi="Arial" w:cs="Arial"/>
        </w:rPr>
        <w:t>33</w:t>
      </w:r>
      <w:r w:rsidRPr="008872EC">
        <w:rPr>
          <w:rFonts w:ascii="Arial" w:hAnsi="Arial" w:cs="Arial"/>
        </w:rPr>
        <w:t>.6%) (6 studies, n=1,125),</w:t>
      </w:r>
      <w:r>
        <w:rPr>
          <w:rFonts w:ascii="Arial" w:hAnsi="Arial" w:cs="Arial"/>
          <w:noProof/>
        </w:rPr>
        <w:t>(7, 14-18)</w:t>
      </w:r>
      <w:r w:rsidRPr="008872EC">
        <w:rPr>
          <w:rFonts w:ascii="Arial" w:hAnsi="Arial" w:cs="Arial"/>
        </w:rPr>
        <w:t xml:space="preserve"> according to random effects analysis (Figure 2). Heterogeneity between studies was </w:t>
      </w:r>
      <w:r>
        <w:rPr>
          <w:rFonts w:ascii="Arial" w:hAnsi="Arial" w:cs="Arial"/>
        </w:rPr>
        <w:t>low-</w:t>
      </w:r>
      <w:r w:rsidRPr="008872EC">
        <w:rPr>
          <w:rFonts w:ascii="Arial" w:hAnsi="Arial" w:cs="Arial"/>
        </w:rPr>
        <w:t xml:space="preserve">moderate, </w:t>
      </w:r>
      <w:r w:rsidRPr="008872EC">
        <w:rPr>
          <w:rFonts w:ascii="Arial" w:hAnsi="Arial" w:cs="Arial"/>
          <w:i/>
        </w:rPr>
        <w:t>I</w:t>
      </w:r>
      <w:r w:rsidRPr="008872EC">
        <w:rPr>
          <w:rFonts w:ascii="Arial" w:hAnsi="Arial" w:cs="Arial"/>
          <w:i/>
          <w:vertAlign w:val="superscript"/>
        </w:rPr>
        <w:t>2</w:t>
      </w:r>
      <w:r w:rsidRPr="008872EC">
        <w:rPr>
          <w:rFonts w:ascii="Arial" w:hAnsi="Arial" w:cs="Arial"/>
        </w:rPr>
        <w:t xml:space="preserve"> = </w:t>
      </w:r>
      <w:r>
        <w:rPr>
          <w:rFonts w:ascii="Arial" w:hAnsi="Arial" w:cs="Arial"/>
        </w:rPr>
        <w:t>30.0</w:t>
      </w:r>
      <w:r w:rsidRPr="008872EC">
        <w:rPr>
          <w:rFonts w:ascii="Arial" w:hAnsi="Arial" w:cs="Arial"/>
        </w:rPr>
        <w:t xml:space="preserve">%: where a value of </w:t>
      </w:r>
      <w:r w:rsidRPr="008872EC">
        <w:rPr>
          <w:rFonts w:ascii="Arial" w:hAnsi="Arial" w:cs="Arial"/>
          <w:i/>
        </w:rPr>
        <w:t>I</w:t>
      </w:r>
      <w:r w:rsidRPr="008872EC">
        <w:rPr>
          <w:rFonts w:ascii="Arial" w:hAnsi="Arial" w:cs="Arial"/>
          <w:i/>
          <w:vertAlign w:val="superscript"/>
        </w:rPr>
        <w:t>2</w:t>
      </w:r>
      <w:r w:rsidRPr="008872EC">
        <w:rPr>
          <w:rFonts w:ascii="Arial" w:hAnsi="Arial" w:cs="Arial"/>
        </w:rPr>
        <w:t xml:space="preserve"> &lt;25% is considered homogeneous and an </w:t>
      </w:r>
      <w:r w:rsidRPr="008872EC">
        <w:rPr>
          <w:rFonts w:ascii="Arial" w:hAnsi="Arial" w:cs="Arial"/>
          <w:i/>
        </w:rPr>
        <w:t>I</w:t>
      </w:r>
      <w:r w:rsidRPr="008872EC">
        <w:rPr>
          <w:rFonts w:ascii="Arial" w:hAnsi="Arial" w:cs="Arial"/>
          <w:i/>
          <w:vertAlign w:val="superscript"/>
        </w:rPr>
        <w:t xml:space="preserve">2 </w:t>
      </w:r>
      <w:r w:rsidRPr="008872EC">
        <w:rPr>
          <w:rFonts w:ascii="Arial" w:hAnsi="Arial" w:cs="Arial"/>
        </w:rPr>
        <w:t>value of 50% indicates moderate heterogeneity.</w:t>
      </w:r>
      <w:r>
        <w:rPr>
          <w:rFonts w:ascii="Arial" w:hAnsi="Arial" w:cs="Arial"/>
          <w:noProof/>
        </w:rPr>
        <w:t>(22)</w:t>
      </w:r>
      <w:r w:rsidRPr="008872EC">
        <w:rPr>
          <w:rFonts w:ascii="Arial" w:hAnsi="Arial" w:cs="Arial"/>
        </w:rPr>
        <w:t xml:space="preserve"> When monitored with an implanted device over a two-year period, a higher incidence of AF </w:t>
      </w:r>
      <w:r w:rsidRPr="008872EC">
        <w:rPr>
          <w:rFonts w:ascii="Arial" w:hAnsi="Arial" w:cs="Arial"/>
        </w:rPr>
        <w:lastRenderedPageBreak/>
        <w:t>recurrence was identified. The two implanted device studies reported an incidence of 60.9%</w:t>
      </w:r>
      <w:r>
        <w:rPr>
          <w:rFonts w:ascii="Arial" w:hAnsi="Arial" w:cs="Arial"/>
          <w:noProof/>
        </w:rPr>
        <w:t>(19)</w:t>
      </w:r>
      <w:r w:rsidRPr="008872EC">
        <w:rPr>
          <w:rFonts w:ascii="Arial" w:hAnsi="Arial" w:cs="Arial"/>
        </w:rPr>
        <w:t xml:space="preserve"> and 100%</w:t>
      </w:r>
      <w:r>
        <w:rPr>
          <w:rFonts w:ascii="Arial" w:hAnsi="Arial" w:cs="Arial"/>
          <w:noProof/>
        </w:rPr>
        <w:t>(20)</w:t>
      </w:r>
      <w:r w:rsidRPr="008872EC">
        <w:rPr>
          <w:rFonts w:ascii="Arial" w:hAnsi="Arial" w:cs="Arial"/>
        </w:rPr>
        <w:t>.</w:t>
      </w:r>
    </w:p>
    <w:p w14:paraId="5756B8AB" w14:textId="77777777" w:rsidR="000362D0" w:rsidRPr="008872EC" w:rsidRDefault="000362D0" w:rsidP="006F45B1">
      <w:pPr>
        <w:spacing w:after="0" w:line="480" w:lineRule="auto"/>
        <w:rPr>
          <w:rFonts w:ascii="Arial" w:hAnsi="Arial" w:cs="Arial"/>
        </w:rPr>
      </w:pPr>
    </w:p>
    <w:p w14:paraId="34F750B0" w14:textId="77777777" w:rsidR="000362D0" w:rsidRPr="008872EC" w:rsidRDefault="000362D0" w:rsidP="006F45B1">
      <w:pPr>
        <w:spacing w:after="0" w:line="480" w:lineRule="auto"/>
        <w:rPr>
          <w:rFonts w:ascii="Arial" w:hAnsi="Arial" w:cs="Arial"/>
          <w:i/>
        </w:rPr>
      </w:pPr>
      <w:r w:rsidRPr="008872EC">
        <w:rPr>
          <w:rFonts w:ascii="Arial" w:hAnsi="Arial" w:cs="Arial"/>
          <w:i/>
        </w:rPr>
        <w:t>Timeframe to first AF recurrence</w:t>
      </w:r>
    </w:p>
    <w:p w14:paraId="0EDF3E3E" w14:textId="77777777" w:rsidR="000362D0" w:rsidRPr="008872EC" w:rsidRDefault="000362D0" w:rsidP="006F45B1">
      <w:pPr>
        <w:spacing w:after="0" w:line="480" w:lineRule="auto"/>
        <w:rPr>
          <w:rFonts w:ascii="Arial" w:hAnsi="Arial" w:cs="Arial"/>
        </w:rPr>
      </w:pPr>
      <w:r w:rsidRPr="008872EC">
        <w:rPr>
          <w:rFonts w:ascii="Arial" w:hAnsi="Arial" w:cs="Arial"/>
        </w:rPr>
        <w:t>Of the 6 non-invasive monitoring studies, timeframe to first recurrence of POAF was reported in only 3 studies (n=332): all three studies noted that AF recurred a mean of 12 days post-surgery (Table 2).</w:t>
      </w:r>
      <w:r>
        <w:rPr>
          <w:rFonts w:ascii="Arial" w:hAnsi="Arial" w:cs="Arial"/>
          <w:noProof/>
        </w:rPr>
        <w:t>(7, 15, 16)</w:t>
      </w:r>
      <w:r w:rsidRPr="008872EC">
        <w:rPr>
          <w:rFonts w:ascii="Arial" w:hAnsi="Arial" w:cs="Arial"/>
        </w:rPr>
        <w:t xml:space="preserve"> One implanted device study reported that 39% (9/23) of participants had an AF recurrence within 3 months of surgery; but the mean time to first recurrence was 146 ± 250 days.</w:t>
      </w:r>
      <w:r>
        <w:rPr>
          <w:rFonts w:ascii="Arial" w:hAnsi="Arial" w:cs="Arial"/>
          <w:noProof/>
        </w:rPr>
        <w:t>(19)</w:t>
      </w:r>
      <w:r w:rsidRPr="008872EC">
        <w:rPr>
          <w:rFonts w:ascii="Arial" w:hAnsi="Arial" w:cs="Arial"/>
        </w:rPr>
        <w:t xml:space="preserve"> </w:t>
      </w:r>
    </w:p>
    <w:p w14:paraId="25637CE2" w14:textId="77777777" w:rsidR="000362D0" w:rsidRPr="008872EC" w:rsidRDefault="000362D0" w:rsidP="006F45B1">
      <w:pPr>
        <w:spacing w:after="0" w:line="480" w:lineRule="auto"/>
        <w:rPr>
          <w:rFonts w:ascii="Arial" w:hAnsi="Arial" w:cs="Arial"/>
        </w:rPr>
      </w:pPr>
    </w:p>
    <w:p w14:paraId="74BAB1F4" w14:textId="77777777" w:rsidR="000362D0" w:rsidRPr="008872EC" w:rsidRDefault="000362D0" w:rsidP="006F45B1">
      <w:pPr>
        <w:spacing w:after="0" w:line="480" w:lineRule="auto"/>
        <w:rPr>
          <w:rFonts w:ascii="Arial" w:hAnsi="Arial" w:cs="Arial"/>
          <w:i/>
        </w:rPr>
      </w:pPr>
      <w:r w:rsidRPr="008872EC">
        <w:rPr>
          <w:rFonts w:ascii="Arial" w:hAnsi="Arial" w:cs="Arial"/>
          <w:i/>
        </w:rPr>
        <w:t>Symptomatic status of AF recurrences</w:t>
      </w:r>
    </w:p>
    <w:p w14:paraId="3949E543" w14:textId="77777777" w:rsidR="000362D0" w:rsidRPr="008872EC" w:rsidRDefault="000362D0" w:rsidP="006F45B1">
      <w:pPr>
        <w:spacing w:after="0" w:line="480" w:lineRule="auto"/>
        <w:rPr>
          <w:rFonts w:ascii="Arial" w:hAnsi="Arial" w:cs="Arial"/>
        </w:rPr>
      </w:pPr>
      <w:r w:rsidRPr="008872EC">
        <w:rPr>
          <w:rFonts w:ascii="Arial" w:hAnsi="Arial" w:cs="Arial"/>
        </w:rPr>
        <w:t>Five studies</w:t>
      </w:r>
      <w:hyperlink w:anchor="_ENREF_21" w:tooltip="Lowres, 2015 #113" w:history="1"/>
      <w:r w:rsidRPr="008872EC">
        <w:rPr>
          <w:rFonts w:ascii="Arial" w:hAnsi="Arial" w:cs="Arial"/>
        </w:rPr>
        <w:t xml:space="preserve"> reported the symptomatic status of recurrent episodes of AF (Table 2). Recurrences were most commonly asymptomatic, ranging from 40-69% of episodes in the non-invasive monitoring studies.</w:t>
      </w:r>
      <w:r>
        <w:rPr>
          <w:rFonts w:ascii="Arial" w:hAnsi="Arial" w:cs="Arial"/>
          <w:noProof/>
        </w:rPr>
        <w:t>(7, 15, 16, 18)</w:t>
      </w:r>
      <w:r w:rsidRPr="008872EC">
        <w:rPr>
          <w:rFonts w:ascii="Arial" w:hAnsi="Arial" w:cs="Arial"/>
        </w:rPr>
        <w:t xml:space="preserve"> In the implanted device study reporting symptomatic status, 93% (13/14) of recurrences were asymptomatic.</w:t>
      </w:r>
      <w:r>
        <w:rPr>
          <w:rFonts w:ascii="Arial" w:hAnsi="Arial" w:cs="Arial"/>
          <w:noProof/>
        </w:rPr>
        <w:t>(19)</w:t>
      </w:r>
    </w:p>
    <w:p w14:paraId="62ED0C7C" w14:textId="77777777" w:rsidR="000362D0" w:rsidRPr="006F45B1" w:rsidRDefault="000362D0" w:rsidP="006F45B1">
      <w:pPr>
        <w:spacing w:after="0" w:line="480" w:lineRule="auto"/>
        <w:rPr>
          <w:rFonts w:ascii="Arial" w:hAnsi="Arial" w:cs="Arial"/>
        </w:rPr>
      </w:pPr>
    </w:p>
    <w:p w14:paraId="3B04E663" w14:textId="77777777" w:rsidR="000362D0" w:rsidRPr="006F45B1" w:rsidRDefault="000362D0" w:rsidP="006F45B1">
      <w:pPr>
        <w:spacing w:after="0" w:line="480" w:lineRule="auto"/>
        <w:rPr>
          <w:rFonts w:ascii="Arial" w:hAnsi="Arial" w:cs="Arial"/>
          <w:i/>
        </w:rPr>
      </w:pPr>
      <w:r w:rsidRPr="006F45B1">
        <w:rPr>
          <w:rFonts w:ascii="Arial" w:hAnsi="Arial" w:cs="Arial"/>
          <w:i/>
        </w:rPr>
        <w:t>Medications and AF post discharge</w:t>
      </w:r>
    </w:p>
    <w:p w14:paraId="460728AD" w14:textId="77777777" w:rsidR="000362D0" w:rsidRPr="006F45B1" w:rsidRDefault="000362D0" w:rsidP="006F45B1">
      <w:pPr>
        <w:spacing w:after="0" w:line="480" w:lineRule="auto"/>
        <w:rPr>
          <w:rFonts w:ascii="Arial" w:hAnsi="Arial" w:cs="Arial"/>
          <w:lang w:val="en-US"/>
        </w:rPr>
      </w:pPr>
      <w:r w:rsidRPr="006F45B1">
        <w:rPr>
          <w:rFonts w:ascii="Arial" w:hAnsi="Arial" w:cs="Arial"/>
        </w:rPr>
        <w:t xml:space="preserve">Medications were not reported specifically for the patients with a POAF recurrence who were discharged home in sinus rhythm, results were reported for the whole study population. The effect of </w:t>
      </w:r>
      <w:r w:rsidRPr="006F45B1">
        <w:rPr>
          <w:rFonts w:ascii="Arial" w:hAnsi="Arial" w:cs="Arial"/>
          <w:lang w:val="en-US"/>
        </w:rPr>
        <w:t>β-blocker medications</w:t>
      </w:r>
      <w:r w:rsidRPr="006F45B1">
        <w:rPr>
          <w:rFonts w:ascii="Arial" w:hAnsi="Arial" w:cs="Arial"/>
        </w:rPr>
        <w:t xml:space="preserve"> were reported in five studies</w:t>
      </w:r>
      <w:r w:rsidRPr="006F45B1">
        <w:rPr>
          <w:rFonts w:ascii="Arial" w:hAnsi="Arial" w:cs="Arial"/>
          <w:lang w:val="en-US"/>
        </w:rPr>
        <w:t xml:space="preserve">. Three studies indicated that β-blockers may reduce the recurrence of AF post discharge </w:t>
      </w:r>
      <w:r w:rsidRPr="006F45B1">
        <w:rPr>
          <w:rFonts w:ascii="Arial" w:hAnsi="Arial" w:cs="Arial"/>
          <w:noProof/>
          <w:lang w:val="en-US"/>
        </w:rPr>
        <w:t>(23-25)</w:t>
      </w:r>
      <w:r w:rsidRPr="006F45B1">
        <w:rPr>
          <w:rFonts w:ascii="Arial" w:hAnsi="Arial" w:cs="Arial"/>
          <w:lang w:val="en-US"/>
        </w:rPr>
        <w:t xml:space="preserve">, and two studies reported no association between β-blockers and AF following discharge </w:t>
      </w:r>
      <w:r w:rsidRPr="006F45B1">
        <w:rPr>
          <w:rFonts w:ascii="Arial" w:hAnsi="Arial" w:cs="Arial"/>
          <w:noProof/>
          <w:lang w:val="en-US"/>
        </w:rPr>
        <w:t>(26, 27)</w:t>
      </w:r>
      <w:r w:rsidRPr="006F45B1">
        <w:rPr>
          <w:rFonts w:ascii="Arial" w:hAnsi="Arial" w:cs="Arial"/>
          <w:lang w:val="en-US"/>
        </w:rPr>
        <w:t xml:space="preserve"> (Table 2).</w:t>
      </w:r>
      <w:r w:rsidRPr="006F45B1">
        <w:rPr>
          <w:rFonts w:ascii="Arial" w:hAnsi="Arial" w:cs="Arial"/>
        </w:rPr>
        <w:t xml:space="preserve"> The effect of amiodarone medication was reported in only two small studies, both reporting no association with reducing AF post discharge </w:t>
      </w:r>
      <w:r w:rsidRPr="006F45B1">
        <w:rPr>
          <w:rFonts w:ascii="Arial" w:hAnsi="Arial" w:cs="Arial"/>
          <w:noProof/>
        </w:rPr>
        <w:t>(23, 26)</w:t>
      </w:r>
      <w:r w:rsidRPr="006F45B1">
        <w:rPr>
          <w:rFonts w:ascii="Arial" w:hAnsi="Arial" w:cs="Arial"/>
          <w:lang w:val="en-US"/>
        </w:rPr>
        <w:t xml:space="preserve"> (Table 2). Meta-analysis was not possible due to insufficient reporting of data in the majority of studies, especially in relation to listing the medications and dose.</w:t>
      </w:r>
    </w:p>
    <w:p w14:paraId="1BB03DFB" w14:textId="77777777" w:rsidR="000362D0" w:rsidRPr="006F45B1" w:rsidRDefault="000362D0" w:rsidP="006F45B1">
      <w:pPr>
        <w:spacing w:after="0" w:line="480" w:lineRule="auto"/>
        <w:rPr>
          <w:rFonts w:ascii="Arial" w:hAnsi="Arial" w:cs="Arial"/>
        </w:rPr>
      </w:pPr>
    </w:p>
    <w:p w14:paraId="53468473" w14:textId="77777777" w:rsidR="000362D0" w:rsidRPr="008872EC" w:rsidRDefault="000362D0" w:rsidP="006F45B1">
      <w:pPr>
        <w:spacing w:after="0" w:line="480" w:lineRule="auto"/>
        <w:rPr>
          <w:rFonts w:ascii="Arial" w:hAnsi="Arial" w:cs="Arial"/>
          <w:i/>
        </w:rPr>
      </w:pPr>
      <w:r w:rsidRPr="008872EC">
        <w:rPr>
          <w:rFonts w:ascii="Arial" w:hAnsi="Arial" w:cs="Arial"/>
          <w:i/>
        </w:rPr>
        <w:t>Stroke risk and oral anticoagulation prescription</w:t>
      </w:r>
    </w:p>
    <w:p w14:paraId="53540771" w14:textId="77777777" w:rsidR="000362D0" w:rsidRPr="008872EC" w:rsidRDefault="000362D0" w:rsidP="006F45B1">
      <w:pPr>
        <w:spacing w:after="0" w:line="480" w:lineRule="auto"/>
        <w:rPr>
          <w:rFonts w:ascii="Arial" w:eastAsiaTheme="minorHAnsi" w:hAnsi="Arial" w:cs="Arial"/>
          <w:lang w:eastAsia="en-US"/>
        </w:rPr>
      </w:pPr>
      <w:r w:rsidRPr="008872EC">
        <w:rPr>
          <w:rFonts w:ascii="Arial" w:hAnsi="Arial" w:cs="Arial"/>
        </w:rPr>
        <w:lastRenderedPageBreak/>
        <w:t>Stroke risk for patients with AF recurrence and eligibility for prescription of OAC was reported in only one study (n=42).</w:t>
      </w:r>
      <w:r>
        <w:rPr>
          <w:rFonts w:ascii="Arial" w:hAnsi="Arial" w:cs="Arial"/>
          <w:noProof/>
        </w:rPr>
        <w:t>(7)</w:t>
      </w:r>
      <w:r w:rsidRPr="008872EC">
        <w:rPr>
          <w:rFonts w:ascii="Arial" w:hAnsi="Arial" w:cs="Arial"/>
        </w:rPr>
        <w:t xml:space="preserve"> In this study, eight of the 10 patients with recurrent AF had a CHA</w:t>
      </w:r>
      <w:r w:rsidRPr="008872EC">
        <w:rPr>
          <w:rFonts w:ascii="Arial" w:hAnsi="Arial" w:cs="Arial"/>
          <w:vertAlign w:val="subscript"/>
        </w:rPr>
        <w:t>2</w:t>
      </w:r>
      <w:r w:rsidRPr="008872EC">
        <w:rPr>
          <w:rFonts w:ascii="Arial" w:hAnsi="Arial" w:cs="Arial"/>
        </w:rPr>
        <w:t>DS</w:t>
      </w:r>
      <w:r w:rsidRPr="008872EC">
        <w:rPr>
          <w:rFonts w:ascii="Arial" w:hAnsi="Arial" w:cs="Arial"/>
          <w:vertAlign w:val="subscript"/>
        </w:rPr>
        <w:t>2</w:t>
      </w:r>
      <w:r w:rsidRPr="008872EC">
        <w:rPr>
          <w:rFonts w:ascii="Arial" w:hAnsi="Arial" w:cs="Arial"/>
        </w:rPr>
        <w:t>-VASc score ≥2. However only 3/8 were on oral anticoagulation, with one of the three requiring warfarin because of a mechanical valve.</w:t>
      </w:r>
      <w:r w:rsidRPr="008872EC">
        <w:rPr>
          <w:rFonts w:ascii="Arial" w:eastAsiaTheme="minorHAnsi" w:hAnsi="Arial" w:cs="Arial"/>
          <w:b/>
          <w:lang w:eastAsia="en-US"/>
        </w:rPr>
        <w:t xml:space="preserve"> </w:t>
      </w:r>
      <w:r w:rsidRPr="008872EC">
        <w:rPr>
          <w:rFonts w:ascii="Arial" w:eastAsiaTheme="minorHAnsi" w:hAnsi="Arial" w:cs="Arial"/>
          <w:lang w:eastAsia="en-US"/>
        </w:rPr>
        <w:t>Two studies reported that oral anticoagulation was routinely prescribed for recurrences of AF that lasted longer than 24 and 48 hours, however these studies did not report the numbers of patients in which this occurred, nor their calculated stroke risk scores.</w:t>
      </w:r>
      <w:r>
        <w:rPr>
          <w:rFonts w:ascii="Arial" w:eastAsiaTheme="minorHAnsi" w:hAnsi="Arial" w:cs="Arial"/>
          <w:noProof/>
          <w:lang w:eastAsia="en-US"/>
        </w:rPr>
        <w:t>(15, 16)</w:t>
      </w:r>
      <w:r w:rsidRPr="008872EC">
        <w:rPr>
          <w:rFonts w:ascii="Arial" w:eastAsiaTheme="minorHAnsi" w:hAnsi="Arial" w:cs="Arial"/>
          <w:lang w:eastAsia="en-US"/>
        </w:rPr>
        <w:t xml:space="preserve"> </w:t>
      </w:r>
    </w:p>
    <w:p w14:paraId="59AE67D2" w14:textId="77777777" w:rsidR="000362D0" w:rsidRPr="008872EC" w:rsidRDefault="000362D0" w:rsidP="006F45B1">
      <w:pPr>
        <w:rPr>
          <w:rFonts w:ascii="Arial" w:eastAsiaTheme="minorHAnsi" w:hAnsi="Arial" w:cs="Arial"/>
          <w:b/>
          <w:lang w:eastAsia="en-US"/>
        </w:rPr>
      </w:pPr>
    </w:p>
    <w:p w14:paraId="12D1C11A" w14:textId="77777777" w:rsidR="000362D0" w:rsidRPr="008872EC" w:rsidRDefault="000362D0" w:rsidP="006F45B1">
      <w:pPr>
        <w:spacing w:after="0" w:line="480" w:lineRule="auto"/>
        <w:rPr>
          <w:rFonts w:ascii="Arial" w:hAnsi="Arial" w:cs="Arial"/>
          <w:b/>
        </w:rPr>
      </w:pPr>
      <w:r w:rsidRPr="008872EC">
        <w:rPr>
          <w:rFonts w:ascii="Arial" w:hAnsi="Arial" w:cs="Arial"/>
          <w:b/>
        </w:rPr>
        <w:t>Late-onset POAF after discharge</w:t>
      </w:r>
    </w:p>
    <w:p w14:paraId="13E9C5CF" w14:textId="77777777" w:rsidR="000362D0" w:rsidRPr="008872EC" w:rsidRDefault="000362D0" w:rsidP="006F45B1">
      <w:pPr>
        <w:spacing w:after="0" w:line="480" w:lineRule="auto"/>
        <w:rPr>
          <w:rFonts w:ascii="Arial" w:hAnsi="Arial" w:cs="Arial"/>
        </w:rPr>
      </w:pPr>
      <w:r w:rsidRPr="008872EC">
        <w:rPr>
          <w:rFonts w:ascii="Arial" w:hAnsi="Arial" w:cs="Arial"/>
        </w:rPr>
        <w:t>Incidence of late-onset POAF after hospital discharge was an additional finding reported in 3 studies (n=2,716).</w:t>
      </w:r>
      <w:r>
        <w:rPr>
          <w:rFonts w:ascii="Arial" w:hAnsi="Arial" w:cs="Arial"/>
          <w:noProof/>
        </w:rPr>
        <w:t>(14, 17, 18)</w:t>
      </w:r>
      <w:r w:rsidRPr="008872EC">
        <w:rPr>
          <w:rFonts w:ascii="Arial" w:hAnsi="Arial" w:cs="Arial"/>
        </w:rPr>
        <w:t xml:space="preserve"> For people with no in-hospital episode of AF, intermittent monitoring </w:t>
      </w:r>
      <w:r>
        <w:rPr>
          <w:rFonts w:ascii="Arial" w:hAnsi="Arial" w:cs="Arial"/>
        </w:rPr>
        <w:t xml:space="preserve">in the first 2-4 weeks post-discharge </w:t>
      </w:r>
      <w:r w:rsidRPr="008872EC">
        <w:rPr>
          <w:rFonts w:ascii="Arial" w:hAnsi="Arial" w:cs="Arial"/>
        </w:rPr>
        <w:t xml:space="preserve">also identified individuals with late-onset POAF after hospital discharge: incidence rate </w:t>
      </w:r>
      <w:r>
        <w:rPr>
          <w:rFonts w:ascii="Arial" w:hAnsi="Arial" w:cs="Arial"/>
        </w:rPr>
        <w:t>(cases per 100 person</w:t>
      </w:r>
      <w:r w:rsidRPr="008872EC">
        <w:rPr>
          <w:rFonts w:ascii="Arial" w:hAnsi="Arial" w:cs="Arial"/>
        </w:rPr>
        <w:t>s</w:t>
      </w:r>
      <w:r>
        <w:rPr>
          <w:rFonts w:ascii="Arial" w:hAnsi="Arial" w:cs="Arial"/>
        </w:rPr>
        <w:t xml:space="preserve"> screened)</w:t>
      </w:r>
      <w:r w:rsidRPr="008872EC">
        <w:rPr>
          <w:rFonts w:ascii="Arial" w:hAnsi="Arial" w:cs="Arial"/>
        </w:rPr>
        <w:t xml:space="preserve"> </w:t>
      </w:r>
      <w:r>
        <w:rPr>
          <w:rFonts w:ascii="Arial" w:hAnsi="Arial" w:cs="Arial"/>
        </w:rPr>
        <w:t>3.9</w:t>
      </w:r>
      <w:r w:rsidRPr="008872EC">
        <w:rPr>
          <w:rFonts w:ascii="Arial" w:hAnsi="Arial" w:cs="Arial"/>
        </w:rPr>
        <w:t xml:space="preserve">% (95% CI, </w:t>
      </w:r>
      <w:r>
        <w:rPr>
          <w:rFonts w:ascii="Arial" w:hAnsi="Arial" w:cs="Arial"/>
        </w:rPr>
        <w:t>2.7</w:t>
      </w:r>
      <w:r w:rsidRPr="008872EC">
        <w:rPr>
          <w:rFonts w:ascii="Arial" w:hAnsi="Arial" w:cs="Arial"/>
        </w:rPr>
        <w:t xml:space="preserve"> – </w:t>
      </w:r>
      <w:r>
        <w:rPr>
          <w:rFonts w:ascii="Arial" w:hAnsi="Arial" w:cs="Arial"/>
        </w:rPr>
        <w:t>5.4</w:t>
      </w:r>
      <w:r w:rsidRPr="008872EC">
        <w:rPr>
          <w:rFonts w:ascii="Arial" w:hAnsi="Arial" w:cs="Arial"/>
        </w:rPr>
        <w:t xml:space="preserve">%) (Figure 3). Heterogeneity for these studies was </w:t>
      </w:r>
      <w:r>
        <w:rPr>
          <w:rFonts w:ascii="Arial" w:hAnsi="Arial" w:cs="Arial"/>
        </w:rPr>
        <w:t>moderate</w:t>
      </w:r>
      <w:r w:rsidRPr="008872EC">
        <w:rPr>
          <w:rFonts w:ascii="Arial" w:hAnsi="Arial" w:cs="Arial"/>
        </w:rPr>
        <w:t xml:space="preserve">, </w:t>
      </w:r>
      <w:r w:rsidRPr="008872EC">
        <w:rPr>
          <w:rFonts w:ascii="Arial" w:hAnsi="Arial" w:cs="Arial"/>
          <w:i/>
        </w:rPr>
        <w:t>I</w:t>
      </w:r>
      <w:r w:rsidRPr="008872EC">
        <w:rPr>
          <w:rFonts w:ascii="Arial" w:hAnsi="Arial" w:cs="Arial"/>
          <w:i/>
          <w:vertAlign w:val="superscript"/>
        </w:rPr>
        <w:t xml:space="preserve">2 </w:t>
      </w:r>
      <w:r w:rsidRPr="008872EC">
        <w:rPr>
          <w:rFonts w:ascii="Arial" w:hAnsi="Arial" w:cs="Arial"/>
        </w:rPr>
        <w:t xml:space="preserve">= </w:t>
      </w:r>
      <w:r>
        <w:rPr>
          <w:rFonts w:ascii="Arial" w:hAnsi="Arial" w:cs="Arial"/>
        </w:rPr>
        <w:t>50.3</w:t>
      </w:r>
      <w:r w:rsidRPr="008872EC">
        <w:rPr>
          <w:rFonts w:ascii="Arial" w:hAnsi="Arial" w:cs="Arial"/>
        </w:rPr>
        <w:t xml:space="preserve">%: as defined by an </w:t>
      </w:r>
      <w:r w:rsidRPr="008872EC">
        <w:rPr>
          <w:rFonts w:ascii="Arial" w:hAnsi="Arial" w:cs="Arial"/>
          <w:i/>
        </w:rPr>
        <w:t>I</w:t>
      </w:r>
      <w:r w:rsidRPr="008872EC">
        <w:rPr>
          <w:rFonts w:ascii="Arial" w:hAnsi="Arial" w:cs="Arial"/>
          <w:i/>
          <w:vertAlign w:val="superscript"/>
        </w:rPr>
        <w:t xml:space="preserve">2 </w:t>
      </w:r>
      <w:r w:rsidRPr="008872EC">
        <w:rPr>
          <w:rFonts w:ascii="Arial" w:hAnsi="Arial" w:cs="Arial"/>
        </w:rPr>
        <w:t xml:space="preserve">value </w:t>
      </w:r>
      <w:r>
        <w:rPr>
          <w:rFonts w:ascii="Arial" w:hAnsi="Arial" w:cs="Arial"/>
        </w:rPr>
        <w:t>50</w:t>
      </w:r>
      <w:r w:rsidRPr="008872EC">
        <w:rPr>
          <w:rFonts w:ascii="Arial" w:hAnsi="Arial" w:cs="Arial"/>
        </w:rPr>
        <w:t xml:space="preserve">% indicating </w:t>
      </w:r>
      <w:r>
        <w:rPr>
          <w:rFonts w:ascii="Arial" w:hAnsi="Arial" w:cs="Arial"/>
        </w:rPr>
        <w:t>moderate</w:t>
      </w:r>
      <w:r w:rsidRPr="008872EC">
        <w:rPr>
          <w:rFonts w:ascii="Arial" w:hAnsi="Arial" w:cs="Arial"/>
        </w:rPr>
        <w:t xml:space="preserve"> heterogeneity.</w:t>
      </w:r>
      <w:r>
        <w:rPr>
          <w:rFonts w:ascii="Arial" w:hAnsi="Arial" w:cs="Arial"/>
          <w:noProof/>
        </w:rPr>
        <w:t>(22)</w:t>
      </w:r>
    </w:p>
    <w:p w14:paraId="0A5654FE" w14:textId="77777777" w:rsidR="000362D0" w:rsidRPr="008872EC" w:rsidRDefault="000362D0" w:rsidP="006F45B1">
      <w:pPr>
        <w:spacing w:after="0" w:line="480" w:lineRule="auto"/>
        <w:rPr>
          <w:rFonts w:ascii="Arial" w:eastAsiaTheme="minorHAnsi" w:hAnsi="Arial" w:cs="Arial"/>
          <w:b/>
          <w:lang w:eastAsia="en-US"/>
        </w:rPr>
      </w:pPr>
    </w:p>
    <w:p w14:paraId="2D074FFE" w14:textId="77777777" w:rsidR="000362D0" w:rsidRPr="008872EC" w:rsidRDefault="000362D0" w:rsidP="006F45B1">
      <w:pPr>
        <w:rPr>
          <w:rFonts w:ascii="Arial" w:eastAsiaTheme="minorHAnsi" w:hAnsi="Arial" w:cs="Arial"/>
          <w:b/>
          <w:lang w:eastAsia="en-US"/>
        </w:rPr>
      </w:pPr>
      <w:r w:rsidRPr="008872EC">
        <w:rPr>
          <w:rFonts w:ascii="Arial" w:hAnsi="Arial" w:cs="Arial"/>
          <w:b/>
        </w:rPr>
        <w:t>DISCUSSION</w:t>
      </w:r>
    </w:p>
    <w:p w14:paraId="0C949433" w14:textId="77777777" w:rsidR="000362D0" w:rsidRPr="008872EC" w:rsidRDefault="000362D0" w:rsidP="006F45B1">
      <w:pPr>
        <w:spacing w:after="0" w:line="480" w:lineRule="auto"/>
        <w:rPr>
          <w:rFonts w:ascii="Arial" w:hAnsi="Arial" w:cs="Arial"/>
          <w:b/>
        </w:rPr>
      </w:pPr>
      <w:r w:rsidRPr="008872EC">
        <w:rPr>
          <w:rFonts w:ascii="Arial" w:hAnsi="Arial" w:cs="Arial"/>
          <w:b/>
        </w:rPr>
        <w:t>Statement of findings</w:t>
      </w:r>
    </w:p>
    <w:p w14:paraId="3B062299" w14:textId="77777777" w:rsidR="000362D0" w:rsidRPr="00437ADB" w:rsidRDefault="000362D0" w:rsidP="006F45B1">
      <w:pPr>
        <w:pStyle w:val="NoSpacing"/>
        <w:spacing w:line="480" w:lineRule="auto"/>
        <w:rPr>
          <w:rFonts w:ascii="Arial" w:hAnsi="Arial" w:cs="Arial"/>
          <w:color w:val="FF0000"/>
        </w:rPr>
      </w:pPr>
      <w:r w:rsidRPr="008872EC">
        <w:rPr>
          <w:rFonts w:ascii="Arial" w:hAnsi="Arial" w:cs="Arial"/>
        </w:rPr>
        <w:t>Monitoring of patients discharged in stable sinus rhythm post-cardiac surgery, identifies POAF recurrence</w:t>
      </w:r>
      <w:r>
        <w:rPr>
          <w:rFonts w:ascii="Arial" w:hAnsi="Arial" w:cs="Arial"/>
        </w:rPr>
        <w:t xml:space="preserve"> in 28.3</w:t>
      </w:r>
      <w:r w:rsidRPr="008872EC">
        <w:rPr>
          <w:rFonts w:ascii="Arial" w:hAnsi="Arial" w:cs="Arial"/>
        </w:rPr>
        <w:t xml:space="preserve"> cases per 100 persons screened </w:t>
      </w:r>
      <w:r>
        <w:rPr>
          <w:rFonts w:ascii="Arial" w:hAnsi="Arial" w:cs="Arial"/>
        </w:rPr>
        <w:t>in the first 2-4 weeks post-discharge</w:t>
      </w:r>
      <w:r w:rsidRPr="008872EC">
        <w:rPr>
          <w:rFonts w:ascii="Arial" w:hAnsi="Arial" w:cs="Arial"/>
        </w:rPr>
        <w:t xml:space="preserve"> using non-invasive techniques; and implanted devices can identify recurrence in 60-100% of cases, suggesting that in-hospital episodes of new POAF are not necessarily isolated or transient. Importantly, most POAF recurrences are asymptomatic, therefore these episodes are unlikely to be recognised without the aid of additional monitoring post-discharge. Furthermore, in the one study that calculated stroke risk, </w:t>
      </w:r>
      <w:r>
        <w:rPr>
          <w:rFonts w:ascii="Arial" w:hAnsi="Arial" w:cs="Arial"/>
        </w:rPr>
        <w:t>8/10</w:t>
      </w:r>
      <w:r w:rsidRPr="008872EC">
        <w:rPr>
          <w:rFonts w:ascii="Arial" w:hAnsi="Arial" w:cs="Arial"/>
        </w:rPr>
        <w:t xml:space="preserve"> of patients with POAF recurrence had sufficient stroke risk (i.e. CHA</w:t>
      </w:r>
      <w:r w:rsidRPr="008872EC">
        <w:rPr>
          <w:rFonts w:ascii="Arial" w:hAnsi="Arial" w:cs="Arial"/>
          <w:vertAlign w:val="subscript"/>
        </w:rPr>
        <w:t>2</w:t>
      </w:r>
      <w:r w:rsidRPr="008872EC">
        <w:rPr>
          <w:rFonts w:ascii="Arial" w:hAnsi="Arial" w:cs="Arial"/>
        </w:rPr>
        <w:t>DS</w:t>
      </w:r>
      <w:r w:rsidRPr="008872EC">
        <w:rPr>
          <w:rFonts w:ascii="Arial" w:hAnsi="Arial" w:cs="Arial"/>
          <w:vertAlign w:val="subscript"/>
        </w:rPr>
        <w:t>2</w:t>
      </w:r>
      <w:r w:rsidRPr="008872EC">
        <w:rPr>
          <w:rFonts w:ascii="Arial" w:hAnsi="Arial" w:cs="Arial"/>
        </w:rPr>
        <w:t xml:space="preserve">-VASc score ≥2) to be considered eligible for OAC. This highlights the </w:t>
      </w:r>
      <w:r>
        <w:rPr>
          <w:rFonts w:ascii="Arial" w:hAnsi="Arial" w:cs="Arial"/>
        </w:rPr>
        <w:t xml:space="preserve">potential </w:t>
      </w:r>
      <w:r w:rsidRPr="008872EC">
        <w:rPr>
          <w:rFonts w:ascii="Arial" w:hAnsi="Arial" w:cs="Arial"/>
        </w:rPr>
        <w:t xml:space="preserve">importance of early identification of POAF </w:t>
      </w:r>
      <w:r w:rsidRPr="008872EC">
        <w:rPr>
          <w:rFonts w:ascii="Arial" w:hAnsi="Arial" w:cs="Arial"/>
        </w:rPr>
        <w:lastRenderedPageBreak/>
        <w:t>recurrence through monitoring in the post-discharge period, and appropriate treatment and prescription of OAC to prevent stroke.</w:t>
      </w:r>
      <w:r>
        <w:rPr>
          <w:rFonts w:ascii="Arial" w:hAnsi="Arial" w:cs="Arial"/>
        </w:rPr>
        <w:t xml:space="preserve"> </w:t>
      </w:r>
    </w:p>
    <w:p w14:paraId="756A18A7" w14:textId="77777777" w:rsidR="000362D0" w:rsidRPr="008872EC" w:rsidRDefault="000362D0" w:rsidP="006F45B1">
      <w:pPr>
        <w:pStyle w:val="NoSpacing"/>
        <w:spacing w:line="480" w:lineRule="auto"/>
        <w:rPr>
          <w:rFonts w:ascii="Arial" w:hAnsi="Arial" w:cs="Arial"/>
        </w:rPr>
      </w:pPr>
    </w:p>
    <w:p w14:paraId="0240AD0B" w14:textId="77777777" w:rsidR="000362D0" w:rsidRPr="008872EC" w:rsidRDefault="000362D0" w:rsidP="006F45B1">
      <w:pPr>
        <w:widowControl w:val="0"/>
        <w:autoSpaceDE w:val="0"/>
        <w:autoSpaceDN w:val="0"/>
        <w:adjustRightInd w:val="0"/>
        <w:spacing w:after="0" w:line="480" w:lineRule="auto"/>
        <w:rPr>
          <w:rFonts w:ascii="Arial" w:hAnsi="Arial" w:cs="Arial"/>
          <w:lang w:val="en-US"/>
        </w:rPr>
      </w:pPr>
      <w:r w:rsidRPr="008872EC">
        <w:rPr>
          <w:rFonts w:ascii="Arial" w:hAnsi="Arial" w:cs="Arial"/>
        </w:rPr>
        <w:t>There are multiple hypotheses as to the mechanism for development of POAF following surgery patients. It has been reported that inflammation and the associated increase in plasma concentrations of C-reactive protein and interleukin-6 in conjunction with cardiac surgery may be associated with the development of AF.</w:t>
      </w:r>
      <w:r>
        <w:rPr>
          <w:rFonts w:ascii="Arial" w:hAnsi="Arial" w:cs="Arial"/>
          <w:noProof/>
        </w:rPr>
        <w:t>(28, 29)</w:t>
      </w:r>
      <w:hyperlink w:anchor="_ENREF_20" w:tooltip="January, 2014 #112" w:history="1"/>
      <w:r w:rsidRPr="008872EC">
        <w:rPr>
          <w:rFonts w:ascii="Arial" w:hAnsi="Arial" w:cs="Arial"/>
        </w:rPr>
        <w:t xml:space="preserve"> Other mechanisms include increased sympatho-adrenal activation post-surgery which prolongs the atrial refractive period and promotes ectopic activity, and oxidative stress following bypass surgery.</w:t>
      </w:r>
      <w:r>
        <w:rPr>
          <w:rFonts w:ascii="Arial" w:hAnsi="Arial" w:cs="Arial"/>
          <w:noProof/>
        </w:rPr>
        <w:t>(29, 30)</w:t>
      </w:r>
      <w:r w:rsidRPr="008872EC">
        <w:rPr>
          <w:rFonts w:ascii="Arial" w:hAnsi="Arial" w:cs="Arial"/>
        </w:rPr>
        <w:t xml:space="preserve"> However, it remains unknown why POAF develops in some patients and not others. Pre-existing risk factors that can lead to formation of an atrial AF substrate may also influence risk.</w:t>
      </w:r>
      <w:r>
        <w:rPr>
          <w:rFonts w:ascii="Arial" w:hAnsi="Arial" w:cs="Arial"/>
          <w:noProof/>
        </w:rPr>
        <w:t>(29)</w:t>
      </w:r>
      <w:r w:rsidRPr="008872EC">
        <w:rPr>
          <w:rFonts w:ascii="Arial" w:hAnsi="Arial" w:cs="Arial"/>
        </w:rPr>
        <w:t xml:space="preserve"> It is thought that </w:t>
      </w:r>
      <w:r w:rsidRPr="008872EC">
        <w:rPr>
          <w:rFonts w:ascii="Arial" w:hAnsi="Arial" w:cs="Arial"/>
          <w:lang w:val="en-US"/>
        </w:rPr>
        <w:t xml:space="preserve">POAF may occur after surgery when patients reach a ‘pathophysiological threshold’ of pro-arrhythmic factors due to a combination of </w:t>
      </w:r>
      <w:r w:rsidRPr="008872EC">
        <w:rPr>
          <w:rFonts w:ascii="Arial" w:hAnsi="Arial" w:cs="Arial"/>
        </w:rPr>
        <w:t>pre-existing risk factors and post-surgical factors</w:t>
      </w:r>
      <w:r w:rsidRPr="008872EC">
        <w:rPr>
          <w:rFonts w:ascii="Arial" w:hAnsi="Arial" w:cs="Arial"/>
          <w:lang w:val="en-US"/>
        </w:rPr>
        <w:t>.</w:t>
      </w:r>
      <w:r>
        <w:rPr>
          <w:rFonts w:ascii="Arial" w:hAnsi="Arial" w:cs="Arial"/>
          <w:noProof/>
          <w:lang w:val="en-US"/>
        </w:rPr>
        <w:t>(29, 31)</w:t>
      </w:r>
      <w:r w:rsidRPr="008872EC">
        <w:rPr>
          <w:rFonts w:ascii="Arial" w:hAnsi="Arial" w:cs="Arial"/>
          <w:lang w:val="en-US"/>
        </w:rPr>
        <w:t xml:space="preserve"> </w:t>
      </w:r>
      <w:r w:rsidRPr="00AA605D">
        <w:rPr>
          <w:rFonts w:ascii="Arial" w:hAnsi="Arial" w:cs="Arial"/>
        </w:rPr>
        <w:t xml:space="preserve">There is a natural incidence of AF over and above that related to the surgery and the postoperative period, and this is likely to factor in the yield of AF detected from longer-term monitoring. But, it is possible that the patients who develop POAF after surgery may be those with some existing AF substrate changes, who are predisposed to develop </w:t>
      </w:r>
      <w:r w:rsidRPr="009B5EAB">
        <w:rPr>
          <w:rFonts w:ascii="Arial" w:hAnsi="Arial" w:cs="Arial"/>
        </w:rPr>
        <w:t xml:space="preserve">AF </w:t>
      </w:r>
      <w:r w:rsidRPr="009B5EAB">
        <w:rPr>
          <w:rFonts w:ascii="Arial" w:hAnsi="Arial"/>
        </w:rPr>
        <w:t xml:space="preserve">both during the provocation of surgery, and spontaneously </w:t>
      </w:r>
      <w:r w:rsidRPr="009B5EAB">
        <w:rPr>
          <w:rFonts w:ascii="Arial" w:hAnsi="Arial" w:cs="Arial"/>
        </w:rPr>
        <w:t xml:space="preserve">in </w:t>
      </w:r>
      <w:r w:rsidRPr="00042568">
        <w:rPr>
          <w:rFonts w:ascii="Arial" w:hAnsi="Arial" w:cs="Arial"/>
        </w:rPr>
        <w:t>the</w:t>
      </w:r>
      <w:r w:rsidRPr="00AA605D">
        <w:rPr>
          <w:rFonts w:ascii="Arial" w:hAnsi="Arial" w:cs="Arial"/>
        </w:rPr>
        <w:t xml:space="preserve"> long term.</w:t>
      </w:r>
    </w:p>
    <w:p w14:paraId="063B218B" w14:textId="77777777" w:rsidR="000362D0" w:rsidRPr="008872EC" w:rsidRDefault="000362D0" w:rsidP="006F45B1">
      <w:pPr>
        <w:widowControl w:val="0"/>
        <w:autoSpaceDE w:val="0"/>
        <w:autoSpaceDN w:val="0"/>
        <w:adjustRightInd w:val="0"/>
        <w:spacing w:after="0" w:line="480" w:lineRule="auto"/>
        <w:rPr>
          <w:rFonts w:ascii="Arial" w:hAnsi="Arial" w:cs="Arial"/>
          <w:lang w:val="en-US"/>
        </w:rPr>
      </w:pPr>
    </w:p>
    <w:p w14:paraId="25827ADC" w14:textId="77777777" w:rsidR="000362D0" w:rsidRPr="008872EC" w:rsidRDefault="000362D0" w:rsidP="006F45B1">
      <w:pPr>
        <w:pStyle w:val="NoSpacing"/>
        <w:spacing w:line="480" w:lineRule="auto"/>
        <w:rPr>
          <w:rFonts w:ascii="Arial" w:hAnsi="Arial" w:cs="Arial"/>
        </w:rPr>
      </w:pPr>
      <w:r w:rsidRPr="008872EC">
        <w:rPr>
          <w:rFonts w:ascii="Arial" w:hAnsi="Arial" w:cs="Arial"/>
        </w:rPr>
        <w:t>Risk scores have been developed to predict the development of new-onset POAF after cardiac surgery, such as the POAF score,</w:t>
      </w:r>
      <w:r>
        <w:rPr>
          <w:rFonts w:ascii="Arial" w:hAnsi="Arial" w:cs="Arial"/>
          <w:noProof/>
        </w:rPr>
        <w:t>(32)</w:t>
      </w:r>
      <w:r w:rsidRPr="008872EC">
        <w:rPr>
          <w:rFonts w:ascii="Arial" w:hAnsi="Arial" w:cs="Arial"/>
        </w:rPr>
        <w:t xml:space="preserve"> </w:t>
      </w:r>
      <w:r>
        <w:rPr>
          <w:rFonts w:ascii="Arial" w:hAnsi="Arial" w:cs="Arial"/>
        </w:rPr>
        <w:t xml:space="preserve">and </w:t>
      </w:r>
      <w:r w:rsidRPr="008872EC">
        <w:rPr>
          <w:rFonts w:ascii="Arial" w:hAnsi="Arial" w:cs="Arial"/>
        </w:rPr>
        <w:t>the Brazilian risk score</w:t>
      </w:r>
      <w:r>
        <w:rPr>
          <w:rFonts w:ascii="Arial" w:hAnsi="Arial" w:cs="Arial"/>
        </w:rPr>
        <w:t>.</w:t>
      </w:r>
      <w:r>
        <w:rPr>
          <w:rFonts w:ascii="Arial" w:hAnsi="Arial" w:cs="Arial"/>
          <w:noProof/>
        </w:rPr>
        <w:t>(33)</w:t>
      </w:r>
      <w:r w:rsidRPr="008872EC">
        <w:rPr>
          <w:rFonts w:ascii="Arial" w:hAnsi="Arial" w:cs="Arial"/>
        </w:rPr>
        <w:t xml:space="preserve"> Although validated for predicting new-onset POAF, these scores have not been extended to predicting recurrence of POAF, but may be useful as recent evidence suggests new-onset AF is a predictor of long-term AF.</w:t>
      </w:r>
      <w:r>
        <w:rPr>
          <w:rFonts w:ascii="Arial" w:hAnsi="Arial" w:cs="Arial"/>
          <w:noProof/>
        </w:rPr>
        <w:t>(5)</w:t>
      </w:r>
      <w:r w:rsidRPr="008872EC">
        <w:rPr>
          <w:rFonts w:ascii="Arial" w:hAnsi="Arial" w:cs="Arial"/>
        </w:rPr>
        <w:t xml:space="preserve"> </w:t>
      </w:r>
      <w:r w:rsidRPr="008872EC">
        <w:rPr>
          <w:rFonts w:ascii="Arial" w:hAnsi="Arial" w:cs="Arial"/>
          <w:lang w:val="en-US"/>
        </w:rPr>
        <w:t>There is a 6-fold increase in the likelihood of clinical AF recurrence in patients with an episode of POAF compared to those without POAF, however late-onset PO</w:t>
      </w:r>
      <w:r w:rsidRPr="008872EC">
        <w:rPr>
          <w:rFonts w:ascii="Arial" w:hAnsi="Arial" w:cs="Arial"/>
        </w:rPr>
        <w:t>AF can also occur post-hospital discharge</w:t>
      </w:r>
      <w:r w:rsidRPr="008872EC">
        <w:rPr>
          <w:rFonts w:ascii="Arial" w:hAnsi="Arial" w:cs="Arial"/>
          <w:lang w:val="en-US"/>
        </w:rPr>
        <w:t>.</w:t>
      </w:r>
      <w:r>
        <w:rPr>
          <w:rFonts w:ascii="Arial" w:hAnsi="Arial" w:cs="Arial"/>
          <w:noProof/>
          <w:lang w:val="en-US"/>
        </w:rPr>
        <w:t>(16)</w:t>
      </w:r>
      <w:r w:rsidRPr="008872EC">
        <w:rPr>
          <w:rFonts w:ascii="Arial" w:hAnsi="Arial" w:cs="Arial"/>
          <w:lang w:val="en-US"/>
        </w:rPr>
        <w:t xml:space="preserve"> Incidence of late-onset POAF was a secondary finding of the studies included in our review, however other research has </w:t>
      </w:r>
      <w:r w:rsidRPr="008872EC">
        <w:rPr>
          <w:rFonts w:ascii="Arial" w:hAnsi="Arial" w:cs="Arial"/>
          <w:lang w:val="en-US"/>
        </w:rPr>
        <w:lastRenderedPageBreak/>
        <w:t>identified similar incidences of 3.6 - 8% new AF after discharge.</w:t>
      </w:r>
      <w:r>
        <w:rPr>
          <w:rFonts w:ascii="Arial" w:hAnsi="Arial" w:cs="Arial"/>
          <w:noProof/>
          <w:lang w:val="en-US"/>
        </w:rPr>
        <w:t>(10, 34)</w:t>
      </w:r>
      <w:r w:rsidRPr="008872EC">
        <w:rPr>
          <w:rFonts w:ascii="Arial" w:hAnsi="Arial" w:cs="Arial"/>
          <w:lang w:val="en-US"/>
        </w:rPr>
        <w:t xml:space="preserve"> It is also probable that many in-hospital episodes of POAF go undetected. A </w:t>
      </w:r>
      <w:r w:rsidRPr="008872EC">
        <w:rPr>
          <w:rFonts w:ascii="Arial" w:hAnsi="Arial" w:cs="Arial"/>
        </w:rPr>
        <w:t>study using Holter monitoring found 13% of all patients had ‘silent’ POAF during the post-cardiac surgery inpatient period, which was asymptomatic and remained undiagnosed at discharge.</w:t>
      </w:r>
      <w:r>
        <w:rPr>
          <w:rFonts w:ascii="Arial" w:hAnsi="Arial" w:cs="Arial"/>
          <w:noProof/>
        </w:rPr>
        <w:t>(9)</w:t>
      </w:r>
      <w:r w:rsidRPr="008872EC">
        <w:rPr>
          <w:rFonts w:ascii="Arial" w:hAnsi="Arial" w:cs="Arial"/>
        </w:rPr>
        <w:t xml:space="preserve">  ‘Silent’ POAF was associated with higher AF recurrence rate at 1-year follow-up.</w:t>
      </w:r>
      <w:r>
        <w:rPr>
          <w:rFonts w:ascii="Arial" w:hAnsi="Arial" w:cs="Arial"/>
          <w:noProof/>
        </w:rPr>
        <w:t>(9)</w:t>
      </w:r>
      <w:r w:rsidRPr="008872EC">
        <w:rPr>
          <w:rFonts w:ascii="Arial" w:hAnsi="Arial" w:cs="Arial"/>
        </w:rPr>
        <w:t xml:space="preserve"> </w:t>
      </w:r>
      <w:r w:rsidRPr="008872EC">
        <w:rPr>
          <w:rFonts w:ascii="Arial" w:hAnsi="Arial" w:cs="Arial"/>
          <w:lang w:val="en-US"/>
        </w:rPr>
        <w:t>It is therefore difficult to predict which patients are at higher risk of AF recurrence or AF development in the post-discharge period,</w:t>
      </w:r>
      <w:r w:rsidRPr="008872EC">
        <w:rPr>
          <w:rFonts w:ascii="Arial" w:hAnsi="Arial" w:cs="Arial"/>
        </w:rPr>
        <w:t xml:space="preserve"> suggesting perhaps that monitoring might also be indicated for patients without diagnosed POAF during the admission.</w:t>
      </w:r>
    </w:p>
    <w:p w14:paraId="19B01E96" w14:textId="77777777" w:rsidR="000362D0" w:rsidRPr="008872EC" w:rsidRDefault="000362D0" w:rsidP="006F45B1">
      <w:pPr>
        <w:widowControl w:val="0"/>
        <w:autoSpaceDE w:val="0"/>
        <w:autoSpaceDN w:val="0"/>
        <w:adjustRightInd w:val="0"/>
        <w:spacing w:after="0" w:line="480" w:lineRule="auto"/>
        <w:rPr>
          <w:rFonts w:ascii="Arial" w:hAnsi="Arial" w:cs="Arial"/>
        </w:rPr>
      </w:pPr>
    </w:p>
    <w:p w14:paraId="14920E77" w14:textId="77777777" w:rsidR="000362D0" w:rsidRPr="008872EC" w:rsidRDefault="000362D0" w:rsidP="006F45B1">
      <w:pPr>
        <w:widowControl w:val="0"/>
        <w:autoSpaceDE w:val="0"/>
        <w:autoSpaceDN w:val="0"/>
        <w:adjustRightInd w:val="0"/>
        <w:spacing w:after="0" w:line="480" w:lineRule="auto"/>
        <w:rPr>
          <w:rFonts w:ascii="Arial" w:hAnsi="Arial" w:cs="Arial"/>
        </w:rPr>
      </w:pPr>
      <w:r w:rsidRPr="008872EC">
        <w:rPr>
          <w:rFonts w:ascii="Arial" w:hAnsi="Arial" w:cs="Arial"/>
        </w:rPr>
        <w:t>Identification of an appropriate means of monitoring is becoming increasingly important, given that the number of elderly patients undergoing cardiac surgery is projected to increase,</w:t>
      </w:r>
      <w:r>
        <w:rPr>
          <w:rFonts w:ascii="Arial" w:hAnsi="Arial" w:cs="Arial"/>
          <w:noProof/>
        </w:rPr>
        <w:t>(35)</w:t>
      </w:r>
      <w:hyperlink w:anchor="_ENREF_19" w:tooltip="January, 2014 #112" w:history="1"/>
      <w:r w:rsidRPr="008872EC">
        <w:rPr>
          <w:rFonts w:ascii="Arial" w:hAnsi="Arial" w:cs="Arial"/>
        </w:rPr>
        <w:t xml:space="preserve"> and age is a primary risk factor for development of both AF and stroke.</w:t>
      </w:r>
      <w:r>
        <w:rPr>
          <w:rFonts w:ascii="Arial" w:hAnsi="Arial" w:cs="Arial"/>
          <w:noProof/>
        </w:rPr>
        <w:t>(36, 37)</w:t>
      </w:r>
      <w:hyperlink w:anchor="_ENREF_20" w:tooltip="Chyou, 2015 #115" w:history="1"/>
      <w:r w:rsidRPr="008872EC">
        <w:rPr>
          <w:rFonts w:ascii="Arial" w:hAnsi="Arial" w:cs="Arial"/>
        </w:rPr>
        <w:t xml:space="preserve"> Furthermore, obesity</w:t>
      </w:r>
      <w:r>
        <w:rPr>
          <w:rFonts w:ascii="Arial" w:hAnsi="Arial" w:cs="Arial"/>
          <w:noProof/>
        </w:rPr>
        <w:t>(38)</w:t>
      </w:r>
      <w:r w:rsidRPr="008872EC">
        <w:rPr>
          <w:rFonts w:ascii="Arial" w:hAnsi="Arial" w:cs="Arial"/>
        </w:rPr>
        <w:t xml:space="preserve"> and metabolic syndrome</w:t>
      </w:r>
      <w:r>
        <w:rPr>
          <w:rFonts w:ascii="Arial" w:hAnsi="Arial" w:cs="Arial"/>
          <w:noProof/>
        </w:rPr>
        <w:t>(39)</w:t>
      </w:r>
      <w:r w:rsidRPr="008872EC">
        <w:rPr>
          <w:rFonts w:ascii="Arial" w:hAnsi="Arial" w:cs="Arial"/>
        </w:rPr>
        <w:t xml:space="preserve"> are also associated with a higher incidence of POAF after cardiac surgery. We are therefore likely to see an increase in the incidence of POAF corresponding to the rise in obesity in the next 20 years, along with an associated increase in stroke, morbidity, mortality, and health system costs. The mode of surveillance will influence the number of cases of recurrent AF identified. Implanted devices with continual rhythm recording will pick up much more brief paroxysmal episodes than intermittent sampling, but the clinical significance of these episodes, like cardiac implanted device-detected atrial high rate episodes may be less than clinically detected AF or AF detected by intermittent brief recordings.</w:t>
      </w:r>
      <w:r>
        <w:rPr>
          <w:rFonts w:ascii="Arial" w:hAnsi="Arial" w:cs="Arial"/>
          <w:noProof/>
        </w:rPr>
        <w:t>(40, 41)</w:t>
      </w:r>
      <w:r w:rsidRPr="008872EC">
        <w:rPr>
          <w:rFonts w:ascii="Arial" w:hAnsi="Arial" w:cs="Arial"/>
        </w:rPr>
        <w:t xml:space="preserve"> While technology allowing centralised remote monitoring of multiple patients with implanted devices could make monitoring more feasible,</w:t>
      </w:r>
      <w:r>
        <w:rPr>
          <w:rFonts w:ascii="Arial" w:hAnsi="Arial" w:cs="Arial"/>
          <w:noProof/>
        </w:rPr>
        <w:t>(42)</w:t>
      </w:r>
      <w:r w:rsidRPr="008872EC">
        <w:rPr>
          <w:rFonts w:ascii="Arial" w:hAnsi="Arial" w:cs="Arial"/>
        </w:rPr>
        <w:t xml:space="preserve"> the likely lower risk in patients detected in this way needs to be taken into consideration. Patient tolerance, acceptance and compliance of an implanted device is an additional consideration, with 50% refusal rate reported from one study designed to have an implanted device for 2 years.</w:t>
      </w:r>
      <w:r>
        <w:rPr>
          <w:rFonts w:ascii="Arial" w:hAnsi="Arial" w:cs="Arial"/>
          <w:noProof/>
        </w:rPr>
        <w:t>(20)</w:t>
      </w:r>
      <w:r w:rsidRPr="008872EC">
        <w:rPr>
          <w:rFonts w:ascii="Arial" w:hAnsi="Arial" w:cs="Arial"/>
        </w:rPr>
        <w:t xml:space="preserve"> </w:t>
      </w:r>
    </w:p>
    <w:p w14:paraId="42419C45" w14:textId="77777777" w:rsidR="000362D0" w:rsidRPr="008872EC" w:rsidRDefault="000362D0" w:rsidP="006F45B1">
      <w:pPr>
        <w:pStyle w:val="NoSpacing"/>
        <w:spacing w:line="480" w:lineRule="auto"/>
        <w:rPr>
          <w:rFonts w:ascii="Arial" w:hAnsi="Arial" w:cs="Arial"/>
        </w:rPr>
      </w:pPr>
    </w:p>
    <w:p w14:paraId="6A14EBA0" w14:textId="77777777" w:rsidR="000362D0" w:rsidRPr="008872EC" w:rsidRDefault="000362D0" w:rsidP="006F45B1">
      <w:pPr>
        <w:pStyle w:val="NoSpacing"/>
        <w:spacing w:line="480" w:lineRule="auto"/>
        <w:rPr>
          <w:rFonts w:ascii="Arial" w:hAnsi="Arial" w:cs="Arial"/>
        </w:rPr>
      </w:pPr>
      <w:r w:rsidRPr="008872EC">
        <w:rPr>
          <w:rFonts w:ascii="Arial" w:hAnsi="Arial" w:cs="Arial"/>
        </w:rPr>
        <w:lastRenderedPageBreak/>
        <w:t xml:space="preserve">Despite the clear evidence that POAF is a major cause of morbidity and mortality, and that asymptomatic POAF recurrences can be identified in the weeks following discharge, there is a lack of </w:t>
      </w:r>
      <w:r>
        <w:rPr>
          <w:rFonts w:ascii="Arial" w:hAnsi="Arial" w:cs="Arial"/>
        </w:rPr>
        <w:t>evidence in regard to the long-term effect of anticoagulation on stroke risk in POAF patients</w:t>
      </w:r>
      <w:r w:rsidRPr="008872EC">
        <w:rPr>
          <w:rFonts w:ascii="Arial" w:hAnsi="Arial" w:cs="Arial"/>
        </w:rPr>
        <w:t xml:space="preserve">, and therefore no indication that treatment will be altered as a result of </w:t>
      </w:r>
      <w:r>
        <w:rPr>
          <w:rFonts w:ascii="Arial" w:hAnsi="Arial" w:cs="Arial"/>
        </w:rPr>
        <w:t xml:space="preserve">identifying POAF recurrence through </w:t>
      </w:r>
      <w:r w:rsidRPr="008872EC">
        <w:rPr>
          <w:rFonts w:ascii="Arial" w:hAnsi="Arial" w:cs="Arial"/>
        </w:rPr>
        <w:t>monitoring.</w:t>
      </w:r>
      <w:r>
        <w:rPr>
          <w:rFonts w:ascii="Arial" w:hAnsi="Arial" w:cs="Arial"/>
          <w:noProof/>
        </w:rPr>
        <w:t>(12)</w:t>
      </w:r>
      <w:r w:rsidRPr="008872EC">
        <w:rPr>
          <w:rFonts w:ascii="Arial" w:hAnsi="Arial" w:cs="Arial"/>
        </w:rPr>
        <w:t xml:space="preserve"> POAF management guidelines recommend anticoagulation for at least 4-weeks post cardioversion of patients with POAF lasting &gt;48 hours, and anticoagulation for ‘high-risk patients’ in which sinus rhythm was restored within 24 hours of onset.</w:t>
      </w:r>
      <w:r>
        <w:rPr>
          <w:rFonts w:ascii="Arial" w:hAnsi="Arial" w:cs="Arial"/>
          <w:noProof/>
        </w:rPr>
        <w:t>(11)</w:t>
      </w:r>
      <w:r w:rsidRPr="008872EC">
        <w:rPr>
          <w:rFonts w:ascii="Arial" w:hAnsi="Arial" w:cs="Arial"/>
        </w:rPr>
        <w:t xml:space="preserve"> The results of our study raise questions regarding which patients should be considered ‘high-risk’ and which patients are at risk of recurrence or late-onset AF, thus which patients should monitored. </w:t>
      </w:r>
    </w:p>
    <w:p w14:paraId="3FA05881" w14:textId="77777777" w:rsidR="000362D0" w:rsidRPr="008872EC" w:rsidRDefault="000362D0" w:rsidP="006F45B1">
      <w:pPr>
        <w:pStyle w:val="NoSpacing"/>
        <w:spacing w:line="480" w:lineRule="auto"/>
        <w:rPr>
          <w:rFonts w:ascii="Arial" w:hAnsi="Arial" w:cs="Arial"/>
        </w:rPr>
      </w:pPr>
    </w:p>
    <w:p w14:paraId="05701E9D" w14:textId="77777777" w:rsidR="000362D0" w:rsidRPr="008872EC" w:rsidRDefault="000362D0" w:rsidP="006F45B1">
      <w:pPr>
        <w:pStyle w:val="NoSpacing"/>
        <w:spacing w:line="480" w:lineRule="auto"/>
        <w:rPr>
          <w:rFonts w:ascii="Arial" w:hAnsi="Arial" w:cs="Arial"/>
        </w:rPr>
      </w:pPr>
      <w:r w:rsidRPr="008872EC">
        <w:rPr>
          <w:rFonts w:ascii="Arial" w:hAnsi="Arial" w:cs="Arial"/>
        </w:rPr>
        <w:t>Instigating monitoring comes at a cost, however could well be cost effective from the standpoint of stroke prevention. Although the studies in this review utilised devices for monitoring, there are also other low-cost methods to address detection of AF through improved patient education regarding symptom awareness and routine self-monitoring using pulse-palpation, and some handheld ECG devices have a fairly modest cost. To date, screening studies for primary AF detection using new devices, such as handheld single-lead ECGs, have all been demonstrated to be cost-effective.</w:t>
      </w:r>
      <w:r>
        <w:rPr>
          <w:rFonts w:ascii="Arial" w:hAnsi="Arial" w:cs="Arial"/>
          <w:noProof/>
        </w:rPr>
        <w:t>(43-47)</w:t>
      </w:r>
      <w:r w:rsidRPr="008872EC">
        <w:rPr>
          <w:rFonts w:ascii="Arial" w:hAnsi="Arial" w:cs="Arial"/>
        </w:rPr>
        <w:t xml:space="preserve"> </w:t>
      </w:r>
    </w:p>
    <w:p w14:paraId="39532708" w14:textId="77777777" w:rsidR="000362D0" w:rsidRDefault="000362D0" w:rsidP="006F45B1">
      <w:pPr>
        <w:spacing w:after="0" w:line="480" w:lineRule="auto"/>
        <w:rPr>
          <w:rFonts w:ascii="Arial" w:hAnsi="Arial" w:cs="Arial"/>
          <w:b/>
        </w:rPr>
      </w:pPr>
    </w:p>
    <w:p w14:paraId="460D2803" w14:textId="77777777" w:rsidR="000362D0" w:rsidRPr="0048059C" w:rsidRDefault="000362D0" w:rsidP="006F45B1">
      <w:pPr>
        <w:spacing w:after="0" w:line="480" w:lineRule="auto"/>
        <w:rPr>
          <w:rFonts w:ascii="Arial" w:hAnsi="Arial" w:cs="Arial"/>
          <w:b/>
        </w:rPr>
      </w:pPr>
      <w:r w:rsidRPr="0048059C">
        <w:rPr>
          <w:rFonts w:ascii="Arial" w:hAnsi="Arial" w:cs="Arial"/>
          <w:b/>
        </w:rPr>
        <w:t>Limitations</w:t>
      </w:r>
    </w:p>
    <w:p w14:paraId="01C4C739" w14:textId="77777777" w:rsidR="000362D0" w:rsidRPr="006F45B1" w:rsidRDefault="000362D0" w:rsidP="006F45B1">
      <w:pPr>
        <w:pStyle w:val="NoSpacing"/>
        <w:spacing w:line="480" w:lineRule="auto"/>
        <w:rPr>
          <w:rFonts w:ascii="Arial" w:hAnsi="Arial" w:cs="Arial"/>
          <w:lang w:val="en-US"/>
        </w:rPr>
      </w:pPr>
      <w:r w:rsidRPr="008872EC">
        <w:rPr>
          <w:rFonts w:ascii="Arial" w:hAnsi="Arial" w:cs="Arial"/>
          <w:lang w:val="en-US"/>
        </w:rPr>
        <w:t xml:space="preserve">The main limitation of this review is the small number of studies included and design of the studies. </w:t>
      </w:r>
      <w:r>
        <w:rPr>
          <w:rFonts w:ascii="Arial" w:hAnsi="Arial" w:cs="Arial"/>
          <w:lang w:val="en-US"/>
        </w:rPr>
        <w:t>P</w:t>
      </w:r>
      <w:r w:rsidRPr="008872EC">
        <w:rPr>
          <w:rFonts w:ascii="Arial" w:hAnsi="Arial" w:cs="Arial"/>
          <w:lang w:val="en-US"/>
        </w:rPr>
        <w:t>articipant</w:t>
      </w:r>
      <w:r>
        <w:rPr>
          <w:rFonts w:ascii="Arial" w:hAnsi="Arial" w:cs="Arial"/>
          <w:lang w:val="en-US"/>
        </w:rPr>
        <w:t>s were nonhomogeneous in regards age, cardiac procedure and comorbidities, and</w:t>
      </w:r>
      <w:r w:rsidRPr="008872EC">
        <w:rPr>
          <w:rFonts w:ascii="Arial" w:hAnsi="Arial" w:cs="Arial"/>
          <w:lang w:val="en-US"/>
        </w:rPr>
        <w:t xml:space="preserve"> nu</w:t>
      </w:r>
      <w:r>
        <w:rPr>
          <w:rFonts w:ascii="Arial" w:hAnsi="Arial" w:cs="Arial"/>
          <w:lang w:val="en-US"/>
        </w:rPr>
        <w:t xml:space="preserve">mbers in each trial were small </w:t>
      </w:r>
      <w:r w:rsidRPr="008872EC">
        <w:rPr>
          <w:rFonts w:ascii="Arial" w:hAnsi="Arial" w:cs="Arial"/>
          <w:lang w:val="en-US"/>
        </w:rPr>
        <w:t>with &lt;100 participants in 5/8 studies</w:t>
      </w:r>
      <w:r>
        <w:rPr>
          <w:rFonts w:ascii="Arial" w:hAnsi="Arial" w:cs="Arial"/>
          <w:lang w:val="en-US"/>
        </w:rPr>
        <w:t xml:space="preserve">. </w:t>
      </w:r>
      <w:r w:rsidRPr="008872EC">
        <w:rPr>
          <w:rFonts w:ascii="Arial" w:hAnsi="Arial" w:cs="Arial"/>
          <w:lang w:val="en-US"/>
        </w:rPr>
        <w:t xml:space="preserve">Study designs varied significantly between the studies, with only 2 randomized control trials, and method and timeframe for </w:t>
      </w:r>
      <w:r w:rsidRPr="006F45B1">
        <w:rPr>
          <w:rFonts w:ascii="Arial" w:hAnsi="Arial" w:cs="Arial"/>
          <w:lang w:val="en-US"/>
        </w:rPr>
        <w:t xml:space="preserve">monitoring varied greatly between the trials. Furthermore, the majority of trials did not report data for our secondary objectives. Only 5 studies reported symptomatic status of AF episodes, </w:t>
      </w:r>
      <w:bookmarkStart w:id="2" w:name="_Hlk493244521"/>
      <w:r w:rsidRPr="006F45B1">
        <w:rPr>
          <w:rFonts w:ascii="Arial" w:hAnsi="Arial" w:cs="Arial"/>
          <w:lang w:val="en-US"/>
        </w:rPr>
        <w:t xml:space="preserve">the data regarding reduced recurrence with β-blockers was not conclusive, only two small studies investigated the effect of amiodarone, </w:t>
      </w:r>
      <w:bookmarkEnd w:id="2"/>
      <w:r w:rsidRPr="006F45B1">
        <w:rPr>
          <w:rFonts w:ascii="Arial" w:hAnsi="Arial" w:cs="Arial"/>
          <w:lang w:val="en-US"/>
        </w:rPr>
        <w:t xml:space="preserve">and only </w:t>
      </w:r>
      <w:r w:rsidRPr="006F45B1">
        <w:rPr>
          <w:rFonts w:ascii="Arial" w:hAnsi="Arial" w:cs="Arial"/>
          <w:lang w:val="en-US"/>
        </w:rPr>
        <w:lastRenderedPageBreak/>
        <w:t>one study with small numbers reported the stroke risk of patients identified with POAF recurrence. Therefore, there is insufficient strength in the available data to draw conclusions about stroke risk in this population, the need for anticoagulation treatment, and the effect of preventative treatments such as amiodarone and β-blockers.</w:t>
      </w:r>
    </w:p>
    <w:p w14:paraId="751B77CC" w14:textId="77777777" w:rsidR="000362D0" w:rsidRPr="006F45B1" w:rsidRDefault="000362D0" w:rsidP="006F45B1">
      <w:pPr>
        <w:pStyle w:val="NoSpacing"/>
        <w:spacing w:line="480" w:lineRule="auto"/>
        <w:rPr>
          <w:rFonts w:ascii="Arial" w:hAnsi="Arial" w:cs="Arial"/>
          <w:lang w:val="en-US"/>
        </w:rPr>
      </w:pPr>
    </w:p>
    <w:p w14:paraId="39CFBFC1" w14:textId="77777777" w:rsidR="000362D0" w:rsidRPr="006F45B1" w:rsidRDefault="000362D0" w:rsidP="006F45B1">
      <w:pPr>
        <w:spacing w:after="0" w:line="480" w:lineRule="auto"/>
        <w:rPr>
          <w:rFonts w:ascii="Arial" w:hAnsi="Arial" w:cs="Arial"/>
        </w:rPr>
      </w:pPr>
      <w:r w:rsidRPr="006F45B1">
        <w:rPr>
          <w:rFonts w:ascii="Arial" w:hAnsi="Arial" w:cs="Arial"/>
        </w:rPr>
        <w:t xml:space="preserve">This highlights a need for future studies to look at amiodarone and its role in preventing recurrence of POAF in this group of patients, and for more understanding of how antiarrhythmic medications such as amiodarone can influence prevention of recurrence. Furthermore, whilst 3/5 studies suggested a beneficial effect of </w:t>
      </w:r>
      <w:r w:rsidRPr="006F45B1">
        <w:rPr>
          <w:rFonts w:ascii="Arial" w:hAnsi="Arial" w:cs="Arial"/>
          <w:lang w:val="en-US"/>
        </w:rPr>
        <w:t xml:space="preserve">β-blockers in the prevention of AF post discharge, </w:t>
      </w:r>
      <w:r w:rsidRPr="006F45B1">
        <w:rPr>
          <w:rFonts w:ascii="Arial" w:hAnsi="Arial" w:cs="Arial"/>
        </w:rPr>
        <w:t xml:space="preserve">it is worthy to note that most institutions prescribe </w:t>
      </w:r>
      <w:r w:rsidRPr="006F45B1">
        <w:rPr>
          <w:rFonts w:ascii="Arial" w:hAnsi="Arial" w:cs="Arial"/>
          <w:lang w:val="en-US"/>
        </w:rPr>
        <w:t>β-blockers</w:t>
      </w:r>
      <w:r w:rsidRPr="006F45B1">
        <w:rPr>
          <w:rFonts w:ascii="Arial" w:hAnsi="Arial" w:cs="Arial"/>
        </w:rPr>
        <w:t xml:space="preserve"> at the time of discharge as a process of continuing preoperative medications and not with the intention of offering antiarrhythmic protection. There is no evidence or uniformity in prescribing one particular </w:t>
      </w:r>
      <w:r w:rsidRPr="006F45B1">
        <w:rPr>
          <w:rFonts w:ascii="Arial" w:hAnsi="Arial" w:cs="Arial"/>
          <w:lang w:val="en-US"/>
        </w:rPr>
        <w:t>β-blocker</w:t>
      </w:r>
      <w:r w:rsidRPr="006F45B1">
        <w:rPr>
          <w:rFonts w:ascii="Arial" w:hAnsi="Arial" w:cs="Arial"/>
        </w:rPr>
        <w:t xml:space="preserve"> or any one specific dose to offer adequate antiarrhythmic protection. Further research is indicated to address these issues. </w:t>
      </w:r>
    </w:p>
    <w:p w14:paraId="71FC1638" w14:textId="77777777" w:rsidR="000362D0" w:rsidRPr="006F45B1" w:rsidRDefault="000362D0" w:rsidP="006F45B1">
      <w:pPr>
        <w:spacing w:after="0" w:line="480" w:lineRule="auto"/>
        <w:rPr>
          <w:rFonts w:ascii="Arial" w:hAnsi="Arial" w:cs="Arial"/>
        </w:rPr>
      </w:pPr>
    </w:p>
    <w:p w14:paraId="6EED4AA4" w14:textId="77777777" w:rsidR="000362D0" w:rsidRPr="008872EC" w:rsidRDefault="000362D0" w:rsidP="006F45B1">
      <w:pPr>
        <w:pStyle w:val="NoSpacing"/>
        <w:spacing w:line="480" w:lineRule="auto"/>
        <w:rPr>
          <w:rFonts w:ascii="Arial" w:hAnsi="Arial" w:cs="Arial"/>
        </w:rPr>
      </w:pPr>
      <w:r w:rsidRPr="006F45B1">
        <w:rPr>
          <w:rFonts w:ascii="Arial" w:hAnsi="Arial" w:cs="Arial"/>
        </w:rPr>
        <w:t>Whilst we know that stroke risk is increased in patients with an</w:t>
      </w:r>
      <w:r>
        <w:rPr>
          <w:rFonts w:ascii="Arial" w:hAnsi="Arial" w:cs="Arial"/>
        </w:rPr>
        <w:t xml:space="preserve"> episode of POAF following cardiac surgery,</w:t>
      </w:r>
      <w:r>
        <w:rPr>
          <w:rFonts w:ascii="Arial" w:hAnsi="Arial" w:cs="Arial"/>
          <w:noProof/>
        </w:rPr>
        <w:t>(2)</w:t>
      </w:r>
      <w:r>
        <w:rPr>
          <w:rFonts w:ascii="Arial" w:hAnsi="Arial" w:cs="Arial"/>
        </w:rPr>
        <w:t xml:space="preserve"> and asymptomatic AF episodes in the general population increase stroke risk,</w:t>
      </w:r>
      <w:r>
        <w:rPr>
          <w:rFonts w:ascii="Arial" w:hAnsi="Arial" w:cs="Arial"/>
          <w:noProof/>
        </w:rPr>
        <w:t>(41)</w:t>
      </w:r>
      <w:r>
        <w:rPr>
          <w:rFonts w:ascii="Arial" w:hAnsi="Arial" w:cs="Arial"/>
        </w:rPr>
        <w:t xml:space="preserve"> and stroke risk from paroxysmal AF is sufficiently high to require anticoagulation;</w:t>
      </w:r>
      <w:r>
        <w:rPr>
          <w:rFonts w:ascii="Arial" w:hAnsi="Arial" w:cs="Arial"/>
          <w:noProof/>
        </w:rPr>
        <w:t>(48)</w:t>
      </w:r>
      <w:r>
        <w:rPr>
          <w:rFonts w:ascii="Arial" w:hAnsi="Arial" w:cs="Arial"/>
        </w:rPr>
        <w:t xml:space="preserve"> this review highlights that there is insufficient evidence to determine the stroke risk of recurrences in patients with POAF who are discharged home and presumed to be in stable sinus rhythm. </w:t>
      </w:r>
      <w:r w:rsidRPr="00B411AD">
        <w:rPr>
          <w:rFonts w:ascii="Arial" w:hAnsi="Arial" w:cs="Arial"/>
        </w:rPr>
        <w:t xml:space="preserve">It is also uncertain whether the increased recurrence rate detected by continuous invasive recordings will have the same prognostic significance as recurrence detected by more brief or intermittent recordings. These data are required in order to </w:t>
      </w:r>
      <w:r>
        <w:rPr>
          <w:rFonts w:ascii="Arial" w:hAnsi="Arial" w:cs="Arial"/>
        </w:rPr>
        <w:t>inform</w:t>
      </w:r>
      <w:r w:rsidRPr="00B411AD">
        <w:rPr>
          <w:rFonts w:ascii="Arial" w:hAnsi="Arial" w:cs="Arial"/>
        </w:rPr>
        <w:t xml:space="preserve"> recommendations for the length and intensity of monitoring required post discharge, and anticoagulation and preventative treatments for recurrences.</w:t>
      </w:r>
      <w:r>
        <w:rPr>
          <w:rFonts w:cs="Arial"/>
          <w:i/>
        </w:rPr>
        <w:t xml:space="preserve"> </w:t>
      </w:r>
      <w:r w:rsidRPr="008872EC">
        <w:rPr>
          <w:rFonts w:ascii="Arial" w:hAnsi="Arial" w:cs="Arial"/>
        </w:rPr>
        <w:t>Overall, the results of this review indicate a need for large-scale research to look at the prognostic significance of POAF recurrences and late-onset AF episodes after discharge, in relation to stroke</w:t>
      </w:r>
      <w:r>
        <w:rPr>
          <w:rFonts w:ascii="Arial" w:hAnsi="Arial" w:cs="Arial"/>
        </w:rPr>
        <w:t>, morbidity,</w:t>
      </w:r>
      <w:r w:rsidRPr="008872EC">
        <w:rPr>
          <w:rFonts w:ascii="Arial" w:hAnsi="Arial" w:cs="Arial"/>
        </w:rPr>
        <w:t xml:space="preserve"> and mortality, and therefore treatment implications and recommendations.</w:t>
      </w:r>
    </w:p>
    <w:p w14:paraId="20556FCA" w14:textId="77777777" w:rsidR="000362D0" w:rsidRPr="008872EC" w:rsidRDefault="000362D0" w:rsidP="006F45B1">
      <w:pPr>
        <w:spacing w:after="0" w:line="480" w:lineRule="auto"/>
        <w:rPr>
          <w:rFonts w:ascii="Arial" w:hAnsi="Arial" w:cs="Arial"/>
          <w:b/>
        </w:rPr>
      </w:pPr>
    </w:p>
    <w:p w14:paraId="08AE55C1" w14:textId="77777777" w:rsidR="000362D0" w:rsidRPr="008872EC" w:rsidRDefault="000362D0" w:rsidP="006F45B1">
      <w:pPr>
        <w:spacing w:after="0" w:line="480" w:lineRule="auto"/>
        <w:rPr>
          <w:rFonts w:ascii="Arial" w:eastAsiaTheme="minorHAnsi" w:hAnsi="Arial" w:cs="Arial"/>
          <w:b/>
          <w:lang w:eastAsia="en-US"/>
        </w:rPr>
      </w:pPr>
      <w:r w:rsidRPr="008872EC">
        <w:rPr>
          <w:rFonts w:ascii="Arial" w:hAnsi="Arial" w:cs="Arial"/>
          <w:b/>
        </w:rPr>
        <w:t>CONCLUSION</w:t>
      </w:r>
      <w:r w:rsidRPr="008872EC">
        <w:rPr>
          <w:rFonts w:ascii="Arial" w:hAnsi="Arial" w:cs="Arial"/>
        </w:rPr>
        <w:t xml:space="preserve"> </w:t>
      </w:r>
    </w:p>
    <w:p w14:paraId="231C7786" w14:textId="77777777" w:rsidR="000362D0" w:rsidRDefault="000362D0" w:rsidP="006F45B1">
      <w:pPr>
        <w:pStyle w:val="NoSpacing"/>
        <w:spacing w:line="480" w:lineRule="auto"/>
        <w:rPr>
          <w:rFonts w:ascii="Arial" w:hAnsi="Arial" w:cs="Arial"/>
          <w:b/>
        </w:rPr>
      </w:pPr>
      <w:r w:rsidRPr="008872EC">
        <w:rPr>
          <w:rFonts w:ascii="Arial" w:hAnsi="Arial" w:cs="Arial"/>
        </w:rPr>
        <w:t>Monitoring for POAF recurrence post-hospital discharge identifies significant numbers of asymptomatic recurrences in patients at high risk of stroke, who may benefit from early detection of POAF recurrence and anticoagulation for stroke prevention. More intense monitoring is more likely to identify POAF recurrence.</w:t>
      </w:r>
      <w:r>
        <w:rPr>
          <w:rFonts w:ascii="Arial" w:hAnsi="Arial" w:cs="Arial"/>
        </w:rPr>
        <w:t xml:space="preserve"> </w:t>
      </w:r>
      <w:r w:rsidRPr="008872EC">
        <w:rPr>
          <w:rFonts w:ascii="Arial" w:hAnsi="Arial" w:cs="Arial"/>
        </w:rPr>
        <w:t>Further large-scale studies are required to investigate the prognostic significance of POAF recurrence in relatio</w:t>
      </w:r>
      <w:r>
        <w:rPr>
          <w:rFonts w:ascii="Arial" w:hAnsi="Arial" w:cs="Arial"/>
        </w:rPr>
        <w:t>n to stroke and mortality risk.</w:t>
      </w:r>
    </w:p>
    <w:p w14:paraId="1622222E" w14:textId="77777777" w:rsidR="000362D0" w:rsidRDefault="000362D0" w:rsidP="006F45B1">
      <w:pPr>
        <w:pStyle w:val="NoSpacing"/>
        <w:spacing w:line="480" w:lineRule="auto"/>
        <w:rPr>
          <w:rFonts w:ascii="Arial" w:hAnsi="Arial" w:cs="Arial"/>
          <w:b/>
        </w:rPr>
      </w:pPr>
    </w:p>
    <w:p w14:paraId="3685F1AA" w14:textId="77777777" w:rsidR="000362D0" w:rsidRPr="008872EC" w:rsidRDefault="000362D0" w:rsidP="006F45B1">
      <w:pPr>
        <w:pStyle w:val="NoSpacing"/>
        <w:spacing w:line="480" w:lineRule="auto"/>
        <w:rPr>
          <w:rFonts w:ascii="Arial" w:hAnsi="Arial" w:cs="Arial"/>
        </w:rPr>
      </w:pPr>
      <w:r w:rsidRPr="008872EC">
        <w:rPr>
          <w:rFonts w:ascii="Arial" w:hAnsi="Arial" w:cs="Arial"/>
          <w:b/>
        </w:rPr>
        <w:t>ACKNOWLEDGMENTS:</w:t>
      </w:r>
      <w:r w:rsidRPr="008872EC">
        <w:rPr>
          <w:rFonts w:ascii="Arial" w:hAnsi="Arial" w:cs="Arial"/>
        </w:rPr>
        <w:t xml:space="preserve"> </w:t>
      </w:r>
    </w:p>
    <w:p w14:paraId="4B94CE04" w14:textId="77777777" w:rsidR="000362D0" w:rsidRPr="008872EC" w:rsidRDefault="000362D0" w:rsidP="006F45B1">
      <w:pPr>
        <w:autoSpaceDE w:val="0"/>
        <w:autoSpaceDN w:val="0"/>
        <w:adjustRightInd w:val="0"/>
        <w:spacing w:after="0" w:line="480" w:lineRule="auto"/>
        <w:rPr>
          <w:rFonts w:ascii="Arial" w:hAnsi="Arial" w:cs="Arial"/>
        </w:rPr>
      </w:pPr>
      <w:r w:rsidRPr="008872EC">
        <w:rPr>
          <w:rFonts w:ascii="Arial" w:hAnsi="Arial" w:cs="Arial"/>
        </w:rPr>
        <w:t>Nil</w:t>
      </w:r>
    </w:p>
    <w:p w14:paraId="26B03F54" w14:textId="77777777" w:rsidR="000362D0" w:rsidRPr="008872EC" w:rsidRDefault="000362D0" w:rsidP="006F45B1">
      <w:pPr>
        <w:autoSpaceDE w:val="0"/>
        <w:autoSpaceDN w:val="0"/>
        <w:adjustRightInd w:val="0"/>
        <w:spacing w:after="0" w:line="480" w:lineRule="auto"/>
        <w:rPr>
          <w:rFonts w:ascii="Arial" w:hAnsi="Arial" w:cs="Arial"/>
          <w:b/>
        </w:rPr>
      </w:pPr>
    </w:p>
    <w:p w14:paraId="527A451E" w14:textId="77777777" w:rsidR="000362D0" w:rsidRPr="008872EC" w:rsidRDefault="000362D0" w:rsidP="006F45B1">
      <w:pPr>
        <w:autoSpaceDE w:val="0"/>
        <w:autoSpaceDN w:val="0"/>
        <w:adjustRightInd w:val="0"/>
        <w:spacing w:after="0" w:line="480" w:lineRule="auto"/>
        <w:rPr>
          <w:rFonts w:ascii="Arial" w:hAnsi="Arial" w:cs="Arial"/>
          <w:b/>
        </w:rPr>
      </w:pPr>
      <w:r w:rsidRPr="008872EC">
        <w:rPr>
          <w:rFonts w:ascii="Arial" w:hAnsi="Arial" w:cs="Arial"/>
          <w:b/>
        </w:rPr>
        <w:t>FUNDING:</w:t>
      </w:r>
    </w:p>
    <w:p w14:paraId="37BA744E" w14:textId="77777777" w:rsidR="000362D0" w:rsidRPr="008872EC" w:rsidRDefault="000362D0" w:rsidP="006F45B1">
      <w:pPr>
        <w:spacing w:after="0" w:line="480" w:lineRule="auto"/>
        <w:rPr>
          <w:rFonts w:ascii="Arial" w:hAnsi="Arial" w:cs="Arial"/>
          <w:color w:val="FF0000"/>
        </w:rPr>
      </w:pPr>
      <w:r w:rsidRPr="008872EC">
        <w:rPr>
          <w:rFonts w:ascii="Arial" w:hAnsi="Arial" w:cs="Arial"/>
        </w:rPr>
        <w:t xml:space="preserve">Dr Lowres is funded by a NSW Health Early Career Fellowship (H16/ 52168). </w:t>
      </w:r>
    </w:p>
    <w:p w14:paraId="070C971A" w14:textId="77777777" w:rsidR="000362D0" w:rsidRPr="008872EC" w:rsidRDefault="000362D0" w:rsidP="006F45B1">
      <w:pPr>
        <w:autoSpaceDE w:val="0"/>
        <w:autoSpaceDN w:val="0"/>
        <w:adjustRightInd w:val="0"/>
        <w:spacing w:after="0" w:line="480" w:lineRule="auto"/>
        <w:rPr>
          <w:rFonts w:ascii="Arial" w:hAnsi="Arial" w:cs="Arial"/>
          <w:b/>
        </w:rPr>
      </w:pPr>
    </w:p>
    <w:p w14:paraId="090D6DDB" w14:textId="77777777" w:rsidR="000362D0" w:rsidRPr="008872EC" w:rsidRDefault="000362D0" w:rsidP="006F45B1">
      <w:pPr>
        <w:autoSpaceDE w:val="0"/>
        <w:autoSpaceDN w:val="0"/>
        <w:adjustRightInd w:val="0"/>
        <w:spacing w:after="0" w:line="480" w:lineRule="auto"/>
        <w:rPr>
          <w:rFonts w:ascii="Arial" w:hAnsi="Arial" w:cs="Arial"/>
          <w:b/>
        </w:rPr>
      </w:pPr>
      <w:r w:rsidRPr="008872EC">
        <w:rPr>
          <w:rFonts w:ascii="Arial" w:hAnsi="Arial" w:cs="Arial"/>
          <w:b/>
        </w:rPr>
        <w:t xml:space="preserve">CONFLICT OF INTEREST STATEMENT: </w:t>
      </w:r>
    </w:p>
    <w:p w14:paraId="633C20E1" w14:textId="77777777" w:rsidR="000362D0" w:rsidRDefault="000362D0" w:rsidP="006F45B1">
      <w:pPr>
        <w:widowControl w:val="0"/>
        <w:autoSpaceDE w:val="0"/>
        <w:autoSpaceDN w:val="0"/>
        <w:adjustRightInd w:val="0"/>
        <w:spacing w:after="0" w:line="480" w:lineRule="auto"/>
        <w:rPr>
          <w:rFonts w:ascii="Arial" w:hAnsi="Arial" w:cs="Arial"/>
          <w:u w:color="000000"/>
          <w:lang w:val="en-US"/>
        </w:rPr>
        <w:sectPr w:rsidR="000362D0" w:rsidSect="006F45B1">
          <w:pgSz w:w="11906" w:h="16838"/>
          <w:pgMar w:top="1440" w:right="1440" w:bottom="1440" w:left="1440" w:header="709" w:footer="709" w:gutter="0"/>
          <w:lnNumType w:countBy="1" w:restart="continuous"/>
          <w:cols w:space="708"/>
          <w:docGrid w:linePitch="360"/>
        </w:sectPr>
      </w:pPr>
      <w:r w:rsidRPr="008872EC">
        <w:rPr>
          <w:rFonts w:ascii="Arial" w:hAnsi="Arial" w:cs="Arial"/>
          <w:color w:val="000000"/>
          <w:u w:color="000000"/>
          <w:lang w:val="en-US"/>
        </w:rPr>
        <w:t xml:space="preserve">Prof Freedman reports grants, personal fees and non-financial support from Bayer Pharma AG outside the submitted work, grants and non-financial support from Boehringer Ingelheim outside the submitted work, grants and personal fees from BMS/Pfizer outside the submitted work, personal fees from Servier outside the submitted work, personal fees from Astra-Zeneca </w:t>
      </w:r>
      <w:r w:rsidRPr="008872EC">
        <w:rPr>
          <w:rFonts w:ascii="Arial" w:hAnsi="Arial" w:cs="Arial"/>
          <w:u w:color="000000"/>
          <w:lang w:val="en-US"/>
        </w:rPr>
        <w:t>outside the submitted work, and consulting fees from Gilead outside the submitted work. Prof Neubeck has received grants and honoraria from BMS/Pfizer outside the submitted work. All other authors have no competing interests to disclose.</w:t>
      </w:r>
    </w:p>
    <w:p w14:paraId="14C64C08" w14:textId="77777777" w:rsidR="000362D0" w:rsidRPr="008872EC" w:rsidRDefault="000362D0" w:rsidP="006F45B1">
      <w:pPr>
        <w:spacing w:after="0" w:line="480" w:lineRule="auto"/>
        <w:rPr>
          <w:rFonts w:ascii="Arial" w:hAnsi="Arial" w:cs="Arial"/>
          <w:b/>
        </w:rPr>
      </w:pPr>
      <w:r w:rsidRPr="008872EC">
        <w:rPr>
          <w:rFonts w:ascii="Arial" w:hAnsi="Arial" w:cs="Arial"/>
          <w:b/>
        </w:rPr>
        <w:lastRenderedPageBreak/>
        <w:t>FIGURE LEGEND:</w:t>
      </w:r>
    </w:p>
    <w:p w14:paraId="165F7ECA" w14:textId="77777777" w:rsidR="000362D0" w:rsidRPr="008872EC" w:rsidRDefault="000362D0" w:rsidP="006F45B1">
      <w:pPr>
        <w:rPr>
          <w:rFonts w:ascii="Arial" w:hAnsi="Arial" w:cs="Arial"/>
        </w:rPr>
      </w:pPr>
      <w:r w:rsidRPr="008872EC">
        <w:rPr>
          <w:rFonts w:ascii="Arial" w:hAnsi="Arial" w:cs="Arial"/>
        </w:rPr>
        <w:t xml:space="preserve">Figure 1: Study </w:t>
      </w:r>
      <w:r>
        <w:rPr>
          <w:rFonts w:ascii="Arial" w:hAnsi="Arial" w:cs="Arial"/>
        </w:rPr>
        <w:t>s</w:t>
      </w:r>
      <w:r w:rsidRPr="008872EC">
        <w:rPr>
          <w:rFonts w:ascii="Arial" w:hAnsi="Arial" w:cs="Arial"/>
        </w:rPr>
        <w:t>election</w:t>
      </w:r>
    </w:p>
    <w:p w14:paraId="688FC17B" w14:textId="77777777" w:rsidR="000362D0" w:rsidRPr="008872EC" w:rsidRDefault="000362D0" w:rsidP="006F45B1">
      <w:pPr>
        <w:rPr>
          <w:rFonts w:ascii="Arial" w:hAnsi="Arial" w:cs="Arial"/>
        </w:rPr>
      </w:pPr>
      <w:r w:rsidRPr="008872EC">
        <w:rPr>
          <w:rFonts w:ascii="Arial" w:hAnsi="Arial" w:cs="Arial"/>
        </w:rPr>
        <w:t xml:space="preserve">Figure 2: </w:t>
      </w:r>
      <w:r>
        <w:rPr>
          <w:rFonts w:ascii="Arial" w:hAnsi="Arial" w:cs="Arial"/>
        </w:rPr>
        <w:t>Forest-plot of incidence of r</w:t>
      </w:r>
      <w:r w:rsidRPr="008872EC">
        <w:rPr>
          <w:rFonts w:ascii="Arial" w:hAnsi="Arial" w:cs="Arial"/>
        </w:rPr>
        <w:t>ecurren</w:t>
      </w:r>
      <w:r>
        <w:rPr>
          <w:rFonts w:ascii="Arial" w:hAnsi="Arial" w:cs="Arial"/>
        </w:rPr>
        <w:t>t</w:t>
      </w:r>
      <w:r w:rsidRPr="008872EC">
        <w:rPr>
          <w:rFonts w:ascii="Arial" w:hAnsi="Arial" w:cs="Arial"/>
        </w:rPr>
        <w:t xml:space="preserve"> POAF: using intermittent monitoring</w:t>
      </w:r>
    </w:p>
    <w:p w14:paraId="6DFE6B11" w14:textId="77777777" w:rsidR="000362D0" w:rsidRPr="008872EC" w:rsidRDefault="000362D0" w:rsidP="006F45B1">
      <w:pPr>
        <w:rPr>
          <w:rFonts w:ascii="Arial" w:hAnsi="Arial" w:cs="Arial"/>
          <w:b/>
        </w:rPr>
      </w:pPr>
      <w:r w:rsidRPr="008872EC">
        <w:rPr>
          <w:rFonts w:ascii="Arial" w:hAnsi="Arial" w:cs="Arial"/>
        </w:rPr>
        <w:t xml:space="preserve">Figure 3: </w:t>
      </w:r>
      <w:r>
        <w:rPr>
          <w:rFonts w:ascii="Arial" w:hAnsi="Arial" w:cs="Arial"/>
        </w:rPr>
        <w:t>Forest-plot of incidence of n</w:t>
      </w:r>
      <w:r w:rsidRPr="008872EC">
        <w:rPr>
          <w:rFonts w:ascii="Arial" w:hAnsi="Arial" w:cs="Arial"/>
        </w:rPr>
        <w:t>ew onset POAF</w:t>
      </w:r>
    </w:p>
    <w:p w14:paraId="545E4DC8" w14:textId="77777777" w:rsidR="000362D0" w:rsidRPr="00A925B8" w:rsidRDefault="000362D0" w:rsidP="006F45B1">
      <w:pPr>
        <w:rPr>
          <w:rFonts w:ascii="Arial" w:hAnsi="Arial" w:cs="Arial"/>
          <w:b/>
          <w:sz w:val="24"/>
          <w:szCs w:val="24"/>
        </w:rPr>
      </w:pPr>
    </w:p>
    <w:p w14:paraId="40DACCFE" w14:textId="77777777" w:rsidR="000362D0" w:rsidRDefault="000362D0" w:rsidP="006F45B1">
      <w:pPr>
        <w:rPr>
          <w:rFonts w:ascii="Arial" w:hAnsi="Arial" w:cs="Arial"/>
          <w:b/>
          <w:sz w:val="24"/>
          <w:szCs w:val="24"/>
        </w:rPr>
        <w:sectPr w:rsidR="000362D0" w:rsidSect="006F45B1">
          <w:pgSz w:w="11906" w:h="16838"/>
          <w:pgMar w:top="1440" w:right="1440" w:bottom="1440" w:left="1440" w:header="709" w:footer="709" w:gutter="0"/>
          <w:cols w:space="708"/>
          <w:titlePg/>
          <w:docGrid w:linePitch="360"/>
        </w:sectPr>
      </w:pPr>
      <w:r>
        <w:rPr>
          <w:rFonts w:ascii="Arial" w:hAnsi="Arial" w:cs="Arial"/>
          <w:b/>
          <w:sz w:val="24"/>
          <w:szCs w:val="24"/>
        </w:rPr>
        <w:br w:type="page"/>
      </w:r>
    </w:p>
    <w:p w14:paraId="24F71639" w14:textId="77777777" w:rsidR="000362D0" w:rsidRPr="00B634EE" w:rsidRDefault="000362D0" w:rsidP="006F45B1">
      <w:pPr>
        <w:spacing w:after="0" w:line="240" w:lineRule="auto"/>
        <w:rPr>
          <w:rFonts w:ascii="Arial" w:hAnsi="Arial" w:cs="Arial"/>
          <w:b/>
          <w:sz w:val="16"/>
          <w:szCs w:val="16"/>
        </w:rPr>
      </w:pPr>
      <w:r>
        <w:rPr>
          <w:rFonts w:ascii="Arial" w:hAnsi="Arial" w:cs="Arial"/>
          <w:b/>
          <w:sz w:val="24"/>
          <w:szCs w:val="24"/>
        </w:rPr>
        <w:lastRenderedPageBreak/>
        <w:t xml:space="preserve"> </w:t>
      </w:r>
    </w:p>
    <w:tbl>
      <w:tblPr>
        <w:tblW w:w="15608" w:type="dxa"/>
        <w:tblInd w:w="93" w:type="dxa"/>
        <w:tblLayout w:type="fixed"/>
        <w:tblLook w:val="04A0" w:firstRow="1" w:lastRow="0" w:firstColumn="1" w:lastColumn="0" w:noHBand="0" w:noVBand="1"/>
      </w:tblPr>
      <w:tblGrid>
        <w:gridCol w:w="1433"/>
        <w:gridCol w:w="1134"/>
        <w:gridCol w:w="1559"/>
        <w:gridCol w:w="1559"/>
        <w:gridCol w:w="1842"/>
        <w:gridCol w:w="4962"/>
        <w:gridCol w:w="1701"/>
        <w:gridCol w:w="1418"/>
      </w:tblGrid>
      <w:tr w:rsidR="000362D0" w:rsidRPr="00B11E3F" w14:paraId="5E0D2B74" w14:textId="77777777" w:rsidTr="006F45B1">
        <w:trPr>
          <w:trHeight w:val="395"/>
        </w:trPr>
        <w:tc>
          <w:tcPr>
            <w:tcW w:w="4126" w:type="dxa"/>
            <w:gridSpan w:val="3"/>
            <w:tcBorders>
              <w:bottom w:val="single" w:sz="4" w:space="0" w:color="auto"/>
            </w:tcBorders>
            <w:shd w:val="clear" w:color="auto" w:fill="auto"/>
          </w:tcPr>
          <w:p w14:paraId="361C5C67" w14:textId="77777777" w:rsidR="000362D0" w:rsidRPr="00B11E3F" w:rsidRDefault="000362D0" w:rsidP="006F45B1">
            <w:pPr>
              <w:spacing w:after="0" w:line="240" w:lineRule="auto"/>
              <w:rPr>
                <w:rFonts w:ascii="Arial" w:eastAsia="Times New Roman" w:hAnsi="Arial" w:cs="Arial"/>
                <w:b/>
                <w:color w:val="000000"/>
                <w:sz w:val="20"/>
                <w:szCs w:val="20"/>
              </w:rPr>
            </w:pPr>
            <w:r w:rsidRPr="00B11E3F">
              <w:rPr>
                <w:rFonts w:ascii="Arial" w:eastAsia="Times New Roman" w:hAnsi="Arial" w:cs="Arial"/>
                <w:b/>
                <w:color w:val="000000"/>
                <w:sz w:val="20"/>
                <w:szCs w:val="20"/>
              </w:rPr>
              <w:t>Table 1: Study characteristics</w:t>
            </w:r>
          </w:p>
        </w:tc>
        <w:tc>
          <w:tcPr>
            <w:tcW w:w="1559" w:type="dxa"/>
            <w:tcBorders>
              <w:bottom w:val="single" w:sz="4" w:space="0" w:color="auto"/>
            </w:tcBorders>
            <w:shd w:val="clear" w:color="auto" w:fill="auto"/>
          </w:tcPr>
          <w:p w14:paraId="7911B122" w14:textId="77777777" w:rsidR="000362D0" w:rsidRPr="00B11E3F" w:rsidRDefault="000362D0" w:rsidP="006F45B1">
            <w:pPr>
              <w:spacing w:after="0" w:line="240" w:lineRule="auto"/>
              <w:rPr>
                <w:rFonts w:ascii="Arial" w:eastAsia="Times New Roman" w:hAnsi="Arial" w:cs="Arial"/>
                <w:b/>
                <w:color w:val="000000"/>
                <w:sz w:val="20"/>
                <w:szCs w:val="20"/>
              </w:rPr>
            </w:pPr>
          </w:p>
        </w:tc>
        <w:tc>
          <w:tcPr>
            <w:tcW w:w="1842" w:type="dxa"/>
            <w:tcBorders>
              <w:bottom w:val="single" w:sz="4" w:space="0" w:color="auto"/>
            </w:tcBorders>
            <w:shd w:val="clear" w:color="auto" w:fill="auto"/>
          </w:tcPr>
          <w:p w14:paraId="36C55DC3" w14:textId="77777777" w:rsidR="000362D0" w:rsidRPr="00B11E3F" w:rsidRDefault="000362D0" w:rsidP="006F45B1">
            <w:pPr>
              <w:spacing w:after="0" w:line="240" w:lineRule="auto"/>
              <w:rPr>
                <w:rFonts w:ascii="Arial" w:eastAsia="Times New Roman" w:hAnsi="Arial" w:cs="Arial"/>
                <w:b/>
                <w:color w:val="000000"/>
                <w:sz w:val="20"/>
                <w:szCs w:val="20"/>
              </w:rPr>
            </w:pPr>
          </w:p>
        </w:tc>
        <w:tc>
          <w:tcPr>
            <w:tcW w:w="4962" w:type="dxa"/>
            <w:tcBorders>
              <w:bottom w:val="single" w:sz="4" w:space="0" w:color="auto"/>
            </w:tcBorders>
          </w:tcPr>
          <w:p w14:paraId="4CAAD7C8" w14:textId="77777777" w:rsidR="000362D0" w:rsidRPr="00B11E3F" w:rsidRDefault="000362D0" w:rsidP="006F45B1">
            <w:pPr>
              <w:spacing w:after="0" w:line="240" w:lineRule="auto"/>
              <w:rPr>
                <w:rFonts w:ascii="Arial" w:eastAsia="Times New Roman" w:hAnsi="Arial" w:cs="Arial"/>
                <w:b/>
                <w:color w:val="000000"/>
                <w:sz w:val="20"/>
                <w:szCs w:val="20"/>
              </w:rPr>
            </w:pPr>
          </w:p>
        </w:tc>
        <w:tc>
          <w:tcPr>
            <w:tcW w:w="1701" w:type="dxa"/>
            <w:tcBorders>
              <w:bottom w:val="single" w:sz="4" w:space="0" w:color="auto"/>
            </w:tcBorders>
          </w:tcPr>
          <w:p w14:paraId="5124FA9B" w14:textId="77777777" w:rsidR="000362D0" w:rsidRPr="00B11E3F" w:rsidRDefault="000362D0" w:rsidP="006F45B1">
            <w:pPr>
              <w:spacing w:after="0" w:line="240" w:lineRule="auto"/>
              <w:ind w:right="-1526"/>
              <w:rPr>
                <w:rFonts w:ascii="Arial" w:eastAsia="Times New Roman" w:hAnsi="Arial" w:cs="Arial"/>
                <w:b/>
                <w:color w:val="000000"/>
                <w:sz w:val="20"/>
                <w:szCs w:val="20"/>
              </w:rPr>
            </w:pPr>
          </w:p>
        </w:tc>
        <w:tc>
          <w:tcPr>
            <w:tcW w:w="1418" w:type="dxa"/>
            <w:tcBorders>
              <w:bottom w:val="single" w:sz="4" w:space="0" w:color="auto"/>
            </w:tcBorders>
          </w:tcPr>
          <w:p w14:paraId="12AEFC2E" w14:textId="77777777" w:rsidR="000362D0" w:rsidRPr="00B11E3F" w:rsidRDefault="000362D0" w:rsidP="006F45B1">
            <w:pPr>
              <w:spacing w:after="0" w:line="240" w:lineRule="auto"/>
              <w:ind w:right="-1526"/>
              <w:rPr>
                <w:rFonts w:ascii="Arial" w:eastAsia="Times New Roman" w:hAnsi="Arial" w:cs="Arial"/>
                <w:b/>
                <w:color w:val="000000"/>
                <w:sz w:val="20"/>
                <w:szCs w:val="20"/>
              </w:rPr>
            </w:pPr>
          </w:p>
        </w:tc>
      </w:tr>
      <w:tr w:rsidR="000362D0" w:rsidRPr="00B11E3F" w14:paraId="605DFA3A" w14:textId="77777777" w:rsidTr="006F45B1">
        <w:trPr>
          <w:trHeight w:val="532"/>
        </w:trPr>
        <w:tc>
          <w:tcPr>
            <w:tcW w:w="1433" w:type="dxa"/>
            <w:tcBorders>
              <w:top w:val="single" w:sz="4" w:space="0" w:color="auto"/>
              <w:bottom w:val="single" w:sz="4" w:space="0" w:color="auto"/>
            </w:tcBorders>
            <w:shd w:val="clear" w:color="auto" w:fill="B8CCE4" w:themeFill="accent1" w:themeFillTint="66"/>
            <w:hideMark/>
          </w:tcPr>
          <w:p w14:paraId="3A48EA91" w14:textId="77777777" w:rsidR="000362D0" w:rsidRPr="00B11E3F" w:rsidRDefault="000362D0" w:rsidP="006F45B1">
            <w:pPr>
              <w:spacing w:before="60" w:after="0" w:line="240" w:lineRule="auto"/>
              <w:rPr>
                <w:rFonts w:ascii="Arial" w:eastAsia="Times New Roman" w:hAnsi="Arial" w:cs="Arial"/>
                <w:b/>
                <w:color w:val="000000"/>
                <w:sz w:val="20"/>
                <w:szCs w:val="20"/>
              </w:rPr>
            </w:pPr>
            <w:r w:rsidRPr="00B11E3F">
              <w:rPr>
                <w:rFonts w:ascii="Arial" w:eastAsia="Times New Roman" w:hAnsi="Arial" w:cs="Arial"/>
                <w:b/>
                <w:color w:val="000000"/>
                <w:sz w:val="20"/>
                <w:szCs w:val="20"/>
              </w:rPr>
              <w:t>Author; Year</w:t>
            </w:r>
          </w:p>
        </w:tc>
        <w:tc>
          <w:tcPr>
            <w:tcW w:w="1134" w:type="dxa"/>
            <w:tcBorders>
              <w:top w:val="single" w:sz="4" w:space="0" w:color="auto"/>
              <w:bottom w:val="single" w:sz="4" w:space="0" w:color="auto"/>
            </w:tcBorders>
            <w:shd w:val="clear" w:color="auto" w:fill="B8CCE4" w:themeFill="accent1" w:themeFillTint="66"/>
            <w:hideMark/>
          </w:tcPr>
          <w:p w14:paraId="1A5B85F5" w14:textId="77777777" w:rsidR="000362D0" w:rsidRPr="00B11E3F" w:rsidRDefault="000362D0" w:rsidP="006F45B1">
            <w:pPr>
              <w:spacing w:before="60" w:after="0" w:line="240" w:lineRule="auto"/>
              <w:rPr>
                <w:rFonts w:ascii="Arial" w:eastAsia="Times New Roman" w:hAnsi="Arial" w:cs="Arial"/>
                <w:b/>
                <w:color w:val="000000"/>
                <w:sz w:val="20"/>
                <w:szCs w:val="20"/>
              </w:rPr>
            </w:pPr>
            <w:r w:rsidRPr="00B11E3F">
              <w:rPr>
                <w:rFonts w:ascii="Arial" w:eastAsia="Times New Roman" w:hAnsi="Arial" w:cs="Arial"/>
                <w:b/>
                <w:color w:val="000000"/>
                <w:sz w:val="20"/>
                <w:szCs w:val="20"/>
              </w:rPr>
              <w:t>Country</w:t>
            </w:r>
          </w:p>
        </w:tc>
        <w:tc>
          <w:tcPr>
            <w:tcW w:w="1559" w:type="dxa"/>
            <w:tcBorders>
              <w:top w:val="single" w:sz="4" w:space="0" w:color="auto"/>
              <w:bottom w:val="single" w:sz="4" w:space="0" w:color="auto"/>
            </w:tcBorders>
            <w:shd w:val="clear" w:color="auto" w:fill="B8CCE4" w:themeFill="accent1" w:themeFillTint="66"/>
            <w:hideMark/>
          </w:tcPr>
          <w:p w14:paraId="442ED435" w14:textId="77777777" w:rsidR="000362D0" w:rsidRPr="00B11E3F" w:rsidRDefault="000362D0" w:rsidP="006F45B1">
            <w:pPr>
              <w:spacing w:before="60" w:after="0" w:line="240" w:lineRule="auto"/>
              <w:rPr>
                <w:rFonts w:ascii="Arial" w:eastAsia="Times New Roman" w:hAnsi="Arial" w:cs="Arial"/>
                <w:b/>
                <w:color w:val="000000"/>
                <w:sz w:val="20"/>
                <w:szCs w:val="20"/>
              </w:rPr>
            </w:pPr>
            <w:r w:rsidRPr="00B11E3F">
              <w:rPr>
                <w:rFonts w:ascii="Arial" w:eastAsia="Times New Roman" w:hAnsi="Arial" w:cs="Arial"/>
                <w:b/>
                <w:color w:val="000000"/>
                <w:sz w:val="20"/>
                <w:szCs w:val="20"/>
              </w:rPr>
              <w:t>Study design</w:t>
            </w:r>
          </w:p>
        </w:tc>
        <w:tc>
          <w:tcPr>
            <w:tcW w:w="1559" w:type="dxa"/>
            <w:tcBorders>
              <w:top w:val="single" w:sz="4" w:space="0" w:color="auto"/>
              <w:bottom w:val="single" w:sz="4" w:space="0" w:color="auto"/>
            </w:tcBorders>
            <w:shd w:val="clear" w:color="auto" w:fill="B8CCE4" w:themeFill="accent1" w:themeFillTint="66"/>
            <w:hideMark/>
          </w:tcPr>
          <w:p w14:paraId="538FC4AD" w14:textId="77777777" w:rsidR="000362D0" w:rsidRPr="00B11E3F" w:rsidRDefault="000362D0" w:rsidP="006F45B1">
            <w:pPr>
              <w:spacing w:before="60" w:after="0" w:line="240" w:lineRule="auto"/>
              <w:rPr>
                <w:rFonts w:ascii="Arial" w:eastAsia="Times New Roman" w:hAnsi="Arial" w:cs="Arial"/>
                <w:b/>
                <w:color w:val="000000"/>
                <w:sz w:val="20"/>
                <w:szCs w:val="20"/>
              </w:rPr>
            </w:pPr>
            <w:r w:rsidRPr="00B11E3F">
              <w:rPr>
                <w:rFonts w:ascii="Arial" w:eastAsia="Times New Roman" w:hAnsi="Arial" w:cs="Arial"/>
                <w:b/>
                <w:color w:val="000000"/>
                <w:sz w:val="20"/>
                <w:szCs w:val="20"/>
              </w:rPr>
              <w:t>Inclusion criteria</w:t>
            </w:r>
          </w:p>
        </w:tc>
        <w:tc>
          <w:tcPr>
            <w:tcW w:w="1842" w:type="dxa"/>
            <w:tcBorders>
              <w:top w:val="single" w:sz="4" w:space="0" w:color="auto"/>
              <w:bottom w:val="single" w:sz="4" w:space="0" w:color="auto"/>
            </w:tcBorders>
            <w:shd w:val="clear" w:color="auto" w:fill="B8CCE4" w:themeFill="accent1" w:themeFillTint="66"/>
            <w:hideMark/>
          </w:tcPr>
          <w:p w14:paraId="4D790F5E" w14:textId="77777777" w:rsidR="000362D0" w:rsidRPr="00B11E3F" w:rsidRDefault="000362D0" w:rsidP="006F45B1">
            <w:pPr>
              <w:spacing w:before="60" w:after="0" w:line="240" w:lineRule="auto"/>
              <w:rPr>
                <w:rFonts w:ascii="Arial" w:eastAsia="Times New Roman" w:hAnsi="Arial" w:cs="Arial"/>
                <w:b/>
                <w:color w:val="000000"/>
                <w:sz w:val="20"/>
                <w:szCs w:val="20"/>
              </w:rPr>
            </w:pPr>
            <w:r w:rsidRPr="00B11E3F">
              <w:rPr>
                <w:rFonts w:ascii="Arial" w:eastAsia="Times New Roman" w:hAnsi="Arial" w:cs="Arial"/>
                <w:b/>
                <w:color w:val="000000"/>
                <w:sz w:val="20"/>
                <w:szCs w:val="20"/>
              </w:rPr>
              <w:t>Exclusion criteria</w:t>
            </w:r>
          </w:p>
        </w:tc>
        <w:tc>
          <w:tcPr>
            <w:tcW w:w="4962" w:type="dxa"/>
            <w:tcBorders>
              <w:top w:val="single" w:sz="4" w:space="0" w:color="auto"/>
              <w:bottom w:val="single" w:sz="4" w:space="0" w:color="auto"/>
            </w:tcBorders>
            <w:shd w:val="clear" w:color="auto" w:fill="B8CCE4" w:themeFill="accent1" w:themeFillTint="66"/>
          </w:tcPr>
          <w:p w14:paraId="384F5FEB" w14:textId="77777777" w:rsidR="000362D0" w:rsidRPr="00B11E3F" w:rsidRDefault="000362D0" w:rsidP="006F45B1">
            <w:pPr>
              <w:spacing w:before="60" w:after="0" w:line="240" w:lineRule="auto"/>
              <w:rPr>
                <w:rFonts w:ascii="Arial" w:hAnsi="Arial" w:cs="Arial"/>
                <w:b/>
                <w:color w:val="000000"/>
                <w:sz w:val="20"/>
                <w:szCs w:val="20"/>
              </w:rPr>
            </w:pPr>
            <w:r w:rsidRPr="00B11E3F">
              <w:rPr>
                <w:rFonts w:ascii="Arial" w:hAnsi="Arial" w:cs="Arial"/>
                <w:b/>
                <w:color w:val="000000"/>
                <w:sz w:val="20"/>
                <w:szCs w:val="20"/>
              </w:rPr>
              <w:t>Method of monitoring</w:t>
            </w:r>
          </w:p>
        </w:tc>
        <w:tc>
          <w:tcPr>
            <w:tcW w:w="1701" w:type="dxa"/>
            <w:tcBorders>
              <w:top w:val="single" w:sz="4" w:space="0" w:color="auto"/>
              <w:bottom w:val="single" w:sz="4" w:space="0" w:color="auto"/>
            </w:tcBorders>
            <w:shd w:val="clear" w:color="auto" w:fill="B8CCE4" w:themeFill="accent1" w:themeFillTint="66"/>
          </w:tcPr>
          <w:p w14:paraId="581F7AE2" w14:textId="77777777" w:rsidR="000362D0" w:rsidRPr="00B11E3F" w:rsidRDefault="000362D0" w:rsidP="006F45B1">
            <w:pPr>
              <w:spacing w:before="60" w:after="0" w:line="240" w:lineRule="auto"/>
              <w:rPr>
                <w:rFonts w:ascii="Arial" w:hAnsi="Arial" w:cs="Arial"/>
                <w:b/>
                <w:color w:val="000000"/>
                <w:sz w:val="20"/>
                <w:szCs w:val="20"/>
              </w:rPr>
            </w:pPr>
            <w:r w:rsidRPr="00B11E3F">
              <w:rPr>
                <w:rFonts w:ascii="Arial" w:hAnsi="Arial" w:cs="Arial"/>
                <w:b/>
                <w:color w:val="000000"/>
                <w:sz w:val="20"/>
                <w:szCs w:val="20"/>
              </w:rPr>
              <w:t>Time period of monitoring</w:t>
            </w:r>
          </w:p>
        </w:tc>
        <w:tc>
          <w:tcPr>
            <w:tcW w:w="1418" w:type="dxa"/>
            <w:tcBorders>
              <w:top w:val="single" w:sz="4" w:space="0" w:color="auto"/>
              <w:bottom w:val="single" w:sz="4" w:space="0" w:color="auto"/>
            </w:tcBorders>
            <w:shd w:val="clear" w:color="auto" w:fill="B8CCE4" w:themeFill="accent1" w:themeFillTint="66"/>
          </w:tcPr>
          <w:p w14:paraId="4ABA1900" w14:textId="77777777" w:rsidR="000362D0" w:rsidRPr="007C52B3" w:rsidRDefault="000362D0" w:rsidP="006F45B1">
            <w:pPr>
              <w:spacing w:before="60" w:after="0" w:line="240" w:lineRule="auto"/>
              <w:rPr>
                <w:rFonts w:ascii="Arial" w:hAnsi="Arial" w:cs="Arial"/>
                <w:b/>
                <w:sz w:val="20"/>
                <w:szCs w:val="20"/>
              </w:rPr>
            </w:pPr>
            <w:r w:rsidRPr="007C52B3">
              <w:rPr>
                <w:rFonts w:ascii="Arial" w:hAnsi="Arial" w:cs="Arial"/>
                <w:b/>
                <w:sz w:val="20"/>
                <w:szCs w:val="20"/>
              </w:rPr>
              <w:t>AF definition</w:t>
            </w:r>
          </w:p>
        </w:tc>
      </w:tr>
      <w:tr w:rsidR="000362D0" w:rsidRPr="00B11E3F" w14:paraId="7F1F7C9E" w14:textId="77777777" w:rsidTr="006F45B1">
        <w:trPr>
          <w:trHeight w:val="427"/>
        </w:trPr>
        <w:tc>
          <w:tcPr>
            <w:tcW w:w="14190" w:type="dxa"/>
            <w:gridSpan w:val="7"/>
            <w:tcBorders>
              <w:top w:val="single" w:sz="4" w:space="0" w:color="auto"/>
            </w:tcBorders>
            <w:shd w:val="clear" w:color="auto" w:fill="D9D9D9" w:themeFill="background1" w:themeFillShade="D9"/>
            <w:vAlign w:val="center"/>
          </w:tcPr>
          <w:p w14:paraId="10556C1F" w14:textId="77777777" w:rsidR="000362D0" w:rsidRPr="008C2D24" w:rsidRDefault="000362D0" w:rsidP="006F45B1">
            <w:pPr>
              <w:spacing w:after="0" w:line="240" w:lineRule="auto"/>
              <w:rPr>
                <w:rFonts w:ascii="Arial" w:hAnsi="Arial" w:cs="Arial"/>
                <w:b/>
                <w:color w:val="000000"/>
                <w:sz w:val="20"/>
                <w:szCs w:val="20"/>
              </w:rPr>
            </w:pPr>
            <w:r w:rsidRPr="008C2D24">
              <w:rPr>
                <w:rFonts w:ascii="Arial" w:hAnsi="Arial" w:cs="Arial"/>
                <w:b/>
                <w:color w:val="000000"/>
                <w:sz w:val="20"/>
                <w:szCs w:val="20"/>
              </w:rPr>
              <w:t>Intermittent monitoring</w:t>
            </w:r>
          </w:p>
        </w:tc>
        <w:tc>
          <w:tcPr>
            <w:tcW w:w="1418" w:type="dxa"/>
            <w:tcBorders>
              <w:top w:val="single" w:sz="4" w:space="0" w:color="auto"/>
            </w:tcBorders>
            <w:shd w:val="clear" w:color="auto" w:fill="D9D9D9" w:themeFill="background1" w:themeFillShade="D9"/>
          </w:tcPr>
          <w:p w14:paraId="3821AE10" w14:textId="77777777" w:rsidR="000362D0" w:rsidRPr="007C52B3" w:rsidRDefault="000362D0" w:rsidP="006F45B1">
            <w:pPr>
              <w:spacing w:after="0" w:line="240" w:lineRule="auto"/>
              <w:rPr>
                <w:rFonts w:ascii="Arial" w:hAnsi="Arial" w:cs="Arial"/>
                <w:b/>
                <w:sz w:val="20"/>
                <w:szCs w:val="20"/>
              </w:rPr>
            </w:pPr>
          </w:p>
        </w:tc>
      </w:tr>
      <w:tr w:rsidR="000362D0" w:rsidRPr="00B11E3F" w14:paraId="3588B9C8" w14:textId="77777777" w:rsidTr="006F45B1">
        <w:trPr>
          <w:trHeight w:val="1285"/>
        </w:trPr>
        <w:tc>
          <w:tcPr>
            <w:tcW w:w="1433" w:type="dxa"/>
            <w:tcBorders>
              <w:top w:val="single" w:sz="4" w:space="0" w:color="auto"/>
            </w:tcBorders>
            <w:shd w:val="clear" w:color="auto" w:fill="auto"/>
            <w:hideMark/>
          </w:tcPr>
          <w:p w14:paraId="75FCAD4F"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Ambrosetti et al; 2011</w:t>
            </w:r>
          </w:p>
        </w:tc>
        <w:tc>
          <w:tcPr>
            <w:tcW w:w="1134" w:type="dxa"/>
            <w:tcBorders>
              <w:top w:val="single" w:sz="4" w:space="0" w:color="auto"/>
            </w:tcBorders>
            <w:shd w:val="clear" w:color="auto" w:fill="auto"/>
            <w:hideMark/>
          </w:tcPr>
          <w:p w14:paraId="7991AFE6"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Italy</w:t>
            </w:r>
          </w:p>
        </w:tc>
        <w:tc>
          <w:tcPr>
            <w:tcW w:w="1559" w:type="dxa"/>
            <w:tcBorders>
              <w:top w:val="single" w:sz="4" w:space="0" w:color="auto"/>
            </w:tcBorders>
            <w:shd w:val="clear" w:color="auto" w:fill="auto"/>
            <w:hideMark/>
          </w:tcPr>
          <w:p w14:paraId="651602AA"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Prospective registry study</w:t>
            </w:r>
          </w:p>
        </w:tc>
        <w:tc>
          <w:tcPr>
            <w:tcW w:w="1559" w:type="dxa"/>
            <w:tcBorders>
              <w:top w:val="single" w:sz="4" w:space="0" w:color="auto"/>
            </w:tcBorders>
            <w:shd w:val="clear" w:color="auto" w:fill="auto"/>
            <w:hideMark/>
          </w:tcPr>
          <w:p w14:paraId="18711431"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Cardiac surgery; attending cardiac rehabilitation</w:t>
            </w:r>
          </w:p>
        </w:tc>
        <w:tc>
          <w:tcPr>
            <w:tcW w:w="1842" w:type="dxa"/>
            <w:tcBorders>
              <w:top w:val="single" w:sz="4" w:space="0" w:color="auto"/>
            </w:tcBorders>
            <w:shd w:val="clear" w:color="auto" w:fill="auto"/>
            <w:hideMark/>
          </w:tcPr>
          <w:p w14:paraId="45206CE0"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Nil</w:t>
            </w:r>
            <w:r>
              <w:rPr>
                <w:rFonts w:ascii="Arial" w:eastAsia="Times New Roman" w:hAnsi="Arial" w:cs="Arial"/>
                <w:color w:val="000000"/>
                <w:sz w:val="20"/>
                <w:szCs w:val="20"/>
              </w:rPr>
              <w:t xml:space="preserve"> reported</w:t>
            </w:r>
          </w:p>
        </w:tc>
        <w:tc>
          <w:tcPr>
            <w:tcW w:w="4962" w:type="dxa"/>
            <w:tcBorders>
              <w:top w:val="single" w:sz="4" w:space="0" w:color="auto"/>
            </w:tcBorders>
          </w:tcPr>
          <w:p w14:paraId="07FD9563" w14:textId="77777777" w:rsidR="000362D0" w:rsidRPr="00B11E3F" w:rsidRDefault="000362D0" w:rsidP="006F45B1">
            <w:pPr>
              <w:spacing w:after="0" w:line="240" w:lineRule="auto"/>
              <w:rPr>
                <w:rFonts w:ascii="Arial" w:hAnsi="Arial" w:cs="Arial"/>
                <w:color w:val="000000"/>
                <w:sz w:val="20"/>
                <w:szCs w:val="20"/>
              </w:rPr>
            </w:pPr>
            <w:r w:rsidRPr="00B11E3F">
              <w:rPr>
                <w:rFonts w:ascii="Arial" w:hAnsi="Arial" w:cs="Arial"/>
                <w:color w:val="000000"/>
                <w:sz w:val="20"/>
                <w:szCs w:val="20"/>
              </w:rPr>
              <w:t>Monitored during cardiac rehabilitation sessions</w:t>
            </w:r>
          </w:p>
          <w:p w14:paraId="2658996F" w14:textId="77777777" w:rsidR="000362D0" w:rsidRPr="00B11E3F" w:rsidRDefault="000362D0" w:rsidP="006F45B1">
            <w:pPr>
              <w:pStyle w:val="ListParagraph"/>
              <w:numPr>
                <w:ilvl w:val="0"/>
                <w:numId w:val="5"/>
              </w:numPr>
              <w:spacing w:after="0" w:line="240" w:lineRule="auto"/>
              <w:ind w:left="176" w:hanging="142"/>
              <w:rPr>
                <w:rFonts w:ascii="Arial" w:hAnsi="Arial" w:cs="Arial"/>
                <w:color w:val="000000"/>
                <w:sz w:val="20"/>
                <w:szCs w:val="20"/>
              </w:rPr>
            </w:pPr>
            <w:r w:rsidRPr="00B11E3F">
              <w:rPr>
                <w:rFonts w:ascii="Arial" w:hAnsi="Arial" w:cs="Arial"/>
                <w:color w:val="000000"/>
                <w:sz w:val="20"/>
                <w:szCs w:val="20"/>
              </w:rPr>
              <w:t xml:space="preserve">Diagnostic method not standardized between centers; varied according to local protocol and access to continuous monitoring </w:t>
            </w:r>
          </w:p>
        </w:tc>
        <w:tc>
          <w:tcPr>
            <w:tcW w:w="1701" w:type="dxa"/>
            <w:tcBorders>
              <w:top w:val="single" w:sz="4" w:space="0" w:color="auto"/>
            </w:tcBorders>
          </w:tcPr>
          <w:p w14:paraId="30030015" w14:textId="77777777" w:rsidR="000362D0" w:rsidRPr="00B11E3F" w:rsidRDefault="000362D0" w:rsidP="006F45B1">
            <w:pPr>
              <w:rPr>
                <w:rFonts w:ascii="Arial" w:hAnsi="Arial" w:cs="Arial"/>
                <w:color w:val="000000"/>
                <w:sz w:val="20"/>
                <w:szCs w:val="20"/>
              </w:rPr>
            </w:pPr>
            <w:r w:rsidRPr="00B11E3F">
              <w:rPr>
                <w:rFonts w:ascii="Arial" w:hAnsi="Arial" w:cs="Arial"/>
                <w:color w:val="000000"/>
                <w:sz w:val="20"/>
                <w:szCs w:val="20"/>
              </w:rPr>
              <w:t>13±20 days post discharge</w:t>
            </w:r>
          </w:p>
        </w:tc>
        <w:tc>
          <w:tcPr>
            <w:tcW w:w="1418" w:type="dxa"/>
            <w:tcBorders>
              <w:top w:val="single" w:sz="4" w:space="0" w:color="auto"/>
            </w:tcBorders>
          </w:tcPr>
          <w:p w14:paraId="7E26E76A" w14:textId="77777777" w:rsidR="000362D0" w:rsidRPr="007C52B3" w:rsidRDefault="000362D0" w:rsidP="006F45B1">
            <w:pPr>
              <w:rPr>
                <w:rFonts w:ascii="Arial" w:hAnsi="Arial" w:cs="Arial"/>
                <w:sz w:val="20"/>
                <w:szCs w:val="20"/>
              </w:rPr>
            </w:pPr>
            <w:r w:rsidRPr="007C52B3">
              <w:rPr>
                <w:rFonts w:ascii="Arial" w:hAnsi="Arial" w:cs="Arial"/>
                <w:sz w:val="20"/>
                <w:szCs w:val="20"/>
              </w:rPr>
              <w:t xml:space="preserve">Clinically documented </w:t>
            </w:r>
          </w:p>
        </w:tc>
      </w:tr>
      <w:tr w:rsidR="000362D0" w:rsidRPr="00B11E3F" w14:paraId="75AF7211" w14:textId="77777777" w:rsidTr="006F45B1">
        <w:trPr>
          <w:trHeight w:val="1554"/>
        </w:trPr>
        <w:tc>
          <w:tcPr>
            <w:tcW w:w="1433" w:type="dxa"/>
            <w:shd w:val="clear" w:color="auto" w:fill="auto"/>
            <w:hideMark/>
          </w:tcPr>
          <w:p w14:paraId="594BF343"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Cioffi et al; 2000</w:t>
            </w:r>
          </w:p>
        </w:tc>
        <w:tc>
          <w:tcPr>
            <w:tcW w:w="1134" w:type="dxa"/>
            <w:shd w:val="clear" w:color="auto" w:fill="auto"/>
            <w:hideMark/>
          </w:tcPr>
          <w:p w14:paraId="51C047BA"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Italy</w:t>
            </w:r>
          </w:p>
        </w:tc>
        <w:tc>
          <w:tcPr>
            <w:tcW w:w="1559" w:type="dxa"/>
            <w:shd w:val="clear" w:color="auto" w:fill="auto"/>
            <w:hideMark/>
          </w:tcPr>
          <w:p w14:paraId="588C841C"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Randomised controlled trial</w:t>
            </w:r>
          </w:p>
        </w:tc>
        <w:tc>
          <w:tcPr>
            <w:tcW w:w="1559" w:type="dxa"/>
            <w:shd w:val="clear" w:color="auto" w:fill="auto"/>
            <w:hideMark/>
          </w:tcPr>
          <w:p w14:paraId="21B50256"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Cardiac surgery; referred to Rehabilitation Centre</w:t>
            </w:r>
          </w:p>
        </w:tc>
        <w:tc>
          <w:tcPr>
            <w:tcW w:w="1842" w:type="dxa"/>
            <w:shd w:val="clear" w:color="auto" w:fill="auto"/>
            <w:hideMark/>
          </w:tcPr>
          <w:p w14:paraId="382760C1"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Severe postop complications; Amiodarone treatment</w:t>
            </w:r>
          </w:p>
        </w:tc>
        <w:tc>
          <w:tcPr>
            <w:tcW w:w="4962" w:type="dxa"/>
          </w:tcPr>
          <w:p w14:paraId="59B798D7" w14:textId="77777777" w:rsidR="000362D0" w:rsidRPr="00B11E3F" w:rsidRDefault="000362D0" w:rsidP="006F45B1">
            <w:pPr>
              <w:spacing w:after="0" w:line="240" w:lineRule="auto"/>
              <w:ind w:right="34"/>
              <w:rPr>
                <w:rFonts w:ascii="Arial" w:hAnsi="Arial" w:cs="Arial"/>
                <w:color w:val="000000"/>
                <w:sz w:val="20"/>
                <w:szCs w:val="20"/>
              </w:rPr>
            </w:pPr>
            <w:r w:rsidRPr="00B11E3F">
              <w:rPr>
                <w:rFonts w:ascii="Arial" w:hAnsi="Arial" w:cs="Arial"/>
                <w:color w:val="000000"/>
                <w:sz w:val="20"/>
                <w:szCs w:val="20"/>
              </w:rPr>
              <w:t>Monitored during cardiac rehabilitation sessions</w:t>
            </w:r>
          </w:p>
          <w:p w14:paraId="736F49F1" w14:textId="77777777" w:rsidR="000362D0" w:rsidRPr="00B11E3F" w:rsidRDefault="000362D0" w:rsidP="006F45B1">
            <w:pPr>
              <w:pStyle w:val="ListParagraph"/>
              <w:numPr>
                <w:ilvl w:val="0"/>
                <w:numId w:val="3"/>
              </w:numPr>
              <w:spacing w:after="0" w:line="240" w:lineRule="auto"/>
              <w:ind w:left="175" w:right="34" w:hanging="175"/>
              <w:rPr>
                <w:rFonts w:ascii="Arial" w:hAnsi="Arial" w:cs="Arial"/>
                <w:color w:val="000000"/>
                <w:sz w:val="20"/>
                <w:szCs w:val="20"/>
              </w:rPr>
            </w:pPr>
            <w:r w:rsidRPr="00B11E3F">
              <w:rPr>
                <w:rFonts w:ascii="Arial" w:hAnsi="Arial" w:cs="Arial"/>
                <w:color w:val="000000"/>
                <w:sz w:val="20"/>
                <w:szCs w:val="20"/>
              </w:rPr>
              <w:t>One lead telemetry: during twice daily exercise sessions</w:t>
            </w:r>
          </w:p>
          <w:p w14:paraId="0F749A97" w14:textId="77777777" w:rsidR="000362D0" w:rsidRPr="00B11E3F" w:rsidRDefault="000362D0" w:rsidP="006F45B1">
            <w:pPr>
              <w:pStyle w:val="ListParagraph"/>
              <w:numPr>
                <w:ilvl w:val="0"/>
                <w:numId w:val="3"/>
              </w:numPr>
              <w:spacing w:after="0" w:line="240" w:lineRule="auto"/>
              <w:ind w:left="175" w:right="34" w:hanging="175"/>
              <w:rPr>
                <w:rFonts w:ascii="Arial" w:hAnsi="Arial" w:cs="Arial"/>
                <w:color w:val="000000"/>
                <w:sz w:val="20"/>
                <w:szCs w:val="20"/>
              </w:rPr>
            </w:pPr>
            <w:r w:rsidRPr="00B11E3F">
              <w:rPr>
                <w:rFonts w:ascii="Arial" w:hAnsi="Arial" w:cs="Arial"/>
                <w:color w:val="000000"/>
                <w:sz w:val="20"/>
                <w:szCs w:val="20"/>
              </w:rPr>
              <w:t xml:space="preserve">12 lead ECG: weekly </w:t>
            </w:r>
          </w:p>
          <w:p w14:paraId="075B4609" w14:textId="77777777" w:rsidR="000362D0" w:rsidRPr="00B11E3F" w:rsidRDefault="000362D0" w:rsidP="006F45B1">
            <w:pPr>
              <w:pStyle w:val="ListParagraph"/>
              <w:numPr>
                <w:ilvl w:val="0"/>
                <w:numId w:val="3"/>
              </w:numPr>
              <w:spacing w:after="0" w:line="240" w:lineRule="auto"/>
              <w:ind w:left="175" w:right="34" w:hanging="175"/>
              <w:rPr>
                <w:rFonts w:ascii="Arial" w:hAnsi="Arial" w:cs="Arial"/>
                <w:color w:val="000000"/>
                <w:sz w:val="20"/>
                <w:szCs w:val="20"/>
              </w:rPr>
            </w:pPr>
            <w:r w:rsidRPr="00B11E3F">
              <w:rPr>
                <w:rFonts w:ascii="Arial" w:hAnsi="Arial" w:cs="Arial"/>
                <w:color w:val="000000"/>
                <w:sz w:val="20"/>
                <w:szCs w:val="20"/>
              </w:rPr>
              <w:t xml:space="preserve">24 hour Holter: 14 days &amp; 10 months post-surgery </w:t>
            </w:r>
          </w:p>
        </w:tc>
        <w:tc>
          <w:tcPr>
            <w:tcW w:w="1701" w:type="dxa"/>
          </w:tcPr>
          <w:p w14:paraId="539A7D11" w14:textId="77777777" w:rsidR="000362D0" w:rsidRDefault="000362D0" w:rsidP="006F45B1">
            <w:pPr>
              <w:spacing w:after="0" w:line="240" w:lineRule="auto"/>
              <w:rPr>
                <w:rFonts w:ascii="Arial" w:hAnsi="Arial" w:cs="Arial"/>
                <w:color w:val="000000"/>
                <w:sz w:val="20"/>
                <w:szCs w:val="20"/>
              </w:rPr>
            </w:pPr>
            <w:r w:rsidRPr="00B11E3F">
              <w:rPr>
                <w:rFonts w:ascii="Arial" w:hAnsi="Arial" w:cs="Arial"/>
                <w:color w:val="000000"/>
                <w:sz w:val="20"/>
                <w:szCs w:val="20"/>
              </w:rPr>
              <w:t>21±2 days post discharge</w:t>
            </w:r>
          </w:p>
          <w:p w14:paraId="68BCDF0C" w14:textId="77777777" w:rsidR="000362D0" w:rsidRDefault="000362D0" w:rsidP="006F45B1">
            <w:pPr>
              <w:spacing w:after="0" w:line="240" w:lineRule="auto"/>
              <w:rPr>
                <w:rFonts w:ascii="Arial" w:hAnsi="Arial" w:cs="Arial"/>
                <w:color w:val="000000"/>
                <w:sz w:val="20"/>
                <w:szCs w:val="20"/>
              </w:rPr>
            </w:pPr>
          </w:p>
          <w:p w14:paraId="30C5C273" w14:textId="77777777" w:rsidR="000362D0" w:rsidRPr="00B11E3F" w:rsidRDefault="000362D0" w:rsidP="006F45B1">
            <w:pPr>
              <w:spacing w:after="0" w:line="240" w:lineRule="auto"/>
              <w:rPr>
                <w:rFonts w:ascii="Arial" w:hAnsi="Arial" w:cs="Arial"/>
                <w:color w:val="000000"/>
                <w:sz w:val="20"/>
                <w:szCs w:val="20"/>
              </w:rPr>
            </w:pPr>
            <w:r>
              <w:rPr>
                <w:rFonts w:ascii="Arial" w:hAnsi="Arial" w:cs="Arial"/>
                <w:color w:val="000000"/>
                <w:sz w:val="20"/>
                <w:szCs w:val="20"/>
              </w:rPr>
              <w:t>Plus long term review at 10 months</w:t>
            </w:r>
          </w:p>
        </w:tc>
        <w:tc>
          <w:tcPr>
            <w:tcW w:w="1418" w:type="dxa"/>
          </w:tcPr>
          <w:p w14:paraId="2DC18F9E" w14:textId="77777777" w:rsidR="000362D0" w:rsidRPr="007C52B3" w:rsidRDefault="000362D0" w:rsidP="006F45B1">
            <w:pPr>
              <w:spacing w:after="0" w:line="240" w:lineRule="auto"/>
              <w:rPr>
                <w:rFonts w:ascii="Arial" w:hAnsi="Arial" w:cs="Arial"/>
                <w:sz w:val="20"/>
                <w:szCs w:val="20"/>
              </w:rPr>
            </w:pPr>
            <w:r w:rsidRPr="007C52B3">
              <w:rPr>
                <w:rFonts w:ascii="Arial" w:eastAsia="Times New Roman" w:hAnsi="Arial" w:cs="Arial"/>
                <w:sz w:val="20"/>
                <w:szCs w:val="20"/>
              </w:rPr>
              <w:t>Documented AF episodes lasting &gt;2 mins</w:t>
            </w:r>
          </w:p>
        </w:tc>
      </w:tr>
      <w:tr w:rsidR="000362D0" w:rsidRPr="00B11E3F" w14:paraId="1B3FF8DD" w14:textId="77777777" w:rsidTr="006F45B1">
        <w:trPr>
          <w:trHeight w:val="1562"/>
        </w:trPr>
        <w:tc>
          <w:tcPr>
            <w:tcW w:w="1433" w:type="dxa"/>
            <w:shd w:val="clear" w:color="auto" w:fill="auto"/>
            <w:hideMark/>
          </w:tcPr>
          <w:p w14:paraId="66B7F5ED"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Cioffi et al; 2001 (retrospective arm only)</w:t>
            </w:r>
          </w:p>
        </w:tc>
        <w:tc>
          <w:tcPr>
            <w:tcW w:w="1134" w:type="dxa"/>
            <w:shd w:val="clear" w:color="auto" w:fill="auto"/>
            <w:hideMark/>
          </w:tcPr>
          <w:p w14:paraId="3A6279C3"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Italy</w:t>
            </w:r>
          </w:p>
        </w:tc>
        <w:tc>
          <w:tcPr>
            <w:tcW w:w="1559" w:type="dxa"/>
            <w:shd w:val="clear" w:color="auto" w:fill="auto"/>
            <w:hideMark/>
          </w:tcPr>
          <w:p w14:paraId="6EE6008F"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Retrospective analysis</w:t>
            </w:r>
          </w:p>
        </w:tc>
        <w:tc>
          <w:tcPr>
            <w:tcW w:w="1559" w:type="dxa"/>
            <w:shd w:val="clear" w:color="auto" w:fill="auto"/>
            <w:hideMark/>
          </w:tcPr>
          <w:p w14:paraId="08B05C2C"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CABG or valve surgery; referred to Rehabilitation Centre</w:t>
            </w:r>
          </w:p>
        </w:tc>
        <w:tc>
          <w:tcPr>
            <w:tcW w:w="1842" w:type="dxa"/>
            <w:shd w:val="clear" w:color="auto" w:fill="auto"/>
            <w:hideMark/>
          </w:tcPr>
          <w:p w14:paraId="70CCBEF3"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&gt;1/52 in Intensive Care; Amiodarone treatment</w:t>
            </w:r>
          </w:p>
        </w:tc>
        <w:tc>
          <w:tcPr>
            <w:tcW w:w="4962" w:type="dxa"/>
          </w:tcPr>
          <w:p w14:paraId="79C66E9A" w14:textId="77777777" w:rsidR="000362D0" w:rsidRPr="00B11E3F" w:rsidRDefault="000362D0" w:rsidP="006F45B1">
            <w:pPr>
              <w:spacing w:after="0" w:line="240" w:lineRule="auto"/>
              <w:ind w:right="34"/>
              <w:rPr>
                <w:rFonts w:ascii="Arial" w:hAnsi="Arial" w:cs="Arial"/>
                <w:color w:val="000000"/>
                <w:sz w:val="20"/>
                <w:szCs w:val="20"/>
              </w:rPr>
            </w:pPr>
            <w:r w:rsidRPr="00B11E3F">
              <w:rPr>
                <w:rFonts w:ascii="Arial" w:hAnsi="Arial" w:cs="Arial"/>
                <w:color w:val="000000"/>
                <w:sz w:val="20"/>
                <w:szCs w:val="20"/>
              </w:rPr>
              <w:t>Monitored during cardiac rehabilitation sessions</w:t>
            </w:r>
          </w:p>
          <w:p w14:paraId="4C8E13BD" w14:textId="77777777" w:rsidR="000362D0" w:rsidRPr="00B11E3F" w:rsidRDefault="000362D0" w:rsidP="006F45B1">
            <w:pPr>
              <w:pStyle w:val="ListParagraph"/>
              <w:numPr>
                <w:ilvl w:val="0"/>
                <w:numId w:val="3"/>
              </w:numPr>
              <w:spacing w:after="0" w:line="240" w:lineRule="auto"/>
              <w:ind w:left="175" w:right="34" w:hanging="175"/>
              <w:rPr>
                <w:rFonts w:ascii="Arial" w:hAnsi="Arial" w:cs="Arial"/>
                <w:color w:val="000000"/>
                <w:sz w:val="20"/>
                <w:szCs w:val="20"/>
              </w:rPr>
            </w:pPr>
            <w:r w:rsidRPr="00B11E3F">
              <w:rPr>
                <w:rFonts w:ascii="Arial" w:hAnsi="Arial" w:cs="Arial"/>
                <w:color w:val="000000"/>
                <w:sz w:val="20"/>
                <w:szCs w:val="20"/>
              </w:rPr>
              <w:t>One lead telemetry: during twice daily exercise sessions</w:t>
            </w:r>
          </w:p>
          <w:p w14:paraId="01981500" w14:textId="77777777" w:rsidR="000362D0" w:rsidRPr="00B11E3F" w:rsidRDefault="000362D0" w:rsidP="006F45B1">
            <w:pPr>
              <w:pStyle w:val="ListParagraph"/>
              <w:numPr>
                <w:ilvl w:val="0"/>
                <w:numId w:val="3"/>
              </w:numPr>
              <w:spacing w:after="0" w:line="240" w:lineRule="auto"/>
              <w:ind w:left="175" w:right="34" w:hanging="175"/>
              <w:rPr>
                <w:rFonts w:ascii="Arial" w:hAnsi="Arial" w:cs="Arial"/>
                <w:color w:val="000000"/>
                <w:sz w:val="20"/>
                <w:szCs w:val="20"/>
              </w:rPr>
            </w:pPr>
            <w:r w:rsidRPr="00B11E3F">
              <w:rPr>
                <w:rFonts w:ascii="Arial" w:hAnsi="Arial" w:cs="Arial"/>
                <w:color w:val="000000"/>
                <w:sz w:val="20"/>
                <w:szCs w:val="20"/>
              </w:rPr>
              <w:t xml:space="preserve">12 lead ECG: weekly </w:t>
            </w:r>
          </w:p>
          <w:p w14:paraId="426A6496" w14:textId="77777777" w:rsidR="000362D0" w:rsidRPr="00B11E3F" w:rsidRDefault="000362D0" w:rsidP="006F45B1">
            <w:pPr>
              <w:pStyle w:val="ListParagraph"/>
              <w:numPr>
                <w:ilvl w:val="0"/>
                <w:numId w:val="3"/>
              </w:numPr>
              <w:spacing w:after="0" w:line="240" w:lineRule="auto"/>
              <w:ind w:left="175" w:right="34" w:hanging="175"/>
              <w:rPr>
                <w:rFonts w:ascii="Arial" w:hAnsi="Arial" w:cs="Arial"/>
                <w:color w:val="000000"/>
                <w:sz w:val="20"/>
                <w:szCs w:val="20"/>
              </w:rPr>
            </w:pPr>
            <w:r w:rsidRPr="00B11E3F">
              <w:rPr>
                <w:rFonts w:ascii="Arial" w:hAnsi="Arial" w:cs="Arial"/>
                <w:color w:val="000000"/>
                <w:sz w:val="20"/>
                <w:szCs w:val="20"/>
              </w:rPr>
              <w:t>24 hour Holter: 14 days &amp; 10 months post-surgery</w:t>
            </w:r>
          </w:p>
        </w:tc>
        <w:tc>
          <w:tcPr>
            <w:tcW w:w="1701" w:type="dxa"/>
          </w:tcPr>
          <w:p w14:paraId="06A1A231" w14:textId="77777777" w:rsidR="000362D0" w:rsidRDefault="000362D0" w:rsidP="006F45B1">
            <w:pPr>
              <w:spacing w:after="0" w:line="240" w:lineRule="auto"/>
              <w:rPr>
                <w:rFonts w:ascii="Arial" w:hAnsi="Arial" w:cs="Arial"/>
                <w:color w:val="000000"/>
                <w:sz w:val="20"/>
                <w:szCs w:val="20"/>
              </w:rPr>
            </w:pPr>
            <w:r w:rsidRPr="00B11E3F">
              <w:rPr>
                <w:rFonts w:ascii="Arial" w:hAnsi="Arial" w:cs="Arial"/>
                <w:color w:val="000000"/>
                <w:sz w:val="20"/>
                <w:szCs w:val="20"/>
              </w:rPr>
              <w:t>21±4 days post discharge</w:t>
            </w:r>
          </w:p>
          <w:p w14:paraId="01D7ECA0" w14:textId="77777777" w:rsidR="000362D0" w:rsidRDefault="000362D0" w:rsidP="006F45B1">
            <w:pPr>
              <w:spacing w:after="0" w:line="240" w:lineRule="auto"/>
              <w:rPr>
                <w:rFonts w:ascii="Arial" w:hAnsi="Arial" w:cs="Arial"/>
                <w:color w:val="000000"/>
                <w:sz w:val="20"/>
                <w:szCs w:val="20"/>
              </w:rPr>
            </w:pPr>
          </w:p>
          <w:p w14:paraId="539D59CA" w14:textId="77777777" w:rsidR="000362D0" w:rsidRPr="00B11E3F" w:rsidRDefault="000362D0" w:rsidP="006F45B1">
            <w:pPr>
              <w:spacing w:after="0" w:line="240" w:lineRule="auto"/>
              <w:rPr>
                <w:rFonts w:ascii="Arial" w:hAnsi="Arial" w:cs="Arial"/>
                <w:color w:val="000000"/>
                <w:sz w:val="20"/>
                <w:szCs w:val="20"/>
              </w:rPr>
            </w:pPr>
            <w:r>
              <w:rPr>
                <w:rFonts w:ascii="Arial" w:hAnsi="Arial" w:cs="Arial"/>
                <w:color w:val="000000"/>
                <w:sz w:val="20"/>
                <w:szCs w:val="20"/>
              </w:rPr>
              <w:t>Plus long term review at 10 months</w:t>
            </w:r>
          </w:p>
        </w:tc>
        <w:tc>
          <w:tcPr>
            <w:tcW w:w="1418" w:type="dxa"/>
          </w:tcPr>
          <w:p w14:paraId="568A85E8" w14:textId="77777777" w:rsidR="000362D0" w:rsidRPr="007C52B3" w:rsidRDefault="000362D0" w:rsidP="006F45B1">
            <w:pPr>
              <w:spacing w:after="0" w:line="240" w:lineRule="auto"/>
              <w:rPr>
                <w:rFonts w:ascii="Arial" w:hAnsi="Arial" w:cs="Arial"/>
                <w:sz w:val="20"/>
                <w:szCs w:val="20"/>
              </w:rPr>
            </w:pPr>
            <w:r w:rsidRPr="007C52B3">
              <w:rPr>
                <w:rFonts w:ascii="Arial" w:eastAsia="Times New Roman" w:hAnsi="Arial" w:cs="Arial"/>
                <w:sz w:val="20"/>
                <w:szCs w:val="20"/>
              </w:rPr>
              <w:t>Documented AF episodes lasting &gt;2 mins</w:t>
            </w:r>
          </w:p>
        </w:tc>
      </w:tr>
      <w:tr w:rsidR="000362D0" w:rsidRPr="00B11E3F" w14:paraId="7171CFA8" w14:textId="77777777" w:rsidTr="006F45B1">
        <w:trPr>
          <w:trHeight w:val="1130"/>
        </w:trPr>
        <w:tc>
          <w:tcPr>
            <w:tcW w:w="1433" w:type="dxa"/>
            <w:shd w:val="clear" w:color="auto" w:fill="auto"/>
            <w:hideMark/>
          </w:tcPr>
          <w:p w14:paraId="003AF920"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Funk et al; 2003</w:t>
            </w:r>
          </w:p>
        </w:tc>
        <w:tc>
          <w:tcPr>
            <w:tcW w:w="1134" w:type="dxa"/>
            <w:shd w:val="clear" w:color="auto" w:fill="auto"/>
            <w:hideMark/>
          </w:tcPr>
          <w:p w14:paraId="7173F4FF"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USA</w:t>
            </w:r>
          </w:p>
        </w:tc>
        <w:tc>
          <w:tcPr>
            <w:tcW w:w="1559" w:type="dxa"/>
            <w:shd w:val="clear" w:color="auto" w:fill="auto"/>
            <w:hideMark/>
          </w:tcPr>
          <w:p w14:paraId="088AD992"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Prospective longitudinal</w:t>
            </w:r>
          </w:p>
        </w:tc>
        <w:tc>
          <w:tcPr>
            <w:tcW w:w="1559" w:type="dxa"/>
            <w:shd w:val="clear" w:color="auto" w:fill="auto"/>
            <w:hideMark/>
          </w:tcPr>
          <w:p w14:paraId="51C96C5C"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CABG ± valve surgery</w:t>
            </w:r>
          </w:p>
        </w:tc>
        <w:tc>
          <w:tcPr>
            <w:tcW w:w="1842" w:type="dxa"/>
            <w:shd w:val="clear" w:color="auto" w:fill="auto"/>
            <w:hideMark/>
          </w:tcPr>
          <w:p w14:paraId="374EF9B6"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 xml:space="preserve">Post-operative stay &gt;2/52; communication barrier </w:t>
            </w:r>
          </w:p>
        </w:tc>
        <w:tc>
          <w:tcPr>
            <w:tcW w:w="4962" w:type="dxa"/>
          </w:tcPr>
          <w:p w14:paraId="6BCE915B" w14:textId="77777777" w:rsidR="000362D0" w:rsidRPr="00B11E3F" w:rsidRDefault="000362D0" w:rsidP="006F45B1">
            <w:pPr>
              <w:spacing w:after="0" w:line="240" w:lineRule="auto"/>
              <w:rPr>
                <w:rFonts w:ascii="Arial" w:hAnsi="Arial" w:cs="Arial"/>
                <w:color w:val="000000"/>
                <w:sz w:val="20"/>
                <w:szCs w:val="20"/>
              </w:rPr>
            </w:pPr>
            <w:r>
              <w:rPr>
                <w:rFonts w:ascii="Arial" w:hAnsi="Arial" w:cs="Arial"/>
                <w:color w:val="000000"/>
                <w:sz w:val="20"/>
                <w:szCs w:val="20"/>
              </w:rPr>
              <w:t>20 second ECG o</w:t>
            </w:r>
            <w:r w:rsidRPr="00B11E3F">
              <w:rPr>
                <w:rFonts w:ascii="Arial" w:hAnsi="Arial" w:cs="Arial"/>
                <w:color w:val="000000"/>
                <w:sz w:val="20"/>
                <w:szCs w:val="20"/>
              </w:rPr>
              <w:t>nce daily, plus extra if symptoms detected</w:t>
            </w:r>
          </w:p>
          <w:p w14:paraId="6EAB52E2" w14:textId="77777777" w:rsidR="000362D0" w:rsidRPr="00B11E3F" w:rsidRDefault="000362D0" w:rsidP="006F45B1">
            <w:pPr>
              <w:pStyle w:val="ListParagraph"/>
              <w:numPr>
                <w:ilvl w:val="0"/>
                <w:numId w:val="6"/>
              </w:numPr>
              <w:spacing w:after="0" w:line="240" w:lineRule="auto"/>
              <w:ind w:left="176" w:hanging="176"/>
              <w:rPr>
                <w:rFonts w:ascii="Arial" w:hAnsi="Arial" w:cs="Arial"/>
                <w:color w:val="000000"/>
                <w:sz w:val="20"/>
                <w:szCs w:val="20"/>
              </w:rPr>
            </w:pPr>
            <w:r w:rsidRPr="00B11E3F">
              <w:rPr>
                <w:rFonts w:ascii="Arial" w:hAnsi="Arial" w:cs="Arial"/>
                <w:color w:val="000000"/>
                <w:sz w:val="20"/>
                <w:szCs w:val="20"/>
              </w:rPr>
              <w:t>Wearable cardiac event recorder (King of Hearts Express recorder, Instromedix)</w:t>
            </w:r>
          </w:p>
        </w:tc>
        <w:tc>
          <w:tcPr>
            <w:tcW w:w="1701" w:type="dxa"/>
          </w:tcPr>
          <w:p w14:paraId="3D9787A3" w14:textId="77777777" w:rsidR="000362D0" w:rsidRPr="00B11E3F" w:rsidRDefault="000362D0" w:rsidP="006F45B1">
            <w:pPr>
              <w:rPr>
                <w:rFonts w:ascii="Arial" w:hAnsi="Arial" w:cs="Arial"/>
                <w:color w:val="000000"/>
                <w:sz w:val="20"/>
                <w:szCs w:val="20"/>
              </w:rPr>
            </w:pPr>
            <w:r w:rsidRPr="00B11E3F">
              <w:rPr>
                <w:rFonts w:ascii="Arial" w:hAnsi="Arial" w:cs="Arial"/>
                <w:color w:val="000000"/>
                <w:sz w:val="20"/>
                <w:szCs w:val="20"/>
              </w:rPr>
              <w:t>2 weeks post discharge</w:t>
            </w:r>
          </w:p>
        </w:tc>
        <w:tc>
          <w:tcPr>
            <w:tcW w:w="1418" w:type="dxa"/>
          </w:tcPr>
          <w:p w14:paraId="793B4277" w14:textId="77777777" w:rsidR="000362D0" w:rsidRPr="007C52B3" w:rsidRDefault="000362D0" w:rsidP="006F45B1">
            <w:pPr>
              <w:rPr>
                <w:rFonts w:ascii="Arial" w:hAnsi="Arial" w:cs="Arial"/>
                <w:sz w:val="20"/>
                <w:szCs w:val="20"/>
              </w:rPr>
            </w:pPr>
            <w:r w:rsidRPr="007C52B3">
              <w:rPr>
                <w:rFonts w:ascii="Arial" w:hAnsi="Arial" w:cs="Arial"/>
                <w:sz w:val="20"/>
                <w:szCs w:val="20"/>
              </w:rPr>
              <w:t>Not defined</w:t>
            </w:r>
          </w:p>
        </w:tc>
      </w:tr>
      <w:tr w:rsidR="000362D0" w:rsidRPr="00B11E3F" w14:paraId="215B19EA" w14:textId="77777777" w:rsidTr="006F45B1">
        <w:trPr>
          <w:trHeight w:val="1556"/>
        </w:trPr>
        <w:tc>
          <w:tcPr>
            <w:tcW w:w="1433" w:type="dxa"/>
            <w:shd w:val="clear" w:color="auto" w:fill="auto"/>
            <w:hideMark/>
          </w:tcPr>
          <w:p w14:paraId="363846C2"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Giaccardi et al; 2011</w:t>
            </w:r>
          </w:p>
        </w:tc>
        <w:tc>
          <w:tcPr>
            <w:tcW w:w="1134" w:type="dxa"/>
            <w:shd w:val="clear" w:color="auto" w:fill="auto"/>
            <w:hideMark/>
          </w:tcPr>
          <w:p w14:paraId="27FF5B84"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Italy</w:t>
            </w:r>
          </w:p>
        </w:tc>
        <w:tc>
          <w:tcPr>
            <w:tcW w:w="1559" w:type="dxa"/>
            <w:shd w:val="clear" w:color="auto" w:fill="auto"/>
            <w:hideMark/>
          </w:tcPr>
          <w:p w14:paraId="0A66A508"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Prospective cohort</w:t>
            </w:r>
          </w:p>
        </w:tc>
        <w:tc>
          <w:tcPr>
            <w:tcW w:w="1559" w:type="dxa"/>
            <w:shd w:val="clear" w:color="auto" w:fill="auto"/>
            <w:hideMark/>
          </w:tcPr>
          <w:p w14:paraId="1ED5E1B9"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Isolated CABG; ≥65 yrs; attending cardiac rehabilitation</w:t>
            </w:r>
          </w:p>
        </w:tc>
        <w:tc>
          <w:tcPr>
            <w:tcW w:w="1842" w:type="dxa"/>
            <w:shd w:val="clear" w:color="auto" w:fill="auto"/>
            <w:hideMark/>
          </w:tcPr>
          <w:p w14:paraId="0E414A6E"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Cognitive or physical activity impairment; sleep apnoea; previous cardiothoracic surgery</w:t>
            </w:r>
          </w:p>
        </w:tc>
        <w:tc>
          <w:tcPr>
            <w:tcW w:w="4962" w:type="dxa"/>
          </w:tcPr>
          <w:p w14:paraId="79D117BA" w14:textId="77777777" w:rsidR="000362D0" w:rsidRPr="00B11E3F" w:rsidRDefault="000362D0" w:rsidP="006F45B1">
            <w:pPr>
              <w:spacing w:after="0" w:line="240" w:lineRule="auto"/>
              <w:rPr>
                <w:rFonts w:ascii="Arial" w:hAnsi="Arial" w:cs="Arial"/>
                <w:color w:val="000000"/>
                <w:sz w:val="20"/>
                <w:szCs w:val="20"/>
              </w:rPr>
            </w:pPr>
            <w:r w:rsidRPr="00B11E3F">
              <w:rPr>
                <w:rFonts w:ascii="Arial" w:hAnsi="Arial" w:cs="Arial"/>
                <w:color w:val="000000"/>
                <w:sz w:val="20"/>
                <w:szCs w:val="20"/>
              </w:rPr>
              <w:t xml:space="preserve">Monitored 24 hours per day for the duration of cardiac rehabilitation </w:t>
            </w:r>
          </w:p>
          <w:p w14:paraId="65883C7E" w14:textId="77777777" w:rsidR="000362D0" w:rsidRPr="00B11E3F" w:rsidRDefault="000362D0" w:rsidP="006F45B1">
            <w:pPr>
              <w:pStyle w:val="ListParagraph"/>
              <w:numPr>
                <w:ilvl w:val="0"/>
                <w:numId w:val="4"/>
              </w:numPr>
              <w:spacing w:after="0" w:line="240" w:lineRule="auto"/>
              <w:ind w:left="175" w:hanging="175"/>
              <w:rPr>
                <w:rFonts w:ascii="Arial" w:hAnsi="Arial" w:cs="Arial"/>
                <w:color w:val="000000"/>
                <w:sz w:val="20"/>
                <w:szCs w:val="20"/>
              </w:rPr>
            </w:pPr>
            <w:r w:rsidRPr="00B11E3F">
              <w:rPr>
                <w:rFonts w:ascii="Arial" w:hAnsi="Arial" w:cs="Arial"/>
                <w:color w:val="000000"/>
                <w:sz w:val="20"/>
                <w:szCs w:val="20"/>
              </w:rPr>
              <w:t>Electrocardiogram telemetry</w:t>
            </w:r>
          </w:p>
        </w:tc>
        <w:tc>
          <w:tcPr>
            <w:tcW w:w="1701" w:type="dxa"/>
          </w:tcPr>
          <w:p w14:paraId="3685ACC7" w14:textId="77777777" w:rsidR="000362D0" w:rsidRPr="00B11E3F" w:rsidRDefault="000362D0" w:rsidP="006F45B1">
            <w:pPr>
              <w:rPr>
                <w:rFonts w:ascii="Arial" w:hAnsi="Arial" w:cs="Arial"/>
                <w:color w:val="000000"/>
                <w:sz w:val="20"/>
                <w:szCs w:val="20"/>
              </w:rPr>
            </w:pPr>
            <w:r w:rsidRPr="00B11E3F">
              <w:rPr>
                <w:rFonts w:ascii="Arial" w:hAnsi="Arial" w:cs="Arial"/>
                <w:color w:val="000000"/>
                <w:sz w:val="20"/>
                <w:szCs w:val="20"/>
              </w:rPr>
              <w:t>3 weeks post discharge</w:t>
            </w:r>
          </w:p>
        </w:tc>
        <w:tc>
          <w:tcPr>
            <w:tcW w:w="1418" w:type="dxa"/>
          </w:tcPr>
          <w:p w14:paraId="41422390" w14:textId="77777777" w:rsidR="000362D0" w:rsidRPr="007C52B3" w:rsidRDefault="000362D0" w:rsidP="006F45B1">
            <w:pPr>
              <w:rPr>
                <w:rFonts w:ascii="Arial" w:hAnsi="Arial" w:cs="Arial"/>
                <w:sz w:val="20"/>
                <w:szCs w:val="20"/>
              </w:rPr>
            </w:pPr>
            <w:r w:rsidRPr="007C52B3">
              <w:rPr>
                <w:rFonts w:ascii="Arial" w:eastAsia="Times New Roman" w:hAnsi="Arial" w:cs="Arial"/>
                <w:sz w:val="20"/>
                <w:szCs w:val="20"/>
              </w:rPr>
              <w:t>Standard ECG criteria</w:t>
            </w:r>
          </w:p>
        </w:tc>
      </w:tr>
      <w:tr w:rsidR="000362D0" w:rsidRPr="00B11E3F" w14:paraId="075B65EA" w14:textId="77777777" w:rsidTr="006F45B1">
        <w:trPr>
          <w:trHeight w:val="842"/>
        </w:trPr>
        <w:tc>
          <w:tcPr>
            <w:tcW w:w="1433" w:type="dxa"/>
            <w:tcBorders>
              <w:bottom w:val="single" w:sz="4" w:space="0" w:color="auto"/>
            </w:tcBorders>
            <w:shd w:val="clear" w:color="auto" w:fill="auto"/>
          </w:tcPr>
          <w:p w14:paraId="3EFDEE3D"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Lowres et al; 2015</w:t>
            </w:r>
          </w:p>
        </w:tc>
        <w:tc>
          <w:tcPr>
            <w:tcW w:w="1134" w:type="dxa"/>
            <w:tcBorders>
              <w:bottom w:val="single" w:sz="4" w:space="0" w:color="auto"/>
            </w:tcBorders>
            <w:shd w:val="clear" w:color="auto" w:fill="auto"/>
          </w:tcPr>
          <w:p w14:paraId="2EA977E6"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Australia</w:t>
            </w:r>
          </w:p>
        </w:tc>
        <w:tc>
          <w:tcPr>
            <w:tcW w:w="1559" w:type="dxa"/>
            <w:tcBorders>
              <w:bottom w:val="single" w:sz="4" w:space="0" w:color="auto"/>
            </w:tcBorders>
            <w:shd w:val="clear" w:color="auto" w:fill="auto"/>
          </w:tcPr>
          <w:p w14:paraId="36696EF3"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Prospective cohort</w:t>
            </w:r>
          </w:p>
        </w:tc>
        <w:tc>
          <w:tcPr>
            <w:tcW w:w="1559" w:type="dxa"/>
            <w:tcBorders>
              <w:bottom w:val="single" w:sz="4" w:space="0" w:color="auto"/>
            </w:tcBorders>
            <w:shd w:val="clear" w:color="auto" w:fill="auto"/>
          </w:tcPr>
          <w:p w14:paraId="05D22331"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Cardiac surgery</w:t>
            </w:r>
          </w:p>
        </w:tc>
        <w:tc>
          <w:tcPr>
            <w:tcW w:w="1842" w:type="dxa"/>
            <w:tcBorders>
              <w:bottom w:val="single" w:sz="4" w:space="0" w:color="auto"/>
            </w:tcBorders>
            <w:shd w:val="clear" w:color="auto" w:fill="auto"/>
          </w:tcPr>
          <w:p w14:paraId="699CCA24"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Communication barrier</w:t>
            </w:r>
          </w:p>
        </w:tc>
        <w:tc>
          <w:tcPr>
            <w:tcW w:w="4962" w:type="dxa"/>
            <w:tcBorders>
              <w:bottom w:val="single" w:sz="4" w:space="0" w:color="auto"/>
            </w:tcBorders>
          </w:tcPr>
          <w:p w14:paraId="3F03C1E3" w14:textId="77777777" w:rsidR="000362D0" w:rsidRPr="00B11E3F" w:rsidRDefault="000362D0" w:rsidP="006F45B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30 second ECG</w:t>
            </w:r>
            <w:r w:rsidRPr="00B11E3F">
              <w:rPr>
                <w:rFonts w:ascii="Arial" w:eastAsia="Times New Roman" w:hAnsi="Arial" w:cs="Arial"/>
                <w:color w:val="000000"/>
                <w:sz w:val="20"/>
                <w:szCs w:val="20"/>
              </w:rPr>
              <w:t xml:space="preserve"> 3-4 x day, </w:t>
            </w:r>
            <w:r w:rsidRPr="00B11E3F">
              <w:rPr>
                <w:rFonts w:ascii="Arial" w:hAnsi="Arial" w:cs="Arial"/>
                <w:color w:val="000000"/>
                <w:sz w:val="20"/>
                <w:szCs w:val="20"/>
              </w:rPr>
              <w:t>plus extra if symptoms detected</w:t>
            </w:r>
          </w:p>
          <w:p w14:paraId="0E31F025" w14:textId="77777777" w:rsidR="000362D0" w:rsidRPr="00750D4A" w:rsidRDefault="000362D0" w:rsidP="006F45B1">
            <w:pPr>
              <w:pStyle w:val="ListParagraph"/>
              <w:numPr>
                <w:ilvl w:val="0"/>
                <w:numId w:val="4"/>
              </w:numPr>
              <w:spacing w:after="0" w:line="240" w:lineRule="auto"/>
              <w:ind w:left="177" w:hanging="219"/>
              <w:rPr>
                <w:rFonts w:ascii="Arial" w:hAnsi="Arial" w:cs="Arial"/>
                <w:color w:val="000000"/>
                <w:sz w:val="20"/>
                <w:szCs w:val="20"/>
              </w:rPr>
            </w:pPr>
            <w:r w:rsidRPr="00750D4A">
              <w:rPr>
                <w:rFonts w:ascii="Arial" w:eastAsia="Times New Roman" w:hAnsi="Arial" w:cs="Arial"/>
                <w:color w:val="000000"/>
                <w:sz w:val="20"/>
                <w:szCs w:val="20"/>
              </w:rPr>
              <w:t>Handheld single lead ECG (AliveCor Heart monitor)</w:t>
            </w:r>
          </w:p>
        </w:tc>
        <w:tc>
          <w:tcPr>
            <w:tcW w:w="1701" w:type="dxa"/>
            <w:tcBorders>
              <w:bottom w:val="single" w:sz="4" w:space="0" w:color="auto"/>
            </w:tcBorders>
          </w:tcPr>
          <w:p w14:paraId="2CD66447" w14:textId="77777777" w:rsidR="000362D0" w:rsidRPr="00B11E3F" w:rsidRDefault="000362D0" w:rsidP="006F45B1">
            <w:pPr>
              <w:spacing w:after="0" w:line="240" w:lineRule="auto"/>
              <w:rPr>
                <w:rFonts w:ascii="Arial" w:hAnsi="Arial" w:cs="Arial"/>
                <w:color w:val="000000"/>
                <w:sz w:val="20"/>
                <w:szCs w:val="20"/>
              </w:rPr>
            </w:pPr>
            <w:r w:rsidRPr="00B11E3F">
              <w:rPr>
                <w:rFonts w:ascii="Arial" w:eastAsiaTheme="minorEastAsia" w:hAnsi="Arial" w:cs="Arial"/>
                <w:sz w:val="20"/>
                <w:szCs w:val="20"/>
                <w:lang w:eastAsia="en-AU"/>
              </w:rPr>
              <w:t>29</w:t>
            </w:r>
            <w:r w:rsidRPr="00B11E3F">
              <w:rPr>
                <w:rFonts w:ascii="Arial" w:hAnsi="Arial" w:cs="Arial"/>
                <w:sz w:val="20"/>
                <w:szCs w:val="20"/>
              </w:rPr>
              <w:t>±</w:t>
            </w:r>
            <w:r w:rsidRPr="00B11E3F">
              <w:rPr>
                <w:rFonts w:ascii="Arial" w:eastAsiaTheme="minorEastAsia" w:hAnsi="Arial" w:cs="Arial"/>
                <w:sz w:val="20"/>
                <w:szCs w:val="20"/>
                <w:lang w:eastAsia="en-AU"/>
              </w:rPr>
              <w:t>5 days</w:t>
            </w:r>
            <w:r>
              <w:rPr>
                <w:rFonts w:ascii="Arial" w:eastAsiaTheme="minorEastAsia" w:hAnsi="Arial" w:cs="Arial"/>
                <w:sz w:val="20"/>
                <w:szCs w:val="20"/>
                <w:lang w:eastAsia="en-AU"/>
              </w:rPr>
              <w:t xml:space="preserve"> post discharge</w:t>
            </w:r>
          </w:p>
        </w:tc>
        <w:tc>
          <w:tcPr>
            <w:tcW w:w="1418" w:type="dxa"/>
            <w:tcBorders>
              <w:bottom w:val="single" w:sz="4" w:space="0" w:color="auto"/>
            </w:tcBorders>
          </w:tcPr>
          <w:p w14:paraId="37D1D168" w14:textId="77777777" w:rsidR="000362D0" w:rsidRPr="007C52B3" w:rsidRDefault="000362D0" w:rsidP="006F45B1">
            <w:pPr>
              <w:spacing w:after="0" w:line="240" w:lineRule="auto"/>
              <w:rPr>
                <w:rFonts w:ascii="Arial" w:eastAsiaTheme="minorEastAsia" w:hAnsi="Arial" w:cs="Arial"/>
                <w:sz w:val="20"/>
                <w:szCs w:val="20"/>
                <w:lang w:eastAsia="en-AU"/>
              </w:rPr>
            </w:pPr>
            <w:r w:rsidRPr="007C52B3">
              <w:rPr>
                <w:rFonts w:ascii="Arial" w:eastAsia="Times New Roman" w:hAnsi="Arial" w:cs="Arial"/>
                <w:sz w:val="20"/>
                <w:szCs w:val="20"/>
              </w:rPr>
              <w:t>30 second rhythm strip</w:t>
            </w:r>
          </w:p>
        </w:tc>
      </w:tr>
      <w:tr w:rsidR="000362D0" w:rsidRPr="00B11E3F" w14:paraId="3F561BD9" w14:textId="77777777" w:rsidTr="006F45B1">
        <w:trPr>
          <w:trHeight w:val="451"/>
        </w:trPr>
        <w:tc>
          <w:tcPr>
            <w:tcW w:w="14190" w:type="dxa"/>
            <w:gridSpan w:val="7"/>
            <w:tcBorders>
              <w:top w:val="single" w:sz="4" w:space="0" w:color="auto"/>
              <w:bottom w:val="single" w:sz="4" w:space="0" w:color="auto"/>
            </w:tcBorders>
            <w:shd w:val="clear" w:color="auto" w:fill="D9D9D9" w:themeFill="background1" w:themeFillShade="D9"/>
            <w:vAlign w:val="center"/>
          </w:tcPr>
          <w:p w14:paraId="58618165" w14:textId="77777777" w:rsidR="000362D0" w:rsidRPr="00B11E3F" w:rsidRDefault="000362D0" w:rsidP="006F45B1">
            <w:pPr>
              <w:spacing w:after="0" w:line="240" w:lineRule="auto"/>
              <w:rPr>
                <w:rFonts w:ascii="Arial" w:hAnsi="Arial" w:cs="Arial"/>
                <w:color w:val="000000"/>
                <w:sz w:val="20"/>
                <w:szCs w:val="20"/>
              </w:rPr>
            </w:pPr>
            <w:r>
              <w:rPr>
                <w:rFonts w:ascii="Arial" w:hAnsi="Arial" w:cs="Arial"/>
                <w:b/>
                <w:color w:val="000000"/>
                <w:sz w:val="20"/>
                <w:szCs w:val="20"/>
              </w:rPr>
              <w:t xml:space="preserve">Implanted cardiac </w:t>
            </w:r>
            <w:r w:rsidRPr="008C2D24">
              <w:rPr>
                <w:rFonts w:ascii="Arial" w:hAnsi="Arial" w:cs="Arial"/>
                <w:b/>
                <w:color w:val="000000"/>
                <w:sz w:val="20"/>
                <w:szCs w:val="20"/>
              </w:rPr>
              <w:t>monitoring</w:t>
            </w:r>
          </w:p>
        </w:tc>
        <w:tc>
          <w:tcPr>
            <w:tcW w:w="1418" w:type="dxa"/>
            <w:tcBorders>
              <w:top w:val="single" w:sz="4" w:space="0" w:color="auto"/>
              <w:bottom w:val="single" w:sz="4" w:space="0" w:color="auto"/>
            </w:tcBorders>
            <w:shd w:val="clear" w:color="auto" w:fill="D9D9D9" w:themeFill="background1" w:themeFillShade="D9"/>
          </w:tcPr>
          <w:p w14:paraId="2FADF328" w14:textId="77777777" w:rsidR="000362D0" w:rsidRDefault="000362D0" w:rsidP="006F45B1">
            <w:pPr>
              <w:spacing w:after="0" w:line="240" w:lineRule="auto"/>
              <w:rPr>
                <w:rFonts w:ascii="Arial" w:hAnsi="Arial" w:cs="Arial"/>
                <w:b/>
                <w:color w:val="000000"/>
                <w:sz w:val="20"/>
                <w:szCs w:val="20"/>
              </w:rPr>
            </w:pPr>
          </w:p>
        </w:tc>
      </w:tr>
      <w:tr w:rsidR="000362D0" w:rsidRPr="00B11E3F" w14:paraId="46ABCB2B" w14:textId="77777777" w:rsidTr="006F45B1">
        <w:trPr>
          <w:trHeight w:val="1564"/>
        </w:trPr>
        <w:tc>
          <w:tcPr>
            <w:tcW w:w="1433" w:type="dxa"/>
            <w:tcBorders>
              <w:top w:val="single" w:sz="4" w:space="0" w:color="auto"/>
            </w:tcBorders>
            <w:shd w:val="clear" w:color="auto" w:fill="auto"/>
            <w:hideMark/>
          </w:tcPr>
          <w:p w14:paraId="65773743"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lastRenderedPageBreak/>
              <w:t>Lomivorotov et al; 2014</w:t>
            </w:r>
          </w:p>
        </w:tc>
        <w:tc>
          <w:tcPr>
            <w:tcW w:w="1134" w:type="dxa"/>
            <w:tcBorders>
              <w:top w:val="single" w:sz="4" w:space="0" w:color="auto"/>
            </w:tcBorders>
            <w:shd w:val="clear" w:color="auto" w:fill="auto"/>
            <w:hideMark/>
          </w:tcPr>
          <w:p w14:paraId="298FE09B"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Russia</w:t>
            </w:r>
          </w:p>
        </w:tc>
        <w:tc>
          <w:tcPr>
            <w:tcW w:w="1559" w:type="dxa"/>
            <w:tcBorders>
              <w:top w:val="single" w:sz="4" w:space="0" w:color="auto"/>
            </w:tcBorders>
            <w:shd w:val="clear" w:color="auto" w:fill="auto"/>
            <w:hideMark/>
          </w:tcPr>
          <w:p w14:paraId="0FA856EE"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Randomised controlled study</w:t>
            </w:r>
          </w:p>
        </w:tc>
        <w:tc>
          <w:tcPr>
            <w:tcW w:w="1559" w:type="dxa"/>
            <w:tcBorders>
              <w:top w:val="single" w:sz="4" w:space="0" w:color="auto"/>
            </w:tcBorders>
            <w:shd w:val="clear" w:color="auto" w:fill="auto"/>
            <w:hideMark/>
          </w:tcPr>
          <w:p w14:paraId="481B99EA"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CABG; &gt;18 years</w:t>
            </w:r>
          </w:p>
        </w:tc>
        <w:tc>
          <w:tcPr>
            <w:tcW w:w="1842" w:type="dxa"/>
            <w:tcBorders>
              <w:top w:val="single" w:sz="4" w:space="0" w:color="auto"/>
            </w:tcBorders>
            <w:shd w:val="clear" w:color="auto" w:fill="auto"/>
            <w:hideMark/>
          </w:tcPr>
          <w:p w14:paraId="65EC7B59"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Unstable cardiac disease; pacemaker; antiarrhythmic or omega-3 treatment</w:t>
            </w:r>
          </w:p>
        </w:tc>
        <w:tc>
          <w:tcPr>
            <w:tcW w:w="4962" w:type="dxa"/>
            <w:tcBorders>
              <w:top w:val="single" w:sz="4" w:space="0" w:color="auto"/>
            </w:tcBorders>
          </w:tcPr>
          <w:p w14:paraId="3C450144" w14:textId="77777777" w:rsidR="000362D0" w:rsidRPr="00957B24" w:rsidRDefault="000362D0" w:rsidP="006F45B1">
            <w:pPr>
              <w:spacing w:after="0" w:line="240" w:lineRule="auto"/>
              <w:rPr>
                <w:rFonts w:ascii="Arial" w:hAnsi="Arial" w:cs="Arial"/>
                <w:color w:val="000000"/>
                <w:sz w:val="20"/>
                <w:szCs w:val="20"/>
              </w:rPr>
            </w:pPr>
            <w:r w:rsidRPr="00957B24">
              <w:rPr>
                <w:rFonts w:ascii="Arial" w:hAnsi="Arial" w:cs="Arial"/>
                <w:color w:val="000000"/>
                <w:sz w:val="20"/>
                <w:szCs w:val="20"/>
              </w:rPr>
              <w:t>Implanted continuous cardiac monitor (Reveal XT, Medtronic)</w:t>
            </w:r>
          </w:p>
        </w:tc>
        <w:tc>
          <w:tcPr>
            <w:tcW w:w="1701" w:type="dxa"/>
            <w:tcBorders>
              <w:top w:val="single" w:sz="4" w:space="0" w:color="auto"/>
            </w:tcBorders>
          </w:tcPr>
          <w:p w14:paraId="3E4E51D0" w14:textId="77777777" w:rsidR="000362D0" w:rsidRPr="00B11E3F" w:rsidRDefault="000362D0" w:rsidP="006F45B1">
            <w:pPr>
              <w:spacing w:after="0" w:line="240" w:lineRule="auto"/>
              <w:rPr>
                <w:rFonts w:ascii="Arial" w:hAnsi="Arial" w:cs="Arial"/>
                <w:color w:val="000000"/>
                <w:sz w:val="20"/>
                <w:szCs w:val="20"/>
              </w:rPr>
            </w:pPr>
            <w:r w:rsidRPr="00B11E3F">
              <w:rPr>
                <w:rFonts w:ascii="Arial" w:hAnsi="Arial" w:cs="Arial"/>
                <w:color w:val="000000"/>
                <w:sz w:val="20"/>
                <w:szCs w:val="20"/>
              </w:rPr>
              <w:t>24 months post operatively</w:t>
            </w:r>
          </w:p>
          <w:p w14:paraId="5DA576AC" w14:textId="77777777" w:rsidR="000362D0" w:rsidRDefault="000362D0" w:rsidP="006F45B1">
            <w:pPr>
              <w:spacing w:after="0" w:line="240" w:lineRule="auto"/>
              <w:rPr>
                <w:rFonts w:ascii="Arial" w:hAnsi="Arial" w:cs="Arial"/>
                <w:color w:val="000000"/>
                <w:sz w:val="20"/>
                <w:szCs w:val="20"/>
              </w:rPr>
            </w:pPr>
          </w:p>
          <w:p w14:paraId="2FC683B8" w14:textId="77777777" w:rsidR="000362D0" w:rsidRPr="00B11E3F" w:rsidRDefault="000362D0" w:rsidP="006F45B1">
            <w:pPr>
              <w:spacing w:after="0" w:line="240" w:lineRule="auto"/>
              <w:rPr>
                <w:rFonts w:ascii="Arial" w:hAnsi="Arial" w:cs="Arial"/>
                <w:color w:val="000000"/>
                <w:sz w:val="20"/>
                <w:szCs w:val="20"/>
              </w:rPr>
            </w:pPr>
            <w:r w:rsidRPr="00B11E3F">
              <w:rPr>
                <w:rFonts w:ascii="Arial" w:hAnsi="Arial" w:cs="Arial"/>
                <w:color w:val="000000"/>
                <w:sz w:val="20"/>
                <w:szCs w:val="20"/>
              </w:rPr>
              <w:t xml:space="preserve">Reviewed at 10 days; then 3, 6, 12 &amp; 24 months </w:t>
            </w:r>
          </w:p>
        </w:tc>
        <w:tc>
          <w:tcPr>
            <w:tcW w:w="1418" w:type="dxa"/>
            <w:tcBorders>
              <w:top w:val="single" w:sz="4" w:space="0" w:color="auto"/>
            </w:tcBorders>
          </w:tcPr>
          <w:p w14:paraId="6DB7FE83" w14:textId="77777777" w:rsidR="000362D0" w:rsidRPr="007C52B3" w:rsidRDefault="000362D0" w:rsidP="006F45B1">
            <w:pPr>
              <w:spacing w:after="0" w:line="240" w:lineRule="auto"/>
              <w:rPr>
                <w:rFonts w:ascii="Arial" w:hAnsi="Arial" w:cs="Arial"/>
                <w:sz w:val="20"/>
                <w:szCs w:val="20"/>
              </w:rPr>
            </w:pPr>
            <w:r w:rsidRPr="007C52B3">
              <w:rPr>
                <w:rFonts w:ascii="Arial" w:eastAsia="Times New Roman" w:hAnsi="Arial" w:cs="Arial"/>
                <w:sz w:val="20"/>
                <w:szCs w:val="20"/>
              </w:rPr>
              <w:sym w:font="Symbol" w:char="F0B3"/>
            </w:r>
            <w:r w:rsidRPr="007C52B3">
              <w:rPr>
                <w:rFonts w:ascii="Arial" w:hAnsi="Arial" w:cs="Arial"/>
                <w:sz w:val="20"/>
                <w:szCs w:val="20"/>
              </w:rPr>
              <w:t xml:space="preserve">30 seconds </w:t>
            </w:r>
          </w:p>
        </w:tc>
      </w:tr>
      <w:tr w:rsidR="000362D0" w:rsidRPr="00B11E3F" w14:paraId="4EA77CC8" w14:textId="77777777" w:rsidTr="006F45B1">
        <w:trPr>
          <w:trHeight w:val="996"/>
        </w:trPr>
        <w:tc>
          <w:tcPr>
            <w:tcW w:w="1433" w:type="dxa"/>
            <w:tcBorders>
              <w:bottom w:val="single" w:sz="4" w:space="0" w:color="auto"/>
            </w:tcBorders>
            <w:shd w:val="clear" w:color="auto" w:fill="auto"/>
          </w:tcPr>
          <w:p w14:paraId="479E19E5" w14:textId="77777777" w:rsidR="000362D0" w:rsidRPr="00B11E3F" w:rsidRDefault="000362D0" w:rsidP="006F45B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El-Chami et al; 2016</w:t>
            </w:r>
            <w:r>
              <w:rPr>
                <w:rFonts w:ascii="Arial" w:eastAsia="Times New Roman" w:hAnsi="Arial" w:cs="Arial"/>
                <w:noProof/>
                <w:color w:val="000000"/>
                <w:sz w:val="20"/>
                <w:szCs w:val="20"/>
              </w:rPr>
              <w:t>(19)</w:t>
            </w:r>
          </w:p>
        </w:tc>
        <w:tc>
          <w:tcPr>
            <w:tcW w:w="1134" w:type="dxa"/>
            <w:tcBorders>
              <w:bottom w:val="single" w:sz="4" w:space="0" w:color="auto"/>
            </w:tcBorders>
            <w:shd w:val="clear" w:color="auto" w:fill="auto"/>
          </w:tcPr>
          <w:p w14:paraId="175447E7" w14:textId="77777777" w:rsidR="000362D0" w:rsidRPr="00B11E3F" w:rsidRDefault="000362D0" w:rsidP="006F45B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USA</w:t>
            </w:r>
          </w:p>
        </w:tc>
        <w:tc>
          <w:tcPr>
            <w:tcW w:w="1559" w:type="dxa"/>
            <w:tcBorders>
              <w:bottom w:val="single" w:sz="4" w:space="0" w:color="auto"/>
            </w:tcBorders>
            <w:shd w:val="clear" w:color="auto" w:fill="auto"/>
          </w:tcPr>
          <w:p w14:paraId="17571700" w14:textId="77777777" w:rsidR="000362D0" w:rsidRPr="00B11E3F" w:rsidRDefault="000362D0" w:rsidP="006F45B1">
            <w:pPr>
              <w:spacing w:after="0" w:line="240" w:lineRule="auto"/>
              <w:rPr>
                <w:rFonts w:ascii="Arial" w:eastAsia="Times New Roman" w:hAnsi="Arial" w:cs="Arial"/>
                <w:color w:val="000000"/>
                <w:sz w:val="20"/>
                <w:szCs w:val="20"/>
              </w:rPr>
            </w:pPr>
            <w:r w:rsidRPr="00B11E3F">
              <w:rPr>
                <w:rFonts w:ascii="Arial" w:eastAsia="Times New Roman" w:hAnsi="Arial" w:cs="Arial"/>
                <w:color w:val="000000"/>
                <w:sz w:val="20"/>
                <w:szCs w:val="20"/>
              </w:rPr>
              <w:t>Prospective cohort</w:t>
            </w:r>
          </w:p>
        </w:tc>
        <w:tc>
          <w:tcPr>
            <w:tcW w:w="1559" w:type="dxa"/>
            <w:tcBorders>
              <w:bottom w:val="single" w:sz="4" w:space="0" w:color="auto"/>
            </w:tcBorders>
            <w:shd w:val="clear" w:color="auto" w:fill="auto"/>
          </w:tcPr>
          <w:p w14:paraId="031A29AE" w14:textId="77777777" w:rsidR="000362D0" w:rsidRPr="00EE765C" w:rsidRDefault="000362D0" w:rsidP="006F45B1">
            <w:pPr>
              <w:spacing w:after="0" w:line="240" w:lineRule="auto"/>
              <w:rPr>
                <w:rFonts w:ascii="Arial" w:eastAsia="Times New Roman" w:hAnsi="Arial" w:cs="Arial"/>
                <w:color w:val="000000"/>
                <w:sz w:val="20"/>
                <w:szCs w:val="20"/>
                <w:vertAlign w:val="subscript"/>
              </w:rPr>
            </w:pPr>
            <w:r w:rsidRPr="00B11E3F">
              <w:rPr>
                <w:rFonts w:ascii="Arial" w:eastAsia="Times New Roman" w:hAnsi="Arial" w:cs="Arial"/>
                <w:color w:val="000000"/>
                <w:sz w:val="20"/>
                <w:szCs w:val="20"/>
              </w:rPr>
              <w:t xml:space="preserve">CABG; </w:t>
            </w:r>
            <w:r>
              <w:rPr>
                <w:rFonts w:ascii="Arial" w:eastAsia="Times New Roman" w:hAnsi="Arial" w:cs="Arial"/>
                <w:color w:val="000000"/>
                <w:sz w:val="20"/>
                <w:szCs w:val="20"/>
              </w:rPr>
              <w:t>CHADS</w:t>
            </w:r>
            <w:r w:rsidRPr="00EE765C">
              <w:rPr>
                <w:rFonts w:ascii="Arial" w:eastAsia="Times New Roman" w:hAnsi="Arial" w:cs="Arial"/>
                <w:color w:val="000000"/>
                <w:sz w:val="20"/>
                <w:szCs w:val="20"/>
                <w:vertAlign w:val="subscript"/>
              </w:rPr>
              <w:t>2</w:t>
            </w:r>
            <w:r>
              <w:rPr>
                <w:rFonts w:ascii="Arial" w:eastAsia="Times New Roman" w:hAnsi="Arial" w:cs="Arial"/>
                <w:color w:val="000000"/>
                <w:sz w:val="20"/>
                <w:szCs w:val="20"/>
              </w:rPr>
              <w:t xml:space="preserve"> score </w:t>
            </w:r>
            <w:r>
              <w:rPr>
                <w:rFonts w:ascii="Arial" w:eastAsia="Times New Roman" w:hAnsi="Arial" w:cs="Arial"/>
                <w:color w:val="000000"/>
                <w:sz w:val="20"/>
                <w:szCs w:val="20"/>
              </w:rPr>
              <w:sym w:font="Symbol" w:char="F0B3"/>
            </w:r>
            <w:r>
              <w:rPr>
                <w:rFonts w:ascii="Arial" w:eastAsia="Times New Roman" w:hAnsi="Arial" w:cs="Arial"/>
                <w:color w:val="000000"/>
                <w:sz w:val="20"/>
                <w:szCs w:val="20"/>
              </w:rPr>
              <w:t>1</w:t>
            </w:r>
          </w:p>
        </w:tc>
        <w:tc>
          <w:tcPr>
            <w:tcW w:w="1842" w:type="dxa"/>
            <w:tcBorders>
              <w:bottom w:val="single" w:sz="4" w:space="0" w:color="auto"/>
            </w:tcBorders>
            <w:shd w:val="clear" w:color="auto" w:fill="auto"/>
          </w:tcPr>
          <w:p w14:paraId="1DBDA10D" w14:textId="77777777" w:rsidR="000362D0" w:rsidRPr="00B11E3F" w:rsidRDefault="000362D0" w:rsidP="006F45B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Known AF history; valve surgery</w:t>
            </w:r>
          </w:p>
        </w:tc>
        <w:tc>
          <w:tcPr>
            <w:tcW w:w="4962" w:type="dxa"/>
            <w:tcBorders>
              <w:bottom w:val="single" w:sz="4" w:space="0" w:color="auto"/>
            </w:tcBorders>
          </w:tcPr>
          <w:p w14:paraId="0ED822FB" w14:textId="77777777" w:rsidR="000362D0" w:rsidRPr="00957B24" w:rsidRDefault="000362D0" w:rsidP="006F45B1">
            <w:pPr>
              <w:spacing w:after="0" w:line="240" w:lineRule="auto"/>
              <w:rPr>
                <w:rFonts w:ascii="Arial" w:hAnsi="Arial" w:cs="Arial"/>
                <w:color w:val="000000"/>
                <w:sz w:val="20"/>
                <w:szCs w:val="20"/>
              </w:rPr>
            </w:pPr>
            <w:r w:rsidRPr="00957B24">
              <w:rPr>
                <w:rFonts w:ascii="Arial" w:hAnsi="Arial" w:cs="Arial"/>
                <w:color w:val="000000"/>
                <w:sz w:val="20"/>
                <w:szCs w:val="20"/>
              </w:rPr>
              <w:t>Implanted continuous cardiac monitor (Reveal XT, Medtronic)</w:t>
            </w:r>
          </w:p>
        </w:tc>
        <w:tc>
          <w:tcPr>
            <w:tcW w:w="1701" w:type="dxa"/>
            <w:tcBorders>
              <w:bottom w:val="single" w:sz="4" w:space="0" w:color="auto"/>
            </w:tcBorders>
          </w:tcPr>
          <w:p w14:paraId="14C2A498" w14:textId="77777777" w:rsidR="000362D0" w:rsidRPr="004A7D9D" w:rsidRDefault="000362D0" w:rsidP="006F45B1">
            <w:pPr>
              <w:spacing w:after="0" w:line="240" w:lineRule="auto"/>
              <w:rPr>
                <w:rFonts w:ascii="Arial" w:eastAsiaTheme="minorEastAsia" w:hAnsi="Arial" w:cs="Arial"/>
                <w:sz w:val="20"/>
                <w:szCs w:val="20"/>
                <w:lang w:eastAsia="en-AU"/>
              </w:rPr>
            </w:pPr>
            <w:r>
              <w:rPr>
                <w:rFonts w:ascii="Arial" w:eastAsiaTheme="minorEastAsia" w:hAnsi="Arial" w:cs="Arial"/>
                <w:sz w:val="20"/>
                <w:szCs w:val="20"/>
                <w:lang w:eastAsia="en-AU"/>
              </w:rPr>
              <w:t xml:space="preserve">25±10 </w:t>
            </w:r>
            <w:r w:rsidRPr="004A7D9D">
              <w:rPr>
                <w:rFonts w:ascii="Arial" w:eastAsiaTheme="minorEastAsia" w:hAnsi="Arial" w:cs="Arial"/>
                <w:sz w:val="20"/>
                <w:szCs w:val="20"/>
                <w:lang w:eastAsia="en-AU"/>
              </w:rPr>
              <w:t>months monitoring;</w:t>
            </w:r>
          </w:p>
          <w:p w14:paraId="0A31118C" w14:textId="77777777" w:rsidR="000362D0" w:rsidRDefault="000362D0" w:rsidP="006F45B1">
            <w:pPr>
              <w:spacing w:after="0" w:line="240" w:lineRule="auto"/>
              <w:rPr>
                <w:rFonts w:ascii="Arial" w:eastAsiaTheme="minorEastAsia" w:hAnsi="Arial" w:cs="Arial"/>
                <w:sz w:val="20"/>
                <w:szCs w:val="20"/>
                <w:lang w:eastAsia="en-AU"/>
              </w:rPr>
            </w:pPr>
          </w:p>
          <w:p w14:paraId="177ACF6D" w14:textId="77777777" w:rsidR="000362D0" w:rsidRPr="00B11E3F" w:rsidRDefault="000362D0" w:rsidP="006F45B1">
            <w:pPr>
              <w:spacing w:after="0" w:line="240" w:lineRule="auto"/>
              <w:rPr>
                <w:rFonts w:ascii="Arial" w:hAnsi="Arial" w:cs="Arial"/>
                <w:color w:val="000000"/>
                <w:sz w:val="20"/>
                <w:szCs w:val="20"/>
              </w:rPr>
            </w:pPr>
            <w:r w:rsidRPr="004A7D9D">
              <w:rPr>
                <w:rFonts w:ascii="Arial" w:eastAsiaTheme="minorEastAsia" w:hAnsi="Arial" w:cs="Arial"/>
                <w:sz w:val="20"/>
                <w:szCs w:val="20"/>
                <w:lang w:eastAsia="en-AU"/>
              </w:rPr>
              <w:t>Reviewed monthly</w:t>
            </w:r>
            <w:r>
              <w:rPr>
                <w:rFonts w:ascii="Arial" w:hAnsi="Arial" w:cs="Arial"/>
                <w:color w:val="000000"/>
                <w:sz w:val="20"/>
                <w:szCs w:val="20"/>
              </w:rPr>
              <w:t xml:space="preserve"> </w:t>
            </w:r>
          </w:p>
        </w:tc>
        <w:tc>
          <w:tcPr>
            <w:tcW w:w="1418" w:type="dxa"/>
            <w:tcBorders>
              <w:bottom w:val="single" w:sz="4" w:space="0" w:color="auto"/>
            </w:tcBorders>
          </w:tcPr>
          <w:p w14:paraId="5D74387A" w14:textId="77777777" w:rsidR="000362D0" w:rsidRPr="007C52B3" w:rsidRDefault="000362D0" w:rsidP="006F45B1">
            <w:pPr>
              <w:spacing w:after="0" w:line="240" w:lineRule="auto"/>
              <w:rPr>
                <w:rFonts w:ascii="Arial" w:eastAsiaTheme="minorEastAsia" w:hAnsi="Arial" w:cs="Arial"/>
                <w:sz w:val="20"/>
                <w:szCs w:val="20"/>
                <w:lang w:eastAsia="en-AU"/>
              </w:rPr>
            </w:pPr>
            <w:r w:rsidRPr="007C52B3">
              <w:rPr>
                <w:rFonts w:ascii="Arial" w:eastAsia="Times New Roman" w:hAnsi="Arial" w:cs="Arial"/>
                <w:sz w:val="20"/>
                <w:szCs w:val="20"/>
              </w:rPr>
              <w:t>Documented AF requiring treatment</w:t>
            </w:r>
          </w:p>
        </w:tc>
      </w:tr>
      <w:tr w:rsidR="000362D0" w:rsidRPr="00B11E3F" w14:paraId="41BB363D" w14:textId="77777777" w:rsidTr="006F45B1">
        <w:trPr>
          <w:trHeight w:val="391"/>
        </w:trPr>
        <w:tc>
          <w:tcPr>
            <w:tcW w:w="15608" w:type="dxa"/>
            <w:gridSpan w:val="8"/>
            <w:tcBorders>
              <w:top w:val="single" w:sz="4" w:space="0" w:color="auto"/>
              <w:bottom w:val="single" w:sz="4" w:space="0" w:color="auto"/>
            </w:tcBorders>
            <w:shd w:val="clear" w:color="auto" w:fill="auto"/>
          </w:tcPr>
          <w:p w14:paraId="0A6AE40B" w14:textId="77777777" w:rsidR="000362D0" w:rsidRDefault="000362D0" w:rsidP="006F45B1">
            <w:pPr>
              <w:spacing w:after="0" w:line="240" w:lineRule="auto"/>
              <w:rPr>
                <w:rFonts w:ascii="Arial" w:eastAsiaTheme="minorEastAsia" w:hAnsi="Arial" w:cs="Arial"/>
                <w:sz w:val="20"/>
                <w:szCs w:val="20"/>
                <w:lang w:eastAsia="en-AU"/>
              </w:rPr>
            </w:pPr>
            <w:r>
              <w:rPr>
                <w:rFonts w:ascii="Arial" w:eastAsiaTheme="minorEastAsia" w:hAnsi="Arial" w:cs="Arial"/>
                <w:sz w:val="20"/>
                <w:szCs w:val="20"/>
                <w:lang w:eastAsia="en-AU"/>
              </w:rPr>
              <w:t xml:space="preserve">ECG: electrocardiogram; CABG: coronary artery bypass graft; </w:t>
            </w:r>
            <w:r>
              <w:rPr>
                <w:rFonts w:ascii="Arial" w:eastAsia="Times New Roman" w:hAnsi="Arial" w:cs="Arial"/>
                <w:color w:val="000000"/>
                <w:sz w:val="20"/>
                <w:szCs w:val="20"/>
              </w:rPr>
              <w:t>CHADS</w:t>
            </w:r>
            <w:r w:rsidRPr="00EE765C">
              <w:rPr>
                <w:rFonts w:ascii="Arial" w:eastAsia="Times New Roman" w:hAnsi="Arial" w:cs="Arial"/>
                <w:color w:val="000000"/>
                <w:sz w:val="20"/>
                <w:szCs w:val="20"/>
                <w:vertAlign w:val="subscript"/>
              </w:rPr>
              <w:t>2</w:t>
            </w:r>
            <w:r>
              <w:rPr>
                <w:rFonts w:ascii="Arial" w:eastAsia="Times New Roman" w:hAnsi="Arial" w:cs="Arial"/>
                <w:color w:val="000000"/>
                <w:sz w:val="20"/>
                <w:szCs w:val="20"/>
              </w:rPr>
              <w:t xml:space="preserve">: stroke risk score [C = congestive heart failure, H = hypertension, A = age </w:t>
            </w:r>
            <w:r>
              <w:rPr>
                <w:rFonts w:ascii="Arial" w:eastAsia="Times New Roman" w:hAnsi="Arial" w:cs="Arial"/>
                <w:color w:val="000000"/>
                <w:sz w:val="20"/>
                <w:szCs w:val="20"/>
              </w:rPr>
              <w:sym w:font="Symbol" w:char="F0B3"/>
            </w:r>
            <w:r>
              <w:rPr>
                <w:rFonts w:ascii="Arial" w:eastAsia="Times New Roman" w:hAnsi="Arial" w:cs="Arial"/>
                <w:color w:val="000000"/>
                <w:sz w:val="20"/>
                <w:szCs w:val="20"/>
              </w:rPr>
              <w:t>65, D = diabetes, S</w:t>
            </w:r>
            <w:r w:rsidRPr="00EE765C">
              <w:rPr>
                <w:rFonts w:ascii="Arial" w:eastAsia="Times New Roman" w:hAnsi="Arial" w:cs="Arial"/>
                <w:color w:val="000000"/>
                <w:sz w:val="20"/>
                <w:szCs w:val="20"/>
                <w:vertAlign w:val="subscript"/>
              </w:rPr>
              <w:t>2</w:t>
            </w:r>
            <w:r>
              <w:rPr>
                <w:rFonts w:ascii="Arial" w:eastAsia="Times New Roman" w:hAnsi="Arial" w:cs="Arial"/>
                <w:color w:val="000000"/>
                <w:sz w:val="20"/>
                <w:szCs w:val="20"/>
              </w:rPr>
              <w:t xml:space="preserve"> = prior stroke or TIA]; AF: atrial fibrillation.</w:t>
            </w:r>
          </w:p>
        </w:tc>
      </w:tr>
    </w:tbl>
    <w:p w14:paraId="461C9D7F" w14:textId="77777777" w:rsidR="000362D0" w:rsidRDefault="000362D0" w:rsidP="006F45B1">
      <w:pPr>
        <w:rPr>
          <w:rFonts w:ascii="Arial" w:hAnsi="Arial" w:cs="Arial"/>
          <w:sz w:val="16"/>
          <w:szCs w:val="16"/>
        </w:rPr>
      </w:pPr>
      <w:r>
        <w:rPr>
          <w:rFonts w:ascii="Arial" w:hAnsi="Arial" w:cs="Arial"/>
          <w:sz w:val="16"/>
          <w:szCs w:val="16"/>
        </w:rPr>
        <w:br w:type="page"/>
      </w:r>
    </w:p>
    <w:tbl>
      <w:tblPr>
        <w:tblW w:w="11922" w:type="dxa"/>
        <w:tblInd w:w="93" w:type="dxa"/>
        <w:tblLayout w:type="fixed"/>
        <w:tblLook w:val="04A0" w:firstRow="1" w:lastRow="0" w:firstColumn="1" w:lastColumn="0" w:noHBand="0" w:noVBand="1"/>
      </w:tblPr>
      <w:tblGrid>
        <w:gridCol w:w="2283"/>
        <w:gridCol w:w="1134"/>
        <w:gridCol w:w="851"/>
        <w:gridCol w:w="992"/>
        <w:gridCol w:w="1559"/>
        <w:gridCol w:w="1701"/>
        <w:gridCol w:w="3402"/>
      </w:tblGrid>
      <w:tr w:rsidR="000362D0" w:rsidRPr="00622CEE" w14:paraId="706FBFA1" w14:textId="77777777" w:rsidTr="006F45B1">
        <w:trPr>
          <w:trHeight w:val="291"/>
        </w:trPr>
        <w:tc>
          <w:tcPr>
            <w:tcW w:w="4268" w:type="dxa"/>
            <w:gridSpan w:val="3"/>
            <w:tcBorders>
              <w:bottom w:val="single" w:sz="4" w:space="0" w:color="auto"/>
            </w:tcBorders>
            <w:shd w:val="clear" w:color="auto" w:fill="auto"/>
          </w:tcPr>
          <w:p w14:paraId="52D2FB16" w14:textId="77777777" w:rsidR="000362D0" w:rsidRPr="00622CEE" w:rsidRDefault="000362D0" w:rsidP="006F45B1">
            <w:pPr>
              <w:spacing w:after="0" w:line="240" w:lineRule="auto"/>
              <w:rPr>
                <w:rFonts w:ascii="Arial" w:eastAsia="Times New Roman" w:hAnsi="Arial" w:cs="Arial"/>
                <w:b/>
                <w:color w:val="000000"/>
                <w:sz w:val="20"/>
                <w:szCs w:val="20"/>
              </w:rPr>
            </w:pPr>
            <w:r w:rsidRPr="00622CEE">
              <w:rPr>
                <w:rFonts w:ascii="Arial" w:eastAsia="Times New Roman" w:hAnsi="Arial" w:cs="Arial"/>
                <w:b/>
                <w:color w:val="000000"/>
                <w:sz w:val="20"/>
                <w:szCs w:val="20"/>
              </w:rPr>
              <w:lastRenderedPageBreak/>
              <w:t>Table 2: Study Outcomes</w:t>
            </w:r>
          </w:p>
        </w:tc>
        <w:tc>
          <w:tcPr>
            <w:tcW w:w="992" w:type="dxa"/>
            <w:tcBorders>
              <w:bottom w:val="single" w:sz="4" w:space="0" w:color="auto"/>
            </w:tcBorders>
            <w:shd w:val="clear" w:color="auto" w:fill="auto"/>
          </w:tcPr>
          <w:p w14:paraId="02F74EB1" w14:textId="77777777" w:rsidR="000362D0" w:rsidRPr="00622CEE" w:rsidRDefault="000362D0" w:rsidP="006F45B1">
            <w:pPr>
              <w:spacing w:after="0" w:line="240" w:lineRule="auto"/>
              <w:rPr>
                <w:rFonts w:ascii="Arial" w:eastAsia="Times New Roman" w:hAnsi="Arial" w:cs="Arial"/>
                <w:b/>
                <w:color w:val="000000"/>
                <w:sz w:val="20"/>
                <w:szCs w:val="20"/>
              </w:rPr>
            </w:pPr>
          </w:p>
        </w:tc>
        <w:tc>
          <w:tcPr>
            <w:tcW w:w="1559" w:type="dxa"/>
            <w:tcBorders>
              <w:bottom w:val="single" w:sz="4" w:space="0" w:color="auto"/>
            </w:tcBorders>
            <w:shd w:val="clear" w:color="auto" w:fill="auto"/>
          </w:tcPr>
          <w:p w14:paraId="64928BA7" w14:textId="77777777" w:rsidR="000362D0" w:rsidRPr="00622CEE" w:rsidRDefault="000362D0" w:rsidP="006F45B1">
            <w:pPr>
              <w:spacing w:after="0" w:line="240" w:lineRule="auto"/>
              <w:rPr>
                <w:rFonts w:ascii="Arial" w:eastAsia="Times New Roman" w:hAnsi="Arial" w:cs="Arial"/>
                <w:b/>
                <w:color w:val="000000"/>
                <w:sz w:val="20"/>
                <w:szCs w:val="20"/>
              </w:rPr>
            </w:pPr>
          </w:p>
        </w:tc>
        <w:tc>
          <w:tcPr>
            <w:tcW w:w="1701" w:type="dxa"/>
            <w:tcBorders>
              <w:bottom w:val="single" w:sz="4" w:space="0" w:color="auto"/>
            </w:tcBorders>
            <w:shd w:val="clear" w:color="auto" w:fill="auto"/>
          </w:tcPr>
          <w:p w14:paraId="65047E14" w14:textId="77777777" w:rsidR="000362D0" w:rsidRPr="00622CEE" w:rsidRDefault="000362D0" w:rsidP="006F45B1">
            <w:pPr>
              <w:spacing w:after="0" w:line="240" w:lineRule="auto"/>
              <w:rPr>
                <w:rFonts w:ascii="Arial" w:eastAsia="Times New Roman" w:hAnsi="Arial" w:cs="Arial"/>
                <w:b/>
                <w:color w:val="000000"/>
                <w:sz w:val="20"/>
                <w:szCs w:val="20"/>
              </w:rPr>
            </w:pPr>
          </w:p>
        </w:tc>
        <w:tc>
          <w:tcPr>
            <w:tcW w:w="3402" w:type="dxa"/>
            <w:tcBorders>
              <w:bottom w:val="single" w:sz="4" w:space="0" w:color="auto"/>
            </w:tcBorders>
            <w:shd w:val="clear" w:color="auto" w:fill="auto"/>
          </w:tcPr>
          <w:p w14:paraId="7865B222" w14:textId="77777777" w:rsidR="000362D0" w:rsidRPr="00622CEE" w:rsidRDefault="000362D0" w:rsidP="006F45B1">
            <w:pPr>
              <w:spacing w:after="0" w:line="240" w:lineRule="auto"/>
              <w:rPr>
                <w:rFonts w:ascii="Arial" w:eastAsia="Times New Roman" w:hAnsi="Arial" w:cs="Arial"/>
                <w:b/>
                <w:color w:val="000000"/>
                <w:sz w:val="20"/>
                <w:szCs w:val="20"/>
              </w:rPr>
            </w:pPr>
          </w:p>
        </w:tc>
      </w:tr>
      <w:tr w:rsidR="000362D0" w:rsidRPr="00622CEE" w14:paraId="5C9F4F45" w14:textId="77777777" w:rsidTr="006F45B1">
        <w:trPr>
          <w:trHeight w:val="697"/>
        </w:trPr>
        <w:tc>
          <w:tcPr>
            <w:tcW w:w="2283" w:type="dxa"/>
            <w:tcBorders>
              <w:top w:val="single" w:sz="4" w:space="0" w:color="auto"/>
              <w:bottom w:val="single" w:sz="4" w:space="0" w:color="auto"/>
            </w:tcBorders>
            <w:shd w:val="clear" w:color="auto" w:fill="B8CCE4" w:themeFill="accent1" w:themeFillTint="66"/>
            <w:hideMark/>
          </w:tcPr>
          <w:p w14:paraId="0A17784E" w14:textId="77777777" w:rsidR="000362D0" w:rsidRPr="00622CEE" w:rsidRDefault="000362D0" w:rsidP="006F45B1">
            <w:pPr>
              <w:spacing w:after="0" w:line="240" w:lineRule="auto"/>
              <w:rPr>
                <w:rFonts w:ascii="Arial" w:eastAsia="Times New Roman" w:hAnsi="Arial" w:cs="Arial"/>
                <w:b/>
                <w:color w:val="000000"/>
                <w:sz w:val="20"/>
                <w:szCs w:val="20"/>
              </w:rPr>
            </w:pPr>
            <w:r w:rsidRPr="00622CEE">
              <w:rPr>
                <w:rFonts w:ascii="Arial" w:eastAsia="Times New Roman" w:hAnsi="Arial" w:cs="Arial"/>
                <w:b/>
                <w:color w:val="000000"/>
                <w:sz w:val="20"/>
                <w:szCs w:val="20"/>
              </w:rPr>
              <w:t>Author; Year</w:t>
            </w:r>
          </w:p>
        </w:tc>
        <w:tc>
          <w:tcPr>
            <w:tcW w:w="1134" w:type="dxa"/>
            <w:tcBorders>
              <w:top w:val="single" w:sz="4" w:space="0" w:color="auto"/>
              <w:bottom w:val="single" w:sz="4" w:space="0" w:color="auto"/>
            </w:tcBorders>
            <w:shd w:val="clear" w:color="auto" w:fill="B8CCE4" w:themeFill="accent1" w:themeFillTint="66"/>
          </w:tcPr>
          <w:p w14:paraId="416F02B5" w14:textId="77777777" w:rsidR="000362D0" w:rsidRDefault="000362D0" w:rsidP="006F45B1">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Age</w:t>
            </w:r>
          </w:p>
          <w:p w14:paraId="5AC7A056" w14:textId="77777777" w:rsidR="000362D0" w:rsidRPr="00622CEE" w:rsidRDefault="000362D0" w:rsidP="006F45B1">
            <w:pPr>
              <w:spacing w:after="0" w:line="240" w:lineRule="auto"/>
              <w:rPr>
                <w:rFonts w:ascii="Arial" w:eastAsia="Times New Roman" w:hAnsi="Arial" w:cs="Arial"/>
                <w:b/>
                <w:color w:val="000000"/>
                <w:sz w:val="20"/>
                <w:szCs w:val="20"/>
              </w:rPr>
            </w:pPr>
            <w:r w:rsidRPr="00622CEE">
              <w:rPr>
                <w:rFonts w:ascii="Arial" w:eastAsia="Times New Roman" w:hAnsi="Arial" w:cs="Arial"/>
                <w:b/>
                <w:color w:val="000000"/>
                <w:sz w:val="20"/>
                <w:szCs w:val="20"/>
              </w:rPr>
              <w:t>(</w:t>
            </w:r>
            <w:r>
              <w:rPr>
                <w:rFonts w:ascii="Arial" w:eastAsia="Times New Roman" w:hAnsi="Arial" w:cs="Arial"/>
                <w:b/>
                <w:color w:val="000000"/>
                <w:sz w:val="20"/>
                <w:szCs w:val="20"/>
              </w:rPr>
              <w:t xml:space="preserve">mean± </w:t>
            </w:r>
            <w:r w:rsidRPr="00622CEE">
              <w:rPr>
                <w:rFonts w:ascii="Arial" w:eastAsia="Times New Roman" w:hAnsi="Arial" w:cs="Arial"/>
                <w:b/>
                <w:color w:val="000000"/>
                <w:sz w:val="20"/>
                <w:szCs w:val="20"/>
              </w:rPr>
              <w:t>SD)</w:t>
            </w:r>
          </w:p>
        </w:tc>
        <w:tc>
          <w:tcPr>
            <w:tcW w:w="851" w:type="dxa"/>
            <w:tcBorders>
              <w:top w:val="single" w:sz="4" w:space="0" w:color="auto"/>
              <w:bottom w:val="single" w:sz="4" w:space="0" w:color="auto"/>
            </w:tcBorders>
            <w:shd w:val="clear" w:color="auto" w:fill="B8CCE4" w:themeFill="accent1" w:themeFillTint="66"/>
          </w:tcPr>
          <w:p w14:paraId="375EE121" w14:textId="77777777" w:rsidR="000362D0" w:rsidRDefault="000362D0" w:rsidP="006F45B1">
            <w:pPr>
              <w:spacing w:after="0" w:line="240" w:lineRule="auto"/>
              <w:rPr>
                <w:rFonts w:ascii="Arial" w:eastAsia="Times New Roman" w:hAnsi="Arial" w:cs="Arial"/>
                <w:b/>
                <w:color w:val="000000"/>
                <w:sz w:val="20"/>
                <w:szCs w:val="20"/>
              </w:rPr>
            </w:pPr>
            <w:r w:rsidRPr="00622CEE">
              <w:rPr>
                <w:rFonts w:ascii="Arial" w:eastAsia="Times New Roman" w:hAnsi="Arial" w:cs="Arial"/>
                <w:b/>
                <w:color w:val="000000"/>
                <w:sz w:val="20"/>
                <w:szCs w:val="20"/>
              </w:rPr>
              <w:t>Male</w:t>
            </w:r>
          </w:p>
          <w:p w14:paraId="4DEF7951" w14:textId="77777777" w:rsidR="000362D0" w:rsidRPr="00622CEE" w:rsidRDefault="000362D0" w:rsidP="006F45B1">
            <w:pPr>
              <w:spacing w:after="0" w:line="240" w:lineRule="auto"/>
              <w:rPr>
                <w:rFonts w:ascii="Arial" w:eastAsia="Times New Roman" w:hAnsi="Arial" w:cs="Arial"/>
                <w:b/>
                <w:color w:val="000000"/>
                <w:sz w:val="20"/>
                <w:szCs w:val="20"/>
              </w:rPr>
            </w:pPr>
            <w:r w:rsidRPr="00622CEE">
              <w:rPr>
                <w:rFonts w:ascii="Arial" w:eastAsia="Times New Roman" w:hAnsi="Arial" w:cs="Arial"/>
                <w:b/>
                <w:color w:val="000000"/>
                <w:sz w:val="20"/>
                <w:szCs w:val="20"/>
              </w:rPr>
              <w:t>(%)</w:t>
            </w:r>
          </w:p>
        </w:tc>
        <w:tc>
          <w:tcPr>
            <w:tcW w:w="992" w:type="dxa"/>
            <w:tcBorders>
              <w:top w:val="single" w:sz="4" w:space="0" w:color="auto"/>
              <w:bottom w:val="single" w:sz="4" w:space="0" w:color="auto"/>
            </w:tcBorders>
            <w:shd w:val="clear" w:color="auto" w:fill="B8CCE4" w:themeFill="accent1" w:themeFillTint="66"/>
            <w:hideMark/>
          </w:tcPr>
          <w:p w14:paraId="770DF974" w14:textId="77777777" w:rsidR="000362D0" w:rsidRPr="00622CEE" w:rsidRDefault="000362D0" w:rsidP="006F45B1">
            <w:pPr>
              <w:spacing w:after="0" w:line="240" w:lineRule="auto"/>
              <w:rPr>
                <w:rFonts w:ascii="Arial" w:eastAsia="Times New Roman" w:hAnsi="Arial" w:cs="Arial"/>
                <w:b/>
                <w:color w:val="000000"/>
                <w:sz w:val="20"/>
                <w:szCs w:val="20"/>
              </w:rPr>
            </w:pPr>
            <w:r w:rsidRPr="00622CEE">
              <w:rPr>
                <w:rFonts w:ascii="Arial" w:eastAsia="Times New Roman" w:hAnsi="Arial" w:cs="Arial"/>
                <w:b/>
                <w:color w:val="000000"/>
                <w:sz w:val="20"/>
                <w:szCs w:val="20"/>
              </w:rPr>
              <w:t>Number with POAF</w:t>
            </w:r>
          </w:p>
        </w:tc>
        <w:tc>
          <w:tcPr>
            <w:tcW w:w="1559" w:type="dxa"/>
            <w:tcBorders>
              <w:top w:val="single" w:sz="4" w:space="0" w:color="auto"/>
              <w:bottom w:val="single" w:sz="4" w:space="0" w:color="auto"/>
            </w:tcBorders>
            <w:shd w:val="clear" w:color="auto" w:fill="B8CCE4" w:themeFill="accent1" w:themeFillTint="66"/>
            <w:hideMark/>
          </w:tcPr>
          <w:p w14:paraId="6E27DFF5" w14:textId="77777777" w:rsidR="000362D0" w:rsidRDefault="000362D0" w:rsidP="006F45B1">
            <w:pPr>
              <w:spacing w:after="0" w:line="240" w:lineRule="auto"/>
              <w:rPr>
                <w:rFonts w:ascii="Arial" w:eastAsia="Times New Roman" w:hAnsi="Arial" w:cs="Arial"/>
                <w:b/>
                <w:color w:val="000000"/>
                <w:sz w:val="20"/>
                <w:szCs w:val="20"/>
              </w:rPr>
            </w:pPr>
            <w:r w:rsidRPr="00622CEE">
              <w:rPr>
                <w:rFonts w:ascii="Arial" w:eastAsia="Times New Roman" w:hAnsi="Arial" w:cs="Arial"/>
                <w:b/>
                <w:color w:val="000000"/>
                <w:sz w:val="20"/>
                <w:szCs w:val="20"/>
              </w:rPr>
              <w:t>POAF recurrence</w:t>
            </w:r>
            <w:r>
              <w:rPr>
                <w:rFonts w:ascii="Arial" w:eastAsia="Times New Roman" w:hAnsi="Arial" w:cs="Arial"/>
                <w:b/>
                <w:color w:val="000000"/>
                <w:sz w:val="20"/>
                <w:szCs w:val="20"/>
              </w:rPr>
              <w:t xml:space="preserve"> after discharge</w:t>
            </w:r>
            <w:r w:rsidRPr="00622CEE">
              <w:rPr>
                <w:rFonts w:ascii="Arial" w:eastAsia="Times New Roman" w:hAnsi="Arial" w:cs="Arial"/>
                <w:b/>
                <w:color w:val="000000"/>
                <w:sz w:val="20"/>
                <w:szCs w:val="20"/>
              </w:rPr>
              <w:t xml:space="preserve"> </w:t>
            </w:r>
          </w:p>
          <w:p w14:paraId="0AC7ADEC" w14:textId="77777777" w:rsidR="000362D0" w:rsidRPr="00622CEE" w:rsidRDefault="000362D0" w:rsidP="006F45B1">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n</w:t>
            </w:r>
            <w:r w:rsidRPr="00622CEE">
              <w:rPr>
                <w:rFonts w:ascii="Arial" w:eastAsia="Times New Roman" w:hAnsi="Arial" w:cs="Arial"/>
                <w:b/>
                <w:color w:val="000000"/>
                <w:sz w:val="20"/>
                <w:szCs w:val="20"/>
              </w:rPr>
              <w:t xml:space="preserve"> (%) </w:t>
            </w:r>
          </w:p>
        </w:tc>
        <w:tc>
          <w:tcPr>
            <w:tcW w:w="1701" w:type="dxa"/>
            <w:tcBorders>
              <w:top w:val="single" w:sz="4" w:space="0" w:color="auto"/>
              <w:bottom w:val="single" w:sz="4" w:space="0" w:color="auto"/>
            </w:tcBorders>
            <w:shd w:val="clear" w:color="auto" w:fill="B8CCE4" w:themeFill="accent1" w:themeFillTint="66"/>
            <w:hideMark/>
          </w:tcPr>
          <w:p w14:paraId="2967EA36" w14:textId="77777777" w:rsidR="000362D0" w:rsidRPr="00622CEE" w:rsidRDefault="000362D0" w:rsidP="006F45B1">
            <w:pPr>
              <w:spacing w:after="0" w:line="240" w:lineRule="auto"/>
              <w:rPr>
                <w:rFonts w:ascii="Arial" w:eastAsia="Times New Roman" w:hAnsi="Arial" w:cs="Arial"/>
                <w:b/>
                <w:color w:val="000000"/>
                <w:sz w:val="20"/>
                <w:szCs w:val="20"/>
              </w:rPr>
            </w:pPr>
            <w:r w:rsidRPr="00622CEE">
              <w:rPr>
                <w:rFonts w:ascii="Arial" w:eastAsia="Times New Roman" w:hAnsi="Arial" w:cs="Arial"/>
                <w:b/>
                <w:color w:val="000000"/>
                <w:sz w:val="20"/>
                <w:szCs w:val="20"/>
              </w:rPr>
              <w:t>Timeframe to recurrence</w:t>
            </w:r>
          </w:p>
        </w:tc>
        <w:tc>
          <w:tcPr>
            <w:tcW w:w="3402" w:type="dxa"/>
            <w:tcBorders>
              <w:top w:val="single" w:sz="4" w:space="0" w:color="auto"/>
              <w:bottom w:val="single" w:sz="4" w:space="0" w:color="auto"/>
            </w:tcBorders>
            <w:shd w:val="clear" w:color="auto" w:fill="B8CCE4" w:themeFill="accent1" w:themeFillTint="66"/>
            <w:hideMark/>
          </w:tcPr>
          <w:p w14:paraId="1290EB4B" w14:textId="77777777" w:rsidR="000362D0" w:rsidRPr="00622CEE" w:rsidRDefault="000362D0" w:rsidP="006F45B1">
            <w:pPr>
              <w:spacing w:after="0" w:line="240" w:lineRule="auto"/>
              <w:rPr>
                <w:rFonts w:ascii="Arial" w:eastAsia="Times New Roman" w:hAnsi="Arial" w:cs="Arial"/>
                <w:b/>
                <w:color w:val="000000"/>
                <w:sz w:val="20"/>
                <w:szCs w:val="20"/>
              </w:rPr>
            </w:pPr>
            <w:r w:rsidRPr="00622CEE">
              <w:rPr>
                <w:rFonts w:ascii="Arial" w:eastAsia="Times New Roman" w:hAnsi="Arial" w:cs="Arial"/>
                <w:b/>
                <w:color w:val="000000"/>
                <w:sz w:val="20"/>
                <w:szCs w:val="20"/>
              </w:rPr>
              <w:t>Symptom status of recurrences</w:t>
            </w:r>
          </w:p>
        </w:tc>
      </w:tr>
      <w:tr w:rsidR="000362D0" w:rsidRPr="00622CEE" w14:paraId="2F263EC9" w14:textId="77777777" w:rsidTr="006F45B1">
        <w:trPr>
          <w:trHeight w:val="411"/>
        </w:trPr>
        <w:tc>
          <w:tcPr>
            <w:tcW w:w="11922" w:type="dxa"/>
            <w:gridSpan w:val="7"/>
            <w:tcBorders>
              <w:top w:val="single" w:sz="4" w:space="0" w:color="auto"/>
            </w:tcBorders>
            <w:shd w:val="clear" w:color="auto" w:fill="D9D9D9" w:themeFill="background1" w:themeFillShade="D9"/>
            <w:vAlign w:val="center"/>
          </w:tcPr>
          <w:p w14:paraId="66B0FEA7" w14:textId="77777777" w:rsidR="000362D0" w:rsidRPr="00622CEE" w:rsidRDefault="000362D0" w:rsidP="006F45B1">
            <w:pPr>
              <w:spacing w:after="0" w:line="240" w:lineRule="auto"/>
              <w:rPr>
                <w:rFonts w:ascii="Arial" w:eastAsia="Times New Roman" w:hAnsi="Arial" w:cs="Arial"/>
                <w:b/>
                <w:color w:val="000000"/>
                <w:sz w:val="20"/>
                <w:szCs w:val="20"/>
              </w:rPr>
            </w:pPr>
            <w:r w:rsidRPr="00622CEE">
              <w:rPr>
                <w:rFonts w:ascii="Arial" w:hAnsi="Arial" w:cs="Arial"/>
                <w:b/>
                <w:color w:val="000000"/>
                <w:sz w:val="20"/>
                <w:szCs w:val="20"/>
              </w:rPr>
              <w:t>Intermittent monitoring</w:t>
            </w:r>
          </w:p>
        </w:tc>
      </w:tr>
      <w:tr w:rsidR="000362D0" w:rsidRPr="00622CEE" w14:paraId="3C4B82AE" w14:textId="77777777" w:rsidTr="006F45B1">
        <w:trPr>
          <w:trHeight w:val="664"/>
        </w:trPr>
        <w:tc>
          <w:tcPr>
            <w:tcW w:w="2283" w:type="dxa"/>
            <w:tcBorders>
              <w:top w:val="single" w:sz="4" w:space="0" w:color="auto"/>
            </w:tcBorders>
            <w:shd w:val="clear" w:color="auto" w:fill="auto"/>
            <w:hideMark/>
          </w:tcPr>
          <w:p w14:paraId="694370FF"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Ambrosetti et al; 2011</w:t>
            </w:r>
          </w:p>
        </w:tc>
        <w:tc>
          <w:tcPr>
            <w:tcW w:w="1134" w:type="dxa"/>
            <w:tcBorders>
              <w:top w:val="single" w:sz="4" w:space="0" w:color="auto"/>
            </w:tcBorders>
          </w:tcPr>
          <w:p w14:paraId="5B52C785"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67±10</w:t>
            </w:r>
          </w:p>
        </w:tc>
        <w:tc>
          <w:tcPr>
            <w:tcW w:w="851" w:type="dxa"/>
            <w:tcBorders>
              <w:top w:val="single" w:sz="4" w:space="0" w:color="auto"/>
            </w:tcBorders>
          </w:tcPr>
          <w:p w14:paraId="11BD0DD7"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75</w:t>
            </w:r>
          </w:p>
        </w:tc>
        <w:tc>
          <w:tcPr>
            <w:tcW w:w="992" w:type="dxa"/>
            <w:tcBorders>
              <w:top w:val="single" w:sz="4" w:space="0" w:color="auto"/>
            </w:tcBorders>
            <w:shd w:val="clear" w:color="auto" w:fill="auto"/>
            <w:hideMark/>
          </w:tcPr>
          <w:p w14:paraId="1CC8A063"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623</w:t>
            </w:r>
          </w:p>
        </w:tc>
        <w:tc>
          <w:tcPr>
            <w:tcW w:w="1559" w:type="dxa"/>
            <w:tcBorders>
              <w:top w:val="single" w:sz="4" w:space="0" w:color="auto"/>
            </w:tcBorders>
            <w:shd w:val="clear" w:color="auto" w:fill="auto"/>
            <w:hideMark/>
          </w:tcPr>
          <w:p w14:paraId="57BDC10B"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141 (22.6%)</w:t>
            </w:r>
          </w:p>
        </w:tc>
        <w:tc>
          <w:tcPr>
            <w:tcW w:w="1701" w:type="dxa"/>
            <w:tcBorders>
              <w:top w:val="single" w:sz="4" w:space="0" w:color="auto"/>
            </w:tcBorders>
            <w:shd w:val="clear" w:color="auto" w:fill="auto"/>
            <w:hideMark/>
          </w:tcPr>
          <w:p w14:paraId="25A39CFD"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b/>
                <w:color w:val="000000"/>
                <w:sz w:val="20"/>
                <w:szCs w:val="20"/>
              </w:rPr>
              <w:t>_</w:t>
            </w:r>
          </w:p>
        </w:tc>
        <w:tc>
          <w:tcPr>
            <w:tcW w:w="3402" w:type="dxa"/>
            <w:tcBorders>
              <w:top w:val="single" w:sz="4" w:space="0" w:color="auto"/>
            </w:tcBorders>
            <w:shd w:val="clear" w:color="auto" w:fill="auto"/>
            <w:hideMark/>
          </w:tcPr>
          <w:p w14:paraId="10CA4F29"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b/>
                <w:color w:val="000000"/>
                <w:sz w:val="20"/>
                <w:szCs w:val="20"/>
              </w:rPr>
              <w:t>_</w:t>
            </w:r>
          </w:p>
        </w:tc>
      </w:tr>
      <w:tr w:rsidR="000362D0" w:rsidRPr="00622CEE" w14:paraId="33112CF7" w14:textId="77777777" w:rsidTr="006F45B1">
        <w:trPr>
          <w:trHeight w:val="712"/>
        </w:trPr>
        <w:tc>
          <w:tcPr>
            <w:tcW w:w="2283" w:type="dxa"/>
            <w:shd w:val="clear" w:color="auto" w:fill="auto"/>
            <w:hideMark/>
          </w:tcPr>
          <w:p w14:paraId="37E11C30"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Cioffi et al; 2000</w:t>
            </w:r>
          </w:p>
        </w:tc>
        <w:tc>
          <w:tcPr>
            <w:tcW w:w="1134" w:type="dxa"/>
          </w:tcPr>
          <w:p w14:paraId="52032225"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65±9</w:t>
            </w:r>
          </w:p>
        </w:tc>
        <w:tc>
          <w:tcPr>
            <w:tcW w:w="851" w:type="dxa"/>
          </w:tcPr>
          <w:p w14:paraId="5D41D4EF"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68</w:t>
            </w:r>
          </w:p>
        </w:tc>
        <w:tc>
          <w:tcPr>
            <w:tcW w:w="992" w:type="dxa"/>
            <w:shd w:val="clear" w:color="auto" w:fill="auto"/>
            <w:hideMark/>
          </w:tcPr>
          <w:p w14:paraId="4192B974"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185</w:t>
            </w:r>
          </w:p>
        </w:tc>
        <w:tc>
          <w:tcPr>
            <w:tcW w:w="1559" w:type="dxa"/>
            <w:shd w:val="clear" w:color="auto" w:fill="auto"/>
            <w:hideMark/>
          </w:tcPr>
          <w:p w14:paraId="34E16ECF"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60 (32.4%)</w:t>
            </w:r>
          </w:p>
        </w:tc>
        <w:tc>
          <w:tcPr>
            <w:tcW w:w="1701" w:type="dxa"/>
            <w:shd w:val="clear" w:color="auto" w:fill="auto"/>
            <w:hideMark/>
          </w:tcPr>
          <w:p w14:paraId="4764C29B"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12±5 days post-surgery</w:t>
            </w:r>
          </w:p>
        </w:tc>
        <w:tc>
          <w:tcPr>
            <w:tcW w:w="3402" w:type="dxa"/>
            <w:shd w:val="clear" w:color="auto" w:fill="auto"/>
            <w:hideMark/>
          </w:tcPr>
          <w:p w14:paraId="7F8A921E"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53% asymptomatic</w:t>
            </w:r>
          </w:p>
          <w:p w14:paraId="021472A0"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 xml:space="preserve">47% symptomatic </w:t>
            </w:r>
          </w:p>
          <w:p w14:paraId="657E22FD" w14:textId="77777777" w:rsidR="000362D0" w:rsidRPr="00622CEE" w:rsidRDefault="000362D0" w:rsidP="006F45B1">
            <w:pPr>
              <w:spacing w:after="0" w:line="240" w:lineRule="auto"/>
              <w:rPr>
                <w:rFonts w:ascii="Arial" w:eastAsia="Times New Roman" w:hAnsi="Arial" w:cs="Arial"/>
                <w:color w:val="000000"/>
                <w:sz w:val="20"/>
                <w:szCs w:val="20"/>
              </w:rPr>
            </w:pPr>
          </w:p>
        </w:tc>
      </w:tr>
      <w:tr w:rsidR="000362D0" w:rsidRPr="00622CEE" w14:paraId="7AD2DD8C" w14:textId="77777777" w:rsidTr="006F45B1">
        <w:trPr>
          <w:trHeight w:val="850"/>
        </w:trPr>
        <w:tc>
          <w:tcPr>
            <w:tcW w:w="2283" w:type="dxa"/>
            <w:shd w:val="clear" w:color="auto" w:fill="auto"/>
            <w:hideMark/>
          </w:tcPr>
          <w:p w14:paraId="34F6BD2C"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Cioffi et al; 2001 (retrospective arm)</w:t>
            </w:r>
          </w:p>
        </w:tc>
        <w:tc>
          <w:tcPr>
            <w:tcW w:w="1134" w:type="dxa"/>
          </w:tcPr>
          <w:p w14:paraId="78C418B9"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62±10</w:t>
            </w:r>
          </w:p>
        </w:tc>
        <w:tc>
          <w:tcPr>
            <w:tcW w:w="851" w:type="dxa"/>
          </w:tcPr>
          <w:p w14:paraId="15F565F3"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72</w:t>
            </w:r>
          </w:p>
        </w:tc>
        <w:tc>
          <w:tcPr>
            <w:tcW w:w="992" w:type="dxa"/>
            <w:shd w:val="clear" w:color="auto" w:fill="auto"/>
            <w:hideMark/>
          </w:tcPr>
          <w:p w14:paraId="0254CEC2"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93</w:t>
            </w:r>
          </w:p>
        </w:tc>
        <w:tc>
          <w:tcPr>
            <w:tcW w:w="1559" w:type="dxa"/>
            <w:shd w:val="clear" w:color="auto" w:fill="auto"/>
            <w:hideMark/>
          </w:tcPr>
          <w:p w14:paraId="0A8C93CA"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35 (37.6%)</w:t>
            </w:r>
          </w:p>
        </w:tc>
        <w:tc>
          <w:tcPr>
            <w:tcW w:w="1701" w:type="dxa"/>
            <w:shd w:val="clear" w:color="auto" w:fill="auto"/>
            <w:hideMark/>
          </w:tcPr>
          <w:p w14:paraId="4E0E5F69"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12±4 days post-surgery</w:t>
            </w:r>
          </w:p>
        </w:tc>
        <w:tc>
          <w:tcPr>
            <w:tcW w:w="3402" w:type="dxa"/>
            <w:shd w:val="clear" w:color="auto" w:fill="auto"/>
            <w:hideMark/>
          </w:tcPr>
          <w:p w14:paraId="186F245E"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48% asymptomatic</w:t>
            </w:r>
            <w:r w:rsidRPr="00622CEE">
              <w:rPr>
                <w:rFonts w:ascii="Arial" w:eastAsia="Times New Roman" w:hAnsi="Arial" w:cs="Arial"/>
                <w:color w:val="000000"/>
                <w:sz w:val="20"/>
                <w:szCs w:val="20"/>
              </w:rPr>
              <w:br/>
              <w:t>52% symptomatic and higher ventricular rate</w:t>
            </w:r>
          </w:p>
        </w:tc>
      </w:tr>
      <w:tr w:rsidR="000362D0" w:rsidRPr="00622CEE" w14:paraId="6701E046" w14:textId="77777777" w:rsidTr="006F45B1">
        <w:trPr>
          <w:trHeight w:val="989"/>
        </w:trPr>
        <w:tc>
          <w:tcPr>
            <w:tcW w:w="2283" w:type="dxa"/>
            <w:shd w:val="clear" w:color="auto" w:fill="auto"/>
            <w:hideMark/>
          </w:tcPr>
          <w:p w14:paraId="068A34EE"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Funk et al; 2003</w:t>
            </w:r>
          </w:p>
        </w:tc>
        <w:tc>
          <w:tcPr>
            <w:tcW w:w="1134" w:type="dxa"/>
          </w:tcPr>
          <w:p w14:paraId="7F1D45AE"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64±11</w:t>
            </w:r>
          </w:p>
        </w:tc>
        <w:tc>
          <w:tcPr>
            <w:tcW w:w="851" w:type="dxa"/>
          </w:tcPr>
          <w:p w14:paraId="21071F65"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73</w:t>
            </w:r>
          </w:p>
        </w:tc>
        <w:tc>
          <w:tcPr>
            <w:tcW w:w="992" w:type="dxa"/>
            <w:shd w:val="clear" w:color="auto" w:fill="auto"/>
            <w:hideMark/>
          </w:tcPr>
          <w:p w14:paraId="294C30D9"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117</w:t>
            </w:r>
          </w:p>
        </w:tc>
        <w:tc>
          <w:tcPr>
            <w:tcW w:w="1559" w:type="dxa"/>
            <w:shd w:val="clear" w:color="auto" w:fill="auto"/>
            <w:hideMark/>
          </w:tcPr>
          <w:p w14:paraId="6AFAAF6C"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31 (26.5%)</w:t>
            </w:r>
          </w:p>
        </w:tc>
        <w:tc>
          <w:tcPr>
            <w:tcW w:w="1701" w:type="dxa"/>
            <w:shd w:val="clear" w:color="auto" w:fill="auto"/>
            <w:hideMark/>
          </w:tcPr>
          <w:p w14:paraId="2E28C416"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 xml:space="preserve">_ </w:t>
            </w:r>
          </w:p>
        </w:tc>
        <w:tc>
          <w:tcPr>
            <w:tcW w:w="3402" w:type="dxa"/>
            <w:shd w:val="clear" w:color="auto" w:fill="auto"/>
            <w:hideMark/>
          </w:tcPr>
          <w:p w14:paraId="6CF75196"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69% asymptomatic</w:t>
            </w:r>
            <w:r w:rsidRPr="00622CEE">
              <w:rPr>
                <w:rFonts w:ascii="Arial" w:eastAsia="Times New Roman" w:hAnsi="Arial" w:cs="Arial"/>
                <w:color w:val="000000"/>
                <w:sz w:val="20"/>
                <w:szCs w:val="20"/>
              </w:rPr>
              <w:br/>
              <w:t>17% palpitations</w:t>
            </w:r>
            <w:r w:rsidRPr="00622CEE">
              <w:rPr>
                <w:rFonts w:ascii="Arial" w:eastAsia="Times New Roman" w:hAnsi="Arial" w:cs="Arial"/>
                <w:color w:val="000000"/>
                <w:sz w:val="20"/>
                <w:szCs w:val="20"/>
              </w:rPr>
              <w:br/>
              <w:t>14% atypical symptoms</w:t>
            </w:r>
          </w:p>
        </w:tc>
      </w:tr>
      <w:tr w:rsidR="000362D0" w:rsidRPr="00622CEE" w14:paraId="6EF73746" w14:textId="77777777" w:rsidTr="006F45B1">
        <w:trPr>
          <w:trHeight w:val="564"/>
        </w:trPr>
        <w:tc>
          <w:tcPr>
            <w:tcW w:w="2283" w:type="dxa"/>
            <w:shd w:val="clear" w:color="auto" w:fill="auto"/>
            <w:hideMark/>
          </w:tcPr>
          <w:p w14:paraId="4E05D623"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Giaccardi et al; 2011</w:t>
            </w:r>
          </w:p>
        </w:tc>
        <w:tc>
          <w:tcPr>
            <w:tcW w:w="1134" w:type="dxa"/>
          </w:tcPr>
          <w:p w14:paraId="50F4EE75"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74±6</w:t>
            </w:r>
          </w:p>
        </w:tc>
        <w:tc>
          <w:tcPr>
            <w:tcW w:w="851" w:type="dxa"/>
          </w:tcPr>
          <w:p w14:paraId="5F6CCE00"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57</w:t>
            </w:r>
          </w:p>
        </w:tc>
        <w:tc>
          <w:tcPr>
            <w:tcW w:w="992" w:type="dxa"/>
            <w:shd w:val="clear" w:color="auto" w:fill="auto"/>
            <w:hideMark/>
          </w:tcPr>
          <w:p w14:paraId="6C27CB7C"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65</w:t>
            </w:r>
          </w:p>
        </w:tc>
        <w:tc>
          <w:tcPr>
            <w:tcW w:w="1559" w:type="dxa"/>
            <w:shd w:val="clear" w:color="auto" w:fill="auto"/>
            <w:hideMark/>
          </w:tcPr>
          <w:p w14:paraId="4DB64D0E"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22 (33.8%)</w:t>
            </w:r>
          </w:p>
        </w:tc>
        <w:tc>
          <w:tcPr>
            <w:tcW w:w="1701" w:type="dxa"/>
            <w:shd w:val="clear" w:color="auto" w:fill="auto"/>
            <w:hideMark/>
          </w:tcPr>
          <w:p w14:paraId="65B6F969"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b/>
                <w:color w:val="000000"/>
                <w:sz w:val="20"/>
                <w:szCs w:val="20"/>
              </w:rPr>
              <w:t>_</w:t>
            </w:r>
          </w:p>
        </w:tc>
        <w:tc>
          <w:tcPr>
            <w:tcW w:w="3402" w:type="dxa"/>
            <w:shd w:val="clear" w:color="auto" w:fill="auto"/>
            <w:hideMark/>
          </w:tcPr>
          <w:p w14:paraId="378B1D7E"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b/>
                <w:color w:val="000000"/>
                <w:sz w:val="20"/>
                <w:szCs w:val="20"/>
              </w:rPr>
              <w:t>_</w:t>
            </w:r>
          </w:p>
        </w:tc>
      </w:tr>
      <w:tr w:rsidR="000362D0" w:rsidRPr="00622CEE" w14:paraId="1B70C940" w14:textId="77777777" w:rsidTr="006F45B1">
        <w:trPr>
          <w:trHeight w:val="426"/>
        </w:trPr>
        <w:tc>
          <w:tcPr>
            <w:tcW w:w="2283" w:type="dxa"/>
            <w:tcBorders>
              <w:bottom w:val="single" w:sz="4" w:space="0" w:color="auto"/>
            </w:tcBorders>
            <w:shd w:val="clear" w:color="auto" w:fill="auto"/>
          </w:tcPr>
          <w:p w14:paraId="1D1063BB" w14:textId="77777777" w:rsidR="000362D0" w:rsidRPr="006B51C5" w:rsidRDefault="000362D0" w:rsidP="006F45B1">
            <w:pPr>
              <w:spacing w:after="0" w:line="240" w:lineRule="auto"/>
              <w:rPr>
                <w:rFonts w:ascii="Arial" w:eastAsia="Times New Roman" w:hAnsi="Arial" w:cs="Arial"/>
                <w:sz w:val="20"/>
                <w:szCs w:val="20"/>
              </w:rPr>
            </w:pPr>
            <w:r w:rsidRPr="006B51C5">
              <w:rPr>
                <w:rFonts w:ascii="Arial" w:eastAsia="Times New Roman" w:hAnsi="Arial" w:cs="Arial"/>
                <w:sz w:val="20"/>
                <w:szCs w:val="20"/>
              </w:rPr>
              <w:t>Lowres et al; 2015</w:t>
            </w:r>
          </w:p>
        </w:tc>
        <w:tc>
          <w:tcPr>
            <w:tcW w:w="1134" w:type="dxa"/>
            <w:tcBorders>
              <w:bottom w:val="single" w:sz="4" w:space="0" w:color="auto"/>
            </w:tcBorders>
          </w:tcPr>
          <w:p w14:paraId="18CEB49C"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69±9</w:t>
            </w:r>
          </w:p>
        </w:tc>
        <w:tc>
          <w:tcPr>
            <w:tcW w:w="851" w:type="dxa"/>
            <w:tcBorders>
              <w:bottom w:val="single" w:sz="4" w:space="0" w:color="auto"/>
            </w:tcBorders>
          </w:tcPr>
          <w:p w14:paraId="4CF37693"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80</w:t>
            </w:r>
          </w:p>
        </w:tc>
        <w:tc>
          <w:tcPr>
            <w:tcW w:w="992" w:type="dxa"/>
            <w:tcBorders>
              <w:bottom w:val="single" w:sz="4" w:space="0" w:color="auto"/>
            </w:tcBorders>
            <w:shd w:val="clear" w:color="auto" w:fill="auto"/>
          </w:tcPr>
          <w:p w14:paraId="3318BE32"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42</w:t>
            </w:r>
          </w:p>
        </w:tc>
        <w:tc>
          <w:tcPr>
            <w:tcW w:w="1559" w:type="dxa"/>
            <w:tcBorders>
              <w:bottom w:val="single" w:sz="4" w:space="0" w:color="auto"/>
            </w:tcBorders>
            <w:shd w:val="clear" w:color="auto" w:fill="auto"/>
          </w:tcPr>
          <w:p w14:paraId="57454101"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10 (23.8%)</w:t>
            </w:r>
          </w:p>
        </w:tc>
        <w:tc>
          <w:tcPr>
            <w:tcW w:w="1701" w:type="dxa"/>
            <w:tcBorders>
              <w:bottom w:val="single" w:sz="4" w:space="0" w:color="auto"/>
            </w:tcBorders>
            <w:shd w:val="clear" w:color="auto" w:fill="auto"/>
          </w:tcPr>
          <w:p w14:paraId="16DBB016"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12.5±6 days post-surgery</w:t>
            </w:r>
          </w:p>
        </w:tc>
        <w:tc>
          <w:tcPr>
            <w:tcW w:w="3402" w:type="dxa"/>
            <w:tcBorders>
              <w:bottom w:val="single" w:sz="4" w:space="0" w:color="auto"/>
            </w:tcBorders>
            <w:shd w:val="clear" w:color="auto" w:fill="auto"/>
          </w:tcPr>
          <w:p w14:paraId="04FF04FA"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40% asymptomatic</w:t>
            </w:r>
          </w:p>
          <w:p w14:paraId="466E9B26"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30% palpitations</w:t>
            </w:r>
          </w:p>
          <w:p w14:paraId="1C42E0B7"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22% atypical</w:t>
            </w:r>
          </w:p>
          <w:p w14:paraId="4CB39323" w14:textId="77777777" w:rsidR="000362D0" w:rsidRPr="00622CEE" w:rsidRDefault="000362D0" w:rsidP="006F45B1">
            <w:pPr>
              <w:spacing w:after="0" w:line="240" w:lineRule="auto"/>
              <w:ind w:left="314" w:hanging="314"/>
              <w:rPr>
                <w:rFonts w:ascii="Arial" w:eastAsia="Times New Roman" w:hAnsi="Arial" w:cs="Arial"/>
                <w:color w:val="000000"/>
                <w:sz w:val="20"/>
                <w:szCs w:val="20"/>
              </w:rPr>
            </w:pPr>
            <w:r w:rsidRPr="00622CEE">
              <w:rPr>
                <w:rFonts w:ascii="Arial" w:eastAsia="Times New Roman" w:hAnsi="Arial" w:cs="Arial"/>
                <w:color w:val="000000"/>
                <w:sz w:val="20"/>
                <w:szCs w:val="20"/>
              </w:rPr>
              <w:t xml:space="preserve">11% mixture palpitations </w:t>
            </w:r>
            <w:r w:rsidRPr="00622CEE">
              <w:rPr>
                <w:rFonts w:ascii="Arial" w:eastAsia="Times New Roman" w:hAnsi="Arial" w:cs="Arial"/>
                <w:color w:val="000000"/>
                <w:sz w:val="20"/>
                <w:szCs w:val="20"/>
              </w:rPr>
              <w:sym w:font="Symbol" w:char="F0B1"/>
            </w:r>
            <w:r w:rsidRPr="00622CEE">
              <w:rPr>
                <w:rFonts w:ascii="Arial" w:eastAsia="Times New Roman" w:hAnsi="Arial" w:cs="Arial"/>
                <w:color w:val="000000"/>
                <w:sz w:val="20"/>
                <w:szCs w:val="20"/>
              </w:rPr>
              <w:t xml:space="preserve"> atypical </w:t>
            </w:r>
          </w:p>
          <w:p w14:paraId="20208A92" w14:textId="77777777" w:rsidR="000362D0" w:rsidRPr="00622CEE" w:rsidRDefault="000362D0" w:rsidP="006F45B1">
            <w:pPr>
              <w:spacing w:after="0" w:line="240" w:lineRule="auto"/>
              <w:rPr>
                <w:rFonts w:ascii="Arial" w:eastAsia="Times New Roman" w:hAnsi="Arial" w:cs="Arial"/>
                <w:b/>
                <w:color w:val="000000"/>
                <w:sz w:val="20"/>
                <w:szCs w:val="20"/>
              </w:rPr>
            </w:pPr>
          </w:p>
        </w:tc>
      </w:tr>
      <w:tr w:rsidR="000362D0" w:rsidRPr="00622CEE" w14:paraId="0952B72F" w14:textId="77777777" w:rsidTr="006F45B1">
        <w:trPr>
          <w:trHeight w:val="397"/>
        </w:trPr>
        <w:tc>
          <w:tcPr>
            <w:tcW w:w="11922" w:type="dxa"/>
            <w:gridSpan w:val="7"/>
            <w:tcBorders>
              <w:top w:val="single" w:sz="4" w:space="0" w:color="auto"/>
              <w:bottom w:val="single" w:sz="4" w:space="0" w:color="auto"/>
            </w:tcBorders>
            <w:shd w:val="clear" w:color="auto" w:fill="D9D9D9" w:themeFill="background1" w:themeFillShade="D9"/>
            <w:vAlign w:val="center"/>
          </w:tcPr>
          <w:p w14:paraId="50E5574B" w14:textId="77777777" w:rsidR="000362D0" w:rsidRPr="006B51C5" w:rsidRDefault="000362D0" w:rsidP="006F45B1">
            <w:pPr>
              <w:spacing w:after="0" w:line="240" w:lineRule="auto"/>
              <w:rPr>
                <w:rFonts w:ascii="Arial" w:eastAsia="Times New Roman" w:hAnsi="Arial" w:cs="Arial"/>
                <w:sz w:val="20"/>
                <w:szCs w:val="20"/>
              </w:rPr>
            </w:pPr>
            <w:r w:rsidRPr="006B51C5">
              <w:rPr>
                <w:rFonts w:ascii="Arial" w:hAnsi="Arial" w:cs="Arial"/>
                <w:b/>
                <w:sz w:val="20"/>
                <w:szCs w:val="20"/>
              </w:rPr>
              <w:t>Implanted cardiac monitoring</w:t>
            </w:r>
          </w:p>
        </w:tc>
      </w:tr>
      <w:tr w:rsidR="000362D0" w:rsidRPr="00622CEE" w14:paraId="1DA25E84" w14:textId="77777777" w:rsidTr="006F45B1">
        <w:trPr>
          <w:trHeight w:val="699"/>
        </w:trPr>
        <w:tc>
          <w:tcPr>
            <w:tcW w:w="2283" w:type="dxa"/>
            <w:tcBorders>
              <w:top w:val="single" w:sz="4" w:space="0" w:color="auto"/>
            </w:tcBorders>
            <w:shd w:val="clear" w:color="auto" w:fill="auto"/>
            <w:hideMark/>
          </w:tcPr>
          <w:p w14:paraId="454A3EDF"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Lomivorotov et al; 2014</w:t>
            </w:r>
          </w:p>
        </w:tc>
        <w:tc>
          <w:tcPr>
            <w:tcW w:w="1134" w:type="dxa"/>
            <w:tcBorders>
              <w:top w:val="single" w:sz="4" w:space="0" w:color="auto"/>
            </w:tcBorders>
          </w:tcPr>
          <w:p w14:paraId="4C5ABEB6"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62±5</w:t>
            </w:r>
          </w:p>
        </w:tc>
        <w:tc>
          <w:tcPr>
            <w:tcW w:w="851" w:type="dxa"/>
            <w:tcBorders>
              <w:top w:val="single" w:sz="4" w:space="0" w:color="auto"/>
            </w:tcBorders>
          </w:tcPr>
          <w:p w14:paraId="505333D1"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95</w:t>
            </w:r>
          </w:p>
        </w:tc>
        <w:tc>
          <w:tcPr>
            <w:tcW w:w="992" w:type="dxa"/>
            <w:tcBorders>
              <w:top w:val="single" w:sz="4" w:space="0" w:color="auto"/>
            </w:tcBorders>
            <w:shd w:val="clear" w:color="auto" w:fill="auto"/>
            <w:hideMark/>
          </w:tcPr>
          <w:p w14:paraId="22F7C1C1"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9</w:t>
            </w:r>
          </w:p>
        </w:tc>
        <w:tc>
          <w:tcPr>
            <w:tcW w:w="1559" w:type="dxa"/>
            <w:tcBorders>
              <w:top w:val="single" w:sz="4" w:space="0" w:color="auto"/>
            </w:tcBorders>
            <w:shd w:val="clear" w:color="auto" w:fill="auto"/>
            <w:hideMark/>
          </w:tcPr>
          <w:p w14:paraId="15D0C103"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9 (100%)</w:t>
            </w:r>
          </w:p>
        </w:tc>
        <w:tc>
          <w:tcPr>
            <w:tcW w:w="1701" w:type="dxa"/>
            <w:tcBorders>
              <w:top w:val="single" w:sz="4" w:space="0" w:color="auto"/>
            </w:tcBorders>
            <w:shd w:val="clear" w:color="auto" w:fill="auto"/>
            <w:hideMark/>
          </w:tcPr>
          <w:p w14:paraId="048956E7"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_</w:t>
            </w:r>
          </w:p>
        </w:tc>
        <w:tc>
          <w:tcPr>
            <w:tcW w:w="3402" w:type="dxa"/>
            <w:tcBorders>
              <w:top w:val="single" w:sz="4" w:space="0" w:color="auto"/>
            </w:tcBorders>
            <w:shd w:val="clear" w:color="auto" w:fill="auto"/>
            <w:hideMark/>
          </w:tcPr>
          <w:p w14:paraId="23D781FC"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b/>
                <w:color w:val="000000"/>
                <w:sz w:val="20"/>
                <w:szCs w:val="20"/>
              </w:rPr>
              <w:t>_</w:t>
            </w:r>
          </w:p>
        </w:tc>
      </w:tr>
      <w:tr w:rsidR="000362D0" w:rsidRPr="00622CEE" w14:paraId="60A1686E" w14:textId="77777777" w:rsidTr="006F45B1">
        <w:trPr>
          <w:trHeight w:val="686"/>
        </w:trPr>
        <w:tc>
          <w:tcPr>
            <w:tcW w:w="2283" w:type="dxa"/>
            <w:tcBorders>
              <w:bottom w:val="single" w:sz="4" w:space="0" w:color="auto"/>
            </w:tcBorders>
            <w:shd w:val="clear" w:color="auto" w:fill="auto"/>
          </w:tcPr>
          <w:p w14:paraId="7910A9BE"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El-Chami et al; 2016</w:t>
            </w:r>
          </w:p>
        </w:tc>
        <w:tc>
          <w:tcPr>
            <w:tcW w:w="1134" w:type="dxa"/>
            <w:tcBorders>
              <w:bottom w:val="single" w:sz="4" w:space="0" w:color="auto"/>
            </w:tcBorders>
          </w:tcPr>
          <w:p w14:paraId="0F4CDC48"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69±7</w:t>
            </w:r>
          </w:p>
        </w:tc>
        <w:tc>
          <w:tcPr>
            <w:tcW w:w="851" w:type="dxa"/>
            <w:tcBorders>
              <w:bottom w:val="single" w:sz="4" w:space="0" w:color="auto"/>
            </w:tcBorders>
          </w:tcPr>
          <w:p w14:paraId="12AB6C2F" w14:textId="77777777" w:rsidR="000362D0" w:rsidRPr="00622CEE" w:rsidRDefault="000362D0" w:rsidP="006F45B1">
            <w:pPr>
              <w:rPr>
                <w:rFonts w:ascii="Arial" w:eastAsia="Times New Roman" w:hAnsi="Arial" w:cs="Arial"/>
                <w:sz w:val="20"/>
                <w:szCs w:val="20"/>
              </w:rPr>
            </w:pPr>
            <w:r w:rsidRPr="00622CEE">
              <w:rPr>
                <w:rFonts w:ascii="Arial" w:eastAsia="Times New Roman" w:hAnsi="Arial" w:cs="Arial"/>
                <w:sz w:val="20"/>
                <w:szCs w:val="20"/>
              </w:rPr>
              <w:t>87</w:t>
            </w:r>
          </w:p>
        </w:tc>
        <w:tc>
          <w:tcPr>
            <w:tcW w:w="992" w:type="dxa"/>
            <w:tcBorders>
              <w:bottom w:val="single" w:sz="4" w:space="0" w:color="auto"/>
            </w:tcBorders>
            <w:shd w:val="clear" w:color="auto" w:fill="auto"/>
          </w:tcPr>
          <w:p w14:paraId="5561F920"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23</w:t>
            </w:r>
          </w:p>
        </w:tc>
        <w:tc>
          <w:tcPr>
            <w:tcW w:w="1559" w:type="dxa"/>
            <w:tcBorders>
              <w:bottom w:val="single" w:sz="4" w:space="0" w:color="auto"/>
            </w:tcBorders>
            <w:shd w:val="clear" w:color="auto" w:fill="auto"/>
          </w:tcPr>
          <w:p w14:paraId="2A9F275A"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14 (60.8%)</w:t>
            </w:r>
          </w:p>
          <w:p w14:paraId="36B582A9"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(9 found in &lt;3 months)</w:t>
            </w:r>
          </w:p>
        </w:tc>
        <w:tc>
          <w:tcPr>
            <w:tcW w:w="1701" w:type="dxa"/>
            <w:tcBorders>
              <w:bottom w:val="single" w:sz="4" w:space="0" w:color="auto"/>
            </w:tcBorders>
            <w:shd w:val="clear" w:color="auto" w:fill="auto"/>
          </w:tcPr>
          <w:p w14:paraId="6C625480"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146±250 days</w:t>
            </w:r>
          </w:p>
        </w:tc>
        <w:tc>
          <w:tcPr>
            <w:tcW w:w="3402" w:type="dxa"/>
            <w:tcBorders>
              <w:bottom w:val="single" w:sz="4" w:space="0" w:color="auto"/>
            </w:tcBorders>
            <w:shd w:val="clear" w:color="auto" w:fill="auto"/>
          </w:tcPr>
          <w:p w14:paraId="13509ACE"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93% asymptomatic</w:t>
            </w:r>
          </w:p>
          <w:p w14:paraId="164F7E52" w14:textId="77777777" w:rsidR="000362D0" w:rsidRPr="00622CEE" w:rsidRDefault="000362D0" w:rsidP="006F45B1">
            <w:pPr>
              <w:spacing w:after="0" w:line="240" w:lineRule="auto"/>
              <w:rPr>
                <w:rFonts w:ascii="Arial" w:eastAsia="Times New Roman" w:hAnsi="Arial" w:cs="Arial"/>
                <w:color w:val="000000"/>
                <w:sz w:val="20"/>
                <w:szCs w:val="20"/>
              </w:rPr>
            </w:pPr>
            <w:r w:rsidRPr="00622CEE">
              <w:rPr>
                <w:rFonts w:ascii="Arial" w:eastAsia="Times New Roman" w:hAnsi="Arial" w:cs="Arial"/>
                <w:color w:val="000000"/>
                <w:sz w:val="20"/>
                <w:szCs w:val="20"/>
              </w:rPr>
              <w:t>7% symptomatic</w:t>
            </w:r>
          </w:p>
          <w:p w14:paraId="02ADCD16" w14:textId="77777777" w:rsidR="000362D0" w:rsidRPr="00622CEE" w:rsidRDefault="000362D0" w:rsidP="006F45B1">
            <w:pPr>
              <w:spacing w:after="0" w:line="240" w:lineRule="auto"/>
              <w:rPr>
                <w:rFonts w:ascii="Arial" w:eastAsia="Times New Roman" w:hAnsi="Arial" w:cs="Arial"/>
                <w:b/>
                <w:color w:val="000000"/>
                <w:sz w:val="20"/>
                <w:szCs w:val="20"/>
              </w:rPr>
            </w:pPr>
          </w:p>
        </w:tc>
      </w:tr>
      <w:tr w:rsidR="000362D0" w:rsidRPr="00622CEE" w14:paraId="0C01C2DA" w14:textId="77777777" w:rsidTr="006F45B1">
        <w:trPr>
          <w:trHeight w:val="426"/>
        </w:trPr>
        <w:tc>
          <w:tcPr>
            <w:tcW w:w="11922" w:type="dxa"/>
            <w:gridSpan w:val="7"/>
            <w:tcBorders>
              <w:top w:val="single" w:sz="4" w:space="0" w:color="auto"/>
              <w:bottom w:val="single" w:sz="4" w:space="0" w:color="auto"/>
            </w:tcBorders>
            <w:shd w:val="clear" w:color="auto" w:fill="auto"/>
          </w:tcPr>
          <w:p w14:paraId="2B3040F2" w14:textId="77777777" w:rsidR="000362D0" w:rsidRPr="00622CEE" w:rsidRDefault="000362D0" w:rsidP="006F45B1">
            <w:pPr>
              <w:spacing w:after="0" w:line="240" w:lineRule="auto"/>
              <w:rPr>
                <w:rFonts w:ascii="Arial" w:eastAsia="Times New Roman" w:hAnsi="Arial" w:cs="Arial"/>
                <w:i/>
                <w:color w:val="FF0000"/>
                <w:sz w:val="20"/>
                <w:szCs w:val="20"/>
              </w:rPr>
            </w:pPr>
            <w:r>
              <w:rPr>
                <w:rFonts w:ascii="Arial" w:eastAsia="Times New Roman" w:hAnsi="Arial" w:cs="Arial"/>
                <w:color w:val="000000"/>
                <w:sz w:val="20"/>
                <w:szCs w:val="20"/>
              </w:rPr>
              <w:t>PO</w:t>
            </w:r>
            <w:r w:rsidRPr="00622CEE">
              <w:rPr>
                <w:rFonts w:ascii="Arial" w:eastAsia="Times New Roman" w:hAnsi="Arial" w:cs="Arial"/>
                <w:color w:val="000000"/>
                <w:sz w:val="20"/>
                <w:szCs w:val="20"/>
              </w:rPr>
              <w:t xml:space="preserve">AF: </w:t>
            </w:r>
            <w:r>
              <w:rPr>
                <w:rFonts w:ascii="Arial" w:eastAsia="Times New Roman" w:hAnsi="Arial" w:cs="Arial"/>
                <w:color w:val="000000"/>
                <w:sz w:val="20"/>
                <w:szCs w:val="20"/>
              </w:rPr>
              <w:t xml:space="preserve">postoperative </w:t>
            </w:r>
            <w:r w:rsidRPr="00622CEE">
              <w:rPr>
                <w:rFonts w:ascii="Arial" w:eastAsia="Times New Roman" w:hAnsi="Arial" w:cs="Arial"/>
                <w:color w:val="000000"/>
                <w:sz w:val="20"/>
                <w:szCs w:val="20"/>
              </w:rPr>
              <w:t>atrial fibrillation</w:t>
            </w:r>
          </w:p>
          <w:p w14:paraId="75384D7E" w14:textId="77777777" w:rsidR="000362D0" w:rsidRPr="00622CEE" w:rsidRDefault="000362D0" w:rsidP="006F45B1">
            <w:pPr>
              <w:spacing w:after="0" w:line="240" w:lineRule="auto"/>
              <w:rPr>
                <w:rFonts w:ascii="Arial" w:eastAsia="Times New Roman" w:hAnsi="Arial" w:cs="Arial"/>
                <w:color w:val="000000"/>
                <w:sz w:val="20"/>
                <w:szCs w:val="20"/>
              </w:rPr>
            </w:pPr>
          </w:p>
        </w:tc>
      </w:tr>
    </w:tbl>
    <w:p w14:paraId="3A9CE436" w14:textId="77777777" w:rsidR="000362D0" w:rsidRDefault="000362D0" w:rsidP="006F45B1">
      <w:pPr>
        <w:rPr>
          <w:rFonts w:ascii="Arial" w:hAnsi="Arial" w:cs="Arial"/>
          <w:sz w:val="16"/>
          <w:szCs w:val="16"/>
        </w:rPr>
        <w:sectPr w:rsidR="000362D0" w:rsidSect="006F45B1">
          <w:pgSz w:w="16838" w:h="11906" w:orient="landscape"/>
          <w:pgMar w:top="284" w:right="720" w:bottom="720" w:left="720" w:header="708" w:footer="708" w:gutter="0"/>
          <w:cols w:space="708"/>
          <w:docGrid w:linePitch="360"/>
        </w:sectPr>
      </w:pPr>
    </w:p>
    <w:tbl>
      <w:tblPr>
        <w:tblStyle w:val="TableGrid"/>
        <w:tblW w:w="9186" w:type="dxa"/>
        <w:tblInd w:w="-856" w:type="dxa"/>
        <w:tblLook w:val="04A0" w:firstRow="1" w:lastRow="0" w:firstColumn="1" w:lastColumn="0" w:noHBand="0" w:noVBand="1"/>
      </w:tblPr>
      <w:tblGrid>
        <w:gridCol w:w="1957"/>
        <w:gridCol w:w="2835"/>
        <w:gridCol w:w="1701"/>
        <w:gridCol w:w="1701"/>
        <w:gridCol w:w="992"/>
      </w:tblGrid>
      <w:tr w:rsidR="000362D0" w:rsidRPr="00BD74BF" w14:paraId="01A15B16" w14:textId="77777777" w:rsidTr="006F45B1">
        <w:tc>
          <w:tcPr>
            <w:tcW w:w="9186" w:type="dxa"/>
            <w:gridSpan w:val="5"/>
            <w:tcBorders>
              <w:top w:val="nil"/>
              <w:left w:val="nil"/>
              <w:bottom w:val="single" w:sz="4" w:space="0" w:color="auto"/>
              <w:right w:val="nil"/>
            </w:tcBorders>
          </w:tcPr>
          <w:p w14:paraId="2FEBBC3E" w14:textId="77777777" w:rsidR="000362D0" w:rsidRPr="00BD74BF" w:rsidRDefault="000362D0" w:rsidP="006F45B1">
            <w:pPr>
              <w:spacing w:after="0" w:line="360" w:lineRule="auto"/>
              <w:rPr>
                <w:rFonts w:ascii="Arial" w:hAnsi="Arial" w:cs="Arial"/>
                <w:b/>
                <w:sz w:val="20"/>
                <w:szCs w:val="20"/>
              </w:rPr>
            </w:pPr>
            <w:bookmarkStart w:id="3" w:name="_Hlk493242814"/>
            <w:r w:rsidRPr="00BD74BF">
              <w:rPr>
                <w:rFonts w:ascii="Arial" w:hAnsi="Arial" w:cs="Arial"/>
                <w:b/>
                <w:sz w:val="20"/>
                <w:szCs w:val="20"/>
              </w:rPr>
              <w:lastRenderedPageBreak/>
              <w:t xml:space="preserve">Table 3: Medications and POAF </w:t>
            </w:r>
            <w:r>
              <w:rPr>
                <w:rFonts w:ascii="Arial" w:hAnsi="Arial" w:cs="Arial"/>
                <w:b/>
                <w:sz w:val="20"/>
                <w:szCs w:val="20"/>
              </w:rPr>
              <w:t>after discharge</w:t>
            </w:r>
          </w:p>
        </w:tc>
      </w:tr>
      <w:tr w:rsidR="000362D0" w:rsidRPr="00BD74BF" w14:paraId="2B71EC87" w14:textId="77777777" w:rsidTr="006F45B1">
        <w:trPr>
          <w:trHeight w:val="492"/>
        </w:trPr>
        <w:tc>
          <w:tcPr>
            <w:tcW w:w="1957" w:type="dxa"/>
            <w:tcBorders>
              <w:left w:val="nil"/>
              <w:bottom w:val="nil"/>
              <w:right w:val="nil"/>
            </w:tcBorders>
            <w:shd w:val="clear" w:color="auto" w:fill="B8CCE4" w:themeFill="accent1" w:themeFillTint="66"/>
          </w:tcPr>
          <w:p w14:paraId="26301630" w14:textId="77777777" w:rsidR="000362D0" w:rsidRPr="00BD74BF" w:rsidRDefault="000362D0" w:rsidP="006F45B1">
            <w:pPr>
              <w:spacing w:after="0" w:line="360" w:lineRule="auto"/>
              <w:rPr>
                <w:rFonts w:ascii="Arial" w:hAnsi="Arial" w:cs="Arial"/>
                <w:b/>
                <w:sz w:val="20"/>
                <w:szCs w:val="20"/>
              </w:rPr>
            </w:pPr>
            <w:r>
              <w:rPr>
                <w:rFonts w:ascii="Arial" w:hAnsi="Arial" w:cs="Arial"/>
                <w:b/>
                <w:sz w:val="20"/>
                <w:szCs w:val="20"/>
              </w:rPr>
              <w:t>Study</w:t>
            </w:r>
          </w:p>
        </w:tc>
        <w:tc>
          <w:tcPr>
            <w:tcW w:w="2835" w:type="dxa"/>
            <w:tcBorders>
              <w:left w:val="nil"/>
              <w:bottom w:val="nil"/>
              <w:right w:val="nil"/>
            </w:tcBorders>
            <w:shd w:val="clear" w:color="auto" w:fill="B8CCE4" w:themeFill="accent1" w:themeFillTint="66"/>
          </w:tcPr>
          <w:p w14:paraId="1DCFF5F3" w14:textId="77777777" w:rsidR="000362D0" w:rsidRPr="00BD66CE" w:rsidRDefault="000362D0" w:rsidP="006F45B1">
            <w:pPr>
              <w:spacing w:after="0" w:line="360" w:lineRule="auto"/>
              <w:rPr>
                <w:rFonts w:ascii="Arial" w:hAnsi="Arial" w:cs="Arial"/>
                <w:b/>
                <w:sz w:val="20"/>
                <w:szCs w:val="20"/>
              </w:rPr>
            </w:pPr>
            <w:r>
              <w:rPr>
                <w:rFonts w:ascii="Arial" w:hAnsi="Arial" w:cs="Arial"/>
                <w:b/>
                <w:sz w:val="20"/>
                <w:szCs w:val="20"/>
              </w:rPr>
              <w:t>Medication/</w:t>
            </w:r>
            <w:r w:rsidRPr="00BD66CE">
              <w:rPr>
                <w:rFonts w:ascii="Arial" w:hAnsi="Arial" w:cs="Arial"/>
                <w:b/>
                <w:sz w:val="20"/>
                <w:szCs w:val="20"/>
              </w:rPr>
              <w:t>Dose</w:t>
            </w:r>
          </w:p>
        </w:tc>
        <w:tc>
          <w:tcPr>
            <w:tcW w:w="3402" w:type="dxa"/>
            <w:gridSpan w:val="2"/>
            <w:tcBorders>
              <w:left w:val="nil"/>
              <w:bottom w:val="single" w:sz="4" w:space="0" w:color="auto"/>
              <w:right w:val="nil"/>
            </w:tcBorders>
            <w:shd w:val="clear" w:color="auto" w:fill="B8CCE4" w:themeFill="accent1" w:themeFillTint="66"/>
          </w:tcPr>
          <w:p w14:paraId="4E1B2755" w14:textId="77777777" w:rsidR="000362D0" w:rsidRPr="0080747D" w:rsidRDefault="000362D0" w:rsidP="006F45B1">
            <w:pPr>
              <w:spacing w:after="0" w:line="360" w:lineRule="auto"/>
              <w:jc w:val="center"/>
              <w:rPr>
                <w:rFonts w:ascii="Arial" w:hAnsi="Arial" w:cs="Arial"/>
                <w:b/>
                <w:sz w:val="20"/>
                <w:szCs w:val="20"/>
              </w:rPr>
            </w:pPr>
            <w:r w:rsidRPr="0080747D">
              <w:rPr>
                <w:rFonts w:ascii="Arial" w:hAnsi="Arial" w:cs="Arial"/>
                <w:b/>
                <w:sz w:val="20"/>
                <w:szCs w:val="20"/>
              </w:rPr>
              <w:t>POAF after discharge</w:t>
            </w:r>
          </w:p>
          <w:p w14:paraId="02C0C4FB" w14:textId="77777777" w:rsidR="000362D0" w:rsidRPr="0080747D" w:rsidRDefault="000362D0" w:rsidP="006F45B1">
            <w:pPr>
              <w:spacing w:after="0" w:line="360" w:lineRule="auto"/>
              <w:jc w:val="center"/>
              <w:rPr>
                <w:rFonts w:ascii="Arial" w:hAnsi="Arial" w:cs="Arial"/>
                <w:b/>
                <w:sz w:val="20"/>
                <w:szCs w:val="20"/>
              </w:rPr>
            </w:pPr>
            <w:r w:rsidRPr="0080747D">
              <w:rPr>
                <w:rFonts w:ascii="Arial" w:hAnsi="Arial" w:cs="Arial"/>
                <w:b/>
                <w:sz w:val="20"/>
                <w:szCs w:val="20"/>
              </w:rPr>
              <w:t>% (number)</w:t>
            </w:r>
          </w:p>
        </w:tc>
        <w:tc>
          <w:tcPr>
            <w:tcW w:w="992" w:type="dxa"/>
            <w:tcBorders>
              <w:left w:val="nil"/>
              <w:bottom w:val="nil"/>
              <w:right w:val="nil"/>
            </w:tcBorders>
            <w:shd w:val="clear" w:color="auto" w:fill="B8CCE4" w:themeFill="accent1" w:themeFillTint="66"/>
          </w:tcPr>
          <w:p w14:paraId="38518BEE" w14:textId="77777777" w:rsidR="000362D0" w:rsidRPr="0080747D" w:rsidRDefault="000362D0" w:rsidP="006F45B1">
            <w:pPr>
              <w:spacing w:after="0" w:line="360" w:lineRule="auto"/>
              <w:rPr>
                <w:rFonts w:ascii="Arial" w:hAnsi="Arial" w:cs="Arial"/>
                <w:b/>
                <w:sz w:val="20"/>
                <w:szCs w:val="20"/>
              </w:rPr>
            </w:pPr>
            <w:r w:rsidRPr="0080747D">
              <w:rPr>
                <w:rFonts w:ascii="Arial" w:hAnsi="Arial" w:cs="Arial"/>
                <w:b/>
                <w:sz w:val="20"/>
                <w:szCs w:val="20"/>
              </w:rPr>
              <w:t>P value</w:t>
            </w:r>
          </w:p>
        </w:tc>
      </w:tr>
      <w:tr w:rsidR="000362D0" w:rsidRPr="00BD74BF" w14:paraId="49A2F816" w14:textId="77777777" w:rsidTr="006F45B1">
        <w:tc>
          <w:tcPr>
            <w:tcW w:w="1957" w:type="dxa"/>
            <w:tcBorders>
              <w:top w:val="nil"/>
              <w:left w:val="nil"/>
              <w:bottom w:val="single" w:sz="4" w:space="0" w:color="auto"/>
              <w:right w:val="nil"/>
            </w:tcBorders>
            <w:shd w:val="clear" w:color="auto" w:fill="B8CCE4" w:themeFill="accent1" w:themeFillTint="66"/>
          </w:tcPr>
          <w:p w14:paraId="4C8BB0F6" w14:textId="77777777" w:rsidR="000362D0" w:rsidRPr="00BD74BF" w:rsidRDefault="000362D0" w:rsidP="006F45B1">
            <w:pPr>
              <w:spacing w:after="0" w:line="360" w:lineRule="auto"/>
              <w:rPr>
                <w:rFonts w:ascii="Arial" w:hAnsi="Arial" w:cs="Arial"/>
                <w:sz w:val="20"/>
                <w:szCs w:val="20"/>
              </w:rPr>
            </w:pPr>
          </w:p>
        </w:tc>
        <w:tc>
          <w:tcPr>
            <w:tcW w:w="2835" w:type="dxa"/>
            <w:tcBorders>
              <w:top w:val="nil"/>
              <w:left w:val="nil"/>
              <w:bottom w:val="single" w:sz="4" w:space="0" w:color="auto"/>
              <w:right w:val="nil"/>
            </w:tcBorders>
            <w:shd w:val="clear" w:color="auto" w:fill="B8CCE4" w:themeFill="accent1" w:themeFillTint="66"/>
          </w:tcPr>
          <w:p w14:paraId="2610B6DE" w14:textId="77777777" w:rsidR="000362D0" w:rsidRPr="00BD74BF" w:rsidRDefault="000362D0" w:rsidP="006F45B1">
            <w:pPr>
              <w:spacing w:after="0" w:line="360" w:lineRule="auto"/>
              <w:rPr>
                <w:rFonts w:ascii="Arial" w:hAnsi="Arial" w:cs="Arial"/>
                <w:sz w:val="20"/>
                <w:szCs w:val="20"/>
              </w:rPr>
            </w:pPr>
          </w:p>
        </w:tc>
        <w:tc>
          <w:tcPr>
            <w:tcW w:w="1701" w:type="dxa"/>
            <w:tcBorders>
              <w:top w:val="nil"/>
              <w:left w:val="nil"/>
              <w:bottom w:val="single" w:sz="4" w:space="0" w:color="auto"/>
              <w:right w:val="nil"/>
            </w:tcBorders>
            <w:shd w:val="clear" w:color="auto" w:fill="B8CCE4" w:themeFill="accent1" w:themeFillTint="66"/>
          </w:tcPr>
          <w:p w14:paraId="6A4432E5" w14:textId="77777777" w:rsidR="000362D0" w:rsidRPr="0080747D" w:rsidRDefault="000362D0" w:rsidP="006F45B1">
            <w:pPr>
              <w:spacing w:after="0" w:line="360" w:lineRule="auto"/>
              <w:rPr>
                <w:rFonts w:ascii="Arial" w:hAnsi="Arial" w:cs="Arial"/>
                <w:b/>
                <w:sz w:val="20"/>
                <w:szCs w:val="20"/>
              </w:rPr>
            </w:pPr>
            <w:r>
              <w:rPr>
                <w:rFonts w:ascii="Arial" w:hAnsi="Arial" w:cs="Arial"/>
                <w:b/>
                <w:sz w:val="20"/>
                <w:szCs w:val="20"/>
              </w:rPr>
              <w:t>On medication</w:t>
            </w:r>
          </w:p>
        </w:tc>
        <w:tc>
          <w:tcPr>
            <w:tcW w:w="1701" w:type="dxa"/>
            <w:tcBorders>
              <w:top w:val="nil"/>
              <w:left w:val="nil"/>
              <w:bottom w:val="single" w:sz="4" w:space="0" w:color="auto"/>
              <w:right w:val="nil"/>
            </w:tcBorders>
            <w:shd w:val="clear" w:color="auto" w:fill="B8CCE4" w:themeFill="accent1" w:themeFillTint="66"/>
          </w:tcPr>
          <w:p w14:paraId="556169A2" w14:textId="77777777" w:rsidR="000362D0" w:rsidRPr="0080747D" w:rsidRDefault="000362D0" w:rsidP="006F45B1">
            <w:pPr>
              <w:spacing w:after="0" w:line="360" w:lineRule="auto"/>
              <w:rPr>
                <w:rFonts w:ascii="Arial" w:hAnsi="Arial" w:cs="Arial"/>
                <w:b/>
                <w:sz w:val="20"/>
                <w:szCs w:val="20"/>
              </w:rPr>
            </w:pPr>
            <w:r w:rsidRPr="0080747D">
              <w:rPr>
                <w:rFonts w:ascii="Arial" w:hAnsi="Arial" w:cs="Arial"/>
                <w:b/>
                <w:sz w:val="20"/>
                <w:szCs w:val="20"/>
              </w:rPr>
              <w:t>Not taking</w:t>
            </w:r>
            <w:r>
              <w:rPr>
                <w:rFonts w:ascii="Arial" w:hAnsi="Arial" w:cs="Arial"/>
                <w:b/>
                <w:sz w:val="20"/>
                <w:szCs w:val="20"/>
              </w:rPr>
              <w:t xml:space="preserve"> medication</w:t>
            </w:r>
          </w:p>
        </w:tc>
        <w:tc>
          <w:tcPr>
            <w:tcW w:w="992" w:type="dxa"/>
            <w:tcBorders>
              <w:top w:val="nil"/>
              <w:left w:val="nil"/>
              <w:bottom w:val="single" w:sz="4" w:space="0" w:color="auto"/>
              <w:right w:val="nil"/>
            </w:tcBorders>
            <w:shd w:val="clear" w:color="auto" w:fill="B8CCE4" w:themeFill="accent1" w:themeFillTint="66"/>
          </w:tcPr>
          <w:p w14:paraId="151E6204" w14:textId="77777777" w:rsidR="000362D0" w:rsidRPr="0080747D" w:rsidRDefault="000362D0" w:rsidP="006F45B1">
            <w:pPr>
              <w:spacing w:after="0" w:line="360" w:lineRule="auto"/>
              <w:rPr>
                <w:rFonts w:ascii="Arial" w:hAnsi="Arial" w:cs="Arial"/>
                <w:b/>
                <w:sz w:val="20"/>
                <w:szCs w:val="20"/>
              </w:rPr>
            </w:pPr>
          </w:p>
        </w:tc>
      </w:tr>
      <w:tr w:rsidR="000362D0" w:rsidRPr="00BD74BF" w14:paraId="77083106" w14:textId="77777777" w:rsidTr="006F45B1">
        <w:tc>
          <w:tcPr>
            <w:tcW w:w="1957" w:type="dxa"/>
            <w:tcBorders>
              <w:left w:val="nil"/>
              <w:bottom w:val="single" w:sz="4" w:space="0" w:color="auto"/>
              <w:right w:val="nil"/>
            </w:tcBorders>
            <w:shd w:val="clear" w:color="auto" w:fill="D9D9D9" w:themeFill="background1" w:themeFillShade="D9"/>
          </w:tcPr>
          <w:p w14:paraId="0C144C85" w14:textId="77777777" w:rsidR="000362D0" w:rsidRPr="00BD74BF" w:rsidRDefault="000362D0" w:rsidP="006F45B1">
            <w:pPr>
              <w:spacing w:after="0" w:line="360" w:lineRule="auto"/>
              <w:rPr>
                <w:rFonts w:ascii="Arial" w:eastAsia="Times New Roman" w:hAnsi="Arial" w:cs="Arial"/>
                <w:b/>
                <w:sz w:val="20"/>
                <w:szCs w:val="20"/>
              </w:rPr>
            </w:pPr>
          </w:p>
        </w:tc>
        <w:tc>
          <w:tcPr>
            <w:tcW w:w="2835" w:type="dxa"/>
            <w:tcBorders>
              <w:left w:val="nil"/>
              <w:bottom w:val="single" w:sz="4" w:space="0" w:color="auto"/>
              <w:right w:val="nil"/>
            </w:tcBorders>
            <w:shd w:val="clear" w:color="auto" w:fill="D9D9D9" w:themeFill="background1" w:themeFillShade="D9"/>
          </w:tcPr>
          <w:p w14:paraId="01C84CB5"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b/>
                <w:sz w:val="20"/>
                <w:szCs w:val="20"/>
                <w:lang w:val="en-US"/>
              </w:rPr>
              <w:t>β-blocker</w:t>
            </w:r>
          </w:p>
        </w:tc>
        <w:tc>
          <w:tcPr>
            <w:tcW w:w="1701" w:type="dxa"/>
            <w:tcBorders>
              <w:left w:val="nil"/>
              <w:bottom w:val="single" w:sz="4" w:space="0" w:color="auto"/>
              <w:right w:val="nil"/>
            </w:tcBorders>
            <w:shd w:val="clear" w:color="auto" w:fill="D9D9D9" w:themeFill="background1" w:themeFillShade="D9"/>
          </w:tcPr>
          <w:p w14:paraId="7C336CAE" w14:textId="77777777" w:rsidR="000362D0" w:rsidRPr="00BD74BF" w:rsidRDefault="000362D0" w:rsidP="006F45B1">
            <w:pPr>
              <w:spacing w:after="0" w:line="360" w:lineRule="auto"/>
              <w:rPr>
                <w:rFonts w:ascii="Arial" w:hAnsi="Arial" w:cs="Arial"/>
                <w:sz w:val="20"/>
                <w:szCs w:val="20"/>
              </w:rPr>
            </w:pPr>
          </w:p>
        </w:tc>
        <w:tc>
          <w:tcPr>
            <w:tcW w:w="1701" w:type="dxa"/>
            <w:tcBorders>
              <w:left w:val="nil"/>
              <w:bottom w:val="single" w:sz="4" w:space="0" w:color="auto"/>
              <w:right w:val="nil"/>
            </w:tcBorders>
            <w:shd w:val="clear" w:color="auto" w:fill="D9D9D9" w:themeFill="background1" w:themeFillShade="D9"/>
          </w:tcPr>
          <w:p w14:paraId="5BDD4081" w14:textId="77777777" w:rsidR="000362D0" w:rsidRPr="00BD74BF" w:rsidRDefault="000362D0" w:rsidP="006F45B1">
            <w:pPr>
              <w:spacing w:after="0" w:line="360" w:lineRule="auto"/>
              <w:rPr>
                <w:rFonts w:ascii="Arial" w:hAnsi="Arial" w:cs="Arial"/>
                <w:sz w:val="20"/>
                <w:szCs w:val="20"/>
              </w:rPr>
            </w:pPr>
          </w:p>
        </w:tc>
        <w:tc>
          <w:tcPr>
            <w:tcW w:w="992" w:type="dxa"/>
            <w:tcBorders>
              <w:left w:val="nil"/>
              <w:bottom w:val="single" w:sz="4" w:space="0" w:color="auto"/>
              <w:right w:val="nil"/>
            </w:tcBorders>
            <w:shd w:val="clear" w:color="auto" w:fill="D9D9D9" w:themeFill="background1" w:themeFillShade="D9"/>
          </w:tcPr>
          <w:p w14:paraId="520077FE" w14:textId="77777777" w:rsidR="000362D0" w:rsidRPr="00BD74BF" w:rsidRDefault="000362D0" w:rsidP="006F45B1">
            <w:pPr>
              <w:spacing w:after="0" w:line="360" w:lineRule="auto"/>
              <w:rPr>
                <w:rFonts w:ascii="Arial" w:hAnsi="Arial" w:cs="Arial"/>
                <w:sz w:val="20"/>
                <w:szCs w:val="20"/>
              </w:rPr>
            </w:pPr>
          </w:p>
        </w:tc>
      </w:tr>
      <w:tr w:rsidR="000362D0" w:rsidRPr="00BD74BF" w14:paraId="465B6801" w14:textId="77777777" w:rsidTr="006F45B1">
        <w:tc>
          <w:tcPr>
            <w:tcW w:w="1957" w:type="dxa"/>
            <w:tcBorders>
              <w:left w:val="nil"/>
              <w:bottom w:val="nil"/>
              <w:right w:val="nil"/>
            </w:tcBorders>
          </w:tcPr>
          <w:p w14:paraId="104DA6A6"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sz w:val="20"/>
                <w:szCs w:val="20"/>
              </w:rPr>
              <w:t>Ambrosetti; 2011</w:t>
            </w:r>
          </w:p>
        </w:tc>
        <w:tc>
          <w:tcPr>
            <w:tcW w:w="2835" w:type="dxa"/>
            <w:tcBorders>
              <w:left w:val="nil"/>
              <w:bottom w:val="nil"/>
              <w:right w:val="nil"/>
            </w:tcBorders>
          </w:tcPr>
          <w:p w14:paraId="0DFEDE56"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rPr>
              <w:t>-</w:t>
            </w:r>
          </w:p>
        </w:tc>
        <w:tc>
          <w:tcPr>
            <w:tcW w:w="1701" w:type="dxa"/>
            <w:tcBorders>
              <w:left w:val="nil"/>
              <w:bottom w:val="nil"/>
              <w:right w:val="nil"/>
            </w:tcBorders>
          </w:tcPr>
          <w:p w14:paraId="05A44D48"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sz w:val="20"/>
                <w:szCs w:val="20"/>
              </w:rPr>
              <w:t>7%</w:t>
            </w:r>
          </w:p>
        </w:tc>
        <w:tc>
          <w:tcPr>
            <w:tcW w:w="1701" w:type="dxa"/>
            <w:tcBorders>
              <w:left w:val="nil"/>
              <w:bottom w:val="nil"/>
              <w:right w:val="nil"/>
            </w:tcBorders>
          </w:tcPr>
          <w:p w14:paraId="0B3573F0"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sz w:val="20"/>
                <w:szCs w:val="20"/>
              </w:rPr>
              <w:t>8.9%</w:t>
            </w:r>
          </w:p>
        </w:tc>
        <w:tc>
          <w:tcPr>
            <w:tcW w:w="992" w:type="dxa"/>
            <w:tcBorders>
              <w:left w:val="nil"/>
              <w:bottom w:val="nil"/>
              <w:right w:val="nil"/>
            </w:tcBorders>
          </w:tcPr>
          <w:p w14:paraId="1CAD7B2E"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lang w:val="en-US"/>
              </w:rPr>
              <w:t>0.317</w:t>
            </w:r>
          </w:p>
        </w:tc>
      </w:tr>
      <w:tr w:rsidR="000362D0" w:rsidRPr="00BD74BF" w14:paraId="702714EE" w14:textId="77777777" w:rsidTr="006F45B1">
        <w:trPr>
          <w:trHeight w:val="820"/>
        </w:trPr>
        <w:tc>
          <w:tcPr>
            <w:tcW w:w="1957" w:type="dxa"/>
            <w:tcBorders>
              <w:top w:val="nil"/>
              <w:left w:val="nil"/>
              <w:bottom w:val="nil"/>
              <w:right w:val="nil"/>
            </w:tcBorders>
          </w:tcPr>
          <w:p w14:paraId="3BB1D577"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sz w:val="20"/>
                <w:szCs w:val="20"/>
              </w:rPr>
              <w:t>Cioffi; 2000</w:t>
            </w:r>
          </w:p>
        </w:tc>
        <w:tc>
          <w:tcPr>
            <w:tcW w:w="2835" w:type="dxa"/>
            <w:tcBorders>
              <w:top w:val="nil"/>
              <w:left w:val="nil"/>
              <w:bottom w:val="nil"/>
              <w:right w:val="nil"/>
            </w:tcBorders>
          </w:tcPr>
          <w:p w14:paraId="30570DAC" w14:textId="77777777" w:rsidR="000362D0" w:rsidRDefault="000362D0" w:rsidP="006F45B1">
            <w:pPr>
              <w:spacing w:after="0" w:line="360" w:lineRule="auto"/>
              <w:rPr>
                <w:rFonts w:ascii="Arial" w:hAnsi="Arial" w:cs="Arial"/>
                <w:sz w:val="20"/>
                <w:szCs w:val="20"/>
                <w:lang w:val="en-US"/>
              </w:rPr>
            </w:pPr>
            <w:r>
              <w:rPr>
                <w:rFonts w:ascii="Arial" w:hAnsi="Arial" w:cs="Arial"/>
                <w:sz w:val="20"/>
                <w:szCs w:val="20"/>
                <w:lang w:val="en-US"/>
              </w:rPr>
              <w:t>A</w:t>
            </w:r>
            <w:r w:rsidRPr="00BD74BF">
              <w:rPr>
                <w:rFonts w:ascii="Arial" w:hAnsi="Arial" w:cs="Arial"/>
                <w:sz w:val="20"/>
                <w:szCs w:val="20"/>
                <w:lang w:val="en-US"/>
              </w:rPr>
              <w:t>tenolol 40</w:t>
            </w:r>
            <w:r w:rsidRPr="00BD74BF">
              <w:rPr>
                <w:rFonts w:ascii="Arial" w:eastAsia="Times New Roman" w:hAnsi="Arial" w:cs="Arial"/>
                <w:sz w:val="20"/>
                <w:szCs w:val="20"/>
              </w:rPr>
              <w:t>±15mg/day</w:t>
            </w:r>
            <w:r>
              <w:rPr>
                <w:rFonts w:ascii="Arial" w:eastAsia="Times New Roman" w:hAnsi="Arial" w:cs="Arial"/>
                <w:sz w:val="20"/>
                <w:szCs w:val="20"/>
              </w:rPr>
              <w:t>, or</w:t>
            </w:r>
          </w:p>
          <w:p w14:paraId="16B4585A" w14:textId="77777777" w:rsidR="000362D0" w:rsidRDefault="000362D0" w:rsidP="006F45B1">
            <w:pPr>
              <w:spacing w:after="0" w:line="360" w:lineRule="auto"/>
              <w:rPr>
                <w:rFonts w:ascii="Arial" w:hAnsi="Arial" w:cs="Arial"/>
                <w:sz w:val="20"/>
                <w:szCs w:val="20"/>
                <w:lang w:val="en-US"/>
              </w:rPr>
            </w:pPr>
            <w:r>
              <w:rPr>
                <w:rFonts w:ascii="Arial" w:hAnsi="Arial" w:cs="Arial"/>
                <w:sz w:val="20"/>
                <w:szCs w:val="20"/>
                <w:lang w:val="en-US"/>
              </w:rPr>
              <w:t>M</w:t>
            </w:r>
            <w:r w:rsidRPr="00BD74BF">
              <w:rPr>
                <w:rFonts w:ascii="Arial" w:hAnsi="Arial" w:cs="Arial"/>
                <w:sz w:val="20"/>
                <w:szCs w:val="20"/>
                <w:lang w:val="en-US"/>
              </w:rPr>
              <w:t>etoprolol 50mg/day</w:t>
            </w:r>
            <w:r>
              <w:rPr>
                <w:rFonts w:ascii="Arial" w:hAnsi="Arial" w:cs="Arial"/>
                <w:sz w:val="20"/>
                <w:szCs w:val="20"/>
                <w:lang w:val="en-US"/>
              </w:rPr>
              <w:t>, or</w:t>
            </w:r>
          </w:p>
          <w:p w14:paraId="1FAE3882" w14:textId="77777777" w:rsidR="000362D0" w:rsidRPr="00BD74BF" w:rsidRDefault="000362D0" w:rsidP="006F45B1">
            <w:pPr>
              <w:spacing w:after="0" w:line="360" w:lineRule="auto"/>
              <w:rPr>
                <w:rFonts w:ascii="Arial" w:hAnsi="Arial" w:cs="Arial"/>
                <w:sz w:val="20"/>
                <w:szCs w:val="20"/>
              </w:rPr>
            </w:pPr>
            <w:r>
              <w:rPr>
                <w:rFonts w:ascii="Arial" w:hAnsi="Arial" w:cs="Arial"/>
                <w:sz w:val="20"/>
                <w:szCs w:val="20"/>
                <w:lang w:val="en-US"/>
              </w:rPr>
              <w:t>B</w:t>
            </w:r>
            <w:r w:rsidRPr="00BD74BF">
              <w:rPr>
                <w:rFonts w:ascii="Arial" w:hAnsi="Arial" w:cs="Arial"/>
                <w:sz w:val="20"/>
                <w:szCs w:val="20"/>
                <w:lang w:val="en-US"/>
              </w:rPr>
              <w:t>isoprolol 5 mg/day</w:t>
            </w:r>
          </w:p>
        </w:tc>
        <w:tc>
          <w:tcPr>
            <w:tcW w:w="1701" w:type="dxa"/>
            <w:tcBorders>
              <w:top w:val="nil"/>
              <w:left w:val="nil"/>
              <w:bottom w:val="nil"/>
              <w:right w:val="nil"/>
            </w:tcBorders>
          </w:tcPr>
          <w:p w14:paraId="79BA9576"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rPr>
              <w:t>10% (4/42)</w:t>
            </w:r>
          </w:p>
        </w:tc>
        <w:tc>
          <w:tcPr>
            <w:tcW w:w="1701" w:type="dxa"/>
            <w:tcBorders>
              <w:top w:val="nil"/>
              <w:left w:val="nil"/>
              <w:bottom w:val="nil"/>
              <w:right w:val="nil"/>
            </w:tcBorders>
          </w:tcPr>
          <w:p w14:paraId="0604BF97"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rPr>
              <w:t xml:space="preserve">47% (25/50) </w:t>
            </w:r>
            <w:r w:rsidRPr="00BD74BF">
              <w:rPr>
                <w:rFonts w:ascii="Arial" w:hAnsi="Arial" w:cs="Arial"/>
                <w:sz w:val="20"/>
                <w:szCs w:val="20"/>
                <w:vertAlign w:val="superscript"/>
              </w:rPr>
              <w:t>#</w:t>
            </w:r>
          </w:p>
        </w:tc>
        <w:tc>
          <w:tcPr>
            <w:tcW w:w="992" w:type="dxa"/>
            <w:tcBorders>
              <w:top w:val="nil"/>
              <w:left w:val="nil"/>
              <w:bottom w:val="nil"/>
              <w:right w:val="nil"/>
            </w:tcBorders>
          </w:tcPr>
          <w:p w14:paraId="7F36B0BC"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rPr>
              <w:t>&lt;0.00</w:t>
            </w:r>
            <w:r>
              <w:rPr>
                <w:rFonts w:ascii="Arial" w:hAnsi="Arial" w:cs="Arial"/>
                <w:sz w:val="20"/>
                <w:szCs w:val="20"/>
              </w:rPr>
              <w:t>0</w:t>
            </w:r>
            <w:r w:rsidRPr="00BD74BF">
              <w:rPr>
                <w:rFonts w:ascii="Arial" w:hAnsi="Arial" w:cs="Arial"/>
                <w:sz w:val="20"/>
                <w:szCs w:val="20"/>
              </w:rPr>
              <w:t>1</w:t>
            </w:r>
          </w:p>
        </w:tc>
      </w:tr>
      <w:tr w:rsidR="000362D0" w:rsidRPr="00BD74BF" w14:paraId="19B50BAF" w14:textId="77777777" w:rsidTr="006F45B1">
        <w:trPr>
          <w:trHeight w:val="860"/>
        </w:trPr>
        <w:tc>
          <w:tcPr>
            <w:tcW w:w="1957" w:type="dxa"/>
            <w:tcBorders>
              <w:top w:val="nil"/>
              <w:left w:val="nil"/>
              <w:bottom w:val="nil"/>
              <w:right w:val="nil"/>
            </w:tcBorders>
          </w:tcPr>
          <w:p w14:paraId="265AD963" w14:textId="77777777" w:rsidR="000362D0" w:rsidRDefault="000362D0" w:rsidP="006F45B1">
            <w:pPr>
              <w:spacing w:after="0" w:line="360" w:lineRule="auto"/>
              <w:rPr>
                <w:rFonts w:ascii="Arial" w:eastAsia="Times New Roman" w:hAnsi="Arial" w:cs="Arial"/>
                <w:sz w:val="20"/>
                <w:szCs w:val="20"/>
              </w:rPr>
            </w:pPr>
            <w:r w:rsidRPr="00BD74BF">
              <w:rPr>
                <w:rFonts w:ascii="Arial" w:eastAsia="Times New Roman" w:hAnsi="Arial" w:cs="Arial"/>
                <w:sz w:val="20"/>
                <w:szCs w:val="20"/>
              </w:rPr>
              <w:t xml:space="preserve">Cioffi; 2001 </w:t>
            </w:r>
          </w:p>
          <w:p w14:paraId="0652663D"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sz w:val="20"/>
                <w:szCs w:val="20"/>
              </w:rPr>
              <w:t>(retrospective arm)</w:t>
            </w:r>
          </w:p>
        </w:tc>
        <w:tc>
          <w:tcPr>
            <w:tcW w:w="2835" w:type="dxa"/>
            <w:tcBorders>
              <w:top w:val="nil"/>
              <w:left w:val="nil"/>
              <w:bottom w:val="nil"/>
              <w:right w:val="nil"/>
            </w:tcBorders>
          </w:tcPr>
          <w:p w14:paraId="2228D946" w14:textId="77777777" w:rsidR="000362D0" w:rsidRDefault="000362D0" w:rsidP="006F45B1">
            <w:pPr>
              <w:spacing w:after="0" w:line="360" w:lineRule="auto"/>
              <w:rPr>
                <w:rFonts w:ascii="Arial" w:eastAsia="Times New Roman" w:hAnsi="Arial" w:cs="Arial"/>
                <w:sz w:val="20"/>
                <w:szCs w:val="20"/>
              </w:rPr>
            </w:pPr>
            <w:r w:rsidRPr="00BD74BF">
              <w:rPr>
                <w:rFonts w:ascii="Arial" w:hAnsi="Arial" w:cs="Arial"/>
                <w:sz w:val="20"/>
                <w:szCs w:val="20"/>
                <w:lang w:val="en-US"/>
              </w:rPr>
              <w:t>Atenolol 25</w:t>
            </w:r>
            <w:r w:rsidRPr="00BD74BF">
              <w:rPr>
                <w:rFonts w:ascii="Arial" w:eastAsia="Times New Roman" w:hAnsi="Arial" w:cs="Arial"/>
                <w:sz w:val="20"/>
                <w:szCs w:val="20"/>
              </w:rPr>
              <w:t>mg/da</w:t>
            </w:r>
            <w:r>
              <w:rPr>
                <w:rFonts w:ascii="Arial" w:eastAsia="Times New Roman" w:hAnsi="Arial" w:cs="Arial"/>
                <w:sz w:val="20"/>
                <w:szCs w:val="20"/>
              </w:rPr>
              <w:t>y, or</w:t>
            </w:r>
          </w:p>
          <w:p w14:paraId="1424253A" w14:textId="77777777" w:rsidR="000362D0" w:rsidRDefault="000362D0" w:rsidP="006F45B1">
            <w:pPr>
              <w:spacing w:after="0" w:line="360" w:lineRule="auto"/>
              <w:rPr>
                <w:rFonts w:ascii="Arial" w:hAnsi="Arial" w:cs="Arial"/>
                <w:sz w:val="20"/>
                <w:szCs w:val="20"/>
                <w:lang w:val="en-US"/>
              </w:rPr>
            </w:pPr>
            <w:r w:rsidRPr="00BD74BF">
              <w:rPr>
                <w:rFonts w:ascii="Arial" w:hAnsi="Arial" w:cs="Arial"/>
                <w:sz w:val="20"/>
                <w:szCs w:val="20"/>
                <w:lang w:val="en-US"/>
              </w:rPr>
              <w:t>Metoprolol 100mg/day</w:t>
            </w:r>
            <w:r>
              <w:rPr>
                <w:rFonts w:ascii="Arial" w:hAnsi="Arial" w:cs="Arial"/>
                <w:sz w:val="20"/>
                <w:szCs w:val="20"/>
                <w:lang w:val="en-US"/>
              </w:rPr>
              <w:t>, or</w:t>
            </w:r>
          </w:p>
          <w:p w14:paraId="49B4F0E5"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lang w:val="en-US"/>
              </w:rPr>
              <w:t>Bisoprolol 5 mg/day</w:t>
            </w:r>
          </w:p>
        </w:tc>
        <w:tc>
          <w:tcPr>
            <w:tcW w:w="1701" w:type="dxa"/>
            <w:tcBorders>
              <w:top w:val="nil"/>
              <w:left w:val="nil"/>
              <w:bottom w:val="nil"/>
              <w:right w:val="nil"/>
            </w:tcBorders>
          </w:tcPr>
          <w:p w14:paraId="3D8A5E54"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lang w:val="en-US"/>
              </w:rPr>
              <w:t>4.3% (5/116)</w:t>
            </w:r>
          </w:p>
        </w:tc>
        <w:tc>
          <w:tcPr>
            <w:tcW w:w="1701" w:type="dxa"/>
            <w:tcBorders>
              <w:top w:val="nil"/>
              <w:left w:val="nil"/>
              <w:bottom w:val="nil"/>
              <w:right w:val="nil"/>
            </w:tcBorders>
          </w:tcPr>
          <w:p w14:paraId="00518DE4"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lang w:val="en-US"/>
              </w:rPr>
              <w:t>21.5% (56/260)</w:t>
            </w:r>
          </w:p>
        </w:tc>
        <w:tc>
          <w:tcPr>
            <w:tcW w:w="992" w:type="dxa"/>
            <w:tcBorders>
              <w:top w:val="nil"/>
              <w:left w:val="nil"/>
              <w:bottom w:val="nil"/>
              <w:right w:val="nil"/>
            </w:tcBorders>
          </w:tcPr>
          <w:p w14:paraId="53BD2158"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lang w:val="en-US"/>
              </w:rPr>
              <w:t>&lt;0.0001</w:t>
            </w:r>
          </w:p>
        </w:tc>
      </w:tr>
      <w:tr w:rsidR="000362D0" w:rsidRPr="00BD74BF" w14:paraId="4E8ADA89" w14:textId="77777777" w:rsidTr="006F45B1">
        <w:tc>
          <w:tcPr>
            <w:tcW w:w="1957" w:type="dxa"/>
            <w:tcBorders>
              <w:top w:val="nil"/>
              <w:left w:val="nil"/>
              <w:bottom w:val="nil"/>
              <w:right w:val="nil"/>
            </w:tcBorders>
          </w:tcPr>
          <w:p w14:paraId="518DEADA"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sz w:val="20"/>
                <w:szCs w:val="20"/>
              </w:rPr>
              <w:t>Funk; 2003</w:t>
            </w:r>
          </w:p>
        </w:tc>
        <w:tc>
          <w:tcPr>
            <w:tcW w:w="2835" w:type="dxa"/>
            <w:tcBorders>
              <w:top w:val="nil"/>
              <w:left w:val="nil"/>
              <w:bottom w:val="nil"/>
              <w:right w:val="nil"/>
            </w:tcBorders>
          </w:tcPr>
          <w:p w14:paraId="4C778277"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rPr>
              <w:t>“Preoperatively”</w:t>
            </w:r>
          </w:p>
        </w:tc>
        <w:tc>
          <w:tcPr>
            <w:tcW w:w="1701" w:type="dxa"/>
            <w:tcBorders>
              <w:top w:val="nil"/>
              <w:left w:val="nil"/>
              <w:bottom w:val="nil"/>
              <w:right w:val="nil"/>
            </w:tcBorders>
          </w:tcPr>
          <w:p w14:paraId="1FD4DDD5"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rPr>
              <w:t>10% (20/201)</w:t>
            </w:r>
          </w:p>
        </w:tc>
        <w:tc>
          <w:tcPr>
            <w:tcW w:w="1701" w:type="dxa"/>
            <w:tcBorders>
              <w:top w:val="nil"/>
              <w:left w:val="nil"/>
              <w:bottom w:val="nil"/>
              <w:right w:val="nil"/>
            </w:tcBorders>
          </w:tcPr>
          <w:p w14:paraId="444EFC9C"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rPr>
              <w:t>21% (21/101)</w:t>
            </w:r>
          </w:p>
        </w:tc>
        <w:tc>
          <w:tcPr>
            <w:tcW w:w="992" w:type="dxa"/>
            <w:tcBorders>
              <w:top w:val="nil"/>
              <w:left w:val="nil"/>
              <w:bottom w:val="nil"/>
              <w:right w:val="nil"/>
            </w:tcBorders>
          </w:tcPr>
          <w:p w14:paraId="253DCA69"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rPr>
              <w:t>0.01</w:t>
            </w:r>
          </w:p>
        </w:tc>
      </w:tr>
      <w:tr w:rsidR="000362D0" w:rsidRPr="00BD74BF" w14:paraId="73F30327" w14:textId="77777777" w:rsidTr="006F45B1">
        <w:trPr>
          <w:trHeight w:val="227"/>
        </w:trPr>
        <w:tc>
          <w:tcPr>
            <w:tcW w:w="1957" w:type="dxa"/>
            <w:tcBorders>
              <w:top w:val="nil"/>
              <w:left w:val="nil"/>
              <w:bottom w:val="nil"/>
              <w:right w:val="nil"/>
            </w:tcBorders>
          </w:tcPr>
          <w:p w14:paraId="3FEEA30B"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sz w:val="20"/>
                <w:szCs w:val="20"/>
              </w:rPr>
              <w:t>Giaccardi; 2011</w:t>
            </w:r>
          </w:p>
        </w:tc>
        <w:tc>
          <w:tcPr>
            <w:tcW w:w="2835" w:type="dxa"/>
            <w:tcBorders>
              <w:top w:val="nil"/>
              <w:left w:val="nil"/>
              <w:bottom w:val="nil"/>
              <w:right w:val="nil"/>
            </w:tcBorders>
          </w:tcPr>
          <w:p w14:paraId="40F1BEB4"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rPr>
              <w:t>-</w:t>
            </w:r>
          </w:p>
        </w:tc>
        <w:tc>
          <w:tcPr>
            <w:tcW w:w="1701" w:type="dxa"/>
            <w:tcBorders>
              <w:top w:val="nil"/>
              <w:left w:val="nil"/>
              <w:bottom w:val="nil"/>
              <w:right w:val="nil"/>
            </w:tcBorders>
          </w:tcPr>
          <w:p w14:paraId="152DD3D6"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rPr>
              <w:t>26.2% (22/84)</w:t>
            </w:r>
          </w:p>
        </w:tc>
        <w:tc>
          <w:tcPr>
            <w:tcW w:w="1701" w:type="dxa"/>
            <w:tcBorders>
              <w:top w:val="nil"/>
              <w:left w:val="nil"/>
              <w:bottom w:val="nil"/>
              <w:right w:val="nil"/>
            </w:tcBorders>
          </w:tcPr>
          <w:p w14:paraId="1A24876B"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rPr>
              <w:t>14.8% (11/74)</w:t>
            </w:r>
          </w:p>
        </w:tc>
        <w:tc>
          <w:tcPr>
            <w:tcW w:w="992" w:type="dxa"/>
            <w:tcBorders>
              <w:top w:val="nil"/>
              <w:left w:val="nil"/>
              <w:bottom w:val="nil"/>
              <w:right w:val="nil"/>
            </w:tcBorders>
          </w:tcPr>
          <w:p w14:paraId="066BE313"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rPr>
              <w:t>0.081</w:t>
            </w:r>
          </w:p>
        </w:tc>
      </w:tr>
      <w:tr w:rsidR="000362D0" w:rsidRPr="00BD74BF" w14:paraId="1414C3A0" w14:textId="77777777" w:rsidTr="006F45B1">
        <w:tc>
          <w:tcPr>
            <w:tcW w:w="1957" w:type="dxa"/>
            <w:tcBorders>
              <w:top w:val="nil"/>
              <w:left w:val="nil"/>
              <w:bottom w:val="single" w:sz="4" w:space="0" w:color="auto"/>
              <w:right w:val="nil"/>
            </w:tcBorders>
          </w:tcPr>
          <w:p w14:paraId="4CCCD24C" w14:textId="77777777" w:rsidR="000362D0" w:rsidRPr="00BD74BF" w:rsidRDefault="000362D0" w:rsidP="006F45B1">
            <w:pPr>
              <w:spacing w:after="0" w:line="360" w:lineRule="auto"/>
              <w:rPr>
                <w:rFonts w:ascii="Arial" w:eastAsia="Times New Roman" w:hAnsi="Arial" w:cs="Arial"/>
                <w:sz w:val="20"/>
                <w:szCs w:val="20"/>
              </w:rPr>
            </w:pPr>
          </w:p>
        </w:tc>
        <w:tc>
          <w:tcPr>
            <w:tcW w:w="2835" w:type="dxa"/>
            <w:tcBorders>
              <w:top w:val="nil"/>
              <w:left w:val="nil"/>
              <w:bottom w:val="single" w:sz="4" w:space="0" w:color="auto"/>
              <w:right w:val="nil"/>
            </w:tcBorders>
          </w:tcPr>
          <w:p w14:paraId="68AC936F" w14:textId="77777777" w:rsidR="000362D0" w:rsidRPr="00BD74BF" w:rsidRDefault="000362D0" w:rsidP="006F45B1">
            <w:pPr>
              <w:spacing w:after="0" w:line="360" w:lineRule="auto"/>
              <w:rPr>
                <w:rFonts w:ascii="Arial" w:hAnsi="Arial" w:cs="Arial"/>
                <w:sz w:val="20"/>
                <w:szCs w:val="20"/>
              </w:rPr>
            </w:pPr>
          </w:p>
        </w:tc>
        <w:tc>
          <w:tcPr>
            <w:tcW w:w="1701" w:type="dxa"/>
            <w:tcBorders>
              <w:top w:val="nil"/>
              <w:left w:val="nil"/>
              <w:bottom w:val="single" w:sz="4" w:space="0" w:color="auto"/>
              <w:right w:val="nil"/>
            </w:tcBorders>
          </w:tcPr>
          <w:p w14:paraId="3FA103C2" w14:textId="77777777" w:rsidR="000362D0" w:rsidRPr="00BD74BF" w:rsidRDefault="000362D0" w:rsidP="006F45B1">
            <w:pPr>
              <w:spacing w:after="0" w:line="360" w:lineRule="auto"/>
              <w:rPr>
                <w:rFonts w:ascii="Arial" w:hAnsi="Arial" w:cs="Arial"/>
                <w:sz w:val="20"/>
                <w:szCs w:val="20"/>
              </w:rPr>
            </w:pPr>
          </w:p>
        </w:tc>
        <w:tc>
          <w:tcPr>
            <w:tcW w:w="1701" w:type="dxa"/>
            <w:tcBorders>
              <w:top w:val="nil"/>
              <w:left w:val="nil"/>
              <w:bottom w:val="single" w:sz="4" w:space="0" w:color="auto"/>
              <w:right w:val="nil"/>
            </w:tcBorders>
          </w:tcPr>
          <w:p w14:paraId="1F19FBAD" w14:textId="77777777" w:rsidR="000362D0" w:rsidRPr="00BD74BF" w:rsidRDefault="000362D0" w:rsidP="006F45B1">
            <w:pPr>
              <w:spacing w:after="0" w:line="360" w:lineRule="auto"/>
              <w:rPr>
                <w:rFonts w:ascii="Arial" w:hAnsi="Arial" w:cs="Arial"/>
                <w:sz w:val="20"/>
                <w:szCs w:val="20"/>
              </w:rPr>
            </w:pPr>
          </w:p>
        </w:tc>
        <w:tc>
          <w:tcPr>
            <w:tcW w:w="992" w:type="dxa"/>
            <w:tcBorders>
              <w:top w:val="nil"/>
              <w:left w:val="nil"/>
              <w:bottom w:val="single" w:sz="4" w:space="0" w:color="auto"/>
              <w:right w:val="nil"/>
            </w:tcBorders>
          </w:tcPr>
          <w:p w14:paraId="42D8D94A" w14:textId="77777777" w:rsidR="000362D0" w:rsidRPr="00FE6EE0" w:rsidRDefault="000362D0" w:rsidP="006F45B1">
            <w:pPr>
              <w:spacing w:after="0" w:line="360" w:lineRule="auto"/>
              <w:rPr>
                <w:rFonts w:ascii="Arial" w:hAnsi="Arial" w:cs="Arial"/>
                <w:sz w:val="20"/>
                <w:szCs w:val="20"/>
              </w:rPr>
            </w:pPr>
          </w:p>
        </w:tc>
      </w:tr>
      <w:tr w:rsidR="000362D0" w:rsidRPr="00BD74BF" w14:paraId="38176B7D" w14:textId="77777777" w:rsidTr="006F45B1">
        <w:tc>
          <w:tcPr>
            <w:tcW w:w="1957" w:type="dxa"/>
            <w:tcBorders>
              <w:left w:val="nil"/>
              <w:bottom w:val="single" w:sz="4" w:space="0" w:color="auto"/>
              <w:right w:val="nil"/>
            </w:tcBorders>
            <w:shd w:val="clear" w:color="auto" w:fill="D9D9D9" w:themeFill="background1" w:themeFillShade="D9"/>
          </w:tcPr>
          <w:p w14:paraId="7BA19F7F" w14:textId="77777777" w:rsidR="000362D0" w:rsidRPr="00BD74BF" w:rsidRDefault="000362D0" w:rsidP="006F45B1">
            <w:pPr>
              <w:spacing w:after="0" w:line="360" w:lineRule="auto"/>
              <w:rPr>
                <w:rFonts w:ascii="Arial" w:eastAsia="Times New Roman" w:hAnsi="Arial" w:cs="Arial"/>
                <w:b/>
                <w:sz w:val="20"/>
                <w:szCs w:val="20"/>
              </w:rPr>
            </w:pPr>
          </w:p>
        </w:tc>
        <w:tc>
          <w:tcPr>
            <w:tcW w:w="2835" w:type="dxa"/>
            <w:tcBorders>
              <w:left w:val="nil"/>
              <w:bottom w:val="single" w:sz="4" w:space="0" w:color="auto"/>
              <w:right w:val="nil"/>
            </w:tcBorders>
            <w:shd w:val="clear" w:color="auto" w:fill="D9D9D9" w:themeFill="background1" w:themeFillShade="D9"/>
          </w:tcPr>
          <w:p w14:paraId="0270CB31"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b/>
                <w:sz w:val="20"/>
                <w:szCs w:val="20"/>
              </w:rPr>
              <w:t>Amiodarone</w:t>
            </w:r>
          </w:p>
        </w:tc>
        <w:tc>
          <w:tcPr>
            <w:tcW w:w="1701" w:type="dxa"/>
            <w:tcBorders>
              <w:left w:val="nil"/>
              <w:bottom w:val="single" w:sz="4" w:space="0" w:color="auto"/>
              <w:right w:val="nil"/>
            </w:tcBorders>
            <w:shd w:val="clear" w:color="auto" w:fill="D9D9D9" w:themeFill="background1" w:themeFillShade="D9"/>
          </w:tcPr>
          <w:p w14:paraId="3C2FDA9D" w14:textId="77777777" w:rsidR="000362D0" w:rsidRPr="00BD74BF" w:rsidRDefault="000362D0" w:rsidP="006F45B1">
            <w:pPr>
              <w:spacing w:after="0" w:line="360" w:lineRule="auto"/>
              <w:rPr>
                <w:rFonts w:ascii="Arial" w:hAnsi="Arial" w:cs="Arial"/>
                <w:sz w:val="20"/>
                <w:szCs w:val="20"/>
              </w:rPr>
            </w:pPr>
          </w:p>
        </w:tc>
        <w:tc>
          <w:tcPr>
            <w:tcW w:w="1701" w:type="dxa"/>
            <w:tcBorders>
              <w:left w:val="nil"/>
              <w:bottom w:val="single" w:sz="4" w:space="0" w:color="auto"/>
              <w:right w:val="nil"/>
            </w:tcBorders>
            <w:shd w:val="clear" w:color="auto" w:fill="D9D9D9" w:themeFill="background1" w:themeFillShade="D9"/>
          </w:tcPr>
          <w:p w14:paraId="12E27B47" w14:textId="77777777" w:rsidR="000362D0" w:rsidRPr="00BD74BF" w:rsidRDefault="000362D0" w:rsidP="006F45B1">
            <w:pPr>
              <w:spacing w:after="0" w:line="360" w:lineRule="auto"/>
              <w:rPr>
                <w:rFonts w:ascii="Arial" w:hAnsi="Arial" w:cs="Arial"/>
                <w:sz w:val="20"/>
                <w:szCs w:val="20"/>
              </w:rPr>
            </w:pPr>
          </w:p>
        </w:tc>
        <w:tc>
          <w:tcPr>
            <w:tcW w:w="992" w:type="dxa"/>
            <w:tcBorders>
              <w:left w:val="nil"/>
              <w:bottom w:val="single" w:sz="4" w:space="0" w:color="auto"/>
              <w:right w:val="nil"/>
            </w:tcBorders>
            <w:shd w:val="clear" w:color="auto" w:fill="D9D9D9" w:themeFill="background1" w:themeFillShade="D9"/>
          </w:tcPr>
          <w:p w14:paraId="15A00CCA" w14:textId="77777777" w:rsidR="000362D0" w:rsidRPr="00FE6EE0" w:rsidRDefault="000362D0" w:rsidP="006F45B1">
            <w:pPr>
              <w:spacing w:after="0" w:line="360" w:lineRule="auto"/>
              <w:rPr>
                <w:rFonts w:ascii="Arial" w:hAnsi="Arial" w:cs="Arial"/>
                <w:sz w:val="20"/>
                <w:szCs w:val="20"/>
              </w:rPr>
            </w:pPr>
          </w:p>
        </w:tc>
      </w:tr>
      <w:tr w:rsidR="000362D0" w:rsidRPr="00BD74BF" w14:paraId="37201094" w14:textId="77777777" w:rsidTr="006F45B1">
        <w:tc>
          <w:tcPr>
            <w:tcW w:w="1957" w:type="dxa"/>
            <w:tcBorders>
              <w:left w:val="nil"/>
              <w:bottom w:val="nil"/>
              <w:right w:val="nil"/>
            </w:tcBorders>
          </w:tcPr>
          <w:p w14:paraId="75836689" w14:textId="77777777" w:rsidR="000362D0" w:rsidRPr="00BD74BF" w:rsidRDefault="000362D0" w:rsidP="006F45B1">
            <w:pPr>
              <w:spacing w:after="0" w:line="360" w:lineRule="auto"/>
              <w:rPr>
                <w:rFonts w:ascii="Arial" w:eastAsia="Times New Roman" w:hAnsi="Arial" w:cs="Arial"/>
                <w:sz w:val="20"/>
                <w:szCs w:val="20"/>
              </w:rPr>
            </w:pPr>
            <w:r>
              <w:rPr>
                <w:rFonts w:ascii="Arial" w:eastAsia="Times New Roman" w:hAnsi="Arial" w:cs="Arial"/>
                <w:sz w:val="20"/>
                <w:szCs w:val="20"/>
              </w:rPr>
              <w:t>Cioffi;</w:t>
            </w:r>
            <w:r w:rsidRPr="00BD74BF">
              <w:rPr>
                <w:rFonts w:ascii="Arial" w:eastAsia="Times New Roman" w:hAnsi="Arial" w:cs="Arial"/>
                <w:sz w:val="20"/>
                <w:szCs w:val="20"/>
              </w:rPr>
              <w:t xml:space="preserve"> 2000</w:t>
            </w:r>
          </w:p>
        </w:tc>
        <w:tc>
          <w:tcPr>
            <w:tcW w:w="2835" w:type="dxa"/>
            <w:tcBorders>
              <w:left w:val="nil"/>
              <w:bottom w:val="nil"/>
              <w:right w:val="nil"/>
            </w:tcBorders>
          </w:tcPr>
          <w:p w14:paraId="4D018497"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sz w:val="20"/>
                <w:szCs w:val="20"/>
              </w:rPr>
              <w:t>250±50mg/day</w:t>
            </w:r>
          </w:p>
        </w:tc>
        <w:tc>
          <w:tcPr>
            <w:tcW w:w="1701" w:type="dxa"/>
            <w:tcBorders>
              <w:left w:val="nil"/>
              <w:bottom w:val="nil"/>
              <w:right w:val="nil"/>
            </w:tcBorders>
          </w:tcPr>
          <w:p w14:paraId="4E486135"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sz w:val="20"/>
                <w:szCs w:val="20"/>
              </w:rPr>
              <w:t>50% (29/62)</w:t>
            </w:r>
          </w:p>
        </w:tc>
        <w:tc>
          <w:tcPr>
            <w:tcW w:w="1701" w:type="dxa"/>
            <w:tcBorders>
              <w:left w:val="nil"/>
              <w:bottom w:val="nil"/>
              <w:right w:val="nil"/>
            </w:tcBorders>
          </w:tcPr>
          <w:p w14:paraId="49C60B9D" w14:textId="77777777" w:rsidR="000362D0" w:rsidRPr="00BD74BF" w:rsidRDefault="000362D0" w:rsidP="006F45B1">
            <w:pPr>
              <w:spacing w:after="0" w:line="360" w:lineRule="auto"/>
              <w:rPr>
                <w:rFonts w:ascii="Arial" w:eastAsia="Times New Roman" w:hAnsi="Arial" w:cs="Arial"/>
                <w:sz w:val="20"/>
                <w:szCs w:val="20"/>
              </w:rPr>
            </w:pPr>
            <w:r w:rsidRPr="00BD74BF">
              <w:rPr>
                <w:rFonts w:ascii="Arial" w:eastAsia="Times New Roman" w:hAnsi="Arial" w:cs="Arial"/>
                <w:sz w:val="20"/>
                <w:szCs w:val="20"/>
              </w:rPr>
              <w:t xml:space="preserve">47% (25/50) </w:t>
            </w:r>
            <w:r w:rsidRPr="00BD74BF">
              <w:rPr>
                <w:rFonts w:ascii="Arial" w:hAnsi="Arial" w:cs="Arial"/>
                <w:sz w:val="20"/>
                <w:szCs w:val="20"/>
                <w:vertAlign w:val="superscript"/>
              </w:rPr>
              <w:t>#</w:t>
            </w:r>
          </w:p>
        </w:tc>
        <w:tc>
          <w:tcPr>
            <w:tcW w:w="992" w:type="dxa"/>
            <w:tcBorders>
              <w:left w:val="nil"/>
              <w:bottom w:val="nil"/>
              <w:right w:val="nil"/>
            </w:tcBorders>
          </w:tcPr>
          <w:p w14:paraId="4DB86C50" w14:textId="77777777" w:rsidR="000362D0" w:rsidRPr="00FE6EE0" w:rsidRDefault="000362D0" w:rsidP="006F45B1">
            <w:pPr>
              <w:spacing w:after="0" w:line="360" w:lineRule="auto"/>
              <w:rPr>
                <w:rFonts w:ascii="Arial" w:hAnsi="Arial" w:cs="Arial"/>
                <w:sz w:val="20"/>
                <w:szCs w:val="20"/>
              </w:rPr>
            </w:pPr>
            <w:r w:rsidRPr="00FE6EE0">
              <w:rPr>
                <w:rFonts w:ascii="Arial" w:hAnsi="Arial" w:cs="Arial"/>
                <w:sz w:val="20"/>
                <w:szCs w:val="20"/>
              </w:rPr>
              <w:t>0.85</w:t>
            </w:r>
          </w:p>
        </w:tc>
      </w:tr>
      <w:tr w:rsidR="000362D0" w:rsidRPr="00BD74BF" w14:paraId="1BD04C05" w14:textId="77777777" w:rsidTr="006F45B1">
        <w:trPr>
          <w:trHeight w:val="233"/>
        </w:trPr>
        <w:tc>
          <w:tcPr>
            <w:tcW w:w="1957" w:type="dxa"/>
            <w:tcBorders>
              <w:top w:val="nil"/>
              <w:left w:val="nil"/>
              <w:bottom w:val="nil"/>
              <w:right w:val="nil"/>
            </w:tcBorders>
          </w:tcPr>
          <w:p w14:paraId="6428DD99" w14:textId="77777777" w:rsidR="000362D0" w:rsidRPr="00BD74BF" w:rsidRDefault="000362D0" w:rsidP="006F45B1">
            <w:pPr>
              <w:spacing w:after="0" w:line="360" w:lineRule="auto"/>
              <w:rPr>
                <w:rFonts w:ascii="Arial" w:eastAsia="Times New Roman" w:hAnsi="Arial" w:cs="Arial"/>
                <w:sz w:val="20"/>
                <w:szCs w:val="20"/>
              </w:rPr>
            </w:pPr>
            <w:r>
              <w:rPr>
                <w:rFonts w:ascii="Arial" w:eastAsia="Times New Roman" w:hAnsi="Arial" w:cs="Arial"/>
                <w:sz w:val="20"/>
                <w:szCs w:val="20"/>
              </w:rPr>
              <w:t>Giaccardi;</w:t>
            </w:r>
            <w:r w:rsidRPr="00BD74BF">
              <w:rPr>
                <w:rFonts w:ascii="Arial" w:eastAsia="Times New Roman" w:hAnsi="Arial" w:cs="Arial"/>
                <w:sz w:val="20"/>
                <w:szCs w:val="20"/>
              </w:rPr>
              <w:t xml:space="preserve"> 2011</w:t>
            </w:r>
          </w:p>
        </w:tc>
        <w:tc>
          <w:tcPr>
            <w:tcW w:w="2835" w:type="dxa"/>
            <w:tcBorders>
              <w:top w:val="nil"/>
              <w:left w:val="nil"/>
              <w:bottom w:val="nil"/>
              <w:right w:val="nil"/>
            </w:tcBorders>
          </w:tcPr>
          <w:p w14:paraId="0ECA1CA3"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rPr>
              <w:t>-</w:t>
            </w:r>
          </w:p>
        </w:tc>
        <w:tc>
          <w:tcPr>
            <w:tcW w:w="1701" w:type="dxa"/>
            <w:tcBorders>
              <w:top w:val="nil"/>
              <w:left w:val="nil"/>
              <w:bottom w:val="nil"/>
              <w:right w:val="nil"/>
            </w:tcBorders>
          </w:tcPr>
          <w:p w14:paraId="7AB95BD3"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rPr>
              <w:t>28.3% (15/53)</w:t>
            </w:r>
          </w:p>
        </w:tc>
        <w:tc>
          <w:tcPr>
            <w:tcW w:w="1701" w:type="dxa"/>
            <w:tcBorders>
              <w:top w:val="nil"/>
              <w:left w:val="nil"/>
              <w:bottom w:val="nil"/>
              <w:right w:val="nil"/>
            </w:tcBorders>
          </w:tcPr>
          <w:p w14:paraId="340499DA"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rPr>
              <w:t>17.1% (18/105)</w:t>
            </w:r>
          </w:p>
        </w:tc>
        <w:tc>
          <w:tcPr>
            <w:tcW w:w="992" w:type="dxa"/>
            <w:tcBorders>
              <w:top w:val="nil"/>
              <w:left w:val="nil"/>
              <w:bottom w:val="nil"/>
              <w:right w:val="nil"/>
            </w:tcBorders>
          </w:tcPr>
          <w:p w14:paraId="2F8EFEC3" w14:textId="77777777" w:rsidR="000362D0" w:rsidRPr="00FE6EE0" w:rsidRDefault="000362D0" w:rsidP="006F45B1">
            <w:pPr>
              <w:spacing w:after="0" w:line="360" w:lineRule="auto"/>
              <w:rPr>
                <w:rFonts w:ascii="Arial" w:hAnsi="Arial" w:cs="Arial"/>
                <w:sz w:val="20"/>
                <w:szCs w:val="20"/>
              </w:rPr>
            </w:pPr>
            <w:r w:rsidRPr="00FE6EE0">
              <w:rPr>
                <w:rFonts w:ascii="Arial" w:hAnsi="Arial" w:cs="Arial"/>
                <w:sz w:val="20"/>
                <w:szCs w:val="20"/>
              </w:rPr>
              <w:t>0.103</w:t>
            </w:r>
          </w:p>
        </w:tc>
      </w:tr>
      <w:tr w:rsidR="000362D0" w:rsidRPr="00BD74BF" w14:paraId="24EC3723" w14:textId="77777777" w:rsidTr="006F45B1">
        <w:tc>
          <w:tcPr>
            <w:tcW w:w="1957" w:type="dxa"/>
            <w:tcBorders>
              <w:top w:val="nil"/>
              <w:left w:val="nil"/>
              <w:bottom w:val="single" w:sz="4" w:space="0" w:color="auto"/>
              <w:right w:val="nil"/>
            </w:tcBorders>
          </w:tcPr>
          <w:p w14:paraId="210112BE" w14:textId="77777777" w:rsidR="000362D0" w:rsidRPr="00BD74BF" w:rsidRDefault="000362D0" w:rsidP="006F45B1">
            <w:pPr>
              <w:spacing w:after="0" w:line="360" w:lineRule="auto"/>
              <w:rPr>
                <w:rFonts w:ascii="Arial" w:eastAsia="Times New Roman" w:hAnsi="Arial" w:cs="Arial"/>
                <w:sz w:val="20"/>
                <w:szCs w:val="20"/>
              </w:rPr>
            </w:pPr>
          </w:p>
        </w:tc>
        <w:tc>
          <w:tcPr>
            <w:tcW w:w="2835" w:type="dxa"/>
            <w:tcBorders>
              <w:top w:val="nil"/>
              <w:left w:val="nil"/>
              <w:bottom w:val="single" w:sz="4" w:space="0" w:color="auto"/>
              <w:right w:val="nil"/>
            </w:tcBorders>
          </w:tcPr>
          <w:p w14:paraId="4138BBF8" w14:textId="77777777" w:rsidR="000362D0" w:rsidRPr="00BD74BF" w:rsidRDefault="000362D0" w:rsidP="006F45B1">
            <w:pPr>
              <w:spacing w:after="0" w:line="360" w:lineRule="auto"/>
              <w:rPr>
                <w:rFonts w:ascii="Arial" w:hAnsi="Arial" w:cs="Arial"/>
                <w:sz w:val="20"/>
                <w:szCs w:val="20"/>
              </w:rPr>
            </w:pPr>
          </w:p>
        </w:tc>
        <w:tc>
          <w:tcPr>
            <w:tcW w:w="1701" w:type="dxa"/>
            <w:tcBorders>
              <w:top w:val="nil"/>
              <w:left w:val="nil"/>
              <w:bottom w:val="single" w:sz="4" w:space="0" w:color="auto"/>
              <w:right w:val="nil"/>
            </w:tcBorders>
          </w:tcPr>
          <w:p w14:paraId="388FF4BB" w14:textId="77777777" w:rsidR="000362D0" w:rsidRPr="00BD74BF" w:rsidRDefault="000362D0" w:rsidP="006F45B1">
            <w:pPr>
              <w:spacing w:after="0" w:line="360" w:lineRule="auto"/>
              <w:rPr>
                <w:rFonts w:ascii="Arial" w:hAnsi="Arial" w:cs="Arial"/>
                <w:sz w:val="20"/>
                <w:szCs w:val="20"/>
              </w:rPr>
            </w:pPr>
          </w:p>
        </w:tc>
        <w:tc>
          <w:tcPr>
            <w:tcW w:w="1701" w:type="dxa"/>
            <w:tcBorders>
              <w:top w:val="nil"/>
              <w:left w:val="nil"/>
              <w:bottom w:val="single" w:sz="4" w:space="0" w:color="auto"/>
              <w:right w:val="nil"/>
            </w:tcBorders>
          </w:tcPr>
          <w:p w14:paraId="05AC8965" w14:textId="77777777" w:rsidR="000362D0" w:rsidRPr="00BD74BF" w:rsidRDefault="000362D0" w:rsidP="006F45B1">
            <w:pPr>
              <w:spacing w:after="0" w:line="360" w:lineRule="auto"/>
              <w:rPr>
                <w:rFonts w:ascii="Arial" w:hAnsi="Arial" w:cs="Arial"/>
                <w:sz w:val="20"/>
                <w:szCs w:val="20"/>
              </w:rPr>
            </w:pPr>
          </w:p>
        </w:tc>
        <w:tc>
          <w:tcPr>
            <w:tcW w:w="992" w:type="dxa"/>
            <w:tcBorders>
              <w:top w:val="nil"/>
              <w:left w:val="nil"/>
              <w:bottom w:val="single" w:sz="4" w:space="0" w:color="auto"/>
              <w:right w:val="nil"/>
            </w:tcBorders>
          </w:tcPr>
          <w:p w14:paraId="471FAAE7" w14:textId="77777777" w:rsidR="000362D0" w:rsidRPr="00FE6EE0" w:rsidRDefault="000362D0" w:rsidP="006F45B1">
            <w:pPr>
              <w:spacing w:after="0" w:line="360" w:lineRule="auto"/>
              <w:rPr>
                <w:rFonts w:ascii="Arial" w:hAnsi="Arial" w:cs="Arial"/>
                <w:sz w:val="20"/>
                <w:szCs w:val="20"/>
              </w:rPr>
            </w:pPr>
          </w:p>
        </w:tc>
      </w:tr>
      <w:tr w:rsidR="000362D0" w:rsidRPr="00BD74BF" w14:paraId="2458BFE2" w14:textId="77777777" w:rsidTr="006F45B1">
        <w:tc>
          <w:tcPr>
            <w:tcW w:w="4792" w:type="dxa"/>
            <w:gridSpan w:val="2"/>
            <w:tcBorders>
              <w:left w:val="nil"/>
              <w:bottom w:val="single" w:sz="4" w:space="0" w:color="auto"/>
              <w:right w:val="nil"/>
            </w:tcBorders>
            <w:shd w:val="clear" w:color="auto" w:fill="D9D9D9" w:themeFill="background1" w:themeFillShade="D9"/>
          </w:tcPr>
          <w:p w14:paraId="150BFDAE" w14:textId="77777777" w:rsidR="000362D0" w:rsidRPr="00BD74BF" w:rsidRDefault="000362D0" w:rsidP="006F45B1">
            <w:pPr>
              <w:spacing w:after="0" w:line="360" w:lineRule="auto"/>
              <w:jc w:val="right"/>
              <w:rPr>
                <w:rFonts w:ascii="Arial" w:hAnsi="Arial" w:cs="Arial"/>
                <w:sz w:val="20"/>
                <w:szCs w:val="20"/>
              </w:rPr>
            </w:pPr>
            <w:r w:rsidRPr="00BD74BF">
              <w:rPr>
                <w:rFonts w:ascii="Arial" w:eastAsia="Times New Roman" w:hAnsi="Arial" w:cs="Arial"/>
                <w:b/>
                <w:sz w:val="20"/>
                <w:szCs w:val="20"/>
              </w:rPr>
              <w:t xml:space="preserve">Amiodarone </w:t>
            </w:r>
            <w:r w:rsidRPr="00BD74BF">
              <w:rPr>
                <w:rFonts w:ascii="Arial" w:eastAsia="Times New Roman" w:hAnsi="Arial" w:cs="Arial"/>
                <w:b/>
                <w:sz w:val="20"/>
                <w:szCs w:val="20"/>
                <w:u w:val="single"/>
              </w:rPr>
              <w:t>PLUS</w:t>
            </w:r>
            <w:r w:rsidRPr="00BD74BF">
              <w:rPr>
                <w:rFonts w:ascii="Arial" w:eastAsia="Times New Roman" w:hAnsi="Arial" w:cs="Arial"/>
                <w:b/>
                <w:sz w:val="20"/>
                <w:szCs w:val="20"/>
              </w:rPr>
              <w:t xml:space="preserve"> </w:t>
            </w:r>
            <w:r w:rsidRPr="00BD74BF">
              <w:rPr>
                <w:rFonts w:ascii="Arial" w:hAnsi="Arial" w:cs="Arial"/>
                <w:b/>
                <w:sz w:val="20"/>
                <w:szCs w:val="20"/>
                <w:lang w:val="en-US"/>
              </w:rPr>
              <w:t>β-blocker</w:t>
            </w:r>
          </w:p>
        </w:tc>
        <w:tc>
          <w:tcPr>
            <w:tcW w:w="1701" w:type="dxa"/>
            <w:tcBorders>
              <w:left w:val="nil"/>
              <w:bottom w:val="single" w:sz="4" w:space="0" w:color="auto"/>
              <w:right w:val="nil"/>
            </w:tcBorders>
            <w:shd w:val="clear" w:color="auto" w:fill="D9D9D9" w:themeFill="background1" w:themeFillShade="D9"/>
          </w:tcPr>
          <w:p w14:paraId="080FA606" w14:textId="77777777" w:rsidR="000362D0" w:rsidRPr="00BD74BF" w:rsidRDefault="000362D0" w:rsidP="006F45B1">
            <w:pPr>
              <w:spacing w:after="0" w:line="360" w:lineRule="auto"/>
              <w:rPr>
                <w:rFonts w:ascii="Arial" w:hAnsi="Arial" w:cs="Arial"/>
                <w:sz w:val="20"/>
                <w:szCs w:val="20"/>
              </w:rPr>
            </w:pPr>
          </w:p>
        </w:tc>
        <w:tc>
          <w:tcPr>
            <w:tcW w:w="1701" w:type="dxa"/>
            <w:tcBorders>
              <w:left w:val="nil"/>
              <w:bottom w:val="single" w:sz="4" w:space="0" w:color="auto"/>
              <w:right w:val="nil"/>
            </w:tcBorders>
            <w:shd w:val="clear" w:color="auto" w:fill="D9D9D9" w:themeFill="background1" w:themeFillShade="D9"/>
          </w:tcPr>
          <w:p w14:paraId="5B60F54B" w14:textId="77777777" w:rsidR="000362D0" w:rsidRPr="00BD74BF" w:rsidRDefault="000362D0" w:rsidP="006F45B1">
            <w:pPr>
              <w:spacing w:after="0" w:line="360" w:lineRule="auto"/>
              <w:rPr>
                <w:rFonts w:ascii="Arial" w:hAnsi="Arial" w:cs="Arial"/>
                <w:sz w:val="20"/>
                <w:szCs w:val="20"/>
              </w:rPr>
            </w:pPr>
          </w:p>
        </w:tc>
        <w:tc>
          <w:tcPr>
            <w:tcW w:w="992" w:type="dxa"/>
            <w:tcBorders>
              <w:left w:val="nil"/>
              <w:bottom w:val="single" w:sz="4" w:space="0" w:color="auto"/>
              <w:right w:val="nil"/>
            </w:tcBorders>
            <w:shd w:val="clear" w:color="auto" w:fill="D9D9D9" w:themeFill="background1" w:themeFillShade="D9"/>
          </w:tcPr>
          <w:p w14:paraId="31AF122B" w14:textId="77777777" w:rsidR="000362D0" w:rsidRPr="00FE6EE0" w:rsidRDefault="000362D0" w:rsidP="006F45B1">
            <w:pPr>
              <w:spacing w:after="0" w:line="360" w:lineRule="auto"/>
              <w:rPr>
                <w:rFonts w:ascii="Arial" w:hAnsi="Arial" w:cs="Arial"/>
                <w:sz w:val="20"/>
                <w:szCs w:val="20"/>
              </w:rPr>
            </w:pPr>
          </w:p>
        </w:tc>
      </w:tr>
      <w:tr w:rsidR="000362D0" w:rsidRPr="00BD74BF" w14:paraId="23039983" w14:textId="77777777" w:rsidTr="006F45B1">
        <w:tc>
          <w:tcPr>
            <w:tcW w:w="1957" w:type="dxa"/>
            <w:tcBorders>
              <w:left w:val="nil"/>
              <w:bottom w:val="nil"/>
              <w:right w:val="nil"/>
            </w:tcBorders>
          </w:tcPr>
          <w:p w14:paraId="7BC606C8" w14:textId="77777777" w:rsidR="000362D0" w:rsidRPr="00BD74BF" w:rsidRDefault="000362D0" w:rsidP="006F45B1">
            <w:pPr>
              <w:spacing w:after="0" w:line="360" w:lineRule="auto"/>
              <w:rPr>
                <w:rFonts w:ascii="Arial" w:eastAsia="Times New Roman" w:hAnsi="Arial" w:cs="Arial"/>
                <w:sz w:val="20"/>
                <w:szCs w:val="20"/>
              </w:rPr>
            </w:pPr>
            <w:r>
              <w:rPr>
                <w:rFonts w:ascii="Arial" w:eastAsia="Times New Roman" w:hAnsi="Arial" w:cs="Arial"/>
                <w:sz w:val="20"/>
                <w:szCs w:val="20"/>
              </w:rPr>
              <w:t>Cioffi;</w:t>
            </w:r>
            <w:r w:rsidRPr="00BD74BF">
              <w:rPr>
                <w:rFonts w:ascii="Arial" w:eastAsia="Times New Roman" w:hAnsi="Arial" w:cs="Arial"/>
                <w:sz w:val="20"/>
                <w:szCs w:val="20"/>
              </w:rPr>
              <w:t xml:space="preserve"> 2000</w:t>
            </w:r>
          </w:p>
        </w:tc>
        <w:tc>
          <w:tcPr>
            <w:tcW w:w="2835" w:type="dxa"/>
            <w:tcBorders>
              <w:left w:val="nil"/>
              <w:bottom w:val="nil"/>
              <w:right w:val="nil"/>
            </w:tcBorders>
          </w:tcPr>
          <w:p w14:paraId="76FF2402" w14:textId="77777777" w:rsidR="000362D0" w:rsidRDefault="000362D0" w:rsidP="006F45B1">
            <w:pPr>
              <w:spacing w:after="0" w:line="360" w:lineRule="auto"/>
              <w:rPr>
                <w:rFonts w:ascii="Arial" w:eastAsia="Times New Roman" w:hAnsi="Arial" w:cs="Arial"/>
                <w:sz w:val="20"/>
                <w:szCs w:val="20"/>
              </w:rPr>
            </w:pPr>
            <w:r>
              <w:rPr>
                <w:rFonts w:ascii="Arial" w:eastAsia="Times New Roman" w:hAnsi="Arial" w:cs="Arial"/>
                <w:sz w:val="20"/>
                <w:szCs w:val="20"/>
              </w:rPr>
              <w:t>A</w:t>
            </w:r>
            <w:r w:rsidRPr="00BD74BF">
              <w:rPr>
                <w:rFonts w:ascii="Arial" w:eastAsia="Times New Roman" w:hAnsi="Arial" w:cs="Arial"/>
                <w:sz w:val="20"/>
                <w:szCs w:val="20"/>
              </w:rPr>
              <w:t>miodarone 250±50mg/day</w:t>
            </w:r>
            <w:r>
              <w:rPr>
                <w:rFonts w:ascii="Arial" w:eastAsia="Times New Roman" w:hAnsi="Arial" w:cs="Arial"/>
                <w:sz w:val="20"/>
                <w:szCs w:val="20"/>
              </w:rPr>
              <w:t>;</w:t>
            </w:r>
          </w:p>
          <w:p w14:paraId="35155C96" w14:textId="77777777" w:rsidR="000362D0" w:rsidRDefault="000362D0" w:rsidP="006F45B1">
            <w:pPr>
              <w:spacing w:after="0" w:line="360" w:lineRule="auto"/>
              <w:rPr>
                <w:rFonts w:ascii="Arial" w:hAnsi="Arial" w:cs="Arial"/>
                <w:sz w:val="20"/>
                <w:szCs w:val="20"/>
                <w:lang w:val="en-US"/>
              </w:rPr>
            </w:pPr>
            <w:r w:rsidRPr="00BD74BF">
              <w:rPr>
                <w:rFonts w:ascii="Arial" w:hAnsi="Arial" w:cs="Arial"/>
                <w:sz w:val="20"/>
                <w:szCs w:val="20"/>
                <w:lang w:val="en-US"/>
              </w:rPr>
              <w:t>Atenolol 40</w:t>
            </w:r>
            <w:r w:rsidRPr="00BD74BF">
              <w:rPr>
                <w:rFonts w:ascii="Arial" w:eastAsia="Times New Roman" w:hAnsi="Arial" w:cs="Arial"/>
                <w:sz w:val="20"/>
                <w:szCs w:val="20"/>
              </w:rPr>
              <w:t>±15mg/day</w:t>
            </w:r>
            <w:r>
              <w:rPr>
                <w:rFonts w:ascii="Arial" w:eastAsia="Times New Roman" w:hAnsi="Arial" w:cs="Arial"/>
                <w:sz w:val="20"/>
                <w:szCs w:val="20"/>
              </w:rPr>
              <w:t>, or</w:t>
            </w:r>
          </w:p>
          <w:p w14:paraId="0F8DA3B6" w14:textId="77777777" w:rsidR="000362D0" w:rsidRDefault="000362D0" w:rsidP="006F45B1">
            <w:pPr>
              <w:spacing w:after="0" w:line="360" w:lineRule="auto"/>
              <w:rPr>
                <w:rFonts w:ascii="Arial" w:hAnsi="Arial" w:cs="Arial"/>
                <w:sz w:val="20"/>
                <w:szCs w:val="20"/>
                <w:lang w:val="en-US"/>
              </w:rPr>
            </w:pPr>
            <w:r w:rsidRPr="00BD74BF">
              <w:rPr>
                <w:rFonts w:ascii="Arial" w:hAnsi="Arial" w:cs="Arial"/>
                <w:sz w:val="20"/>
                <w:szCs w:val="20"/>
                <w:lang w:val="en-US"/>
              </w:rPr>
              <w:t>Metoprolol 50mg/day</w:t>
            </w:r>
            <w:r>
              <w:rPr>
                <w:rFonts w:ascii="Arial" w:hAnsi="Arial" w:cs="Arial"/>
                <w:sz w:val="20"/>
                <w:szCs w:val="20"/>
                <w:lang w:val="en-US"/>
              </w:rPr>
              <w:t>, or</w:t>
            </w:r>
          </w:p>
          <w:p w14:paraId="47CE3FF4"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lang w:val="en-US"/>
              </w:rPr>
              <w:t>Bisoprolol 5 mg/day</w:t>
            </w:r>
          </w:p>
        </w:tc>
        <w:tc>
          <w:tcPr>
            <w:tcW w:w="1701" w:type="dxa"/>
            <w:tcBorders>
              <w:left w:val="nil"/>
              <w:bottom w:val="nil"/>
              <w:right w:val="nil"/>
            </w:tcBorders>
          </w:tcPr>
          <w:p w14:paraId="4E784E61"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sz w:val="20"/>
                <w:szCs w:val="20"/>
              </w:rPr>
              <w:t>9% (2/22)</w:t>
            </w:r>
          </w:p>
        </w:tc>
        <w:tc>
          <w:tcPr>
            <w:tcW w:w="1701" w:type="dxa"/>
            <w:tcBorders>
              <w:left w:val="nil"/>
              <w:bottom w:val="nil"/>
              <w:right w:val="nil"/>
            </w:tcBorders>
          </w:tcPr>
          <w:p w14:paraId="7863B7CD"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sz w:val="20"/>
                <w:szCs w:val="20"/>
              </w:rPr>
              <w:t xml:space="preserve">47% (25/50) </w:t>
            </w:r>
            <w:r w:rsidRPr="00BD74BF">
              <w:rPr>
                <w:rFonts w:ascii="Arial" w:hAnsi="Arial" w:cs="Arial"/>
                <w:sz w:val="20"/>
                <w:szCs w:val="20"/>
                <w:vertAlign w:val="superscript"/>
              </w:rPr>
              <w:t>#</w:t>
            </w:r>
          </w:p>
        </w:tc>
        <w:tc>
          <w:tcPr>
            <w:tcW w:w="992" w:type="dxa"/>
            <w:tcBorders>
              <w:left w:val="nil"/>
              <w:bottom w:val="nil"/>
              <w:right w:val="nil"/>
            </w:tcBorders>
          </w:tcPr>
          <w:p w14:paraId="248F2823" w14:textId="77777777" w:rsidR="000362D0" w:rsidRPr="00FE6EE0" w:rsidRDefault="000362D0" w:rsidP="006F45B1">
            <w:pPr>
              <w:spacing w:after="0" w:line="360" w:lineRule="auto"/>
              <w:rPr>
                <w:rFonts w:ascii="Arial" w:hAnsi="Arial" w:cs="Arial"/>
                <w:sz w:val="20"/>
                <w:szCs w:val="20"/>
              </w:rPr>
            </w:pPr>
            <w:r w:rsidRPr="00FE6EE0">
              <w:rPr>
                <w:rFonts w:ascii="Arial" w:hAnsi="Arial" w:cs="Arial"/>
                <w:sz w:val="20"/>
                <w:szCs w:val="20"/>
              </w:rPr>
              <w:t>0.001</w:t>
            </w:r>
          </w:p>
        </w:tc>
      </w:tr>
      <w:tr w:rsidR="000362D0" w:rsidRPr="00BD74BF" w14:paraId="69C88797" w14:textId="77777777" w:rsidTr="006F45B1">
        <w:tc>
          <w:tcPr>
            <w:tcW w:w="1957" w:type="dxa"/>
            <w:tcBorders>
              <w:top w:val="nil"/>
              <w:left w:val="nil"/>
              <w:bottom w:val="single" w:sz="4" w:space="0" w:color="auto"/>
              <w:right w:val="nil"/>
            </w:tcBorders>
          </w:tcPr>
          <w:p w14:paraId="5C25056A" w14:textId="77777777" w:rsidR="000362D0" w:rsidRPr="00BD74BF" w:rsidRDefault="000362D0" w:rsidP="006F45B1">
            <w:pPr>
              <w:spacing w:after="0" w:line="360" w:lineRule="auto"/>
              <w:rPr>
                <w:rFonts w:ascii="Arial" w:eastAsia="Times New Roman" w:hAnsi="Arial" w:cs="Arial"/>
                <w:sz w:val="20"/>
                <w:szCs w:val="20"/>
              </w:rPr>
            </w:pPr>
          </w:p>
        </w:tc>
        <w:tc>
          <w:tcPr>
            <w:tcW w:w="2835" w:type="dxa"/>
            <w:tcBorders>
              <w:top w:val="nil"/>
              <w:left w:val="nil"/>
              <w:bottom w:val="single" w:sz="4" w:space="0" w:color="auto"/>
              <w:right w:val="nil"/>
            </w:tcBorders>
          </w:tcPr>
          <w:p w14:paraId="134D90A6" w14:textId="77777777" w:rsidR="000362D0" w:rsidRPr="00BD74BF" w:rsidRDefault="000362D0" w:rsidP="006F45B1">
            <w:pPr>
              <w:spacing w:after="0" w:line="360" w:lineRule="auto"/>
              <w:rPr>
                <w:rFonts w:ascii="Arial" w:hAnsi="Arial" w:cs="Arial"/>
                <w:sz w:val="20"/>
                <w:szCs w:val="20"/>
              </w:rPr>
            </w:pPr>
          </w:p>
        </w:tc>
        <w:tc>
          <w:tcPr>
            <w:tcW w:w="1701" w:type="dxa"/>
            <w:tcBorders>
              <w:top w:val="nil"/>
              <w:left w:val="nil"/>
              <w:bottom w:val="single" w:sz="4" w:space="0" w:color="auto"/>
              <w:right w:val="nil"/>
            </w:tcBorders>
          </w:tcPr>
          <w:p w14:paraId="21B2DB51" w14:textId="77777777" w:rsidR="000362D0" w:rsidRPr="00BD74BF" w:rsidRDefault="000362D0" w:rsidP="006F45B1">
            <w:pPr>
              <w:spacing w:after="0" w:line="360" w:lineRule="auto"/>
              <w:rPr>
                <w:rFonts w:ascii="Arial" w:hAnsi="Arial" w:cs="Arial"/>
                <w:sz w:val="20"/>
                <w:szCs w:val="20"/>
              </w:rPr>
            </w:pPr>
          </w:p>
        </w:tc>
        <w:tc>
          <w:tcPr>
            <w:tcW w:w="1701" w:type="dxa"/>
            <w:tcBorders>
              <w:top w:val="nil"/>
              <w:left w:val="nil"/>
              <w:bottom w:val="single" w:sz="4" w:space="0" w:color="auto"/>
              <w:right w:val="nil"/>
            </w:tcBorders>
          </w:tcPr>
          <w:p w14:paraId="65946FF1" w14:textId="77777777" w:rsidR="000362D0" w:rsidRPr="00BD74BF" w:rsidRDefault="000362D0" w:rsidP="006F45B1">
            <w:pPr>
              <w:spacing w:after="0" w:line="360" w:lineRule="auto"/>
              <w:rPr>
                <w:rFonts w:ascii="Arial" w:hAnsi="Arial" w:cs="Arial"/>
                <w:sz w:val="20"/>
                <w:szCs w:val="20"/>
              </w:rPr>
            </w:pPr>
          </w:p>
        </w:tc>
        <w:tc>
          <w:tcPr>
            <w:tcW w:w="992" w:type="dxa"/>
            <w:tcBorders>
              <w:top w:val="nil"/>
              <w:left w:val="nil"/>
              <w:bottom w:val="single" w:sz="4" w:space="0" w:color="auto"/>
              <w:right w:val="nil"/>
            </w:tcBorders>
          </w:tcPr>
          <w:p w14:paraId="0A974F44" w14:textId="77777777" w:rsidR="000362D0" w:rsidRPr="00FE6EE0" w:rsidRDefault="000362D0" w:rsidP="006F45B1">
            <w:pPr>
              <w:spacing w:after="0" w:line="360" w:lineRule="auto"/>
              <w:rPr>
                <w:rFonts w:ascii="Arial" w:hAnsi="Arial" w:cs="Arial"/>
                <w:sz w:val="20"/>
                <w:szCs w:val="20"/>
              </w:rPr>
            </w:pPr>
          </w:p>
        </w:tc>
      </w:tr>
      <w:tr w:rsidR="000362D0" w:rsidRPr="00BD74BF" w14:paraId="2D490B9D" w14:textId="77777777" w:rsidTr="006F45B1">
        <w:tc>
          <w:tcPr>
            <w:tcW w:w="1957" w:type="dxa"/>
            <w:tcBorders>
              <w:left w:val="nil"/>
              <w:bottom w:val="single" w:sz="4" w:space="0" w:color="auto"/>
              <w:right w:val="nil"/>
            </w:tcBorders>
            <w:shd w:val="clear" w:color="auto" w:fill="D9D9D9" w:themeFill="background1" w:themeFillShade="D9"/>
          </w:tcPr>
          <w:p w14:paraId="4D06AC48" w14:textId="77777777" w:rsidR="000362D0" w:rsidRPr="00BD74BF" w:rsidRDefault="000362D0" w:rsidP="006F45B1">
            <w:pPr>
              <w:spacing w:after="0" w:line="360" w:lineRule="auto"/>
              <w:rPr>
                <w:rFonts w:ascii="Arial" w:eastAsia="Times New Roman" w:hAnsi="Arial" w:cs="Arial"/>
                <w:b/>
                <w:sz w:val="20"/>
                <w:szCs w:val="20"/>
              </w:rPr>
            </w:pPr>
          </w:p>
        </w:tc>
        <w:tc>
          <w:tcPr>
            <w:tcW w:w="2835" w:type="dxa"/>
            <w:tcBorders>
              <w:left w:val="nil"/>
              <w:bottom w:val="single" w:sz="4" w:space="0" w:color="auto"/>
              <w:right w:val="nil"/>
            </w:tcBorders>
            <w:shd w:val="clear" w:color="auto" w:fill="D9D9D9" w:themeFill="background1" w:themeFillShade="D9"/>
          </w:tcPr>
          <w:p w14:paraId="140C2CBC"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b/>
                <w:sz w:val="20"/>
                <w:szCs w:val="20"/>
              </w:rPr>
              <w:t>ACE-I/ARB</w:t>
            </w:r>
          </w:p>
        </w:tc>
        <w:tc>
          <w:tcPr>
            <w:tcW w:w="1701" w:type="dxa"/>
            <w:tcBorders>
              <w:left w:val="nil"/>
              <w:bottom w:val="single" w:sz="4" w:space="0" w:color="auto"/>
              <w:right w:val="nil"/>
            </w:tcBorders>
            <w:shd w:val="clear" w:color="auto" w:fill="D9D9D9" w:themeFill="background1" w:themeFillShade="D9"/>
          </w:tcPr>
          <w:p w14:paraId="321CF553" w14:textId="77777777" w:rsidR="000362D0" w:rsidRPr="00BD74BF" w:rsidRDefault="000362D0" w:rsidP="006F45B1">
            <w:pPr>
              <w:spacing w:after="0" w:line="360" w:lineRule="auto"/>
              <w:rPr>
                <w:rFonts w:ascii="Arial" w:hAnsi="Arial" w:cs="Arial"/>
                <w:sz w:val="20"/>
                <w:szCs w:val="20"/>
              </w:rPr>
            </w:pPr>
          </w:p>
        </w:tc>
        <w:tc>
          <w:tcPr>
            <w:tcW w:w="1701" w:type="dxa"/>
            <w:tcBorders>
              <w:left w:val="nil"/>
              <w:bottom w:val="single" w:sz="4" w:space="0" w:color="auto"/>
              <w:right w:val="nil"/>
            </w:tcBorders>
            <w:shd w:val="clear" w:color="auto" w:fill="D9D9D9" w:themeFill="background1" w:themeFillShade="D9"/>
          </w:tcPr>
          <w:p w14:paraId="1BFC4081" w14:textId="77777777" w:rsidR="000362D0" w:rsidRPr="00BD74BF" w:rsidRDefault="000362D0" w:rsidP="006F45B1">
            <w:pPr>
              <w:spacing w:after="0" w:line="360" w:lineRule="auto"/>
              <w:rPr>
                <w:rFonts w:ascii="Arial" w:hAnsi="Arial" w:cs="Arial"/>
                <w:sz w:val="20"/>
                <w:szCs w:val="20"/>
              </w:rPr>
            </w:pPr>
          </w:p>
        </w:tc>
        <w:tc>
          <w:tcPr>
            <w:tcW w:w="992" w:type="dxa"/>
            <w:tcBorders>
              <w:left w:val="nil"/>
              <w:bottom w:val="single" w:sz="4" w:space="0" w:color="auto"/>
              <w:right w:val="nil"/>
            </w:tcBorders>
            <w:shd w:val="clear" w:color="auto" w:fill="D9D9D9" w:themeFill="background1" w:themeFillShade="D9"/>
          </w:tcPr>
          <w:p w14:paraId="3743560D" w14:textId="77777777" w:rsidR="000362D0" w:rsidRPr="00FE6EE0" w:rsidRDefault="000362D0" w:rsidP="006F45B1">
            <w:pPr>
              <w:spacing w:after="0" w:line="360" w:lineRule="auto"/>
              <w:rPr>
                <w:rFonts w:ascii="Arial" w:hAnsi="Arial" w:cs="Arial"/>
                <w:sz w:val="20"/>
                <w:szCs w:val="20"/>
              </w:rPr>
            </w:pPr>
          </w:p>
        </w:tc>
      </w:tr>
      <w:tr w:rsidR="000362D0" w:rsidRPr="00BD74BF" w14:paraId="687F726A" w14:textId="77777777" w:rsidTr="006F45B1">
        <w:tc>
          <w:tcPr>
            <w:tcW w:w="1957" w:type="dxa"/>
            <w:tcBorders>
              <w:left w:val="nil"/>
              <w:bottom w:val="nil"/>
              <w:right w:val="nil"/>
            </w:tcBorders>
          </w:tcPr>
          <w:p w14:paraId="664F462C" w14:textId="77777777" w:rsidR="000362D0" w:rsidRPr="00BD74BF" w:rsidRDefault="000362D0" w:rsidP="006F45B1">
            <w:pPr>
              <w:spacing w:after="0" w:line="360" w:lineRule="auto"/>
              <w:rPr>
                <w:rFonts w:ascii="Arial" w:eastAsia="Times New Roman" w:hAnsi="Arial" w:cs="Arial"/>
                <w:sz w:val="20"/>
                <w:szCs w:val="20"/>
              </w:rPr>
            </w:pPr>
            <w:r w:rsidRPr="00BD74BF">
              <w:rPr>
                <w:rFonts w:ascii="Arial" w:eastAsia="Times New Roman" w:hAnsi="Arial" w:cs="Arial"/>
                <w:sz w:val="20"/>
                <w:szCs w:val="20"/>
              </w:rPr>
              <w:t>Ambrosetti</w:t>
            </w:r>
            <w:r>
              <w:rPr>
                <w:rFonts w:ascii="Arial" w:eastAsia="Times New Roman" w:hAnsi="Arial" w:cs="Arial"/>
                <w:sz w:val="20"/>
                <w:szCs w:val="20"/>
              </w:rPr>
              <w:t>;</w:t>
            </w:r>
            <w:r w:rsidRPr="00BD74BF">
              <w:rPr>
                <w:rFonts w:ascii="Arial" w:eastAsia="Times New Roman" w:hAnsi="Arial" w:cs="Arial"/>
                <w:sz w:val="20"/>
                <w:szCs w:val="20"/>
              </w:rPr>
              <w:t xml:space="preserve"> 2011</w:t>
            </w:r>
          </w:p>
        </w:tc>
        <w:tc>
          <w:tcPr>
            <w:tcW w:w="2835" w:type="dxa"/>
            <w:tcBorders>
              <w:left w:val="nil"/>
              <w:bottom w:val="nil"/>
              <w:right w:val="nil"/>
            </w:tcBorders>
          </w:tcPr>
          <w:p w14:paraId="0A43F269" w14:textId="77777777" w:rsidR="000362D0" w:rsidRPr="00042A31" w:rsidRDefault="000362D0" w:rsidP="006F45B1">
            <w:pPr>
              <w:spacing w:after="0" w:line="360" w:lineRule="auto"/>
              <w:rPr>
                <w:rFonts w:ascii="Arial" w:hAnsi="Arial" w:cs="Arial"/>
                <w:sz w:val="20"/>
                <w:szCs w:val="20"/>
              </w:rPr>
            </w:pPr>
            <w:r w:rsidRPr="00042A31">
              <w:rPr>
                <w:rFonts w:ascii="Arial" w:eastAsia="Times New Roman" w:hAnsi="Arial" w:cs="Arial"/>
                <w:sz w:val="20"/>
                <w:szCs w:val="20"/>
              </w:rPr>
              <w:t>ACE-I/ARB</w:t>
            </w:r>
          </w:p>
        </w:tc>
        <w:tc>
          <w:tcPr>
            <w:tcW w:w="1701" w:type="dxa"/>
            <w:tcBorders>
              <w:left w:val="nil"/>
              <w:bottom w:val="nil"/>
              <w:right w:val="nil"/>
            </w:tcBorders>
          </w:tcPr>
          <w:p w14:paraId="6BB75340"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sz w:val="20"/>
                <w:szCs w:val="20"/>
              </w:rPr>
              <w:t>6.1%</w:t>
            </w:r>
          </w:p>
        </w:tc>
        <w:tc>
          <w:tcPr>
            <w:tcW w:w="1701" w:type="dxa"/>
            <w:tcBorders>
              <w:left w:val="nil"/>
              <w:bottom w:val="nil"/>
              <w:right w:val="nil"/>
            </w:tcBorders>
          </w:tcPr>
          <w:p w14:paraId="7301A56C"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sz w:val="20"/>
                <w:szCs w:val="20"/>
              </w:rPr>
              <w:t>9.3%</w:t>
            </w:r>
          </w:p>
        </w:tc>
        <w:tc>
          <w:tcPr>
            <w:tcW w:w="992" w:type="dxa"/>
            <w:tcBorders>
              <w:left w:val="nil"/>
              <w:bottom w:val="nil"/>
              <w:right w:val="nil"/>
            </w:tcBorders>
          </w:tcPr>
          <w:p w14:paraId="21342516" w14:textId="77777777" w:rsidR="000362D0" w:rsidRPr="00FE6EE0" w:rsidRDefault="000362D0" w:rsidP="006F45B1">
            <w:pPr>
              <w:spacing w:after="0" w:line="360" w:lineRule="auto"/>
              <w:rPr>
                <w:rFonts w:ascii="Arial" w:hAnsi="Arial" w:cs="Arial"/>
                <w:sz w:val="20"/>
                <w:szCs w:val="20"/>
              </w:rPr>
            </w:pPr>
            <w:r w:rsidRPr="00FE6EE0">
              <w:rPr>
                <w:rFonts w:ascii="Arial" w:hAnsi="Arial" w:cs="Arial"/>
                <w:sz w:val="20"/>
                <w:szCs w:val="20"/>
                <w:lang w:val="en-US"/>
              </w:rPr>
              <w:t>0.08</w:t>
            </w:r>
          </w:p>
        </w:tc>
      </w:tr>
      <w:tr w:rsidR="000362D0" w:rsidRPr="00BD74BF" w14:paraId="5DA3E690" w14:textId="77777777" w:rsidTr="006F45B1">
        <w:tc>
          <w:tcPr>
            <w:tcW w:w="1957" w:type="dxa"/>
            <w:tcBorders>
              <w:top w:val="nil"/>
              <w:left w:val="nil"/>
              <w:bottom w:val="nil"/>
              <w:right w:val="nil"/>
            </w:tcBorders>
          </w:tcPr>
          <w:p w14:paraId="7C5539E6" w14:textId="77777777" w:rsidR="000362D0" w:rsidRDefault="000362D0" w:rsidP="006F45B1">
            <w:pPr>
              <w:spacing w:after="0" w:line="360" w:lineRule="auto"/>
              <w:rPr>
                <w:rFonts w:ascii="Arial" w:eastAsia="Times New Roman" w:hAnsi="Arial" w:cs="Arial"/>
                <w:sz w:val="20"/>
                <w:szCs w:val="20"/>
              </w:rPr>
            </w:pPr>
            <w:r>
              <w:rPr>
                <w:rFonts w:ascii="Arial" w:eastAsia="Times New Roman" w:hAnsi="Arial" w:cs="Arial"/>
                <w:sz w:val="20"/>
                <w:szCs w:val="20"/>
              </w:rPr>
              <w:t>Cioffi; 2001</w:t>
            </w:r>
          </w:p>
          <w:p w14:paraId="6C9B343F" w14:textId="77777777" w:rsidR="000362D0" w:rsidRPr="00BD74BF" w:rsidRDefault="000362D0" w:rsidP="006F45B1">
            <w:pPr>
              <w:spacing w:after="0" w:line="360" w:lineRule="auto"/>
              <w:rPr>
                <w:rFonts w:ascii="Arial" w:eastAsia="Times New Roman" w:hAnsi="Arial" w:cs="Arial"/>
                <w:sz w:val="20"/>
                <w:szCs w:val="20"/>
              </w:rPr>
            </w:pPr>
            <w:r w:rsidRPr="00BD74BF">
              <w:rPr>
                <w:rFonts w:ascii="Arial" w:eastAsia="Times New Roman" w:hAnsi="Arial" w:cs="Arial"/>
                <w:sz w:val="20"/>
                <w:szCs w:val="20"/>
              </w:rPr>
              <w:t>(retrospective arm)</w:t>
            </w:r>
          </w:p>
        </w:tc>
        <w:tc>
          <w:tcPr>
            <w:tcW w:w="2835" w:type="dxa"/>
            <w:tcBorders>
              <w:top w:val="nil"/>
              <w:left w:val="nil"/>
              <w:bottom w:val="nil"/>
              <w:right w:val="nil"/>
            </w:tcBorders>
          </w:tcPr>
          <w:p w14:paraId="1930534B" w14:textId="77777777" w:rsidR="000362D0" w:rsidRPr="00042A31" w:rsidRDefault="000362D0" w:rsidP="006F45B1">
            <w:pPr>
              <w:spacing w:after="0" w:line="360" w:lineRule="auto"/>
              <w:rPr>
                <w:rFonts w:ascii="Arial" w:hAnsi="Arial" w:cs="Arial"/>
                <w:sz w:val="20"/>
                <w:szCs w:val="20"/>
              </w:rPr>
            </w:pPr>
            <w:r w:rsidRPr="00042A31">
              <w:rPr>
                <w:rFonts w:ascii="Arial" w:eastAsia="Times New Roman" w:hAnsi="Arial" w:cs="Arial"/>
                <w:sz w:val="20"/>
                <w:szCs w:val="20"/>
              </w:rPr>
              <w:t>ACE-I</w:t>
            </w:r>
          </w:p>
        </w:tc>
        <w:tc>
          <w:tcPr>
            <w:tcW w:w="1701" w:type="dxa"/>
            <w:tcBorders>
              <w:top w:val="nil"/>
              <w:left w:val="nil"/>
              <w:bottom w:val="nil"/>
              <w:right w:val="nil"/>
            </w:tcBorders>
          </w:tcPr>
          <w:p w14:paraId="6DF82834"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sz w:val="20"/>
                <w:szCs w:val="20"/>
              </w:rPr>
              <w:t>10.7% (3/28)</w:t>
            </w:r>
          </w:p>
        </w:tc>
        <w:tc>
          <w:tcPr>
            <w:tcW w:w="1701" w:type="dxa"/>
            <w:tcBorders>
              <w:top w:val="nil"/>
              <w:left w:val="nil"/>
              <w:bottom w:val="nil"/>
              <w:right w:val="nil"/>
            </w:tcBorders>
          </w:tcPr>
          <w:p w14:paraId="642B496D"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sz w:val="20"/>
                <w:szCs w:val="20"/>
              </w:rPr>
              <w:t>16.6% (58/348)</w:t>
            </w:r>
          </w:p>
        </w:tc>
        <w:tc>
          <w:tcPr>
            <w:tcW w:w="992" w:type="dxa"/>
            <w:tcBorders>
              <w:top w:val="nil"/>
              <w:left w:val="nil"/>
              <w:bottom w:val="nil"/>
              <w:right w:val="nil"/>
            </w:tcBorders>
          </w:tcPr>
          <w:p w14:paraId="6BACC239" w14:textId="77777777" w:rsidR="000362D0" w:rsidRPr="00FE6EE0" w:rsidRDefault="000362D0" w:rsidP="006F45B1">
            <w:pPr>
              <w:spacing w:after="0" w:line="360" w:lineRule="auto"/>
              <w:rPr>
                <w:rFonts w:ascii="Arial" w:hAnsi="Arial" w:cs="Arial"/>
                <w:sz w:val="20"/>
                <w:szCs w:val="20"/>
              </w:rPr>
            </w:pPr>
            <w:r w:rsidRPr="00FE6EE0">
              <w:rPr>
                <w:rFonts w:ascii="Arial" w:hAnsi="Arial" w:cs="Arial"/>
                <w:sz w:val="20"/>
                <w:szCs w:val="20"/>
              </w:rPr>
              <w:t>0.60</w:t>
            </w:r>
          </w:p>
        </w:tc>
      </w:tr>
      <w:tr w:rsidR="000362D0" w:rsidRPr="00BD74BF" w14:paraId="2D78BA68" w14:textId="77777777" w:rsidTr="006F45B1">
        <w:tc>
          <w:tcPr>
            <w:tcW w:w="1957" w:type="dxa"/>
            <w:tcBorders>
              <w:top w:val="nil"/>
              <w:left w:val="nil"/>
              <w:bottom w:val="nil"/>
              <w:right w:val="nil"/>
            </w:tcBorders>
          </w:tcPr>
          <w:p w14:paraId="73D104D7" w14:textId="77777777" w:rsidR="000362D0" w:rsidRPr="00BD74BF" w:rsidRDefault="000362D0" w:rsidP="006F45B1">
            <w:pPr>
              <w:spacing w:after="0" w:line="360" w:lineRule="auto"/>
              <w:rPr>
                <w:rFonts w:ascii="Arial" w:eastAsia="Times New Roman" w:hAnsi="Arial" w:cs="Arial"/>
                <w:sz w:val="20"/>
                <w:szCs w:val="20"/>
              </w:rPr>
            </w:pPr>
            <w:r>
              <w:rPr>
                <w:rFonts w:ascii="Arial" w:eastAsia="Times New Roman" w:hAnsi="Arial" w:cs="Arial"/>
                <w:sz w:val="20"/>
                <w:szCs w:val="20"/>
              </w:rPr>
              <w:t>Giaccardi;</w:t>
            </w:r>
            <w:r w:rsidRPr="00BD74BF">
              <w:rPr>
                <w:rFonts w:ascii="Arial" w:eastAsia="Times New Roman" w:hAnsi="Arial" w:cs="Arial"/>
                <w:sz w:val="20"/>
                <w:szCs w:val="20"/>
              </w:rPr>
              <w:t xml:space="preserve"> 2011</w:t>
            </w:r>
          </w:p>
        </w:tc>
        <w:tc>
          <w:tcPr>
            <w:tcW w:w="2835" w:type="dxa"/>
            <w:tcBorders>
              <w:top w:val="nil"/>
              <w:left w:val="nil"/>
              <w:bottom w:val="nil"/>
              <w:right w:val="nil"/>
            </w:tcBorders>
          </w:tcPr>
          <w:p w14:paraId="34B3A6D7" w14:textId="77777777" w:rsidR="000362D0" w:rsidRPr="00042A31" w:rsidRDefault="000362D0" w:rsidP="006F45B1">
            <w:pPr>
              <w:spacing w:after="0" w:line="360" w:lineRule="auto"/>
              <w:rPr>
                <w:rFonts w:ascii="Arial" w:hAnsi="Arial" w:cs="Arial"/>
                <w:sz w:val="20"/>
                <w:szCs w:val="20"/>
              </w:rPr>
            </w:pPr>
            <w:r w:rsidRPr="00042A31">
              <w:rPr>
                <w:rFonts w:ascii="Arial" w:eastAsia="Times New Roman" w:hAnsi="Arial" w:cs="Arial"/>
                <w:sz w:val="20"/>
                <w:szCs w:val="20"/>
              </w:rPr>
              <w:t>ACE-I</w:t>
            </w:r>
          </w:p>
        </w:tc>
        <w:tc>
          <w:tcPr>
            <w:tcW w:w="1701" w:type="dxa"/>
            <w:tcBorders>
              <w:top w:val="nil"/>
              <w:left w:val="nil"/>
              <w:bottom w:val="nil"/>
              <w:right w:val="nil"/>
            </w:tcBorders>
          </w:tcPr>
          <w:p w14:paraId="6B144DF6"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sz w:val="20"/>
                <w:szCs w:val="20"/>
              </w:rPr>
              <w:t>20.7% (23/111)</w:t>
            </w:r>
          </w:p>
        </w:tc>
        <w:tc>
          <w:tcPr>
            <w:tcW w:w="1701" w:type="dxa"/>
            <w:tcBorders>
              <w:top w:val="nil"/>
              <w:left w:val="nil"/>
              <w:bottom w:val="nil"/>
              <w:right w:val="nil"/>
            </w:tcBorders>
          </w:tcPr>
          <w:p w14:paraId="04FFB7A1" w14:textId="77777777" w:rsidR="000362D0" w:rsidRPr="00BD74BF" w:rsidRDefault="000362D0" w:rsidP="006F45B1">
            <w:pPr>
              <w:spacing w:after="0" w:line="360" w:lineRule="auto"/>
              <w:rPr>
                <w:rFonts w:ascii="Arial" w:hAnsi="Arial" w:cs="Arial"/>
                <w:sz w:val="20"/>
                <w:szCs w:val="20"/>
              </w:rPr>
            </w:pPr>
            <w:r w:rsidRPr="00BD74BF">
              <w:rPr>
                <w:rFonts w:ascii="Arial" w:eastAsia="Times New Roman" w:hAnsi="Arial" w:cs="Arial"/>
                <w:sz w:val="20"/>
                <w:szCs w:val="20"/>
              </w:rPr>
              <w:t>21.3% (10/47)</w:t>
            </w:r>
          </w:p>
        </w:tc>
        <w:tc>
          <w:tcPr>
            <w:tcW w:w="992" w:type="dxa"/>
            <w:tcBorders>
              <w:top w:val="nil"/>
              <w:left w:val="nil"/>
              <w:bottom w:val="nil"/>
              <w:right w:val="nil"/>
            </w:tcBorders>
          </w:tcPr>
          <w:p w14:paraId="61344645" w14:textId="77777777" w:rsidR="000362D0" w:rsidRPr="00FE6EE0" w:rsidRDefault="000362D0" w:rsidP="006F45B1">
            <w:pPr>
              <w:spacing w:after="0" w:line="360" w:lineRule="auto"/>
              <w:rPr>
                <w:rFonts w:ascii="Arial" w:hAnsi="Arial" w:cs="Arial"/>
                <w:sz w:val="20"/>
                <w:szCs w:val="20"/>
              </w:rPr>
            </w:pPr>
            <w:r w:rsidRPr="00FE6EE0">
              <w:rPr>
                <w:rFonts w:ascii="Arial" w:hAnsi="Arial" w:cs="Arial"/>
                <w:sz w:val="20"/>
                <w:szCs w:val="20"/>
                <w:lang w:val="en-US"/>
              </w:rPr>
              <w:t>0.937</w:t>
            </w:r>
          </w:p>
        </w:tc>
      </w:tr>
      <w:tr w:rsidR="000362D0" w:rsidRPr="00BD74BF" w14:paraId="7EFE8596" w14:textId="77777777" w:rsidTr="006F45B1">
        <w:tc>
          <w:tcPr>
            <w:tcW w:w="1957" w:type="dxa"/>
            <w:tcBorders>
              <w:top w:val="nil"/>
              <w:left w:val="nil"/>
              <w:right w:val="nil"/>
            </w:tcBorders>
          </w:tcPr>
          <w:p w14:paraId="0B93EC7E" w14:textId="77777777" w:rsidR="000362D0" w:rsidRPr="00BD74BF" w:rsidRDefault="000362D0" w:rsidP="006F45B1">
            <w:pPr>
              <w:spacing w:after="0" w:line="360" w:lineRule="auto"/>
              <w:rPr>
                <w:rFonts w:ascii="Arial" w:eastAsia="Times New Roman" w:hAnsi="Arial" w:cs="Arial"/>
                <w:sz w:val="20"/>
                <w:szCs w:val="20"/>
              </w:rPr>
            </w:pPr>
          </w:p>
        </w:tc>
        <w:tc>
          <w:tcPr>
            <w:tcW w:w="2835" w:type="dxa"/>
            <w:tcBorders>
              <w:top w:val="nil"/>
              <w:left w:val="nil"/>
              <w:right w:val="nil"/>
            </w:tcBorders>
          </w:tcPr>
          <w:p w14:paraId="44E466E7" w14:textId="77777777" w:rsidR="000362D0" w:rsidRPr="00BD74BF" w:rsidRDefault="000362D0" w:rsidP="006F45B1">
            <w:pPr>
              <w:spacing w:after="0" w:line="360" w:lineRule="auto"/>
              <w:rPr>
                <w:rFonts w:ascii="Arial" w:hAnsi="Arial" w:cs="Arial"/>
                <w:sz w:val="20"/>
                <w:szCs w:val="20"/>
              </w:rPr>
            </w:pPr>
          </w:p>
        </w:tc>
        <w:tc>
          <w:tcPr>
            <w:tcW w:w="1701" w:type="dxa"/>
            <w:tcBorders>
              <w:top w:val="nil"/>
              <w:left w:val="nil"/>
              <w:right w:val="nil"/>
            </w:tcBorders>
          </w:tcPr>
          <w:p w14:paraId="094C908D" w14:textId="77777777" w:rsidR="000362D0" w:rsidRPr="00BD74BF" w:rsidRDefault="000362D0" w:rsidP="006F45B1">
            <w:pPr>
              <w:spacing w:after="0" w:line="360" w:lineRule="auto"/>
              <w:rPr>
                <w:rFonts w:ascii="Arial" w:hAnsi="Arial" w:cs="Arial"/>
                <w:sz w:val="20"/>
                <w:szCs w:val="20"/>
              </w:rPr>
            </w:pPr>
          </w:p>
        </w:tc>
        <w:tc>
          <w:tcPr>
            <w:tcW w:w="1701" w:type="dxa"/>
            <w:tcBorders>
              <w:top w:val="nil"/>
              <w:left w:val="nil"/>
              <w:right w:val="nil"/>
            </w:tcBorders>
          </w:tcPr>
          <w:p w14:paraId="59522286" w14:textId="77777777" w:rsidR="000362D0" w:rsidRPr="00BD74BF" w:rsidRDefault="000362D0" w:rsidP="006F45B1">
            <w:pPr>
              <w:spacing w:after="0" w:line="360" w:lineRule="auto"/>
              <w:rPr>
                <w:rFonts w:ascii="Arial" w:hAnsi="Arial" w:cs="Arial"/>
                <w:sz w:val="20"/>
                <w:szCs w:val="20"/>
              </w:rPr>
            </w:pPr>
          </w:p>
        </w:tc>
        <w:tc>
          <w:tcPr>
            <w:tcW w:w="992" w:type="dxa"/>
            <w:tcBorders>
              <w:top w:val="nil"/>
              <w:left w:val="nil"/>
              <w:right w:val="nil"/>
            </w:tcBorders>
          </w:tcPr>
          <w:p w14:paraId="3F035C73" w14:textId="77777777" w:rsidR="000362D0" w:rsidRPr="00BD74BF" w:rsidRDefault="000362D0" w:rsidP="006F45B1">
            <w:pPr>
              <w:spacing w:after="0" w:line="360" w:lineRule="auto"/>
              <w:rPr>
                <w:rFonts w:ascii="Arial" w:hAnsi="Arial" w:cs="Arial"/>
                <w:sz w:val="20"/>
                <w:szCs w:val="20"/>
              </w:rPr>
            </w:pPr>
          </w:p>
        </w:tc>
      </w:tr>
      <w:tr w:rsidR="000362D0" w:rsidRPr="00BD74BF" w14:paraId="10CFE436" w14:textId="77777777" w:rsidTr="006F45B1">
        <w:tc>
          <w:tcPr>
            <w:tcW w:w="9186" w:type="dxa"/>
            <w:gridSpan w:val="5"/>
            <w:tcBorders>
              <w:left w:val="nil"/>
              <w:right w:val="nil"/>
            </w:tcBorders>
          </w:tcPr>
          <w:p w14:paraId="0557B538" w14:textId="77777777" w:rsidR="000362D0" w:rsidRPr="00BD74BF" w:rsidRDefault="000362D0" w:rsidP="006F45B1">
            <w:pPr>
              <w:spacing w:after="0" w:line="360" w:lineRule="auto"/>
              <w:rPr>
                <w:rFonts w:ascii="Arial" w:hAnsi="Arial" w:cs="Arial"/>
                <w:sz w:val="20"/>
                <w:szCs w:val="20"/>
              </w:rPr>
            </w:pPr>
            <w:r w:rsidRPr="00BD74BF">
              <w:rPr>
                <w:rFonts w:ascii="Arial" w:hAnsi="Arial" w:cs="Arial"/>
                <w:sz w:val="20"/>
                <w:szCs w:val="20"/>
              </w:rPr>
              <w:t xml:space="preserve"># = control group </w:t>
            </w:r>
            <w:r>
              <w:rPr>
                <w:rFonts w:ascii="Arial" w:hAnsi="Arial" w:cs="Arial"/>
                <w:sz w:val="20"/>
                <w:szCs w:val="20"/>
              </w:rPr>
              <w:t xml:space="preserve">NOT </w:t>
            </w:r>
            <w:r w:rsidRPr="00BD74BF">
              <w:rPr>
                <w:rFonts w:ascii="Arial" w:hAnsi="Arial" w:cs="Arial"/>
                <w:sz w:val="20"/>
                <w:szCs w:val="20"/>
              </w:rPr>
              <w:t xml:space="preserve">taking either </w:t>
            </w:r>
            <w:r w:rsidRPr="00BD74BF">
              <w:rPr>
                <w:rFonts w:ascii="Arial" w:eastAsia="Times New Roman" w:hAnsi="Arial" w:cs="Arial"/>
                <w:sz w:val="20"/>
                <w:szCs w:val="20"/>
              </w:rPr>
              <w:t xml:space="preserve">Amiodarone OR </w:t>
            </w:r>
            <w:r w:rsidRPr="00BD74BF">
              <w:rPr>
                <w:rFonts w:ascii="Arial" w:hAnsi="Arial" w:cs="Arial"/>
                <w:sz w:val="20"/>
                <w:szCs w:val="20"/>
                <w:lang w:val="en-US"/>
              </w:rPr>
              <w:t>β-</w:t>
            </w:r>
            <w:r w:rsidRPr="00042A31">
              <w:rPr>
                <w:rFonts w:ascii="Arial" w:hAnsi="Arial" w:cs="Arial"/>
                <w:sz w:val="20"/>
                <w:szCs w:val="20"/>
                <w:lang w:val="en-US"/>
              </w:rPr>
              <w:t xml:space="preserve">blocker;   </w:t>
            </w:r>
            <w:r w:rsidRPr="00042A31">
              <w:rPr>
                <w:rFonts w:ascii="Arial" w:eastAsia="Times New Roman" w:hAnsi="Arial" w:cs="Arial"/>
                <w:sz w:val="20"/>
                <w:szCs w:val="20"/>
              </w:rPr>
              <w:t xml:space="preserve">ACE-I = Angiotensin-converting-enzyme inhibitor;    ARB = Angiotensin receptor blockers  </w:t>
            </w:r>
          </w:p>
        </w:tc>
      </w:tr>
      <w:bookmarkEnd w:id="3"/>
    </w:tbl>
    <w:p w14:paraId="1272AE4E" w14:textId="77777777" w:rsidR="000362D0" w:rsidRDefault="000362D0" w:rsidP="006F45B1">
      <w:pPr>
        <w:autoSpaceDE w:val="0"/>
        <w:autoSpaceDN w:val="0"/>
        <w:adjustRightInd w:val="0"/>
        <w:spacing w:after="0" w:line="480" w:lineRule="auto"/>
        <w:rPr>
          <w:rFonts w:ascii="Arial" w:hAnsi="Arial" w:cs="Arial"/>
          <w:b/>
          <w:sz w:val="24"/>
          <w:szCs w:val="24"/>
        </w:rPr>
      </w:pPr>
    </w:p>
    <w:p w14:paraId="5495B323" w14:textId="77777777" w:rsidR="000362D0" w:rsidRDefault="000362D0" w:rsidP="006F45B1">
      <w:pPr>
        <w:autoSpaceDE w:val="0"/>
        <w:autoSpaceDN w:val="0"/>
        <w:adjustRightInd w:val="0"/>
        <w:spacing w:after="0" w:line="480" w:lineRule="auto"/>
        <w:rPr>
          <w:rFonts w:ascii="Arial" w:hAnsi="Arial" w:cs="Arial"/>
          <w:b/>
          <w:sz w:val="24"/>
          <w:szCs w:val="24"/>
        </w:rPr>
      </w:pPr>
      <w:r>
        <w:rPr>
          <w:rFonts w:ascii="Arial" w:hAnsi="Arial" w:cs="Arial"/>
          <w:b/>
          <w:sz w:val="24"/>
          <w:szCs w:val="24"/>
        </w:rPr>
        <w:br w:type="page"/>
      </w:r>
    </w:p>
    <w:p w14:paraId="0E062687" w14:textId="77777777" w:rsidR="000362D0" w:rsidRDefault="000362D0" w:rsidP="006F45B1">
      <w:pPr>
        <w:autoSpaceDE w:val="0"/>
        <w:autoSpaceDN w:val="0"/>
        <w:adjustRightInd w:val="0"/>
        <w:spacing w:after="0" w:line="480" w:lineRule="auto"/>
        <w:rPr>
          <w:rFonts w:ascii="Arial" w:hAnsi="Arial" w:cs="Arial"/>
          <w:sz w:val="24"/>
          <w:szCs w:val="24"/>
        </w:rPr>
      </w:pPr>
      <w:r w:rsidRPr="00E8217B">
        <w:rPr>
          <w:rFonts w:ascii="Arial" w:hAnsi="Arial" w:cs="Arial"/>
          <w:b/>
          <w:sz w:val="24"/>
          <w:szCs w:val="24"/>
        </w:rPr>
        <w:lastRenderedPageBreak/>
        <w:t>REFERENCES:</w:t>
      </w:r>
    </w:p>
    <w:p w14:paraId="1D00B03C" w14:textId="77777777" w:rsidR="000362D0" w:rsidRPr="0030362F" w:rsidRDefault="000362D0" w:rsidP="006F45B1">
      <w:pPr>
        <w:pStyle w:val="EndNoteBibliography"/>
        <w:spacing w:after="0"/>
      </w:pPr>
      <w:bookmarkStart w:id="4" w:name="_ENREF_1"/>
      <w:r w:rsidRPr="0030362F">
        <w:t>1.</w:t>
      </w:r>
      <w:r w:rsidRPr="0030362F">
        <w:tab/>
        <w:t>Helgadottir S, Sigurdsson MI, Ingvarsdottir IL, Arnar DO, Gudbjartsson T. Atrial fibrillation following cardiac surgery: risk analysis and long-term survival. J Cardiothorac Surg. 2012;7:87.</w:t>
      </w:r>
      <w:bookmarkEnd w:id="4"/>
    </w:p>
    <w:p w14:paraId="3E75A133" w14:textId="77777777" w:rsidR="000362D0" w:rsidRPr="0030362F" w:rsidRDefault="000362D0" w:rsidP="006F45B1">
      <w:pPr>
        <w:pStyle w:val="EndNoteBibliography"/>
        <w:spacing w:after="0"/>
      </w:pPr>
      <w:bookmarkStart w:id="5" w:name="_ENREF_2"/>
      <w:r w:rsidRPr="0030362F">
        <w:t>2.</w:t>
      </w:r>
      <w:r w:rsidRPr="0030362F">
        <w:tab/>
        <w:t>Gialdini G, Nearing K, Bhave PD, Bonuccelli U, Iadecola C, Healey JS, et al. Perioperative atrial fibrillation and the long-term risk of ischemic stroke. JAMA. 2014;312:616-22.</w:t>
      </w:r>
      <w:bookmarkEnd w:id="5"/>
    </w:p>
    <w:p w14:paraId="41B5EC3B" w14:textId="77777777" w:rsidR="000362D0" w:rsidRPr="0030362F" w:rsidRDefault="000362D0" w:rsidP="006F45B1">
      <w:pPr>
        <w:pStyle w:val="EndNoteBibliography"/>
        <w:spacing w:after="0"/>
      </w:pPr>
      <w:bookmarkStart w:id="6" w:name="_ENREF_3"/>
      <w:r w:rsidRPr="0030362F">
        <w:t>3.</w:t>
      </w:r>
      <w:r w:rsidRPr="0030362F">
        <w:tab/>
        <w:t>Phan K, Ha HS, Phan S, Medi C, Thomas SP, Yan TD. New-onset atrial fibrillation following coronary bypass surgery predicts long-term mortality: a systematic review and meta-analysis. Eur J Cardiothorac Surg. 2015;48:817-24.</w:t>
      </w:r>
      <w:bookmarkEnd w:id="6"/>
    </w:p>
    <w:p w14:paraId="7B3470F1" w14:textId="77777777" w:rsidR="000362D0" w:rsidRPr="0030362F" w:rsidRDefault="000362D0" w:rsidP="006F45B1">
      <w:pPr>
        <w:pStyle w:val="EndNoteBibliography"/>
        <w:spacing w:after="0"/>
      </w:pPr>
      <w:bookmarkStart w:id="7" w:name="_ENREF_4"/>
      <w:r w:rsidRPr="0030362F">
        <w:t>4.</w:t>
      </w:r>
      <w:r w:rsidRPr="0030362F">
        <w:tab/>
        <w:t>Levy D, Kannel WB. Postoperative atrial fibrillation and mortality: do the risks merit changes in clinical practice? J Am Coll Cardiol. 2004;43:749-51.</w:t>
      </w:r>
      <w:bookmarkEnd w:id="7"/>
    </w:p>
    <w:p w14:paraId="25DDC1C4" w14:textId="77777777" w:rsidR="000362D0" w:rsidRPr="0030362F" w:rsidRDefault="000362D0" w:rsidP="006F45B1">
      <w:pPr>
        <w:pStyle w:val="EndNoteBibliography"/>
        <w:spacing w:after="0"/>
      </w:pPr>
      <w:bookmarkStart w:id="8" w:name="_ENREF_5"/>
      <w:r w:rsidRPr="0030362F">
        <w:t>5.</w:t>
      </w:r>
      <w:r w:rsidRPr="0030362F">
        <w:tab/>
        <w:t>Lee SH, Kang DR, Uhm JS, Shim J, Sung JH, Kim JY, et al. New-onset atrial fibrillation predicts long-term newly developed atrial fibrillation after coronary artery bypass graft. Am Heart J. 2014;167:593-600 e1.</w:t>
      </w:r>
      <w:bookmarkEnd w:id="8"/>
    </w:p>
    <w:p w14:paraId="475F4B8D" w14:textId="77777777" w:rsidR="000362D0" w:rsidRPr="0030362F" w:rsidRDefault="000362D0" w:rsidP="006F45B1">
      <w:pPr>
        <w:pStyle w:val="EndNoteBibliography"/>
        <w:spacing w:after="0"/>
      </w:pPr>
      <w:bookmarkStart w:id="9" w:name="_ENREF_6"/>
      <w:r w:rsidRPr="0030362F">
        <w:t>6.</w:t>
      </w:r>
      <w:r w:rsidRPr="0030362F">
        <w:tab/>
        <w:t>Healey JS, Connolly SJ, Gold MR, Israel CW, Van Gelder IC, Capucci A, et al. Subclinical atrial fibrillation and the risk of stroke. N Engl J Med. 2012;366:120-9.</w:t>
      </w:r>
      <w:bookmarkEnd w:id="9"/>
    </w:p>
    <w:p w14:paraId="2DE247C6" w14:textId="77777777" w:rsidR="000362D0" w:rsidRPr="0030362F" w:rsidRDefault="000362D0" w:rsidP="006F45B1">
      <w:pPr>
        <w:pStyle w:val="EndNoteBibliography"/>
        <w:spacing w:after="0"/>
      </w:pPr>
      <w:bookmarkStart w:id="10" w:name="_ENREF_7"/>
      <w:r w:rsidRPr="0030362F">
        <w:t>7.</w:t>
      </w:r>
      <w:r w:rsidRPr="0030362F">
        <w:tab/>
        <w:t>Lowres N, Mulcahy G, Gallagher R, Ben Freedman S, Marshman D, Kirkness A, et al. Self-monitoring for atrial fibrillation recurrence in the discharge period post-cardiac surgery using an iPhone electrocardiogram. Eur J Cardiothorac Surg. 2016;50:44-51.</w:t>
      </w:r>
      <w:bookmarkEnd w:id="10"/>
    </w:p>
    <w:p w14:paraId="5CE851D1" w14:textId="77777777" w:rsidR="000362D0" w:rsidRPr="0030362F" w:rsidRDefault="000362D0" w:rsidP="006F45B1">
      <w:pPr>
        <w:pStyle w:val="EndNoteBibliography"/>
        <w:spacing w:after="0"/>
      </w:pPr>
      <w:bookmarkStart w:id="11" w:name="_ENREF_8"/>
      <w:r w:rsidRPr="0030362F">
        <w:t>8.</w:t>
      </w:r>
      <w:r w:rsidRPr="0030362F">
        <w:tab/>
        <w:t>Saxena A, Dinh DT, Smith JA, Shardey GC, Reid CM, Newcomb AE. Usefulness of postoperative atrial fibrillation as an independent predictor for worse early and late outcomes after isolated coronary artery bypass grafting (multicenter Australian study of 19,497 patients). Am J Cardiol. 2012;109:219-25.</w:t>
      </w:r>
      <w:bookmarkEnd w:id="11"/>
    </w:p>
    <w:p w14:paraId="5797A56D" w14:textId="77777777" w:rsidR="000362D0" w:rsidRPr="0030362F" w:rsidRDefault="000362D0" w:rsidP="006F45B1">
      <w:pPr>
        <w:pStyle w:val="EndNoteBibliography"/>
        <w:spacing w:after="0"/>
      </w:pPr>
      <w:bookmarkStart w:id="12" w:name="_ENREF_9"/>
      <w:r w:rsidRPr="0030362F">
        <w:t>9.</w:t>
      </w:r>
      <w:r w:rsidRPr="0030362F">
        <w:tab/>
        <w:t>Guenancia C, Pujos C, Debomy F, Malapert G, Laurent G, Bouchot O. Incidence and Predictors of New-Onset Silent Atrial Fibrillation after Coronary Artery Bypass Graft Surgery. Biomed Res Int. 2015;2015:703685.</w:t>
      </w:r>
      <w:bookmarkEnd w:id="12"/>
    </w:p>
    <w:p w14:paraId="6FB23304" w14:textId="77777777" w:rsidR="000362D0" w:rsidRPr="0030362F" w:rsidRDefault="000362D0" w:rsidP="006F45B1">
      <w:pPr>
        <w:pStyle w:val="EndNoteBibliography"/>
        <w:spacing w:after="0"/>
      </w:pPr>
      <w:bookmarkStart w:id="13" w:name="_ENREF_10"/>
      <w:r w:rsidRPr="0030362F">
        <w:t>10.</w:t>
      </w:r>
      <w:r w:rsidRPr="0030362F">
        <w:tab/>
        <w:t>Bidar E, Maesen B, Nieman F, Verheule S, Schotten U, Maessen JG. A prospective randomized controlled trial on the incidence and predictors of late-phase postoperative atrial fibrillation up to 30 days and the preventive value of biatrial pacing. Heart Rhythm. 2014;11:1156-62.</w:t>
      </w:r>
      <w:bookmarkEnd w:id="13"/>
    </w:p>
    <w:p w14:paraId="225C1A4A" w14:textId="77777777" w:rsidR="000362D0" w:rsidRPr="0030362F" w:rsidRDefault="000362D0" w:rsidP="006F45B1">
      <w:pPr>
        <w:pStyle w:val="EndNoteBibliography"/>
        <w:spacing w:after="0"/>
      </w:pPr>
      <w:bookmarkStart w:id="14" w:name="_ENREF_11"/>
      <w:r w:rsidRPr="0030362F">
        <w:t>11.</w:t>
      </w:r>
      <w:r w:rsidRPr="0030362F">
        <w:tab/>
        <w:t>Frendl G, Sodickson AC, Chung MK, Waldo AL, Gersh BJ, Tisdale JE, et al. 2014 AATS guidelines for the prevention and management of perioperative atrial fibrillation and flutter for thoracic surgical procedures. J Thorac Cardiovasc Surg. 2014;148:e153-93.</w:t>
      </w:r>
      <w:bookmarkEnd w:id="14"/>
    </w:p>
    <w:p w14:paraId="426949D9" w14:textId="77777777" w:rsidR="000362D0" w:rsidRPr="0030362F" w:rsidRDefault="000362D0" w:rsidP="006F45B1">
      <w:pPr>
        <w:pStyle w:val="EndNoteBibliography"/>
        <w:spacing w:after="0"/>
      </w:pPr>
      <w:bookmarkStart w:id="15" w:name="_ENREF_12"/>
      <w:r w:rsidRPr="0030362F">
        <w:t>12.</w:t>
      </w:r>
      <w:r w:rsidRPr="0030362F">
        <w:tab/>
        <w:t>Kirchhof P, Benussi S, Kotecha D, Ahlsson A, Atar D, Casadei B, et al. 2016 ESC Guidelines for the management of atrial fibrillation developed in collaboration with EACTS. Eur Heart J. 2016;37:2893-962.</w:t>
      </w:r>
      <w:bookmarkEnd w:id="15"/>
    </w:p>
    <w:p w14:paraId="5C42CFD0" w14:textId="77777777" w:rsidR="000362D0" w:rsidRPr="0030362F" w:rsidRDefault="000362D0" w:rsidP="006F45B1">
      <w:pPr>
        <w:pStyle w:val="EndNoteBibliography"/>
        <w:spacing w:after="0"/>
      </w:pPr>
      <w:bookmarkStart w:id="16" w:name="_ENREF_13"/>
      <w:r w:rsidRPr="0030362F">
        <w:t>13.</w:t>
      </w:r>
      <w:r w:rsidRPr="0030362F">
        <w:tab/>
        <w:t>Wells GA, Shea B, O’Connell D, Peterson J, Welch V, Losos M, et al. The Newcastle-Ottawa Scale (NOS) for assessing the quality of nonrandomised studies in meta-analyses. Accessed July 2017 from: http://www.ohri.ca/programs/clinical_epidemiology/nosgen.pdf.</w:t>
      </w:r>
      <w:bookmarkEnd w:id="16"/>
    </w:p>
    <w:p w14:paraId="0A2B516E" w14:textId="77777777" w:rsidR="000362D0" w:rsidRPr="0030362F" w:rsidRDefault="000362D0" w:rsidP="006F45B1">
      <w:pPr>
        <w:pStyle w:val="EndNoteBibliography"/>
        <w:spacing w:after="0"/>
      </w:pPr>
      <w:bookmarkStart w:id="17" w:name="_ENREF_14"/>
      <w:r w:rsidRPr="0030362F">
        <w:t>14.</w:t>
      </w:r>
      <w:r w:rsidRPr="0030362F">
        <w:tab/>
        <w:t>Ambrosetti M, Tramarin R, Griffo R, De Feo S, Fattirolli F, Vestri A, et al. Late postoperative atrial fibrillation after cardiac surgery: a national survey within the cardiac rehabilitation setting. J Cardiovasc Med (Hagerstown). 2011;12:390-5.</w:t>
      </w:r>
      <w:bookmarkEnd w:id="17"/>
    </w:p>
    <w:p w14:paraId="3ADFADE5" w14:textId="77777777" w:rsidR="000362D0" w:rsidRPr="0030362F" w:rsidRDefault="000362D0" w:rsidP="006F45B1">
      <w:pPr>
        <w:pStyle w:val="EndNoteBibliography"/>
        <w:spacing w:after="0"/>
      </w:pPr>
      <w:bookmarkStart w:id="18" w:name="_ENREF_15"/>
      <w:r w:rsidRPr="0030362F">
        <w:t>15.</w:t>
      </w:r>
      <w:r w:rsidRPr="0030362F">
        <w:tab/>
        <w:t>Cioffi G, Cemin C, Russo TE, Pellegrini A, Terrasi F, Ferrario G. Post-discharge recurrences of new-onset atrial fibrillation following cardiac surgery: impact of low-dose amiodarone and beta-blocker prophylaxis. Ital Heart J. 2000;1:691-7.</w:t>
      </w:r>
      <w:bookmarkEnd w:id="18"/>
    </w:p>
    <w:p w14:paraId="321F083A" w14:textId="77777777" w:rsidR="000362D0" w:rsidRPr="0030362F" w:rsidRDefault="000362D0" w:rsidP="006F45B1">
      <w:pPr>
        <w:pStyle w:val="EndNoteBibliography"/>
        <w:spacing w:after="0"/>
      </w:pPr>
      <w:bookmarkStart w:id="19" w:name="_ENREF_16"/>
      <w:r w:rsidRPr="0030362F">
        <w:t>16.</w:t>
      </w:r>
      <w:r w:rsidRPr="0030362F">
        <w:tab/>
        <w:t>Cioffi G, Mureddu G, Cemin C, Russo TE, Pellegrini A, Terrasi F, et al. Characterization of post-discharge atrial fibrillation following open-heart surgery in uncomplicated patients referred to an early rehabilitation program. Ital Heart J. 2001;2:519-28.</w:t>
      </w:r>
      <w:bookmarkEnd w:id="19"/>
    </w:p>
    <w:p w14:paraId="6B8B7155" w14:textId="77777777" w:rsidR="000362D0" w:rsidRPr="0030362F" w:rsidRDefault="000362D0" w:rsidP="006F45B1">
      <w:pPr>
        <w:pStyle w:val="EndNoteBibliography"/>
        <w:spacing w:after="0"/>
      </w:pPr>
      <w:bookmarkStart w:id="20" w:name="_ENREF_17"/>
      <w:r w:rsidRPr="0030362F">
        <w:t>17.</w:t>
      </w:r>
      <w:r w:rsidRPr="0030362F">
        <w:tab/>
        <w:t>Giaccardi M, Macchi C, Colella A, Polcaro P, Zipoli R, Cecchi F, et al. Postacute rehabilitation after coronary surgery: the effect of preoperative physical activity on the incidence of paroxysmal atrial fibrillation. Am J Phys Med Rehabil. 2011;90:308-15.</w:t>
      </w:r>
      <w:bookmarkEnd w:id="20"/>
    </w:p>
    <w:p w14:paraId="5F87C908" w14:textId="77777777" w:rsidR="000362D0" w:rsidRPr="0030362F" w:rsidRDefault="000362D0" w:rsidP="006F45B1">
      <w:pPr>
        <w:pStyle w:val="EndNoteBibliography"/>
        <w:spacing w:after="0"/>
      </w:pPr>
      <w:bookmarkStart w:id="21" w:name="_ENREF_18"/>
      <w:r w:rsidRPr="0030362F">
        <w:lastRenderedPageBreak/>
        <w:t>18.</w:t>
      </w:r>
      <w:r w:rsidRPr="0030362F">
        <w:tab/>
        <w:t>Funk M, Richards SB, Desjardins J, Bebon C, Wilcox H. Incidence, timing, symptoms, and risk factors for atrial fibrillation after cardiac surgery. Am J Crit Care. 2003;12:424-33; quiz 34-5.</w:t>
      </w:r>
      <w:bookmarkEnd w:id="21"/>
    </w:p>
    <w:p w14:paraId="77381B2F" w14:textId="77777777" w:rsidR="000362D0" w:rsidRPr="0030362F" w:rsidRDefault="000362D0" w:rsidP="006F45B1">
      <w:pPr>
        <w:pStyle w:val="EndNoteBibliography"/>
        <w:spacing w:after="0"/>
      </w:pPr>
      <w:bookmarkStart w:id="22" w:name="_ENREF_19"/>
      <w:r w:rsidRPr="0030362F">
        <w:t>19.</w:t>
      </w:r>
      <w:r w:rsidRPr="0030362F">
        <w:tab/>
        <w:t>El-Chami MF, Merchant FM, Smith P, Levy M, Nelms AG, Merlino J, et al. Management of New-Onset Postoperative Atrial Fibrillation Utilizing Insertable Cardiac Monitor Technology to Observe Recurrence of AF (MONITOR-AF). Pacing Clin Electrophysiol. 2016;39:1083-9.</w:t>
      </w:r>
      <w:bookmarkEnd w:id="22"/>
    </w:p>
    <w:p w14:paraId="3E77CDC4" w14:textId="77777777" w:rsidR="000362D0" w:rsidRPr="0030362F" w:rsidRDefault="000362D0" w:rsidP="006F45B1">
      <w:pPr>
        <w:pStyle w:val="EndNoteBibliography"/>
        <w:spacing w:after="0"/>
      </w:pPr>
      <w:bookmarkStart w:id="23" w:name="_ENREF_20"/>
      <w:r w:rsidRPr="0030362F">
        <w:t>20.</w:t>
      </w:r>
      <w:r w:rsidRPr="0030362F">
        <w:tab/>
        <w:t>Lomivorotov VV, Efremov SM, Pokushalov EA, Romanov AB, Ponomarev DN, Cherniavsky AM, et al. Randomized trial of fish oil infusion to prevent atrial fibrillation after cardiac surgery: data from an implantable continuous cardiac monitor. J Cardiothorac Vasc Anesth. 2014;28:1278-84.</w:t>
      </w:r>
      <w:bookmarkEnd w:id="23"/>
    </w:p>
    <w:p w14:paraId="151D9D11" w14:textId="77777777" w:rsidR="000362D0" w:rsidRPr="0030362F" w:rsidRDefault="000362D0" w:rsidP="006F45B1">
      <w:pPr>
        <w:pStyle w:val="EndNoteBibliography"/>
        <w:spacing w:after="0"/>
      </w:pPr>
      <w:bookmarkStart w:id="24" w:name="_ENREF_21"/>
      <w:r w:rsidRPr="0030362F">
        <w:t>21.</w:t>
      </w:r>
      <w:r w:rsidRPr="0030362F">
        <w:tab/>
        <w:t>von Elm E, Altman DG, Egger M, Pocock SJ, Gotzsche PC, Vandenbroucke JP, et al. Strengthening the Reporting of Observational Studies in Epidemiology (STROBE) statement: guidelines for reporting observational studies. BMJ. 2007;335:806-8.</w:t>
      </w:r>
      <w:bookmarkEnd w:id="24"/>
    </w:p>
    <w:p w14:paraId="2C1F45E1" w14:textId="77777777" w:rsidR="000362D0" w:rsidRPr="0030362F" w:rsidRDefault="000362D0" w:rsidP="006F45B1">
      <w:pPr>
        <w:pStyle w:val="EndNoteBibliography"/>
        <w:spacing w:after="0"/>
      </w:pPr>
      <w:bookmarkStart w:id="25" w:name="_ENREF_22"/>
      <w:r w:rsidRPr="0030362F">
        <w:t>22.</w:t>
      </w:r>
      <w:r w:rsidRPr="0030362F">
        <w:tab/>
        <w:t>Higgins JP, Thompson SG. Quantifying heterogeneity in a meta-analysis. Stat Med. 2002;21:1539-58.</w:t>
      </w:r>
      <w:bookmarkEnd w:id="25"/>
    </w:p>
    <w:p w14:paraId="46C8A520" w14:textId="77777777" w:rsidR="000362D0" w:rsidRPr="0030362F" w:rsidRDefault="000362D0" w:rsidP="006F45B1">
      <w:pPr>
        <w:pStyle w:val="EndNoteBibliography"/>
        <w:spacing w:after="0"/>
      </w:pPr>
      <w:bookmarkStart w:id="26" w:name="_ENREF_23"/>
      <w:r w:rsidRPr="0030362F">
        <w:t>23.</w:t>
      </w:r>
      <w:r w:rsidRPr="0030362F">
        <w:tab/>
        <w:t>Cioffi G, Cemin C, Russo TE, Pellegrini A, Terrasi F, Ferrario G. Post-discharge recurrences of new-onset atrial fibrillation following cardiac surgery: impact of low-dose amiodarone and beta-blocker prophylaxis. Italian Heart Journal: Official Journal of the Italian Federation of Cardiology. 2000;1:691-7.</w:t>
      </w:r>
      <w:bookmarkEnd w:id="26"/>
    </w:p>
    <w:p w14:paraId="1A73950B" w14:textId="77777777" w:rsidR="000362D0" w:rsidRPr="0030362F" w:rsidRDefault="000362D0" w:rsidP="006F45B1">
      <w:pPr>
        <w:pStyle w:val="EndNoteBibliography"/>
        <w:spacing w:after="0"/>
      </w:pPr>
      <w:bookmarkStart w:id="27" w:name="_ENREF_24"/>
      <w:r w:rsidRPr="0030362F">
        <w:t>24.</w:t>
      </w:r>
      <w:r w:rsidRPr="0030362F">
        <w:tab/>
        <w:t>Cioffi G, Mureddu G, Cemin C, Russo TE, Pellegrini A, Terrasi F, et al. Characterization of post-discharge atrial fibrillation following open-heart surgery in uncomplicated patients referred to an early rehabilitation program. Italian Heart Journal: Official Journal of the Italian Federation of Cardiology. 2001;2:519-28.</w:t>
      </w:r>
      <w:bookmarkEnd w:id="27"/>
    </w:p>
    <w:p w14:paraId="5F29875C" w14:textId="77777777" w:rsidR="000362D0" w:rsidRPr="0030362F" w:rsidRDefault="000362D0" w:rsidP="006F45B1">
      <w:pPr>
        <w:pStyle w:val="EndNoteBibliography"/>
        <w:spacing w:after="0"/>
      </w:pPr>
      <w:bookmarkStart w:id="28" w:name="_ENREF_25"/>
      <w:r w:rsidRPr="0030362F">
        <w:t>25.</w:t>
      </w:r>
      <w:r w:rsidRPr="0030362F">
        <w:tab/>
        <w:t>Funk M, Richards SB, Desjardins J, Bebon C, Wilcox H. Incidence, timing, symptoms, and risk factors for atrial fibrillation after cardiac surgery. Am J Crit Care. 2003;12:424-33.</w:t>
      </w:r>
      <w:bookmarkEnd w:id="28"/>
    </w:p>
    <w:p w14:paraId="573AAF62" w14:textId="77777777" w:rsidR="000362D0" w:rsidRPr="0030362F" w:rsidRDefault="000362D0" w:rsidP="006F45B1">
      <w:pPr>
        <w:pStyle w:val="EndNoteBibliography"/>
        <w:spacing w:after="0"/>
      </w:pPr>
      <w:bookmarkStart w:id="29" w:name="_ENREF_26"/>
      <w:r w:rsidRPr="0030362F">
        <w:t>26.</w:t>
      </w:r>
      <w:r w:rsidRPr="0030362F">
        <w:tab/>
        <w:t>Giaccardi M, Macchi C, Colella A, Polcaro P, Zipoli R, Cecchi F, et al. Postacute rehabilitation after coronary surgery: the effect of preoperative physical activity on the incidence of paroxysmal atrial fibrillation. Am J Phys Med Rehabil. 2011;90:308-15.</w:t>
      </w:r>
      <w:bookmarkEnd w:id="29"/>
    </w:p>
    <w:p w14:paraId="01673013" w14:textId="77777777" w:rsidR="000362D0" w:rsidRPr="0030362F" w:rsidRDefault="000362D0" w:rsidP="006F45B1">
      <w:pPr>
        <w:pStyle w:val="EndNoteBibliography"/>
        <w:spacing w:after="0"/>
      </w:pPr>
      <w:bookmarkStart w:id="30" w:name="_ENREF_27"/>
      <w:r w:rsidRPr="0030362F">
        <w:t>27.</w:t>
      </w:r>
      <w:r w:rsidRPr="0030362F">
        <w:tab/>
        <w:t>Ambrosetti M, Tramarin R, Griffo R, De Feo S, Fattirolli F, Vestri A, et al. Late postoperative atrial fibrillation after cardiac surgery: a national survey within the cardiac rehabilitation setting. J Cardiovasc Med. 2011;12:390-5.</w:t>
      </w:r>
      <w:bookmarkEnd w:id="30"/>
    </w:p>
    <w:p w14:paraId="6EAC0AD6" w14:textId="77777777" w:rsidR="000362D0" w:rsidRPr="0030362F" w:rsidRDefault="000362D0" w:rsidP="006F45B1">
      <w:pPr>
        <w:pStyle w:val="EndNoteBibliography"/>
        <w:spacing w:after="0"/>
      </w:pPr>
      <w:bookmarkStart w:id="31" w:name="_ENREF_28"/>
      <w:r w:rsidRPr="0030362F">
        <w:t>28.</w:t>
      </w:r>
      <w:r w:rsidRPr="0030362F">
        <w:tab/>
        <w:t>Wu N, Xu B, Xiang Y, Wu L, Zhang Y, Ma X, et al. Association of inflammatory factors with occurrence and recurrence of atrial fibrillation: a meta-analysis. Int J Cardiol. 2013;169:62-72.</w:t>
      </w:r>
      <w:bookmarkEnd w:id="31"/>
    </w:p>
    <w:p w14:paraId="5928ADF3" w14:textId="77777777" w:rsidR="000362D0" w:rsidRPr="0030362F" w:rsidRDefault="000362D0" w:rsidP="006F45B1">
      <w:pPr>
        <w:pStyle w:val="EndNoteBibliography"/>
        <w:spacing w:after="0"/>
      </w:pPr>
      <w:bookmarkStart w:id="32" w:name="_ENREF_29"/>
      <w:r w:rsidRPr="0030362F">
        <w:t>29.</w:t>
      </w:r>
      <w:r w:rsidRPr="0030362F">
        <w:tab/>
        <w:t>Maesen B, Nijs J, Maessen J, Allessie M, Schotten U. Post-operative atrial fibrillation: a maze of mechanisms. Europace. 2012;14:159-74.</w:t>
      </w:r>
      <w:bookmarkEnd w:id="32"/>
    </w:p>
    <w:p w14:paraId="08A6328D" w14:textId="77777777" w:rsidR="000362D0" w:rsidRPr="0030362F" w:rsidRDefault="000362D0" w:rsidP="006F45B1">
      <w:pPr>
        <w:pStyle w:val="EndNoteBibliography"/>
        <w:spacing w:after="0"/>
      </w:pPr>
      <w:bookmarkStart w:id="33" w:name="_ENREF_30"/>
      <w:r w:rsidRPr="0030362F">
        <w:t>30.</w:t>
      </w:r>
      <w:r w:rsidRPr="0030362F">
        <w:tab/>
        <w:t>Echahidi N, Pibarot P, O'Hara G, Mathieu P. Mechanisms, prevention, and treatment of atrial fibrillation after cardiac surgery. J Am Coll Cardiol. 2008;51:793-801.</w:t>
      </w:r>
      <w:bookmarkEnd w:id="33"/>
    </w:p>
    <w:p w14:paraId="6AEDF495" w14:textId="77777777" w:rsidR="000362D0" w:rsidRPr="0030362F" w:rsidRDefault="000362D0" w:rsidP="006F45B1">
      <w:pPr>
        <w:pStyle w:val="EndNoteBibliography"/>
        <w:spacing w:after="0"/>
      </w:pPr>
      <w:bookmarkStart w:id="34" w:name="_ENREF_31"/>
      <w:r w:rsidRPr="0030362F">
        <w:t>31.</w:t>
      </w:r>
      <w:r w:rsidRPr="0030362F">
        <w:tab/>
        <w:t>Schotten U, Verheule S, Kirchhof P, Goette A. Pathophysiological mechanisms of atrial fibrillation: a translational appraisal. Physiological reviews. 2011;91:265-325.</w:t>
      </w:r>
      <w:bookmarkEnd w:id="34"/>
    </w:p>
    <w:p w14:paraId="45CCDC28" w14:textId="77777777" w:rsidR="000362D0" w:rsidRPr="0030362F" w:rsidRDefault="000362D0" w:rsidP="006F45B1">
      <w:pPr>
        <w:pStyle w:val="EndNoteBibliography"/>
        <w:spacing w:after="0"/>
      </w:pPr>
      <w:bookmarkStart w:id="35" w:name="_ENREF_32"/>
      <w:r w:rsidRPr="0030362F">
        <w:t>32.</w:t>
      </w:r>
      <w:r w:rsidRPr="0030362F">
        <w:tab/>
        <w:t>Mariscalco G, Biancari F, Zanobini M, Cottini M, Piffaretti G, Saccocci M, et al. Bedside tool for predicting the risk of postoperative atrial fibrillation after cardiac surgery: the POAF score. J Am Heart Assoc. 2014;3.</w:t>
      </w:r>
      <w:bookmarkEnd w:id="35"/>
    </w:p>
    <w:p w14:paraId="5F26D740" w14:textId="77777777" w:rsidR="000362D0" w:rsidRPr="0030362F" w:rsidRDefault="000362D0" w:rsidP="006F45B1">
      <w:pPr>
        <w:pStyle w:val="EndNoteBibliography"/>
        <w:spacing w:after="0"/>
      </w:pPr>
      <w:bookmarkStart w:id="36" w:name="_ENREF_33"/>
      <w:r w:rsidRPr="0030362F">
        <w:t>33.</w:t>
      </w:r>
      <w:r w:rsidRPr="0030362F">
        <w:tab/>
        <w:t>Sa MP, Sa MV, Albuquerque AC, Silva BB, Siqueira JW, Brito PR, et al. Predicting risk of atrial fibrillation after heart valve surgery: evaluation of a Brazilian risk score. Rev Bras Cir Cardiovasc. 2012;27:117-22.</w:t>
      </w:r>
      <w:bookmarkEnd w:id="36"/>
    </w:p>
    <w:p w14:paraId="701CA197" w14:textId="77777777" w:rsidR="000362D0" w:rsidRPr="0030362F" w:rsidRDefault="000362D0" w:rsidP="006F45B1">
      <w:pPr>
        <w:pStyle w:val="EndNoteBibliography"/>
        <w:spacing w:after="0"/>
      </w:pPr>
      <w:bookmarkStart w:id="37" w:name="_ENREF_34"/>
      <w:r w:rsidRPr="0030362F">
        <w:t>34.</w:t>
      </w:r>
      <w:r w:rsidRPr="0030362F">
        <w:tab/>
        <w:t>Ahlsson A, Fengsrud E, Bodin L, Englund A. Postoperative atrial fibrillation in patients undergoing aortocoronary bypass surgery carries an eightfold risk of future atrial fibrillation and a doubled cardiovascular mortality. Eur J Cardiothorac Surg. 2010;37:1353-9.</w:t>
      </w:r>
      <w:bookmarkEnd w:id="37"/>
    </w:p>
    <w:p w14:paraId="15701AEA" w14:textId="77777777" w:rsidR="000362D0" w:rsidRPr="0030362F" w:rsidRDefault="000362D0" w:rsidP="006F45B1">
      <w:pPr>
        <w:pStyle w:val="EndNoteBibliography"/>
        <w:spacing w:after="0"/>
      </w:pPr>
      <w:bookmarkStart w:id="38" w:name="_ENREF_35"/>
      <w:r w:rsidRPr="0030362F">
        <w:t>35.</w:t>
      </w:r>
      <w:r w:rsidRPr="0030362F">
        <w:tab/>
        <w:t>Lee JJ, Park NH, Lee KS, Chee HK, Sim SB, Kim MJ, et al. Projections of Demand for Cardiovascular Surgery and Supply of Surgeons. The Korean journal of thoracic and cardiovascular surgery. 2016;49:S37-S43.</w:t>
      </w:r>
      <w:bookmarkEnd w:id="38"/>
    </w:p>
    <w:p w14:paraId="08C53CA2" w14:textId="77777777" w:rsidR="000362D0" w:rsidRPr="0030362F" w:rsidRDefault="000362D0" w:rsidP="006F45B1">
      <w:pPr>
        <w:pStyle w:val="EndNoteBibliography"/>
        <w:spacing w:after="0"/>
      </w:pPr>
      <w:bookmarkStart w:id="39" w:name="_ENREF_36"/>
      <w:r w:rsidRPr="0030362F">
        <w:t>36.</w:t>
      </w:r>
      <w:r w:rsidRPr="0030362F">
        <w:tab/>
        <w:t>Mathew JP, Fontes ML, Tudor IC, Ramsay J, Duke P, Mazer CD, et al. A multicenter risk index for atrial fibrillation after cardiac surgery. JAMA. 2004;291:1720-9.</w:t>
      </w:r>
      <w:bookmarkEnd w:id="39"/>
    </w:p>
    <w:p w14:paraId="11B3BA1E" w14:textId="77777777" w:rsidR="000362D0" w:rsidRPr="0030362F" w:rsidRDefault="000362D0" w:rsidP="006F45B1">
      <w:pPr>
        <w:pStyle w:val="EndNoteBibliography"/>
        <w:spacing w:after="0"/>
      </w:pPr>
      <w:bookmarkStart w:id="40" w:name="_ENREF_37"/>
      <w:r w:rsidRPr="0030362F">
        <w:lastRenderedPageBreak/>
        <w:t>37.</w:t>
      </w:r>
      <w:r w:rsidRPr="0030362F">
        <w:tab/>
        <w:t>Chyou JY, Hunter TD, Mollenkopf SA, Turakhia MP, Reynolds MR. Individual and Combined Risk Factors for Incident Atrial Fibrillation and Incident Stroke: An Analysis of 3 Million At-Risk US Patients. J Am Heart Assoc. 2015;4.</w:t>
      </w:r>
      <w:bookmarkEnd w:id="40"/>
    </w:p>
    <w:p w14:paraId="36F7CB45" w14:textId="77777777" w:rsidR="000362D0" w:rsidRPr="0030362F" w:rsidRDefault="000362D0" w:rsidP="006F45B1">
      <w:pPr>
        <w:pStyle w:val="EndNoteBibliography"/>
        <w:spacing w:after="0"/>
      </w:pPr>
      <w:bookmarkStart w:id="41" w:name="_ENREF_38"/>
      <w:r w:rsidRPr="0030362F">
        <w:t>38.</w:t>
      </w:r>
      <w:r w:rsidRPr="0030362F">
        <w:tab/>
        <w:t>Hernandez AV, Kaw R, Pasupuleti V, Bina P, Ioannidis JP, Bueno H, et al. Association between obesity and postoperative atrial fibrillation in patients undergoing cardiac operations: a systematic review and meta-analysis. Ann Thorac Surg. 2013;96:1104-16.</w:t>
      </w:r>
      <w:bookmarkEnd w:id="41"/>
    </w:p>
    <w:p w14:paraId="5B3DDCA6" w14:textId="77777777" w:rsidR="000362D0" w:rsidRPr="0030362F" w:rsidRDefault="000362D0" w:rsidP="006F45B1">
      <w:pPr>
        <w:pStyle w:val="EndNoteBibliography"/>
        <w:spacing w:after="0"/>
      </w:pPr>
      <w:bookmarkStart w:id="42" w:name="_ENREF_39"/>
      <w:r w:rsidRPr="0030362F">
        <w:t>39.</w:t>
      </w:r>
      <w:r w:rsidRPr="0030362F">
        <w:tab/>
        <w:t>Ivanovic B, Tadic M, Bradic Z, Zivkovic N, Stanisavljevic D, Celic V. The influence of the metabolic syndrome on atrial fibrillation occurrence and outcome after coronary bypass surgery: a 3-year follow-up study. The Thoracic and cardiovascular surgeon. 2014;62:561-8.</w:t>
      </w:r>
      <w:bookmarkEnd w:id="42"/>
    </w:p>
    <w:p w14:paraId="6F46AA30" w14:textId="77777777" w:rsidR="000362D0" w:rsidRPr="0030362F" w:rsidRDefault="000362D0" w:rsidP="006F45B1">
      <w:pPr>
        <w:pStyle w:val="EndNoteBibliography"/>
        <w:spacing w:after="0"/>
      </w:pPr>
      <w:bookmarkStart w:id="43" w:name="_ENREF_40"/>
      <w:r w:rsidRPr="0030362F">
        <w:t>40.</w:t>
      </w:r>
      <w:r w:rsidRPr="0030362F">
        <w:tab/>
        <w:t>Van Gelder IC, Healey JS, Crijns HJ, Wang J, Hohnloser SH, Gold MR, et al. Duration of device-detected subclinical atrial fibrillation and occurrence of stroke in ASSERT. Eur</w:t>
      </w:r>
      <w:r w:rsidR="006F45B1">
        <w:t xml:space="preserve"> H</w:t>
      </w:r>
      <w:r w:rsidRPr="0030362F">
        <w:t xml:space="preserve">eart </w:t>
      </w:r>
      <w:r w:rsidR="006F45B1">
        <w:t>J.</w:t>
      </w:r>
      <w:r w:rsidRPr="0030362F">
        <w:t xml:space="preserve"> 2017;01 Mar 2017, doi:10.1093/eurheartj/ehx042. [Epub ahead of print].</w:t>
      </w:r>
      <w:bookmarkEnd w:id="43"/>
    </w:p>
    <w:p w14:paraId="04FBE422" w14:textId="77777777" w:rsidR="000362D0" w:rsidRPr="0030362F" w:rsidRDefault="000362D0" w:rsidP="006F45B1">
      <w:pPr>
        <w:pStyle w:val="EndNoteBibliography"/>
        <w:spacing w:after="0"/>
      </w:pPr>
      <w:bookmarkStart w:id="44" w:name="_ENREF_41"/>
      <w:r w:rsidRPr="0030362F">
        <w:t>41.</w:t>
      </w:r>
      <w:r w:rsidRPr="0030362F">
        <w:tab/>
        <w:t>Freedman B, Camm J, Calkins H, Healey JS, Rosenqvist M, Wang J, et al. Screening for Atrial Fibrillation: A Report of the AF-SCREEN International Collaboration. Circulation. 2017;135:1851-67.</w:t>
      </w:r>
      <w:bookmarkEnd w:id="44"/>
    </w:p>
    <w:p w14:paraId="4E6BA705" w14:textId="77777777" w:rsidR="000362D0" w:rsidRPr="0030362F" w:rsidRDefault="000362D0" w:rsidP="006F45B1">
      <w:pPr>
        <w:pStyle w:val="EndNoteBibliography"/>
        <w:spacing w:after="0"/>
      </w:pPr>
      <w:bookmarkStart w:id="45" w:name="_ENREF_42"/>
      <w:r w:rsidRPr="0030362F">
        <w:t>42.</w:t>
      </w:r>
      <w:r w:rsidRPr="0030362F">
        <w:tab/>
        <w:t>Zoppo F, Facchin D, Molon G, Zanotto G, Catanzariti D, Rossillo A, et al. Improving atrial fibrillation detection in patients with implantable cardiac devices by means of a remote monitoring and management application. Pacing Clin Electrophysiol. 2014;37:1610-8.</w:t>
      </w:r>
      <w:bookmarkEnd w:id="45"/>
    </w:p>
    <w:p w14:paraId="12F34D46" w14:textId="77777777" w:rsidR="000362D0" w:rsidRPr="0030362F" w:rsidRDefault="000362D0" w:rsidP="006F45B1">
      <w:pPr>
        <w:pStyle w:val="EndNoteBibliography"/>
        <w:spacing w:after="0"/>
      </w:pPr>
      <w:bookmarkStart w:id="46" w:name="_ENREF_43"/>
      <w:r w:rsidRPr="0030362F">
        <w:t>43.</w:t>
      </w:r>
      <w:r w:rsidRPr="0030362F">
        <w:tab/>
        <w:t>Lowres N, Neubeck L, Salkeld G, Krass I, McLachlan AJ, Redfern J, et al. Feasibility and cost effectiveness of stroke prevention through community screening for atrial fibrillation using iPhone ECG in pharmacies. The SEARCH-AF study. Thromb Haemost. 2014;111:1167-76.</w:t>
      </w:r>
      <w:bookmarkEnd w:id="46"/>
    </w:p>
    <w:p w14:paraId="1AE843D5" w14:textId="77777777" w:rsidR="000362D0" w:rsidRPr="0030362F" w:rsidRDefault="000362D0" w:rsidP="006F45B1">
      <w:pPr>
        <w:pStyle w:val="EndNoteBibliography"/>
        <w:spacing w:after="0"/>
      </w:pPr>
      <w:bookmarkStart w:id="47" w:name="_ENREF_44"/>
      <w:r w:rsidRPr="0030362F">
        <w:t>44.</w:t>
      </w:r>
      <w:r w:rsidRPr="0030362F">
        <w:tab/>
        <w:t>Aronsson M, Svennberg E, Rosenqvist M, Engdahl J, Al-Khalili F, Friberg L, et al. Cost-effectiveness of mass screening for untreated atrial fibrillation using intermittent ECG recording. Europace. 2015;17:1023-9.</w:t>
      </w:r>
      <w:bookmarkEnd w:id="47"/>
    </w:p>
    <w:p w14:paraId="5B7F0E34" w14:textId="77777777" w:rsidR="000362D0" w:rsidRPr="0030362F" w:rsidRDefault="000362D0" w:rsidP="006F45B1">
      <w:pPr>
        <w:pStyle w:val="EndNoteBibliography"/>
        <w:spacing w:after="0"/>
      </w:pPr>
      <w:bookmarkStart w:id="48" w:name="_ENREF_45"/>
      <w:r w:rsidRPr="0030362F">
        <w:t>45.</w:t>
      </w:r>
      <w:r w:rsidRPr="0030362F">
        <w:tab/>
        <w:t>Jacobs MS, Kaasenbrood F, Postma MJ, van Hulst M, Tieleman RG. Cost-effectiveness of screening for atrial fibrillation in primary care with a handheld, single-lead electrocardiogram device in the Netherlands. Europace. 2016; https://doi.org/10.1093/europace/euw285.</w:t>
      </w:r>
      <w:bookmarkEnd w:id="48"/>
    </w:p>
    <w:p w14:paraId="3450DA33" w14:textId="77777777" w:rsidR="000362D0" w:rsidRPr="0030362F" w:rsidRDefault="000362D0" w:rsidP="006F45B1">
      <w:pPr>
        <w:pStyle w:val="EndNoteBibliography"/>
        <w:spacing w:after="0"/>
      </w:pPr>
      <w:bookmarkStart w:id="49" w:name="_ENREF_46"/>
      <w:r w:rsidRPr="0030362F">
        <w:t>46.</w:t>
      </w:r>
      <w:r w:rsidRPr="0030362F">
        <w:tab/>
        <w:t>Moran PS, Teljeur C, Harrington P, Smith SM, Smyth B, Harbison J, et al. Cost-Effectiveness of a National Opportunistic Screening Program for Atrial Fibrillation in Ireland. Value Health. 2016;19:985-95.</w:t>
      </w:r>
      <w:bookmarkEnd w:id="49"/>
    </w:p>
    <w:p w14:paraId="1CCFB34B" w14:textId="77777777" w:rsidR="000362D0" w:rsidRPr="0030362F" w:rsidRDefault="000362D0" w:rsidP="006F45B1">
      <w:pPr>
        <w:pStyle w:val="EndNoteBibliography"/>
        <w:spacing w:after="0"/>
      </w:pPr>
      <w:bookmarkStart w:id="50" w:name="_ENREF_47"/>
      <w:r w:rsidRPr="0030362F">
        <w:t>47.</w:t>
      </w:r>
      <w:r w:rsidRPr="0030362F">
        <w:tab/>
        <w:t>Hobbs FD, Fitzmaurice DA, Mant J, Murray E, Jowett S, Bryan S, et al. A randomised controlled trial and cost-effectiveness study of systematic screening (targeted and total population screening) versus routine practice for the detection of atrial fibrillation in people aged 65 and over. The SAFE study. Health Technol Assess. 2005;9:iii-iv, ix-x, 1-74.</w:t>
      </w:r>
      <w:bookmarkEnd w:id="50"/>
    </w:p>
    <w:p w14:paraId="671DF2C6" w14:textId="77777777" w:rsidR="000362D0" w:rsidRPr="0030362F" w:rsidRDefault="000362D0" w:rsidP="006F45B1">
      <w:pPr>
        <w:pStyle w:val="EndNoteBibliography"/>
      </w:pPr>
      <w:bookmarkStart w:id="51" w:name="_ENREF_48"/>
      <w:r w:rsidRPr="0030362F">
        <w:t>48.</w:t>
      </w:r>
      <w:r w:rsidRPr="0030362F">
        <w:tab/>
        <w:t>Ganesan AN, Chew DP, Hartshorne T, Selvanayagam JB, Aylward PE, Sanders P, et al. The impact of atrial fibrillation type on the risk of thromboembolism, mortality, and bleeding: a systematic review and meta-analysis. Eur Heart J. 2016;37:1591-602.</w:t>
      </w:r>
      <w:bookmarkEnd w:id="51"/>
    </w:p>
    <w:p w14:paraId="02F78E6B" w14:textId="77777777" w:rsidR="000362D0" w:rsidRPr="00E8217B" w:rsidRDefault="000362D0" w:rsidP="006F45B1">
      <w:pPr>
        <w:pStyle w:val="NoSpacing"/>
        <w:spacing w:line="480" w:lineRule="auto"/>
        <w:rPr>
          <w:rFonts w:ascii="Arial" w:hAnsi="Arial" w:cs="Arial"/>
          <w:sz w:val="24"/>
          <w:szCs w:val="24"/>
        </w:rPr>
      </w:pPr>
    </w:p>
    <w:p w14:paraId="6E1F5557" w14:textId="77777777" w:rsidR="00DC0C73" w:rsidRDefault="00DC0C73"/>
    <w:sectPr w:rsidR="00DC0C73" w:rsidSect="009B34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D0351" w14:textId="77777777" w:rsidR="00210D59" w:rsidRDefault="00210D59">
      <w:pPr>
        <w:spacing w:after="0" w:line="240" w:lineRule="auto"/>
      </w:pPr>
      <w:r>
        <w:separator/>
      </w:r>
    </w:p>
  </w:endnote>
  <w:endnote w:type="continuationSeparator" w:id="0">
    <w:p w14:paraId="3E16C9FF" w14:textId="77777777" w:rsidR="00210D59" w:rsidRDefault="00210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398853"/>
      <w:docPartObj>
        <w:docPartGallery w:val="Page Numbers (Bottom of Page)"/>
        <w:docPartUnique/>
      </w:docPartObj>
    </w:sdtPr>
    <w:sdtEndPr>
      <w:rPr>
        <w:noProof/>
      </w:rPr>
    </w:sdtEndPr>
    <w:sdtContent>
      <w:p w14:paraId="13156178" w14:textId="53398288" w:rsidR="006F45B1" w:rsidRDefault="006F45B1">
        <w:pPr>
          <w:pStyle w:val="Footer"/>
          <w:jc w:val="right"/>
        </w:pPr>
        <w:r>
          <w:fldChar w:fldCharType="begin"/>
        </w:r>
        <w:r>
          <w:instrText xml:space="preserve"> PAGE   \* MERGEFORMAT </w:instrText>
        </w:r>
        <w:r>
          <w:fldChar w:fldCharType="separate"/>
        </w:r>
        <w:r w:rsidR="00B65FC3">
          <w:rPr>
            <w:noProof/>
          </w:rPr>
          <w:t>1</w:t>
        </w:r>
        <w:r>
          <w:rPr>
            <w:noProof/>
          </w:rPr>
          <w:fldChar w:fldCharType="end"/>
        </w:r>
      </w:p>
    </w:sdtContent>
  </w:sdt>
  <w:p w14:paraId="3648EE51" w14:textId="77777777" w:rsidR="006F45B1" w:rsidRDefault="006F4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A14A3" w14:textId="77777777" w:rsidR="00210D59" w:rsidRDefault="00210D59">
      <w:pPr>
        <w:spacing w:after="0" w:line="240" w:lineRule="auto"/>
      </w:pPr>
      <w:r>
        <w:separator/>
      </w:r>
    </w:p>
  </w:footnote>
  <w:footnote w:type="continuationSeparator" w:id="0">
    <w:p w14:paraId="08FD5512" w14:textId="77777777" w:rsidR="00210D59" w:rsidRDefault="00210D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232D4"/>
    <w:multiLevelType w:val="hybridMultilevel"/>
    <w:tmpl w:val="4EC2D778"/>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1" w15:restartNumberingAfterBreak="0">
    <w:nsid w:val="127C5830"/>
    <w:multiLevelType w:val="hybridMultilevel"/>
    <w:tmpl w:val="CA36F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B5458C"/>
    <w:multiLevelType w:val="hybridMultilevel"/>
    <w:tmpl w:val="9070A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C7968"/>
    <w:multiLevelType w:val="hybridMultilevel"/>
    <w:tmpl w:val="E4BA6E3C"/>
    <w:lvl w:ilvl="0" w:tplc="7BA4B6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61BA4"/>
    <w:multiLevelType w:val="hybridMultilevel"/>
    <w:tmpl w:val="79E8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E003D"/>
    <w:multiLevelType w:val="hybridMultilevel"/>
    <w:tmpl w:val="CA580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7267C2"/>
    <w:multiLevelType w:val="hybridMultilevel"/>
    <w:tmpl w:val="6A1AE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C80ADE"/>
    <w:multiLevelType w:val="hybridMultilevel"/>
    <w:tmpl w:val="EFE24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B93E3B"/>
    <w:multiLevelType w:val="hybridMultilevel"/>
    <w:tmpl w:val="3F8C3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8525E0"/>
    <w:multiLevelType w:val="hybridMultilevel"/>
    <w:tmpl w:val="8FD086D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91526F"/>
    <w:multiLevelType w:val="hybridMultilevel"/>
    <w:tmpl w:val="8994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63AAA"/>
    <w:multiLevelType w:val="hybridMultilevel"/>
    <w:tmpl w:val="B47EC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BF2C6B"/>
    <w:multiLevelType w:val="hybridMultilevel"/>
    <w:tmpl w:val="9B2A0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CA4E51"/>
    <w:multiLevelType w:val="hybridMultilevel"/>
    <w:tmpl w:val="FFF856C0"/>
    <w:lvl w:ilvl="0" w:tplc="4DA64F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F7E8A"/>
    <w:multiLevelType w:val="hybridMultilevel"/>
    <w:tmpl w:val="7D3E1B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3"/>
  </w:num>
  <w:num w:numId="3">
    <w:abstractNumId w:val="0"/>
  </w:num>
  <w:num w:numId="4">
    <w:abstractNumId w:val="7"/>
  </w:num>
  <w:num w:numId="5">
    <w:abstractNumId w:val="11"/>
  </w:num>
  <w:num w:numId="6">
    <w:abstractNumId w:val="5"/>
  </w:num>
  <w:num w:numId="7">
    <w:abstractNumId w:val="6"/>
  </w:num>
  <w:num w:numId="8">
    <w:abstractNumId w:val="12"/>
  </w:num>
  <w:num w:numId="9">
    <w:abstractNumId w:val="14"/>
  </w:num>
  <w:num w:numId="10">
    <w:abstractNumId w:val="10"/>
  </w:num>
  <w:num w:numId="11">
    <w:abstractNumId w:val="2"/>
  </w:num>
  <w:num w:numId="12">
    <w:abstractNumId w:val="9"/>
  </w:num>
  <w:num w:numId="13">
    <w:abstractNumId w:val="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362D0"/>
    <w:rsid w:val="000362D0"/>
    <w:rsid w:val="00210D59"/>
    <w:rsid w:val="005E3AE3"/>
    <w:rsid w:val="006F45B1"/>
    <w:rsid w:val="009B343A"/>
    <w:rsid w:val="00B65FC3"/>
    <w:rsid w:val="00DC0C73"/>
    <w:rsid w:val="00F5015F"/>
    <w:rsid w:val="00F656C3"/>
    <w:rsid w:val="00FA73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F18476"/>
  <w14:defaultImageDpi w14:val="300"/>
  <w15:docId w15:val="{B29059A0-6763-4048-A176-CC930DA7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2D0"/>
    <w:pPr>
      <w:spacing w:after="200" w:line="276" w:lineRule="auto"/>
    </w:pPr>
    <w:rPr>
      <w:rFonts w:ascii="Calibri" w:eastAsia="MS Mincho" w:hAnsi="Calibri" w:cs="Times New Roman"/>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2D0"/>
    <w:rPr>
      <w:rFonts w:eastAsiaTheme="minorHAnsi"/>
      <w:sz w:val="22"/>
      <w:szCs w:val="22"/>
    </w:rPr>
  </w:style>
  <w:style w:type="paragraph" w:styleId="BalloonText">
    <w:name w:val="Balloon Text"/>
    <w:basedOn w:val="Normal"/>
    <w:link w:val="BalloonTextChar"/>
    <w:uiPriority w:val="99"/>
    <w:semiHidden/>
    <w:unhideWhenUsed/>
    <w:rsid w:val="000362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2D0"/>
    <w:rPr>
      <w:rFonts w:ascii="Tahoma" w:eastAsia="MS Mincho" w:hAnsi="Tahoma" w:cs="Tahoma"/>
      <w:sz w:val="16"/>
      <w:szCs w:val="16"/>
      <w:lang w:eastAsia="ja-JP"/>
    </w:rPr>
  </w:style>
  <w:style w:type="character" w:styleId="Hyperlink">
    <w:name w:val="Hyperlink"/>
    <w:rsid w:val="000362D0"/>
    <w:rPr>
      <w:rFonts w:cs="Times New Roman"/>
      <w:color w:val="0000FF"/>
      <w:u w:val="single"/>
    </w:rPr>
  </w:style>
  <w:style w:type="paragraph" w:styleId="FootnoteText">
    <w:name w:val="footnote text"/>
    <w:basedOn w:val="Normal"/>
    <w:link w:val="FootnoteTextChar"/>
    <w:uiPriority w:val="99"/>
    <w:semiHidden/>
    <w:unhideWhenUsed/>
    <w:rsid w:val="000362D0"/>
    <w:rPr>
      <w:sz w:val="20"/>
      <w:szCs w:val="20"/>
      <w:lang w:val="x-none"/>
    </w:rPr>
  </w:style>
  <w:style w:type="character" w:customStyle="1" w:styleId="FootnoteTextChar">
    <w:name w:val="Footnote Text Char"/>
    <w:basedOn w:val="DefaultParagraphFont"/>
    <w:link w:val="FootnoteText"/>
    <w:uiPriority w:val="99"/>
    <w:semiHidden/>
    <w:rsid w:val="000362D0"/>
    <w:rPr>
      <w:rFonts w:ascii="Calibri" w:eastAsia="MS Mincho" w:hAnsi="Calibri" w:cs="Times New Roman"/>
      <w:sz w:val="20"/>
      <w:szCs w:val="20"/>
      <w:lang w:val="x-none" w:eastAsia="ja-JP"/>
    </w:rPr>
  </w:style>
  <w:style w:type="character" w:styleId="FootnoteReference">
    <w:name w:val="footnote reference"/>
    <w:uiPriority w:val="99"/>
    <w:semiHidden/>
    <w:unhideWhenUsed/>
    <w:rsid w:val="000362D0"/>
    <w:rPr>
      <w:vertAlign w:val="superscript"/>
    </w:rPr>
  </w:style>
  <w:style w:type="paragraph" w:customStyle="1" w:styleId="EndNoteBibliographyTitle">
    <w:name w:val="EndNote Bibliography Title"/>
    <w:basedOn w:val="Normal"/>
    <w:link w:val="EndNoteBibliographyTitleChar"/>
    <w:rsid w:val="000362D0"/>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0362D0"/>
    <w:rPr>
      <w:rFonts w:ascii="Calibri" w:eastAsia="MS Mincho" w:hAnsi="Calibri" w:cs="Calibri"/>
      <w:noProof/>
      <w:sz w:val="22"/>
      <w:szCs w:val="22"/>
      <w:lang w:eastAsia="ja-JP"/>
    </w:rPr>
  </w:style>
  <w:style w:type="paragraph" w:customStyle="1" w:styleId="EndNoteBibliography">
    <w:name w:val="EndNote Bibliography"/>
    <w:basedOn w:val="Normal"/>
    <w:link w:val="EndNoteBibliographyChar"/>
    <w:rsid w:val="000362D0"/>
    <w:pPr>
      <w:spacing w:line="240" w:lineRule="auto"/>
    </w:pPr>
    <w:rPr>
      <w:rFonts w:cs="Calibri"/>
      <w:noProof/>
    </w:rPr>
  </w:style>
  <w:style w:type="character" w:customStyle="1" w:styleId="EndNoteBibliographyChar">
    <w:name w:val="EndNote Bibliography Char"/>
    <w:basedOn w:val="DefaultParagraphFont"/>
    <w:link w:val="EndNoteBibliography"/>
    <w:rsid w:val="000362D0"/>
    <w:rPr>
      <w:rFonts w:ascii="Calibri" w:eastAsia="MS Mincho" w:hAnsi="Calibri" w:cs="Calibri"/>
      <w:noProof/>
      <w:sz w:val="22"/>
      <w:szCs w:val="22"/>
      <w:lang w:eastAsia="ja-JP"/>
    </w:rPr>
  </w:style>
  <w:style w:type="paragraph" w:styleId="ListParagraph">
    <w:name w:val="List Paragraph"/>
    <w:basedOn w:val="Normal"/>
    <w:uiPriority w:val="34"/>
    <w:qFormat/>
    <w:rsid w:val="000362D0"/>
    <w:pPr>
      <w:ind w:left="720"/>
      <w:contextualSpacing/>
    </w:pPr>
  </w:style>
  <w:style w:type="character" w:styleId="CommentReference">
    <w:name w:val="annotation reference"/>
    <w:basedOn w:val="DefaultParagraphFont"/>
    <w:uiPriority w:val="99"/>
    <w:semiHidden/>
    <w:unhideWhenUsed/>
    <w:rsid w:val="000362D0"/>
    <w:rPr>
      <w:sz w:val="16"/>
      <w:szCs w:val="16"/>
    </w:rPr>
  </w:style>
  <w:style w:type="paragraph" w:styleId="CommentText">
    <w:name w:val="annotation text"/>
    <w:basedOn w:val="Normal"/>
    <w:link w:val="CommentTextChar"/>
    <w:uiPriority w:val="99"/>
    <w:semiHidden/>
    <w:unhideWhenUsed/>
    <w:rsid w:val="000362D0"/>
    <w:pPr>
      <w:spacing w:line="240" w:lineRule="auto"/>
    </w:pPr>
    <w:rPr>
      <w:sz w:val="20"/>
      <w:szCs w:val="20"/>
    </w:rPr>
  </w:style>
  <w:style w:type="character" w:customStyle="1" w:styleId="CommentTextChar">
    <w:name w:val="Comment Text Char"/>
    <w:basedOn w:val="DefaultParagraphFont"/>
    <w:link w:val="CommentText"/>
    <w:uiPriority w:val="99"/>
    <w:semiHidden/>
    <w:rsid w:val="000362D0"/>
    <w:rPr>
      <w:rFonts w:ascii="Calibri" w:eastAsia="MS Mincho"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362D0"/>
    <w:rPr>
      <w:b/>
      <w:bCs/>
    </w:rPr>
  </w:style>
  <w:style w:type="character" w:customStyle="1" w:styleId="CommentSubjectChar">
    <w:name w:val="Comment Subject Char"/>
    <w:basedOn w:val="CommentTextChar"/>
    <w:link w:val="CommentSubject"/>
    <w:uiPriority w:val="99"/>
    <w:semiHidden/>
    <w:rsid w:val="000362D0"/>
    <w:rPr>
      <w:rFonts w:ascii="Calibri" w:eastAsia="MS Mincho" w:hAnsi="Calibri" w:cs="Times New Roman"/>
      <w:b/>
      <w:bCs/>
      <w:sz w:val="20"/>
      <w:szCs w:val="20"/>
      <w:lang w:eastAsia="ja-JP"/>
    </w:rPr>
  </w:style>
  <w:style w:type="paragraph" w:styleId="Caption">
    <w:name w:val="caption"/>
    <w:basedOn w:val="Normal"/>
    <w:next w:val="Normal"/>
    <w:uiPriority w:val="35"/>
    <w:qFormat/>
    <w:rsid w:val="000362D0"/>
    <w:pPr>
      <w:spacing w:line="240" w:lineRule="auto"/>
    </w:pPr>
    <w:rPr>
      <w:rFonts w:eastAsia="Calibri"/>
      <w:b/>
      <w:bCs/>
      <w:color w:val="4F81BD"/>
      <w:sz w:val="18"/>
      <w:szCs w:val="18"/>
      <w:lang w:eastAsia="en-US"/>
    </w:rPr>
  </w:style>
  <w:style w:type="paragraph" w:styleId="Header">
    <w:name w:val="header"/>
    <w:basedOn w:val="Normal"/>
    <w:link w:val="HeaderChar"/>
    <w:uiPriority w:val="99"/>
    <w:unhideWhenUsed/>
    <w:rsid w:val="000362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2D0"/>
    <w:rPr>
      <w:rFonts w:ascii="Calibri" w:eastAsia="MS Mincho" w:hAnsi="Calibri" w:cs="Times New Roman"/>
      <w:sz w:val="22"/>
      <w:szCs w:val="22"/>
      <w:lang w:eastAsia="ja-JP"/>
    </w:rPr>
  </w:style>
  <w:style w:type="paragraph" w:styleId="Footer">
    <w:name w:val="footer"/>
    <w:basedOn w:val="Normal"/>
    <w:link w:val="FooterChar"/>
    <w:uiPriority w:val="99"/>
    <w:unhideWhenUsed/>
    <w:rsid w:val="00036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2D0"/>
    <w:rPr>
      <w:rFonts w:ascii="Calibri" w:eastAsia="MS Mincho" w:hAnsi="Calibri" w:cs="Times New Roman"/>
      <w:sz w:val="22"/>
      <w:szCs w:val="22"/>
      <w:lang w:eastAsia="ja-JP"/>
    </w:rPr>
  </w:style>
  <w:style w:type="character" w:customStyle="1" w:styleId="Mention1">
    <w:name w:val="Mention1"/>
    <w:basedOn w:val="DefaultParagraphFont"/>
    <w:uiPriority w:val="99"/>
    <w:semiHidden/>
    <w:unhideWhenUsed/>
    <w:rsid w:val="000362D0"/>
    <w:rPr>
      <w:color w:val="2B579A"/>
      <w:shd w:val="clear" w:color="auto" w:fill="E6E6E6"/>
    </w:rPr>
  </w:style>
  <w:style w:type="character" w:styleId="Strong">
    <w:name w:val="Strong"/>
    <w:basedOn w:val="DefaultParagraphFont"/>
    <w:uiPriority w:val="22"/>
    <w:qFormat/>
    <w:rsid w:val="000362D0"/>
    <w:rPr>
      <w:b/>
      <w:bCs/>
    </w:rPr>
  </w:style>
  <w:style w:type="character" w:customStyle="1" w:styleId="Mention2">
    <w:name w:val="Mention2"/>
    <w:basedOn w:val="DefaultParagraphFont"/>
    <w:uiPriority w:val="99"/>
    <w:semiHidden/>
    <w:unhideWhenUsed/>
    <w:rsid w:val="000362D0"/>
    <w:rPr>
      <w:color w:val="2B579A"/>
      <w:shd w:val="clear" w:color="auto" w:fill="E6E6E6"/>
    </w:rPr>
  </w:style>
  <w:style w:type="character" w:styleId="LineNumber">
    <w:name w:val="line number"/>
    <w:basedOn w:val="DefaultParagraphFont"/>
    <w:uiPriority w:val="99"/>
    <w:semiHidden/>
    <w:unhideWhenUsed/>
    <w:rsid w:val="000362D0"/>
  </w:style>
  <w:style w:type="table" w:styleId="TableGrid">
    <w:name w:val="Table Grid"/>
    <w:basedOn w:val="TableNormal"/>
    <w:uiPriority w:val="39"/>
    <w:rsid w:val="000362D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362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6128</Words>
  <Characters>34933</Characters>
  <Application>Microsoft Office Word</Application>
  <DocSecurity>4</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Lowres</dc:creator>
  <cp:keywords/>
  <dc:description/>
  <cp:lastModifiedBy>Gibson, Lyn</cp:lastModifiedBy>
  <cp:revision>2</cp:revision>
  <dcterms:created xsi:type="dcterms:W3CDTF">2017-10-12T09:38:00Z</dcterms:created>
  <dcterms:modified xsi:type="dcterms:W3CDTF">2017-10-12T09:38:00Z</dcterms:modified>
</cp:coreProperties>
</file>