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DB316" w14:textId="77777777" w:rsidR="00721031" w:rsidRPr="006A2249" w:rsidRDefault="00AB6249" w:rsidP="0079538B">
      <w:pPr>
        <w:ind w:firstLine="0"/>
        <w:rPr>
          <w:b/>
          <w:sz w:val="16"/>
          <w:szCs w:val="16"/>
        </w:rPr>
      </w:pPr>
      <w:r>
        <w:rPr>
          <w:b/>
          <w:sz w:val="28"/>
          <w:szCs w:val="28"/>
        </w:rPr>
        <w:t>Journal of Further &amp; Higher Education</w:t>
      </w:r>
      <w:r w:rsidR="006A2249" w:rsidRPr="006A2249">
        <w:t xml:space="preserve"> </w:t>
      </w:r>
    </w:p>
    <w:p w14:paraId="3BBC46E8" w14:textId="77777777" w:rsidR="0085283F" w:rsidRPr="00721031" w:rsidRDefault="0085283F" w:rsidP="00721031"/>
    <w:p w14:paraId="40F90C1F" w14:textId="77777777" w:rsidR="00D40D4F" w:rsidRPr="00302DF6" w:rsidRDefault="00913C59" w:rsidP="00913C59">
      <w:pPr>
        <w:pStyle w:val="Title"/>
      </w:pPr>
      <w:r w:rsidRPr="00913C59">
        <w:rPr>
          <w:rStyle w:val="TitleChar"/>
          <w:b/>
        </w:rPr>
        <w:t xml:space="preserve">Towards graduate employment: </w:t>
      </w:r>
      <w:r w:rsidR="00AB6249">
        <w:rPr>
          <w:rStyle w:val="TitleChar"/>
          <w:b/>
        </w:rPr>
        <w:t xml:space="preserve">exploring </w:t>
      </w:r>
      <w:r w:rsidR="00302DF6">
        <w:rPr>
          <w:rStyle w:val="TitleChar"/>
          <w:b/>
        </w:rPr>
        <w:t xml:space="preserve">student identity </w:t>
      </w:r>
      <w:r w:rsidR="00C21B6F">
        <w:rPr>
          <w:rStyle w:val="TitleChar"/>
          <w:b/>
        </w:rPr>
        <w:t>through a university-wide employability project</w:t>
      </w:r>
    </w:p>
    <w:p w14:paraId="2D52D2EF" w14:textId="77777777" w:rsidR="00D40D4F" w:rsidRPr="009503CD" w:rsidRDefault="00D40D4F" w:rsidP="009503CD"/>
    <w:p w14:paraId="5D72F436" w14:textId="77777777" w:rsidR="001D3656" w:rsidRPr="00B90DE5" w:rsidRDefault="0085283F" w:rsidP="009503CD">
      <w:pPr>
        <w:pStyle w:val="authornames"/>
        <w:rPr>
          <w:b w:val="0"/>
        </w:rPr>
      </w:pPr>
      <w:r w:rsidRPr="00B90DE5">
        <w:rPr>
          <w:b w:val="0"/>
        </w:rPr>
        <w:t>Sally Smith</w:t>
      </w:r>
      <w:r w:rsidR="009B3ED8">
        <w:rPr>
          <w:b w:val="0"/>
        </w:rPr>
        <w:t>*</w:t>
      </w:r>
      <w:r w:rsidR="00CC3844" w:rsidRPr="00B90DE5">
        <w:rPr>
          <w:b w:val="0"/>
        </w:rPr>
        <w:t>, Colin Smith, Ella Taylor-Smith and Julia Fotheringham</w:t>
      </w:r>
    </w:p>
    <w:p w14:paraId="1E0FB035" w14:textId="77777777" w:rsidR="00D40D4F" w:rsidRPr="00D40D4F" w:rsidRDefault="00D40D4F" w:rsidP="00D40D4F">
      <w:pPr>
        <w:spacing w:before="240" w:line="360" w:lineRule="auto"/>
        <w:ind w:firstLine="0"/>
        <w:rPr>
          <w:rFonts w:eastAsia="Times New Roman" w:cs="Times New Roman"/>
          <w:i/>
          <w:szCs w:val="24"/>
          <w:lang w:eastAsia="en-GB"/>
        </w:rPr>
      </w:pPr>
      <w:r>
        <w:rPr>
          <w:rFonts w:eastAsia="Times New Roman" w:cs="Times New Roman"/>
          <w:i/>
          <w:szCs w:val="24"/>
          <w:lang w:eastAsia="en-GB"/>
        </w:rPr>
        <w:t>Edinburgh Napier</w:t>
      </w:r>
      <w:r w:rsidRPr="00D40D4F">
        <w:rPr>
          <w:rFonts w:eastAsia="Times New Roman" w:cs="Times New Roman"/>
          <w:i/>
          <w:szCs w:val="24"/>
          <w:lang w:eastAsia="en-GB"/>
        </w:rPr>
        <w:t xml:space="preserve"> University, </w:t>
      </w:r>
      <w:r>
        <w:rPr>
          <w:rFonts w:eastAsia="Times New Roman" w:cs="Times New Roman"/>
          <w:i/>
          <w:szCs w:val="24"/>
          <w:lang w:eastAsia="en-GB"/>
        </w:rPr>
        <w:t>Edinburgh.</w:t>
      </w:r>
    </w:p>
    <w:p w14:paraId="5AE7AD01" w14:textId="77777777" w:rsidR="00D40D4F" w:rsidRPr="009503CD" w:rsidRDefault="009B3ED8" w:rsidP="009503CD">
      <w:pPr>
        <w:spacing w:before="240" w:line="360" w:lineRule="auto"/>
        <w:ind w:firstLine="0"/>
        <w:rPr>
          <w:rFonts w:eastAsia="Times New Roman" w:cs="Times New Roman"/>
          <w:szCs w:val="24"/>
          <w:lang w:eastAsia="en-GB"/>
        </w:rPr>
      </w:pPr>
      <w:r>
        <w:rPr>
          <w:rFonts w:eastAsia="Times New Roman" w:cs="Times New Roman"/>
          <w:szCs w:val="24"/>
          <w:lang w:eastAsia="en-GB"/>
        </w:rPr>
        <w:t xml:space="preserve">* </w:t>
      </w:r>
      <w:r w:rsidR="00D40D4F" w:rsidRPr="00D40D4F">
        <w:rPr>
          <w:rFonts w:eastAsia="Times New Roman" w:cs="Times New Roman"/>
          <w:szCs w:val="24"/>
          <w:lang w:eastAsia="en-GB"/>
        </w:rPr>
        <w:t>Corresponding author: School of Computing, Edinburgh Napier University, Merchiston Campus, Edinburgh EH10 5DT, UK. Email: s.smith@napier.ac.uk</w:t>
      </w:r>
    </w:p>
    <w:p w14:paraId="04E4F1B5" w14:textId="77777777" w:rsidR="00AE52C6" w:rsidRPr="00AE52C6" w:rsidRDefault="00AE52C6" w:rsidP="009503CD"/>
    <w:p w14:paraId="5E196745" w14:textId="77777777" w:rsidR="001D3656" w:rsidRDefault="001D3656" w:rsidP="001D3656">
      <w:pPr>
        <w:pStyle w:val="Title"/>
        <w:spacing w:after="0" w:line="240" w:lineRule="auto"/>
        <w:rPr>
          <w:szCs w:val="24"/>
        </w:rPr>
      </w:pPr>
    </w:p>
    <w:p w14:paraId="0F9BBCF4" w14:textId="77777777" w:rsidR="00AE52C6" w:rsidRPr="00807DF7" w:rsidRDefault="00AE52C6" w:rsidP="00AE52C6">
      <w:pPr>
        <w:pStyle w:val="Heading1"/>
      </w:pPr>
      <w:r w:rsidRPr="00807DF7">
        <w:t>Acknowledgements</w:t>
      </w:r>
    </w:p>
    <w:p w14:paraId="64AC8BEB" w14:textId="77777777" w:rsidR="00D40D4F" w:rsidRDefault="00D40D4F" w:rsidP="00AE52C6">
      <w:pPr>
        <w:ind w:firstLine="0"/>
        <w:jc w:val="both"/>
        <w:rPr>
          <w:sz w:val="22"/>
        </w:rPr>
      </w:pPr>
      <w:r w:rsidRPr="00D40D4F">
        <w:rPr>
          <w:sz w:val="22"/>
        </w:rPr>
        <w:t>The Graduate Employability Project was funded by the Scottish Funding Council.</w:t>
      </w:r>
    </w:p>
    <w:p w14:paraId="4A80A7D0" w14:textId="615E927E" w:rsidR="00AE52C6" w:rsidRPr="009503CD" w:rsidRDefault="00AE52C6" w:rsidP="00AE52C6">
      <w:pPr>
        <w:ind w:firstLine="0"/>
        <w:jc w:val="both"/>
        <w:rPr>
          <w:rFonts w:cs="Times New Roman"/>
          <w:sz w:val="22"/>
        </w:rPr>
      </w:pPr>
      <w:r w:rsidRPr="009503CD">
        <w:rPr>
          <w:sz w:val="22"/>
        </w:rPr>
        <w:t xml:space="preserve">The authors thank Amrit Dencer-Brown and Dr Bruce Ryan for their help in </w:t>
      </w:r>
      <w:r w:rsidR="00B53E6B">
        <w:rPr>
          <w:sz w:val="22"/>
        </w:rPr>
        <w:t>administering survey data</w:t>
      </w:r>
      <w:r w:rsidRPr="009503CD">
        <w:rPr>
          <w:sz w:val="22"/>
        </w:rPr>
        <w:t>.</w:t>
      </w:r>
    </w:p>
    <w:p w14:paraId="44B2B08D" w14:textId="77777777" w:rsidR="009503CD" w:rsidRDefault="009503CD" w:rsidP="001D3656">
      <w:pPr>
        <w:pStyle w:val="Title"/>
        <w:spacing w:after="0" w:line="240" w:lineRule="auto"/>
        <w:rPr>
          <w:szCs w:val="24"/>
        </w:rPr>
      </w:pPr>
      <w:r>
        <w:rPr>
          <w:szCs w:val="24"/>
        </w:rPr>
        <w:br w:type="page"/>
      </w:r>
    </w:p>
    <w:p w14:paraId="162BF0D6" w14:textId="77777777" w:rsidR="001D3656" w:rsidRDefault="001D3656" w:rsidP="001D3656">
      <w:pPr>
        <w:pStyle w:val="Title"/>
        <w:spacing w:after="0" w:line="240" w:lineRule="auto"/>
        <w:rPr>
          <w:szCs w:val="24"/>
        </w:rPr>
      </w:pPr>
    </w:p>
    <w:p w14:paraId="2EC2EC87" w14:textId="77777777" w:rsidR="00012946" w:rsidRDefault="00012946" w:rsidP="001D3656">
      <w:pPr>
        <w:pStyle w:val="Title"/>
        <w:spacing w:after="0" w:line="240" w:lineRule="auto"/>
      </w:pPr>
    </w:p>
    <w:p w14:paraId="06F8C605" w14:textId="77777777" w:rsidR="00BB3D8D" w:rsidRDefault="00D34FC8" w:rsidP="009503CD">
      <w:pPr>
        <w:pStyle w:val="abstract"/>
        <w:rPr>
          <w:rFonts w:eastAsiaTheme="majorEastAsia" w:cstheme="majorBidi"/>
          <w:b/>
          <w:spacing w:val="5"/>
          <w:kern w:val="28"/>
          <w:sz w:val="28"/>
          <w:szCs w:val="52"/>
        </w:rPr>
      </w:pPr>
      <w:r w:rsidRPr="00D34FC8">
        <w:rPr>
          <w:rFonts w:eastAsiaTheme="majorEastAsia" w:cstheme="majorBidi"/>
          <w:b/>
          <w:spacing w:val="5"/>
          <w:kern w:val="28"/>
          <w:sz w:val="28"/>
          <w:szCs w:val="52"/>
        </w:rPr>
        <w:t xml:space="preserve">Towards graduate employment: exploring student identity </w:t>
      </w:r>
      <w:r>
        <w:rPr>
          <w:rFonts w:eastAsiaTheme="majorEastAsia" w:cstheme="majorBidi"/>
          <w:b/>
          <w:spacing w:val="5"/>
          <w:kern w:val="28"/>
          <w:sz w:val="28"/>
          <w:szCs w:val="52"/>
        </w:rPr>
        <w:t xml:space="preserve">through </w:t>
      </w:r>
      <w:r w:rsidRPr="00D34FC8">
        <w:rPr>
          <w:rFonts w:eastAsiaTheme="majorEastAsia" w:cstheme="majorBidi"/>
          <w:b/>
          <w:spacing w:val="5"/>
          <w:kern w:val="28"/>
          <w:sz w:val="28"/>
          <w:szCs w:val="52"/>
        </w:rPr>
        <w:t>a university-wide employability project</w:t>
      </w:r>
      <w:r>
        <w:rPr>
          <w:rFonts w:eastAsiaTheme="majorEastAsia" w:cstheme="majorBidi"/>
          <w:b/>
          <w:spacing w:val="5"/>
          <w:kern w:val="28"/>
          <w:sz w:val="28"/>
          <w:szCs w:val="52"/>
        </w:rPr>
        <w:t xml:space="preserve"> </w:t>
      </w:r>
    </w:p>
    <w:p w14:paraId="10D17287" w14:textId="4890DB53" w:rsidR="003777AC" w:rsidRDefault="003777AC" w:rsidP="009503CD">
      <w:pPr>
        <w:pStyle w:val="abstract"/>
      </w:pPr>
      <w:r w:rsidRPr="003777AC">
        <w:t>Students have expectations of their university education leading to graduate career</w:t>
      </w:r>
      <w:r w:rsidR="00727DEE">
        <w:t>s, with u</w:t>
      </w:r>
      <w:r w:rsidRPr="003777AC">
        <w:t>niversities invest</w:t>
      </w:r>
      <w:r w:rsidR="00727DEE">
        <w:t>ing</w:t>
      </w:r>
      <w:r w:rsidRPr="003777AC">
        <w:t xml:space="preserve"> considerable resources in institution-wide initiatives designed to enhance opportunities for student work placements and work-</w:t>
      </w:r>
      <w:r w:rsidR="00AD3DED">
        <w:t>related</w:t>
      </w:r>
      <w:r w:rsidRPr="003777AC">
        <w:t xml:space="preserve"> learning. However, there are large variations between </w:t>
      </w:r>
      <w:r w:rsidR="00AD3DED">
        <w:t xml:space="preserve">courses and </w:t>
      </w:r>
      <w:r w:rsidRPr="003777AC">
        <w:t xml:space="preserve">disciplines in student uptake of these opportunities, with limited evidence explaining why this might be the case. </w:t>
      </w:r>
      <w:r w:rsidR="00F55B0F" w:rsidRPr="00F55B0F">
        <w:t xml:space="preserve">Recognising recent approaches which </w:t>
      </w:r>
      <w:r w:rsidR="00AD3DED">
        <w:t>consider student</w:t>
      </w:r>
      <w:r w:rsidR="00F55B0F" w:rsidRPr="00F55B0F">
        <w:t xml:space="preserve"> identity </w:t>
      </w:r>
      <w:r w:rsidR="00AD3DED">
        <w:t xml:space="preserve">in </w:t>
      </w:r>
      <w:r w:rsidR="00F55B0F" w:rsidRPr="00F55B0F">
        <w:t>transitions, this study explored student attitudes to work-related learning</w:t>
      </w:r>
      <w:r w:rsidR="00AD3DED">
        <w:t xml:space="preserve"> across a range of subject disciplines</w:t>
      </w:r>
      <w:r w:rsidR="00F55B0F" w:rsidRPr="00F55B0F">
        <w:t>. The first phase of the study used in-class surveys</w:t>
      </w:r>
      <w:r w:rsidR="00727DEE">
        <w:t xml:space="preserve"> (n=199)</w:t>
      </w:r>
      <w:r w:rsidR="00F55B0F" w:rsidRPr="00F55B0F">
        <w:t xml:space="preserve"> to focus on students</w:t>
      </w:r>
      <w:r w:rsidR="00F55B0F">
        <w:t>’</w:t>
      </w:r>
      <w:r w:rsidR="00F55B0F" w:rsidRPr="00F55B0F">
        <w:t xml:space="preserve"> self-identification and perceptions of employability initiatives.</w:t>
      </w:r>
      <w:r w:rsidR="00F55B0F">
        <w:t xml:space="preserve"> </w:t>
      </w:r>
      <w:r w:rsidRPr="003777AC">
        <w:t>Follow-up interviews were conducted</w:t>
      </w:r>
      <w:r w:rsidR="00DB4AF7">
        <w:t xml:space="preserve"> to further explore themes emerging in the survey data</w:t>
      </w:r>
      <w:r w:rsidRPr="003777AC">
        <w:t xml:space="preserve">.  </w:t>
      </w:r>
      <w:r w:rsidR="00AD3DED">
        <w:t>T</w:t>
      </w:r>
      <w:r w:rsidRPr="003777AC">
        <w:t>he study found that, while some students drew on resources for identity work</w:t>
      </w:r>
      <w:r w:rsidR="00AD3DED">
        <w:t xml:space="preserve"> in their recognition of and approach to work-related learning</w:t>
      </w:r>
      <w:r w:rsidRPr="003777AC">
        <w:t xml:space="preserve">, access was </w:t>
      </w:r>
      <w:r w:rsidR="008D5074">
        <w:t>limited, and university</w:t>
      </w:r>
      <w:r w:rsidRPr="003777AC">
        <w:t xml:space="preserve"> resources </w:t>
      </w:r>
      <w:r w:rsidR="008D5074">
        <w:t>were not always recognised or</w:t>
      </w:r>
      <w:r w:rsidRPr="003777AC">
        <w:t xml:space="preserve"> effective.</w:t>
      </w:r>
      <w:r w:rsidR="00727DEE">
        <w:t xml:space="preserve"> </w:t>
      </w:r>
      <w:r w:rsidRPr="003777AC">
        <w:t>The findings have implications for the design of effective graduate employability initiatives.</w:t>
      </w:r>
    </w:p>
    <w:p w14:paraId="4E236E2C" w14:textId="77777777" w:rsidR="009503CD" w:rsidRDefault="00721031" w:rsidP="009503CD">
      <w:pPr>
        <w:pStyle w:val="abstract"/>
      </w:pPr>
      <w:r w:rsidRPr="002D60AC">
        <w:rPr>
          <w:b/>
          <w:i/>
        </w:rPr>
        <w:t>Keywords</w:t>
      </w:r>
      <w:r w:rsidRPr="002D60AC">
        <w:rPr>
          <w:b/>
        </w:rPr>
        <w:t>:</w:t>
      </w:r>
      <w:r>
        <w:t xml:space="preserve"> </w:t>
      </w:r>
      <w:r w:rsidR="008D2265">
        <w:t>e</w:t>
      </w:r>
      <w:r>
        <w:t xml:space="preserve">mployability, </w:t>
      </w:r>
      <w:r w:rsidR="005E2319">
        <w:t>work-</w:t>
      </w:r>
      <w:r w:rsidR="003410F9">
        <w:t>related</w:t>
      </w:r>
      <w:r w:rsidR="005E2319">
        <w:t xml:space="preserve"> learning, </w:t>
      </w:r>
      <w:r w:rsidR="000C422F">
        <w:t xml:space="preserve">student </w:t>
      </w:r>
      <w:r>
        <w:t xml:space="preserve">identity, </w:t>
      </w:r>
      <w:r w:rsidR="003777AC">
        <w:t xml:space="preserve">graduate </w:t>
      </w:r>
      <w:r w:rsidR="000C422F">
        <w:t xml:space="preserve">identity, </w:t>
      </w:r>
      <w:r w:rsidR="0090196E">
        <w:t xml:space="preserve">professional identity </w:t>
      </w:r>
    </w:p>
    <w:p w14:paraId="4046729D" w14:textId="77777777" w:rsidR="00376452" w:rsidRPr="009503CD" w:rsidRDefault="00376452" w:rsidP="009503CD">
      <w:pPr>
        <w:pStyle w:val="Heading1"/>
      </w:pPr>
      <w:r w:rsidRPr="009503CD">
        <w:t>Introduction</w:t>
      </w:r>
    </w:p>
    <w:p w14:paraId="69A7C8B3" w14:textId="0426C9F6" w:rsidR="00FA4E9E" w:rsidRPr="00D273CE" w:rsidRDefault="00DD5216" w:rsidP="00FC4A43">
      <w:pPr>
        <w:jc w:val="both"/>
        <w:rPr>
          <w:rFonts w:cs="Times New Roman"/>
          <w:szCs w:val="24"/>
        </w:rPr>
      </w:pPr>
      <w:r w:rsidRPr="00D273CE">
        <w:rPr>
          <w:rFonts w:cs="Times New Roman"/>
          <w:szCs w:val="24"/>
        </w:rPr>
        <w:t xml:space="preserve">Students have </w:t>
      </w:r>
      <w:r w:rsidR="00884121" w:rsidRPr="00D273CE">
        <w:rPr>
          <w:rFonts w:cs="Times New Roman"/>
          <w:szCs w:val="24"/>
        </w:rPr>
        <w:t xml:space="preserve">understandably </w:t>
      </w:r>
      <w:r w:rsidRPr="00D273CE">
        <w:rPr>
          <w:rFonts w:cs="Times New Roman"/>
          <w:szCs w:val="24"/>
        </w:rPr>
        <w:t>high expectation</w:t>
      </w:r>
      <w:r w:rsidR="00351E5E">
        <w:rPr>
          <w:rFonts w:cs="Times New Roman"/>
          <w:szCs w:val="24"/>
        </w:rPr>
        <w:t>s</w:t>
      </w:r>
      <w:r w:rsidRPr="00D273CE">
        <w:rPr>
          <w:rFonts w:cs="Times New Roman"/>
          <w:szCs w:val="24"/>
        </w:rPr>
        <w:t xml:space="preserve"> of universities equipping them with the necessary skills, experiences and attributes to </w:t>
      </w:r>
      <w:r w:rsidR="00FF7701">
        <w:rPr>
          <w:rFonts w:cs="Times New Roman"/>
          <w:szCs w:val="24"/>
        </w:rPr>
        <w:t>enable</w:t>
      </w:r>
      <w:r w:rsidR="00FF7701" w:rsidRPr="00D273CE">
        <w:rPr>
          <w:rFonts w:cs="Times New Roman"/>
          <w:szCs w:val="24"/>
        </w:rPr>
        <w:t xml:space="preserve"> </w:t>
      </w:r>
      <w:r w:rsidR="00233B5A" w:rsidRPr="00D273CE">
        <w:rPr>
          <w:rFonts w:cs="Times New Roman"/>
          <w:szCs w:val="24"/>
        </w:rPr>
        <w:t>their transition to graduation an</w:t>
      </w:r>
      <w:r w:rsidR="00FA4E9E" w:rsidRPr="00D273CE">
        <w:rPr>
          <w:rFonts w:cs="Times New Roman"/>
          <w:szCs w:val="24"/>
        </w:rPr>
        <w:t>d</w:t>
      </w:r>
      <w:r w:rsidR="00233B5A" w:rsidRPr="00D273CE">
        <w:rPr>
          <w:rFonts w:cs="Times New Roman"/>
          <w:szCs w:val="24"/>
        </w:rPr>
        <w:t xml:space="preserve"> </w:t>
      </w:r>
      <w:r w:rsidR="00FA4E9E" w:rsidRPr="00D273CE">
        <w:rPr>
          <w:rFonts w:cs="Times New Roman"/>
          <w:szCs w:val="24"/>
        </w:rPr>
        <w:t>into a graduate job</w:t>
      </w:r>
      <w:r w:rsidR="00465AF0" w:rsidRPr="00D273CE">
        <w:rPr>
          <w:rFonts w:cs="Times New Roman"/>
          <w:szCs w:val="24"/>
        </w:rPr>
        <w:t xml:space="preserve"> (Moore, Sanders</w:t>
      </w:r>
      <w:r w:rsidR="00B90DE5">
        <w:rPr>
          <w:rFonts w:cs="Times New Roman"/>
          <w:szCs w:val="24"/>
        </w:rPr>
        <w:t>,</w:t>
      </w:r>
      <w:r w:rsidR="00465AF0" w:rsidRPr="00D273CE">
        <w:rPr>
          <w:rFonts w:cs="Times New Roman"/>
          <w:szCs w:val="24"/>
        </w:rPr>
        <w:t xml:space="preserve"> </w:t>
      </w:r>
      <w:r w:rsidR="00351E5E">
        <w:rPr>
          <w:rFonts w:cs="Times New Roman"/>
          <w:szCs w:val="24"/>
        </w:rPr>
        <w:t>and</w:t>
      </w:r>
      <w:r w:rsidR="009617D5" w:rsidRPr="00D273CE">
        <w:rPr>
          <w:rFonts w:cs="Times New Roman"/>
          <w:szCs w:val="24"/>
        </w:rPr>
        <w:t xml:space="preserve"> </w:t>
      </w:r>
      <w:r w:rsidR="0065268B">
        <w:rPr>
          <w:rFonts w:cs="Times New Roman"/>
          <w:szCs w:val="24"/>
        </w:rPr>
        <w:t>Higham</w:t>
      </w:r>
      <w:r w:rsidR="00465AF0" w:rsidRPr="00D273CE">
        <w:rPr>
          <w:rFonts w:cs="Times New Roman"/>
          <w:szCs w:val="24"/>
        </w:rPr>
        <w:t xml:space="preserve"> 2013)</w:t>
      </w:r>
      <w:r w:rsidR="00233B5A" w:rsidRPr="00D273CE">
        <w:rPr>
          <w:rFonts w:cs="Times New Roman"/>
          <w:szCs w:val="24"/>
        </w:rPr>
        <w:t xml:space="preserve">. </w:t>
      </w:r>
      <w:r w:rsidR="008371F1">
        <w:rPr>
          <w:rFonts w:cs="Times New Roman"/>
          <w:szCs w:val="24"/>
        </w:rPr>
        <w:t>I</w:t>
      </w:r>
      <w:r w:rsidR="00046552" w:rsidRPr="00D273CE">
        <w:rPr>
          <w:rFonts w:cs="Times New Roman"/>
          <w:szCs w:val="24"/>
        </w:rPr>
        <w:t>n</w:t>
      </w:r>
      <w:r w:rsidR="00233B5A" w:rsidRPr="00D273CE">
        <w:rPr>
          <w:rFonts w:cs="Times New Roman"/>
          <w:szCs w:val="24"/>
        </w:rPr>
        <w:t xml:space="preserve"> the UK</w:t>
      </w:r>
      <w:r w:rsidR="009617D5" w:rsidRPr="00D273CE">
        <w:rPr>
          <w:rFonts w:cs="Times New Roman"/>
          <w:szCs w:val="24"/>
        </w:rPr>
        <w:t>,</w:t>
      </w:r>
      <w:r w:rsidR="00247B83" w:rsidRPr="00D273CE">
        <w:rPr>
          <w:rFonts w:cs="Times New Roman"/>
          <w:szCs w:val="24"/>
        </w:rPr>
        <w:t xml:space="preserve"> student funding models</w:t>
      </w:r>
      <w:r w:rsidR="00B90DE5">
        <w:rPr>
          <w:rFonts w:cs="Times New Roman"/>
          <w:szCs w:val="24"/>
        </w:rPr>
        <w:t>,</w:t>
      </w:r>
      <w:r w:rsidR="00247B83" w:rsidRPr="00D273CE">
        <w:rPr>
          <w:rFonts w:cs="Times New Roman"/>
          <w:szCs w:val="24"/>
        </w:rPr>
        <w:t xml:space="preserve"> combined with challenging times for the economy</w:t>
      </w:r>
      <w:r w:rsidR="00B90DE5">
        <w:rPr>
          <w:rFonts w:cs="Times New Roman"/>
          <w:szCs w:val="24"/>
        </w:rPr>
        <w:t>,</w:t>
      </w:r>
      <w:r w:rsidR="00247B83" w:rsidRPr="00D273CE">
        <w:rPr>
          <w:rFonts w:cs="Times New Roman"/>
          <w:szCs w:val="24"/>
        </w:rPr>
        <w:t xml:space="preserve"> ha</w:t>
      </w:r>
      <w:r w:rsidR="00190AB0" w:rsidRPr="00D273CE">
        <w:rPr>
          <w:rFonts w:cs="Times New Roman"/>
          <w:szCs w:val="24"/>
        </w:rPr>
        <w:t>ve</w:t>
      </w:r>
      <w:r w:rsidR="00247B83" w:rsidRPr="00D273CE">
        <w:rPr>
          <w:rFonts w:cs="Times New Roman"/>
          <w:szCs w:val="24"/>
        </w:rPr>
        <w:t xml:space="preserve"> </w:t>
      </w:r>
      <w:r w:rsidR="00213190">
        <w:rPr>
          <w:rFonts w:cs="Times New Roman"/>
          <w:szCs w:val="24"/>
        </w:rPr>
        <w:t>‘</w:t>
      </w:r>
      <w:r w:rsidR="00247B83" w:rsidRPr="00D273CE">
        <w:rPr>
          <w:rFonts w:cs="Times New Roman"/>
          <w:szCs w:val="24"/>
        </w:rPr>
        <w:t>placed graduate employability at the centre of the Higher Education agenda</w:t>
      </w:r>
      <w:r w:rsidR="00213190">
        <w:rPr>
          <w:rFonts w:cs="Times New Roman"/>
          <w:szCs w:val="24"/>
        </w:rPr>
        <w:t>’</w:t>
      </w:r>
      <w:r w:rsidR="00247B83" w:rsidRPr="00D273CE">
        <w:rPr>
          <w:rFonts w:cs="Times New Roman"/>
          <w:szCs w:val="24"/>
        </w:rPr>
        <w:t xml:space="preserve"> (Pegg</w:t>
      </w:r>
      <w:r w:rsidR="00700B64">
        <w:rPr>
          <w:rFonts w:cs="Times New Roman"/>
          <w:szCs w:val="24"/>
        </w:rPr>
        <w:t xml:space="preserve"> et al. </w:t>
      </w:r>
      <w:r w:rsidR="00247B83" w:rsidRPr="00D273CE">
        <w:rPr>
          <w:rFonts w:cs="Times New Roman"/>
          <w:szCs w:val="24"/>
        </w:rPr>
        <w:t xml:space="preserve">2012, 4). </w:t>
      </w:r>
      <w:r w:rsidR="00B90DE5">
        <w:rPr>
          <w:rFonts w:cs="Times New Roman"/>
          <w:szCs w:val="24"/>
        </w:rPr>
        <w:t>W</w:t>
      </w:r>
      <w:r w:rsidR="0094585E">
        <w:rPr>
          <w:rFonts w:cs="Times New Roman"/>
          <w:szCs w:val="24"/>
        </w:rPr>
        <w:t>hile accepting</w:t>
      </w:r>
      <w:r w:rsidR="00B90DE5">
        <w:rPr>
          <w:rFonts w:cs="Times New Roman"/>
          <w:szCs w:val="24"/>
        </w:rPr>
        <w:t xml:space="preserve"> </w:t>
      </w:r>
      <w:r w:rsidR="0094585E">
        <w:rPr>
          <w:rFonts w:cs="Times New Roman"/>
          <w:szCs w:val="24"/>
        </w:rPr>
        <w:t>Yorke’s (</w:t>
      </w:r>
      <w:r w:rsidR="00F47B73">
        <w:rPr>
          <w:rFonts w:cs="Times New Roman"/>
          <w:szCs w:val="24"/>
        </w:rPr>
        <w:t>2004</w:t>
      </w:r>
      <w:r w:rsidR="0094585E">
        <w:rPr>
          <w:rFonts w:cs="Times New Roman"/>
          <w:szCs w:val="24"/>
        </w:rPr>
        <w:t>) definition of employability as</w:t>
      </w:r>
      <w:r w:rsidR="00F47B73">
        <w:rPr>
          <w:rFonts w:cs="Times New Roman"/>
          <w:szCs w:val="24"/>
        </w:rPr>
        <w:t xml:space="preserve"> </w:t>
      </w:r>
      <w:r w:rsidR="00213190">
        <w:rPr>
          <w:rFonts w:cs="Times New Roman"/>
          <w:szCs w:val="24"/>
        </w:rPr>
        <w:t>‘</w:t>
      </w:r>
      <w:r w:rsidR="0094585E" w:rsidRPr="0094585E">
        <w:rPr>
          <w:rFonts w:cs="Times New Roman"/>
          <w:szCs w:val="24"/>
        </w:rPr>
        <w:t>a set of achievements – skills, understandings and personal attributes – that makes graduates more likely to gain employment and be success</w:t>
      </w:r>
      <w:r w:rsidR="00213190">
        <w:rPr>
          <w:rFonts w:cs="Times New Roman"/>
          <w:szCs w:val="24"/>
        </w:rPr>
        <w:t>ful in their chosen occupations’</w:t>
      </w:r>
      <w:r w:rsidR="0094585E" w:rsidRPr="0094585E">
        <w:rPr>
          <w:rFonts w:cs="Times New Roman"/>
          <w:szCs w:val="24"/>
        </w:rPr>
        <w:t xml:space="preserve"> (</w:t>
      </w:r>
      <w:r w:rsidR="00F47B73">
        <w:rPr>
          <w:rFonts w:cs="Times New Roman"/>
          <w:szCs w:val="24"/>
        </w:rPr>
        <w:t>p.</w:t>
      </w:r>
      <w:r w:rsidR="0094585E" w:rsidRPr="0094585E">
        <w:rPr>
          <w:rFonts w:cs="Times New Roman"/>
          <w:szCs w:val="24"/>
        </w:rPr>
        <w:t>7)</w:t>
      </w:r>
      <w:r w:rsidR="00F47B73">
        <w:rPr>
          <w:rFonts w:cs="Times New Roman"/>
          <w:szCs w:val="24"/>
        </w:rPr>
        <w:t>,</w:t>
      </w:r>
      <w:r w:rsidR="00860440">
        <w:rPr>
          <w:rFonts w:cs="Times New Roman"/>
          <w:szCs w:val="24"/>
        </w:rPr>
        <w:t xml:space="preserve"> </w:t>
      </w:r>
      <w:r w:rsidR="0094585E">
        <w:rPr>
          <w:rFonts w:cs="Times New Roman"/>
          <w:szCs w:val="24"/>
        </w:rPr>
        <w:t xml:space="preserve">the challenge of </w:t>
      </w:r>
      <w:r w:rsidR="00B90DE5">
        <w:rPr>
          <w:rFonts w:cs="Times New Roman"/>
          <w:szCs w:val="24"/>
        </w:rPr>
        <w:t xml:space="preserve">measuring employability </w:t>
      </w:r>
      <w:r w:rsidR="0094585E">
        <w:rPr>
          <w:rFonts w:cs="Times New Roman"/>
          <w:szCs w:val="24"/>
        </w:rPr>
        <w:t xml:space="preserve">remains. </w:t>
      </w:r>
      <w:r w:rsidR="00E177BC">
        <w:rPr>
          <w:rFonts w:cs="Times New Roman"/>
          <w:szCs w:val="24"/>
        </w:rPr>
        <w:t>Graduate e</w:t>
      </w:r>
      <w:r w:rsidR="00884121" w:rsidRPr="00D273CE">
        <w:rPr>
          <w:rFonts w:cs="Times New Roman"/>
          <w:szCs w:val="24"/>
        </w:rPr>
        <w:t xml:space="preserve">mployment rates are routinely </w:t>
      </w:r>
      <w:r w:rsidR="00FA4E9E" w:rsidRPr="00D273CE">
        <w:rPr>
          <w:rFonts w:cs="Times New Roman"/>
          <w:szCs w:val="24"/>
        </w:rPr>
        <w:t>published</w:t>
      </w:r>
      <w:r w:rsidR="00A24394">
        <w:rPr>
          <w:rFonts w:cs="Times New Roman"/>
          <w:szCs w:val="24"/>
        </w:rPr>
        <w:t>,</w:t>
      </w:r>
      <w:r w:rsidR="00884121" w:rsidRPr="00D273CE">
        <w:rPr>
          <w:rFonts w:cs="Times New Roman"/>
          <w:szCs w:val="24"/>
        </w:rPr>
        <w:t xml:space="preserve"> but data is generally </w:t>
      </w:r>
      <w:r w:rsidR="008C27CE">
        <w:rPr>
          <w:rFonts w:cs="Times New Roman"/>
          <w:szCs w:val="24"/>
        </w:rPr>
        <w:t>collected</w:t>
      </w:r>
      <w:r w:rsidR="008C27CE" w:rsidRPr="00D273CE">
        <w:rPr>
          <w:rFonts w:cs="Times New Roman"/>
          <w:szCs w:val="24"/>
        </w:rPr>
        <w:t xml:space="preserve"> </w:t>
      </w:r>
      <w:r w:rsidR="00884121" w:rsidRPr="00D273CE">
        <w:rPr>
          <w:rFonts w:cs="Times New Roman"/>
          <w:szCs w:val="24"/>
        </w:rPr>
        <w:t>six months from graduation</w:t>
      </w:r>
      <w:r w:rsidR="00B90DE5">
        <w:rPr>
          <w:rFonts w:cs="Times New Roman"/>
          <w:szCs w:val="24"/>
        </w:rPr>
        <w:t xml:space="preserve"> (</w:t>
      </w:r>
      <w:r w:rsidR="00B90DE5" w:rsidRPr="00B90DE5">
        <w:rPr>
          <w:rFonts w:cs="Times New Roman"/>
          <w:szCs w:val="24"/>
        </w:rPr>
        <w:t>e.g. by HESA Higher Education Statistics Agency</w:t>
      </w:r>
      <w:r w:rsidR="00B90DE5">
        <w:rPr>
          <w:rFonts w:cs="Times New Roman"/>
          <w:szCs w:val="24"/>
        </w:rPr>
        <w:t>)</w:t>
      </w:r>
      <w:r w:rsidR="005E2319">
        <w:rPr>
          <w:rFonts w:cs="Times New Roman"/>
          <w:szCs w:val="24"/>
        </w:rPr>
        <w:t>, whereas many</w:t>
      </w:r>
      <w:r w:rsidR="00884121" w:rsidRPr="00D273CE">
        <w:rPr>
          <w:rFonts w:cs="Times New Roman"/>
          <w:szCs w:val="24"/>
        </w:rPr>
        <w:t xml:space="preserve"> </w:t>
      </w:r>
      <w:r w:rsidR="008371F1">
        <w:rPr>
          <w:rFonts w:cs="Times New Roman"/>
          <w:szCs w:val="24"/>
        </w:rPr>
        <w:t>people</w:t>
      </w:r>
      <w:r w:rsidR="008371F1" w:rsidRPr="00D273CE">
        <w:rPr>
          <w:rFonts w:cs="Times New Roman"/>
          <w:szCs w:val="24"/>
        </w:rPr>
        <w:t xml:space="preserve"> </w:t>
      </w:r>
      <w:r w:rsidR="00884121" w:rsidRPr="00D273CE">
        <w:rPr>
          <w:rFonts w:cs="Times New Roman"/>
          <w:szCs w:val="24"/>
        </w:rPr>
        <w:t>tak</w:t>
      </w:r>
      <w:r w:rsidR="005E2319">
        <w:rPr>
          <w:rFonts w:cs="Times New Roman"/>
          <w:szCs w:val="24"/>
        </w:rPr>
        <w:t>e</w:t>
      </w:r>
      <w:r w:rsidR="00884121" w:rsidRPr="00D273CE">
        <w:rPr>
          <w:rFonts w:cs="Times New Roman"/>
          <w:szCs w:val="24"/>
        </w:rPr>
        <w:t xml:space="preserve"> </w:t>
      </w:r>
      <w:r w:rsidR="00884121" w:rsidRPr="00D273CE">
        <w:rPr>
          <w:rFonts w:cs="Times New Roman"/>
          <w:szCs w:val="24"/>
        </w:rPr>
        <w:lastRenderedPageBreak/>
        <w:t>longer to secure their p</w:t>
      </w:r>
      <w:r w:rsidR="00BB1F06">
        <w:rPr>
          <w:rFonts w:cs="Times New Roman"/>
          <w:szCs w:val="24"/>
        </w:rPr>
        <w:t>referred</w:t>
      </w:r>
      <w:r w:rsidR="00884121" w:rsidRPr="00D273CE">
        <w:rPr>
          <w:rFonts w:cs="Times New Roman"/>
          <w:szCs w:val="24"/>
        </w:rPr>
        <w:t xml:space="preserve"> graduate job (</w:t>
      </w:r>
      <w:r w:rsidR="001061FC">
        <w:rPr>
          <w:rFonts w:cs="Times New Roman"/>
          <w:szCs w:val="24"/>
        </w:rPr>
        <w:t>Behle et al.</w:t>
      </w:r>
      <w:r w:rsidR="00D71CB7">
        <w:rPr>
          <w:rFonts w:cs="Times New Roman"/>
          <w:szCs w:val="24"/>
        </w:rPr>
        <w:t xml:space="preserve"> 2015</w:t>
      </w:r>
      <w:r w:rsidR="008C27CE">
        <w:rPr>
          <w:rFonts w:cs="Times New Roman"/>
          <w:szCs w:val="24"/>
        </w:rPr>
        <w:t>;</w:t>
      </w:r>
      <w:r w:rsidR="00D71CB7">
        <w:rPr>
          <w:rFonts w:cs="Times New Roman"/>
          <w:szCs w:val="24"/>
        </w:rPr>
        <w:t xml:space="preserve"> </w:t>
      </w:r>
      <w:r w:rsidR="00884121" w:rsidRPr="00D273CE">
        <w:rPr>
          <w:rFonts w:cs="Times New Roman"/>
          <w:szCs w:val="24"/>
        </w:rPr>
        <w:t>Elias</w:t>
      </w:r>
      <w:r w:rsidR="00190AB0" w:rsidRPr="00D273CE">
        <w:rPr>
          <w:rFonts w:cs="Times New Roman"/>
          <w:szCs w:val="24"/>
        </w:rPr>
        <w:t xml:space="preserve"> </w:t>
      </w:r>
      <w:r w:rsidR="009241C6">
        <w:rPr>
          <w:rFonts w:cs="Times New Roman"/>
          <w:szCs w:val="24"/>
        </w:rPr>
        <w:t>and</w:t>
      </w:r>
      <w:r w:rsidR="00190AB0" w:rsidRPr="00D273CE">
        <w:rPr>
          <w:rFonts w:cs="Times New Roman"/>
          <w:szCs w:val="24"/>
        </w:rPr>
        <w:t xml:space="preserve"> Purcell</w:t>
      </w:r>
      <w:r w:rsidR="00884121" w:rsidRPr="00D273CE">
        <w:rPr>
          <w:rFonts w:cs="Times New Roman"/>
          <w:szCs w:val="24"/>
        </w:rPr>
        <w:t xml:space="preserve"> 2004)</w:t>
      </w:r>
      <w:r w:rsidR="008C27CE">
        <w:rPr>
          <w:rFonts w:cs="Times New Roman"/>
          <w:szCs w:val="24"/>
        </w:rPr>
        <w:t xml:space="preserve"> and subject disciplines fare differently across the UK</w:t>
      </w:r>
      <w:r w:rsidR="00884121" w:rsidRPr="00D273CE">
        <w:rPr>
          <w:rFonts w:cs="Times New Roman"/>
          <w:szCs w:val="24"/>
        </w:rPr>
        <w:t>. Furthermore</w:t>
      </w:r>
      <w:r w:rsidR="005E2319">
        <w:rPr>
          <w:rFonts w:cs="Times New Roman"/>
          <w:szCs w:val="24"/>
        </w:rPr>
        <w:t>,</w:t>
      </w:r>
      <w:r w:rsidR="00884121" w:rsidRPr="00D273CE">
        <w:rPr>
          <w:rFonts w:cs="Times New Roman"/>
          <w:szCs w:val="24"/>
        </w:rPr>
        <w:t xml:space="preserve"> </w:t>
      </w:r>
      <w:r w:rsidR="00860440">
        <w:rPr>
          <w:rFonts w:cs="Times New Roman"/>
          <w:szCs w:val="24"/>
        </w:rPr>
        <w:t>a</w:t>
      </w:r>
      <w:r w:rsidR="00884121" w:rsidRPr="00D273CE">
        <w:rPr>
          <w:rFonts w:cs="Times New Roman"/>
          <w:szCs w:val="24"/>
        </w:rPr>
        <w:t xml:space="preserve"> university</w:t>
      </w:r>
      <w:r w:rsidR="00F47B73">
        <w:rPr>
          <w:rFonts w:cs="Times New Roman"/>
          <w:szCs w:val="24"/>
        </w:rPr>
        <w:t>’</w:t>
      </w:r>
      <w:r w:rsidR="00E177BC">
        <w:rPr>
          <w:rFonts w:cs="Times New Roman"/>
          <w:szCs w:val="24"/>
        </w:rPr>
        <w:t>s place in the status hierarchy (Raffe and Croxford 2015</w:t>
      </w:r>
      <w:r w:rsidR="00270821">
        <w:rPr>
          <w:rFonts w:cs="Times New Roman"/>
          <w:szCs w:val="24"/>
        </w:rPr>
        <w:t>, Marginson 2017</w:t>
      </w:r>
      <w:r w:rsidR="00E177BC">
        <w:rPr>
          <w:rFonts w:cs="Times New Roman"/>
          <w:szCs w:val="24"/>
        </w:rPr>
        <w:t>)</w:t>
      </w:r>
      <w:r w:rsidR="005E2319">
        <w:rPr>
          <w:rFonts w:cs="Times New Roman"/>
          <w:szCs w:val="24"/>
        </w:rPr>
        <w:t>,</w:t>
      </w:r>
      <w:r w:rsidR="001120F7">
        <w:rPr>
          <w:rFonts w:cs="Times New Roman"/>
          <w:szCs w:val="24"/>
        </w:rPr>
        <w:t xml:space="preserve"> together with</w:t>
      </w:r>
      <w:r w:rsidR="00884121" w:rsidRPr="00D273CE">
        <w:rPr>
          <w:rFonts w:cs="Times New Roman"/>
          <w:szCs w:val="24"/>
        </w:rPr>
        <w:t xml:space="preserve"> ethnicity, mobility</w:t>
      </w:r>
      <w:r w:rsidR="005E2319">
        <w:rPr>
          <w:rFonts w:cs="Times New Roman"/>
          <w:szCs w:val="24"/>
        </w:rPr>
        <w:t>,</w:t>
      </w:r>
      <w:r w:rsidR="00884121" w:rsidRPr="00D273CE">
        <w:rPr>
          <w:rFonts w:cs="Times New Roman"/>
          <w:szCs w:val="24"/>
        </w:rPr>
        <w:t xml:space="preserve"> location</w:t>
      </w:r>
      <w:r w:rsidR="008371F1">
        <w:rPr>
          <w:rFonts w:cs="Times New Roman"/>
          <w:szCs w:val="24"/>
        </w:rPr>
        <w:t>,</w:t>
      </w:r>
      <w:r w:rsidR="003D70B0">
        <w:rPr>
          <w:rFonts w:cs="Times New Roman"/>
          <w:szCs w:val="24"/>
        </w:rPr>
        <w:t xml:space="preserve"> and being the first-in-family to go to university</w:t>
      </w:r>
      <w:r w:rsidR="008371F1">
        <w:rPr>
          <w:rFonts w:cs="Times New Roman"/>
          <w:szCs w:val="24"/>
        </w:rPr>
        <w:t>,</w:t>
      </w:r>
      <w:r w:rsidR="00884121" w:rsidRPr="00D273CE">
        <w:rPr>
          <w:rFonts w:cs="Times New Roman"/>
          <w:szCs w:val="24"/>
        </w:rPr>
        <w:t xml:space="preserve"> all affect employmen</w:t>
      </w:r>
      <w:r w:rsidR="0065268B">
        <w:rPr>
          <w:rFonts w:cs="Times New Roman"/>
          <w:szCs w:val="24"/>
        </w:rPr>
        <w:t>t outcomes (Harvey</w:t>
      </w:r>
      <w:r w:rsidR="00884121" w:rsidRPr="00D273CE">
        <w:rPr>
          <w:rFonts w:cs="Times New Roman"/>
          <w:szCs w:val="24"/>
        </w:rPr>
        <w:t xml:space="preserve"> 2001)</w:t>
      </w:r>
      <w:r w:rsidR="00D71CB7">
        <w:rPr>
          <w:rFonts w:cs="Times New Roman"/>
          <w:szCs w:val="24"/>
        </w:rPr>
        <w:t>. These are f</w:t>
      </w:r>
      <w:r w:rsidR="00FA4E9E" w:rsidRPr="00D273CE">
        <w:rPr>
          <w:rFonts w:cs="Times New Roman"/>
          <w:szCs w:val="24"/>
        </w:rPr>
        <w:t>actors out</w:t>
      </w:r>
      <w:r w:rsidR="00ED7C12">
        <w:rPr>
          <w:rFonts w:cs="Times New Roman"/>
          <w:szCs w:val="24"/>
        </w:rPr>
        <w:t>side</w:t>
      </w:r>
      <w:r w:rsidR="00FA4E9E" w:rsidRPr="00D273CE">
        <w:rPr>
          <w:rFonts w:cs="Times New Roman"/>
          <w:szCs w:val="24"/>
        </w:rPr>
        <w:t xml:space="preserve"> the university curriculum developer</w:t>
      </w:r>
      <w:r w:rsidR="00584C61">
        <w:rPr>
          <w:rFonts w:cs="Times New Roman"/>
          <w:szCs w:val="24"/>
        </w:rPr>
        <w:t>’</w:t>
      </w:r>
      <w:r w:rsidR="00FA4E9E" w:rsidRPr="00D273CE">
        <w:rPr>
          <w:rFonts w:cs="Times New Roman"/>
          <w:szCs w:val="24"/>
        </w:rPr>
        <w:t>s sphere of influence.</w:t>
      </w:r>
      <w:r w:rsidR="00BE150E">
        <w:rPr>
          <w:rFonts w:cs="Times New Roman"/>
          <w:szCs w:val="24"/>
        </w:rPr>
        <w:t xml:space="preserve"> </w:t>
      </w:r>
      <w:r w:rsidR="009D4513">
        <w:rPr>
          <w:rFonts w:cs="Times New Roman"/>
          <w:szCs w:val="24"/>
        </w:rPr>
        <w:t xml:space="preserve">Where curriculum developers </w:t>
      </w:r>
      <w:r w:rsidR="00F47B73">
        <w:rPr>
          <w:rFonts w:cs="Times New Roman"/>
          <w:szCs w:val="24"/>
        </w:rPr>
        <w:t>seek to</w:t>
      </w:r>
      <w:r w:rsidR="009D4513">
        <w:rPr>
          <w:rFonts w:cs="Times New Roman"/>
          <w:szCs w:val="24"/>
        </w:rPr>
        <w:t xml:space="preserve"> influence graduate outcomes</w:t>
      </w:r>
      <w:r w:rsidR="003777AC">
        <w:rPr>
          <w:rFonts w:cs="Times New Roman"/>
          <w:szCs w:val="24"/>
        </w:rPr>
        <w:t>,</w:t>
      </w:r>
      <w:r w:rsidR="009D4513">
        <w:rPr>
          <w:rFonts w:cs="Times New Roman"/>
          <w:szCs w:val="24"/>
        </w:rPr>
        <w:t xml:space="preserve"> interventions have been led at local (</w:t>
      </w:r>
      <w:r w:rsidR="00F55B0F" w:rsidRPr="00F55B0F">
        <w:rPr>
          <w:rFonts w:cs="Times New Roman"/>
          <w:szCs w:val="24"/>
        </w:rPr>
        <w:t>S</w:t>
      </w:r>
      <w:r w:rsidR="0081455B">
        <w:rPr>
          <w:rFonts w:cs="Times New Roman"/>
          <w:szCs w:val="24"/>
        </w:rPr>
        <w:t xml:space="preserve">mith et al. </w:t>
      </w:r>
      <w:r w:rsidR="00F55B0F" w:rsidRPr="00F55B0F">
        <w:rPr>
          <w:rFonts w:cs="Times New Roman"/>
          <w:szCs w:val="24"/>
        </w:rPr>
        <w:t>2014</w:t>
      </w:r>
      <w:r w:rsidR="009D4513">
        <w:rPr>
          <w:rFonts w:cs="Times New Roman"/>
          <w:szCs w:val="24"/>
        </w:rPr>
        <w:t>), university-wide (</w:t>
      </w:r>
      <w:r w:rsidR="009D4513" w:rsidRPr="00D273CE">
        <w:rPr>
          <w:rFonts w:cs="Times New Roman"/>
          <w:szCs w:val="24"/>
        </w:rPr>
        <w:t>Dacre Pool</w:t>
      </w:r>
      <w:r w:rsidR="0081455B">
        <w:rPr>
          <w:rFonts w:cs="Times New Roman"/>
          <w:szCs w:val="24"/>
        </w:rPr>
        <w:t xml:space="preserve"> et al.</w:t>
      </w:r>
      <w:r w:rsidR="009D4513" w:rsidRPr="00D273CE">
        <w:rPr>
          <w:rFonts w:cs="Times New Roman"/>
          <w:szCs w:val="24"/>
        </w:rPr>
        <w:t xml:space="preserve"> 2014</w:t>
      </w:r>
      <w:r w:rsidR="009D4513">
        <w:rPr>
          <w:rFonts w:cs="Times New Roman"/>
          <w:szCs w:val="24"/>
        </w:rPr>
        <w:t>) and national levels</w:t>
      </w:r>
      <w:r w:rsidR="00584C61">
        <w:rPr>
          <w:rFonts w:cs="Times New Roman"/>
          <w:szCs w:val="24"/>
        </w:rPr>
        <w:t xml:space="preserve"> </w:t>
      </w:r>
      <w:r w:rsidR="009D4513">
        <w:rPr>
          <w:rFonts w:cs="Times New Roman"/>
          <w:szCs w:val="24"/>
        </w:rPr>
        <w:t>(</w:t>
      </w:r>
      <w:r w:rsidR="00867918" w:rsidRPr="00867918">
        <w:rPr>
          <w:rFonts w:cs="Times New Roman"/>
          <w:szCs w:val="24"/>
        </w:rPr>
        <w:t>Bennett</w:t>
      </w:r>
      <w:r w:rsidR="00946885">
        <w:rPr>
          <w:rFonts w:cs="Times New Roman"/>
          <w:szCs w:val="24"/>
        </w:rPr>
        <w:t xml:space="preserve"> </w:t>
      </w:r>
      <w:r w:rsidR="008371F1">
        <w:rPr>
          <w:rFonts w:cs="Times New Roman"/>
          <w:szCs w:val="24"/>
        </w:rPr>
        <w:t>et al</w:t>
      </w:r>
      <w:r w:rsidR="00946885">
        <w:rPr>
          <w:rFonts w:cs="Times New Roman"/>
          <w:szCs w:val="24"/>
        </w:rPr>
        <w:t>.</w:t>
      </w:r>
      <w:r w:rsidR="008371F1">
        <w:rPr>
          <w:rFonts w:cs="Times New Roman"/>
          <w:szCs w:val="24"/>
        </w:rPr>
        <w:t xml:space="preserve"> </w:t>
      </w:r>
      <w:r w:rsidR="00867918">
        <w:rPr>
          <w:rFonts w:cs="Times New Roman"/>
          <w:szCs w:val="24"/>
        </w:rPr>
        <w:t>2015</w:t>
      </w:r>
      <w:r w:rsidR="00BD1BD7">
        <w:rPr>
          <w:rFonts w:cs="Times New Roman"/>
          <w:szCs w:val="24"/>
        </w:rPr>
        <w:t xml:space="preserve">; Knight </w:t>
      </w:r>
      <w:r w:rsidR="009241C6">
        <w:rPr>
          <w:rFonts w:cs="Times New Roman"/>
          <w:szCs w:val="24"/>
        </w:rPr>
        <w:t>and</w:t>
      </w:r>
      <w:r w:rsidR="00BD1BD7">
        <w:rPr>
          <w:rFonts w:cs="Times New Roman"/>
          <w:szCs w:val="24"/>
        </w:rPr>
        <w:t xml:space="preserve"> Yorke 2006</w:t>
      </w:r>
      <w:r w:rsidR="009D4513">
        <w:rPr>
          <w:rFonts w:cs="Times New Roman"/>
          <w:szCs w:val="24"/>
        </w:rPr>
        <w:t xml:space="preserve">). </w:t>
      </w:r>
      <w:r w:rsidR="00BE150E">
        <w:rPr>
          <w:rFonts w:cs="Times New Roman"/>
          <w:szCs w:val="24"/>
        </w:rPr>
        <w:t xml:space="preserve"> </w:t>
      </w:r>
      <w:r w:rsidR="00FA4E9E" w:rsidRPr="00D273CE">
        <w:rPr>
          <w:rFonts w:cs="Times New Roman"/>
          <w:szCs w:val="24"/>
        </w:rPr>
        <w:t xml:space="preserve"> </w:t>
      </w:r>
    </w:p>
    <w:p w14:paraId="64CB68CC" w14:textId="35419BCE" w:rsidR="008E37CB" w:rsidRDefault="00D71CB7" w:rsidP="00727DEE">
      <w:pPr>
        <w:jc w:val="both"/>
        <w:rPr>
          <w:rFonts w:cs="Times New Roman"/>
          <w:szCs w:val="24"/>
        </w:rPr>
      </w:pPr>
      <w:r>
        <w:rPr>
          <w:rFonts w:cs="Times New Roman"/>
          <w:szCs w:val="24"/>
        </w:rPr>
        <w:t>B</w:t>
      </w:r>
      <w:r w:rsidR="008E37CB" w:rsidRPr="00D273CE">
        <w:rPr>
          <w:rFonts w:cs="Times New Roman"/>
          <w:szCs w:val="24"/>
        </w:rPr>
        <w:t>etween 2012 and 2015</w:t>
      </w:r>
      <w:r w:rsidR="00B90DE5">
        <w:rPr>
          <w:rFonts w:cs="Times New Roman"/>
          <w:szCs w:val="24"/>
        </w:rPr>
        <w:t xml:space="preserve">, </w:t>
      </w:r>
      <w:r>
        <w:rPr>
          <w:rFonts w:cs="Times New Roman"/>
          <w:szCs w:val="24"/>
        </w:rPr>
        <w:t>a £1.3m graduate employability project</w:t>
      </w:r>
      <w:r w:rsidR="000862A3">
        <w:rPr>
          <w:rFonts w:cs="Times New Roman"/>
          <w:szCs w:val="24"/>
        </w:rPr>
        <w:t>,</w:t>
      </w:r>
      <w:r>
        <w:rPr>
          <w:rFonts w:cs="Times New Roman"/>
          <w:szCs w:val="24"/>
        </w:rPr>
        <w:t xml:space="preserve"> </w:t>
      </w:r>
      <w:r w:rsidR="00A752D1" w:rsidRPr="00A752D1">
        <w:rPr>
          <w:rFonts w:cs="Times New Roman"/>
          <w:szCs w:val="24"/>
        </w:rPr>
        <w:t>aimed at improving graduate employment rates</w:t>
      </w:r>
      <w:r w:rsidR="000862A3">
        <w:rPr>
          <w:rFonts w:cs="Times New Roman"/>
          <w:szCs w:val="24"/>
        </w:rPr>
        <w:t>,</w:t>
      </w:r>
      <w:r w:rsidR="00A752D1" w:rsidRPr="00A752D1">
        <w:rPr>
          <w:rFonts w:cs="Times New Roman"/>
          <w:szCs w:val="24"/>
        </w:rPr>
        <w:t xml:space="preserve"> </w:t>
      </w:r>
      <w:r>
        <w:rPr>
          <w:rFonts w:cs="Times New Roman"/>
          <w:szCs w:val="24"/>
        </w:rPr>
        <w:t>ran a</w:t>
      </w:r>
      <w:r w:rsidR="00A752D1">
        <w:rPr>
          <w:rFonts w:cs="Times New Roman"/>
          <w:szCs w:val="24"/>
        </w:rPr>
        <w:t>cross undergraduate courses in a</w:t>
      </w:r>
      <w:r>
        <w:rPr>
          <w:rFonts w:cs="Times New Roman"/>
          <w:szCs w:val="24"/>
        </w:rPr>
        <w:t xml:space="preserve"> UK university</w:t>
      </w:r>
      <w:r w:rsidR="00C712BE" w:rsidRPr="00D273CE">
        <w:rPr>
          <w:rFonts w:cs="Times New Roman"/>
          <w:szCs w:val="24"/>
        </w:rPr>
        <w:t>. T</w:t>
      </w:r>
      <w:r w:rsidR="008E37CB" w:rsidRPr="00D273CE">
        <w:rPr>
          <w:rFonts w:cs="Times New Roman"/>
          <w:szCs w:val="24"/>
        </w:rPr>
        <w:t xml:space="preserve">he project </w:t>
      </w:r>
      <w:r w:rsidR="00AA6710">
        <w:rPr>
          <w:rFonts w:cs="Times New Roman"/>
          <w:szCs w:val="24"/>
        </w:rPr>
        <w:t>resulted in</w:t>
      </w:r>
      <w:r w:rsidR="008E37CB" w:rsidRPr="00D273CE">
        <w:rPr>
          <w:rFonts w:cs="Times New Roman"/>
          <w:szCs w:val="24"/>
        </w:rPr>
        <w:t xml:space="preserve"> </w:t>
      </w:r>
      <w:r w:rsidR="00F46444">
        <w:rPr>
          <w:rFonts w:cs="Times New Roman"/>
          <w:szCs w:val="24"/>
        </w:rPr>
        <w:t xml:space="preserve">both </w:t>
      </w:r>
      <w:r w:rsidR="008E37CB" w:rsidRPr="00D273CE">
        <w:rPr>
          <w:rFonts w:cs="Times New Roman"/>
          <w:szCs w:val="24"/>
        </w:rPr>
        <w:t>curriculum development</w:t>
      </w:r>
      <w:r w:rsidR="0028597D">
        <w:rPr>
          <w:rFonts w:cs="Times New Roman"/>
          <w:szCs w:val="24"/>
        </w:rPr>
        <w:t xml:space="preserve"> to introduce new work-related modules (or embed work-related learning in existing modules) </w:t>
      </w:r>
      <w:r w:rsidR="008E37CB" w:rsidRPr="00D273CE">
        <w:rPr>
          <w:rFonts w:cs="Times New Roman"/>
          <w:szCs w:val="24"/>
        </w:rPr>
        <w:t xml:space="preserve">and centralised </w:t>
      </w:r>
      <w:r w:rsidR="00F46444">
        <w:rPr>
          <w:rFonts w:cs="Times New Roman"/>
          <w:szCs w:val="24"/>
        </w:rPr>
        <w:t xml:space="preserve">support </w:t>
      </w:r>
      <w:r w:rsidR="008E37CB" w:rsidRPr="00D273CE">
        <w:rPr>
          <w:rFonts w:cs="Times New Roman"/>
          <w:szCs w:val="24"/>
        </w:rPr>
        <w:t>activities</w:t>
      </w:r>
      <w:r w:rsidR="008371F1">
        <w:rPr>
          <w:rFonts w:cs="Times New Roman"/>
          <w:szCs w:val="24"/>
        </w:rPr>
        <w:t>,</w:t>
      </w:r>
      <w:r w:rsidR="003D70B0">
        <w:rPr>
          <w:rFonts w:cs="Times New Roman"/>
          <w:szCs w:val="24"/>
        </w:rPr>
        <w:t xml:space="preserve"> </w:t>
      </w:r>
      <w:r w:rsidR="00FB29FA">
        <w:rPr>
          <w:rFonts w:cs="Times New Roman"/>
          <w:szCs w:val="24"/>
        </w:rPr>
        <w:t>including</w:t>
      </w:r>
      <w:r w:rsidR="00C65A47">
        <w:rPr>
          <w:rFonts w:cs="Times New Roman"/>
          <w:szCs w:val="24"/>
        </w:rPr>
        <w:t xml:space="preserve"> the establishment of</w:t>
      </w:r>
      <w:r w:rsidR="003D70B0">
        <w:rPr>
          <w:rFonts w:cs="Times New Roman"/>
          <w:szCs w:val="24"/>
        </w:rPr>
        <w:t xml:space="preserve"> </w:t>
      </w:r>
      <w:r w:rsidR="00F47B73">
        <w:rPr>
          <w:rFonts w:cs="Times New Roman"/>
          <w:szCs w:val="24"/>
        </w:rPr>
        <w:t xml:space="preserve">placement and </w:t>
      </w:r>
      <w:r w:rsidR="003D70B0">
        <w:rPr>
          <w:rFonts w:cs="Times New Roman"/>
          <w:szCs w:val="24"/>
        </w:rPr>
        <w:t>employer liaison unit</w:t>
      </w:r>
      <w:r w:rsidR="00F47B73">
        <w:rPr>
          <w:rFonts w:cs="Times New Roman"/>
          <w:szCs w:val="24"/>
        </w:rPr>
        <w:t>s</w:t>
      </w:r>
      <w:r w:rsidR="008E37CB" w:rsidRPr="00D273CE">
        <w:rPr>
          <w:rFonts w:cs="Times New Roman"/>
          <w:szCs w:val="24"/>
        </w:rPr>
        <w:t xml:space="preserve">. </w:t>
      </w:r>
      <w:r w:rsidR="007B1F22">
        <w:rPr>
          <w:rFonts w:cs="Times New Roman"/>
          <w:szCs w:val="24"/>
        </w:rPr>
        <w:t>A</w:t>
      </w:r>
      <w:r w:rsidR="00F47B73">
        <w:rPr>
          <w:rFonts w:cs="Times New Roman"/>
          <w:szCs w:val="24"/>
        </w:rPr>
        <w:t xml:space="preserve">cademics </w:t>
      </w:r>
      <w:r w:rsidR="007B1F22">
        <w:rPr>
          <w:rFonts w:cs="Times New Roman"/>
          <w:szCs w:val="24"/>
        </w:rPr>
        <w:t>re</w:t>
      </w:r>
      <w:r w:rsidR="00FB29FA">
        <w:rPr>
          <w:rFonts w:cs="Times New Roman"/>
          <w:szCs w:val="24"/>
        </w:rPr>
        <w:t>viewed</w:t>
      </w:r>
      <w:r w:rsidR="007B1F22">
        <w:rPr>
          <w:rFonts w:cs="Times New Roman"/>
          <w:szCs w:val="24"/>
        </w:rPr>
        <w:t xml:space="preserve"> curricula </w:t>
      </w:r>
      <w:r w:rsidR="00914A71" w:rsidRPr="00D273CE">
        <w:rPr>
          <w:rFonts w:cs="Times New Roman"/>
          <w:szCs w:val="24"/>
        </w:rPr>
        <w:t xml:space="preserve">to embed employability into </w:t>
      </w:r>
      <w:r w:rsidR="008C27CE">
        <w:rPr>
          <w:rFonts w:cs="Times New Roman"/>
          <w:szCs w:val="24"/>
        </w:rPr>
        <w:t xml:space="preserve">key </w:t>
      </w:r>
      <w:r w:rsidR="003410F9">
        <w:rPr>
          <w:rFonts w:cs="Times New Roman"/>
          <w:szCs w:val="24"/>
        </w:rPr>
        <w:t>modules</w:t>
      </w:r>
      <w:r w:rsidR="007B1F22">
        <w:rPr>
          <w:rFonts w:cs="Times New Roman"/>
          <w:szCs w:val="24"/>
        </w:rPr>
        <w:t xml:space="preserve"> </w:t>
      </w:r>
      <w:r w:rsidR="00FB29FA">
        <w:rPr>
          <w:rFonts w:cs="Times New Roman"/>
          <w:szCs w:val="24"/>
        </w:rPr>
        <w:t>to</w:t>
      </w:r>
      <w:r w:rsidR="007B1F22">
        <w:rPr>
          <w:rFonts w:cs="Times New Roman"/>
          <w:szCs w:val="24"/>
        </w:rPr>
        <w:t xml:space="preserve"> </w:t>
      </w:r>
      <w:r w:rsidR="00FB29FA">
        <w:rPr>
          <w:rFonts w:cs="Times New Roman"/>
          <w:szCs w:val="24"/>
        </w:rPr>
        <w:t>produce</w:t>
      </w:r>
      <w:r w:rsidR="0045170F">
        <w:rPr>
          <w:rFonts w:cs="Times New Roman"/>
          <w:szCs w:val="24"/>
        </w:rPr>
        <w:t xml:space="preserve"> </w:t>
      </w:r>
      <w:r w:rsidR="0045170F" w:rsidRPr="00D273CE">
        <w:rPr>
          <w:rFonts w:cs="Times New Roman"/>
          <w:szCs w:val="24"/>
        </w:rPr>
        <w:t>positive</w:t>
      </w:r>
      <w:r w:rsidR="001D4754">
        <w:rPr>
          <w:rFonts w:cs="Times New Roman"/>
          <w:szCs w:val="24"/>
        </w:rPr>
        <w:t xml:space="preserve"> and </w:t>
      </w:r>
      <w:r w:rsidR="001D4754" w:rsidRPr="00D273CE">
        <w:rPr>
          <w:rFonts w:cs="Times New Roman"/>
          <w:szCs w:val="24"/>
        </w:rPr>
        <w:t>sustain</w:t>
      </w:r>
      <w:r w:rsidR="001D4754">
        <w:rPr>
          <w:rFonts w:cs="Times New Roman"/>
          <w:szCs w:val="24"/>
        </w:rPr>
        <w:t xml:space="preserve">able employability </w:t>
      </w:r>
      <w:r w:rsidR="00AA6710">
        <w:rPr>
          <w:rFonts w:cs="Times New Roman"/>
          <w:szCs w:val="24"/>
        </w:rPr>
        <w:t>outcomes</w:t>
      </w:r>
      <w:r w:rsidR="007B1F22">
        <w:rPr>
          <w:rFonts w:cs="Times New Roman"/>
          <w:szCs w:val="24"/>
        </w:rPr>
        <w:t>,</w:t>
      </w:r>
      <w:r w:rsidR="00F47B73" w:rsidRPr="00F47B73">
        <w:t xml:space="preserve"> </w:t>
      </w:r>
      <w:r w:rsidR="00F47B73" w:rsidRPr="00F47B73">
        <w:rPr>
          <w:rFonts w:cs="Times New Roman"/>
          <w:szCs w:val="24"/>
        </w:rPr>
        <w:t>contextualised to disciplines</w:t>
      </w:r>
      <w:r w:rsidR="00AA6710">
        <w:rPr>
          <w:rFonts w:cs="Times New Roman"/>
          <w:szCs w:val="24"/>
        </w:rPr>
        <w:t xml:space="preserve">. </w:t>
      </w:r>
      <w:r w:rsidR="0090196E">
        <w:rPr>
          <w:rFonts w:cs="Times New Roman"/>
          <w:szCs w:val="24"/>
        </w:rPr>
        <w:t>The vocational nature of the courses resulted in modules aligned with specific professions, including IT, film</w:t>
      </w:r>
      <w:r w:rsidR="00740A83">
        <w:rPr>
          <w:rFonts w:cs="Times New Roman"/>
          <w:szCs w:val="24"/>
        </w:rPr>
        <w:t>,</w:t>
      </w:r>
      <w:r w:rsidR="0090196E">
        <w:rPr>
          <w:rFonts w:cs="Times New Roman"/>
          <w:szCs w:val="24"/>
        </w:rPr>
        <w:t xml:space="preserve"> and vet nursing. </w:t>
      </w:r>
      <w:r w:rsidR="00AA6710">
        <w:rPr>
          <w:rFonts w:cs="Times New Roman"/>
          <w:szCs w:val="24"/>
        </w:rPr>
        <w:t>While e</w:t>
      </w:r>
      <w:r w:rsidR="00914A71" w:rsidRPr="00D273CE">
        <w:rPr>
          <w:rFonts w:cs="Times New Roman"/>
          <w:szCs w:val="24"/>
        </w:rPr>
        <w:t xml:space="preserve">mployment rates overall improved (from </w:t>
      </w:r>
      <w:r w:rsidR="001E7A1D" w:rsidRPr="00D273CE">
        <w:rPr>
          <w:rFonts w:cs="Times New Roman"/>
          <w:szCs w:val="24"/>
        </w:rPr>
        <w:t>90</w:t>
      </w:r>
      <w:r w:rsidR="00914A71" w:rsidRPr="00D273CE">
        <w:rPr>
          <w:rFonts w:cs="Times New Roman"/>
          <w:szCs w:val="24"/>
        </w:rPr>
        <w:t>%</w:t>
      </w:r>
      <w:r w:rsidR="001E7A1D" w:rsidRPr="00D273CE">
        <w:rPr>
          <w:rFonts w:cs="Times New Roman"/>
          <w:szCs w:val="24"/>
        </w:rPr>
        <w:t xml:space="preserve"> in 2012</w:t>
      </w:r>
      <w:r w:rsidR="009F7A50" w:rsidRPr="00F50A0D">
        <w:t>–</w:t>
      </w:r>
      <w:r w:rsidR="001E7A1D" w:rsidRPr="00D273CE">
        <w:rPr>
          <w:rFonts w:cs="Times New Roman"/>
          <w:szCs w:val="24"/>
        </w:rPr>
        <w:t>2013</w:t>
      </w:r>
      <w:r w:rsidR="00914A71" w:rsidRPr="00D273CE">
        <w:rPr>
          <w:rFonts w:cs="Times New Roman"/>
          <w:szCs w:val="24"/>
        </w:rPr>
        <w:t xml:space="preserve"> to </w:t>
      </w:r>
      <w:r w:rsidR="001E7A1D" w:rsidRPr="00D273CE">
        <w:rPr>
          <w:rFonts w:cs="Times New Roman"/>
          <w:szCs w:val="24"/>
        </w:rPr>
        <w:t>93</w:t>
      </w:r>
      <w:r w:rsidR="00914A71" w:rsidRPr="00D273CE">
        <w:rPr>
          <w:rFonts w:cs="Times New Roman"/>
          <w:szCs w:val="24"/>
        </w:rPr>
        <w:t>%</w:t>
      </w:r>
      <w:r w:rsidR="001E7A1D" w:rsidRPr="00D273CE">
        <w:rPr>
          <w:rFonts w:cs="Times New Roman"/>
          <w:szCs w:val="24"/>
        </w:rPr>
        <w:t xml:space="preserve"> in 2014</w:t>
      </w:r>
      <w:r w:rsidR="009F7A50" w:rsidRPr="00F50A0D">
        <w:t>–</w:t>
      </w:r>
      <w:r w:rsidR="001E7A1D" w:rsidRPr="00D273CE">
        <w:rPr>
          <w:rFonts w:cs="Times New Roman"/>
          <w:szCs w:val="24"/>
        </w:rPr>
        <w:t>2015</w:t>
      </w:r>
      <w:r w:rsidR="00914A71" w:rsidRPr="00D273CE">
        <w:rPr>
          <w:rFonts w:cs="Times New Roman"/>
          <w:szCs w:val="24"/>
        </w:rPr>
        <w:t>)</w:t>
      </w:r>
      <w:r w:rsidR="00AA6710">
        <w:rPr>
          <w:rFonts w:cs="Times New Roman"/>
          <w:szCs w:val="24"/>
        </w:rPr>
        <w:t xml:space="preserve">, </w:t>
      </w:r>
      <w:r w:rsidR="00BD265A">
        <w:rPr>
          <w:rFonts w:cs="Times New Roman"/>
          <w:szCs w:val="24"/>
        </w:rPr>
        <w:t>students</w:t>
      </w:r>
      <w:r w:rsidR="00F07371">
        <w:rPr>
          <w:rFonts w:cs="Times New Roman"/>
          <w:szCs w:val="24"/>
        </w:rPr>
        <w:t>’ situated</w:t>
      </w:r>
      <w:r w:rsidR="00BD265A">
        <w:rPr>
          <w:rFonts w:cs="Times New Roman"/>
          <w:szCs w:val="24"/>
        </w:rPr>
        <w:t xml:space="preserve"> perspective</w:t>
      </w:r>
      <w:r w:rsidR="00F07371">
        <w:rPr>
          <w:rFonts w:cs="Times New Roman"/>
          <w:szCs w:val="24"/>
        </w:rPr>
        <w:t>s</w:t>
      </w:r>
      <w:r w:rsidR="00BD265A">
        <w:rPr>
          <w:rFonts w:cs="Times New Roman"/>
          <w:szCs w:val="24"/>
        </w:rPr>
        <w:t xml:space="preserve"> w</w:t>
      </w:r>
      <w:r w:rsidR="00F07371">
        <w:rPr>
          <w:rFonts w:cs="Times New Roman"/>
          <w:szCs w:val="24"/>
        </w:rPr>
        <w:t>ere not captured</w:t>
      </w:r>
      <w:r w:rsidR="00BD265A">
        <w:rPr>
          <w:rFonts w:cs="Times New Roman"/>
          <w:szCs w:val="24"/>
        </w:rPr>
        <w:t xml:space="preserve"> </w:t>
      </w:r>
      <w:r w:rsidR="00F07371">
        <w:rPr>
          <w:rFonts w:cs="Times New Roman"/>
          <w:szCs w:val="24"/>
        </w:rPr>
        <w:t>in the project</w:t>
      </w:r>
      <w:r w:rsidR="00F47B73">
        <w:rPr>
          <w:rFonts w:cs="Times New Roman"/>
          <w:szCs w:val="24"/>
        </w:rPr>
        <w:t xml:space="preserve"> reporting</w:t>
      </w:r>
      <w:r w:rsidR="00BD265A">
        <w:rPr>
          <w:rFonts w:cs="Times New Roman"/>
          <w:szCs w:val="24"/>
        </w:rPr>
        <w:t xml:space="preserve">. For example, </w:t>
      </w:r>
      <w:r w:rsidR="00F47B73">
        <w:rPr>
          <w:rFonts w:cs="Times New Roman"/>
          <w:szCs w:val="24"/>
        </w:rPr>
        <w:t xml:space="preserve">it was not clear whether </w:t>
      </w:r>
      <w:r w:rsidR="001D4754">
        <w:rPr>
          <w:rFonts w:cs="Times New Roman"/>
          <w:szCs w:val="24"/>
        </w:rPr>
        <w:t>students experienced any</w:t>
      </w:r>
      <w:r w:rsidR="003D70B0">
        <w:rPr>
          <w:rFonts w:cs="Times New Roman"/>
          <w:szCs w:val="24"/>
        </w:rPr>
        <w:t xml:space="preserve"> barriers to </w:t>
      </w:r>
      <w:r w:rsidR="004A06BD">
        <w:rPr>
          <w:rFonts w:cs="Times New Roman"/>
          <w:szCs w:val="24"/>
        </w:rPr>
        <w:t>engag</w:t>
      </w:r>
      <w:r w:rsidR="001D4754">
        <w:rPr>
          <w:rFonts w:cs="Times New Roman"/>
          <w:szCs w:val="24"/>
        </w:rPr>
        <w:t xml:space="preserve">ing </w:t>
      </w:r>
      <w:r w:rsidR="003D70B0">
        <w:rPr>
          <w:rFonts w:cs="Times New Roman"/>
          <w:szCs w:val="24"/>
        </w:rPr>
        <w:t xml:space="preserve">with the new </w:t>
      </w:r>
      <w:r w:rsidR="003410F9">
        <w:rPr>
          <w:rFonts w:cs="Times New Roman"/>
          <w:szCs w:val="24"/>
        </w:rPr>
        <w:t>modules</w:t>
      </w:r>
      <w:r w:rsidR="00232DCB">
        <w:rPr>
          <w:rFonts w:cs="Times New Roman"/>
          <w:szCs w:val="24"/>
        </w:rPr>
        <w:t>,</w:t>
      </w:r>
      <w:r w:rsidR="003D70B0">
        <w:rPr>
          <w:rFonts w:cs="Times New Roman"/>
          <w:szCs w:val="24"/>
        </w:rPr>
        <w:t xml:space="preserve"> </w:t>
      </w:r>
      <w:r w:rsidR="00232DCB">
        <w:rPr>
          <w:rFonts w:cs="Times New Roman"/>
          <w:szCs w:val="24"/>
        </w:rPr>
        <w:t>nor</w:t>
      </w:r>
      <w:r w:rsidR="00BD265A">
        <w:rPr>
          <w:rFonts w:cs="Times New Roman"/>
          <w:szCs w:val="24"/>
        </w:rPr>
        <w:t xml:space="preserve"> how </w:t>
      </w:r>
      <w:r w:rsidR="001C4FBE">
        <w:rPr>
          <w:rFonts w:cs="Times New Roman"/>
          <w:szCs w:val="24"/>
        </w:rPr>
        <w:t xml:space="preserve">their </w:t>
      </w:r>
      <w:r w:rsidR="003D70B0">
        <w:rPr>
          <w:rFonts w:cs="Times New Roman"/>
          <w:szCs w:val="24"/>
        </w:rPr>
        <w:t xml:space="preserve">self-identification </w:t>
      </w:r>
      <w:r w:rsidR="000E7CB1">
        <w:rPr>
          <w:rFonts w:cs="Times New Roman"/>
          <w:szCs w:val="24"/>
        </w:rPr>
        <w:t>(e.g.</w:t>
      </w:r>
      <w:r w:rsidR="00812FFD">
        <w:rPr>
          <w:rFonts w:cs="Times New Roman"/>
          <w:szCs w:val="24"/>
        </w:rPr>
        <w:t>,</w:t>
      </w:r>
      <w:r w:rsidR="000E7CB1">
        <w:rPr>
          <w:rFonts w:cs="Times New Roman"/>
          <w:szCs w:val="24"/>
        </w:rPr>
        <w:t xml:space="preserve"> as </w:t>
      </w:r>
      <w:r w:rsidR="00213190">
        <w:rPr>
          <w:rFonts w:cs="Times New Roman"/>
          <w:szCs w:val="24"/>
        </w:rPr>
        <w:t>‘</w:t>
      </w:r>
      <w:r w:rsidR="000E7CB1">
        <w:rPr>
          <w:rFonts w:cs="Times New Roman"/>
          <w:szCs w:val="24"/>
        </w:rPr>
        <w:t>students</w:t>
      </w:r>
      <w:r w:rsidR="00213190">
        <w:rPr>
          <w:rFonts w:cs="Times New Roman"/>
          <w:szCs w:val="24"/>
        </w:rPr>
        <w:t>’</w:t>
      </w:r>
      <w:r w:rsidR="000E7CB1">
        <w:rPr>
          <w:rFonts w:cs="Times New Roman"/>
          <w:szCs w:val="24"/>
        </w:rPr>
        <w:t xml:space="preserve"> rather than as </w:t>
      </w:r>
      <w:r w:rsidR="00213190">
        <w:rPr>
          <w:rFonts w:cs="Times New Roman"/>
          <w:szCs w:val="24"/>
        </w:rPr>
        <w:t>‘</w:t>
      </w:r>
      <w:r w:rsidR="000E7CB1">
        <w:rPr>
          <w:rFonts w:cs="Times New Roman"/>
          <w:szCs w:val="24"/>
        </w:rPr>
        <w:t>practitioners</w:t>
      </w:r>
      <w:r w:rsidR="00213190">
        <w:rPr>
          <w:rFonts w:cs="Times New Roman"/>
          <w:szCs w:val="24"/>
        </w:rPr>
        <w:t>’</w:t>
      </w:r>
      <w:r w:rsidR="000E7CB1">
        <w:rPr>
          <w:rFonts w:cs="Times New Roman"/>
          <w:szCs w:val="24"/>
        </w:rPr>
        <w:t>)</w:t>
      </w:r>
      <w:r w:rsidR="009C203C">
        <w:rPr>
          <w:rFonts w:cs="Times New Roman"/>
          <w:szCs w:val="24"/>
        </w:rPr>
        <w:t xml:space="preserve"> </w:t>
      </w:r>
      <w:r w:rsidR="00BD265A">
        <w:rPr>
          <w:rFonts w:cs="Times New Roman"/>
          <w:szCs w:val="24"/>
        </w:rPr>
        <w:t>influence</w:t>
      </w:r>
      <w:r w:rsidR="00F47B73">
        <w:rPr>
          <w:rFonts w:cs="Times New Roman"/>
          <w:szCs w:val="24"/>
        </w:rPr>
        <w:t>d</w:t>
      </w:r>
      <w:r w:rsidR="003D70B0">
        <w:rPr>
          <w:rFonts w:cs="Times New Roman"/>
          <w:szCs w:val="24"/>
        </w:rPr>
        <w:t xml:space="preserve"> </w:t>
      </w:r>
      <w:r w:rsidR="001C4FBE">
        <w:rPr>
          <w:rFonts w:cs="Times New Roman"/>
          <w:szCs w:val="24"/>
        </w:rPr>
        <w:t xml:space="preserve">their </w:t>
      </w:r>
      <w:r w:rsidR="003D70B0">
        <w:rPr>
          <w:rFonts w:cs="Times New Roman"/>
          <w:szCs w:val="24"/>
        </w:rPr>
        <w:t xml:space="preserve">approaches </w:t>
      </w:r>
      <w:r w:rsidR="001C4FBE">
        <w:rPr>
          <w:rFonts w:cs="Times New Roman"/>
          <w:szCs w:val="24"/>
        </w:rPr>
        <w:t xml:space="preserve">to the </w:t>
      </w:r>
      <w:r w:rsidR="003410F9">
        <w:rPr>
          <w:rFonts w:cs="Times New Roman"/>
          <w:szCs w:val="24"/>
        </w:rPr>
        <w:t>modules</w:t>
      </w:r>
      <w:r w:rsidR="001C4FBE">
        <w:rPr>
          <w:rFonts w:cs="Times New Roman"/>
          <w:szCs w:val="24"/>
        </w:rPr>
        <w:t xml:space="preserve"> and </w:t>
      </w:r>
      <w:r w:rsidR="00A752D1">
        <w:rPr>
          <w:rFonts w:cs="Times New Roman"/>
          <w:szCs w:val="24"/>
        </w:rPr>
        <w:t xml:space="preserve">affected </w:t>
      </w:r>
      <w:r w:rsidR="00232DCB">
        <w:rPr>
          <w:rFonts w:cs="Times New Roman"/>
          <w:szCs w:val="24"/>
        </w:rPr>
        <w:t xml:space="preserve">personal </w:t>
      </w:r>
      <w:r w:rsidR="003D70B0">
        <w:rPr>
          <w:rFonts w:cs="Times New Roman"/>
          <w:szCs w:val="24"/>
        </w:rPr>
        <w:t>outcomes</w:t>
      </w:r>
      <w:r w:rsidR="00F47B73">
        <w:rPr>
          <w:rFonts w:cs="Times New Roman"/>
          <w:szCs w:val="24"/>
        </w:rPr>
        <w:t>.</w:t>
      </w:r>
      <w:r w:rsidR="003D70B0">
        <w:rPr>
          <w:rFonts w:cs="Times New Roman"/>
          <w:szCs w:val="24"/>
        </w:rPr>
        <w:t xml:space="preserve"> </w:t>
      </w:r>
      <w:r w:rsidR="00914A71" w:rsidRPr="00D273CE">
        <w:rPr>
          <w:rFonts w:cs="Times New Roman"/>
          <w:szCs w:val="24"/>
        </w:rPr>
        <w:t>This study was designed to consider stude</w:t>
      </w:r>
      <w:r w:rsidR="00F46444">
        <w:rPr>
          <w:rFonts w:cs="Times New Roman"/>
          <w:szCs w:val="24"/>
        </w:rPr>
        <w:t>nts</w:t>
      </w:r>
      <w:r w:rsidR="00F47B73">
        <w:rPr>
          <w:rFonts w:cs="Times New Roman"/>
          <w:szCs w:val="24"/>
        </w:rPr>
        <w:t>’</w:t>
      </w:r>
      <w:r w:rsidR="00F46444">
        <w:rPr>
          <w:rFonts w:cs="Times New Roman"/>
          <w:szCs w:val="24"/>
        </w:rPr>
        <w:t xml:space="preserve"> self-concept, or identity</w:t>
      </w:r>
      <w:r w:rsidR="008D2947">
        <w:rPr>
          <w:rFonts w:cs="Times New Roman"/>
          <w:szCs w:val="24"/>
        </w:rPr>
        <w:t>,</w:t>
      </w:r>
      <w:r w:rsidR="00F46444">
        <w:rPr>
          <w:rFonts w:cs="Times New Roman"/>
          <w:szCs w:val="24"/>
        </w:rPr>
        <w:t xml:space="preserve"> in relation to the</w:t>
      </w:r>
      <w:r w:rsidR="00232DCB">
        <w:rPr>
          <w:rFonts w:cs="Times New Roman"/>
          <w:szCs w:val="24"/>
        </w:rPr>
        <w:t xml:space="preserve"> employability opportunities brought about via the project</w:t>
      </w:r>
      <w:r w:rsidR="004A06BD">
        <w:rPr>
          <w:rFonts w:cs="Times New Roman"/>
          <w:szCs w:val="24"/>
        </w:rPr>
        <w:t>, and</w:t>
      </w:r>
      <w:r w:rsidR="000C7DE9">
        <w:rPr>
          <w:rFonts w:cs="Times New Roman"/>
          <w:szCs w:val="24"/>
        </w:rPr>
        <w:t xml:space="preserve"> </w:t>
      </w:r>
      <w:r w:rsidR="00914A71" w:rsidRPr="00D273CE">
        <w:rPr>
          <w:rFonts w:cs="Times New Roman"/>
          <w:szCs w:val="24"/>
        </w:rPr>
        <w:t xml:space="preserve">to </w:t>
      </w:r>
      <w:r w:rsidR="00FB29FA">
        <w:rPr>
          <w:rFonts w:cs="Times New Roman"/>
          <w:szCs w:val="24"/>
        </w:rPr>
        <w:t>examine</w:t>
      </w:r>
      <w:r w:rsidR="00914A71" w:rsidRPr="00D273CE">
        <w:rPr>
          <w:rFonts w:cs="Times New Roman"/>
          <w:szCs w:val="24"/>
        </w:rPr>
        <w:t xml:space="preserve"> </w:t>
      </w:r>
      <w:r w:rsidR="00C05DE0">
        <w:rPr>
          <w:rFonts w:cs="Times New Roman"/>
          <w:szCs w:val="24"/>
        </w:rPr>
        <w:t xml:space="preserve">the </w:t>
      </w:r>
      <w:r w:rsidR="00F46444">
        <w:rPr>
          <w:rFonts w:cs="Times New Roman"/>
          <w:szCs w:val="24"/>
        </w:rPr>
        <w:t>social processes</w:t>
      </w:r>
      <w:r w:rsidR="00914A71" w:rsidRPr="00D273CE">
        <w:rPr>
          <w:rFonts w:cs="Times New Roman"/>
          <w:szCs w:val="24"/>
        </w:rPr>
        <w:t xml:space="preserve"> which support agency in </w:t>
      </w:r>
      <w:r w:rsidR="003337F9" w:rsidRPr="00D273CE">
        <w:rPr>
          <w:rFonts w:cs="Times New Roman"/>
          <w:szCs w:val="24"/>
        </w:rPr>
        <w:t>students</w:t>
      </w:r>
      <w:r w:rsidR="00F47B73">
        <w:rPr>
          <w:rFonts w:cs="Times New Roman"/>
          <w:szCs w:val="24"/>
        </w:rPr>
        <w:t>’</w:t>
      </w:r>
      <w:r w:rsidR="003337F9" w:rsidRPr="00D273CE">
        <w:rPr>
          <w:rFonts w:cs="Times New Roman"/>
          <w:szCs w:val="24"/>
        </w:rPr>
        <w:t xml:space="preserve"> </w:t>
      </w:r>
      <w:r w:rsidR="00914A71" w:rsidRPr="00D273CE">
        <w:rPr>
          <w:rFonts w:cs="Times New Roman"/>
          <w:szCs w:val="24"/>
        </w:rPr>
        <w:t xml:space="preserve">self-identification as skilled practitioners. </w:t>
      </w:r>
      <w:r w:rsidR="00625041" w:rsidRPr="00625041">
        <w:rPr>
          <w:rFonts w:cs="Times New Roman"/>
          <w:szCs w:val="24"/>
        </w:rPr>
        <w:t xml:space="preserve">In other words, </w:t>
      </w:r>
      <w:r w:rsidR="00740A83">
        <w:rPr>
          <w:rFonts w:cs="Times New Roman"/>
          <w:szCs w:val="24"/>
        </w:rPr>
        <w:t>the</w:t>
      </w:r>
      <w:r w:rsidR="00625041">
        <w:rPr>
          <w:rFonts w:cs="Times New Roman"/>
          <w:szCs w:val="24"/>
        </w:rPr>
        <w:t xml:space="preserve"> research </w:t>
      </w:r>
      <w:r w:rsidR="00740A83">
        <w:rPr>
          <w:rFonts w:cs="Times New Roman"/>
          <w:szCs w:val="24"/>
        </w:rPr>
        <w:t xml:space="preserve">was conducted </w:t>
      </w:r>
      <w:r w:rsidR="00625041" w:rsidRPr="00625041">
        <w:rPr>
          <w:rFonts w:cs="Times New Roman"/>
          <w:szCs w:val="24"/>
        </w:rPr>
        <w:t>to explore the extent to which work-related learning impacts on student identity.</w:t>
      </w:r>
    </w:p>
    <w:p w14:paraId="6A8037EB" w14:textId="77777777" w:rsidR="00BB66B5" w:rsidRPr="007A6887" w:rsidRDefault="002644AD" w:rsidP="00FC4A43">
      <w:pPr>
        <w:pStyle w:val="Heading2"/>
      </w:pPr>
      <w:r>
        <w:lastRenderedPageBreak/>
        <w:t>At the i</w:t>
      </w:r>
      <w:r w:rsidR="00F05ABD" w:rsidRPr="007A6887">
        <w:t xml:space="preserve">ntersection of </w:t>
      </w:r>
      <w:r>
        <w:t>higher e</w:t>
      </w:r>
      <w:r w:rsidR="00BB66B5" w:rsidRPr="007A6887">
        <w:t xml:space="preserve">ducation and </w:t>
      </w:r>
      <w:r>
        <w:t>employment</w:t>
      </w:r>
    </w:p>
    <w:p w14:paraId="53EE1C18" w14:textId="77777777" w:rsidR="00D56F31" w:rsidRDefault="00BB66B5" w:rsidP="00860440">
      <w:pPr>
        <w:jc w:val="both"/>
        <w:rPr>
          <w:rFonts w:cs="Times New Roman"/>
          <w:szCs w:val="24"/>
        </w:rPr>
      </w:pPr>
      <w:r w:rsidRPr="00BB66B5">
        <w:rPr>
          <w:rFonts w:cs="Times New Roman"/>
          <w:szCs w:val="24"/>
        </w:rPr>
        <w:t xml:space="preserve">Universities have adopted </w:t>
      </w:r>
      <w:r w:rsidR="00B0177E">
        <w:rPr>
          <w:rFonts w:cs="Times New Roman"/>
          <w:szCs w:val="24"/>
        </w:rPr>
        <w:t>various</w:t>
      </w:r>
      <w:r w:rsidRPr="00BB66B5">
        <w:rPr>
          <w:rFonts w:cs="Times New Roman"/>
          <w:szCs w:val="24"/>
        </w:rPr>
        <w:t xml:space="preserve"> approaches to integrating </w:t>
      </w:r>
      <w:r w:rsidR="00FB29FA">
        <w:rPr>
          <w:rFonts w:cs="Times New Roman"/>
          <w:szCs w:val="24"/>
        </w:rPr>
        <w:t xml:space="preserve">aspects </w:t>
      </w:r>
      <w:r w:rsidR="00C97AA8">
        <w:rPr>
          <w:rFonts w:cs="Times New Roman"/>
          <w:szCs w:val="24"/>
        </w:rPr>
        <w:t>of the workplace into</w:t>
      </w:r>
      <w:r w:rsidR="00C97AA8" w:rsidRPr="00BB66B5">
        <w:rPr>
          <w:rFonts w:cs="Times New Roman"/>
          <w:szCs w:val="24"/>
        </w:rPr>
        <w:t xml:space="preserve"> </w:t>
      </w:r>
      <w:r w:rsidR="00C97AA8">
        <w:rPr>
          <w:rFonts w:cs="Times New Roman"/>
          <w:szCs w:val="24"/>
        </w:rPr>
        <w:t xml:space="preserve">the </w:t>
      </w:r>
      <w:r w:rsidRPr="00BB66B5">
        <w:rPr>
          <w:rFonts w:cs="Times New Roman"/>
          <w:szCs w:val="24"/>
        </w:rPr>
        <w:t xml:space="preserve">student learning </w:t>
      </w:r>
      <w:r w:rsidR="00C97AA8">
        <w:rPr>
          <w:rFonts w:cs="Times New Roman"/>
          <w:szCs w:val="24"/>
        </w:rPr>
        <w:t>experience</w:t>
      </w:r>
      <w:r w:rsidR="009D4513">
        <w:rPr>
          <w:rFonts w:cs="Times New Roman"/>
          <w:szCs w:val="24"/>
        </w:rPr>
        <w:t xml:space="preserve">, including </w:t>
      </w:r>
      <w:r w:rsidR="00270821">
        <w:rPr>
          <w:rFonts w:cs="Times New Roman"/>
          <w:szCs w:val="24"/>
        </w:rPr>
        <w:t xml:space="preserve">work-based learning (such as </w:t>
      </w:r>
      <w:r w:rsidR="009D4513">
        <w:rPr>
          <w:rFonts w:cs="Times New Roman"/>
          <w:szCs w:val="24"/>
        </w:rPr>
        <w:t>the one</w:t>
      </w:r>
      <w:r w:rsidR="0031067A">
        <w:rPr>
          <w:rFonts w:cs="Times New Roman"/>
          <w:szCs w:val="24"/>
        </w:rPr>
        <w:t>-</w:t>
      </w:r>
      <w:r w:rsidR="009D4513">
        <w:rPr>
          <w:rFonts w:cs="Times New Roman"/>
          <w:szCs w:val="24"/>
        </w:rPr>
        <w:t>year sandwich course, the North American co-operative education model</w:t>
      </w:r>
      <w:r w:rsidR="00270821">
        <w:rPr>
          <w:rFonts w:cs="Times New Roman"/>
          <w:szCs w:val="24"/>
        </w:rPr>
        <w:t xml:space="preserve"> and</w:t>
      </w:r>
      <w:r w:rsidR="009D4513">
        <w:rPr>
          <w:rFonts w:cs="Times New Roman"/>
          <w:szCs w:val="24"/>
        </w:rPr>
        <w:t xml:space="preserve"> the German dual model</w:t>
      </w:r>
      <w:r w:rsidR="00270821">
        <w:rPr>
          <w:rFonts w:cs="Times New Roman"/>
          <w:szCs w:val="24"/>
        </w:rPr>
        <w:t>) and work-related or work-integrated learning</w:t>
      </w:r>
      <w:r w:rsidRPr="00BB66B5">
        <w:rPr>
          <w:rFonts w:cs="Times New Roman"/>
          <w:szCs w:val="24"/>
        </w:rPr>
        <w:t xml:space="preserve">. Specific </w:t>
      </w:r>
      <w:r w:rsidR="00917368">
        <w:rPr>
          <w:rFonts w:cs="Times New Roman"/>
          <w:szCs w:val="24"/>
        </w:rPr>
        <w:t>examples of</w:t>
      </w:r>
      <w:r w:rsidR="00917368" w:rsidRPr="00BB66B5">
        <w:rPr>
          <w:rFonts w:cs="Times New Roman"/>
          <w:szCs w:val="24"/>
        </w:rPr>
        <w:t xml:space="preserve"> </w:t>
      </w:r>
      <w:r w:rsidRPr="00BB66B5">
        <w:rPr>
          <w:rFonts w:cs="Times New Roman"/>
          <w:szCs w:val="24"/>
        </w:rPr>
        <w:t xml:space="preserve">developing work-related </w:t>
      </w:r>
      <w:r w:rsidR="003410F9">
        <w:rPr>
          <w:rFonts w:cs="Times New Roman"/>
          <w:szCs w:val="24"/>
        </w:rPr>
        <w:t>modules</w:t>
      </w:r>
      <w:r w:rsidRPr="00BB66B5">
        <w:rPr>
          <w:rFonts w:cs="Times New Roman"/>
          <w:szCs w:val="24"/>
        </w:rPr>
        <w:t xml:space="preserve"> include</w:t>
      </w:r>
      <w:r w:rsidR="008E450C">
        <w:rPr>
          <w:rFonts w:cs="Times New Roman"/>
          <w:szCs w:val="24"/>
        </w:rPr>
        <w:t>:</w:t>
      </w:r>
      <w:r w:rsidRPr="00BB66B5">
        <w:rPr>
          <w:rFonts w:cs="Times New Roman"/>
          <w:szCs w:val="24"/>
        </w:rPr>
        <w:t xml:space="preserve"> studying major industry cases and hearing from </w:t>
      </w:r>
      <w:r w:rsidR="00213190">
        <w:rPr>
          <w:rFonts w:cs="Times New Roman"/>
          <w:szCs w:val="24"/>
        </w:rPr>
        <w:t>‘</w:t>
      </w:r>
      <w:r w:rsidRPr="00BB66B5">
        <w:rPr>
          <w:rFonts w:cs="Times New Roman"/>
          <w:szCs w:val="24"/>
        </w:rPr>
        <w:t>diverse perspectives</w:t>
      </w:r>
      <w:r w:rsidR="00213190">
        <w:rPr>
          <w:rFonts w:cs="Times New Roman"/>
          <w:szCs w:val="24"/>
        </w:rPr>
        <w:t>’</w:t>
      </w:r>
      <w:r w:rsidR="0065268B">
        <w:rPr>
          <w:rFonts w:cs="Times New Roman"/>
          <w:szCs w:val="24"/>
        </w:rPr>
        <w:t xml:space="preserve"> (Loui 2005</w:t>
      </w:r>
      <w:r w:rsidR="009241C6">
        <w:rPr>
          <w:rFonts w:cs="Times New Roman"/>
          <w:szCs w:val="24"/>
        </w:rPr>
        <w:t>,</w:t>
      </w:r>
      <w:r w:rsidR="0065268B">
        <w:rPr>
          <w:rFonts w:cs="Times New Roman"/>
          <w:szCs w:val="24"/>
        </w:rPr>
        <w:t xml:space="preserve"> </w:t>
      </w:r>
      <w:r w:rsidRPr="00BB66B5">
        <w:rPr>
          <w:rFonts w:cs="Times New Roman"/>
          <w:szCs w:val="24"/>
        </w:rPr>
        <w:t>388)</w:t>
      </w:r>
      <w:r w:rsidR="00DB1566">
        <w:rPr>
          <w:rFonts w:cs="Times New Roman"/>
          <w:szCs w:val="24"/>
        </w:rPr>
        <w:t>;</w:t>
      </w:r>
      <w:r w:rsidRPr="00BB66B5">
        <w:rPr>
          <w:rFonts w:cs="Times New Roman"/>
          <w:szCs w:val="24"/>
        </w:rPr>
        <w:t xml:space="preserve"> drawing </w:t>
      </w:r>
      <w:r w:rsidR="00860440">
        <w:rPr>
          <w:rFonts w:cs="Times New Roman"/>
          <w:szCs w:val="24"/>
        </w:rPr>
        <w:t>up</w:t>
      </w:r>
      <w:r w:rsidRPr="00BB66B5">
        <w:rPr>
          <w:rFonts w:cs="Times New Roman"/>
          <w:szCs w:val="24"/>
        </w:rPr>
        <w:t>on role models to bring discipline exposure (Pierrakos</w:t>
      </w:r>
      <w:r w:rsidR="00700B64">
        <w:rPr>
          <w:rFonts w:cs="Times New Roman"/>
          <w:szCs w:val="24"/>
        </w:rPr>
        <w:t xml:space="preserve"> et al. </w:t>
      </w:r>
      <w:r w:rsidRPr="00BB66B5">
        <w:rPr>
          <w:rFonts w:cs="Times New Roman"/>
          <w:szCs w:val="24"/>
        </w:rPr>
        <w:t>2009)</w:t>
      </w:r>
      <w:r w:rsidR="00F935A9">
        <w:rPr>
          <w:rFonts w:cs="Times New Roman"/>
          <w:szCs w:val="24"/>
        </w:rPr>
        <w:t>;</w:t>
      </w:r>
      <w:r w:rsidR="003777AC">
        <w:rPr>
          <w:rFonts w:cs="Times New Roman"/>
          <w:szCs w:val="24"/>
        </w:rPr>
        <w:t xml:space="preserve"> simulating workplaces (Beach</w:t>
      </w:r>
      <w:r w:rsidR="00D75D0F">
        <w:rPr>
          <w:rFonts w:cs="Times New Roman"/>
          <w:szCs w:val="24"/>
        </w:rPr>
        <w:t xml:space="preserve"> 1999);</w:t>
      </w:r>
      <w:r w:rsidR="00F935A9">
        <w:rPr>
          <w:rFonts w:cs="Times New Roman"/>
          <w:szCs w:val="24"/>
        </w:rPr>
        <w:t xml:space="preserve"> </w:t>
      </w:r>
      <w:r w:rsidR="007434F2">
        <w:rPr>
          <w:rFonts w:cs="Times New Roman"/>
          <w:szCs w:val="24"/>
        </w:rPr>
        <w:t>portfolio development (Smith et al.</w:t>
      </w:r>
      <w:r w:rsidR="0081455B">
        <w:rPr>
          <w:rFonts w:cs="Times New Roman"/>
          <w:szCs w:val="24"/>
        </w:rPr>
        <w:t xml:space="preserve"> 2014</w:t>
      </w:r>
      <w:r w:rsidR="007434F2">
        <w:rPr>
          <w:rFonts w:cs="Times New Roman"/>
          <w:szCs w:val="24"/>
        </w:rPr>
        <w:t>)</w:t>
      </w:r>
      <w:r w:rsidR="008E450C">
        <w:rPr>
          <w:rFonts w:cs="Times New Roman"/>
          <w:szCs w:val="24"/>
        </w:rPr>
        <w:t>;</w:t>
      </w:r>
      <w:r w:rsidR="00F935A9" w:rsidRPr="00F935A9">
        <w:rPr>
          <w:rFonts w:cs="Times New Roman"/>
          <w:szCs w:val="24"/>
        </w:rPr>
        <w:t xml:space="preserve"> and soliciting contributions and feedback from indust</w:t>
      </w:r>
      <w:r w:rsidR="00F935A9">
        <w:rPr>
          <w:rFonts w:cs="Times New Roman"/>
          <w:szCs w:val="24"/>
        </w:rPr>
        <w:t>ry professionals (Dannels 2000)</w:t>
      </w:r>
      <w:r w:rsidRPr="00BB66B5">
        <w:rPr>
          <w:rFonts w:cs="Times New Roman"/>
          <w:szCs w:val="24"/>
        </w:rPr>
        <w:t xml:space="preserve">.  </w:t>
      </w:r>
      <w:r w:rsidR="000E7CB1">
        <w:rPr>
          <w:rFonts w:cs="Times New Roman"/>
          <w:szCs w:val="24"/>
        </w:rPr>
        <w:t>E</w:t>
      </w:r>
      <w:r w:rsidR="000E7CB1" w:rsidRPr="009F4075">
        <w:rPr>
          <w:rFonts w:cs="Times New Roman"/>
          <w:szCs w:val="24"/>
        </w:rPr>
        <w:t xml:space="preserve">ach </w:t>
      </w:r>
      <w:r w:rsidR="000E7CB1" w:rsidRPr="002A2714">
        <w:rPr>
          <w:rFonts w:cs="Times New Roman"/>
          <w:szCs w:val="24"/>
        </w:rPr>
        <w:t>bring</w:t>
      </w:r>
      <w:r w:rsidR="002A2714">
        <w:rPr>
          <w:rFonts w:cs="Times New Roman"/>
          <w:szCs w:val="24"/>
        </w:rPr>
        <w:t>s</w:t>
      </w:r>
      <w:r w:rsidR="000E7CB1" w:rsidRPr="002A2714">
        <w:rPr>
          <w:rFonts w:cs="Times New Roman"/>
          <w:szCs w:val="24"/>
        </w:rPr>
        <w:t xml:space="preserve"> </w:t>
      </w:r>
      <w:r w:rsidR="001F59FB" w:rsidRPr="001D3656">
        <w:rPr>
          <w:rFonts w:cs="Times New Roman"/>
          <w:szCs w:val="24"/>
        </w:rPr>
        <w:t>potential for students to</w:t>
      </w:r>
      <w:r w:rsidR="00487A9E" w:rsidRPr="002A2714">
        <w:rPr>
          <w:rFonts w:cs="Times New Roman"/>
          <w:szCs w:val="24"/>
        </w:rPr>
        <w:t xml:space="preserve"> </w:t>
      </w:r>
      <w:r w:rsidR="000E7CB1" w:rsidRPr="002A2714">
        <w:rPr>
          <w:rFonts w:cs="Times New Roman"/>
          <w:szCs w:val="24"/>
        </w:rPr>
        <w:t xml:space="preserve">develop </w:t>
      </w:r>
      <w:r w:rsidR="00917368">
        <w:rPr>
          <w:rFonts w:cs="Times New Roman"/>
          <w:szCs w:val="24"/>
        </w:rPr>
        <w:t xml:space="preserve">an </w:t>
      </w:r>
      <w:r w:rsidR="000E7CB1" w:rsidRPr="002A2714">
        <w:rPr>
          <w:rFonts w:cs="Times New Roman"/>
          <w:szCs w:val="24"/>
        </w:rPr>
        <w:t xml:space="preserve">understanding of how </w:t>
      </w:r>
      <w:r w:rsidR="001F59FB" w:rsidRPr="001D3656">
        <w:rPr>
          <w:rFonts w:cs="Times New Roman"/>
          <w:szCs w:val="24"/>
        </w:rPr>
        <w:t xml:space="preserve">their discipline of study is deployed in the </w:t>
      </w:r>
      <w:r w:rsidR="002A2714">
        <w:rPr>
          <w:rFonts w:cs="Times New Roman"/>
          <w:szCs w:val="24"/>
        </w:rPr>
        <w:t>workplace.</w:t>
      </w:r>
      <w:r w:rsidR="004940D8">
        <w:rPr>
          <w:rFonts w:cs="Times New Roman"/>
          <w:szCs w:val="24"/>
        </w:rPr>
        <w:t xml:space="preserve"> </w:t>
      </w:r>
      <w:r w:rsidR="00C65A47">
        <w:rPr>
          <w:rFonts w:cs="Times New Roman"/>
          <w:szCs w:val="24"/>
        </w:rPr>
        <w:t xml:space="preserve">However, </w:t>
      </w:r>
      <w:r w:rsidR="0006732D">
        <w:rPr>
          <w:rFonts w:cs="Times New Roman"/>
          <w:szCs w:val="24"/>
        </w:rPr>
        <w:t>a</w:t>
      </w:r>
      <w:r w:rsidR="00C65A47" w:rsidRPr="00C65A47">
        <w:rPr>
          <w:rFonts w:cs="Times New Roman"/>
          <w:szCs w:val="24"/>
        </w:rPr>
        <w:t xml:space="preserve"> lack of student engagement has been observed in employability initiatives (Sin and Neave 2016; Tymon, 2013) and there is some evidence that centralised models suffer from patchy student participation (Dacre Pool and Sewell 2007; Oliver 2013).</w:t>
      </w:r>
      <w:r w:rsidR="008C27CE" w:rsidRPr="008C27CE">
        <w:t xml:space="preserve"> </w:t>
      </w:r>
      <w:r w:rsidR="008C27CE">
        <w:t xml:space="preserve">Furthermore, </w:t>
      </w:r>
      <w:r w:rsidR="008C27CE" w:rsidRPr="008C27CE">
        <w:rPr>
          <w:rFonts w:cs="Times New Roman"/>
          <w:szCs w:val="24"/>
        </w:rPr>
        <w:t>Tomlinson (2010) argues that some employability approaches have insufficiently engaged with the limiting effect of structures, such as access to funding.</w:t>
      </w:r>
    </w:p>
    <w:p w14:paraId="70B8A9DF" w14:textId="77777777" w:rsidR="00BB66B5" w:rsidRPr="00D273CE" w:rsidRDefault="00D56F31" w:rsidP="00A752D1">
      <w:pPr>
        <w:jc w:val="both"/>
        <w:rPr>
          <w:rFonts w:cs="Times New Roman"/>
          <w:szCs w:val="24"/>
        </w:rPr>
      </w:pPr>
      <w:r w:rsidRPr="00D56F31">
        <w:rPr>
          <w:rFonts w:cs="Times New Roman"/>
          <w:szCs w:val="24"/>
        </w:rPr>
        <w:t xml:space="preserve">Recently the </w:t>
      </w:r>
      <w:r w:rsidR="0000118D">
        <w:rPr>
          <w:rFonts w:cs="Times New Roman"/>
          <w:szCs w:val="24"/>
        </w:rPr>
        <w:t>‘</w:t>
      </w:r>
      <w:r w:rsidRPr="00D56F31">
        <w:rPr>
          <w:rFonts w:cs="Times New Roman"/>
          <w:szCs w:val="24"/>
        </w:rPr>
        <w:t>skills development</w:t>
      </w:r>
      <w:r w:rsidR="0000118D">
        <w:rPr>
          <w:rFonts w:cs="Times New Roman"/>
          <w:szCs w:val="24"/>
        </w:rPr>
        <w:t>’</w:t>
      </w:r>
      <w:r w:rsidRPr="00D56F31">
        <w:rPr>
          <w:rFonts w:cs="Times New Roman"/>
          <w:szCs w:val="24"/>
        </w:rPr>
        <w:t xml:space="preserve"> approach to employability has been challenged (Holmes 2013; Jackson 2016; Tomlinson 2010;</w:t>
      </w:r>
      <w:r w:rsidR="00306371">
        <w:rPr>
          <w:rFonts w:cs="Times New Roman"/>
          <w:szCs w:val="24"/>
        </w:rPr>
        <w:t xml:space="preserve"> Martin et al. 2014</w:t>
      </w:r>
      <w:r w:rsidR="00CD51D9">
        <w:rPr>
          <w:rFonts w:cs="Times New Roman"/>
          <w:szCs w:val="24"/>
        </w:rPr>
        <w:t xml:space="preserve">; </w:t>
      </w:r>
      <w:r w:rsidR="00414341">
        <w:rPr>
          <w:rFonts w:cs="Times New Roman"/>
          <w:szCs w:val="24"/>
        </w:rPr>
        <w:t xml:space="preserve">Daniels </w:t>
      </w:r>
      <w:r w:rsidR="00574234">
        <w:rPr>
          <w:rFonts w:cs="Times New Roman"/>
          <w:szCs w:val="24"/>
        </w:rPr>
        <w:t>and</w:t>
      </w:r>
      <w:r w:rsidR="00414341">
        <w:rPr>
          <w:rFonts w:cs="Times New Roman"/>
          <w:szCs w:val="24"/>
        </w:rPr>
        <w:t xml:space="preserve"> Brooker, 2014</w:t>
      </w:r>
      <w:r w:rsidRPr="00D56F31">
        <w:rPr>
          <w:rFonts w:cs="Times New Roman"/>
          <w:szCs w:val="24"/>
        </w:rPr>
        <w:t xml:space="preserve">) </w:t>
      </w:r>
      <w:r w:rsidR="0000118D">
        <w:rPr>
          <w:rFonts w:cs="Times New Roman"/>
          <w:szCs w:val="24"/>
        </w:rPr>
        <w:t>by</w:t>
      </w:r>
      <w:r w:rsidRPr="00D56F31">
        <w:rPr>
          <w:rFonts w:cs="Times New Roman"/>
          <w:szCs w:val="24"/>
        </w:rPr>
        <w:t xml:space="preserve"> a </w:t>
      </w:r>
      <w:r w:rsidR="0000118D">
        <w:rPr>
          <w:rFonts w:cs="Times New Roman"/>
          <w:szCs w:val="24"/>
        </w:rPr>
        <w:t>‘</w:t>
      </w:r>
      <w:r w:rsidRPr="00D56F31">
        <w:rPr>
          <w:rFonts w:cs="Times New Roman"/>
          <w:szCs w:val="24"/>
        </w:rPr>
        <w:t>graduate identity</w:t>
      </w:r>
      <w:r w:rsidR="0000118D">
        <w:rPr>
          <w:rFonts w:cs="Times New Roman"/>
          <w:szCs w:val="24"/>
        </w:rPr>
        <w:t>’</w:t>
      </w:r>
      <w:r w:rsidRPr="00D56F31">
        <w:rPr>
          <w:rFonts w:cs="Times New Roman"/>
          <w:szCs w:val="24"/>
        </w:rPr>
        <w:t xml:space="preserve"> approach </w:t>
      </w:r>
      <w:r w:rsidR="00CD7A88">
        <w:rPr>
          <w:rFonts w:cs="Times New Roman"/>
          <w:szCs w:val="24"/>
        </w:rPr>
        <w:t xml:space="preserve">which </w:t>
      </w:r>
      <w:r w:rsidRPr="00D56F31">
        <w:rPr>
          <w:rFonts w:cs="Times New Roman"/>
          <w:szCs w:val="24"/>
        </w:rPr>
        <w:t>plac</w:t>
      </w:r>
      <w:r w:rsidR="00CD7A88">
        <w:rPr>
          <w:rFonts w:cs="Times New Roman"/>
          <w:szCs w:val="24"/>
        </w:rPr>
        <w:t>es</w:t>
      </w:r>
      <w:r w:rsidRPr="00D56F31">
        <w:rPr>
          <w:rFonts w:cs="Times New Roman"/>
          <w:szCs w:val="24"/>
        </w:rPr>
        <w:t xml:space="preserve"> students’ sense of self in the centre of the </w:t>
      </w:r>
      <w:r w:rsidR="00A752D1">
        <w:rPr>
          <w:rFonts w:cs="Times New Roman"/>
          <w:szCs w:val="24"/>
        </w:rPr>
        <w:t>nexus between study and work.</w:t>
      </w:r>
      <w:r w:rsidR="00014BB9">
        <w:rPr>
          <w:rFonts w:cs="Times New Roman"/>
          <w:szCs w:val="24"/>
        </w:rPr>
        <w:t xml:space="preserve">  </w:t>
      </w:r>
      <w:r w:rsidR="00A752D1">
        <w:rPr>
          <w:rFonts w:cs="Times New Roman"/>
          <w:szCs w:val="24"/>
        </w:rPr>
        <w:t xml:space="preserve">This leads to questions </w:t>
      </w:r>
      <w:r w:rsidR="00812FFD">
        <w:rPr>
          <w:rFonts w:cs="Times New Roman"/>
          <w:szCs w:val="24"/>
        </w:rPr>
        <w:t>about</w:t>
      </w:r>
      <w:r w:rsidR="00A752D1">
        <w:rPr>
          <w:rFonts w:cs="Times New Roman"/>
          <w:szCs w:val="24"/>
        </w:rPr>
        <w:t xml:space="preserve"> how students recognise, access</w:t>
      </w:r>
      <w:r w:rsidR="00467F55">
        <w:rPr>
          <w:rFonts w:cs="Times New Roman"/>
          <w:szCs w:val="24"/>
        </w:rPr>
        <w:t>,</w:t>
      </w:r>
      <w:r w:rsidR="00A752D1">
        <w:rPr>
          <w:rFonts w:cs="Times New Roman"/>
          <w:szCs w:val="24"/>
        </w:rPr>
        <w:t xml:space="preserve"> and experience the benefits of work-related learning. </w:t>
      </w:r>
    </w:p>
    <w:p w14:paraId="7759B217" w14:textId="77777777" w:rsidR="00DD5216" w:rsidRPr="00D273CE" w:rsidRDefault="00805F7C" w:rsidP="00584C61">
      <w:pPr>
        <w:pStyle w:val="Heading1"/>
        <w:jc w:val="both"/>
      </w:pPr>
      <w:r>
        <w:t xml:space="preserve">Student </w:t>
      </w:r>
      <w:r w:rsidR="002644AD">
        <w:t>identity c</w:t>
      </w:r>
      <w:r w:rsidR="00914A71" w:rsidRPr="00D273CE">
        <w:t>onsidered</w:t>
      </w:r>
    </w:p>
    <w:p w14:paraId="471213B7" w14:textId="77777777" w:rsidR="003969A0" w:rsidRPr="00D273CE" w:rsidRDefault="002251F9" w:rsidP="00295970">
      <w:pPr>
        <w:jc w:val="both"/>
        <w:rPr>
          <w:rFonts w:cs="Times New Roman"/>
          <w:szCs w:val="24"/>
        </w:rPr>
      </w:pPr>
      <w:r>
        <w:rPr>
          <w:rFonts w:cs="Times New Roman"/>
          <w:szCs w:val="24"/>
        </w:rPr>
        <w:t>I</w:t>
      </w:r>
      <w:r w:rsidR="00BC3DC1" w:rsidRPr="00D273CE">
        <w:rPr>
          <w:rFonts w:cs="Times New Roman"/>
          <w:szCs w:val="24"/>
        </w:rPr>
        <w:t>dentity theory provides an overarching view of self-concept as we enact various life roles (</w:t>
      </w:r>
      <w:r w:rsidR="00700B64">
        <w:rPr>
          <w:rFonts w:cs="Times New Roman"/>
          <w:szCs w:val="24"/>
        </w:rPr>
        <w:t>Stryker and Burke</w:t>
      </w:r>
      <w:r w:rsidR="000D7548" w:rsidRPr="00D273CE">
        <w:rPr>
          <w:rFonts w:cs="Times New Roman"/>
          <w:szCs w:val="24"/>
        </w:rPr>
        <w:t xml:space="preserve"> 2000).</w:t>
      </w:r>
      <w:r w:rsidR="00BC3DC1" w:rsidRPr="00D273CE">
        <w:rPr>
          <w:rFonts w:cs="Times New Roman"/>
          <w:szCs w:val="24"/>
        </w:rPr>
        <w:t xml:space="preserve"> In our social interactions</w:t>
      </w:r>
      <w:r w:rsidR="00B70FF5">
        <w:rPr>
          <w:rFonts w:cs="Times New Roman"/>
          <w:szCs w:val="24"/>
        </w:rPr>
        <w:t>,</w:t>
      </w:r>
      <w:r w:rsidR="00BC3DC1" w:rsidRPr="00D273CE">
        <w:rPr>
          <w:rFonts w:cs="Times New Roman"/>
          <w:szCs w:val="24"/>
        </w:rPr>
        <w:t xml:space="preserve"> we are challenged to </w:t>
      </w:r>
      <w:r w:rsidR="00D741A0" w:rsidRPr="00D273CE">
        <w:rPr>
          <w:rFonts w:cs="Times New Roman"/>
          <w:szCs w:val="24"/>
        </w:rPr>
        <w:t>resolve identity conflict through notions of identity commitment and salience</w:t>
      </w:r>
      <w:r w:rsidR="0031116E" w:rsidRPr="00D273CE">
        <w:rPr>
          <w:rFonts w:cs="Times New Roman"/>
          <w:szCs w:val="24"/>
        </w:rPr>
        <w:t xml:space="preserve"> (</w:t>
      </w:r>
      <w:r w:rsidR="00700B64">
        <w:rPr>
          <w:rFonts w:cs="Times New Roman"/>
          <w:szCs w:val="24"/>
        </w:rPr>
        <w:t xml:space="preserve">Serpe and Stryker </w:t>
      </w:r>
      <w:r w:rsidR="000D7548" w:rsidRPr="00D273CE">
        <w:rPr>
          <w:rFonts w:cs="Times New Roman"/>
          <w:szCs w:val="24"/>
        </w:rPr>
        <w:t>2011</w:t>
      </w:r>
      <w:r w:rsidR="0031116E" w:rsidRPr="00D273CE">
        <w:rPr>
          <w:rFonts w:cs="Times New Roman"/>
          <w:szCs w:val="24"/>
        </w:rPr>
        <w:t>)</w:t>
      </w:r>
      <w:r w:rsidR="00D741A0" w:rsidRPr="00D273CE">
        <w:rPr>
          <w:rFonts w:cs="Times New Roman"/>
          <w:szCs w:val="24"/>
        </w:rPr>
        <w:t xml:space="preserve">. </w:t>
      </w:r>
      <w:r w:rsidR="00217F84">
        <w:rPr>
          <w:rFonts w:cs="Times New Roman"/>
          <w:szCs w:val="24"/>
        </w:rPr>
        <w:t>I</w:t>
      </w:r>
      <w:r w:rsidR="00D741A0" w:rsidRPr="00D273CE">
        <w:rPr>
          <w:rFonts w:cs="Times New Roman"/>
          <w:szCs w:val="24"/>
        </w:rPr>
        <w:t>n an educational context</w:t>
      </w:r>
      <w:r w:rsidR="00197C47" w:rsidRPr="00D273CE">
        <w:rPr>
          <w:rFonts w:cs="Times New Roman"/>
          <w:szCs w:val="24"/>
        </w:rPr>
        <w:t>,</w:t>
      </w:r>
      <w:r w:rsidR="00D741A0" w:rsidRPr="00D273CE">
        <w:rPr>
          <w:rFonts w:cs="Times New Roman"/>
          <w:szCs w:val="24"/>
        </w:rPr>
        <w:t xml:space="preserve"> students balance a student identity with an emerging </w:t>
      </w:r>
      <w:r w:rsidR="0006732D">
        <w:rPr>
          <w:rFonts w:cs="Times New Roman"/>
          <w:szCs w:val="24"/>
        </w:rPr>
        <w:t xml:space="preserve">graduate or </w:t>
      </w:r>
      <w:r w:rsidR="00D741A0" w:rsidRPr="00D273CE">
        <w:rPr>
          <w:rFonts w:cs="Times New Roman"/>
          <w:szCs w:val="24"/>
        </w:rPr>
        <w:lastRenderedPageBreak/>
        <w:t>professional</w:t>
      </w:r>
      <w:r w:rsidR="0006732D">
        <w:rPr>
          <w:rFonts w:cs="Times New Roman"/>
          <w:szCs w:val="24"/>
        </w:rPr>
        <w:t xml:space="preserve"> </w:t>
      </w:r>
      <w:r w:rsidR="00D741A0" w:rsidRPr="00D273CE">
        <w:rPr>
          <w:rFonts w:cs="Times New Roman"/>
          <w:szCs w:val="24"/>
        </w:rPr>
        <w:t>identity</w:t>
      </w:r>
      <w:r w:rsidR="00217F84">
        <w:rPr>
          <w:rFonts w:cs="Times New Roman"/>
          <w:szCs w:val="24"/>
        </w:rPr>
        <w:t>,</w:t>
      </w:r>
      <w:r w:rsidR="00D741A0" w:rsidRPr="00D273CE">
        <w:rPr>
          <w:rFonts w:cs="Times New Roman"/>
          <w:szCs w:val="24"/>
        </w:rPr>
        <w:t xml:space="preserve"> as skills develop towards graduation (</w:t>
      </w:r>
      <w:r w:rsidR="00AA6710">
        <w:rPr>
          <w:rFonts w:cs="Times New Roman"/>
          <w:szCs w:val="24"/>
        </w:rPr>
        <w:t>Daicoff</w:t>
      </w:r>
      <w:r w:rsidR="00700B64">
        <w:rPr>
          <w:rFonts w:cs="Times New Roman"/>
          <w:szCs w:val="24"/>
        </w:rPr>
        <w:t xml:space="preserve"> </w:t>
      </w:r>
      <w:r w:rsidR="00AA6710">
        <w:rPr>
          <w:rFonts w:cs="Times New Roman"/>
          <w:szCs w:val="24"/>
        </w:rPr>
        <w:t>2014</w:t>
      </w:r>
      <w:r w:rsidR="0060327A">
        <w:rPr>
          <w:rFonts w:cs="Times New Roman"/>
          <w:szCs w:val="24"/>
        </w:rPr>
        <w:t>; Jackson 2016</w:t>
      </w:r>
      <w:r w:rsidR="000D7548" w:rsidRPr="00D273CE">
        <w:rPr>
          <w:rFonts w:cs="Times New Roman"/>
          <w:szCs w:val="24"/>
        </w:rPr>
        <w:t>; Smith</w:t>
      </w:r>
      <w:r w:rsidR="0060327A">
        <w:rPr>
          <w:rFonts w:cs="Times New Roman"/>
          <w:szCs w:val="24"/>
        </w:rPr>
        <w:t xml:space="preserve"> et al.</w:t>
      </w:r>
      <w:r w:rsidR="00700B64">
        <w:rPr>
          <w:rFonts w:cs="Times New Roman"/>
          <w:szCs w:val="24"/>
        </w:rPr>
        <w:t xml:space="preserve"> 2014; Wong and Trollope-Kumar</w:t>
      </w:r>
      <w:r w:rsidR="000D7548" w:rsidRPr="00D273CE">
        <w:rPr>
          <w:rFonts w:cs="Times New Roman"/>
          <w:szCs w:val="24"/>
        </w:rPr>
        <w:t xml:space="preserve"> 2014</w:t>
      </w:r>
      <w:r w:rsidR="00D741A0" w:rsidRPr="00D273CE">
        <w:rPr>
          <w:rFonts w:cs="Times New Roman"/>
          <w:szCs w:val="24"/>
        </w:rPr>
        <w:t xml:space="preserve">). </w:t>
      </w:r>
      <w:r w:rsidR="0031116E" w:rsidRPr="00D273CE">
        <w:rPr>
          <w:rFonts w:cs="Times New Roman"/>
          <w:szCs w:val="24"/>
        </w:rPr>
        <w:t xml:space="preserve">Identity is said to be </w:t>
      </w:r>
      <w:r w:rsidR="0031116E" w:rsidRPr="00D273CE">
        <w:rPr>
          <w:rFonts w:cs="Times New Roman"/>
          <w:i/>
          <w:szCs w:val="24"/>
        </w:rPr>
        <w:t>constructed</w:t>
      </w:r>
      <w:r w:rsidR="00C05DE0">
        <w:rPr>
          <w:rFonts w:cs="Times New Roman"/>
          <w:szCs w:val="24"/>
        </w:rPr>
        <w:t>;</w:t>
      </w:r>
      <w:r w:rsidR="0031116E" w:rsidRPr="00D273CE">
        <w:rPr>
          <w:rFonts w:cs="Times New Roman"/>
          <w:szCs w:val="24"/>
        </w:rPr>
        <w:t xml:space="preserve"> however</w:t>
      </w:r>
      <w:r w:rsidR="00812FFD">
        <w:rPr>
          <w:rFonts w:cs="Times New Roman"/>
          <w:szCs w:val="24"/>
        </w:rPr>
        <w:t>,</w:t>
      </w:r>
      <w:r w:rsidR="0031116E" w:rsidRPr="00D273CE">
        <w:rPr>
          <w:rFonts w:cs="Times New Roman"/>
          <w:szCs w:val="24"/>
        </w:rPr>
        <w:t xml:space="preserve"> the construction of identity is not considered to be solely an act of agency and self-determination. </w:t>
      </w:r>
      <w:r w:rsidR="00BC3DC1" w:rsidRPr="00D273CE">
        <w:rPr>
          <w:rFonts w:cs="Times New Roman"/>
          <w:szCs w:val="24"/>
        </w:rPr>
        <w:t>Alvesson</w:t>
      </w:r>
      <w:r w:rsidR="001120F7">
        <w:rPr>
          <w:rFonts w:cs="Times New Roman"/>
          <w:szCs w:val="24"/>
        </w:rPr>
        <w:t xml:space="preserve"> (2010)</w:t>
      </w:r>
      <w:r w:rsidR="00BC3DC1" w:rsidRPr="00D273CE">
        <w:rPr>
          <w:rFonts w:cs="Times New Roman"/>
          <w:szCs w:val="24"/>
        </w:rPr>
        <w:t xml:space="preserve"> claims that identity construction, as consider</w:t>
      </w:r>
      <w:r w:rsidR="00F46444">
        <w:rPr>
          <w:rFonts w:cs="Times New Roman"/>
          <w:szCs w:val="24"/>
        </w:rPr>
        <w:t>ed at the extremes</w:t>
      </w:r>
      <w:r w:rsidR="007C03CC">
        <w:rPr>
          <w:rFonts w:cs="Times New Roman"/>
          <w:szCs w:val="24"/>
        </w:rPr>
        <w:t xml:space="preserve"> of agency and structure</w:t>
      </w:r>
      <w:r w:rsidR="00F46444">
        <w:rPr>
          <w:rFonts w:cs="Times New Roman"/>
          <w:szCs w:val="24"/>
        </w:rPr>
        <w:t>, is either</w:t>
      </w:r>
      <w:r w:rsidR="00BC3DC1" w:rsidRPr="00D273CE">
        <w:rPr>
          <w:rFonts w:cs="Times New Roman"/>
          <w:szCs w:val="24"/>
        </w:rPr>
        <w:t xml:space="preserve"> entirely due to the individual constructing an identity thro</w:t>
      </w:r>
      <w:r w:rsidR="008D2947">
        <w:rPr>
          <w:rFonts w:cs="Times New Roman"/>
          <w:szCs w:val="24"/>
        </w:rPr>
        <w:t xml:space="preserve">ugh </w:t>
      </w:r>
      <w:r w:rsidR="00213190">
        <w:rPr>
          <w:rFonts w:cs="Times New Roman"/>
          <w:szCs w:val="24"/>
        </w:rPr>
        <w:t>‘</w:t>
      </w:r>
      <w:r w:rsidR="008D2947">
        <w:rPr>
          <w:rFonts w:cs="Times New Roman"/>
          <w:szCs w:val="24"/>
        </w:rPr>
        <w:t>effort and capacity</w:t>
      </w:r>
      <w:r w:rsidR="00213190">
        <w:rPr>
          <w:rFonts w:cs="Times New Roman"/>
          <w:szCs w:val="24"/>
        </w:rPr>
        <w:t>’</w:t>
      </w:r>
      <w:r w:rsidR="00F46444">
        <w:rPr>
          <w:rFonts w:cs="Times New Roman"/>
          <w:szCs w:val="24"/>
        </w:rPr>
        <w:t xml:space="preserve"> or</w:t>
      </w:r>
      <w:r w:rsidR="00BC3DC1" w:rsidRPr="00D273CE">
        <w:rPr>
          <w:rFonts w:cs="Times New Roman"/>
          <w:szCs w:val="24"/>
        </w:rPr>
        <w:t xml:space="preserve"> </w:t>
      </w:r>
      <w:r w:rsidR="000E7CB1">
        <w:rPr>
          <w:rFonts w:cs="Times New Roman"/>
          <w:szCs w:val="24"/>
        </w:rPr>
        <w:t xml:space="preserve">else is </w:t>
      </w:r>
      <w:r w:rsidR="00BC3DC1" w:rsidRPr="00D273CE">
        <w:rPr>
          <w:rFonts w:cs="Times New Roman"/>
          <w:szCs w:val="24"/>
        </w:rPr>
        <w:t xml:space="preserve">the </w:t>
      </w:r>
      <w:r w:rsidR="00213190">
        <w:rPr>
          <w:rFonts w:cs="Times New Roman"/>
          <w:szCs w:val="24"/>
        </w:rPr>
        <w:t>‘</w:t>
      </w:r>
      <w:r w:rsidR="00BC3DC1" w:rsidRPr="00D273CE">
        <w:rPr>
          <w:rFonts w:cs="Times New Roman"/>
          <w:szCs w:val="24"/>
        </w:rPr>
        <w:t>outcome of soc</w:t>
      </w:r>
      <w:r w:rsidR="008D2947">
        <w:rPr>
          <w:rFonts w:cs="Times New Roman"/>
          <w:szCs w:val="24"/>
        </w:rPr>
        <w:t>ial forms and discursive forces</w:t>
      </w:r>
      <w:r w:rsidR="00213190">
        <w:rPr>
          <w:rFonts w:cs="Times New Roman"/>
          <w:szCs w:val="24"/>
        </w:rPr>
        <w:t>’</w:t>
      </w:r>
      <w:r w:rsidR="00BC3DC1" w:rsidRPr="00D273CE">
        <w:rPr>
          <w:rFonts w:cs="Times New Roman"/>
          <w:szCs w:val="24"/>
        </w:rPr>
        <w:t xml:space="preserve"> (</w:t>
      </w:r>
      <w:r w:rsidR="0006732D">
        <w:rPr>
          <w:rFonts w:cs="Times New Roman"/>
          <w:szCs w:val="24"/>
        </w:rPr>
        <w:t xml:space="preserve">p </w:t>
      </w:r>
      <w:r w:rsidR="00BC3DC1" w:rsidRPr="00D273CE">
        <w:rPr>
          <w:rFonts w:cs="Times New Roman"/>
          <w:szCs w:val="24"/>
        </w:rPr>
        <w:t xml:space="preserve">211).  </w:t>
      </w:r>
      <w:r w:rsidR="0031116E" w:rsidRPr="00D273CE">
        <w:rPr>
          <w:rFonts w:cs="Times New Roman"/>
          <w:szCs w:val="24"/>
        </w:rPr>
        <w:t xml:space="preserve">In </w:t>
      </w:r>
      <w:r w:rsidR="00266C7D">
        <w:rPr>
          <w:rFonts w:cs="Times New Roman"/>
          <w:szCs w:val="24"/>
        </w:rPr>
        <w:t>the</w:t>
      </w:r>
      <w:r w:rsidR="00217F84">
        <w:rPr>
          <w:rFonts w:cs="Times New Roman"/>
          <w:szCs w:val="24"/>
        </w:rPr>
        <w:t xml:space="preserve"> university</w:t>
      </w:r>
      <w:r w:rsidR="0031116E" w:rsidRPr="00D273CE">
        <w:rPr>
          <w:rFonts w:cs="Times New Roman"/>
          <w:szCs w:val="24"/>
        </w:rPr>
        <w:t xml:space="preserve"> context,</w:t>
      </w:r>
      <w:r w:rsidR="00F46444">
        <w:rPr>
          <w:rFonts w:cs="Times New Roman"/>
          <w:szCs w:val="24"/>
        </w:rPr>
        <w:t xml:space="preserve"> </w:t>
      </w:r>
      <w:r w:rsidR="000E7CB1">
        <w:rPr>
          <w:rFonts w:cs="Times New Roman"/>
          <w:szCs w:val="24"/>
        </w:rPr>
        <w:t xml:space="preserve">it is clear that </w:t>
      </w:r>
      <w:r w:rsidR="00F005A3">
        <w:rPr>
          <w:rFonts w:cs="Times New Roman"/>
          <w:szCs w:val="24"/>
        </w:rPr>
        <w:t xml:space="preserve">effective </w:t>
      </w:r>
      <w:r w:rsidR="00860440">
        <w:rPr>
          <w:rFonts w:cs="Times New Roman"/>
          <w:szCs w:val="24"/>
        </w:rPr>
        <w:t xml:space="preserve">employability </w:t>
      </w:r>
      <w:r w:rsidR="001120F7">
        <w:rPr>
          <w:rFonts w:cs="Times New Roman"/>
          <w:szCs w:val="24"/>
        </w:rPr>
        <w:t xml:space="preserve">interventions </w:t>
      </w:r>
      <w:r w:rsidR="00295970">
        <w:rPr>
          <w:rFonts w:cs="Times New Roman"/>
          <w:szCs w:val="24"/>
        </w:rPr>
        <w:t>should</w:t>
      </w:r>
      <w:r w:rsidR="00197C47" w:rsidRPr="00D273CE">
        <w:rPr>
          <w:rFonts w:cs="Times New Roman"/>
          <w:szCs w:val="24"/>
        </w:rPr>
        <w:t xml:space="preserve"> </w:t>
      </w:r>
      <w:r w:rsidR="00295970">
        <w:rPr>
          <w:rFonts w:cs="Times New Roman"/>
          <w:szCs w:val="24"/>
        </w:rPr>
        <w:t>offer access to</w:t>
      </w:r>
      <w:r w:rsidR="007C03CC">
        <w:rPr>
          <w:rFonts w:cs="Times New Roman"/>
          <w:szCs w:val="24"/>
        </w:rPr>
        <w:t xml:space="preserve"> </w:t>
      </w:r>
      <w:r w:rsidR="00FD55D2" w:rsidRPr="00D273CE">
        <w:rPr>
          <w:rFonts w:cs="Times New Roman"/>
          <w:szCs w:val="24"/>
        </w:rPr>
        <w:t>resource</w:t>
      </w:r>
      <w:r w:rsidR="00406BD1">
        <w:rPr>
          <w:rFonts w:cs="Times New Roman"/>
          <w:szCs w:val="24"/>
        </w:rPr>
        <w:t>s</w:t>
      </w:r>
      <w:r w:rsidR="008C27CE">
        <w:rPr>
          <w:rFonts w:cs="Times New Roman"/>
          <w:szCs w:val="24"/>
        </w:rPr>
        <w:t xml:space="preserve"> (Beech et al. 2008)</w:t>
      </w:r>
      <w:r w:rsidR="00FD55D2" w:rsidRPr="00D273CE">
        <w:rPr>
          <w:rFonts w:cs="Times New Roman"/>
          <w:szCs w:val="24"/>
        </w:rPr>
        <w:t xml:space="preserve"> for identity </w:t>
      </w:r>
      <w:r w:rsidR="00F46444">
        <w:rPr>
          <w:rFonts w:cs="Times New Roman"/>
          <w:szCs w:val="24"/>
        </w:rPr>
        <w:t>construction</w:t>
      </w:r>
      <w:r w:rsidR="00295970">
        <w:rPr>
          <w:rFonts w:cs="Times New Roman"/>
          <w:szCs w:val="24"/>
        </w:rPr>
        <w:t xml:space="preserve"> and adaptation</w:t>
      </w:r>
      <w:r w:rsidR="00FD55D2" w:rsidRPr="00D273CE">
        <w:rPr>
          <w:rFonts w:cs="Times New Roman"/>
          <w:szCs w:val="24"/>
        </w:rPr>
        <w:t>.</w:t>
      </w:r>
    </w:p>
    <w:p w14:paraId="1B8B3AF6" w14:textId="77777777" w:rsidR="00E16AB4" w:rsidRPr="00D273CE" w:rsidRDefault="002644AD" w:rsidP="00584C61">
      <w:pPr>
        <w:pStyle w:val="Heading2"/>
        <w:jc w:val="both"/>
      </w:pPr>
      <w:r>
        <w:t>Identity work and a</w:t>
      </w:r>
      <w:r w:rsidR="004E59FF" w:rsidRPr="00D273CE">
        <w:t>daptation</w:t>
      </w:r>
    </w:p>
    <w:p w14:paraId="47619CEC" w14:textId="77777777" w:rsidR="00FC4A43" w:rsidRDefault="0031116E" w:rsidP="00FC4A43">
      <w:pPr>
        <w:jc w:val="both"/>
        <w:rPr>
          <w:rFonts w:cs="Times New Roman"/>
          <w:szCs w:val="24"/>
        </w:rPr>
      </w:pPr>
      <w:r w:rsidRPr="00D273CE">
        <w:rPr>
          <w:rFonts w:cs="Times New Roman"/>
          <w:szCs w:val="24"/>
        </w:rPr>
        <w:t>Identity work</w:t>
      </w:r>
      <w:r w:rsidR="00FD55D2" w:rsidRPr="00D273CE">
        <w:rPr>
          <w:rFonts w:cs="Times New Roman"/>
          <w:szCs w:val="24"/>
        </w:rPr>
        <w:t>, leading to identity consolidation or adaptation,</w:t>
      </w:r>
      <w:r w:rsidRPr="00D273CE">
        <w:rPr>
          <w:rFonts w:cs="Times New Roman"/>
          <w:szCs w:val="24"/>
        </w:rPr>
        <w:t xml:space="preserve"> </w:t>
      </w:r>
      <w:r w:rsidR="000E3C59">
        <w:rPr>
          <w:rFonts w:cs="Times New Roman"/>
          <w:szCs w:val="24"/>
        </w:rPr>
        <w:t>can be</w:t>
      </w:r>
      <w:r w:rsidRPr="00D273CE">
        <w:rPr>
          <w:rFonts w:cs="Times New Roman"/>
          <w:szCs w:val="24"/>
        </w:rPr>
        <w:t xml:space="preserve"> defined </w:t>
      </w:r>
      <w:r w:rsidR="000E7CB1">
        <w:rPr>
          <w:rFonts w:cs="Times New Roman"/>
          <w:szCs w:val="24"/>
        </w:rPr>
        <w:t>as</w:t>
      </w:r>
      <w:r w:rsidRPr="00D273CE">
        <w:rPr>
          <w:rFonts w:cs="Times New Roman"/>
          <w:szCs w:val="24"/>
        </w:rPr>
        <w:t xml:space="preserve"> the </w:t>
      </w:r>
      <w:r w:rsidRPr="00F41D2A">
        <w:rPr>
          <w:rFonts w:cs="Times New Roman"/>
          <w:szCs w:val="24"/>
        </w:rPr>
        <w:t>construction of identity through interaction with others</w:t>
      </w:r>
      <w:r w:rsidR="008D2947" w:rsidRPr="000E3C59">
        <w:rPr>
          <w:rFonts w:cs="Times New Roman"/>
          <w:szCs w:val="24"/>
        </w:rPr>
        <w:t>,</w:t>
      </w:r>
      <w:r w:rsidR="008D2947">
        <w:rPr>
          <w:rFonts w:cs="Times New Roman"/>
          <w:szCs w:val="24"/>
        </w:rPr>
        <w:t xml:space="preserve"> in particular </w:t>
      </w:r>
      <w:r w:rsidR="00213190">
        <w:rPr>
          <w:rFonts w:cs="Times New Roman"/>
          <w:szCs w:val="24"/>
        </w:rPr>
        <w:t>‘</w:t>
      </w:r>
      <w:r w:rsidRPr="00D273CE">
        <w:rPr>
          <w:rFonts w:cs="Times New Roman"/>
          <w:szCs w:val="24"/>
        </w:rPr>
        <w:t xml:space="preserve">forming, repairing, maintaining, strengthening or revising the constructions that are productive of a sense </w:t>
      </w:r>
      <w:r w:rsidR="008D2947">
        <w:rPr>
          <w:rFonts w:cs="Times New Roman"/>
          <w:szCs w:val="24"/>
        </w:rPr>
        <w:t>of coherence or distinctiveness</w:t>
      </w:r>
      <w:r w:rsidR="00213190">
        <w:rPr>
          <w:rFonts w:cs="Times New Roman"/>
          <w:szCs w:val="24"/>
        </w:rPr>
        <w:t>’</w:t>
      </w:r>
      <w:r w:rsidRPr="00D273CE">
        <w:rPr>
          <w:rFonts w:cs="Times New Roman"/>
          <w:szCs w:val="24"/>
        </w:rPr>
        <w:t xml:space="preserve"> (</w:t>
      </w:r>
      <w:r w:rsidR="005E3AD5" w:rsidRPr="00D273CE">
        <w:rPr>
          <w:rFonts w:cs="Times New Roman"/>
          <w:szCs w:val="24"/>
        </w:rPr>
        <w:t>Sveningsson</w:t>
      </w:r>
      <w:r w:rsidR="00F94B0C" w:rsidRPr="00D273CE">
        <w:rPr>
          <w:rFonts w:cs="Times New Roman"/>
          <w:szCs w:val="24"/>
        </w:rPr>
        <w:t xml:space="preserve"> </w:t>
      </w:r>
      <w:r w:rsidR="002C7854">
        <w:rPr>
          <w:rFonts w:cs="Times New Roman"/>
          <w:szCs w:val="24"/>
        </w:rPr>
        <w:t>and</w:t>
      </w:r>
      <w:r w:rsidR="0065268B">
        <w:rPr>
          <w:rFonts w:cs="Times New Roman"/>
          <w:szCs w:val="24"/>
        </w:rPr>
        <w:t xml:space="preserve"> Alvesson </w:t>
      </w:r>
      <w:r w:rsidR="005E3AD5" w:rsidRPr="00D273CE">
        <w:rPr>
          <w:rFonts w:cs="Times New Roman"/>
          <w:szCs w:val="24"/>
        </w:rPr>
        <w:t>2003</w:t>
      </w:r>
      <w:r w:rsidR="0065268B">
        <w:rPr>
          <w:rFonts w:cs="Times New Roman"/>
          <w:szCs w:val="24"/>
        </w:rPr>
        <w:t xml:space="preserve">, </w:t>
      </w:r>
      <w:r w:rsidR="00F94B0C" w:rsidRPr="00D273CE">
        <w:rPr>
          <w:rFonts w:cs="Times New Roman"/>
          <w:szCs w:val="24"/>
        </w:rPr>
        <w:t>1165</w:t>
      </w:r>
      <w:r w:rsidR="005E3AD5" w:rsidRPr="00D273CE">
        <w:rPr>
          <w:rFonts w:cs="Times New Roman"/>
          <w:szCs w:val="24"/>
        </w:rPr>
        <w:t xml:space="preserve">). According to Ibarra </w:t>
      </w:r>
      <w:r w:rsidR="002C7854">
        <w:rPr>
          <w:rFonts w:cs="Times New Roman"/>
          <w:szCs w:val="24"/>
        </w:rPr>
        <w:t>and</w:t>
      </w:r>
      <w:r w:rsidR="005E3AD5" w:rsidRPr="00D273CE">
        <w:rPr>
          <w:rFonts w:cs="Times New Roman"/>
          <w:szCs w:val="24"/>
        </w:rPr>
        <w:t xml:space="preserve"> Petriglieri</w:t>
      </w:r>
      <w:r w:rsidR="004940D8">
        <w:rPr>
          <w:rFonts w:cs="Times New Roman"/>
          <w:szCs w:val="24"/>
        </w:rPr>
        <w:t xml:space="preserve"> (2010</w:t>
      </w:r>
      <w:r w:rsidR="00266C7D">
        <w:rPr>
          <w:rFonts w:cs="Times New Roman"/>
          <w:szCs w:val="24"/>
        </w:rPr>
        <w:t>, 14</w:t>
      </w:r>
      <w:r w:rsidR="004940D8">
        <w:rPr>
          <w:rFonts w:cs="Times New Roman"/>
          <w:szCs w:val="24"/>
        </w:rPr>
        <w:t>)</w:t>
      </w:r>
      <w:r w:rsidR="008D2947">
        <w:rPr>
          <w:rFonts w:cs="Times New Roman"/>
          <w:szCs w:val="24"/>
        </w:rPr>
        <w:t xml:space="preserve">, the </w:t>
      </w:r>
      <w:r w:rsidR="00213190">
        <w:rPr>
          <w:rFonts w:cs="Times New Roman"/>
          <w:szCs w:val="24"/>
        </w:rPr>
        <w:t>‘</w:t>
      </w:r>
      <w:r w:rsidR="005E3AD5" w:rsidRPr="00D273CE">
        <w:rPr>
          <w:rFonts w:cs="Times New Roman"/>
          <w:szCs w:val="24"/>
        </w:rPr>
        <w:t>primary function of identity work is compliance with role requirements and their display rules</w:t>
      </w:r>
      <w:r w:rsidR="00213190">
        <w:rPr>
          <w:rFonts w:cs="Times New Roman"/>
          <w:szCs w:val="24"/>
        </w:rPr>
        <w:t>’</w:t>
      </w:r>
      <w:r w:rsidR="005E3AD5" w:rsidRPr="00D273CE">
        <w:rPr>
          <w:rFonts w:cs="Times New Roman"/>
          <w:szCs w:val="24"/>
        </w:rPr>
        <w:t>, where display rules</w:t>
      </w:r>
      <w:r w:rsidR="001120F7">
        <w:rPr>
          <w:rFonts w:cs="Times New Roman"/>
          <w:szCs w:val="24"/>
        </w:rPr>
        <w:t>, in their study,</w:t>
      </w:r>
      <w:r w:rsidR="005E3AD5" w:rsidRPr="00D273CE">
        <w:rPr>
          <w:rFonts w:cs="Times New Roman"/>
          <w:szCs w:val="24"/>
        </w:rPr>
        <w:t xml:space="preserve"> are the external projections of</w:t>
      </w:r>
      <w:r w:rsidR="0065268B">
        <w:rPr>
          <w:rFonts w:cs="Times New Roman"/>
          <w:szCs w:val="24"/>
        </w:rPr>
        <w:t xml:space="preserve"> professional identity</w:t>
      </w:r>
      <w:r w:rsidR="005E3AD5" w:rsidRPr="00D273CE">
        <w:rPr>
          <w:rFonts w:cs="Times New Roman"/>
          <w:szCs w:val="24"/>
        </w:rPr>
        <w:t xml:space="preserve">. </w:t>
      </w:r>
      <w:r w:rsidR="00917368">
        <w:rPr>
          <w:rFonts w:cs="Times New Roman"/>
          <w:szCs w:val="24"/>
        </w:rPr>
        <w:t>I</w:t>
      </w:r>
      <w:r w:rsidR="00B5281A" w:rsidRPr="00D273CE">
        <w:rPr>
          <w:rFonts w:cs="Times New Roman"/>
          <w:szCs w:val="24"/>
        </w:rPr>
        <w:t>dentity work</w:t>
      </w:r>
      <w:r w:rsidR="005E3AD5" w:rsidRPr="00D273CE">
        <w:rPr>
          <w:rFonts w:cs="Times New Roman"/>
          <w:szCs w:val="24"/>
        </w:rPr>
        <w:t xml:space="preserve"> is reliant on the nature of </w:t>
      </w:r>
      <w:r w:rsidR="00BC2338">
        <w:rPr>
          <w:rFonts w:cs="Times New Roman"/>
          <w:szCs w:val="24"/>
        </w:rPr>
        <w:t>relevant</w:t>
      </w:r>
      <w:r w:rsidR="00BC2338" w:rsidRPr="00D273CE">
        <w:rPr>
          <w:rFonts w:cs="Times New Roman"/>
          <w:szCs w:val="24"/>
        </w:rPr>
        <w:t xml:space="preserve"> </w:t>
      </w:r>
      <w:r w:rsidR="005E3AD5" w:rsidRPr="00D273CE">
        <w:rPr>
          <w:rFonts w:cs="Times New Roman"/>
          <w:szCs w:val="24"/>
        </w:rPr>
        <w:t xml:space="preserve">social interactions and the </w:t>
      </w:r>
      <w:r w:rsidR="00266C7D">
        <w:rPr>
          <w:rFonts w:cs="Times New Roman"/>
          <w:szCs w:val="24"/>
        </w:rPr>
        <w:t>extent to which</w:t>
      </w:r>
      <w:r w:rsidR="005E3AD5" w:rsidRPr="00D273CE">
        <w:rPr>
          <w:rFonts w:cs="Times New Roman"/>
          <w:szCs w:val="24"/>
        </w:rPr>
        <w:t xml:space="preserve"> the environment </w:t>
      </w:r>
      <w:r w:rsidR="000E3C59">
        <w:rPr>
          <w:rFonts w:cs="Times New Roman"/>
          <w:szCs w:val="24"/>
        </w:rPr>
        <w:t>fosters</w:t>
      </w:r>
      <w:r w:rsidR="000E3C59" w:rsidRPr="00D273CE">
        <w:rPr>
          <w:rFonts w:cs="Times New Roman"/>
          <w:szCs w:val="24"/>
        </w:rPr>
        <w:t xml:space="preserve"> </w:t>
      </w:r>
      <w:r w:rsidR="005E3AD5" w:rsidRPr="00D273CE">
        <w:rPr>
          <w:rFonts w:cs="Times New Roman"/>
          <w:szCs w:val="24"/>
        </w:rPr>
        <w:t>product</w:t>
      </w:r>
      <w:r w:rsidR="006A26E1" w:rsidRPr="00D273CE">
        <w:rPr>
          <w:rFonts w:cs="Times New Roman"/>
          <w:szCs w:val="24"/>
        </w:rPr>
        <w:t>ive interactions and prototypes</w:t>
      </w:r>
      <w:r w:rsidR="008F6CA4" w:rsidRPr="00D273CE">
        <w:rPr>
          <w:rFonts w:cs="Times New Roman"/>
          <w:szCs w:val="24"/>
        </w:rPr>
        <w:t>;</w:t>
      </w:r>
      <w:r w:rsidR="006A26E1" w:rsidRPr="00D273CE">
        <w:rPr>
          <w:rFonts w:cs="Times New Roman"/>
          <w:szCs w:val="24"/>
        </w:rPr>
        <w:t xml:space="preserve"> each of which can be influenced </w:t>
      </w:r>
      <w:r w:rsidR="000D6DD0" w:rsidRPr="00D273CE">
        <w:rPr>
          <w:rFonts w:cs="Times New Roman"/>
          <w:szCs w:val="24"/>
        </w:rPr>
        <w:t>by institutional</w:t>
      </w:r>
      <w:r w:rsidR="006A26E1" w:rsidRPr="00D273CE">
        <w:rPr>
          <w:rFonts w:cs="Times New Roman"/>
          <w:szCs w:val="24"/>
        </w:rPr>
        <w:t xml:space="preserve"> culture</w:t>
      </w:r>
      <w:r w:rsidR="002C7854">
        <w:rPr>
          <w:rFonts w:cs="Times New Roman"/>
          <w:szCs w:val="24"/>
        </w:rPr>
        <w:t>s</w:t>
      </w:r>
      <w:r w:rsidR="00B5281A" w:rsidRPr="00D273CE">
        <w:rPr>
          <w:rFonts w:cs="Times New Roman"/>
          <w:szCs w:val="24"/>
        </w:rPr>
        <w:t xml:space="preserve"> and infrastructure</w:t>
      </w:r>
      <w:r w:rsidR="006A26E1" w:rsidRPr="00D273CE">
        <w:rPr>
          <w:rFonts w:cs="Times New Roman"/>
          <w:szCs w:val="24"/>
        </w:rPr>
        <w:t>.</w:t>
      </w:r>
      <w:r w:rsidR="0054076F" w:rsidRPr="00D273CE">
        <w:rPr>
          <w:rFonts w:cs="Times New Roman"/>
          <w:szCs w:val="24"/>
        </w:rPr>
        <w:t xml:space="preserve"> </w:t>
      </w:r>
    </w:p>
    <w:p w14:paraId="06CDF45C" w14:textId="7CCA946F" w:rsidR="00FC4A43" w:rsidRDefault="004B4D66" w:rsidP="00FC4A43">
      <w:pPr>
        <w:jc w:val="both"/>
        <w:rPr>
          <w:rFonts w:cs="Times New Roman"/>
          <w:szCs w:val="24"/>
        </w:rPr>
      </w:pPr>
      <w:r w:rsidRPr="00D273CE">
        <w:rPr>
          <w:rFonts w:cs="Times New Roman"/>
          <w:szCs w:val="24"/>
        </w:rPr>
        <w:t>Student transitions have been explored widely</w:t>
      </w:r>
      <w:r w:rsidR="00BC2338">
        <w:rPr>
          <w:rFonts w:cs="Times New Roman"/>
          <w:szCs w:val="24"/>
        </w:rPr>
        <w:t>,</w:t>
      </w:r>
      <w:r w:rsidRPr="00D273CE">
        <w:rPr>
          <w:rFonts w:cs="Times New Roman"/>
          <w:szCs w:val="24"/>
        </w:rPr>
        <w:t xml:space="preserve"> with a view to supporting individuals</w:t>
      </w:r>
      <w:r w:rsidR="00266C7D">
        <w:rPr>
          <w:rFonts w:cs="Times New Roman"/>
          <w:szCs w:val="24"/>
        </w:rPr>
        <w:t xml:space="preserve"> </w:t>
      </w:r>
      <w:r w:rsidRPr="00D273CE">
        <w:rPr>
          <w:rFonts w:cs="Times New Roman"/>
          <w:szCs w:val="24"/>
        </w:rPr>
        <w:t>as they move from school or college to university (</w:t>
      </w:r>
      <w:r w:rsidR="00A84FAE">
        <w:rPr>
          <w:rFonts w:cs="Times New Roman"/>
          <w:szCs w:val="24"/>
        </w:rPr>
        <w:t>e.g.</w:t>
      </w:r>
      <w:r w:rsidR="0065268B">
        <w:rPr>
          <w:rFonts w:cs="Times New Roman"/>
          <w:szCs w:val="24"/>
        </w:rPr>
        <w:t xml:space="preserve"> Beach </w:t>
      </w:r>
      <w:r w:rsidR="001E7A1D" w:rsidRPr="00D273CE">
        <w:rPr>
          <w:rFonts w:cs="Times New Roman"/>
          <w:szCs w:val="24"/>
        </w:rPr>
        <w:t>1999</w:t>
      </w:r>
      <w:r w:rsidR="0065268B">
        <w:rPr>
          <w:rFonts w:cs="Times New Roman"/>
          <w:szCs w:val="24"/>
        </w:rPr>
        <w:t xml:space="preserve">; Gale </w:t>
      </w:r>
      <w:r w:rsidR="002C7854">
        <w:rPr>
          <w:rFonts w:cs="Times New Roman"/>
          <w:szCs w:val="24"/>
        </w:rPr>
        <w:t>and</w:t>
      </w:r>
      <w:r w:rsidR="0065268B">
        <w:rPr>
          <w:rFonts w:cs="Times New Roman"/>
          <w:szCs w:val="24"/>
        </w:rPr>
        <w:t xml:space="preserve"> Parker </w:t>
      </w:r>
      <w:r w:rsidR="0047277E" w:rsidRPr="00D273CE">
        <w:rPr>
          <w:rFonts w:cs="Times New Roman"/>
          <w:szCs w:val="24"/>
        </w:rPr>
        <w:t>201</w:t>
      </w:r>
      <w:r w:rsidR="00BC2338">
        <w:rPr>
          <w:rFonts w:cs="Times New Roman"/>
          <w:szCs w:val="24"/>
        </w:rPr>
        <w:t>4</w:t>
      </w:r>
      <w:r w:rsidR="001E7A1D" w:rsidRPr="00D273CE">
        <w:rPr>
          <w:rFonts w:cs="Times New Roman"/>
          <w:szCs w:val="24"/>
        </w:rPr>
        <w:t>).</w:t>
      </w:r>
      <w:r w:rsidRPr="00D273CE">
        <w:rPr>
          <w:rFonts w:cs="Times New Roman"/>
          <w:szCs w:val="24"/>
        </w:rPr>
        <w:t xml:space="preserve"> </w:t>
      </w:r>
      <w:r w:rsidR="00D462BE" w:rsidRPr="00D273CE">
        <w:rPr>
          <w:rFonts w:cs="Times New Roman"/>
          <w:szCs w:val="24"/>
        </w:rPr>
        <w:t>Beach</w:t>
      </w:r>
      <w:r w:rsidR="00266C7D">
        <w:rPr>
          <w:rFonts w:cs="Times New Roman"/>
          <w:szCs w:val="24"/>
        </w:rPr>
        <w:t xml:space="preserve"> argues that</w:t>
      </w:r>
      <w:r w:rsidR="00D462BE" w:rsidRPr="00D273CE">
        <w:rPr>
          <w:rFonts w:cs="Times New Roman"/>
          <w:szCs w:val="24"/>
        </w:rPr>
        <w:t xml:space="preserve"> </w:t>
      </w:r>
      <w:r w:rsidR="007C03CC">
        <w:rPr>
          <w:rFonts w:cs="Times New Roman"/>
          <w:szCs w:val="24"/>
        </w:rPr>
        <w:t>m</w:t>
      </w:r>
      <w:r w:rsidR="00C76649" w:rsidRPr="00C76649">
        <w:rPr>
          <w:rFonts w:cs="Times New Roman"/>
          <w:szCs w:val="24"/>
        </w:rPr>
        <w:t xml:space="preserve">ediational transitions </w:t>
      </w:r>
      <w:r w:rsidR="00266C7D">
        <w:rPr>
          <w:rFonts w:cs="Times New Roman"/>
          <w:szCs w:val="24"/>
        </w:rPr>
        <w:t>can ‘</w:t>
      </w:r>
      <w:r w:rsidR="00C76649" w:rsidRPr="00C76649">
        <w:rPr>
          <w:rFonts w:cs="Times New Roman"/>
          <w:szCs w:val="24"/>
        </w:rPr>
        <w:t>occur within educational activities that project or simulate involvement in an activity yet to be fully experienced</w:t>
      </w:r>
      <w:r w:rsidR="00213190">
        <w:rPr>
          <w:rFonts w:cs="Times New Roman"/>
          <w:szCs w:val="24"/>
        </w:rPr>
        <w:t>’</w:t>
      </w:r>
      <w:r w:rsidR="00C76649">
        <w:rPr>
          <w:rFonts w:cs="Times New Roman"/>
          <w:szCs w:val="24"/>
        </w:rPr>
        <w:t xml:space="preserve"> (</w:t>
      </w:r>
      <w:r w:rsidR="00C76649" w:rsidRPr="00D273CE">
        <w:rPr>
          <w:rFonts w:cs="Times New Roman"/>
          <w:szCs w:val="24"/>
        </w:rPr>
        <w:t>1999</w:t>
      </w:r>
      <w:r w:rsidR="0065268B">
        <w:rPr>
          <w:rFonts w:cs="Times New Roman"/>
          <w:szCs w:val="24"/>
        </w:rPr>
        <w:t xml:space="preserve">, </w:t>
      </w:r>
      <w:r w:rsidR="00C76649">
        <w:rPr>
          <w:rFonts w:cs="Times New Roman"/>
          <w:szCs w:val="24"/>
        </w:rPr>
        <w:t xml:space="preserve">118). This conception is </w:t>
      </w:r>
      <w:r w:rsidR="00D462BE" w:rsidRPr="00D273CE">
        <w:rPr>
          <w:rFonts w:cs="Times New Roman"/>
          <w:szCs w:val="24"/>
        </w:rPr>
        <w:t xml:space="preserve">particularly </w:t>
      </w:r>
      <w:r w:rsidR="00C76649">
        <w:rPr>
          <w:rFonts w:cs="Times New Roman"/>
          <w:szCs w:val="24"/>
        </w:rPr>
        <w:t xml:space="preserve">apt </w:t>
      </w:r>
      <w:r w:rsidR="00D462BE" w:rsidRPr="00D273CE">
        <w:rPr>
          <w:rFonts w:cs="Times New Roman"/>
          <w:szCs w:val="24"/>
        </w:rPr>
        <w:t>where the educational activity occupies a middle ground between where the students are now and where</w:t>
      </w:r>
      <w:r w:rsidR="00860440">
        <w:rPr>
          <w:rFonts w:cs="Times New Roman"/>
          <w:szCs w:val="24"/>
        </w:rPr>
        <w:t xml:space="preserve">, </w:t>
      </w:r>
      <w:r w:rsidR="00D462BE" w:rsidRPr="00D273CE">
        <w:rPr>
          <w:rFonts w:cs="Times New Roman"/>
          <w:szCs w:val="24"/>
        </w:rPr>
        <w:t>developmentally</w:t>
      </w:r>
      <w:r w:rsidR="00266C7D">
        <w:rPr>
          <w:rFonts w:cs="Times New Roman"/>
          <w:szCs w:val="24"/>
        </w:rPr>
        <w:t xml:space="preserve">, </w:t>
      </w:r>
      <w:r w:rsidR="00860440" w:rsidRPr="00D273CE">
        <w:rPr>
          <w:rFonts w:cs="Times New Roman"/>
          <w:szCs w:val="24"/>
        </w:rPr>
        <w:t>they</w:t>
      </w:r>
      <w:r w:rsidR="00860440">
        <w:rPr>
          <w:rFonts w:cs="Times New Roman"/>
          <w:szCs w:val="24"/>
        </w:rPr>
        <w:t xml:space="preserve"> </w:t>
      </w:r>
      <w:r w:rsidR="00266C7D">
        <w:rPr>
          <w:rFonts w:cs="Times New Roman"/>
          <w:szCs w:val="24"/>
        </w:rPr>
        <w:t>are aiming to be</w:t>
      </w:r>
      <w:r w:rsidR="00D462BE" w:rsidRPr="00D273CE">
        <w:rPr>
          <w:rFonts w:cs="Times New Roman"/>
          <w:szCs w:val="24"/>
        </w:rPr>
        <w:t xml:space="preserve">. </w:t>
      </w:r>
      <w:r w:rsidR="00860440">
        <w:rPr>
          <w:rFonts w:cs="Times New Roman"/>
          <w:szCs w:val="24"/>
        </w:rPr>
        <w:t xml:space="preserve"> </w:t>
      </w:r>
      <w:r w:rsidR="00D462BE" w:rsidRPr="00D273CE">
        <w:rPr>
          <w:rFonts w:cs="Times New Roman"/>
          <w:szCs w:val="24"/>
        </w:rPr>
        <w:t>Gale and Parker (201</w:t>
      </w:r>
      <w:r w:rsidR="0065268B">
        <w:rPr>
          <w:rFonts w:cs="Times New Roman"/>
          <w:szCs w:val="24"/>
        </w:rPr>
        <w:t>4</w:t>
      </w:r>
      <w:r w:rsidR="00D462BE" w:rsidRPr="00D273CE">
        <w:rPr>
          <w:rFonts w:cs="Times New Roman"/>
          <w:szCs w:val="24"/>
        </w:rPr>
        <w:t>) suggest</w:t>
      </w:r>
      <w:r w:rsidR="00275A9E">
        <w:rPr>
          <w:rFonts w:cs="Times New Roman"/>
          <w:szCs w:val="24"/>
        </w:rPr>
        <w:t>ed</w:t>
      </w:r>
      <w:r w:rsidR="00D462BE" w:rsidRPr="00D273CE">
        <w:rPr>
          <w:rFonts w:cs="Times New Roman"/>
          <w:szCs w:val="24"/>
        </w:rPr>
        <w:t xml:space="preserve"> a typology of three types of </w:t>
      </w:r>
      <w:r w:rsidR="00266C7D">
        <w:rPr>
          <w:rFonts w:cs="Times New Roman"/>
          <w:szCs w:val="24"/>
        </w:rPr>
        <w:t xml:space="preserve">student </w:t>
      </w:r>
      <w:r w:rsidR="00D462BE" w:rsidRPr="00D273CE">
        <w:rPr>
          <w:rFonts w:cs="Times New Roman"/>
          <w:szCs w:val="24"/>
        </w:rPr>
        <w:t>transition</w:t>
      </w:r>
      <w:r w:rsidR="00C76649">
        <w:rPr>
          <w:rFonts w:cs="Times New Roman"/>
          <w:szCs w:val="24"/>
        </w:rPr>
        <w:t xml:space="preserve">: transition as </w:t>
      </w:r>
      <w:r w:rsidR="00C76649" w:rsidRPr="00C76649">
        <w:rPr>
          <w:rFonts w:cs="Times New Roman"/>
          <w:szCs w:val="24"/>
        </w:rPr>
        <w:t xml:space="preserve">induction, development, </w:t>
      </w:r>
      <w:r w:rsidR="00C76649" w:rsidRPr="00C76649">
        <w:rPr>
          <w:rFonts w:cs="Times New Roman"/>
          <w:szCs w:val="24"/>
        </w:rPr>
        <w:lastRenderedPageBreak/>
        <w:t>and becoming</w:t>
      </w:r>
      <w:r w:rsidR="00C76649">
        <w:rPr>
          <w:rFonts w:cs="Times New Roman"/>
          <w:szCs w:val="24"/>
        </w:rPr>
        <w:t>.</w:t>
      </w:r>
      <w:r w:rsidR="00D462BE" w:rsidRPr="00D273CE">
        <w:rPr>
          <w:rFonts w:cs="Times New Roman"/>
          <w:szCs w:val="24"/>
        </w:rPr>
        <w:t xml:space="preserve"> </w:t>
      </w:r>
      <w:r w:rsidR="00C76649">
        <w:rPr>
          <w:rFonts w:cs="Times New Roman"/>
          <w:szCs w:val="24"/>
        </w:rPr>
        <w:t xml:space="preserve">The third </w:t>
      </w:r>
      <w:r w:rsidR="008D2947">
        <w:rPr>
          <w:rFonts w:cs="Times New Roman"/>
          <w:szCs w:val="24"/>
        </w:rPr>
        <w:t>perspective</w:t>
      </w:r>
      <w:r w:rsidR="005A6FCF">
        <w:t xml:space="preserve">, that of </w:t>
      </w:r>
      <w:r w:rsidR="008D2947">
        <w:rPr>
          <w:rFonts w:cs="Times New Roman"/>
          <w:szCs w:val="24"/>
        </w:rPr>
        <w:t>transition as becoming</w:t>
      </w:r>
      <w:r w:rsidR="005A6FCF">
        <w:t xml:space="preserve">, </w:t>
      </w:r>
      <w:r w:rsidR="00D462BE" w:rsidRPr="00D273CE">
        <w:rPr>
          <w:rFonts w:cs="Times New Roman"/>
          <w:szCs w:val="24"/>
        </w:rPr>
        <w:t xml:space="preserve">is supportive of the idea that universities </w:t>
      </w:r>
      <w:r w:rsidR="001120F7">
        <w:rPr>
          <w:rFonts w:cs="Times New Roman"/>
          <w:szCs w:val="24"/>
        </w:rPr>
        <w:t>facilitate</w:t>
      </w:r>
      <w:r w:rsidR="000E3C59">
        <w:rPr>
          <w:rFonts w:cs="Times New Roman"/>
          <w:szCs w:val="24"/>
        </w:rPr>
        <w:t xml:space="preserve"> the </w:t>
      </w:r>
      <w:r w:rsidR="004714BF">
        <w:rPr>
          <w:rFonts w:cs="Times New Roman"/>
          <w:szCs w:val="24"/>
        </w:rPr>
        <w:t>emergence</w:t>
      </w:r>
      <w:r w:rsidR="000E3C59">
        <w:rPr>
          <w:rFonts w:cs="Times New Roman"/>
          <w:szCs w:val="24"/>
        </w:rPr>
        <w:t xml:space="preserve"> of</w:t>
      </w:r>
      <w:r w:rsidR="00D462BE" w:rsidRPr="00D273CE">
        <w:rPr>
          <w:rFonts w:cs="Times New Roman"/>
          <w:szCs w:val="24"/>
        </w:rPr>
        <w:t xml:space="preserve"> diverse identities.  Work</w:t>
      </w:r>
      <w:r w:rsidRPr="002C7854">
        <w:rPr>
          <w:rFonts w:cs="Times New Roman"/>
          <w:szCs w:val="24"/>
        </w:rPr>
        <w:t>-</w:t>
      </w:r>
      <w:r w:rsidRPr="00D56F31">
        <w:rPr>
          <w:rFonts w:cs="Times New Roman"/>
          <w:szCs w:val="24"/>
        </w:rPr>
        <w:t>based</w:t>
      </w:r>
      <w:r w:rsidRPr="00D273CE">
        <w:rPr>
          <w:rFonts w:cs="Times New Roman"/>
          <w:szCs w:val="24"/>
        </w:rPr>
        <w:t xml:space="preserve"> learning</w:t>
      </w:r>
      <w:r w:rsidR="00D462BE" w:rsidRPr="00D273CE">
        <w:rPr>
          <w:rFonts w:cs="Times New Roman"/>
          <w:szCs w:val="24"/>
        </w:rPr>
        <w:t xml:space="preserve"> </w:t>
      </w:r>
      <w:r w:rsidRPr="00D273CE">
        <w:rPr>
          <w:rFonts w:cs="Times New Roman"/>
          <w:szCs w:val="24"/>
        </w:rPr>
        <w:t xml:space="preserve">can involve a </w:t>
      </w:r>
      <w:r w:rsidR="00D462BE" w:rsidRPr="00D273CE">
        <w:rPr>
          <w:rFonts w:cs="Times New Roman"/>
          <w:szCs w:val="24"/>
        </w:rPr>
        <w:t xml:space="preserve">temporary </w:t>
      </w:r>
      <w:r w:rsidRPr="00D273CE">
        <w:rPr>
          <w:rFonts w:cs="Times New Roman"/>
          <w:szCs w:val="24"/>
        </w:rPr>
        <w:t>transition from university into the workplace, with the potential for c</w:t>
      </w:r>
      <w:r w:rsidR="00D462BE" w:rsidRPr="00D273CE">
        <w:rPr>
          <w:rFonts w:cs="Times New Roman"/>
          <w:szCs w:val="24"/>
        </w:rPr>
        <w:t xml:space="preserve">onsequent disrupted identities </w:t>
      </w:r>
      <w:r w:rsidR="0047277E" w:rsidRPr="00D273CE">
        <w:rPr>
          <w:rFonts w:cs="Times New Roman"/>
          <w:szCs w:val="24"/>
        </w:rPr>
        <w:t>which</w:t>
      </w:r>
      <w:r w:rsidR="00275A9E">
        <w:rPr>
          <w:rFonts w:cs="Times New Roman"/>
          <w:szCs w:val="24"/>
        </w:rPr>
        <w:t xml:space="preserve"> </w:t>
      </w:r>
      <w:r w:rsidR="0047277E" w:rsidRPr="00D273CE">
        <w:rPr>
          <w:rFonts w:cs="Times New Roman"/>
          <w:szCs w:val="24"/>
        </w:rPr>
        <w:t>have been found to lead to i</w:t>
      </w:r>
      <w:r w:rsidR="0065268B">
        <w:rPr>
          <w:rFonts w:cs="Times New Roman"/>
          <w:szCs w:val="24"/>
        </w:rPr>
        <w:t xml:space="preserve">dentity work (Beech and Johnston </w:t>
      </w:r>
      <w:r w:rsidR="0047277E" w:rsidRPr="00D273CE">
        <w:rPr>
          <w:rFonts w:cs="Times New Roman"/>
          <w:szCs w:val="24"/>
        </w:rPr>
        <w:t xml:space="preserve">2005). </w:t>
      </w:r>
      <w:r w:rsidR="008C27CE">
        <w:rPr>
          <w:rFonts w:cs="Times New Roman"/>
          <w:szCs w:val="24"/>
        </w:rPr>
        <w:t xml:space="preserve"> The i</w:t>
      </w:r>
      <w:r w:rsidR="000E6653">
        <w:rPr>
          <w:rFonts w:cs="Times New Roman"/>
          <w:szCs w:val="24"/>
        </w:rPr>
        <w:t>m</w:t>
      </w:r>
      <w:r w:rsidR="008C27CE">
        <w:rPr>
          <w:rFonts w:cs="Times New Roman"/>
          <w:szCs w:val="24"/>
        </w:rPr>
        <w:t xml:space="preserve">pact on student identity of work-related learning is less clear. </w:t>
      </w:r>
      <w:r w:rsidRPr="00D273CE">
        <w:rPr>
          <w:rFonts w:cs="Times New Roman"/>
          <w:szCs w:val="24"/>
        </w:rPr>
        <w:t xml:space="preserve"> </w:t>
      </w:r>
      <w:r w:rsidR="00A2000B" w:rsidRPr="00D273CE">
        <w:rPr>
          <w:rFonts w:cs="Times New Roman"/>
          <w:szCs w:val="24"/>
        </w:rPr>
        <w:t>Identity theory has been used to explore transitions from student to graduate (</w:t>
      </w:r>
      <w:r w:rsidR="004940D8">
        <w:rPr>
          <w:rFonts w:cs="Times New Roman"/>
          <w:szCs w:val="24"/>
        </w:rPr>
        <w:t xml:space="preserve">Holmes 2013; </w:t>
      </w:r>
      <w:r w:rsidR="00700B64">
        <w:rPr>
          <w:rFonts w:cs="Times New Roman"/>
          <w:szCs w:val="24"/>
        </w:rPr>
        <w:t>Smith</w:t>
      </w:r>
      <w:r w:rsidR="00F8548D">
        <w:rPr>
          <w:rFonts w:cs="Times New Roman"/>
          <w:szCs w:val="24"/>
        </w:rPr>
        <w:t xml:space="preserve">, </w:t>
      </w:r>
      <w:r w:rsidR="00F8548D" w:rsidRPr="009549C8">
        <w:t>Sobolewska</w:t>
      </w:r>
      <w:r w:rsidR="00F8548D">
        <w:t>, and Smith</w:t>
      </w:r>
      <w:r w:rsidR="00902147">
        <w:t xml:space="preserve"> </w:t>
      </w:r>
      <w:r w:rsidRPr="00D273CE">
        <w:rPr>
          <w:rFonts w:cs="Times New Roman"/>
          <w:szCs w:val="24"/>
        </w:rPr>
        <w:t>2014</w:t>
      </w:r>
      <w:r w:rsidR="00A2000B" w:rsidRPr="00D273CE">
        <w:rPr>
          <w:rFonts w:cs="Times New Roman"/>
          <w:szCs w:val="24"/>
        </w:rPr>
        <w:t>)</w:t>
      </w:r>
      <w:r w:rsidR="005E55F8">
        <w:rPr>
          <w:rFonts w:cs="Times New Roman"/>
          <w:szCs w:val="24"/>
        </w:rPr>
        <w:t xml:space="preserve">. </w:t>
      </w:r>
      <w:r w:rsidR="00475F36" w:rsidRPr="00475F36">
        <w:rPr>
          <w:rFonts w:cs="Times New Roman"/>
          <w:szCs w:val="24"/>
        </w:rPr>
        <w:t xml:space="preserve">In a study of students transitioning to their first teaching job, Ronfeldt and Grossman (2008) found that students on placement negotiated how they saw themselves in comparison with the image of the professional projected through their university programmes. </w:t>
      </w:r>
      <w:r w:rsidR="00A2000B" w:rsidRPr="00D273CE">
        <w:rPr>
          <w:rFonts w:cs="Times New Roman"/>
          <w:szCs w:val="24"/>
        </w:rPr>
        <w:t xml:space="preserve">These studies </w:t>
      </w:r>
      <w:r w:rsidR="00812E5F">
        <w:rPr>
          <w:rFonts w:cs="Times New Roman"/>
          <w:szCs w:val="24"/>
        </w:rPr>
        <w:t>provide</w:t>
      </w:r>
      <w:r w:rsidR="00812E5F" w:rsidRPr="00D273CE">
        <w:rPr>
          <w:rFonts w:cs="Times New Roman"/>
          <w:szCs w:val="24"/>
        </w:rPr>
        <w:t xml:space="preserve"> </w:t>
      </w:r>
      <w:r w:rsidR="00A2000B" w:rsidRPr="00D273CE">
        <w:rPr>
          <w:rFonts w:cs="Times New Roman"/>
          <w:szCs w:val="24"/>
        </w:rPr>
        <w:t>insight</w:t>
      </w:r>
      <w:r w:rsidR="00812E5F">
        <w:rPr>
          <w:rFonts w:cs="Times New Roman"/>
          <w:szCs w:val="24"/>
        </w:rPr>
        <w:t>s</w:t>
      </w:r>
      <w:r w:rsidR="00A2000B" w:rsidRPr="00D273CE">
        <w:rPr>
          <w:rFonts w:cs="Times New Roman"/>
          <w:szCs w:val="24"/>
        </w:rPr>
        <w:t xml:space="preserve"> into identity construction and adaptation, not restricted to a current role, but as part of</w:t>
      </w:r>
      <w:r w:rsidR="005E55F8">
        <w:rPr>
          <w:rFonts w:cs="Times New Roman"/>
          <w:szCs w:val="24"/>
        </w:rPr>
        <w:t xml:space="preserve"> a process of </w:t>
      </w:r>
      <w:r w:rsidR="000E6653">
        <w:rPr>
          <w:rFonts w:cs="Times New Roman"/>
          <w:szCs w:val="24"/>
        </w:rPr>
        <w:t>‘</w:t>
      </w:r>
      <w:r w:rsidR="005E55F8">
        <w:rPr>
          <w:rFonts w:cs="Times New Roman"/>
          <w:szCs w:val="24"/>
        </w:rPr>
        <w:t>outduction</w:t>
      </w:r>
      <w:r w:rsidR="000E6653">
        <w:rPr>
          <w:rFonts w:cs="Times New Roman"/>
          <w:szCs w:val="24"/>
        </w:rPr>
        <w:t>’</w:t>
      </w:r>
      <w:r w:rsidR="005E55F8">
        <w:rPr>
          <w:rFonts w:cs="Times New Roman"/>
          <w:szCs w:val="24"/>
        </w:rPr>
        <w:t xml:space="preserve"> (Perry, 2013), </w:t>
      </w:r>
      <w:r w:rsidR="00475F36">
        <w:rPr>
          <w:rFonts w:cs="Times New Roman"/>
          <w:szCs w:val="24"/>
        </w:rPr>
        <w:t>an introduction to life beyond university</w:t>
      </w:r>
      <w:r w:rsidR="00A2000B" w:rsidRPr="00D273CE">
        <w:rPr>
          <w:rFonts w:cs="Times New Roman"/>
          <w:szCs w:val="24"/>
        </w:rPr>
        <w:t>.</w:t>
      </w:r>
    </w:p>
    <w:p w14:paraId="2624331B" w14:textId="4BDC2157" w:rsidR="00FC4A43" w:rsidRDefault="003B5DE4" w:rsidP="00FC4A43">
      <w:pPr>
        <w:jc w:val="both"/>
        <w:rPr>
          <w:rFonts w:cs="Times New Roman"/>
          <w:szCs w:val="24"/>
        </w:rPr>
      </w:pPr>
      <w:r>
        <w:rPr>
          <w:rFonts w:cs="Times New Roman"/>
          <w:szCs w:val="24"/>
        </w:rPr>
        <w:t>B</w:t>
      </w:r>
      <w:r w:rsidR="00A84FAE">
        <w:rPr>
          <w:rFonts w:cs="Times New Roman"/>
          <w:szCs w:val="24"/>
        </w:rPr>
        <w:t>eyond</w:t>
      </w:r>
      <w:r w:rsidR="00275A9E">
        <w:rPr>
          <w:rFonts w:cs="Times New Roman"/>
          <w:szCs w:val="24"/>
        </w:rPr>
        <w:t xml:space="preserve"> gaining skills and capabilities,</w:t>
      </w:r>
      <w:r w:rsidR="00DA5B11" w:rsidRPr="00D273CE">
        <w:rPr>
          <w:rFonts w:cs="Times New Roman"/>
          <w:szCs w:val="24"/>
        </w:rPr>
        <w:t xml:space="preserve"> </w:t>
      </w:r>
      <w:r>
        <w:rPr>
          <w:rFonts w:cs="Times New Roman"/>
          <w:szCs w:val="24"/>
        </w:rPr>
        <w:t xml:space="preserve">social processes </w:t>
      </w:r>
      <w:r w:rsidR="00275A9E">
        <w:rPr>
          <w:rFonts w:cs="Times New Roman"/>
          <w:szCs w:val="24"/>
        </w:rPr>
        <w:t>have been identified</w:t>
      </w:r>
      <w:r w:rsidR="00812E5F">
        <w:rPr>
          <w:rFonts w:cs="Times New Roman"/>
          <w:szCs w:val="24"/>
        </w:rPr>
        <w:t xml:space="preserve"> as important</w:t>
      </w:r>
      <w:r w:rsidR="00275A9E">
        <w:rPr>
          <w:rFonts w:cs="Times New Roman"/>
          <w:szCs w:val="24"/>
        </w:rPr>
        <w:t xml:space="preserve"> in identity construction and adaptation</w:t>
      </w:r>
      <w:r w:rsidR="00986724">
        <w:rPr>
          <w:rFonts w:cs="Times New Roman"/>
          <w:szCs w:val="24"/>
        </w:rPr>
        <w:t xml:space="preserve">, </w:t>
      </w:r>
      <w:r w:rsidR="00812E5F">
        <w:rPr>
          <w:rFonts w:cs="Times New Roman"/>
          <w:szCs w:val="24"/>
        </w:rPr>
        <w:t xml:space="preserve">such as </w:t>
      </w:r>
      <w:r w:rsidR="001120F7">
        <w:rPr>
          <w:rFonts w:cs="Times New Roman"/>
          <w:szCs w:val="24"/>
        </w:rPr>
        <w:t>the use of</w:t>
      </w:r>
      <w:r w:rsidR="00FB1725" w:rsidRPr="00D273CE">
        <w:rPr>
          <w:rFonts w:cs="Times New Roman"/>
          <w:szCs w:val="24"/>
        </w:rPr>
        <w:t xml:space="preserve"> role models</w:t>
      </w:r>
      <w:r w:rsidR="001120F7">
        <w:rPr>
          <w:rFonts w:cs="Times New Roman"/>
          <w:szCs w:val="24"/>
        </w:rPr>
        <w:t>,</w:t>
      </w:r>
      <w:r w:rsidR="00812E5F">
        <w:rPr>
          <w:rFonts w:cs="Times New Roman"/>
          <w:szCs w:val="24"/>
        </w:rPr>
        <w:t xml:space="preserve"> </w:t>
      </w:r>
      <w:r w:rsidR="00FB1725" w:rsidRPr="00D273CE">
        <w:rPr>
          <w:rFonts w:cs="Times New Roman"/>
          <w:szCs w:val="24"/>
        </w:rPr>
        <w:t xml:space="preserve">developmental networks </w:t>
      </w:r>
      <w:r w:rsidR="004F2638" w:rsidRPr="00D273CE">
        <w:rPr>
          <w:rFonts w:cs="Times New Roman"/>
          <w:szCs w:val="24"/>
        </w:rPr>
        <w:t>and exp</w:t>
      </w:r>
      <w:r w:rsidR="00FB1725" w:rsidRPr="00D273CE">
        <w:rPr>
          <w:rFonts w:cs="Times New Roman"/>
          <w:szCs w:val="24"/>
        </w:rPr>
        <w:t>erimenting with possible selves.</w:t>
      </w:r>
      <w:r w:rsidR="0063735A" w:rsidRPr="00D273CE">
        <w:rPr>
          <w:rFonts w:cs="Times New Roman"/>
          <w:szCs w:val="24"/>
        </w:rPr>
        <w:t xml:space="preserve"> </w:t>
      </w:r>
      <w:r w:rsidR="00831822" w:rsidRPr="00831822">
        <w:rPr>
          <w:rFonts w:cs="Times New Roman"/>
          <w:i/>
          <w:szCs w:val="24"/>
        </w:rPr>
        <w:t>R</w:t>
      </w:r>
      <w:r w:rsidR="00FB1725" w:rsidRPr="001D3656">
        <w:rPr>
          <w:rFonts w:cs="Times New Roman"/>
          <w:i/>
          <w:szCs w:val="24"/>
        </w:rPr>
        <w:t>ole models</w:t>
      </w:r>
      <w:r w:rsidR="00FB1725" w:rsidRPr="00D273CE">
        <w:rPr>
          <w:rFonts w:cs="Times New Roman"/>
          <w:szCs w:val="24"/>
        </w:rPr>
        <w:t xml:space="preserve"> have </w:t>
      </w:r>
      <w:r w:rsidR="00831822">
        <w:rPr>
          <w:rFonts w:cs="Times New Roman"/>
          <w:szCs w:val="24"/>
        </w:rPr>
        <w:t xml:space="preserve">been </w:t>
      </w:r>
      <w:r w:rsidR="008C7745">
        <w:rPr>
          <w:rFonts w:cs="Times New Roman"/>
          <w:szCs w:val="24"/>
        </w:rPr>
        <w:t>identified</w:t>
      </w:r>
      <w:r w:rsidR="00FB1725" w:rsidRPr="00D273CE">
        <w:rPr>
          <w:rFonts w:cs="Times New Roman"/>
          <w:szCs w:val="24"/>
        </w:rPr>
        <w:t xml:space="preserve"> as a resource for identity adaptation</w:t>
      </w:r>
      <w:r w:rsidR="001120F7">
        <w:rPr>
          <w:rFonts w:cs="Times New Roman"/>
          <w:szCs w:val="24"/>
        </w:rPr>
        <w:t xml:space="preserve"> through </w:t>
      </w:r>
      <w:r w:rsidR="008C7745">
        <w:rPr>
          <w:rFonts w:cs="Times New Roman"/>
          <w:szCs w:val="24"/>
        </w:rPr>
        <w:t xml:space="preserve">enabling </w:t>
      </w:r>
      <w:r w:rsidR="001120F7">
        <w:rPr>
          <w:rFonts w:cs="Times New Roman"/>
          <w:szCs w:val="24"/>
        </w:rPr>
        <w:t>observation of prototypical behaviours</w:t>
      </w:r>
      <w:r w:rsidR="0065268B">
        <w:rPr>
          <w:rFonts w:cs="Times New Roman"/>
          <w:szCs w:val="24"/>
        </w:rPr>
        <w:t xml:space="preserve"> (Higgins </w:t>
      </w:r>
      <w:r w:rsidR="00BF1620">
        <w:rPr>
          <w:rFonts w:cs="Times New Roman"/>
          <w:szCs w:val="24"/>
        </w:rPr>
        <w:t>and</w:t>
      </w:r>
      <w:r w:rsidR="0065268B">
        <w:rPr>
          <w:rFonts w:cs="Times New Roman"/>
          <w:szCs w:val="24"/>
        </w:rPr>
        <w:t xml:space="preserve"> Kram</w:t>
      </w:r>
      <w:r w:rsidR="00FB1725" w:rsidRPr="00D273CE">
        <w:rPr>
          <w:rFonts w:cs="Times New Roman"/>
          <w:szCs w:val="24"/>
        </w:rPr>
        <w:t xml:space="preserve"> 2001; </w:t>
      </w:r>
      <w:r w:rsidR="002F75DB">
        <w:rPr>
          <w:rFonts w:cs="Times New Roman"/>
          <w:szCs w:val="24"/>
        </w:rPr>
        <w:t xml:space="preserve">Ibarra and Petriglieri 2010; </w:t>
      </w:r>
      <w:r w:rsidR="00FB1725" w:rsidRPr="00D273CE">
        <w:rPr>
          <w:rFonts w:cs="Times New Roman"/>
          <w:szCs w:val="24"/>
        </w:rPr>
        <w:t>Singh</w:t>
      </w:r>
      <w:r w:rsidR="002F75DB">
        <w:rPr>
          <w:rFonts w:cs="Times New Roman"/>
          <w:szCs w:val="24"/>
        </w:rPr>
        <w:t xml:space="preserve">, </w:t>
      </w:r>
      <w:r w:rsidR="002F75DB" w:rsidRPr="009549C8">
        <w:t>Vinnicombe</w:t>
      </w:r>
      <w:r w:rsidR="002F75DB">
        <w:t>, and James</w:t>
      </w:r>
      <w:r w:rsidR="0065268B">
        <w:rPr>
          <w:rFonts w:cs="Times New Roman"/>
          <w:szCs w:val="24"/>
        </w:rPr>
        <w:t xml:space="preserve"> 2006</w:t>
      </w:r>
      <w:r w:rsidR="00FB1725" w:rsidRPr="00D273CE">
        <w:rPr>
          <w:rFonts w:cs="Times New Roman"/>
          <w:szCs w:val="24"/>
        </w:rPr>
        <w:t xml:space="preserve">). </w:t>
      </w:r>
      <w:r w:rsidR="007C03CC">
        <w:rPr>
          <w:rFonts w:cs="Times New Roman"/>
          <w:szCs w:val="24"/>
        </w:rPr>
        <w:t>I</w:t>
      </w:r>
      <w:r w:rsidR="007C03CC" w:rsidRPr="00D273CE">
        <w:rPr>
          <w:rFonts w:cs="Times New Roman"/>
          <w:szCs w:val="24"/>
        </w:rPr>
        <w:t xml:space="preserve">nteraction with </w:t>
      </w:r>
      <w:r w:rsidR="007C03CC" w:rsidRPr="0079538B">
        <w:rPr>
          <w:rFonts w:cs="Times New Roman"/>
          <w:i/>
          <w:szCs w:val="24"/>
        </w:rPr>
        <w:t>developmental networks</w:t>
      </w:r>
      <w:r w:rsidR="007C03CC" w:rsidRPr="00D273CE">
        <w:rPr>
          <w:rFonts w:cs="Times New Roman"/>
          <w:szCs w:val="24"/>
        </w:rPr>
        <w:t xml:space="preserve"> has also been found to impact on identity adaptation</w:t>
      </w:r>
      <w:r w:rsidR="001061FC">
        <w:rPr>
          <w:rFonts w:cs="Times New Roman"/>
          <w:szCs w:val="24"/>
        </w:rPr>
        <w:t xml:space="preserve"> (Dobrow et al. 2012; Dobrow and Higgins 2005</w:t>
      </w:r>
      <w:r w:rsidR="002F75DB">
        <w:rPr>
          <w:rFonts w:cs="Times New Roman"/>
          <w:szCs w:val="24"/>
        </w:rPr>
        <w:t>; Sweitzer 2009</w:t>
      </w:r>
      <w:r w:rsidR="001061FC">
        <w:rPr>
          <w:rFonts w:cs="Times New Roman"/>
          <w:szCs w:val="24"/>
        </w:rPr>
        <w:t>)</w:t>
      </w:r>
      <w:r w:rsidR="007C03CC" w:rsidRPr="00D273CE">
        <w:rPr>
          <w:rFonts w:cs="Times New Roman"/>
          <w:szCs w:val="24"/>
        </w:rPr>
        <w:t xml:space="preserve">. </w:t>
      </w:r>
      <w:r w:rsidR="007C03CC">
        <w:rPr>
          <w:rFonts w:cs="Times New Roman"/>
          <w:szCs w:val="24"/>
        </w:rPr>
        <w:t xml:space="preserve"> </w:t>
      </w:r>
      <w:r w:rsidR="0065268B">
        <w:rPr>
          <w:rFonts w:cs="Times New Roman"/>
          <w:szCs w:val="24"/>
        </w:rPr>
        <w:t>Dobrow</w:t>
      </w:r>
      <w:r w:rsidR="00831822">
        <w:rPr>
          <w:rFonts w:cs="Times New Roman"/>
          <w:szCs w:val="24"/>
        </w:rPr>
        <w:t xml:space="preserve"> et al</w:t>
      </w:r>
      <w:r w:rsidR="00BD0FB5">
        <w:rPr>
          <w:rFonts w:cs="Times New Roman"/>
          <w:szCs w:val="24"/>
        </w:rPr>
        <w:t>.</w:t>
      </w:r>
      <w:r w:rsidR="00275A9E" w:rsidRPr="00275A9E">
        <w:rPr>
          <w:rFonts w:cs="Times New Roman"/>
          <w:szCs w:val="24"/>
        </w:rPr>
        <w:t xml:space="preserve"> (2012) define </w:t>
      </w:r>
      <w:r w:rsidR="00275A9E" w:rsidRPr="0079538B">
        <w:rPr>
          <w:rFonts w:cs="Times New Roman"/>
          <w:szCs w:val="24"/>
        </w:rPr>
        <w:t>developmental networks</w:t>
      </w:r>
      <w:r w:rsidR="00275A9E" w:rsidRPr="00275A9E">
        <w:rPr>
          <w:rFonts w:cs="Times New Roman"/>
          <w:szCs w:val="24"/>
        </w:rPr>
        <w:t xml:space="preserve"> as people and groups who take an active inter</w:t>
      </w:r>
      <w:r w:rsidR="00275A9E">
        <w:rPr>
          <w:rFonts w:cs="Times New Roman"/>
          <w:szCs w:val="24"/>
        </w:rPr>
        <w:t>est in an individual</w:t>
      </w:r>
      <w:r w:rsidR="0045170F">
        <w:rPr>
          <w:rFonts w:cs="Times New Roman"/>
          <w:szCs w:val="24"/>
        </w:rPr>
        <w:t>’</w:t>
      </w:r>
      <w:r w:rsidR="00275A9E">
        <w:rPr>
          <w:rFonts w:cs="Times New Roman"/>
          <w:szCs w:val="24"/>
        </w:rPr>
        <w:t xml:space="preserve">s </w:t>
      </w:r>
      <w:r w:rsidR="001120F7">
        <w:rPr>
          <w:rFonts w:cs="Times New Roman"/>
          <w:szCs w:val="24"/>
        </w:rPr>
        <w:t>career</w:t>
      </w:r>
      <w:r w:rsidR="007C03CC">
        <w:rPr>
          <w:rFonts w:cs="Times New Roman"/>
          <w:szCs w:val="24"/>
        </w:rPr>
        <w:t xml:space="preserve">, such as mentors, </w:t>
      </w:r>
      <w:r w:rsidR="008C27CE">
        <w:rPr>
          <w:rFonts w:cs="Times New Roman"/>
          <w:szCs w:val="24"/>
        </w:rPr>
        <w:t>tutors</w:t>
      </w:r>
      <w:r w:rsidR="000E6653">
        <w:rPr>
          <w:rFonts w:cs="Times New Roman"/>
          <w:szCs w:val="24"/>
        </w:rPr>
        <w:t>,</w:t>
      </w:r>
      <w:r w:rsidR="008C27CE">
        <w:rPr>
          <w:rFonts w:cs="Times New Roman"/>
          <w:szCs w:val="24"/>
        </w:rPr>
        <w:t xml:space="preserve"> </w:t>
      </w:r>
      <w:r w:rsidR="007C03CC">
        <w:rPr>
          <w:rFonts w:cs="Times New Roman"/>
          <w:szCs w:val="24"/>
        </w:rPr>
        <w:t>and family members</w:t>
      </w:r>
      <w:r w:rsidR="001120F7">
        <w:rPr>
          <w:rFonts w:cs="Times New Roman"/>
          <w:szCs w:val="24"/>
        </w:rPr>
        <w:t xml:space="preserve">.  </w:t>
      </w:r>
      <w:r w:rsidR="00BF1620">
        <w:rPr>
          <w:rFonts w:cs="Times New Roman"/>
          <w:szCs w:val="24"/>
        </w:rPr>
        <w:t>A</w:t>
      </w:r>
      <w:r w:rsidR="00FB1725" w:rsidRPr="00D273CE">
        <w:rPr>
          <w:rFonts w:cs="Times New Roman"/>
          <w:szCs w:val="24"/>
        </w:rPr>
        <w:t>cceptance and confirmation of abilities</w:t>
      </w:r>
      <w:r w:rsidR="0063735A" w:rsidRPr="00D273CE">
        <w:rPr>
          <w:rFonts w:cs="Times New Roman"/>
          <w:szCs w:val="24"/>
        </w:rPr>
        <w:t>,</w:t>
      </w:r>
      <w:r w:rsidR="00FB1725" w:rsidRPr="00D273CE">
        <w:rPr>
          <w:rFonts w:cs="Times New Roman"/>
          <w:szCs w:val="24"/>
        </w:rPr>
        <w:t xml:space="preserve"> as initiated by a mentor</w:t>
      </w:r>
      <w:r w:rsidR="0063735A" w:rsidRPr="00D273CE">
        <w:rPr>
          <w:rFonts w:cs="Times New Roman"/>
          <w:szCs w:val="24"/>
        </w:rPr>
        <w:t>,</w:t>
      </w:r>
      <w:r w:rsidR="00FB1725" w:rsidRPr="00D273CE">
        <w:rPr>
          <w:rFonts w:cs="Times New Roman"/>
          <w:szCs w:val="24"/>
        </w:rPr>
        <w:t xml:space="preserve"> </w:t>
      </w:r>
      <w:r>
        <w:rPr>
          <w:rFonts w:cs="Times New Roman"/>
          <w:szCs w:val="24"/>
        </w:rPr>
        <w:t>have</w:t>
      </w:r>
      <w:r w:rsidR="00BF1620">
        <w:rPr>
          <w:rFonts w:cs="Times New Roman"/>
          <w:szCs w:val="24"/>
        </w:rPr>
        <w:t xml:space="preserve"> been found</w:t>
      </w:r>
      <w:r w:rsidR="00BF1620" w:rsidRPr="00D273CE">
        <w:rPr>
          <w:rFonts w:cs="Times New Roman"/>
          <w:szCs w:val="24"/>
        </w:rPr>
        <w:t xml:space="preserve"> </w:t>
      </w:r>
      <w:r w:rsidR="00FB1725" w:rsidRPr="00D273CE">
        <w:rPr>
          <w:rFonts w:cs="Times New Roman"/>
          <w:szCs w:val="24"/>
        </w:rPr>
        <w:t xml:space="preserve">to </w:t>
      </w:r>
      <w:r w:rsidR="00BF1620">
        <w:rPr>
          <w:rFonts w:cs="Times New Roman"/>
          <w:szCs w:val="24"/>
        </w:rPr>
        <w:t xml:space="preserve">lead to </w:t>
      </w:r>
      <w:r w:rsidR="00FB1725" w:rsidRPr="00D273CE">
        <w:rPr>
          <w:rFonts w:cs="Times New Roman"/>
          <w:szCs w:val="24"/>
        </w:rPr>
        <w:t>an improved self-image due to self-verification</w:t>
      </w:r>
      <w:r w:rsidR="00BF1620">
        <w:rPr>
          <w:rFonts w:cs="Times New Roman"/>
          <w:szCs w:val="24"/>
        </w:rPr>
        <w:t xml:space="preserve"> (</w:t>
      </w:r>
      <w:r w:rsidR="002C7854">
        <w:rPr>
          <w:rFonts w:cs="Times New Roman"/>
          <w:szCs w:val="24"/>
        </w:rPr>
        <w:t xml:space="preserve">Swann 1983; </w:t>
      </w:r>
      <w:r w:rsidR="00BF1620">
        <w:rPr>
          <w:rFonts w:cs="Times New Roman"/>
          <w:szCs w:val="24"/>
        </w:rPr>
        <w:t>Wright and Wright 1987</w:t>
      </w:r>
      <w:r w:rsidR="007C03CC">
        <w:rPr>
          <w:rFonts w:cs="Times New Roman"/>
          <w:szCs w:val="24"/>
        </w:rPr>
        <w:t>)</w:t>
      </w:r>
      <w:r w:rsidR="00FB1725" w:rsidRPr="00D273CE">
        <w:rPr>
          <w:rFonts w:cs="Times New Roman"/>
          <w:szCs w:val="24"/>
        </w:rPr>
        <w:t xml:space="preserve">.  </w:t>
      </w:r>
      <w:r w:rsidR="001120F7">
        <w:rPr>
          <w:rFonts w:cs="Times New Roman"/>
          <w:szCs w:val="24"/>
        </w:rPr>
        <w:t xml:space="preserve">Finally, </w:t>
      </w:r>
      <w:r w:rsidR="00E66796">
        <w:rPr>
          <w:rFonts w:cs="Times New Roman"/>
          <w:szCs w:val="24"/>
        </w:rPr>
        <w:t xml:space="preserve">identity </w:t>
      </w:r>
      <w:r w:rsidR="00B970C6">
        <w:rPr>
          <w:rFonts w:cs="Times New Roman"/>
          <w:szCs w:val="24"/>
        </w:rPr>
        <w:t xml:space="preserve">transition </w:t>
      </w:r>
      <w:r w:rsidR="00E66796">
        <w:rPr>
          <w:rFonts w:cs="Times New Roman"/>
          <w:szCs w:val="24"/>
        </w:rPr>
        <w:t>research has focused on</w:t>
      </w:r>
      <w:r w:rsidR="008D2947">
        <w:rPr>
          <w:rFonts w:cs="Times New Roman"/>
          <w:szCs w:val="24"/>
        </w:rPr>
        <w:t xml:space="preserve"> </w:t>
      </w:r>
      <w:r w:rsidR="008D2947" w:rsidRPr="001D3656">
        <w:rPr>
          <w:rFonts w:cs="Times New Roman"/>
          <w:i/>
          <w:szCs w:val="24"/>
        </w:rPr>
        <w:t>possible selves</w:t>
      </w:r>
      <w:r w:rsidR="00831822" w:rsidRPr="00305689">
        <w:t xml:space="preserve"> – </w:t>
      </w:r>
      <w:r w:rsidR="00137352" w:rsidRPr="001D3656">
        <w:rPr>
          <w:rFonts w:cs="Times New Roman"/>
          <w:szCs w:val="24"/>
        </w:rPr>
        <w:t xml:space="preserve">imaginings </w:t>
      </w:r>
      <w:r w:rsidR="00137352" w:rsidRPr="00D273CE">
        <w:rPr>
          <w:rFonts w:cs="Times New Roman"/>
          <w:szCs w:val="24"/>
        </w:rPr>
        <w:t>of who</w:t>
      </w:r>
      <w:r w:rsidR="0063735A" w:rsidRPr="00D273CE">
        <w:rPr>
          <w:rFonts w:cs="Times New Roman"/>
          <w:szCs w:val="24"/>
        </w:rPr>
        <w:t>m</w:t>
      </w:r>
      <w:r w:rsidR="00137352" w:rsidRPr="00D273CE">
        <w:rPr>
          <w:rFonts w:cs="Times New Roman"/>
          <w:szCs w:val="24"/>
        </w:rPr>
        <w:t xml:space="preserve"> one might become </w:t>
      </w:r>
      <w:r w:rsidR="00444B9F">
        <w:rPr>
          <w:rFonts w:cs="Times New Roman"/>
          <w:szCs w:val="24"/>
        </w:rPr>
        <w:t>(</w:t>
      </w:r>
      <w:r w:rsidR="00137352" w:rsidRPr="00D273CE">
        <w:rPr>
          <w:rFonts w:cs="Times New Roman"/>
          <w:szCs w:val="24"/>
        </w:rPr>
        <w:t>a new self-identification</w:t>
      </w:r>
      <w:r w:rsidR="00444B9F">
        <w:rPr>
          <w:rFonts w:cs="Times New Roman"/>
          <w:szCs w:val="24"/>
        </w:rPr>
        <w:t>)</w:t>
      </w:r>
      <w:r w:rsidR="000E6653">
        <w:rPr>
          <w:rFonts w:cs="Times New Roman"/>
          <w:szCs w:val="24"/>
        </w:rPr>
        <w:t xml:space="preserve"> </w:t>
      </w:r>
      <w:r w:rsidR="00E66796">
        <w:rPr>
          <w:rFonts w:cs="Times New Roman"/>
          <w:szCs w:val="24"/>
        </w:rPr>
        <w:t xml:space="preserve">(Markus and Nurius, </w:t>
      </w:r>
      <w:r w:rsidR="00E66796" w:rsidRPr="00E66796">
        <w:rPr>
          <w:rFonts w:cs="Times New Roman"/>
          <w:szCs w:val="24"/>
        </w:rPr>
        <w:t>1986</w:t>
      </w:r>
      <w:r w:rsidR="00E66796">
        <w:rPr>
          <w:rFonts w:cs="Times New Roman"/>
          <w:szCs w:val="24"/>
        </w:rPr>
        <w:t xml:space="preserve">; Stevenson </w:t>
      </w:r>
      <w:r w:rsidR="00574234">
        <w:rPr>
          <w:rFonts w:cs="Times New Roman"/>
          <w:szCs w:val="24"/>
        </w:rPr>
        <w:t>and</w:t>
      </w:r>
      <w:r w:rsidR="00E66796">
        <w:rPr>
          <w:rFonts w:cs="Times New Roman"/>
          <w:szCs w:val="24"/>
        </w:rPr>
        <w:t xml:space="preserve"> Clegg, 2011</w:t>
      </w:r>
      <w:r w:rsidR="00E66796" w:rsidRPr="00E66796">
        <w:rPr>
          <w:rFonts w:cs="Times New Roman"/>
          <w:szCs w:val="24"/>
        </w:rPr>
        <w:t>)</w:t>
      </w:r>
      <w:r w:rsidR="00137352" w:rsidRPr="00D273CE">
        <w:rPr>
          <w:rFonts w:cs="Times New Roman"/>
          <w:szCs w:val="24"/>
        </w:rPr>
        <w:t xml:space="preserve">.  </w:t>
      </w:r>
      <w:r w:rsidR="008C27CE">
        <w:rPr>
          <w:rFonts w:cs="Times New Roman"/>
          <w:szCs w:val="24"/>
        </w:rPr>
        <w:t xml:space="preserve">In this study, </w:t>
      </w:r>
      <w:r w:rsidR="008C27CE" w:rsidRPr="005A456A">
        <w:rPr>
          <w:rFonts w:cs="Times New Roman"/>
          <w:szCs w:val="24"/>
        </w:rPr>
        <w:t>tho</w:t>
      </w:r>
      <w:r w:rsidR="00B970C6" w:rsidRPr="005A456A">
        <w:rPr>
          <w:rFonts w:cs="Times New Roman"/>
          <w:szCs w:val="24"/>
        </w:rPr>
        <w:t xml:space="preserve">se </w:t>
      </w:r>
      <w:r w:rsidR="00275A9E" w:rsidRPr="008C27CE">
        <w:rPr>
          <w:rFonts w:cs="Times New Roman"/>
          <w:szCs w:val="24"/>
        </w:rPr>
        <w:t xml:space="preserve">social processes </w:t>
      </w:r>
      <w:r w:rsidR="00B970C6" w:rsidRPr="005A456A">
        <w:rPr>
          <w:rFonts w:cs="Times New Roman"/>
          <w:szCs w:val="24"/>
        </w:rPr>
        <w:lastRenderedPageBreak/>
        <w:t xml:space="preserve">productive of identity transition </w:t>
      </w:r>
      <w:r w:rsidR="00B970C6" w:rsidRPr="008C27CE">
        <w:rPr>
          <w:rFonts w:cs="Times New Roman"/>
          <w:szCs w:val="24"/>
        </w:rPr>
        <w:t xml:space="preserve">(role models, developmental networks and possible selves) </w:t>
      </w:r>
      <w:r w:rsidR="008C27CE" w:rsidRPr="005A456A">
        <w:rPr>
          <w:rFonts w:cs="Times New Roman"/>
          <w:szCs w:val="24"/>
        </w:rPr>
        <w:t>are</w:t>
      </w:r>
      <w:r w:rsidR="00E66796" w:rsidRPr="008C27CE">
        <w:rPr>
          <w:rFonts w:cs="Times New Roman"/>
          <w:szCs w:val="24"/>
        </w:rPr>
        <w:t xml:space="preserve"> </w:t>
      </w:r>
      <w:r w:rsidR="00B970C6" w:rsidRPr="005A456A">
        <w:rPr>
          <w:rFonts w:cs="Times New Roman"/>
          <w:szCs w:val="24"/>
        </w:rPr>
        <w:t>considered</w:t>
      </w:r>
      <w:r w:rsidR="008C27CE">
        <w:rPr>
          <w:rFonts w:cs="Times New Roman"/>
          <w:szCs w:val="24"/>
        </w:rPr>
        <w:t xml:space="preserve"> as identity adaptation resources</w:t>
      </w:r>
      <w:r w:rsidR="00B970C6" w:rsidRPr="005A456A">
        <w:rPr>
          <w:rFonts w:cs="Times New Roman"/>
          <w:szCs w:val="24"/>
        </w:rPr>
        <w:t xml:space="preserve"> in the wider context of </w:t>
      </w:r>
      <w:r w:rsidR="0028597D">
        <w:rPr>
          <w:rFonts w:cs="Times New Roman"/>
          <w:szCs w:val="24"/>
        </w:rPr>
        <w:t>work-related learning</w:t>
      </w:r>
      <w:r w:rsidR="00B970C6" w:rsidRPr="005A456A">
        <w:rPr>
          <w:rFonts w:cs="Times New Roman"/>
          <w:szCs w:val="24"/>
        </w:rPr>
        <w:t xml:space="preserve">.  </w:t>
      </w:r>
    </w:p>
    <w:p w14:paraId="55C969CD" w14:textId="77777777" w:rsidR="008F0AC3" w:rsidRDefault="008F0AC3" w:rsidP="008F0AC3">
      <w:pPr>
        <w:jc w:val="both"/>
        <w:rPr>
          <w:rFonts w:cs="Times New Roman"/>
          <w:szCs w:val="24"/>
        </w:rPr>
      </w:pPr>
      <w:r w:rsidRPr="008F0AC3">
        <w:rPr>
          <w:rFonts w:cs="Times New Roman"/>
          <w:szCs w:val="24"/>
        </w:rPr>
        <w:t xml:space="preserve">Holmes (2013) introduces a claim/affirmation model of identity adaptation which situates the student in an indeterminate identity zone until claims on identity are affirmed by academics or work. </w:t>
      </w:r>
      <w:r w:rsidR="009527F3">
        <w:rPr>
          <w:rFonts w:cs="Times New Roman"/>
          <w:szCs w:val="24"/>
        </w:rPr>
        <w:t>F</w:t>
      </w:r>
      <w:r w:rsidR="00703EF4" w:rsidRPr="00703EF4">
        <w:rPr>
          <w:rFonts w:cs="Times New Roman"/>
          <w:szCs w:val="24"/>
        </w:rPr>
        <w:t>or a student, the perceived need to self-identify as a professional</w:t>
      </w:r>
      <w:r w:rsidR="00BD65EF">
        <w:rPr>
          <w:rFonts w:cs="Times New Roman"/>
          <w:szCs w:val="24"/>
        </w:rPr>
        <w:t xml:space="preserve"> (for example complying with the norms of dress and self-presentation)</w:t>
      </w:r>
      <w:r w:rsidR="00C03BD4">
        <w:rPr>
          <w:rFonts w:cs="Times New Roman"/>
          <w:szCs w:val="24"/>
        </w:rPr>
        <w:t xml:space="preserve"> </w:t>
      </w:r>
      <w:r w:rsidR="00085868">
        <w:rPr>
          <w:rFonts w:cs="Times New Roman"/>
          <w:szCs w:val="24"/>
        </w:rPr>
        <w:t>in order to secure a graduate role</w:t>
      </w:r>
      <w:r w:rsidR="00C03BD4">
        <w:rPr>
          <w:rFonts w:cs="Times New Roman"/>
          <w:szCs w:val="24"/>
        </w:rPr>
        <w:t xml:space="preserve">, </w:t>
      </w:r>
      <w:r w:rsidR="00A51A20">
        <w:rPr>
          <w:rFonts w:cs="Times New Roman"/>
          <w:szCs w:val="24"/>
        </w:rPr>
        <w:t>might involve</w:t>
      </w:r>
      <w:r w:rsidR="00C03BD4">
        <w:rPr>
          <w:rFonts w:cs="Times New Roman"/>
          <w:szCs w:val="24"/>
        </w:rPr>
        <w:t xml:space="preserve"> the</w:t>
      </w:r>
      <w:r w:rsidR="007C03CC">
        <w:rPr>
          <w:rFonts w:cs="Times New Roman"/>
          <w:szCs w:val="24"/>
        </w:rPr>
        <w:t xml:space="preserve"> risk of deconstructing a consolidated and cherished student identity</w:t>
      </w:r>
      <w:r>
        <w:rPr>
          <w:rFonts w:cs="Times New Roman"/>
          <w:szCs w:val="24"/>
        </w:rPr>
        <w:t xml:space="preserve"> (B</w:t>
      </w:r>
      <w:r w:rsidR="002644AD">
        <w:rPr>
          <w:rFonts w:cs="Times New Roman"/>
          <w:szCs w:val="24"/>
        </w:rPr>
        <w:t>erg</w:t>
      </w:r>
      <w:r w:rsidR="00BD0FB5">
        <w:rPr>
          <w:rFonts w:cs="Times New Roman"/>
          <w:szCs w:val="24"/>
        </w:rPr>
        <w:t xml:space="preserve"> et al.</w:t>
      </w:r>
      <w:r>
        <w:rPr>
          <w:rFonts w:cs="Times New Roman"/>
          <w:szCs w:val="24"/>
        </w:rPr>
        <w:t xml:space="preserve"> 2017)</w:t>
      </w:r>
      <w:r w:rsidR="007C03CC">
        <w:rPr>
          <w:rFonts w:cs="Times New Roman"/>
          <w:szCs w:val="24"/>
        </w:rPr>
        <w:t xml:space="preserve">. </w:t>
      </w:r>
      <w:r w:rsidR="00917368">
        <w:rPr>
          <w:rFonts w:cs="Times New Roman"/>
          <w:szCs w:val="24"/>
        </w:rPr>
        <w:t xml:space="preserve">Using </w:t>
      </w:r>
      <w:r w:rsidR="0090196E">
        <w:rPr>
          <w:rFonts w:cs="Times New Roman"/>
          <w:szCs w:val="24"/>
        </w:rPr>
        <w:t>Holmes’ (2013)</w:t>
      </w:r>
      <w:r w:rsidR="00917368">
        <w:rPr>
          <w:rFonts w:cs="Times New Roman"/>
          <w:szCs w:val="24"/>
        </w:rPr>
        <w:t xml:space="preserve"> graduate identity approach, the aim of work-based and work-related learning is to provide students with resources for identity adaptation to support consequent identity transition to an ‘employable’ self. A </w:t>
      </w:r>
      <w:r w:rsidR="00DF3B8F" w:rsidRPr="00D273CE">
        <w:rPr>
          <w:rFonts w:cs="Times New Roman"/>
          <w:szCs w:val="24"/>
        </w:rPr>
        <w:t xml:space="preserve">lack of resources for identity work could constitute a barrier to </w:t>
      </w:r>
      <w:r>
        <w:rPr>
          <w:rFonts w:cs="Times New Roman"/>
          <w:szCs w:val="24"/>
        </w:rPr>
        <w:t xml:space="preserve">meaningful </w:t>
      </w:r>
      <w:r w:rsidR="008C27CE">
        <w:rPr>
          <w:rFonts w:cs="Times New Roman"/>
          <w:szCs w:val="24"/>
        </w:rPr>
        <w:t>engagement,</w:t>
      </w:r>
      <w:r w:rsidRPr="008F0AC3">
        <w:rPr>
          <w:rFonts w:cs="Times New Roman"/>
          <w:szCs w:val="24"/>
        </w:rPr>
        <w:t xml:space="preserve"> in turn, impact</w:t>
      </w:r>
      <w:r w:rsidR="001A1E3D">
        <w:rPr>
          <w:rFonts w:cs="Times New Roman"/>
          <w:szCs w:val="24"/>
        </w:rPr>
        <w:t>ing</w:t>
      </w:r>
      <w:r w:rsidRPr="008F0AC3">
        <w:rPr>
          <w:rFonts w:cs="Times New Roman"/>
          <w:szCs w:val="24"/>
        </w:rPr>
        <w:t xml:space="preserve"> role behaviour</w:t>
      </w:r>
      <w:r w:rsidR="008C27CE">
        <w:rPr>
          <w:rFonts w:cs="Times New Roman"/>
          <w:szCs w:val="24"/>
        </w:rPr>
        <w:t>.</w:t>
      </w:r>
      <w:r w:rsidRPr="008F0AC3">
        <w:rPr>
          <w:rFonts w:cs="Times New Roman"/>
          <w:szCs w:val="24"/>
        </w:rPr>
        <w:t xml:space="preserve"> </w:t>
      </w:r>
      <w:r w:rsidR="008C27CE">
        <w:rPr>
          <w:rFonts w:cs="Times New Roman"/>
          <w:szCs w:val="24"/>
        </w:rPr>
        <w:t xml:space="preserve">If a </w:t>
      </w:r>
      <w:r w:rsidRPr="008F0AC3">
        <w:rPr>
          <w:rFonts w:cs="Times New Roman"/>
          <w:szCs w:val="24"/>
        </w:rPr>
        <w:t>student</w:t>
      </w:r>
      <w:r w:rsidR="008C27CE">
        <w:rPr>
          <w:rFonts w:cs="Times New Roman"/>
          <w:szCs w:val="24"/>
        </w:rPr>
        <w:t>’</w:t>
      </w:r>
      <w:r w:rsidRPr="008F0AC3">
        <w:rPr>
          <w:rFonts w:cs="Times New Roman"/>
          <w:szCs w:val="24"/>
        </w:rPr>
        <w:t>s ability to enact a professional self positively influenc</w:t>
      </w:r>
      <w:r>
        <w:rPr>
          <w:rFonts w:cs="Times New Roman"/>
          <w:szCs w:val="24"/>
        </w:rPr>
        <w:t>es</w:t>
      </w:r>
      <w:r w:rsidRPr="008F0AC3">
        <w:rPr>
          <w:rFonts w:cs="Times New Roman"/>
          <w:szCs w:val="24"/>
        </w:rPr>
        <w:t xml:space="preserve"> engagement with opportunities for work-related learning and </w:t>
      </w:r>
      <w:r>
        <w:rPr>
          <w:rFonts w:cs="Times New Roman"/>
          <w:szCs w:val="24"/>
        </w:rPr>
        <w:t xml:space="preserve">subsequently </w:t>
      </w:r>
      <w:r w:rsidRPr="008F0AC3">
        <w:rPr>
          <w:rFonts w:cs="Times New Roman"/>
          <w:szCs w:val="24"/>
        </w:rPr>
        <w:t>career development</w:t>
      </w:r>
      <w:r w:rsidR="008C27CE">
        <w:rPr>
          <w:rFonts w:cs="Times New Roman"/>
          <w:szCs w:val="24"/>
        </w:rPr>
        <w:t>, then those without sufficient resources may be less able to adapt</w:t>
      </w:r>
      <w:r w:rsidR="001A1E3D">
        <w:rPr>
          <w:rFonts w:cs="Times New Roman"/>
          <w:szCs w:val="24"/>
        </w:rPr>
        <w:t>.</w:t>
      </w:r>
      <w:r w:rsidR="00934CCC">
        <w:rPr>
          <w:rFonts w:cs="Times New Roman"/>
          <w:szCs w:val="24"/>
        </w:rPr>
        <w:t xml:space="preserve"> The overarching research question to emerge from the literature is: to what extent does work-related learning impact on student identity?</w:t>
      </w:r>
    </w:p>
    <w:p w14:paraId="2AECB2E4" w14:textId="77777777" w:rsidR="008F0AC3" w:rsidRPr="008F0AC3" w:rsidRDefault="002644AD" w:rsidP="002353FC">
      <w:pPr>
        <w:ind w:firstLine="0"/>
        <w:jc w:val="both"/>
        <w:rPr>
          <w:rFonts w:cs="Times New Roman"/>
          <w:b/>
          <w:szCs w:val="24"/>
        </w:rPr>
      </w:pPr>
      <w:r>
        <w:rPr>
          <w:rFonts w:cs="Times New Roman"/>
          <w:b/>
          <w:szCs w:val="24"/>
        </w:rPr>
        <w:t>The s</w:t>
      </w:r>
      <w:r w:rsidR="008F0AC3" w:rsidRPr="008F0AC3">
        <w:rPr>
          <w:rFonts w:cs="Times New Roman"/>
          <w:b/>
          <w:szCs w:val="24"/>
        </w:rPr>
        <w:t>tudy</w:t>
      </w:r>
      <w:r>
        <w:rPr>
          <w:rFonts w:cs="Times New Roman"/>
          <w:b/>
          <w:szCs w:val="24"/>
        </w:rPr>
        <w:t xml:space="preserve"> </w:t>
      </w:r>
    </w:p>
    <w:p w14:paraId="5597B15D" w14:textId="77777777" w:rsidR="00A752D1" w:rsidRDefault="008F0AC3" w:rsidP="008F0AC3">
      <w:pPr>
        <w:jc w:val="both"/>
        <w:rPr>
          <w:rFonts w:cs="Times New Roman"/>
          <w:szCs w:val="24"/>
        </w:rPr>
      </w:pPr>
      <w:r w:rsidRPr="008F0AC3">
        <w:rPr>
          <w:rFonts w:cs="Times New Roman"/>
          <w:bCs/>
          <w:szCs w:val="24"/>
        </w:rPr>
        <w:t>Th</w:t>
      </w:r>
      <w:r w:rsidR="002644AD">
        <w:rPr>
          <w:rFonts w:cs="Times New Roman"/>
          <w:bCs/>
          <w:szCs w:val="24"/>
        </w:rPr>
        <w:t>e</w:t>
      </w:r>
      <w:r w:rsidRPr="008F0AC3">
        <w:rPr>
          <w:rFonts w:cs="Times New Roman"/>
          <w:bCs/>
          <w:szCs w:val="24"/>
        </w:rPr>
        <w:t xml:space="preserve"> study explore</w:t>
      </w:r>
      <w:r>
        <w:rPr>
          <w:rFonts w:cs="Times New Roman"/>
          <w:bCs/>
          <w:szCs w:val="24"/>
        </w:rPr>
        <w:t>d</w:t>
      </w:r>
      <w:r w:rsidR="00A752D1" w:rsidRPr="00A752D1">
        <w:rPr>
          <w:rFonts w:cs="Times New Roman"/>
          <w:szCs w:val="24"/>
        </w:rPr>
        <w:t xml:space="preserve"> the extent to which work-related </w:t>
      </w:r>
      <w:r w:rsidR="003410F9">
        <w:rPr>
          <w:rFonts w:cs="Times New Roman"/>
          <w:szCs w:val="24"/>
        </w:rPr>
        <w:t>modules</w:t>
      </w:r>
      <w:r w:rsidR="00A752D1" w:rsidRPr="00A752D1">
        <w:rPr>
          <w:rFonts w:cs="Times New Roman"/>
          <w:szCs w:val="24"/>
        </w:rPr>
        <w:t xml:space="preserve"> might provide opportunities for identity work, resulting in a change of self-identification for students.  </w:t>
      </w:r>
      <w:r w:rsidR="002353FC">
        <w:rPr>
          <w:rFonts w:cs="Times New Roman"/>
          <w:szCs w:val="24"/>
        </w:rPr>
        <w:t>Curriculum development</w:t>
      </w:r>
      <w:r w:rsidR="0028597D">
        <w:rPr>
          <w:rFonts w:cs="Times New Roman"/>
          <w:szCs w:val="24"/>
        </w:rPr>
        <w:t xml:space="preserve"> of work-related learning modules</w:t>
      </w:r>
      <w:r w:rsidR="002353FC">
        <w:rPr>
          <w:rFonts w:cs="Times New Roman"/>
          <w:szCs w:val="24"/>
        </w:rPr>
        <w:t xml:space="preserve"> in each faculty was identified </w:t>
      </w:r>
      <w:r w:rsidR="00183824">
        <w:rPr>
          <w:rFonts w:cs="Times New Roman"/>
          <w:szCs w:val="24"/>
        </w:rPr>
        <w:t xml:space="preserve">through the central project team </w:t>
      </w:r>
      <w:r w:rsidR="002353FC">
        <w:rPr>
          <w:rFonts w:cs="Times New Roman"/>
          <w:szCs w:val="24"/>
        </w:rPr>
        <w:t>and students were drawn from the subject areas detailed in Table 1</w:t>
      </w:r>
      <w:r w:rsidR="00E172C9">
        <w:rPr>
          <w:rFonts w:cs="Times New Roman"/>
          <w:szCs w:val="24"/>
        </w:rPr>
        <w:t xml:space="preserve"> to participate in an in-class survey and </w:t>
      </w:r>
      <w:r w:rsidR="000E6653">
        <w:rPr>
          <w:rFonts w:cs="Times New Roman"/>
          <w:szCs w:val="24"/>
        </w:rPr>
        <w:t xml:space="preserve">some </w:t>
      </w:r>
      <w:r w:rsidR="00E172C9">
        <w:rPr>
          <w:rFonts w:cs="Times New Roman"/>
          <w:szCs w:val="24"/>
        </w:rPr>
        <w:t>follow up interview</w:t>
      </w:r>
      <w:r w:rsidR="000E6653">
        <w:rPr>
          <w:rFonts w:cs="Times New Roman"/>
          <w:szCs w:val="24"/>
        </w:rPr>
        <w:t>s</w:t>
      </w:r>
      <w:r w:rsidR="002353FC">
        <w:rPr>
          <w:rFonts w:cs="Times New Roman"/>
          <w:szCs w:val="24"/>
        </w:rPr>
        <w:t>.</w:t>
      </w:r>
      <w:r w:rsidR="00183824">
        <w:rPr>
          <w:rFonts w:cs="Times New Roman"/>
          <w:szCs w:val="24"/>
        </w:rPr>
        <w:t xml:space="preserve"> In each case the sample size related to the class sizes of the newly developed courses</w:t>
      </w:r>
      <w:r w:rsidR="007D6941">
        <w:rPr>
          <w:rFonts w:cs="Times New Roman"/>
          <w:szCs w:val="24"/>
        </w:rPr>
        <w:t xml:space="preserve"> as surveys were distributed in-class</w:t>
      </w:r>
      <w:r w:rsidR="00183824">
        <w:rPr>
          <w:rFonts w:cs="Times New Roman"/>
          <w:szCs w:val="24"/>
        </w:rPr>
        <w:t>.</w:t>
      </w:r>
    </w:p>
    <w:p w14:paraId="377C2323" w14:textId="77777777" w:rsidR="0034251C" w:rsidRDefault="0034251C" w:rsidP="008F0AC3">
      <w:pPr>
        <w:jc w:val="both"/>
        <w:rPr>
          <w:rFonts w:cs="Times New Roman"/>
          <w:szCs w:val="24"/>
        </w:rPr>
      </w:pPr>
      <w:r>
        <w:rPr>
          <w:rFonts w:cs="Times New Roman"/>
          <w:szCs w:val="24"/>
        </w:rPr>
        <w:t>[Table 1 about here]</w:t>
      </w:r>
    </w:p>
    <w:p w14:paraId="305CD433" w14:textId="77777777" w:rsidR="002353FC" w:rsidRDefault="002353FC" w:rsidP="002353FC">
      <w:pPr>
        <w:pStyle w:val="references"/>
        <w:ind w:hanging="720"/>
      </w:pPr>
    </w:p>
    <w:p w14:paraId="7445843D" w14:textId="1A1D8F1F" w:rsidR="006A6B06" w:rsidRDefault="002644AD" w:rsidP="006A6B06">
      <w:pPr>
        <w:ind w:firstLine="0"/>
        <w:jc w:val="both"/>
        <w:rPr>
          <w:rFonts w:cs="Times New Roman"/>
          <w:szCs w:val="24"/>
        </w:rPr>
      </w:pPr>
      <w:r>
        <w:rPr>
          <w:rFonts w:cs="Times New Roman"/>
          <w:szCs w:val="24"/>
        </w:rPr>
        <w:t>The approach to embedding employability varied across disciplines. I</w:t>
      </w:r>
      <w:r w:rsidR="006A6B06">
        <w:rPr>
          <w:rFonts w:cs="Times New Roman"/>
          <w:szCs w:val="24"/>
        </w:rPr>
        <w:t>n Computer Science, all students ha</w:t>
      </w:r>
      <w:r w:rsidR="005A6FCF">
        <w:rPr>
          <w:rFonts w:cs="Times New Roman"/>
          <w:szCs w:val="24"/>
        </w:rPr>
        <w:t>d</w:t>
      </w:r>
      <w:r w:rsidR="006A6B06">
        <w:rPr>
          <w:rFonts w:cs="Times New Roman"/>
          <w:szCs w:val="24"/>
        </w:rPr>
        <w:t xml:space="preserve"> access to a </w:t>
      </w:r>
      <w:r w:rsidR="005A6FCF">
        <w:rPr>
          <w:rFonts w:cs="Times New Roman"/>
          <w:szCs w:val="24"/>
        </w:rPr>
        <w:t xml:space="preserve">long-established </w:t>
      </w:r>
      <w:r w:rsidR="006A6B06">
        <w:rPr>
          <w:rFonts w:cs="Times New Roman"/>
          <w:szCs w:val="24"/>
        </w:rPr>
        <w:t>one</w:t>
      </w:r>
      <w:r w:rsidR="000E6653">
        <w:rPr>
          <w:rFonts w:cs="Times New Roman"/>
          <w:szCs w:val="24"/>
        </w:rPr>
        <w:t>-</w:t>
      </w:r>
      <w:r w:rsidR="006A6B06">
        <w:rPr>
          <w:rFonts w:cs="Times New Roman"/>
          <w:szCs w:val="24"/>
        </w:rPr>
        <w:t>year paid placement</w:t>
      </w:r>
      <w:r w:rsidR="005A6FCF">
        <w:rPr>
          <w:rFonts w:cs="Times New Roman"/>
          <w:szCs w:val="24"/>
        </w:rPr>
        <w:t xml:space="preserve">, and module development focused upon embedding new </w:t>
      </w:r>
      <w:r w:rsidR="006A6B06">
        <w:rPr>
          <w:rFonts w:cs="Times New Roman"/>
          <w:szCs w:val="24"/>
        </w:rPr>
        <w:t>work-related professional practice module</w:t>
      </w:r>
      <w:r w:rsidR="005A6FCF">
        <w:rPr>
          <w:rFonts w:cs="Times New Roman"/>
          <w:szCs w:val="24"/>
        </w:rPr>
        <w:t>s</w:t>
      </w:r>
      <w:r w:rsidR="006A6B06">
        <w:rPr>
          <w:rFonts w:cs="Times New Roman"/>
          <w:szCs w:val="24"/>
        </w:rPr>
        <w:t xml:space="preserve"> with project briefs supplied by external organisations. Both Film and Graphic Design </w:t>
      </w:r>
      <w:r w:rsidR="00864207">
        <w:rPr>
          <w:rFonts w:cs="Times New Roman"/>
          <w:szCs w:val="24"/>
        </w:rPr>
        <w:t>course</w:t>
      </w:r>
      <w:r w:rsidR="001A1E3D">
        <w:rPr>
          <w:rFonts w:cs="Times New Roman"/>
          <w:szCs w:val="24"/>
        </w:rPr>
        <w:t xml:space="preserve">s </w:t>
      </w:r>
      <w:r w:rsidR="006A6B06">
        <w:rPr>
          <w:rFonts w:cs="Times New Roman"/>
          <w:szCs w:val="24"/>
        </w:rPr>
        <w:t>had introduced an embedded employability semester featuring placement, stud</w:t>
      </w:r>
      <w:r w:rsidR="00B765BC">
        <w:rPr>
          <w:rFonts w:cs="Times New Roman"/>
          <w:szCs w:val="24"/>
        </w:rPr>
        <w:t>y</w:t>
      </w:r>
      <w:r w:rsidR="006A6B06">
        <w:rPr>
          <w:rFonts w:cs="Times New Roman"/>
          <w:szCs w:val="24"/>
        </w:rPr>
        <w:t xml:space="preserve"> abroad, work-related project work </w:t>
      </w:r>
      <w:r w:rsidR="001A1E3D">
        <w:rPr>
          <w:rFonts w:cs="Times New Roman"/>
          <w:szCs w:val="24"/>
        </w:rPr>
        <w:t xml:space="preserve">or </w:t>
      </w:r>
      <w:r w:rsidR="006A6B06">
        <w:rPr>
          <w:rFonts w:cs="Times New Roman"/>
          <w:szCs w:val="24"/>
        </w:rPr>
        <w:t>entrepreneurship opportunities. The students participating from Vet Nursing were at an early stage of their course but had all been made aware of future opportunities for work-based projects. Finally</w:t>
      </w:r>
      <w:r w:rsidR="00B765BC">
        <w:rPr>
          <w:rFonts w:cs="Times New Roman"/>
          <w:szCs w:val="24"/>
        </w:rPr>
        <w:t>,</w:t>
      </w:r>
      <w:r w:rsidR="006A6B06">
        <w:rPr>
          <w:rFonts w:cs="Times New Roman"/>
          <w:szCs w:val="24"/>
        </w:rPr>
        <w:t xml:space="preserve"> the Law students were active in running a law clinic with external clients.</w:t>
      </w:r>
    </w:p>
    <w:p w14:paraId="29EEFE97" w14:textId="09D271E0" w:rsidR="00FC4A43" w:rsidRDefault="00B97017" w:rsidP="00FC4A43">
      <w:pPr>
        <w:jc w:val="both"/>
      </w:pPr>
      <w:r>
        <w:t>An exploratory sequential mixed methods design (</w:t>
      </w:r>
      <w:r w:rsidR="00540142">
        <w:t xml:space="preserve">Creswell 2013) was deployed, with </w:t>
      </w:r>
      <w:r w:rsidR="008C27CE">
        <w:t xml:space="preserve">survey </w:t>
      </w:r>
      <w:r>
        <w:t>data collec</w:t>
      </w:r>
      <w:r w:rsidR="00540142">
        <w:t>tion and analysis,</w:t>
      </w:r>
      <w:r>
        <w:t xml:space="preserve"> followed </w:t>
      </w:r>
      <w:r w:rsidR="00540142">
        <w:t xml:space="preserve">by </w:t>
      </w:r>
      <w:r w:rsidR="008C27CE">
        <w:t xml:space="preserve">interview </w:t>
      </w:r>
      <w:r w:rsidR="00540142">
        <w:t>data collection,</w:t>
      </w:r>
      <w:r>
        <w:t xml:space="preserve"> to investigate the </w:t>
      </w:r>
      <w:r w:rsidR="008C27CE">
        <w:t xml:space="preserve">survey </w:t>
      </w:r>
      <w:r>
        <w:t xml:space="preserve">results in more detail. </w:t>
      </w:r>
      <w:r w:rsidR="000D69B7">
        <w:t>Student identity has been explored elsewhere using surveys (for example,</w:t>
      </w:r>
      <w:r w:rsidR="000D69B7" w:rsidRPr="000D69B7">
        <w:t xml:space="preserve"> Brenner, Serpe, </w:t>
      </w:r>
      <w:r w:rsidR="00574234">
        <w:t>and</w:t>
      </w:r>
      <w:r w:rsidR="000D69B7" w:rsidRPr="000D69B7">
        <w:t xml:space="preserve"> Stryker</w:t>
      </w:r>
      <w:r w:rsidR="000D69B7">
        <w:t xml:space="preserve"> </w:t>
      </w:r>
      <w:r w:rsidR="000D69B7" w:rsidRPr="000D69B7">
        <w:t>2014</w:t>
      </w:r>
      <w:r w:rsidR="000D69B7">
        <w:t xml:space="preserve">; Smith, Sobolewska </w:t>
      </w:r>
      <w:r w:rsidR="00574234">
        <w:t>and</w:t>
      </w:r>
      <w:r w:rsidR="000D69B7">
        <w:t xml:space="preserve"> Smith 2014). </w:t>
      </w:r>
      <w:r w:rsidR="00540142">
        <w:t>S</w:t>
      </w:r>
      <w:r w:rsidR="0024578A">
        <w:t>urvey data created opportunities for conceptualising variables (for example</w:t>
      </w:r>
      <w:r w:rsidR="00B765BC">
        <w:t>,</w:t>
      </w:r>
      <w:r w:rsidR="0024578A">
        <w:t xml:space="preserve"> role models and developmental networks), tracing trends using demographic data, and identifying relationships</w:t>
      </w:r>
      <w:r w:rsidR="008C27CE">
        <w:t>.</w:t>
      </w:r>
      <w:r w:rsidR="0024578A">
        <w:t xml:space="preserve"> </w:t>
      </w:r>
      <w:r w:rsidR="008C27CE">
        <w:t>I</w:t>
      </w:r>
      <w:r w:rsidR="0024578A">
        <w:t>nterview data enabled a more nuanced understanding of students’ engagement with identity work from a smaller sample.</w:t>
      </w:r>
      <w:r w:rsidR="00540142" w:rsidRPr="00540142">
        <w:t xml:space="preserve"> </w:t>
      </w:r>
    </w:p>
    <w:p w14:paraId="50A9A605" w14:textId="77777777" w:rsidR="00213190" w:rsidRDefault="006A6B06" w:rsidP="00213190">
      <w:pPr>
        <w:jc w:val="both"/>
        <w:rPr>
          <w:rFonts w:cs="Times New Roman"/>
          <w:szCs w:val="24"/>
        </w:rPr>
      </w:pPr>
      <w:r>
        <w:rPr>
          <w:rFonts w:cs="Times New Roman"/>
          <w:szCs w:val="24"/>
        </w:rPr>
        <w:t>Survey q</w:t>
      </w:r>
      <w:r w:rsidRPr="006A6B06">
        <w:rPr>
          <w:rFonts w:cs="Times New Roman"/>
          <w:szCs w:val="24"/>
        </w:rPr>
        <w:t xml:space="preserve">uestions were designed to uncover students’ attitudes to the new </w:t>
      </w:r>
      <w:r w:rsidR="003410F9">
        <w:rPr>
          <w:rFonts w:cs="Times New Roman"/>
          <w:szCs w:val="24"/>
        </w:rPr>
        <w:t>modules</w:t>
      </w:r>
      <w:r w:rsidRPr="006A6B06">
        <w:rPr>
          <w:rFonts w:cs="Times New Roman"/>
          <w:szCs w:val="24"/>
        </w:rPr>
        <w:t xml:space="preserve">, including perceived advantages or drawbacks in undertaking work-related learning and work placements, and to elicit perceptions of work experience and resources for identity work. Specific questions explored the impact of role models, developmental networks, and whether students could imagine a possible ‘working self’. </w:t>
      </w:r>
    </w:p>
    <w:p w14:paraId="1752EC61" w14:textId="4DDA5B56" w:rsidR="0046277B" w:rsidRPr="00D273CE" w:rsidRDefault="00522B43" w:rsidP="00213190">
      <w:pPr>
        <w:jc w:val="both"/>
        <w:rPr>
          <w:rFonts w:cs="Times New Roman"/>
          <w:szCs w:val="24"/>
        </w:rPr>
      </w:pPr>
      <w:r>
        <w:rPr>
          <w:rFonts w:cs="Times New Roman"/>
          <w:szCs w:val="24"/>
        </w:rPr>
        <w:t xml:space="preserve">Based on the survey data, </w:t>
      </w:r>
      <w:r w:rsidR="006A6B06">
        <w:rPr>
          <w:rFonts w:cs="Times New Roman"/>
          <w:szCs w:val="24"/>
        </w:rPr>
        <w:t>t</w:t>
      </w:r>
      <w:r w:rsidR="00B14280">
        <w:rPr>
          <w:rFonts w:cs="Times New Roman"/>
          <w:szCs w:val="24"/>
        </w:rPr>
        <w:t>welve</w:t>
      </w:r>
      <w:r w:rsidR="006D6A60">
        <w:rPr>
          <w:rFonts w:cs="Times New Roman"/>
          <w:szCs w:val="24"/>
        </w:rPr>
        <w:t xml:space="preserve"> follow-up</w:t>
      </w:r>
      <w:r w:rsidR="003B44FE">
        <w:rPr>
          <w:rFonts w:cs="Times New Roman"/>
          <w:szCs w:val="24"/>
        </w:rPr>
        <w:t xml:space="preserve"> </w:t>
      </w:r>
      <w:r w:rsidR="00441BAC">
        <w:rPr>
          <w:rFonts w:cs="Times New Roman"/>
          <w:szCs w:val="24"/>
        </w:rPr>
        <w:t xml:space="preserve">interview questions </w:t>
      </w:r>
      <w:r>
        <w:rPr>
          <w:rFonts w:cs="Times New Roman"/>
          <w:szCs w:val="24"/>
        </w:rPr>
        <w:t xml:space="preserve">were developed </w:t>
      </w:r>
      <w:r w:rsidR="006A6B06">
        <w:rPr>
          <w:rFonts w:cs="Times New Roman"/>
          <w:szCs w:val="24"/>
        </w:rPr>
        <w:t>to</w:t>
      </w:r>
      <w:r w:rsidR="00441BAC">
        <w:rPr>
          <w:rFonts w:cs="Times New Roman"/>
          <w:szCs w:val="24"/>
        </w:rPr>
        <w:t xml:space="preserve"> elicit </w:t>
      </w:r>
      <w:r w:rsidR="006D6A60">
        <w:rPr>
          <w:rFonts w:cs="Times New Roman"/>
          <w:szCs w:val="24"/>
        </w:rPr>
        <w:t xml:space="preserve">deeper, personalised </w:t>
      </w:r>
      <w:r w:rsidR="00441BAC">
        <w:rPr>
          <w:rFonts w:cs="Times New Roman"/>
          <w:szCs w:val="24"/>
        </w:rPr>
        <w:t xml:space="preserve">information about </w:t>
      </w:r>
      <w:r w:rsidR="006D6A60">
        <w:rPr>
          <w:rFonts w:cs="Times New Roman"/>
          <w:szCs w:val="24"/>
        </w:rPr>
        <w:t xml:space="preserve">identity and the social processes involved in identity </w:t>
      </w:r>
      <w:r w:rsidR="006D6A60">
        <w:rPr>
          <w:rFonts w:cs="Times New Roman"/>
          <w:szCs w:val="24"/>
        </w:rPr>
        <w:lastRenderedPageBreak/>
        <w:t>adaptation. Participants were asked about</w:t>
      </w:r>
      <w:r w:rsidR="00441BAC">
        <w:rPr>
          <w:rFonts w:cs="Times New Roman"/>
          <w:szCs w:val="24"/>
        </w:rPr>
        <w:t xml:space="preserve"> their role models and developmental networks, and </w:t>
      </w:r>
      <w:r w:rsidR="006D6A60">
        <w:rPr>
          <w:rFonts w:cs="Times New Roman"/>
          <w:szCs w:val="24"/>
        </w:rPr>
        <w:t>were invited to</w:t>
      </w:r>
      <w:r w:rsidR="00441BAC">
        <w:rPr>
          <w:rFonts w:cs="Times New Roman"/>
          <w:szCs w:val="24"/>
        </w:rPr>
        <w:t xml:space="preserve"> </w:t>
      </w:r>
      <w:r w:rsidR="006D6A60">
        <w:rPr>
          <w:rFonts w:cs="Times New Roman"/>
          <w:szCs w:val="24"/>
        </w:rPr>
        <w:t xml:space="preserve">picture </w:t>
      </w:r>
      <w:r w:rsidR="00496B1D">
        <w:rPr>
          <w:rFonts w:cs="Times New Roman"/>
          <w:szCs w:val="24"/>
        </w:rPr>
        <w:t xml:space="preserve">and </w:t>
      </w:r>
      <w:r w:rsidR="006D6A60">
        <w:rPr>
          <w:rFonts w:cs="Times New Roman"/>
          <w:szCs w:val="24"/>
        </w:rPr>
        <w:t xml:space="preserve">describe </w:t>
      </w:r>
      <w:r w:rsidR="00441BAC">
        <w:rPr>
          <w:rFonts w:cs="Times New Roman"/>
          <w:szCs w:val="24"/>
        </w:rPr>
        <w:t xml:space="preserve">their current student-self and future professional-self. </w:t>
      </w:r>
      <w:r w:rsidR="003B44FE">
        <w:rPr>
          <w:rFonts w:cs="Times New Roman"/>
          <w:szCs w:val="24"/>
        </w:rPr>
        <w:t xml:space="preserve">They were asked </w:t>
      </w:r>
      <w:r w:rsidR="00496B1D">
        <w:rPr>
          <w:rFonts w:cs="Times New Roman"/>
          <w:szCs w:val="24"/>
        </w:rPr>
        <w:t>about the</w:t>
      </w:r>
      <w:r w:rsidR="003B44FE">
        <w:rPr>
          <w:rFonts w:cs="Times New Roman"/>
          <w:szCs w:val="24"/>
        </w:rPr>
        <w:t xml:space="preserve"> influence </w:t>
      </w:r>
      <w:r w:rsidR="00496B1D">
        <w:rPr>
          <w:rFonts w:cs="Times New Roman"/>
          <w:szCs w:val="24"/>
        </w:rPr>
        <w:t>of</w:t>
      </w:r>
      <w:r w:rsidR="003B44FE">
        <w:rPr>
          <w:rFonts w:cs="Times New Roman"/>
          <w:szCs w:val="24"/>
        </w:rPr>
        <w:t xml:space="preserve"> </w:t>
      </w:r>
      <w:r w:rsidR="003B44FE" w:rsidRPr="003B44FE">
        <w:rPr>
          <w:rFonts w:cs="Times New Roman"/>
          <w:szCs w:val="24"/>
        </w:rPr>
        <w:t>role mo</w:t>
      </w:r>
      <w:r w:rsidR="003B44FE">
        <w:rPr>
          <w:rFonts w:cs="Times New Roman"/>
          <w:szCs w:val="24"/>
        </w:rPr>
        <w:t xml:space="preserve">dels, mentors, and </w:t>
      </w:r>
      <w:r w:rsidR="003B44FE" w:rsidRPr="003B44FE">
        <w:rPr>
          <w:rFonts w:cs="Times New Roman"/>
          <w:szCs w:val="24"/>
        </w:rPr>
        <w:t>previous experience</w:t>
      </w:r>
      <w:r w:rsidR="003B44FE">
        <w:rPr>
          <w:rFonts w:cs="Times New Roman"/>
          <w:szCs w:val="24"/>
        </w:rPr>
        <w:t>. They were also asked who they talked to about their courses and careers</w:t>
      </w:r>
      <w:r w:rsidR="000F526D">
        <w:rPr>
          <w:rFonts w:cs="Times New Roman"/>
          <w:szCs w:val="24"/>
        </w:rPr>
        <w:t>,</w:t>
      </w:r>
      <w:r w:rsidR="003B44FE">
        <w:rPr>
          <w:rFonts w:cs="Times New Roman"/>
          <w:szCs w:val="24"/>
        </w:rPr>
        <w:t xml:space="preserve"> and about </w:t>
      </w:r>
      <w:r w:rsidR="00D84CA3">
        <w:rPr>
          <w:rFonts w:cs="Times New Roman"/>
          <w:szCs w:val="24"/>
        </w:rPr>
        <w:t xml:space="preserve">activities beyond university such as work experience and volunteering. Each interview took </w:t>
      </w:r>
      <w:r w:rsidR="00150DB7">
        <w:rPr>
          <w:rFonts w:cs="Times New Roman"/>
          <w:szCs w:val="24"/>
        </w:rPr>
        <w:t xml:space="preserve">approximately </w:t>
      </w:r>
      <w:r w:rsidR="00D84CA3">
        <w:rPr>
          <w:rFonts w:cs="Times New Roman"/>
          <w:szCs w:val="24"/>
        </w:rPr>
        <w:t>20 minutes</w:t>
      </w:r>
      <w:r w:rsidR="00540142">
        <w:rPr>
          <w:rFonts w:cs="Times New Roman"/>
          <w:szCs w:val="24"/>
        </w:rPr>
        <w:t>, was</w:t>
      </w:r>
      <w:r w:rsidR="00D84CA3">
        <w:rPr>
          <w:rFonts w:cs="Times New Roman"/>
          <w:szCs w:val="24"/>
        </w:rPr>
        <w:t xml:space="preserve"> audio recorded</w:t>
      </w:r>
      <w:r w:rsidR="006D4532">
        <w:rPr>
          <w:rFonts w:cs="Times New Roman"/>
          <w:szCs w:val="24"/>
        </w:rPr>
        <w:t>,</w:t>
      </w:r>
      <w:r w:rsidR="00D84CA3">
        <w:rPr>
          <w:rFonts w:cs="Times New Roman"/>
          <w:szCs w:val="24"/>
        </w:rPr>
        <w:t xml:space="preserve"> and </w:t>
      </w:r>
      <w:r w:rsidR="00FF2F92">
        <w:rPr>
          <w:rFonts w:cs="Times New Roman"/>
          <w:szCs w:val="24"/>
        </w:rPr>
        <w:t xml:space="preserve">then </w:t>
      </w:r>
      <w:r w:rsidR="00D84CA3">
        <w:rPr>
          <w:rFonts w:cs="Times New Roman"/>
          <w:szCs w:val="24"/>
        </w:rPr>
        <w:t>transcribed.</w:t>
      </w:r>
      <w:r w:rsidR="006D6A60">
        <w:rPr>
          <w:rFonts w:cs="Times New Roman"/>
          <w:szCs w:val="24"/>
        </w:rPr>
        <w:t xml:space="preserve"> The interview data was used to illustrate </w:t>
      </w:r>
      <w:r w:rsidR="00CF1AA3">
        <w:rPr>
          <w:rFonts w:cs="Times New Roman"/>
          <w:szCs w:val="24"/>
        </w:rPr>
        <w:t xml:space="preserve">and elucidate </w:t>
      </w:r>
      <w:r>
        <w:rPr>
          <w:rFonts w:cs="Times New Roman"/>
          <w:szCs w:val="24"/>
        </w:rPr>
        <w:t xml:space="preserve">personal </w:t>
      </w:r>
      <w:r w:rsidR="006D6A60">
        <w:rPr>
          <w:rFonts w:cs="Times New Roman"/>
          <w:szCs w:val="24"/>
        </w:rPr>
        <w:t xml:space="preserve">examples </w:t>
      </w:r>
      <w:r>
        <w:rPr>
          <w:rFonts w:cs="Times New Roman"/>
          <w:szCs w:val="24"/>
        </w:rPr>
        <w:t>during the analysis of the survey data.</w:t>
      </w:r>
    </w:p>
    <w:p w14:paraId="6343018E" w14:textId="77777777" w:rsidR="00267B05" w:rsidRPr="00D273CE" w:rsidRDefault="00DD5216" w:rsidP="00584C61">
      <w:pPr>
        <w:pStyle w:val="Heading1"/>
        <w:jc w:val="both"/>
      </w:pPr>
      <w:r w:rsidRPr="00D273CE">
        <w:t>Results</w:t>
      </w:r>
    </w:p>
    <w:p w14:paraId="1C9F86E5" w14:textId="55D23A06" w:rsidR="00000440" w:rsidRDefault="005D7B65" w:rsidP="00000440">
      <w:pPr>
        <w:jc w:val="both"/>
        <w:rPr>
          <w:rFonts w:cs="Times New Roman"/>
          <w:szCs w:val="24"/>
        </w:rPr>
      </w:pPr>
      <w:r w:rsidRPr="005D7B65">
        <w:rPr>
          <w:rFonts w:cs="Times New Roman"/>
          <w:szCs w:val="24"/>
        </w:rPr>
        <w:t>Identity theory recognises a relatively stable identity position where transitions require some kind of identity work</w:t>
      </w:r>
      <w:r w:rsidR="00111FD5">
        <w:rPr>
          <w:rFonts w:cs="Times New Roman"/>
          <w:szCs w:val="24"/>
        </w:rPr>
        <w:t>, and s</w:t>
      </w:r>
      <w:r w:rsidRPr="005D7B65">
        <w:rPr>
          <w:rFonts w:cs="Times New Roman"/>
          <w:szCs w:val="24"/>
        </w:rPr>
        <w:t xml:space="preserve">o the </w:t>
      </w:r>
      <w:r w:rsidR="00E94345">
        <w:rPr>
          <w:rFonts w:cs="Times New Roman"/>
          <w:szCs w:val="24"/>
        </w:rPr>
        <w:t>study</w:t>
      </w:r>
      <w:r w:rsidRPr="005D7B65">
        <w:rPr>
          <w:rFonts w:cs="Times New Roman"/>
          <w:szCs w:val="24"/>
        </w:rPr>
        <w:t xml:space="preserve"> explored </w:t>
      </w:r>
      <w:r w:rsidR="00625041" w:rsidRPr="00625041">
        <w:rPr>
          <w:rFonts w:cs="Times New Roman"/>
          <w:szCs w:val="24"/>
        </w:rPr>
        <w:t xml:space="preserve">the extent to which work-related learning </w:t>
      </w:r>
      <w:r w:rsidR="00625041">
        <w:rPr>
          <w:rFonts w:cs="Times New Roman"/>
          <w:szCs w:val="24"/>
        </w:rPr>
        <w:t>impacted</w:t>
      </w:r>
      <w:r w:rsidR="00625041" w:rsidRPr="00625041">
        <w:rPr>
          <w:rFonts w:cs="Times New Roman"/>
          <w:szCs w:val="24"/>
        </w:rPr>
        <w:t xml:space="preserve"> on student identity</w:t>
      </w:r>
      <w:r w:rsidR="00625041">
        <w:rPr>
          <w:rFonts w:cs="Times New Roman"/>
          <w:szCs w:val="24"/>
        </w:rPr>
        <w:t>, for example, through recognisable identity work. In particular</w:t>
      </w:r>
      <w:r w:rsidR="00CF1AA3">
        <w:rPr>
          <w:rFonts w:cs="Times New Roman"/>
          <w:szCs w:val="24"/>
        </w:rPr>
        <w:t>:</w:t>
      </w:r>
      <w:r w:rsidR="00625041">
        <w:rPr>
          <w:rFonts w:cs="Times New Roman"/>
          <w:szCs w:val="24"/>
        </w:rPr>
        <w:t xml:space="preserve"> </w:t>
      </w:r>
      <w:r w:rsidRPr="005D7B65">
        <w:rPr>
          <w:rFonts w:cs="Times New Roman"/>
          <w:szCs w:val="24"/>
        </w:rPr>
        <w:t xml:space="preserve">the ways in which participants constructed their identities </w:t>
      </w:r>
      <w:r w:rsidR="000C3DA6">
        <w:rPr>
          <w:rFonts w:cs="Times New Roman"/>
          <w:szCs w:val="24"/>
        </w:rPr>
        <w:t>and</w:t>
      </w:r>
      <w:r w:rsidRPr="005D7B65">
        <w:rPr>
          <w:rFonts w:cs="Times New Roman"/>
          <w:szCs w:val="24"/>
        </w:rPr>
        <w:t xml:space="preserve"> the nature of </w:t>
      </w:r>
      <w:r w:rsidR="00625041">
        <w:rPr>
          <w:rFonts w:cs="Times New Roman"/>
          <w:szCs w:val="24"/>
        </w:rPr>
        <w:t>associated</w:t>
      </w:r>
      <w:r w:rsidR="00625041" w:rsidRPr="005D7B65">
        <w:rPr>
          <w:rFonts w:cs="Times New Roman"/>
          <w:szCs w:val="24"/>
        </w:rPr>
        <w:t xml:space="preserve"> </w:t>
      </w:r>
      <w:r w:rsidRPr="005D7B65">
        <w:rPr>
          <w:rFonts w:cs="Times New Roman"/>
          <w:szCs w:val="24"/>
        </w:rPr>
        <w:t>identity work</w:t>
      </w:r>
      <w:r w:rsidR="00625041">
        <w:rPr>
          <w:rFonts w:cs="Times New Roman"/>
          <w:szCs w:val="24"/>
        </w:rPr>
        <w:t xml:space="preserve"> in the context of these new modules</w:t>
      </w:r>
      <w:r w:rsidRPr="005D7B65">
        <w:rPr>
          <w:rFonts w:cs="Times New Roman"/>
          <w:szCs w:val="24"/>
        </w:rPr>
        <w:t xml:space="preserve">.  </w:t>
      </w:r>
    </w:p>
    <w:p w14:paraId="2F06BEA8" w14:textId="77777777" w:rsidR="00000440" w:rsidRPr="00000440" w:rsidRDefault="00000440" w:rsidP="00000440">
      <w:pPr>
        <w:pStyle w:val="Heading2"/>
      </w:pPr>
      <w:r w:rsidRPr="00000440">
        <w:t>Factors relating to course choice</w:t>
      </w:r>
      <w:r>
        <w:t xml:space="preserve"> and placement awareness and intentions</w:t>
      </w:r>
    </w:p>
    <w:p w14:paraId="30CD071A" w14:textId="77777777" w:rsidR="00000440" w:rsidRDefault="00000440" w:rsidP="00000440">
      <w:pPr>
        <w:jc w:val="both"/>
        <w:rPr>
          <w:rFonts w:cs="Times New Roman"/>
          <w:szCs w:val="24"/>
        </w:rPr>
      </w:pPr>
      <w:r>
        <w:rPr>
          <w:rFonts w:cs="Times New Roman"/>
          <w:szCs w:val="24"/>
        </w:rPr>
        <w:t>To determine how work experience impacted on course choices</w:t>
      </w:r>
      <w:r w:rsidR="00CF1AA3">
        <w:rPr>
          <w:rFonts w:cs="Times New Roman"/>
          <w:szCs w:val="24"/>
        </w:rPr>
        <w:t>,</w:t>
      </w:r>
      <w:r>
        <w:rPr>
          <w:rFonts w:cs="Times New Roman"/>
          <w:szCs w:val="24"/>
        </w:rPr>
        <w:t xml:space="preserve"> the survey asked </w:t>
      </w:r>
      <w:r w:rsidR="00E94345">
        <w:rPr>
          <w:rFonts w:cs="Times New Roman"/>
          <w:szCs w:val="24"/>
        </w:rPr>
        <w:t>about the</w:t>
      </w:r>
      <w:r w:rsidR="00875E5A" w:rsidRPr="00D273CE">
        <w:rPr>
          <w:rFonts w:cs="Times New Roman"/>
          <w:szCs w:val="24"/>
        </w:rPr>
        <w:t xml:space="preserve"> factor</w:t>
      </w:r>
      <w:r w:rsidR="00E94345">
        <w:rPr>
          <w:rFonts w:cs="Times New Roman"/>
          <w:szCs w:val="24"/>
        </w:rPr>
        <w:t>s which motivated their</w:t>
      </w:r>
      <w:r w:rsidR="0049747E" w:rsidRPr="00D273CE">
        <w:rPr>
          <w:rFonts w:cs="Times New Roman"/>
          <w:szCs w:val="24"/>
        </w:rPr>
        <w:t xml:space="preserve"> </w:t>
      </w:r>
      <w:r>
        <w:rPr>
          <w:rFonts w:cs="Times New Roman"/>
          <w:szCs w:val="24"/>
        </w:rPr>
        <w:t>overall course</w:t>
      </w:r>
      <w:r w:rsidR="006A37B7" w:rsidRPr="00D273CE">
        <w:rPr>
          <w:rFonts w:cs="Times New Roman"/>
          <w:szCs w:val="24"/>
        </w:rPr>
        <w:t xml:space="preserve"> choice</w:t>
      </w:r>
      <w:r>
        <w:rPr>
          <w:rFonts w:cs="Times New Roman"/>
          <w:szCs w:val="24"/>
        </w:rPr>
        <w:t xml:space="preserve"> (Table 2).</w:t>
      </w:r>
      <w:r w:rsidR="00AB7A12">
        <w:rPr>
          <w:rFonts w:cs="Times New Roman"/>
          <w:szCs w:val="24"/>
        </w:rPr>
        <w:t xml:space="preserve"> Respondents could choose multiple motivations.</w:t>
      </w:r>
    </w:p>
    <w:p w14:paraId="449642A4" w14:textId="77777777" w:rsidR="0034251C" w:rsidRPr="00000440" w:rsidRDefault="0034251C" w:rsidP="00000440">
      <w:pPr>
        <w:jc w:val="both"/>
        <w:rPr>
          <w:rFonts w:cs="Times New Roman"/>
          <w:szCs w:val="24"/>
        </w:rPr>
      </w:pPr>
      <w:r>
        <w:rPr>
          <w:rFonts w:cs="Times New Roman"/>
          <w:szCs w:val="24"/>
        </w:rPr>
        <w:t>[Table 2 about here]</w:t>
      </w:r>
    </w:p>
    <w:p w14:paraId="53877162" w14:textId="77777777" w:rsidR="00213190" w:rsidRPr="00877243" w:rsidRDefault="00D86340" w:rsidP="00000440">
      <w:pPr>
        <w:ind w:firstLine="0"/>
        <w:jc w:val="both"/>
        <w:rPr>
          <w:rFonts w:cs="Times New Roman"/>
          <w:sz w:val="20"/>
          <w:szCs w:val="20"/>
        </w:rPr>
      </w:pPr>
      <w:r>
        <w:rPr>
          <w:rFonts w:cs="Times New Roman"/>
          <w:szCs w:val="24"/>
        </w:rPr>
        <w:t xml:space="preserve">Interviewees were asked </w:t>
      </w:r>
      <w:r>
        <w:t xml:space="preserve">what factors helped them </w:t>
      </w:r>
      <w:r w:rsidR="00CF1AA3">
        <w:t xml:space="preserve">to </w:t>
      </w:r>
      <w:r>
        <w:t xml:space="preserve">decide to study their course and how previous experience influenced this decision. </w:t>
      </w:r>
      <w:r w:rsidR="003E6472">
        <w:t>Most described a long-standing</w:t>
      </w:r>
      <w:r w:rsidR="000619D9">
        <w:t xml:space="preserve"> interest in or enjoyment of their subject, for example </w:t>
      </w:r>
      <w:r w:rsidR="00213190">
        <w:t>‘</w:t>
      </w:r>
      <w:r w:rsidR="003E6472">
        <w:t>I</w:t>
      </w:r>
      <w:r w:rsidR="0045170F">
        <w:t>’</w:t>
      </w:r>
      <w:r w:rsidR="003E6472">
        <w:t>ve always been big into computers</w:t>
      </w:r>
      <w:r w:rsidR="00213190">
        <w:t>’</w:t>
      </w:r>
      <w:r w:rsidR="003E6472">
        <w:t xml:space="preserve"> (Computing student) and </w:t>
      </w:r>
      <w:r w:rsidR="00213190">
        <w:t>‘</w:t>
      </w:r>
      <w:r w:rsidR="000619D9" w:rsidRPr="00A814BA">
        <w:t>I</w:t>
      </w:r>
      <w:r w:rsidR="0045170F">
        <w:t>’</w:t>
      </w:r>
      <w:r w:rsidR="000619D9" w:rsidRPr="00A814BA">
        <w:t>ve just never been able to see myself doing anything other than this</w:t>
      </w:r>
      <w:r w:rsidR="00213190">
        <w:t>’</w:t>
      </w:r>
      <w:r w:rsidR="000619D9">
        <w:t xml:space="preserve"> (Design student)</w:t>
      </w:r>
      <w:r w:rsidR="003E6472">
        <w:t xml:space="preserve">. However, some students had balanced out the relative merits of a potentially stable </w:t>
      </w:r>
      <w:r w:rsidR="003E6472">
        <w:lastRenderedPageBreak/>
        <w:t xml:space="preserve">career versus following their dreams: </w:t>
      </w:r>
      <w:r w:rsidR="00213190">
        <w:t>‘</w:t>
      </w:r>
      <w:r w:rsidR="003E6472">
        <w:t>I</w:t>
      </w:r>
      <w:r w:rsidR="003E6472" w:rsidRPr="003E6472">
        <w:t xml:space="preserve">t took me some time to figure out that I actually wanted to do it, because </w:t>
      </w:r>
      <w:r w:rsidR="00BD65EF">
        <w:t>it’s</w:t>
      </w:r>
      <w:r w:rsidR="003E6472" w:rsidRPr="003E6472">
        <w:t xml:space="preserve"> like not the easiest career path</w:t>
      </w:r>
      <w:r w:rsidR="00213190">
        <w:t>’</w:t>
      </w:r>
      <w:r w:rsidR="003E6472">
        <w:t xml:space="preserve"> (Film student)</w:t>
      </w:r>
      <w:r w:rsidR="00E94345">
        <w:t>.</w:t>
      </w:r>
      <w:r w:rsidR="005A686D">
        <w:t xml:space="preserve"> </w:t>
      </w:r>
    </w:p>
    <w:p w14:paraId="0E159459" w14:textId="77777777" w:rsidR="002632A1" w:rsidRDefault="0073609F" w:rsidP="002632A1">
      <w:pPr>
        <w:jc w:val="both"/>
        <w:rPr>
          <w:rFonts w:cs="Times New Roman"/>
          <w:szCs w:val="24"/>
        </w:rPr>
      </w:pPr>
      <w:r>
        <w:rPr>
          <w:rFonts w:cs="Times New Roman"/>
          <w:szCs w:val="24"/>
        </w:rPr>
        <w:t>Survey participants</w:t>
      </w:r>
      <w:r w:rsidRPr="00D273CE">
        <w:rPr>
          <w:rFonts w:cs="Times New Roman"/>
          <w:szCs w:val="24"/>
        </w:rPr>
        <w:t xml:space="preserve"> </w:t>
      </w:r>
      <w:r w:rsidR="00875E5A" w:rsidRPr="00D273CE">
        <w:rPr>
          <w:rFonts w:cs="Times New Roman"/>
          <w:szCs w:val="24"/>
        </w:rPr>
        <w:t>were asked about their work placement and work-related learning intentions</w:t>
      </w:r>
      <w:r w:rsidR="00A31E08" w:rsidRPr="00D273CE">
        <w:rPr>
          <w:rFonts w:cs="Times New Roman"/>
          <w:szCs w:val="24"/>
        </w:rPr>
        <w:t>.</w:t>
      </w:r>
      <w:r w:rsidR="00CD682C">
        <w:rPr>
          <w:rFonts w:cs="Times New Roman"/>
          <w:szCs w:val="24"/>
        </w:rPr>
        <w:t xml:space="preserve"> This was important to students throughout their </w:t>
      </w:r>
      <w:r w:rsidR="00864207">
        <w:rPr>
          <w:rFonts w:cs="Times New Roman"/>
          <w:szCs w:val="24"/>
        </w:rPr>
        <w:t>course</w:t>
      </w:r>
      <w:r w:rsidR="00CD682C">
        <w:rPr>
          <w:rFonts w:cs="Times New Roman"/>
          <w:szCs w:val="24"/>
        </w:rPr>
        <w:t>:</w:t>
      </w:r>
      <w:r w:rsidR="00A31E08" w:rsidRPr="00D273CE">
        <w:rPr>
          <w:rFonts w:cs="Times New Roman"/>
          <w:szCs w:val="24"/>
        </w:rPr>
        <w:t xml:space="preserve"> </w:t>
      </w:r>
      <w:r w:rsidR="00C9622A">
        <w:rPr>
          <w:rFonts w:cs="Times New Roman"/>
          <w:szCs w:val="24"/>
        </w:rPr>
        <w:t>82</w:t>
      </w:r>
      <w:r w:rsidR="00A31E08" w:rsidRPr="00D273CE">
        <w:rPr>
          <w:rFonts w:cs="Times New Roman"/>
          <w:szCs w:val="24"/>
        </w:rPr>
        <w:t>% of</w:t>
      </w:r>
      <w:r w:rsidR="00DC131B">
        <w:rPr>
          <w:rFonts w:cs="Times New Roman"/>
          <w:szCs w:val="24"/>
        </w:rPr>
        <w:t xml:space="preserve"> survey</w:t>
      </w:r>
      <w:r w:rsidR="00A31E08" w:rsidRPr="00D273CE">
        <w:rPr>
          <w:rFonts w:cs="Times New Roman"/>
          <w:szCs w:val="24"/>
        </w:rPr>
        <w:t xml:space="preserve"> respondents agreed that </w:t>
      </w:r>
      <w:r w:rsidR="00213190">
        <w:rPr>
          <w:rFonts w:cs="Times New Roman"/>
          <w:szCs w:val="24"/>
        </w:rPr>
        <w:t>‘</w:t>
      </w:r>
      <w:r w:rsidR="00875E5A" w:rsidRPr="00D273CE">
        <w:rPr>
          <w:rFonts w:cs="Times New Roman"/>
          <w:szCs w:val="24"/>
        </w:rPr>
        <w:t>From the time I first joined my course I knew that I wanted to gain relevant work experience</w:t>
      </w:r>
      <w:r w:rsidR="00213190">
        <w:rPr>
          <w:rFonts w:cs="Times New Roman"/>
          <w:szCs w:val="24"/>
        </w:rPr>
        <w:t>’</w:t>
      </w:r>
      <w:r w:rsidR="000C157F">
        <w:rPr>
          <w:rFonts w:cs="Times New Roman"/>
          <w:szCs w:val="24"/>
        </w:rPr>
        <w:t>;</w:t>
      </w:r>
      <w:r w:rsidR="001E05DA" w:rsidRPr="00D273CE">
        <w:rPr>
          <w:rFonts w:cs="Times New Roman"/>
          <w:szCs w:val="24"/>
        </w:rPr>
        <w:t xml:space="preserve"> while</w:t>
      </w:r>
      <w:r w:rsidR="00E8569E" w:rsidRPr="00D273CE">
        <w:rPr>
          <w:rFonts w:cs="Times New Roman"/>
          <w:szCs w:val="24"/>
        </w:rPr>
        <w:t xml:space="preserve"> </w:t>
      </w:r>
      <w:r w:rsidR="00C9622A">
        <w:rPr>
          <w:rFonts w:cs="Times New Roman"/>
          <w:szCs w:val="24"/>
        </w:rPr>
        <w:t>93</w:t>
      </w:r>
      <w:r w:rsidR="00E8569E" w:rsidRPr="00D273CE">
        <w:rPr>
          <w:rFonts w:cs="Times New Roman"/>
          <w:szCs w:val="24"/>
        </w:rPr>
        <w:t>% of students agreed that, as their studies progressed, they came to realise that gaining relevant work experience would be useful.</w:t>
      </w:r>
      <w:r w:rsidR="00BF716B">
        <w:rPr>
          <w:rFonts w:cs="Times New Roman"/>
          <w:szCs w:val="24"/>
        </w:rPr>
        <w:t xml:space="preserve"> </w:t>
      </w:r>
      <w:r w:rsidR="008E2FF1">
        <w:rPr>
          <w:rFonts w:cs="Times New Roman"/>
          <w:szCs w:val="24"/>
        </w:rPr>
        <w:t>However</w:t>
      </w:r>
      <w:r w:rsidR="00B14280">
        <w:rPr>
          <w:rFonts w:cs="Times New Roman"/>
          <w:szCs w:val="24"/>
        </w:rPr>
        <w:t>,</w:t>
      </w:r>
      <w:r w:rsidR="00B14280" w:rsidRPr="00B14280">
        <w:rPr>
          <w:rFonts w:cs="Times New Roman"/>
          <w:szCs w:val="24"/>
        </w:rPr>
        <w:t xml:space="preserve"> </w:t>
      </w:r>
      <w:r w:rsidR="00B14280">
        <w:rPr>
          <w:rFonts w:cs="Times New Roman"/>
          <w:szCs w:val="24"/>
        </w:rPr>
        <w:t>the opportunity to gain work experience</w:t>
      </w:r>
      <w:r w:rsidR="008E2FF1">
        <w:rPr>
          <w:rFonts w:cs="Times New Roman"/>
          <w:szCs w:val="24"/>
        </w:rPr>
        <w:t xml:space="preserve"> </w:t>
      </w:r>
      <w:r w:rsidR="00B14280">
        <w:rPr>
          <w:rFonts w:cs="Times New Roman"/>
          <w:szCs w:val="24"/>
        </w:rPr>
        <w:t xml:space="preserve">had directly influenced the </w:t>
      </w:r>
      <w:r w:rsidR="00864207">
        <w:rPr>
          <w:rFonts w:cs="Times New Roman"/>
          <w:szCs w:val="24"/>
        </w:rPr>
        <w:t>course</w:t>
      </w:r>
      <w:r w:rsidR="00B14280">
        <w:rPr>
          <w:rFonts w:cs="Times New Roman"/>
          <w:szCs w:val="24"/>
        </w:rPr>
        <w:t xml:space="preserve"> choice of </w:t>
      </w:r>
      <w:r w:rsidR="008E2FF1">
        <w:rPr>
          <w:rFonts w:cs="Times New Roman"/>
          <w:szCs w:val="24"/>
        </w:rPr>
        <w:t>only a quarter of students</w:t>
      </w:r>
      <w:r w:rsidR="00D8314B">
        <w:rPr>
          <w:rFonts w:cs="Times New Roman"/>
          <w:szCs w:val="24"/>
        </w:rPr>
        <w:t>, and only</w:t>
      </w:r>
      <w:r w:rsidR="008E2FF1">
        <w:rPr>
          <w:rFonts w:cs="Times New Roman"/>
          <w:szCs w:val="24"/>
        </w:rPr>
        <w:t xml:space="preserve"> 26% </w:t>
      </w:r>
      <w:r w:rsidR="00D8314B">
        <w:rPr>
          <w:rFonts w:cs="Times New Roman"/>
          <w:szCs w:val="24"/>
        </w:rPr>
        <w:t xml:space="preserve">of these </w:t>
      </w:r>
      <w:r>
        <w:rPr>
          <w:rFonts w:cs="Times New Roman"/>
          <w:szCs w:val="24"/>
        </w:rPr>
        <w:t>reported</w:t>
      </w:r>
      <w:r w:rsidR="007C245B" w:rsidRPr="007C245B">
        <w:rPr>
          <w:rFonts w:cs="Times New Roman"/>
          <w:szCs w:val="24"/>
        </w:rPr>
        <w:t xml:space="preserve"> that they had applied for a work-related opportunity</w:t>
      </w:r>
      <w:r w:rsidR="00025F1F">
        <w:rPr>
          <w:rFonts w:cs="Times New Roman"/>
          <w:szCs w:val="24"/>
        </w:rPr>
        <w:t>,</w:t>
      </w:r>
      <w:r w:rsidR="008E2FF1">
        <w:rPr>
          <w:rFonts w:cs="Times New Roman"/>
          <w:szCs w:val="24"/>
        </w:rPr>
        <w:t xml:space="preserve"> </w:t>
      </w:r>
      <w:r>
        <w:rPr>
          <w:rFonts w:cs="Times New Roman"/>
          <w:szCs w:val="24"/>
        </w:rPr>
        <w:t>while</w:t>
      </w:r>
      <w:r w:rsidR="008E2FF1">
        <w:rPr>
          <w:rFonts w:cs="Times New Roman"/>
          <w:szCs w:val="24"/>
        </w:rPr>
        <w:t xml:space="preserve"> 22% </w:t>
      </w:r>
      <w:r>
        <w:rPr>
          <w:rFonts w:cs="Times New Roman"/>
          <w:szCs w:val="24"/>
        </w:rPr>
        <w:t>had not</w:t>
      </w:r>
      <w:r w:rsidR="008E2FF1">
        <w:rPr>
          <w:rFonts w:cs="Times New Roman"/>
          <w:szCs w:val="24"/>
        </w:rPr>
        <w:t>.</w:t>
      </w:r>
      <w:r>
        <w:rPr>
          <w:rFonts w:cs="Times New Roman"/>
          <w:szCs w:val="24"/>
        </w:rPr>
        <w:t xml:space="preserve"> </w:t>
      </w:r>
      <w:r w:rsidR="007C245B" w:rsidRPr="007C245B">
        <w:rPr>
          <w:rFonts w:cs="Times New Roman"/>
          <w:szCs w:val="24"/>
        </w:rPr>
        <w:t xml:space="preserve"> </w:t>
      </w:r>
      <w:r>
        <w:rPr>
          <w:rFonts w:cs="Times New Roman"/>
          <w:szCs w:val="24"/>
        </w:rPr>
        <w:t>This</w:t>
      </w:r>
      <w:r w:rsidR="007C245B" w:rsidRPr="007C245B">
        <w:rPr>
          <w:rFonts w:cs="Times New Roman"/>
          <w:szCs w:val="24"/>
        </w:rPr>
        <w:t xml:space="preserve"> </w:t>
      </w:r>
      <w:r w:rsidR="008E2FF1">
        <w:rPr>
          <w:rFonts w:cs="Times New Roman"/>
          <w:szCs w:val="24"/>
        </w:rPr>
        <w:t>may</w:t>
      </w:r>
      <w:r w:rsidR="007C245B" w:rsidRPr="007C245B">
        <w:rPr>
          <w:rFonts w:cs="Times New Roman"/>
          <w:szCs w:val="24"/>
        </w:rPr>
        <w:t xml:space="preserve"> indicate lack of information or understanding about </w:t>
      </w:r>
      <w:r>
        <w:rPr>
          <w:rFonts w:cs="Times New Roman"/>
          <w:szCs w:val="24"/>
        </w:rPr>
        <w:t>work-related</w:t>
      </w:r>
      <w:r w:rsidRPr="007C245B">
        <w:rPr>
          <w:rFonts w:cs="Times New Roman"/>
          <w:szCs w:val="24"/>
        </w:rPr>
        <w:t xml:space="preserve"> </w:t>
      </w:r>
      <w:r w:rsidR="007C245B" w:rsidRPr="007C245B">
        <w:rPr>
          <w:rFonts w:cs="Times New Roman"/>
          <w:szCs w:val="24"/>
        </w:rPr>
        <w:t>element</w:t>
      </w:r>
      <w:r>
        <w:rPr>
          <w:rFonts w:cs="Times New Roman"/>
          <w:szCs w:val="24"/>
        </w:rPr>
        <w:t>s</w:t>
      </w:r>
      <w:r w:rsidR="007C245B" w:rsidRPr="007C245B">
        <w:rPr>
          <w:rFonts w:cs="Times New Roman"/>
          <w:szCs w:val="24"/>
        </w:rPr>
        <w:t xml:space="preserve"> of </w:t>
      </w:r>
      <w:r w:rsidR="008E2FF1">
        <w:rPr>
          <w:rFonts w:cs="Times New Roman"/>
          <w:szCs w:val="24"/>
        </w:rPr>
        <w:t>their</w:t>
      </w:r>
      <w:r w:rsidR="007C245B" w:rsidRPr="007C245B">
        <w:rPr>
          <w:rFonts w:cs="Times New Roman"/>
          <w:szCs w:val="24"/>
        </w:rPr>
        <w:t xml:space="preserve"> courses at the pre-application stage. No interviewees mentioned </w:t>
      </w:r>
      <w:r w:rsidR="008E2FF1">
        <w:rPr>
          <w:rFonts w:cs="Times New Roman"/>
          <w:szCs w:val="24"/>
        </w:rPr>
        <w:t>work experience</w:t>
      </w:r>
      <w:r w:rsidR="00060AD1">
        <w:rPr>
          <w:rFonts w:cs="Times New Roman"/>
          <w:szCs w:val="24"/>
        </w:rPr>
        <w:t xml:space="preserve"> </w:t>
      </w:r>
      <w:r w:rsidR="007C245B" w:rsidRPr="007C245B">
        <w:rPr>
          <w:rFonts w:cs="Times New Roman"/>
          <w:szCs w:val="24"/>
        </w:rPr>
        <w:t>when asked what factors helped them decide to study their course.</w:t>
      </w:r>
      <w:r w:rsidR="007C245B">
        <w:rPr>
          <w:rFonts w:cs="Times New Roman"/>
          <w:szCs w:val="24"/>
        </w:rPr>
        <w:t xml:space="preserve"> </w:t>
      </w:r>
    </w:p>
    <w:p w14:paraId="6CE8C257" w14:textId="77777777" w:rsidR="002632A1" w:rsidRPr="00D273CE" w:rsidRDefault="002632A1" w:rsidP="002632A1">
      <w:pPr>
        <w:jc w:val="both"/>
        <w:rPr>
          <w:rFonts w:cs="Times New Roman"/>
          <w:szCs w:val="24"/>
        </w:rPr>
      </w:pPr>
      <w:r w:rsidRPr="00D273CE">
        <w:rPr>
          <w:rFonts w:cs="Times New Roman"/>
          <w:szCs w:val="24"/>
        </w:rPr>
        <w:t xml:space="preserve"> </w:t>
      </w:r>
      <w:r w:rsidR="001542CF">
        <w:rPr>
          <w:rFonts w:cs="Times New Roman"/>
          <w:szCs w:val="24"/>
        </w:rPr>
        <w:t>S</w:t>
      </w:r>
      <w:r>
        <w:rPr>
          <w:rFonts w:cs="Times New Roman"/>
          <w:szCs w:val="24"/>
        </w:rPr>
        <w:t>urvey respondents</w:t>
      </w:r>
      <w:r w:rsidRPr="00D273CE">
        <w:rPr>
          <w:rFonts w:cs="Times New Roman"/>
          <w:szCs w:val="24"/>
        </w:rPr>
        <w:t xml:space="preserve"> were asked if they had attended any placement or careers talks. </w:t>
      </w:r>
      <w:r>
        <w:rPr>
          <w:rFonts w:cs="Times New Roman"/>
          <w:szCs w:val="24"/>
        </w:rPr>
        <w:t xml:space="preserve"> Over a third (37</w:t>
      </w:r>
      <w:r w:rsidRPr="00D273CE">
        <w:rPr>
          <w:rFonts w:cs="Times New Roman"/>
          <w:szCs w:val="24"/>
        </w:rPr>
        <w:t>%</w:t>
      </w:r>
      <w:r>
        <w:rPr>
          <w:rFonts w:cs="Times New Roman"/>
          <w:szCs w:val="24"/>
        </w:rPr>
        <w:t>)</w:t>
      </w:r>
      <w:r w:rsidRPr="00D273CE">
        <w:rPr>
          <w:rFonts w:cs="Times New Roman"/>
          <w:szCs w:val="24"/>
        </w:rPr>
        <w:t xml:space="preserve"> of respondents </w:t>
      </w:r>
      <w:r>
        <w:rPr>
          <w:rFonts w:cs="Times New Roman"/>
          <w:szCs w:val="24"/>
        </w:rPr>
        <w:t>report</w:t>
      </w:r>
      <w:r w:rsidR="001A1E3D">
        <w:rPr>
          <w:rFonts w:cs="Times New Roman"/>
          <w:szCs w:val="24"/>
        </w:rPr>
        <w:t>ed not</w:t>
      </w:r>
      <w:r>
        <w:rPr>
          <w:rFonts w:cs="Times New Roman"/>
          <w:szCs w:val="24"/>
        </w:rPr>
        <w:t xml:space="preserve"> attending</w:t>
      </w:r>
      <w:r w:rsidRPr="00D273CE">
        <w:rPr>
          <w:rFonts w:cs="Times New Roman"/>
          <w:szCs w:val="24"/>
        </w:rPr>
        <w:t xml:space="preserve"> </w:t>
      </w:r>
      <w:r w:rsidRPr="00D273CE">
        <w:rPr>
          <w:rFonts w:cs="Times New Roman"/>
          <w:i/>
          <w:szCs w:val="24"/>
        </w:rPr>
        <w:t>any</w:t>
      </w:r>
      <w:r w:rsidRPr="00D273CE">
        <w:rPr>
          <w:rFonts w:cs="Times New Roman"/>
          <w:szCs w:val="24"/>
        </w:rPr>
        <w:t xml:space="preserve"> events. </w:t>
      </w:r>
      <w:r>
        <w:rPr>
          <w:rFonts w:cs="Times New Roman"/>
          <w:szCs w:val="24"/>
        </w:rPr>
        <w:t>Those</w:t>
      </w:r>
      <w:r w:rsidRPr="00D273CE">
        <w:rPr>
          <w:rFonts w:cs="Times New Roman"/>
          <w:szCs w:val="24"/>
        </w:rPr>
        <w:t xml:space="preserve"> </w:t>
      </w:r>
      <w:r>
        <w:rPr>
          <w:rFonts w:cs="Times New Roman"/>
          <w:szCs w:val="24"/>
        </w:rPr>
        <w:t xml:space="preserve">who had attended events </w:t>
      </w:r>
      <w:r w:rsidRPr="00D273CE">
        <w:rPr>
          <w:rFonts w:cs="Times New Roman"/>
          <w:szCs w:val="24"/>
        </w:rPr>
        <w:t>were asked how these had helped</w:t>
      </w:r>
      <w:r>
        <w:rPr>
          <w:rFonts w:cs="Times New Roman"/>
          <w:szCs w:val="24"/>
        </w:rPr>
        <w:t xml:space="preserve">. The following, which highlights gaps in knowledge, is representative of responses: </w:t>
      </w:r>
    </w:p>
    <w:p w14:paraId="387483A9" w14:textId="77777777" w:rsidR="000C3DA6" w:rsidRPr="00F41BD4" w:rsidRDefault="002632A1" w:rsidP="002632A1">
      <w:pPr>
        <w:pStyle w:val="Quote"/>
        <w:jc w:val="both"/>
        <w:rPr>
          <w:sz w:val="20"/>
          <w:szCs w:val="20"/>
        </w:rPr>
      </w:pPr>
      <w:r w:rsidRPr="00F41BD4">
        <w:rPr>
          <w:sz w:val="20"/>
          <w:szCs w:val="20"/>
        </w:rPr>
        <w:t>They have taught me what people in the industry are looking for in interns but I wish there had been more mandatory meetings to help me further prepare and find placements. I don’t know if I am meant to have one by now or not. (Film student)</w:t>
      </w:r>
    </w:p>
    <w:p w14:paraId="68EBAE34" w14:textId="77777777" w:rsidR="00213190" w:rsidRDefault="00976A7C" w:rsidP="0079538B">
      <w:pPr>
        <w:jc w:val="both"/>
        <w:rPr>
          <w:rFonts w:cs="Times New Roman"/>
          <w:szCs w:val="24"/>
        </w:rPr>
      </w:pPr>
      <w:r>
        <w:rPr>
          <w:rFonts w:cs="Times New Roman"/>
          <w:szCs w:val="24"/>
        </w:rPr>
        <w:t xml:space="preserve">Interviewees who had started or completed placements found them extremely valuable: </w:t>
      </w:r>
      <w:r w:rsidR="00213190">
        <w:rPr>
          <w:rFonts w:cs="Times New Roman"/>
          <w:szCs w:val="24"/>
        </w:rPr>
        <w:t>‘</w:t>
      </w:r>
      <w:r w:rsidRPr="00976A7C">
        <w:rPr>
          <w:rFonts w:cs="Times New Roman"/>
          <w:szCs w:val="24"/>
        </w:rPr>
        <w:t>I think, so far, the best source of information was actually working</w:t>
      </w:r>
      <w:r w:rsidR="00213190">
        <w:rPr>
          <w:rFonts w:cs="Times New Roman"/>
          <w:szCs w:val="24"/>
        </w:rPr>
        <w:t>’</w:t>
      </w:r>
      <w:r>
        <w:rPr>
          <w:rFonts w:cs="Times New Roman"/>
          <w:szCs w:val="24"/>
        </w:rPr>
        <w:t xml:space="preserve"> (Business student).</w:t>
      </w:r>
      <w:r w:rsidR="001C2BBB">
        <w:rPr>
          <w:rFonts w:cs="Times New Roman"/>
          <w:szCs w:val="24"/>
        </w:rPr>
        <w:t xml:space="preserve"> </w:t>
      </w:r>
      <w:r w:rsidR="001C2BBB" w:rsidRPr="001C2BBB">
        <w:rPr>
          <w:rFonts w:cs="Times New Roman"/>
          <w:szCs w:val="24"/>
        </w:rPr>
        <w:t xml:space="preserve">However, </w:t>
      </w:r>
      <w:r w:rsidR="0073609F">
        <w:rPr>
          <w:rFonts w:cs="Times New Roman"/>
          <w:szCs w:val="24"/>
        </w:rPr>
        <w:t>participants</w:t>
      </w:r>
      <w:r w:rsidR="001C2BBB" w:rsidRPr="001C2BBB">
        <w:rPr>
          <w:rFonts w:cs="Times New Roman"/>
          <w:szCs w:val="24"/>
        </w:rPr>
        <w:t xml:space="preserve"> did not always recognise </w:t>
      </w:r>
      <w:r w:rsidR="00D8314B">
        <w:rPr>
          <w:rFonts w:cs="Times New Roman"/>
          <w:szCs w:val="24"/>
        </w:rPr>
        <w:t xml:space="preserve">that </w:t>
      </w:r>
      <w:r w:rsidR="001C2BBB" w:rsidRPr="001C2BBB">
        <w:rPr>
          <w:rFonts w:cs="Times New Roman"/>
          <w:szCs w:val="24"/>
        </w:rPr>
        <w:t xml:space="preserve">work-related elements </w:t>
      </w:r>
      <w:r w:rsidR="00D8314B">
        <w:rPr>
          <w:rFonts w:cs="Times New Roman"/>
          <w:szCs w:val="24"/>
        </w:rPr>
        <w:t xml:space="preserve">were available </w:t>
      </w:r>
      <w:r w:rsidR="001C2BBB" w:rsidRPr="001C2BBB">
        <w:rPr>
          <w:rFonts w:cs="Times New Roman"/>
          <w:szCs w:val="24"/>
        </w:rPr>
        <w:t>within the</w:t>
      </w:r>
      <w:r w:rsidR="008E2FF1">
        <w:rPr>
          <w:rFonts w:cs="Times New Roman"/>
          <w:szCs w:val="24"/>
        </w:rPr>
        <w:t>ir</w:t>
      </w:r>
      <w:r w:rsidR="001C2BBB" w:rsidRPr="001C2BBB">
        <w:rPr>
          <w:rFonts w:cs="Times New Roman"/>
          <w:szCs w:val="24"/>
        </w:rPr>
        <w:t xml:space="preserve"> courses. Of those who had applied for external work experience, 70% recognised that it was part of their </w:t>
      </w:r>
      <w:r w:rsidR="00864207">
        <w:rPr>
          <w:rFonts w:cs="Times New Roman"/>
          <w:szCs w:val="24"/>
        </w:rPr>
        <w:t>course</w:t>
      </w:r>
      <w:r w:rsidR="001C2BBB" w:rsidRPr="001C2BBB">
        <w:rPr>
          <w:rFonts w:cs="Times New Roman"/>
          <w:szCs w:val="24"/>
        </w:rPr>
        <w:t>; of those who had not applied</w:t>
      </w:r>
      <w:r w:rsidR="004232B7">
        <w:rPr>
          <w:rFonts w:cs="Times New Roman"/>
          <w:szCs w:val="24"/>
        </w:rPr>
        <w:t>,</w:t>
      </w:r>
      <w:r w:rsidR="00213190">
        <w:rPr>
          <w:rFonts w:cs="Times New Roman"/>
          <w:szCs w:val="24"/>
        </w:rPr>
        <w:t xml:space="preserve"> </w:t>
      </w:r>
      <w:r w:rsidR="001C2BBB" w:rsidRPr="001C2BBB">
        <w:rPr>
          <w:rFonts w:cs="Times New Roman"/>
          <w:szCs w:val="24"/>
        </w:rPr>
        <w:t xml:space="preserve">61% recognised it as part of their </w:t>
      </w:r>
      <w:r w:rsidR="00864207">
        <w:rPr>
          <w:rFonts w:cs="Times New Roman"/>
          <w:szCs w:val="24"/>
        </w:rPr>
        <w:t>course</w:t>
      </w:r>
      <w:r w:rsidR="001C2BBB" w:rsidRPr="001C2BBB">
        <w:rPr>
          <w:rFonts w:cs="Times New Roman"/>
          <w:szCs w:val="24"/>
        </w:rPr>
        <w:t xml:space="preserve">. For </w:t>
      </w:r>
      <w:r w:rsidR="001A1E3D">
        <w:rPr>
          <w:rFonts w:cs="Times New Roman"/>
          <w:szCs w:val="24"/>
        </w:rPr>
        <w:t>Design students</w:t>
      </w:r>
      <w:r w:rsidR="001C2BBB" w:rsidRPr="001C2BBB">
        <w:rPr>
          <w:rFonts w:cs="Times New Roman"/>
          <w:szCs w:val="24"/>
        </w:rPr>
        <w:t xml:space="preserve">, the semester following the survey offered three employability activities: study abroad, work placement or a studio-based live project. </w:t>
      </w:r>
      <w:r w:rsidR="00D8314B">
        <w:rPr>
          <w:rFonts w:cs="Times New Roman"/>
          <w:szCs w:val="24"/>
        </w:rPr>
        <w:t xml:space="preserve">Yet </w:t>
      </w:r>
      <w:r w:rsidR="001C2BBB" w:rsidRPr="001C2BBB">
        <w:rPr>
          <w:rFonts w:cs="Times New Roman"/>
          <w:szCs w:val="24"/>
        </w:rPr>
        <w:t>29% of t</w:t>
      </w:r>
      <w:r w:rsidR="00213190">
        <w:rPr>
          <w:rFonts w:cs="Times New Roman"/>
          <w:szCs w:val="24"/>
        </w:rPr>
        <w:t>he</w:t>
      </w:r>
      <w:r w:rsidR="00D8314B">
        <w:rPr>
          <w:rFonts w:cs="Times New Roman"/>
          <w:szCs w:val="24"/>
        </w:rPr>
        <w:t>se</w:t>
      </w:r>
      <w:r w:rsidR="00213190">
        <w:rPr>
          <w:rFonts w:cs="Times New Roman"/>
          <w:szCs w:val="24"/>
        </w:rPr>
        <w:t xml:space="preserve"> </w:t>
      </w:r>
      <w:r w:rsidR="00213190">
        <w:rPr>
          <w:rFonts w:cs="Times New Roman"/>
          <w:szCs w:val="24"/>
        </w:rPr>
        <w:lastRenderedPageBreak/>
        <w:t>students said that a ‘</w:t>
      </w:r>
      <w:r w:rsidR="001C2BBB" w:rsidRPr="001C2BBB">
        <w:rPr>
          <w:rFonts w:cs="Times New Roman"/>
          <w:szCs w:val="24"/>
        </w:rPr>
        <w:t>work-related or work-based module</w:t>
      </w:r>
      <w:r w:rsidR="00213190">
        <w:rPr>
          <w:rFonts w:cs="Times New Roman"/>
          <w:szCs w:val="24"/>
        </w:rPr>
        <w:t>’</w:t>
      </w:r>
      <w:r w:rsidR="001C2BBB" w:rsidRPr="001C2BBB">
        <w:rPr>
          <w:rFonts w:cs="Times New Roman"/>
          <w:szCs w:val="24"/>
        </w:rPr>
        <w:t xml:space="preserve"> was not </w:t>
      </w:r>
      <w:r w:rsidR="00D8314B">
        <w:rPr>
          <w:rFonts w:cs="Times New Roman"/>
          <w:szCs w:val="24"/>
        </w:rPr>
        <w:t>available</w:t>
      </w:r>
      <w:r w:rsidR="001C2BBB" w:rsidRPr="001C2BBB">
        <w:rPr>
          <w:rFonts w:cs="Times New Roman"/>
          <w:szCs w:val="24"/>
        </w:rPr>
        <w:t>; and 10% did not know whether this was part of their course</w:t>
      </w:r>
      <w:r w:rsidR="00213190">
        <w:rPr>
          <w:rFonts w:cs="Times New Roman"/>
          <w:szCs w:val="24"/>
        </w:rPr>
        <w:t xml:space="preserve"> or not</w:t>
      </w:r>
      <w:r w:rsidR="00D8314B">
        <w:rPr>
          <w:rFonts w:cs="Times New Roman"/>
          <w:szCs w:val="24"/>
        </w:rPr>
        <w:t>.</w:t>
      </w:r>
      <w:r w:rsidR="001C2BBB" w:rsidRPr="001C2BBB">
        <w:rPr>
          <w:rFonts w:cs="Times New Roman"/>
          <w:szCs w:val="24"/>
        </w:rPr>
        <w:t xml:space="preserve"> In interviews, </w:t>
      </w:r>
      <w:r w:rsidR="001C5548">
        <w:rPr>
          <w:rFonts w:cs="Times New Roman"/>
          <w:szCs w:val="24"/>
        </w:rPr>
        <w:t>D</w:t>
      </w:r>
      <w:r w:rsidR="001C2BBB" w:rsidRPr="001C2BBB">
        <w:rPr>
          <w:rFonts w:cs="Times New Roman"/>
          <w:szCs w:val="24"/>
        </w:rPr>
        <w:t>esign students described the difficulties and challenges of getting work placements</w:t>
      </w:r>
      <w:r w:rsidR="001A1E3D">
        <w:rPr>
          <w:rFonts w:cs="Times New Roman"/>
          <w:szCs w:val="24"/>
        </w:rPr>
        <w:t>. S</w:t>
      </w:r>
      <w:r w:rsidR="001C2BBB" w:rsidRPr="001C2BBB">
        <w:rPr>
          <w:rFonts w:cs="Times New Roman"/>
          <w:szCs w:val="24"/>
        </w:rPr>
        <w:t xml:space="preserve">ome </w:t>
      </w:r>
      <w:r w:rsidR="00D8314B">
        <w:rPr>
          <w:rFonts w:cs="Times New Roman"/>
          <w:szCs w:val="24"/>
        </w:rPr>
        <w:t xml:space="preserve">reported </w:t>
      </w:r>
      <w:r w:rsidR="001C2BBB" w:rsidRPr="001C2BBB">
        <w:rPr>
          <w:rFonts w:cs="Times New Roman"/>
          <w:szCs w:val="24"/>
        </w:rPr>
        <w:t>rece</w:t>
      </w:r>
      <w:r w:rsidR="00213190">
        <w:rPr>
          <w:rFonts w:cs="Times New Roman"/>
          <w:szCs w:val="24"/>
        </w:rPr>
        <w:t>iv</w:t>
      </w:r>
      <w:r w:rsidR="00D8314B">
        <w:rPr>
          <w:rFonts w:cs="Times New Roman"/>
          <w:szCs w:val="24"/>
        </w:rPr>
        <w:t>ing</w:t>
      </w:r>
      <w:r w:rsidR="00213190">
        <w:rPr>
          <w:rFonts w:cs="Times New Roman"/>
          <w:szCs w:val="24"/>
        </w:rPr>
        <w:t xml:space="preserve"> help from the university</w:t>
      </w:r>
      <w:r w:rsidR="00D8314B">
        <w:rPr>
          <w:rFonts w:cs="Times New Roman"/>
          <w:szCs w:val="24"/>
        </w:rPr>
        <w:t>.</w:t>
      </w:r>
      <w:r w:rsidR="00213190">
        <w:rPr>
          <w:rFonts w:cs="Times New Roman"/>
          <w:szCs w:val="24"/>
        </w:rPr>
        <w:t xml:space="preserve"> </w:t>
      </w:r>
      <w:r w:rsidR="00DC2668">
        <w:t>Students who had secured a placement were enthusiastic about its role in their development</w:t>
      </w:r>
      <w:r w:rsidR="00D8314B">
        <w:t>.</w:t>
      </w:r>
      <w:r w:rsidR="00DC2668">
        <w:t xml:space="preserve"> </w:t>
      </w:r>
      <w:r w:rsidR="00D8314B">
        <w:rPr>
          <w:sz w:val="20"/>
          <w:szCs w:val="20"/>
        </w:rPr>
        <w:t>S</w:t>
      </w:r>
      <w:r w:rsidR="00B64A59" w:rsidRPr="001C2BBB">
        <w:rPr>
          <w:rFonts w:cs="Times New Roman"/>
          <w:szCs w:val="24"/>
        </w:rPr>
        <w:t xml:space="preserve">tudents from </w:t>
      </w:r>
      <w:r w:rsidR="001C5548">
        <w:rPr>
          <w:rFonts w:cs="Times New Roman"/>
          <w:szCs w:val="24"/>
        </w:rPr>
        <w:t>D</w:t>
      </w:r>
      <w:r w:rsidR="00B64A59" w:rsidRPr="001C2BBB">
        <w:rPr>
          <w:rFonts w:cs="Times New Roman"/>
          <w:szCs w:val="24"/>
        </w:rPr>
        <w:t xml:space="preserve">esign and </w:t>
      </w:r>
      <w:r w:rsidR="001C5548">
        <w:rPr>
          <w:rFonts w:cs="Times New Roman"/>
          <w:szCs w:val="24"/>
        </w:rPr>
        <w:t>C</w:t>
      </w:r>
      <w:r w:rsidR="00B64A59" w:rsidRPr="001C2BBB">
        <w:rPr>
          <w:rFonts w:cs="Times New Roman"/>
          <w:szCs w:val="24"/>
        </w:rPr>
        <w:t>omputing courses described how they had found useful contacts and career information through searching for companies to intern with.</w:t>
      </w:r>
      <w:r w:rsidR="00213190">
        <w:rPr>
          <w:rFonts w:cs="Times New Roman"/>
          <w:szCs w:val="24"/>
        </w:rPr>
        <w:t xml:space="preserve"> </w:t>
      </w:r>
      <w:r w:rsidR="00B64A59">
        <w:rPr>
          <w:rFonts w:cs="Times New Roman"/>
          <w:szCs w:val="24"/>
        </w:rPr>
        <w:t>O</w:t>
      </w:r>
      <w:r w:rsidR="001C2BBB" w:rsidRPr="001C2BBB">
        <w:rPr>
          <w:rFonts w:cs="Times New Roman"/>
          <w:szCs w:val="24"/>
        </w:rPr>
        <w:t xml:space="preserve">ne employability intervention for </w:t>
      </w:r>
      <w:r w:rsidR="001C5548">
        <w:rPr>
          <w:rFonts w:cs="Times New Roman"/>
          <w:szCs w:val="24"/>
        </w:rPr>
        <w:t>D</w:t>
      </w:r>
      <w:r w:rsidR="001C2BBB" w:rsidRPr="001C2BBB">
        <w:rPr>
          <w:rFonts w:cs="Times New Roman"/>
          <w:szCs w:val="24"/>
        </w:rPr>
        <w:t xml:space="preserve">esign students was a module focusing on portfolio development and this was recognised as a useful and enjoyable aspect of the course. </w:t>
      </w:r>
    </w:p>
    <w:p w14:paraId="3486E97E" w14:textId="77777777" w:rsidR="00363DD4" w:rsidRPr="007A6887" w:rsidRDefault="00363DD4" w:rsidP="002632A1">
      <w:pPr>
        <w:ind w:firstLine="0"/>
        <w:jc w:val="both"/>
      </w:pPr>
    </w:p>
    <w:p w14:paraId="36B85021" w14:textId="77777777" w:rsidR="00CE5536" w:rsidRPr="005D7B65" w:rsidRDefault="006F313E" w:rsidP="00584C61">
      <w:pPr>
        <w:pStyle w:val="Heading2"/>
        <w:jc w:val="both"/>
        <w:rPr>
          <w:i w:val="0"/>
        </w:rPr>
      </w:pPr>
      <w:r w:rsidRPr="005D7B65">
        <w:t>Identity work and adaptation</w:t>
      </w:r>
    </w:p>
    <w:p w14:paraId="57E6D528" w14:textId="77777777" w:rsidR="002632A1" w:rsidRDefault="00EF4285" w:rsidP="00132F24">
      <w:pPr>
        <w:jc w:val="both"/>
        <w:rPr>
          <w:rFonts w:cs="Times New Roman"/>
          <w:szCs w:val="24"/>
        </w:rPr>
      </w:pPr>
      <w:r w:rsidRPr="00D273CE">
        <w:rPr>
          <w:rFonts w:cs="Times New Roman"/>
          <w:szCs w:val="24"/>
        </w:rPr>
        <w:t>As</w:t>
      </w:r>
      <w:r w:rsidR="003513E5">
        <w:rPr>
          <w:rFonts w:cs="Times New Roman"/>
          <w:szCs w:val="24"/>
        </w:rPr>
        <w:t xml:space="preserve"> </w:t>
      </w:r>
      <w:r w:rsidRPr="00D273CE">
        <w:rPr>
          <w:rFonts w:cs="Times New Roman"/>
          <w:szCs w:val="24"/>
        </w:rPr>
        <w:t>resources for identity work, th</w:t>
      </w:r>
      <w:r w:rsidR="004D0D1A">
        <w:rPr>
          <w:rFonts w:cs="Times New Roman"/>
          <w:szCs w:val="24"/>
        </w:rPr>
        <w:t>e</w:t>
      </w:r>
      <w:r w:rsidR="000679F7" w:rsidRPr="00D273CE">
        <w:rPr>
          <w:rFonts w:cs="Times New Roman"/>
          <w:szCs w:val="24"/>
        </w:rPr>
        <w:t xml:space="preserve"> </w:t>
      </w:r>
      <w:r w:rsidR="00664F20">
        <w:rPr>
          <w:rFonts w:cs="Times New Roman"/>
          <w:szCs w:val="24"/>
        </w:rPr>
        <w:t xml:space="preserve">study explored the </w:t>
      </w:r>
      <w:r w:rsidR="000679F7" w:rsidRPr="00D273CE">
        <w:rPr>
          <w:rFonts w:cs="Times New Roman"/>
          <w:szCs w:val="24"/>
        </w:rPr>
        <w:t xml:space="preserve">identity adaptation themes </w:t>
      </w:r>
      <w:r w:rsidRPr="00D273CE">
        <w:rPr>
          <w:rFonts w:cs="Times New Roman"/>
          <w:szCs w:val="24"/>
        </w:rPr>
        <w:t>of role models, developmental networks</w:t>
      </w:r>
      <w:r w:rsidR="004E22EE">
        <w:rPr>
          <w:rFonts w:cs="Times New Roman"/>
          <w:szCs w:val="24"/>
        </w:rPr>
        <w:t>,</w:t>
      </w:r>
      <w:r w:rsidRPr="00D273CE">
        <w:rPr>
          <w:rFonts w:cs="Times New Roman"/>
          <w:szCs w:val="24"/>
        </w:rPr>
        <w:t xml:space="preserve"> and possible selves</w:t>
      </w:r>
      <w:r w:rsidR="000E2D9D">
        <w:rPr>
          <w:rFonts w:cs="Times New Roman"/>
          <w:szCs w:val="24"/>
        </w:rPr>
        <w:t>.</w:t>
      </w:r>
      <w:r w:rsidRPr="00D273CE">
        <w:rPr>
          <w:rFonts w:cs="Times New Roman"/>
          <w:szCs w:val="24"/>
        </w:rPr>
        <w:t xml:space="preserve"> </w:t>
      </w:r>
      <w:r w:rsidR="00145F09">
        <w:rPr>
          <w:rFonts w:cs="Times New Roman"/>
          <w:szCs w:val="24"/>
        </w:rPr>
        <w:t xml:space="preserve"> </w:t>
      </w:r>
    </w:p>
    <w:p w14:paraId="4D8C5132" w14:textId="77777777" w:rsidR="008C217C" w:rsidRDefault="001D78E6" w:rsidP="002632A1">
      <w:pPr>
        <w:jc w:val="both"/>
        <w:rPr>
          <w:rFonts w:cs="Times New Roman"/>
          <w:szCs w:val="24"/>
        </w:rPr>
      </w:pPr>
      <w:r w:rsidRPr="001D78E6">
        <w:rPr>
          <w:rFonts w:cs="Times New Roman"/>
          <w:b/>
          <w:szCs w:val="24"/>
        </w:rPr>
        <w:t>Role models:</w:t>
      </w:r>
      <w:r>
        <w:rPr>
          <w:rFonts w:cs="Times New Roman"/>
          <w:szCs w:val="24"/>
        </w:rPr>
        <w:t xml:space="preserve"> </w:t>
      </w:r>
      <w:r w:rsidR="00B467BF">
        <w:rPr>
          <w:rFonts w:cs="Times New Roman"/>
          <w:szCs w:val="24"/>
        </w:rPr>
        <w:t>Survey r</w:t>
      </w:r>
      <w:r w:rsidR="00EF4285" w:rsidRPr="00D273CE">
        <w:rPr>
          <w:rFonts w:cs="Times New Roman"/>
          <w:szCs w:val="24"/>
        </w:rPr>
        <w:t>espondents were asked if they had any role models in the industry they wanted to work in</w:t>
      </w:r>
      <w:r w:rsidR="004E22EE">
        <w:rPr>
          <w:rFonts w:cs="Times New Roman"/>
          <w:szCs w:val="24"/>
        </w:rPr>
        <w:t>:</w:t>
      </w:r>
      <w:r w:rsidR="00EF4285" w:rsidRPr="00D273CE">
        <w:rPr>
          <w:rFonts w:cs="Times New Roman"/>
          <w:szCs w:val="24"/>
        </w:rPr>
        <w:t xml:space="preserve"> </w:t>
      </w:r>
      <w:r w:rsidR="00935B01">
        <w:rPr>
          <w:rFonts w:cs="Times New Roman"/>
          <w:szCs w:val="24"/>
        </w:rPr>
        <w:t>53</w:t>
      </w:r>
      <w:r w:rsidR="00EF4285" w:rsidRPr="00D273CE">
        <w:rPr>
          <w:rFonts w:cs="Times New Roman"/>
          <w:szCs w:val="24"/>
        </w:rPr>
        <w:t xml:space="preserve">% said </w:t>
      </w:r>
      <w:r w:rsidR="00132F24">
        <w:rPr>
          <w:rFonts w:cs="Times New Roman"/>
          <w:szCs w:val="24"/>
        </w:rPr>
        <w:t>‘</w:t>
      </w:r>
      <w:r w:rsidR="00EF4285" w:rsidRPr="00D273CE">
        <w:rPr>
          <w:rFonts w:cs="Times New Roman"/>
          <w:szCs w:val="24"/>
        </w:rPr>
        <w:t>Yes</w:t>
      </w:r>
      <w:r w:rsidR="00132F24">
        <w:rPr>
          <w:rFonts w:cs="Times New Roman"/>
          <w:szCs w:val="24"/>
        </w:rPr>
        <w:t>’</w:t>
      </w:r>
      <w:r w:rsidR="00EF4285" w:rsidRPr="00D273CE">
        <w:rPr>
          <w:rFonts w:cs="Times New Roman"/>
          <w:szCs w:val="24"/>
        </w:rPr>
        <w:t xml:space="preserve">, while </w:t>
      </w:r>
      <w:r w:rsidR="00935B01">
        <w:rPr>
          <w:rFonts w:cs="Times New Roman"/>
          <w:szCs w:val="24"/>
        </w:rPr>
        <w:t>47</w:t>
      </w:r>
      <w:r w:rsidR="00EF4285" w:rsidRPr="00D273CE">
        <w:rPr>
          <w:rFonts w:cs="Times New Roman"/>
          <w:szCs w:val="24"/>
        </w:rPr>
        <w:t xml:space="preserve">% said </w:t>
      </w:r>
      <w:r w:rsidR="00132F24">
        <w:rPr>
          <w:rFonts w:cs="Times New Roman"/>
          <w:szCs w:val="24"/>
        </w:rPr>
        <w:t>‘</w:t>
      </w:r>
      <w:r w:rsidR="00EF4285" w:rsidRPr="00D273CE">
        <w:rPr>
          <w:rFonts w:cs="Times New Roman"/>
          <w:szCs w:val="24"/>
        </w:rPr>
        <w:t>No</w:t>
      </w:r>
      <w:r w:rsidR="00132F24">
        <w:rPr>
          <w:rFonts w:cs="Times New Roman"/>
          <w:szCs w:val="24"/>
        </w:rPr>
        <w:t>’</w:t>
      </w:r>
      <w:r w:rsidR="00EF4285" w:rsidRPr="00D273CE">
        <w:rPr>
          <w:rFonts w:cs="Times New Roman"/>
          <w:szCs w:val="24"/>
        </w:rPr>
        <w:t xml:space="preserve">. Those </w:t>
      </w:r>
      <w:r w:rsidR="00555A06">
        <w:rPr>
          <w:rFonts w:cs="Times New Roman"/>
          <w:szCs w:val="24"/>
        </w:rPr>
        <w:t>answering ‘yes’</w:t>
      </w:r>
      <w:r w:rsidR="00A1443A">
        <w:rPr>
          <w:rFonts w:cs="Times New Roman"/>
          <w:szCs w:val="24"/>
        </w:rPr>
        <w:t xml:space="preserve"> </w:t>
      </w:r>
      <w:r w:rsidR="00EF4285" w:rsidRPr="00D273CE">
        <w:rPr>
          <w:rFonts w:cs="Times New Roman"/>
          <w:szCs w:val="24"/>
        </w:rPr>
        <w:t xml:space="preserve">were asked if they had met them or knew them to speak to </w:t>
      </w:r>
      <w:r w:rsidR="00A1443A">
        <w:rPr>
          <w:rFonts w:cs="Times New Roman"/>
          <w:szCs w:val="24"/>
        </w:rPr>
        <w:t xml:space="preserve">(‘near’) </w:t>
      </w:r>
      <w:r w:rsidR="00EF4285" w:rsidRPr="00D273CE">
        <w:rPr>
          <w:rFonts w:cs="Times New Roman"/>
          <w:szCs w:val="24"/>
        </w:rPr>
        <w:t xml:space="preserve">and </w:t>
      </w:r>
      <w:r w:rsidR="008D4411">
        <w:rPr>
          <w:rFonts w:cs="Times New Roman"/>
          <w:szCs w:val="24"/>
        </w:rPr>
        <w:t>33</w:t>
      </w:r>
      <w:r w:rsidR="00EF4285" w:rsidRPr="00D273CE">
        <w:rPr>
          <w:rFonts w:cs="Times New Roman"/>
          <w:szCs w:val="24"/>
        </w:rPr>
        <w:t xml:space="preserve">% said </w:t>
      </w:r>
      <w:r w:rsidR="00132F24">
        <w:rPr>
          <w:rFonts w:cs="Times New Roman"/>
          <w:szCs w:val="24"/>
        </w:rPr>
        <w:t>‘</w:t>
      </w:r>
      <w:r w:rsidR="00EF4285" w:rsidRPr="00D273CE">
        <w:rPr>
          <w:rFonts w:cs="Times New Roman"/>
          <w:szCs w:val="24"/>
        </w:rPr>
        <w:t>Yes</w:t>
      </w:r>
      <w:r w:rsidR="00132F24">
        <w:rPr>
          <w:rFonts w:cs="Times New Roman"/>
          <w:szCs w:val="24"/>
        </w:rPr>
        <w:t>’</w:t>
      </w:r>
      <w:r w:rsidR="00A1443A">
        <w:rPr>
          <w:rFonts w:cs="Times New Roman"/>
          <w:szCs w:val="24"/>
        </w:rPr>
        <w:t xml:space="preserve"> and</w:t>
      </w:r>
      <w:r w:rsidR="008D4411">
        <w:rPr>
          <w:rFonts w:cs="Times New Roman"/>
          <w:szCs w:val="24"/>
        </w:rPr>
        <w:t xml:space="preserve"> 66</w:t>
      </w:r>
      <w:r w:rsidR="00EF4285" w:rsidRPr="00D273CE">
        <w:rPr>
          <w:rFonts w:cs="Times New Roman"/>
          <w:szCs w:val="24"/>
        </w:rPr>
        <w:t xml:space="preserve">% said </w:t>
      </w:r>
      <w:r w:rsidR="00132F24">
        <w:rPr>
          <w:rFonts w:cs="Times New Roman"/>
          <w:szCs w:val="24"/>
        </w:rPr>
        <w:t>‘</w:t>
      </w:r>
      <w:r w:rsidR="00EF4285" w:rsidRPr="00D273CE">
        <w:rPr>
          <w:rFonts w:cs="Times New Roman"/>
          <w:szCs w:val="24"/>
        </w:rPr>
        <w:t>No</w:t>
      </w:r>
      <w:r w:rsidR="00132F24">
        <w:rPr>
          <w:rFonts w:cs="Times New Roman"/>
          <w:szCs w:val="24"/>
        </w:rPr>
        <w:t>’</w:t>
      </w:r>
      <w:r w:rsidR="00EF4285" w:rsidRPr="00D273CE">
        <w:rPr>
          <w:rFonts w:cs="Times New Roman"/>
          <w:szCs w:val="24"/>
        </w:rPr>
        <w:t>.</w:t>
      </w:r>
      <w:r w:rsidR="002632A1">
        <w:rPr>
          <w:rFonts w:cs="Times New Roman"/>
          <w:szCs w:val="24"/>
        </w:rPr>
        <w:t xml:space="preserve"> </w:t>
      </w:r>
      <w:r w:rsidR="003F181E">
        <w:rPr>
          <w:rFonts w:cs="Times New Roman"/>
          <w:szCs w:val="24"/>
        </w:rPr>
        <w:t>Interviewees were asked about how role models and mentors influenced their picture of their future professional life.</w:t>
      </w:r>
      <w:r w:rsidR="00B52F72">
        <w:rPr>
          <w:rFonts w:cs="Times New Roman"/>
          <w:szCs w:val="24"/>
        </w:rPr>
        <w:t xml:space="preserve"> Six p</w:t>
      </w:r>
      <w:r w:rsidR="001C5548">
        <w:rPr>
          <w:rFonts w:cs="Times New Roman"/>
          <w:szCs w:val="24"/>
        </w:rPr>
        <w:t>articipants</w:t>
      </w:r>
      <w:r w:rsidR="00B52F72">
        <w:rPr>
          <w:rFonts w:cs="Times New Roman"/>
          <w:szCs w:val="24"/>
        </w:rPr>
        <w:t xml:space="preserve"> talked about </w:t>
      </w:r>
      <w:r w:rsidR="00664F20">
        <w:rPr>
          <w:rFonts w:cs="Times New Roman"/>
          <w:szCs w:val="24"/>
        </w:rPr>
        <w:t xml:space="preserve">practitioners </w:t>
      </w:r>
      <w:r w:rsidR="00B52F72">
        <w:rPr>
          <w:rFonts w:cs="Times New Roman"/>
          <w:szCs w:val="24"/>
        </w:rPr>
        <w:t xml:space="preserve">and </w:t>
      </w:r>
      <w:r w:rsidR="000E1E30">
        <w:rPr>
          <w:rFonts w:cs="Times New Roman"/>
          <w:szCs w:val="24"/>
        </w:rPr>
        <w:t>a similar</w:t>
      </w:r>
      <w:r w:rsidR="00B52F72">
        <w:rPr>
          <w:rFonts w:cs="Times New Roman"/>
          <w:szCs w:val="24"/>
        </w:rPr>
        <w:t xml:space="preserve"> number mentioned teaching staff, including lecturers with successful commercial careers. While some students described the qualities they admired in these people, others specifically recognised their importance as examples in work contexts</w:t>
      </w:r>
      <w:r w:rsidR="00C82473">
        <w:rPr>
          <w:sz w:val="20"/>
          <w:szCs w:val="20"/>
        </w:rPr>
        <w:t xml:space="preserve">.  </w:t>
      </w:r>
      <w:r w:rsidR="00CF4284" w:rsidRPr="00CF4284">
        <w:rPr>
          <w:rFonts w:cs="Times New Roman"/>
          <w:szCs w:val="24"/>
        </w:rPr>
        <w:t>Interviewees who had come to university from continental Europe had more extensive work experiences and were more conscious of the influence of role models on their lives and careers, for example:</w:t>
      </w:r>
    </w:p>
    <w:p w14:paraId="1B13DA0F" w14:textId="77777777" w:rsidR="008C217C" w:rsidRPr="00132F24" w:rsidRDefault="00CF4284" w:rsidP="00132F24">
      <w:pPr>
        <w:ind w:left="720" w:firstLine="0"/>
        <w:jc w:val="both"/>
        <w:rPr>
          <w:rFonts w:cs="Times New Roman"/>
          <w:sz w:val="20"/>
          <w:szCs w:val="20"/>
        </w:rPr>
      </w:pPr>
      <w:r w:rsidRPr="00132F24">
        <w:rPr>
          <w:rFonts w:cs="Times New Roman"/>
          <w:sz w:val="20"/>
          <w:szCs w:val="20"/>
        </w:rPr>
        <w:t>You’re influenced by every single person around. Even the guy who, you just see him in the office, he’s just around. Somehow, he’s an example of what you</w:t>
      </w:r>
      <w:r w:rsidR="00132F24" w:rsidRPr="00132F24">
        <w:rPr>
          <w:rFonts w:cs="Times New Roman"/>
          <w:sz w:val="20"/>
          <w:szCs w:val="20"/>
        </w:rPr>
        <w:t xml:space="preserve"> have to do or don’t have to do</w:t>
      </w:r>
      <w:r w:rsidRPr="00132F24">
        <w:rPr>
          <w:rFonts w:cs="Times New Roman"/>
          <w:sz w:val="20"/>
          <w:szCs w:val="20"/>
        </w:rPr>
        <w:t xml:space="preserve"> (</w:t>
      </w:r>
      <w:r w:rsidR="008C217C" w:rsidRPr="00132F24">
        <w:rPr>
          <w:rFonts w:cs="Times New Roman"/>
          <w:sz w:val="20"/>
          <w:szCs w:val="20"/>
        </w:rPr>
        <w:t>C</w:t>
      </w:r>
      <w:r w:rsidRPr="00132F24">
        <w:rPr>
          <w:rFonts w:cs="Times New Roman"/>
          <w:sz w:val="20"/>
          <w:szCs w:val="20"/>
        </w:rPr>
        <w:t>omputing student)</w:t>
      </w:r>
      <w:r w:rsidR="00132F24">
        <w:rPr>
          <w:rFonts w:cs="Times New Roman"/>
          <w:sz w:val="20"/>
          <w:szCs w:val="20"/>
        </w:rPr>
        <w:t>.</w:t>
      </w:r>
    </w:p>
    <w:p w14:paraId="63A144B1" w14:textId="77777777" w:rsidR="00CF4284" w:rsidRPr="00D273CE" w:rsidRDefault="000E2D9D" w:rsidP="00584C61">
      <w:pPr>
        <w:ind w:firstLine="0"/>
        <w:jc w:val="both"/>
        <w:rPr>
          <w:rFonts w:cs="Times New Roman"/>
          <w:szCs w:val="24"/>
        </w:rPr>
      </w:pPr>
      <w:r>
        <w:rPr>
          <w:rFonts w:cs="Times New Roman"/>
          <w:szCs w:val="24"/>
        </w:rPr>
        <w:t>L</w:t>
      </w:r>
      <w:r w:rsidR="00CF4284" w:rsidRPr="00CF4284">
        <w:rPr>
          <w:rFonts w:cs="Times New Roman"/>
          <w:szCs w:val="24"/>
        </w:rPr>
        <w:t>ocal students were more likely to describe members of their family as role models.</w:t>
      </w:r>
    </w:p>
    <w:p w14:paraId="3CD532F0" w14:textId="77777777" w:rsidR="002632A1" w:rsidRDefault="001D78E6" w:rsidP="002632A1">
      <w:pPr>
        <w:jc w:val="both"/>
        <w:rPr>
          <w:rFonts w:cs="Times New Roman"/>
          <w:szCs w:val="24"/>
        </w:rPr>
      </w:pPr>
      <w:r w:rsidRPr="001D78E6">
        <w:rPr>
          <w:rFonts w:cs="Times New Roman"/>
          <w:b/>
          <w:szCs w:val="24"/>
        </w:rPr>
        <w:lastRenderedPageBreak/>
        <w:t>Developmental networks:</w:t>
      </w:r>
      <w:r>
        <w:rPr>
          <w:rFonts w:cs="Times New Roman"/>
          <w:szCs w:val="24"/>
        </w:rPr>
        <w:t xml:space="preserve"> </w:t>
      </w:r>
      <w:r w:rsidR="002632A1">
        <w:rPr>
          <w:rFonts w:cs="Times New Roman"/>
          <w:szCs w:val="24"/>
        </w:rPr>
        <w:t>To reveal</w:t>
      </w:r>
      <w:r w:rsidR="002632A1" w:rsidRPr="00703EF4">
        <w:rPr>
          <w:rFonts w:cs="Times New Roman"/>
          <w:szCs w:val="24"/>
        </w:rPr>
        <w:t xml:space="preserve"> developmental networks and to explore how students reached decisions about participating in work-related learning opportunities, </w:t>
      </w:r>
      <w:r w:rsidR="002632A1">
        <w:rPr>
          <w:rFonts w:cs="Times New Roman"/>
          <w:szCs w:val="24"/>
        </w:rPr>
        <w:t>the survey</w:t>
      </w:r>
      <w:r w:rsidR="002632A1" w:rsidRPr="00703EF4">
        <w:rPr>
          <w:rFonts w:cs="Times New Roman"/>
          <w:szCs w:val="24"/>
        </w:rPr>
        <w:t xml:space="preserve"> asked who gave them encouragement</w:t>
      </w:r>
      <w:r w:rsidR="002632A1">
        <w:rPr>
          <w:rFonts w:cs="Times New Roman"/>
          <w:szCs w:val="24"/>
        </w:rPr>
        <w:t xml:space="preserve"> </w:t>
      </w:r>
      <w:r w:rsidR="002632A1" w:rsidRPr="0084657A">
        <w:rPr>
          <w:rFonts w:cs="Times New Roman"/>
          <w:szCs w:val="24"/>
        </w:rPr>
        <w:t>to gain relevant work experience</w:t>
      </w:r>
      <w:r w:rsidR="002632A1" w:rsidRPr="00703EF4">
        <w:rPr>
          <w:rFonts w:cs="Times New Roman"/>
          <w:szCs w:val="24"/>
        </w:rPr>
        <w:t xml:space="preserve">. </w:t>
      </w:r>
      <w:r w:rsidR="002632A1">
        <w:rPr>
          <w:rFonts w:cs="Times New Roman"/>
          <w:szCs w:val="24"/>
        </w:rPr>
        <w:t xml:space="preserve">Lecturers </w:t>
      </w:r>
      <w:r w:rsidR="002632A1" w:rsidRPr="00703EF4">
        <w:rPr>
          <w:rFonts w:cs="Times New Roman"/>
          <w:szCs w:val="24"/>
        </w:rPr>
        <w:t>were most influential, followed by</w:t>
      </w:r>
      <w:r w:rsidR="002632A1">
        <w:rPr>
          <w:rFonts w:cs="Times New Roman"/>
          <w:szCs w:val="24"/>
        </w:rPr>
        <w:t xml:space="preserve"> friends and family</w:t>
      </w:r>
      <w:r w:rsidR="002632A1" w:rsidRPr="00703EF4">
        <w:rPr>
          <w:rFonts w:cs="Times New Roman"/>
          <w:szCs w:val="24"/>
        </w:rPr>
        <w:t>, placement and careers staff</w:t>
      </w:r>
      <w:r w:rsidR="002632A1">
        <w:rPr>
          <w:rFonts w:cs="Times New Roman"/>
          <w:szCs w:val="24"/>
        </w:rPr>
        <w:t>, then</w:t>
      </w:r>
      <w:r w:rsidR="002632A1" w:rsidRPr="00703EF4">
        <w:rPr>
          <w:rFonts w:cs="Times New Roman"/>
          <w:szCs w:val="24"/>
        </w:rPr>
        <w:t xml:space="preserve"> other students on the course </w:t>
      </w:r>
      <w:r w:rsidR="002632A1">
        <w:rPr>
          <w:rFonts w:cs="Times New Roman"/>
          <w:szCs w:val="24"/>
        </w:rPr>
        <w:t>and finally ‘others’, including people in</w:t>
      </w:r>
      <w:r w:rsidR="002632A1" w:rsidRPr="00703EF4">
        <w:rPr>
          <w:rFonts w:cs="Times New Roman"/>
          <w:szCs w:val="24"/>
        </w:rPr>
        <w:t xml:space="preserve"> industry, students</w:t>
      </w:r>
      <w:r w:rsidR="002632A1">
        <w:rPr>
          <w:rFonts w:cs="Times New Roman"/>
          <w:szCs w:val="24"/>
        </w:rPr>
        <w:t>’</w:t>
      </w:r>
      <w:r w:rsidR="002632A1" w:rsidRPr="00703EF4">
        <w:rPr>
          <w:rFonts w:cs="Times New Roman"/>
          <w:szCs w:val="24"/>
        </w:rPr>
        <w:t xml:space="preserve"> partners, tutors</w:t>
      </w:r>
      <w:r w:rsidR="002632A1">
        <w:rPr>
          <w:rFonts w:cs="Times New Roman"/>
          <w:szCs w:val="24"/>
        </w:rPr>
        <w:t>, and ‘myself’ (</w:t>
      </w:r>
      <w:r w:rsidR="002632A1" w:rsidRPr="00703EF4">
        <w:rPr>
          <w:rFonts w:cs="Times New Roman"/>
          <w:szCs w:val="24"/>
        </w:rPr>
        <w:t xml:space="preserve">Table </w:t>
      </w:r>
      <w:r w:rsidR="002632A1">
        <w:rPr>
          <w:rFonts w:cs="Times New Roman"/>
          <w:szCs w:val="24"/>
        </w:rPr>
        <w:t>3)</w:t>
      </w:r>
      <w:r w:rsidR="002632A1" w:rsidRPr="00703EF4">
        <w:rPr>
          <w:rFonts w:cs="Times New Roman"/>
          <w:szCs w:val="24"/>
        </w:rPr>
        <w:t xml:space="preserve">. </w:t>
      </w:r>
      <w:r w:rsidR="001A1E3D">
        <w:rPr>
          <w:rFonts w:cs="Times New Roman"/>
          <w:szCs w:val="24"/>
        </w:rPr>
        <w:t>Respondents could identify multiple sources of encouragement.</w:t>
      </w:r>
    </w:p>
    <w:p w14:paraId="5A0FE599" w14:textId="77777777" w:rsidR="0034251C" w:rsidRPr="002632A1" w:rsidRDefault="0034251C" w:rsidP="002632A1">
      <w:pPr>
        <w:jc w:val="both"/>
        <w:rPr>
          <w:rFonts w:cs="Times New Roman"/>
          <w:szCs w:val="24"/>
        </w:rPr>
      </w:pPr>
      <w:r>
        <w:rPr>
          <w:rFonts w:cs="Times New Roman"/>
          <w:szCs w:val="24"/>
        </w:rPr>
        <w:t>[Table 3 about here]</w:t>
      </w:r>
    </w:p>
    <w:p w14:paraId="2EE7F234" w14:textId="77777777" w:rsidR="002632A1" w:rsidRPr="00D273CE" w:rsidRDefault="002632A1" w:rsidP="002632A1">
      <w:pPr>
        <w:spacing w:line="240" w:lineRule="auto"/>
        <w:jc w:val="both"/>
        <w:rPr>
          <w:rFonts w:cs="Times New Roman"/>
          <w:b/>
          <w:szCs w:val="24"/>
        </w:rPr>
      </w:pPr>
    </w:p>
    <w:p w14:paraId="134383A5" w14:textId="77777777" w:rsidR="00EF4285" w:rsidRDefault="002632A1" w:rsidP="002632A1">
      <w:pPr>
        <w:jc w:val="both"/>
        <w:rPr>
          <w:rFonts w:cs="Times New Roman"/>
          <w:szCs w:val="24"/>
        </w:rPr>
      </w:pPr>
      <w:r>
        <w:t>Interviewees were asked to identify people, modules and events that helped them to prepare for their next step. Students mentioned placements</w:t>
      </w:r>
      <w:r w:rsidR="001A1E3D">
        <w:t>/</w:t>
      </w:r>
      <w:r>
        <w:t xml:space="preserve">internships, group projects with external clients, talks and masterclasses given by professionals, mentoring schemes, interview training and portfolio development. Some required more effort from the students to take part; others were embedded within modules. </w:t>
      </w:r>
      <w:r w:rsidR="001C5548">
        <w:rPr>
          <w:rFonts w:cs="Times New Roman"/>
          <w:szCs w:val="24"/>
        </w:rPr>
        <w:t xml:space="preserve">Also in the context of </w:t>
      </w:r>
      <w:r w:rsidR="00394D16" w:rsidRPr="00D273CE">
        <w:rPr>
          <w:rFonts w:cs="Times New Roman"/>
          <w:szCs w:val="24"/>
        </w:rPr>
        <w:t xml:space="preserve">developmental networks, </w:t>
      </w:r>
      <w:r w:rsidR="00FC0D33" w:rsidRPr="00D273CE">
        <w:rPr>
          <w:rFonts w:cs="Times New Roman"/>
          <w:szCs w:val="24"/>
        </w:rPr>
        <w:t xml:space="preserve">the survey asked who </w:t>
      </w:r>
      <w:r w:rsidR="001C5548">
        <w:rPr>
          <w:rFonts w:cs="Times New Roman"/>
          <w:szCs w:val="24"/>
        </w:rPr>
        <w:t>students</w:t>
      </w:r>
      <w:r w:rsidR="00FC0D33" w:rsidRPr="00D273CE">
        <w:rPr>
          <w:rFonts w:cs="Times New Roman"/>
          <w:szCs w:val="24"/>
        </w:rPr>
        <w:t xml:space="preserve"> tended to approach for advice about careers</w:t>
      </w:r>
      <w:r w:rsidR="00FF26F7">
        <w:rPr>
          <w:rFonts w:cs="Times New Roman"/>
          <w:szCs w:val="24"/>
        </w:rPr>
        <w:t xml:space="preserve">, </w:t>
      </w:r>
      <w:r w:rsidR="004E22EE">
        <w:rPr>
          <w:rFonts w:cs="Times New Roman"/>
          <w:szCs w:val="24"/>
        </w:rPr>
        <w:t>as an open question</w:t>
      </w:r>
      <w:r w:rsidR="00703EF4">
        <w:rPr>
          <w:rFonts w:cs="Times New Roman"/>
          <w:szCs w:val="24"/>
        </w:rPr>
        <w:t>.</w:t>
      </w:r>
      <w:r w:rsidR="00FC0D33" w:rsidRPr="00D273CE">
        <w:rPr>
          <w:rFonts w:cs="Times New Roman"/>
          <w:szCs w:val="24"/>
        </w:rPr>
        <w:t xml:space="preserve"> Resp</w:t>
      </w:r>
      <w:r w:rsidR="000F0189">
        <w:rPr>
          <w:rFonts w:cs="Times New Roman"/>
          <w:szCs w:val="24"/>
        </w:rPr>
        <w:t xml:space="preserve">onses are </w:t>
      </w:r>
      <w:r w:rsidR="00FF26F7">
        <w:rPr>
          <w:rFonts w:cs="Times New Roman"/>
          <w:szCs w:val="24"/>
        </w:rPr>
        <w:t xml:space="preserve">summarised </w:t>
      </w:r>
      <w:r>
        <w:rPr>
          <w:rFonts w:cs="Times New Roman"/>
          <w:szCs w:val="24"/>
        </w:rPr>
        <w:t>in Table 4</w:t>
      </w:r>
      <w:r w:rsidR="00FF26F7">
        <w:rPr>
          <w:rFonts w:cs="Times New Roman"/>
          <w:szCs w:val="24"/>
        </w:rPr>
        <w:t xml:space="preserve">, counting the number of times each category of </w:t>
      </w:r>
      <w:r w:rsidR="001C5548">
        <w:rPr>
          <w:rFonts w:cs="Times New Roman"/>
          <w:szCs w:val="24"/>
        </w:rPr>
        <w:t>‘</w:t>
      </w:r>
      <w:r w:rsidR="00FF26F7">
        <w:rPr>
          <w:rFonts w:cs="Times New Roman"/>
          <w:szCs w:val="24"/>
        </w:rPr>
        <w:t>advisor</w:t>
      </w:r>
      <w:r w:rsidR="001C5548">
        <w:rPr>
          <w:rFonts w:cs="Times New Roman"/>
          <w:szCs w:val="24"/>
        </w:rPr>
        <w:t>’</w:t>
      </w:r>
      <w:r w:rsidR="00FF26F7">
        <w:rPr>
          <w:rFonts w:cs="Times New Roman"/>
          <w:szCs w:val="24"/>
        </w:rPr>
        <w:t xml:space="preserve"> was mentioned.</w:t>
      </w:r>
      <w:r w:rsidR="00FC0D33" w:rsidRPr="00D273CE">
        <w:rPr>
          <w:rFonts w:cs="Times New Roman"/>
          <w:szCs w:val="24"/>
        </w:rPr>
        <w:t xml:space="preserve"> </w:t>
      </w:r>
      <w:r w:rsidR="00FF26F7">
        <w:rPr>
          <w:rFonts w:cs="Times New Roman"/>
          <w:szCs w:val="24"/>
        </w:rPr>
        <w:t>T</w:t>
      </w:r>
      <w:r w:rsidR="00FC0D33" w:rsidRPr="00D273CE">
        <w:rPr>
          <w:rFonts w:cs="Times New Roman"/>
          <w:szCs w:val="24"/>
        </w:rPr>
        <w:t xml:space="preserve">he table shows the breakdown </w:t>
      </w:r>
      <w:r w:rsidR="00567984">
        <w:rPr>
          <w:rFonts w:cs="Times New Roman"/>
          <w:szCs w:val="24"/>
        </w:rPr>
        <w:t>according to whether students said</w:t>
      </w:r>
      <w:r w:rsidR="00171949">
        <w:rPr>
          <w:rFonts w:cs="Times New Roman"/>
          <w:szCs w:val="24"/>
        </w:rPr>
        <w:t xml:space="preserve"> they </w:t>
      </w:r>
      <w:r w:rsidR="00FC0D33" w:rsidRPr="00D273CE">
        <w:rPr>
          <w:rFonts w:cs="Times New Roman"/>
          <w:szCs w:val="24"/>
        </w:rPr>
        <w:t xml:space="preserve">had </w:t>
      </w:r>
      <w:r w:rsidR="0064400B" w:rsidRPr="0064400B">
        <w:rPr>
          <w:rFonts w:cs="Times New Roman"/>
          <w:szCs w:val="24"/>
        </w:rPr>
        <w:t>selected or completed a work-related or work-based module</w:t>
      </w:r>
      <w:r w:rsidR="00A83034">
        <w:rPr>
          <w:rFonts w:cs="Times New Roman"/>
          <w:szCs w:val="24"/>
        </w:rPr>
        <w:t xml:space="preserve"> (</w:t>
      </w:r>
      <w:r w:rsidR="00132F24">
        <w:rPr>
          <w:rFonts w:cs="Times New Roman"/>
          <w:szCs w:val="24"/>
        </w:rPr>
        <w:t>‘</w:t>
      </w:r>
      <w:r w:rsidR="00A83034">
        <w:rPr>
          <w:rFonts w:cs="Times New Roman"/>
          <w:szCs w:val="24"/>
        </w:rPr>
        <w:t>Yes to placement</w:t>
      </w:r>
      <w:r w:rsidR="00132F24">
        <w:rPr>
          <w:rFonts w:cs="Times New Roman"/>
          <w:szCs w:val="24"/>
        </w:rPr>
        <w:t>’</w:t>
      </w:r>
      <w:r w:rsidR="00567984">
        <w:rPr>
          <w:rFonts w:cs="Times New Roman"/>
          <w:szCs w:val="24"/>
        </w:rPr>
        <w:t xml:space="preserve"> or </w:t>
      </w:r>
      <w:r w:rsidR="00132F24">
        <w:rPr>
          <w:rFonts w:cs="Times New Roman"/>
          <w:szCs w:val="24"/>
        </w:rPr>
        <w:t>‘</w:t>
      </w:r>
      <w:r w:rsidR="00233741" w:rsidRPr="00D273CE">
        <w:rPr>
          <w:rFonts w:cs="Times New Roman"/>
          <w:szCs w:val="24"/>
        </w:rPr>
        <w:t>No to placement</w:t>
      </w:r>
      <w:r w:rsidR="00132F24">
        <w:rPr>
          <w:rFonts w:cs="Times New Roman"/>
          <w:szCs w:val="24"/>
        </w:rPr>
        <w:t>’</w:t>
      </w:r>
      <w:r w:rsidR="00233741" w:rsidRPr="00D273CE">
        <w:rPr>
          <w:rFonts w:cs="Times New Roman"/>
          <w:szCs w:val="24"/>
        </w:rPr>
        <w:t>)</w:t>
      </w:r>
      <w:r w:rsidR="00730003">
        <w:rPr>
          <w:rFonts w:cs="Times New Roman"/>
          <w:szCs w:val="24"/>
        </w:rPr>
        <w:t>.</w:t>
      </w:r>
    </w:p>
    <w:p w14:paraId="201E00BF" w14:textId="77777777" w:rsidR="002632A1" w:rsidRDefault="0034251C" w:rsidP="002632A1">
      <w:pPr>
        <w:rPr>
          <w:rFonts w:cs="Times New Roman"/>
          <w:szCs w:val="24"/>
        </w:rPr>
      </w:pPr>
      <w:r>
        <w:rPr>
          <w:rFonts w:cs="Times New Roman"/>
          <w:szCs w:val="24"/>
        </w:rPr>
        <w:t>[Table 4 about here]</w:t>
      </w:r>
    </w:p>
    <w:p w14:paraId="3A0F74E1" w14:textId="77777777" w:rsidR="005E089A" w:rsidRDefault="005E089A" w:rsidP="00584C61">
      <w:pPr>
        <w:jc w:val="both"/>
        <w:rPr>
          <w:rFonts w:cs="Times New Roman"/>
          <w:szCs w:val="24"/>
        </w:rPr>
      </w:pPr>
    </w:p>
    <w:p w14:paraId="7E03BF3D" w14:textId="77777777" w:rsidR="0043217C" w:rsidRDefault="0043217C" w:rsidP="00132F24">
      <w:pPr>
        <w:jc w:val="both"/>
        <w:rPr>
          <w:rFonts w:cs="Times New Roman"/>
          <w:szCs w:val="24"/>
        </w:rPr>
      </w:pPr>
      <w:r w:rsidRPr="00D273CE">
        <w:rPr>
          <w:rFonts w:cs="Times New Roman"/>
          <w:szCs w:val="24"/>
        </w:rPr>
        <w:t>Students were asked if they would know who to approach for additional information or advice on gaining relevant work experience</w:t>
      </w:r>
      <w:r w:rsidR="00145F09">
        <w:rPr>
          <w:rFonts w:cs="Times New Roman"/>
          <w:szCs w:val="24"/>
        </w:rPr>
        <w:t>:</w:t>
      </w:r>
      <w:r w:rsidR="00E60A7E">
        <w:rPr>
          <w:rFonts w:cs="Times New Roman"/>
          <w:szCs w:val="24"/>
        </w:rPr>
        <w:t xml:space="preserve"> 48% said they did not know where to go. Of those that </w:t>
      </w:r>
      <w:r w:rsidR="00820D2B">
        <w:rPr>
          <w:rFonts w:cs="Times New Roman"/>
          <w:szCs w:val="24"/>
        </w:rPr>
        <w:t>knew</w:t>
      </w:r>
      <w:r w:rsidR="00E60A7E">
        <w:rPr>
          <w:rFonts w:cs="Times New Roman"/>
          <w:szCs w:val="24"/>
        </w:rPr>
        <w:t xml:space="preserve"> where to go, </w:t>
      </w:r>
      <w:r w:rsidR="008C27CE" w:rsidRPr="008C27CE">
        <w:rPr>
          <w:rFonts w:cs="Times New Roman"/>
          <w:szCs w:val="24"/>
        </w:rPr>
        <w:t xml:space="preserve">14.5% said the careers service </w:t>
      </w:r>
      <w:r w:rsidR="008C27CE">
        <w:rPr>
          <w:rFonts w:cs="Times New Roman"/>
          <w:szCs w:val="24"/>
        </w:rPr>
        <w:t xml:space="preserve">and </w:t>
      </w:r>
      <w:r w:rsidR="00935B01">
        <w:rPr>
          <w:rFonts w:cs="Times New Roman"/>
          <w:szCs w:val="24"/>
        </w:rPr>
        <w:t>7</w:t>
      </w:r>
      <w:r w:rsidRPr="00D273CE">
        <w:rPr>
          <w:rFonts w:cs="Times New Roman"/>
          <w:szCs w:val="24"/>
        </w:rPr>
        <w:t xml:space="preserve">% said their </w:t>
      </w:r>
      <w:r w:rsidR="00864207">
        <w:rPr>
          <w:rFonts w:cs="Times New Roman"/>
          <w:szCs w:val="24"/>
        </w:rPr>
        <w:t>course</w:t>
      </w:r>
      <w:r w:rsidR="008C3917" w:rsidRPr="00D273CE">
        <w:rPr>
          <w:rFonts w:cs="Times New Roman"/>
          <w:szCs w:val="24"/>
        </w:rPr>
        <w:t xml:space="preserve"> </w:t>
      </w:r>
      <w:r w:rsidRPr="00D273CE">
        <w:rPr>
          <w:rFonts w:cs="Times New Roman"/>
          <w:szCs w:val="24"/>
        </w:rPr>
        <w:t xml:space="preserve">team. </w:t>
      </w:r>
    </w:p>
    <w:p w14:paraId="70CC8FC0" w14:textId="77777777" w:rsidR="008C217C" w:rsidRPr="00D273CE" w:rsidRDefault="00E8773A" w:rsidP="001D78E6">
      <w:pPr>
        <w:jc w:val="both"/>
        <w:rPr>
          <w:rFonts w:cs="Times New Roman"/>
          <w:szCs w:val="24"/>
        </w:rPr>
      </w:pPr>
      <w:r>
        <w:rPr>
          <w:rFonts w:cs="Times New Roman"/>
          <w:szCs w:val="24"/>
        </w:rPr>
        <w:t xml:space="preserve">Interviewees were asked who they talked with about their </w:t>
      </w:r>
      <w:r w:rsidR="00864207">
        <w:rPr>
          <w:rFonts w:cs="Times New Roman"/>
          <w:szCs w:val="24"/>
        </w:rPr>
        <w:t>course</w:t>
      </w:r>
      <w:r w:rsidR="00F153D0">
        <w:rPr>
          <w:rFonts w:cs="Times New Roman"/>
          <w:szCs w:val="24"/>
        </w:rPr>
        <w:t xml:space="preserve"> </w:t>
      </w:r>
      <w:r>
        <w:rPr>
          <w:rFonts w:cs="Times New Roman"/>
          <w:szCs w:val="24"/>
        </w:rPr>
        <w:t xml:space="preserve">and whether they talked with the same people about their future career. Most discussed their </w:t>
      </w:r>
      <w:r w:rsidR="00864207">
        <w:rPr>
          <w:rFonts w:cs="Times New Roman"/>
          <w:szCs w:val="24"/>
        </w:rPr>
        <w:t>course</w:t>
      </w:r>
      <w:r w:rsidR="00F153D0">
        <w:rPr>
          <w:rFonts w:cs="Times New Roman"/>
          <w:szCs w:val="24"/>
        </w:rPr>
        <w:t xml:space="preserve">s </w:t>
      </w:r>
      <w:r>
        <w:rPr>
          <w:rFonts w:cs="Times New Roman"/>
          <w:szCs w:val="24"/>
        </w:rPr>
        <w:t xml:space="preserve">with other students, especially their classmates; over half discussed </w:t>
      </w:r>
      <w:r w:rsidR="00F153D0">
        <w:rPr>
          <w:rFonts w:cs="Times New Roman"/>
          <w:szCs w:val="24"/>
        </w:rPr>
        <w:t xml:space="preserve">their </w:t>
      </w:r>
      <w:r w:rsidR="00864207">
        <w:rPr>
          <w:rFonts w:cs="Times New Roman"/>
          <w:szCs w:val="24"/>
        </w:rPr>
        <w:t>course</w:t>
      </w:r>
      <w:r w:rsidR="00F153D0">
        <w:rPr>
          <w:rFonts w:cs="Times New Roman"/>
          <w:szCs w:val="24"/>
        </w:rPr>
        <w:t xml:space="preserve">s </w:t>
      </w:r>
      <w:r>
        <w:rPr>
          <w:rFonts w:cs="Times New Roman"/>
          <w:szCs w:val="24"/>
        </w:rPr>
        <w:t xml:space="preserve">with their families; and </w:t>
      </w:r>
      <w:r>
        <w:rPr>
          <w:rFonts w:cs="Times New Roman"/>
          <w:szCs w:val="24"/>
        </w:rPr>
        <w:lastRenderedPageBreak/>
        <w:t xml:space="preserve">over a third discussed the </w:t>
      </w:r>
      <w:r w:rsidR="00864207">
        <w:rPr>
          <w:rFonts w:cs="Times New Roman"/>
          <w:szCs w:val="24"/>
        </w:rPr>
        <w:t>course</w:t>
      </w:r>
      <w:r w:rsidR="00F153D0">
        <w:rPr>
          <w:rFonts w:cs="Times New Roman"/>
          <w:szCs w:val="24"/>
        </w:rPr>
        <w:t xml:space="preserve"> </w:t>
      </w:r>
      <w:r>
        <w:rPr>
          <w:rFonts w:cs="Times New Roman"/>
          <w:szCs w:val="24"/>
        </w:rPr>
        <w:t>with lecturers, especially module leaders. There was overlap between the groups</w:t>
      </w:r>
      <w:r w:rsidR="002632A1">
        <w:rPr>
          <w:rFonts w:cs="Times New Roman"/>
          <w:szCs w:val="24"/>
        </w:rPr>
        <w:t xml:space="preserve"> used as sources for career development</w:t>
      </w:r>
      <w:r>
        <w:rPr>
          <w:rFonts w:cs="Times New Roman"/>
          <w:szCs w:val="24"/>
        </w:rPr>
        <w:t>, as people followed family members into similar industries</w:t>
      </w:r>
      <w:r w:rsidR="00820D2B">
        <w:rPr>
          <w:rFonts w:cs="Times New Roman"/>
          <w:szCs w:val="24"/>
        </w:rPr>
        <w:t>,</w:t>
      </w:r>
      <w:r>
        <w:rPr>
          <w:rFonts w:cs="Times New Roman"/>
          <w:szCs w:val="24"/>
        </w:rPr>
        <w:t xml:space="preserve"> and lecturers (especially in design) also worked commercially.</w:t>
      </w:r>
      <w:r w:rsidR="008C217C" w:rsidRPr="008C217C">
        <w:t xml:space="preserve"> </w:t>
      </w:r>
      <w:r w:rsidR="008C217C" w:rsidRPr="008C217C">
        <w:rPr>
          <w:rFonts w:cs="Times New Roman"/>
          <w:szCs w:val="24"/>
        </w:rPr>
        <w:t xml:space="preserve">Most </w:t>
      </w:r>
      <w:r w:rsidR="00F153D0">
        <w:rPr>
          <w:rFonts w:cs="Times New Roman"/>
          <w:szCs w:val="24"/>
        </w:rPr>
        <w:t xml:space="preserve">participants </w:t>
      </w:r>
      <w:r w:rsidR="008C217C" w:rsidRPr="008C217C">
        <w:rPr>
          <w:rFonts w:cs="Times New Roman"/>
          <w:szCs w:val="24"/>
        </w:rPr>
        <w:t>talk</w:t>
      </w:r>
      <w:r w:rsidR="00F153D0">
        <w:rPr>
          <w:rFonts w:cs="Times New Roman"/>
          <w:szCs w:val="24"/>
        </w:rPr>
        <w:t>ed</w:t>
      </w:r>
      <w:r w:rsidR="008C217C" w:rsidRPr="008C217C">
        <w:rPr>
          <w:rFonts w:cs="Times New Roman"/>
          <w:szCs w:val="24"/>
        </w:rPr>
        <w:t xml:space="preserve"> about study options </w:t>
      </w:r>
      <w:r w:rsidR="00F153D0">
        <w:rPr>
          <w:rFonts w:cs="Times New Roman"/>
          <w:szCs w:val="24"/>
        </w:rPr>
        <w:t>with</w:t>
      </w:r>
      <w:r w:rsidR="00F153D0" w:rsidRPr="008C217C">
        <w:rPr>
          <w:rFonts w:cs="Times New Roman"/>
          <w:szCs w:val="24"/>
        </w:rPr>
        <w:t xml:space="preserve"> </w:t>
      </w:r>
      <w:r w:rsidR="008C217C" w:rsidRPr="008C217C">
        <w:rPr>
          <w:rFonts w:cs="Times New Roman"/>
          <w:szCs w:val="24"/>
        </w:rPr>
        <w:t xml:space="preserve">family members and friends (45%) and university staff (45%), respectively. Regarding </w:t>
      </w:r>
      <w:r w:rsidR="0088419E">
        <w:rPr>
          <w:rFonts w:cs="Times New Roman"/>
          <w:szCs w:val="24"/>
        </w:rPr>
        <w:t xml:space="preserve">these </w:t>
      </w:r>
      <w:r w:rsidR="008C217C" w:rsidRPr="008C217C">
        <w:rPr>
          <w:rFonts w:cs="Times New Roman"/>
          <w:szCs w:val="24"/>
        </w:rPr>
        <w:t>developmental networks, there was very little differen</w:t>
      </w:r>
      <w:r w:rsidR="00132F24">
        <w:rPr>
          <w:rFonts w:cs="Times New Roman"/>
          <w:szCs w:val="24"/>
        </w:rPr>
        <w:t>ce between those that answered ‘</w:t>
      </w:r>
      <w:r w:rsidR="008C217C" w:rsidRPr="008C217C">
        <w:rPr>
          <w:rFonts w:cs="Times New Roman"/>
          <w:szCs w:val="24"/>
        </w:rPr>
        <w:t>yes</w:t>
      </w:r>
      <w:r w:rsidR="00132F24">
        <w:rPr>
          <w:rFonts w:cs="Times New Roman"/>
          <w:szCs w:val="24"/>
        </w:rPr>
        <w:t>’</w:t>
      </w:r>
      <w:r w:rsidR="008C217C" w:rsidRPr="008C217C">
        <w:rPr>
          <w:rFonts w:cs="Times New Roman"/>
          <w:szCs w:val="24"/>
        </w:rPr>
        <w:t xml:space="preserve"> to work-related learning and those that answered </w:t>
      </w:r>
      <w:r w:rsidR="00132F24">
        <w:rPr>
          <w:rFonts w:cs="Times New Roman"/>
          <w:szCs w:val="24"/>
        </w:rPr>
        <w:t>‘</w:t>
      </w:r>
      <w:r w:rsidR="008C217C" w:rsidRPr="008C217C">
        <w:rPr>
          <w:rFonts w:cs="Times New Roman"/>
          <w:szCs w:val="24"/>
        </w:rPr>
        <w:t>no</w:t>
      </w:r>
      <w:r w:rsidR="00132F24">
        <w:rPr>
          <w:rFonts w:cs="Times New Roman"/>
          <w:szCs w:val="24"/>
        </w:rPr>
        <w:t>’</w:t>
      </w:r>
      <w:r w:rsidR="008C217C" w:rsidRPr="008C217C">
        <w:rPr>
          <w:rFonts w:cs="Times New Roman"/>
          <w:szCs w:val="24"/>
        </w:rPr>
        <w:t xml:space="preserve">. However, </w:t>
      </w:r>
      <w:r w:rsidR="003513E5">
        <w:rPr>
          <w:rFonts w:cs="Times New Roman"/>
          <w:szCs w:val="24"/>
        </w:rPr>
        <w:t>analysing the data by</w:t>
      </w:r>
      <w:r w:rsidR="008C217C" w:rsidRPr="008C217C">
        <w:rPr>
          <w:rFonts w:cs="Times New Roman"/>
          <w:szCs w:val="24"/>
        </w:rPr>
        <w:t xml:space="preserve"> department and course, </w:t>
      </w:r>
      <w:r w:rsidR="00481BB3">
        <w:rPr>
          <w:rFonts w:cs="Times New Roman"/>
          <w:szCs w:val="24"/>
        </w:rPr>
        <w:t>C</w:t>
      </w:r>
      <w:r w:rsidR="008C217C" w:rsidRPr="008C217C">
        <w:rPr>
          <w:rFonts w:cs="Times New Roman"/>
          <w:szCs w:val="24"/>
        </w:rPr>
        <w:t xml:space="preserve">omputing students were less likely to talk over career options with friends, family and other students (35%) than </w:t>
      </w:r>
      <w:r w:rsidR="00481BB3">
        <w:rPr>
          <w:rFonts w:cs="Times New Roman"/>
          <w:szCs w:val="24"/>
        </w:rPr>
        <w:t>D</w:t>
      </w:r>
      <w:r w:rsidR="008C217C" w:rsidRPr="008C217C">
        <w:rPr>
          <w:rFonts w:cs="Times New Roman"/>
          <w:szCs w:val="24"/>
        </w:rPr>
        <w:t xml:space="preserve">esign students (66%).  </w:t>
      </w:r>
      <w:r w:rsidR="0088419E">
        <w:rPr>
          <w:rFonts w:cs="Times New Roman"/>
          <w:szCs w:val="24"/>
        </w:rPr>
        <w:t>C</w:t>
      </w:r>
      <w:r w:rsidR="008C217C" w:rsidRPr="008C217C">
        <w:rPr>
          <w:rFonts w:cs="Times New Roman"/>
          <w:szCs w:val="24"/>
        </w:rPr>
        <w:t xml:space="preserve">omputing students were far more likely to speak to lecturers (82%) and placement staff (81%) than </w:t>
      </w:r>
      <w:r w:rsidR="00481BB3">
        <w:rPr>
          <w:rFonts w:cs="Times New Roman"/>
          <w:szCs w:val="24"/>
        </w:rPr>
        <w:t>D</w:t>
      </w:r>
      <w:r w:rsidR="008C217C" w:rsidRPr="008C217C">
        <w:rPr>
          <w:rFonts w:cs="Times New Roman"/>
          <w:szCs w:val="24"/>
        </w:rPr>
        <w:t>esign students (65% and 37%, respectively).</w:t>
      </w:r>
      <w:r w:rsidR="008A6392">
        <w:rPr>
          <w:rFonts w:cs="Times New Roman"/>
          <w:szCs w:val="24"/>
        </w:rPr>
        <w:t xml:space="preserve"> These findings are suggestive of discipline-specific s</w:t>
      </w:r>
      <w:r w:rsidR="001D78E6">
        <w:rPr>
          <w:rFonts w:cs="Times New Roman"/>
          <w:szCs w:val="24"/>
        </w:rPr>
        <w:t>ignposting</w:t>
      </w:r>
      <w:r w:rsidR="008A6392">
        <w:rPr>
          <w:rFonts w:cs="Times New Roman"/>
          <w:szCs w:val="24"/>
        </w:rPr>
        <w:t xml:space="preserve"> with associated role interpretation and access rules.</w:t>
      </w:r>
      <w:r w:rsidR="0088419E">
        <w:rPr>
          <w:rFonts w:cs="Times New Roman"/>
          <w:szCs w:val="24"/>
        </w:rPr>
        <w:t xml:space="preserve"> </w:t>
      </w:r>
    </w:p>
    <w:p w14:paraId="72B3BE0B" w14:textId="77777777" w:rsidR="00132F24" w:rsidRDefault="001D78E6" w:rsidP="00132F24">
      <w:pPr>
        <w:jc w:val="both"/>
        <w:rPr>
          <w:rFonts w:cs="Times New Roman"/>
          <w:szCs w:val="24"/>
        </w:rPr>
      </w:pPr>
      <w:r w:rsidRPr="001D78E6">
        <w:rPr>
          <w:rFonts w:cs="Times New Roman"/>
          <w:b/>
          <w:szCs w:val="24"/>
        </w:rPr>
        <w:t>Possible selves:</w:t>
      </w:r>
      <w:r>
        <w:rPr>
          <w:rFonts w:cs="Times New Roman"/>
          <w:szCs w:val="24"/>
        </w:rPr>
        <w:t xml:space="preserve"> </w:t>
      </w:r>
      <w:r w:rsidR="00FC0D33" w:rsidRPr="00D273CE">
        <w:rPr>
          <w:rFonts w:cs="Times New Roman"/>
          <w:szCs w:val="24"/>
        </w:rPr>
        <w:t>To explore whether respondents could imagine a possible working self, the</w:t>
      </w:r>
      <w:r w:rsidR="00E8773A">
        <w:rPr>
          <w:rFonts w:cs="Times New Roman"/>
          <w:szCs w:val="24"/>
        </w:rPr>
        <w:t xml:space="preserve"> survey</w:t>
      </w:r>
      <w:r w:rsidR="00FC0D33" w:rsidRPr="00D273CE">
        <w:rPr>
          <w:rFonts w:cs="Times New Roman"/>
          <w:szCs w:val="24"/>
        </w:rPr>
        <w:t xml:space="preserve"> asked if they could easily imagine themselves in a work</w:t>
      </w:r>
      <w:r w:rsidR="00F73251" w:rsidRPr="00D273CE">
        <w:rPr>
          <w:rFonts w:cs="Times New Roman"/>
          <w:szCs w:val="24"/>
        </w:rPr>
        <w:t xml:space="preserve"> environment</w:t>
      </w:r>
      <w:r w:rsidR="00145F09">
        <w:rPr>
          <w:rFonts w:cs="Times New Roman"/>
          <w:szCs w:val="24"/>
        </w:rPr>
        <w:t>:</w:t>
      </w:r>
      <w:r w:rsidR="00FC0D33" w:rsidRPr="00D273CE">
        <w:rPr>
          <w:rFonts w:cs="Times New Roman"/>
          <w:szCs w:val="24"/>
        </w:rPr>
        <w:t xml:space="preserve"> </w:t>
      </w:r>
      <w:r w:rsidR="00B661AF">
        <w:rPr>
          <w:rFonts w:cs="Times New Roman"/>
          <w:szCs w:val="24"/>
        </w:rPr>
        <w:t>87</w:t>
      </w:r>
      <w:r w:rsidR="000F0189">
        <w:rPr>
          <w:rFonts w:cs="Times New Roman"/>
          <w:szCs w:val="24"/>
        </w:rPr>
        <w:t xml:space="preserve">% said </w:t>
      </w:r>
      <w:r w:rsidR="00132F24">
        <w:rPr>
          <w:rFonts w:cs="Times New Roman"/>
          <w:szCs w:val="24"/>
        </w:rPr>
        <w:t>‘</w:t>
      </w:r>
      <w:r w:rsidR="000F0189">
        <w:rPr>
          <w:rFonts w:cs="Times New Roman"/>
          <w:szCs w:val="24"/>
        </w:rPr>
        <w:t>Yes</w:t>
      </w:r>
      <w:r w:rsidR="00132F24">
        <w:rPr>
          <w:rFonts w:cs="Times New Roman"/>
          <w:szCs w:val="24"/>
        </w:rPr>
        <w:t>’</w:t>
      </w:r>
      <w:r w:rsidR="000F0189">
        <w:rPr>
          <w:rFonts w:cs="Times New Roman"/>
          <w:szCs w:val="24"/>
        </w:rPr>
        <w:t xml:space="preserve">, 13% said </w:t>
      </w:r>
      <w:r w:rsidR="00132F24">
        <w:rPr>
          <w:rFonts w:cs="Times New Roman"/>
          <w:szCs w:val="24"/>
        </w:rPr>
        <w:t>‘</w:t>
      </w:r>
      <w:r w:rsidR="000F0189">
        <w:rPr>
          <w:rFonts w:cs="Times New Roman"/>
          <w:szCs w:val="24"/>
        </w:rPr>
        <w:t>No</w:t>
      </w:r>
      <w:r w:rsidR="00132F24">
        <w:rPr>
          <w:rFonts w:cs="Times New Roman"/>
          <w:szCs w:val="24"/>
        </w:rPr>
        <w:t>’</w:t>
      </w:r>
      <w:r w:rsidR="00F73251" w:rsidRPr="00D273CE">
        <w:rPr>
          <w:rFonts w:cs="Times New Roman"/>
          <w:szCs w:val="24"/>
        </w:rPr>
        <w:t xml:space="preserve">. They were then </w:t>
      </w:r>
      <w:r w:rsidR="00A83034">
        <w:rPr>
          <w:rFonts w:cs="Times New Roman"/>
          <w:szCs w:val="24"/>
        </w:rPr>
        <w:t xml:space="preserve">asked </w:t>
      </w:r>
      <w:r w:rsidR="00132F24">
        <w:rPr>
          <w:rFonts w:cs="Times New Roman"/>
          <w:szCs w:val="24"/>
        </w:rPr>
        <w:t>‘</w:t>
      </w:r>
      <w:r w:rsidR="00A83034">
        <w:rPr>
          <w:rFonts w:cs="Times New Roman"/>
          <w:szCs w:val="24"/>
        </w:rPr>
        <w:t>W</w:t>
      </w:r>
      <w:r w:rsidR="0082452C" w:rsidRPr="00D273CE">
        <w:rPr>
          <w:rFonts w:cs="Times New Roman"/>
          <w:szCs w:val="24"/>
        </w:rPr>
        <w:t>here do you see yourself in 10 years</w:t>
      </w:r>
      <w:r w:rsidR="009D7648">
        <w:rPr>
          <w:rFonts w:cs="Times New Roman"/>
          <w:szCs w:val="24"/>
        </w:rPr>
        <w:t>’</w:t>
      </w:r>
      <w:r w:rsidR="0082452C" w:rsidRPr="00D273CE">
        <w:rPr>
          <w:rFonts w:cs="Times New Roman"/>
          <w:szCs w:val="24"/>
        </w:rPr>
        <w:t xml:space="preserve"> time</w:t>
      </w:r>
      <w:r w:rsidR="00F73251" w:rsidRPr="00D273CE">
        <w:rPr>
          <w:rFonts w:cs="Times New Roman"/>
          <w:szCs w:val="24"/>
        </w:rPr>
        <w:t>?</w:t>
      </w:r>
      <w:r w:rsidR="00132F24">
        <w:rPr>
          <w:rFonts w:cs="Times New Roman"/>
          <w:szCs w:val="24"/>
        </w:rPr>
        <w:t>’</w:t>
      </w:r>
      <w:r w:rsidR="00F73251" w:rsidRPr="00D273CE">
        <w:rPr>
          <w:rFonts w:cs="Times New Roman"/>
          <w:szCs w:val="24"/>
        </w:rPr>
        <w:t xml:space="preserve"> </w:t>
      </w:r>
      <w:r w:rsidR="00B661AF">
        <w:rPr>
          <w:rFonts w:cs="Times New Roman"/>
          <w:szCs w:val="24"/>
        </w:rPr>
        <w:t>54</w:t>
      </w:r>
      <w:r w:rsidR="00F73251" w:rsidRPr="00D273CE">
        <w:rPr>
          <w:rFonts w:cs="Times New Roman"/>
          <w:szCs w:val="24"/>
        </w:rPr>
        <w:t>% replied with a career in the area of their degree topic</w:t>
      </w:r>
      <w:r w:rsidR="00145F09">
        <w:rPr>
          <w:rFonts w:cs="Times New Roman"/>
          <w:szCs w:val="24"/>
        </w:rPr>
        <w:t xml:space="preserve">. One student clearly envisioned a future working self, responding: </w:t>
      </w:r>
      <w:r w:rsidR="00132F24">
        <w:rPr>
          <w:rFonts w:cs="Times New Roman"/>
          <w:szCs w:val="24"/>
        </w:rPr>
        <w:t>‘</w:t>
      </w:r>
      <w:r w:rsidR="00145F09" w:rsidRPr="00147907">
        <w:rPr>
          <w:color w:val="000000"/>
          <w:lang w:eastAsia="en-GB"/>
        </w:rPr>
        <w:t>In an office with big windows editing films</w:t>
      </w:r>
      <w:r w:rsidR="00132F24">
        <w:rPr>
          <w:color w:val="000000"/>
          <w:lang w:eastAsia="en-GB"/>
        </w:rPr>
        <w:t>’</w:t>
      </w:r>
      <w:r w:rsidR="00F73251" w:rsidRPr="00D273CE">
        <w:rPr>
          <w:rFonts w:cs="Times New Roman"/>
          <w:szCs w:val="24"/>
        </w:rPr>
        <w:t xml:space="preserve">; </w:t>
      </w:r>
      <w:r w:rsidR="00B661AF">
        <w:rPr>
          <w:rFonts w:cs="Times New Roman"/>
          <w:szCs w:val="24"/>
        </w:rPr>
        <w:t>33</w:t>
      </w:r>
      <w:r w:rsidR="00F73251" w:rsidRPr="00D273CE">
        <w:rPr>
          <w:rFonts w:cs="Times New Roman"/>
          <w:szCs w:val="24"/>
        </w:rPr>
        <w:t>% replied with a more general indication of working</w:t>
      </w:r>
      <w:r w:rsidR="00703EF4">
        <w:rPr>
          <w:rFonts w:cs="Times New Roman"/>
          <w:szCs w:val="24"/>
        </w:rPr>
        <w:t xml:space="preserve"> (</w:t>
      </w:r>
      <w:r w:rsidR="0088419E">
        <w:rPr>
          <w:rFonts w:cs="Times New Roman"/>
          <w:szCs w:val="24"/>
        </w:rPr>
        <w:t>e.g.</w:t>
      </w:r>
      <w:r w:rsidR="00D10DB1">
        <w:rPr>
          <w:rFonts w:cs="Times New Roman"/>
          <w:szCs w:val="24"/>
        </w:rPr>
        <w:t>,</w:t>
      </w:r>
      <w:r w:rsidR="00703EF4">
        <w:rPr>
          <w:rFonts w:cs="Times New Roman"/>
          <w:szCs w:val="24"/>
        </w:rPr>
        <w:t xml:space="preserve"> </w:t>
      </w:r>
      <w:r w:rsidR="00132F24">
        <w:rPr>
          <w:rFonts w:cs="Times New Roman"/>
          <w:szCs w:val="24"/>
        </w:rPr>
        <w:t>‘</w:t>
      </w:r>
      <w:r w:rsidR="00703EF4">
        <w:rPr>
          <w:rFonts w:cs="Times New Roman"/>
          <w:szCs w:val="24"/>
        </w:rPr>
        <w:t>w</w:t>
      </w:r>
      <w:r w:rsidR="00AF74B2">
        <w:rPr>
          <w:rFonts w:cs="Times New Roman"/>
          <w:szCs w:val="24"/>
        </w:rPr>
        <w:t>orking</w:t>
      </w:r>
      <w:r w:rsidR="00132F24">
        <w:rPr>
          <w:rFonts w:cs="Times New Roman"/>
          <w:szCs w:val="24"/>
        </w:rPr>
        <w:t>’</w:t>
      </w:r>
      <w:r w:rsidR="00AF74B2">
        <w:rPr>
          <w:rFonts w:cs="Times New Roman"/>
          <w:szCs w:val="24"/>
        </w:rPr>
        <w:t xml:space="preserve">; </w:t>
      </w:r>
      <w:r w:rsidR="00132F24">
        <w:rPr>
          <w:rFonts w:cs="Times New Roman"/>
          <w:szCs w:val="24"/>
        </w:rPr>
        <w:t>‘</w:t>
      </w:r>
      <w:r w:rsidR="00AF74B2">
        <w:rPr>
          <w:rFonts w:cs="Times New Roman"/>
          <w:szCs w:val="24"/>
        </w:rPr>
        <w:t>a good job</w:t>
      </w:r>
      <w:r w:rsidR="00132F24">
        <w:rPr>
          <w:rFonts w:cs="Times New Roman"/>
          <w:szCs w:val="24"/>
        </w:rPr>
        <w:t>’</w:t>
      </w:r>
      <w:r w:rsidR="00AF74B2">
        <w:rPr>
          <w:rFonts w:cs="Times New Roman"/>
          <w:szCs w:val="24"/>
        </w:rPr>
        <w:t>)</w:t>
      </w:r>
      <w:r>
        <w:rPr>
          <w:rFonts w:cs="Times New Roman"/>
          <w:szCs w:val="24"/>
        </w:rPr>
        <w:t>;</w:t>
      </w:r>
      <w:r w:rsidRPr="00D273CE">
        <w:rPr>
          <w:rFonts w:cs="Times New Roman"/>
          <w:szCs w:val="24"/>
        </w:rPr>
        <w:t xml:space="preserve"> 5</w:t>
      </w:r>
      <w:r w:rsidR="00F73251" w:rsidRPr="00D273CE">
        <w:rPr>
          <w:rFonts w:cs="Times New Roman"/>
          <w:szCs w:val="24"/>
        </w:rPr>
        <w:t>% replied that they had no idea.</w:t>
      </w:r>
      <w:r w:rsidR="00A83034">
        <w:rPr>
          <w:rFonts w:cs="Times New Roman"/>
          <w:szCs w:val="24"/>
        </w:rPr>
        <w:t xml:space="preserve"> </w:t>
      </w:r>
      <w:r w:rsidR="000D6DD0" w:rsidRPr="00D273CE">
        <w:rPr>
          <w:rFonts w:cs="Times New Roman"/>
          <w:szCs w:val="24"/>
        </w:rPr>
        <w:t>Students were</w:t>
      </w:r>
      <w:r w:rsidR="00E33CD4" w:rsidRPr="00D273CE">
        <w:rPr>
          <w:rFonts w:cs="Times New Roman"/>
          <w:szCs w:val="24"/>
        </w:rPr>
        <w:t xml:space="preserve"> asked if they had appli</w:t>
      </w:r>
      <w:r w:rsidR="000D6DD0" w:rsidRPr="00D273CE">
        <w:rPr>
          <w:rFonts w:cs="Times New Roman"/>
          <w:szCs w:val="24"/>
        </w:rPr>
        <w:t xml:space="preserve">ed for a work-related project and </w:t>
      </w:r>
      <w:r w:rsidR="00B661AF">
        <w:rPr>
          <w:rFonts w:cs="Times New Roman"/>
          <w:szCs w:val="24"/>
        </w:rPr>
        <w:t>43</w:t>
      </w:r>
      <w:r w:rsidR="000D6DD0" w:rsidRPr="00D273CE">
        <w:rPr>
          <w:rFonts w:cs="Times New Roman"/>
          <w:szCs w:val="24"/>
        </w:rPr>
        <w:t>%</w:t>
      </w:r>
      <w:r w:rsidR="00E33CD4" w:rsidRPr="00D273CE">
        <w:rPr>
          <w:rFonts w:cs="Times New Roman"/>
          <w:szCs w:val="24"/>
        </w:rPr>
        <w:t xml:space="preserve"> </w:t>
      </w:r>
      <w:r w:rsidR="00AF74B2">
        <w:rPr>
          <w:rFonts w:cs="Times New Roman"/>
          <w:szCs w:val="24"/>
        </w:rPr>
        <w:t xml:space="preserve">answered positively (the </w:t>
      </w:r>
      <w:r w:rsidR="00132F24">
        <w:rPr>
          <w:rFonts w:cs="Times New Roman"/>
          <w:szCs w:val="24"/>
        </w:rPr>
        <w:t>‘</w:t>
      </w:r>
      <w:r w:rsidR="00AF74B2">
        <w:rPr>
          <w:rFonts w:cs="Times New Roman"/>
          <w:szCs w:val="24"/>
        </w:rPr>
        <w:t>Yes to placement</w:t>
      </w:r>
      <w:r w:rsidR="00132F24">
        <w:rPr>
          <w:rFonts w:cs="Times New Roman"/>
          <w:szCs w:val="24"/>
        </w:rPr>
        <w:t>’</w:t>
      </w:r>
      <w:r w:rsidR="00AF74B2">
        <w:rPr>
          <w:rFonts w:cs="Times New Roman"/>
          <w:szCs w:val="24"/>
        </w:rPr>
        <w:t xml:space="preserve"> group above)</w:t>
      </w:r>
      <w:r w:rsidR="00E33CD4" w:rsidRPr="00D273CE">
        <w:rPr>
          <w:rFonts w:cs="Times New Roman"/>
          <w:szCs w:val="24"/>
        </w:rPr>
        <w:t>.</w:t>
      </w:r>
      <w:r w:rsidR="00AF74B2">
        <w:rPr>
          <w:rFonts w:cs="Times New Roman"/>
          <w:szCs w:val="24"/>
        </w:rPr>
        <w:t xml:space="preserve"> </w:t>
      </w:r>
      <w:r w:rsidR="00E33CD4" w:rsidRPr="00D273CE">
        <w:rPr>
          <w:rFonts w:cs="Times New Roman"/>
          <w:szCs w:val="24"/>
        </w:rPr>
        <w:t xml:space="preserve"> </w:t>
      </w:r>
      <w:r w:rsidR="00F153D0">
        <w:rPr>
          <w:rFonts w:cs="Times New Roman"/>
          <w:szCs w:val="24"/>
        </w:rPr>
        <w:t xml:space="preserve">The survey prompted for more detail </w:t>
      </w:r>
      <w:r w:rsidR="0088419E">
        <w:rPr>
          <w:rFonts w:cs="Times New Roman"/>
          <w:szCs w:val="24"/>
        </w:rPr>
        <w:t xml:space="preserve">about these working images and many </w:t>
      </w:r>
      <w:r w:rsidR="001F3FC2" w:rsidRPr="001F3FC2">
        <w:rPr>
          <w:rFonts w:cs="Times New Roman"/>
          <w:szCs w:val="24"/>
        </w:rPr>
        <w:t xml:space="preserve">cited </w:t>
      </w:r>
      <w:r w:rsidR="0088419E">
        <w:rPr>
          <w:rFonts w:cs="Times New Roman"/>
          <w:szCs w:val="24"/>
        </w:rPr>
        <w:t>their</w:t>
      </w:r>
      <w:r w:rsidR="001F3FC2" w:rsidRPr="001F3FC2">
        <w:rPr>
          <w:rFonts w:cs="Times New Roman"/>
          <w:szCs w:val="24"/>
        </w:rPr>
        <w:t xml:space="preserve"> previous work experience</w:t>
      </w:r>
      <w:r w:rsidR="00243189">
        <w:rPr>
          <w:rFonts w:cs="Times New Roman"/>
          <w:szCs w:val="24"/>
        </w:rPr>
        <w:t>;</w:t>
      </w:r>
      <w:r w:rsidR="001F3FC2">
        <w:rPr>
          <w:rFonts w:cs="Times New Roman"/>
          <w:szCs w:val="24"/>
        </w:rPr>
        <w:t xml:space="preserve"> indeed, t</w:t>
      </w:r>
      <w:r w:rsidR="001F3FC2" w:rsidRPr="001F3FC2">
        <w:rPr>
          <w:rFonts w:cs="Times New Roman"/>
          <w:szCs w:val="24"/>
        </w:rPr>
        <w:t xml:space="preserve">he extent to which </w:t>
      </w:r>
      <w:r w:rsidR="0088419E">
        <w:rPr>
          <w:rFonts w:cs="Times New Roman"/>
          <w:szCs w:val="24"/>
        </w:rPr>
        <w:t xml:space="preserve">undergraduates </w:t>
      </w:r>
      <w:r w:rsidR="001F3FC2" w:rsidRPr="001F3FC2">
        <w:rPr>
          <w:rFonts w:cs="Times New Roman"/>
          <w:szCs w:val="24"/>
        </w:rPr>
        <w:t>come to university with some measure of professional identity should not be underestima</w:t>
      </w:r>
      <w:r w:rsidR="00132F24">
        <w:rPr>
          <w:rFonts w:cs="Times New Roman"/>
          <w:szCs w:val="24"/>
        </w:rPr>
        <w:t>ted. Other responses included: ‘</w:t>
      </w:r>
      <w:r w:rsidR="001F3FC2" w:rsidRPr="001F3FC2">
        <w:rPr>
          <w:rFonts w:cs="Times New Roman"/>
          <w:szCs w:val="24"/>
        </w:rPr>
        <w:t>I feel like I am growing out of education</w:t>
      </w:r>
      <w:r w:rsidR="00132F24">
        <w:rPr>
          <w:rFonts w:cs="Times New Roman"/>
          <w:szCs w:val="24"/>
        </w:rPr>
        <w:t>’</w:t>
      </w:r>
      <w:r w:rsidR="001F3FC2" w:rsidRPr="001F3FC2">
        <w:rPr>
          <w:rFonts w:cs="Times New Roman"/>
          <w:szCs w:val="24"/>
        </w:rPr>
        <w:t xml:space="preserve">; </w:t>
      </w:r>
      <w:r w:rsidR="00132F24">
        <w:rPr>
          <w:rFonts w:cs="Times New Roman"/>
          <w:szCs w:val="24"/>
        </w:rPr>
        <w:t>‘</w:t>
      </w:r>
      <w:r w:rsidR="001F3FC2" w:rsidRPr="001F3FC2">
        <w:rPr>
          <w:rFonts w:cs="Times New Roman"/>
          <w:szCs w:val="24"/>
        </w:rPr>
        <w:t>I am passionate about my field</w:t>
      </w:r>
      <w:r w:rsidR="00132F24">
        <w:rPr>
          <w:rFonts w:cs="Times New Roman"/>
          <w:szCs w:val="24"/>
        </w:rPr>
        <w:t>’ and ‘</w:t>
      </w:r>
      <w:r w:rsidR="001F3FC2" w:rsidRPr="001F3FC2">
        <w:rPr>
          <w:rFonts w:cs="Times New Roman"/>
          <w:szCs w:val="24"/>
        </w:rPr>
        <w:t>I work hard and bel</w:t>
      </w:r>
      <w:r w:rsidR="00132F24">
        <w:rPr>
          <w:rFonts w:cs="Times New Roman"/>
          <w:szCs w:val="24"/>
        </w:rPr>
        <w:t>ieve I can find a relevant job.’</w:t>
      </w:r>
      <w:r w:rsidR="001F3FC2" w:rsidRPr="001F3FC2">
        <w:rPr>
          <w:rFonts w:cs="Times New Roman"/>
          <w:szCs w:val="24"/>
        </w:rPr>
        <w:t xml:space="preserve"> For those that couldn’t picture themselves in a work environment, reasons included </w:t>
      </w:r>
      <w:r w:rsidR="00132F24">
        <w:rPr>
          <w:rFonts w:cs="Times New Roman"/>
          <w:szCs w:val="24"/>
        </w:rPr>
        <w:t>‘</w:t>
      </w:r>
      <w:r w:rsidR="001F3FC2" w:rsidRPr="001F3FC2">
        <w:rPr>
          <w:rFonts w:cs="Times New Roman"/>
          <w:szCs w:val="24"/>
        </w:rPr>
        <w:t xml:space="preserve">I </w:t>
      </w:r>
      <w:r w:rsidR="001F3FC2" w:rsidRPr="001F3FC2">
        <w:rPr>
          <w:rFonts w:cs="Times New Roman"/>
          <w:szCs w:val="24"/>
        </w:rPr>
        <w:lastRenderedPageBreak/>
        <w:t>don’t feel very confident</w:t>
      </w:r>
      <w:r w:rsidR="00132F24">
        <w:rPr>
          <w:rFonts w:cs="Times New Roman"/>
          <w:szCs w:val="24"/>
        </w:rPr>
        <w:t>’; ‘</w:t>
      </w:r>
      <w:r w:rsidR="001F3FC2" w:rsidRPr="001F3FC2">
        <w:rPr>
          <w:rFonts w:cs="Times New Roman"/>
          <w:szCs w:val="24"/>
        </w:rPr>
        <w:t>I don’t know what I want to do</w:t>
      </w:r>
      <w:r w:rsidR="00132F24">
        <w:rPr>
          <w:rFonts w:cs="Times New Roman"/>
          <w:szCs w:val="24"/>
        </w:rPr>
        <w:t>’; ‘I don’t feel qualified enough’ and ‘</w:t>
      </w:r>
      <w:r w:rsidR="001F3FC2" w:rsidRPr="001F3FC2">
        <w:rPr>
          <w:rFonts w:cs="Times New Roman"/>
          <w:szCs w:val="24"/>
        </w:rPr>
        <w:t>Not been tau</w:t>
      </w:r>
      <w:r w:rsidR="00132F24">
        <w:rPr>
          <w:rFonts w:cs="Times New Roman"/>
          <w:szCs w:val="24"/>
        </w:rPr>
        <w:t>ght enough practical knowledge.’</w:t>
      </w:r>
    </w:p>
    <w:p w14:paraId="748EB197" w14:textId="77777777" w:rsidR="001F3FC2" w:rsidRDefault="00732707" w:rsidP="00132F24">
      <w:pPr>
        <w:jc w:val="both"/>
        <w:rPr>
          <w:rFonts w:cs="Times New Roman"/>
          <w:szCs w:val="24"/>
        </w:rPr>
      </w:pPr>
      <w:r>
        <w:rPr>
          <w:rFonts w:cs="Times New Roman"/>
          <w:szCs w:val="24"/>
        </w:rPr>
        <w:t>I</w:t>
      </w:r>
      <w:r w:rsidR="003A6706">
        <w:rPr>
          <w:rFonts w:cs="Times New Roman"/>
          <w:szCs w:val="24"/>
        </w:rPr>
        <w:t>nterviews explore</w:t>
      </w:r>
      <w:r>
        <w:rPr>
          <w:rFonts w:cs="Times New Roman"/>
          <w:szCs w:val="24"/>
        </w:rPr>
        <w:t>d</w:t>
      </w:r>
      <w:r w:rsidR="003A6706">
        <w:rPr>
          <w:rFonts w:cs="Times New Roman"/>
          <w:szCs w:val="24"/>
        </w:rPr>
        <w:t xml:space="preserve"> visions of future sel</w:t>
      </w:r>
      <w:r>
        <w:rPr>
          <w:rFonts w:cs="Times New Roman"/>
          <w:szCs w:val="24"/>
        </w:rPr>
        <w:t>ves</w:t>
      </w:r>
      <w:r w:rsidR="003A6706">
        <w:rPr>
          <w:rFonts w:cs="Times New Roman"/>
          <w:szCs w:val="24"/>
        </w:rPr>
        <w:t xml:space="preserve"> and how the</w:t>
      </w:r>
      <w:r>
        <w:rPr>
          <w:rFonts w:cs="Times New Roman"/>
          <w:szCs w:val="24"/>
        </w:rPr>
        <w:t>se</w:t>
      </w:r>
      <w:r w:rsidR="003A6706">
        <w:rPr>
          <w:rFonts w:cs="Times New Roman"/>
          <w:szCs w:val="24"/>
        </w:rPr>
        <w:t xml:space="preserve"> integrated with students</w:t>
      </w:r>
      <w:r w:rsidR="008A6392">
        <w:rPr>
          <w:rFonts w:cs="Times New Roman"/>
          <w:szCs w:val="24"/>
        </w:rPr>
        <w:t>’</w:t>
      </w:r>
      <w:r w:rsidR="003A6706">
        <w:rPr>
          <w:rFonts w:cs="Times New Roman"/>
          <w:szCs w:val="24"/>
        </w:rPr>
        <w:t xml:space="preserve"> experiences. Many interviewees also described previous selves in narratives about choosing their courses and future directions, and most interview</w:t>
      </w:r>
      <w:r>
        <w:rPr>
          <w:rFonts w:cs="Times New Roman"/>
          <w:szCs w:val="24"/>
        </w:rPr>
        <w:t>ee</w:t>
      </w:r>
      <w:r w:rsidR="003A6706">
        <w:rPr>
          <w:rFonts w:cs="Times New Roman"/>
          <w:szCs w:val="24"/>
        </w:rPr>
        <w:t xml:space="preserve">s </w:t>
      </w:r>
      <w:r>
        <w:rPr>
          <w:rFonts w:cs="Times New Roman"/>
          <w:szCs w:val="24"/>
        </w:rPr>
        <w:t>described</w:t>
      </w:r>
      <w:r w:rsidR="003A6706">
        <w:rPr>
          <w:rFonts w:cs="Times New Roman"/>
          <w:szCs w:val="24"/>
        </w:rPr>
        <w:t xml:space="preserve"> identity transitions.  Interviewees were encouraged to focus on their current student</w:t>
      </w:r>
      <w:r w:rsidR="00F153D0">
        <w:rPr>
          <w:rFonts w:cs="Times New Roman"/>
          <w:szCs w:val="24"/>
        </w:rPr>
        <w:t>-</w:t>
      </w:r>
      <w:r w:rsidR="003A6706">
        <w:rPr>
          <w:rFonts w:cs="Times New Roman"/>
          <w:szCs w:val="24"/>
        </w:rPr>
        <w:t>self, through choosing three</w:t>
      </w:r>
      <w:r w:rsidR="003A6706" w:rsidRPr="003A6706">
        <w:rPr>
          <w:rFonts w:cs="Times New Roman"/>
          <w:szCs w:val="24"/>
        </w:rPr>
        <w:t xml:space="preserve"> words </w:t>
      </w:r>
      <w:r w:rsidR="00A8048B">
        <w:rPr>
          <w:rFonts w:cs="Times New Roman"/>
          <w:szCs w:val="24"/>
        </w:rPr>
        <w:t xml:space="preserve">that </w:t>
      </w:r>
      <w:r w:rsidR="003A6706" w:rsidRPr="003A6706">
        <w:rPr>
          <w:rFonts w:cs="Times New Roman"/>
          <w:szCs w:val="24"/>
        </w:rPr>
        <w:t xml:space="preserve">describe how </w:t>
      </w:r>
      <w:r w:rsidR="00A8048B">
        <w:rPr>
          <w:rFonts w:cs="Times New Roman"/>
          <w:szCs w:val="24"/>
        </w:rPr>
        <w:t>they</w:t>
      </w:r>
      <w:r w:rsidR="00A8048B" w:rsidRPr="003A6706">
        <w:rPr>
          <w:rFonts w:cs="Times New Roman"/>
          <w:szCs w:val="24"/>
        </w:rPr>
        <w:t xml:space="preserve"> </w:t>
      </w:r>
      <w:r w:rsidR="003A6706" w:rsidRPr="003A6706">
        <w:rPr>
          <w:rFonts w:cs="Times New Roman"/>
          <w:szCs w:val="24"/>
        </w:rPr>
        <w:t xml:space="preserve">see </w:t>
      </w:r>
      <w:r w:rsidR="00A8048B">
        <w:rPr>
          <w:rFonts w:cs="Times New Roman"/>
          <w:szCs w:val="24"/>
        </w:rPr>
        <w:t>themselves</w:t>
      </w:r>
      <w:r w:rsidR="00A8048B" w:rsidRPr="003A6706">
        <w:rPr>
          <w:rFonts w:cs="Times New Roman"/>
          <w:szCs w:val="24"/>
        </w:rPr>
        <w:t xml:space="preserve"> </w:t>
      </w:r>
      <w:r w:rsidR="003A6706" w:rsidRPr="003A6706">
        <w:rPr>
          <w:rFonts w:cs="Times New Roman"/>
          <w:szCs w:val="24"/>
        </w:rPr>
        <w:t>as a studen</w:t>
      </w:r>
      <w:r w:rsidR="00A8048B">
        <w:rPr>
          <w:rFonts w:cs="Times New Roman"/>
          <w:szCs w:val="24"/>
        </w:rPr>
        <w:t>t or</w:t>
      </w:r>
      <w:r w:rsidR="003A6706" w:rsidRPr="003A6706">
        <w:rPr>
          <w:rFonts w:cs="Times New Roman"/>
          <w:szCs w:val="24"/>
        </w:rPr>
        <w:t xml:space="preserve"> approach university life and work</w:t>
      </w:r>
      <w:r w:rsidR="00132F24">
        <w:rPr>
          <w:rFonts w:cs="Times New Roman"/>
          <w:szCs w:val="24"/>
        </w:rPr>
        <w:t>.</w:t>
      </w:r>
      <w:r w:rsidR="000D1D13">
        <w:rPr>
          <w:rFonts w:cs="Times New Roman"/>
          <w:szCs w:val="24"/>
        </w:rPr>
        <w:t xml:space="preserve"> Most students chose at least one word </w:t>
      </w:r>
      <w:r w:rsidR="00A8048B">
        <w:rPr>
          <w:rFonts w:cs="Times New Roman"/>
          <w:szCs w:val="24"/>
        </w:rPr>
        <w:t xml:space="preserve">related to being </w:t>
      </w:r>
      <w:r w:rsidR="000D1D13">
        <w:rPr>
          <w:rFonts w:cs="Times New Roman"/>
          <w:szCs w:val="24"/>
        </w:rPr>
        <w:t>hard-working, conscientious or focused, and most chose a word that expressed enthusiasm and enjoyment in their studies. Two</w:t>
      </w:r>
      <w:r w:rsidR="00A8048B">
        <w:rPr>
          <w:rFonts w:cs="Times New Roman"/>
          <w:szCs w:val="24"/>
        </w:rPr>
        <w:t xml:space="preserve"> </w:t>
      </w:r>
      <w:r w:rsidR="00481BB3">
        <w:rPr>
          <w:rFonts w:cs="Times New Roman"/>
          <w:szCs w:val="24"/>
        </w:rPr>
        <w:t>D</w:t>
      </w:r>
      <w:r w:rsidR="00ED1578">
        <w:rPr>
          <w:rFonts w:cs="Times New Roman"/>
          <w:szCs w:val="24"/>
        </w:rPr>
        <w:t xml:space="preserve">esign </w:t>
      </w:r>
      <w:r w:rsidR="000D1D13">
        <w:rPr>
          <w:rFonts w:cs="Times New Roman"/>
          <w:szCs w:val="24"/>
        </w:rPr>
        <w:t xml:space="preserve">students were finding their placements (a day or two per week) very rewarding and described themselves in rather professional terms: </w:t>
      </w:r>
      <w:r w:rsidR="00132F24">
        <w:rPr>
          <w:rFonts w:cs="Times New Roman"/>
          <w:szCs w:val="24"/>
        </w:rPr>
        <w:t>‘</w:t>
      </w:r>
      <w:r w:rsidR="000D1D13" w:rsidRPr="000D1D13">
        <w:rPr>
          <w:rFonts w:cs="Times New Roman"/>
          <w:szCs w:val="24"/>
        </w:rPr>
        <w:t>confident</w:t>
      </w:r>
      <w:r w:rsidR="00132F24">
        <w:rPr>
          <w:rFonts w:cs="Times New Roman"/>
          <w:szCs w:val="24"/>
        </w:rPr>
        <w:t>’</w:t>
      </w:r>
      <w:r w:rsidR="000D1D13" w:rsidRPr="000D1D13">
        <w:rPr>
          <w:rFonts w:cs="Times New Roman"/>
          <w:szCs w:val="24"/>
        </w:rPr>
        <w:t xml:space="preserve">, </w:t>
      </w:r>
      <w:r w:rsidR="00132F24">
        <w:rPr>
          <w:rFonts w:cs="Times New Roman"/>
          <w:szCs w:val="24"/>
        </w:rPr>
        <w:t>‘</w:t>
      </w:r>
      <w:r w:rsidR="000D1D13" w:rsidRPr="000D1D13">
        <w:rPr>
          <w:rFonts w:cs="Times New Roman"/>
          <w:szCs w:val="24"/>
        </w:rPr>
        <w:t>professional</w:t>
      </w:r>
      <w:r w:rsidR="00132F24">
        <w:rPr>
          <w:rFonts w:cs="Times New Roman"/>
          <w:szCs w:val="24"/>
        </w:rPr>
        <w:t>’</w:t>
      </w:r>
      <w:r w:rsidR="000D1D13" w:rsidRPr="000D1D13">
        <w:rPr>
          <w:rFonts w:cs="Times New Roman"/>
          <w:szCs w:val="24"/>
        </w:rPr>
        <w:t xml:space="preserve">, </w:t>
      </w:r>
      <w:r w:rsidR="00132F24">
        <w:rPr>
          <w:rFonts w:cs="Times New Roman"/>
          <w:szCs w:val="24"/>
        </w:rPr>
        <w:t>‘</w:t>
      </w:r>
      <w:r w:rsidR="000D1D13" w:rsidRPr="000D1D13">
        <w:rPr>
          <w:rFonts w:cs="Times New Roman"/>
          <w:szCs w:val="24"/>
        </w:rPr>
        <w:t>organised</w:t>
      </w:r>
      <w:r w:rsidR="00132F24">
        <w:rPr>
          <w:rFonts w:cs="Times New Roman"/>
          <w:szCs w:val="24"/>
        </w:rPr>
        <w:t>’</w:t>
      </w:r>
      <w:r w:rsidR="000D1D13">
        <w:rPr>
          <w:rFonts w:cs="Times New Roman"/>
          <w:szCs w:val="24"/>
        </w:rPr>
        <w:t>,</w:t>
      </w:r>
      <w:r w:rsidR="000D1D13" w:rsidRPr="000D1D13">
        <w:rPr>
          <w:rFonts w:cs="Times New Roman"/>
          <w:szCs w:val="24"/>
        </w:rPr>
        <w:t xml:space="preserve"> </w:t>
      </w:r>
      <w:r w:rsidR="00BD65EF">
        <w:rPr>
          <w:rFonts w:cs="Times New Roman"/>
          <w:szCs w:val="24"/>
        </w:rPr>
        <w:t>with attributes such as</w:t>
      </w:r>
      <w:r w:rsidR="000D1D13" w:rsidRPr="000D1D13">
        <w:rPr>
          <w:rFonts w:cs="Times New Roman"/>
          <w:szCs w:val="24"/>
        </w:rPr>
        <w:t xml:space="preserve"> </w:t>
      </w:r>
      <w:r w:rsidR="00132F24">
        <w:rPr>
          <w:rFonts w:cs="Times New Roman"/>
          <w:szCs w:val="24"/>
        </w:rPr>
        <w:t>‘</w:t>
      </w:r>
      <w:r w:rsidR="000D1D13" w:rsidRPr="000D1D13">
        <w:rPr>
          <w:rFonts w:cs="Times New Roman"/>
          <w:szCs w:val="24"/>
        </w:rPr>
        <w:t>independent</w:t>
      </w:r>
      <w:r w:rsidR="00132F24">
        <w:rPr>
          <w:rFonts w:cs="Times New Roman"/>
          <w:szCs w:val="24"/>
        </w:rPr>
        <w:t>’</w:t>
      </w:r>
      <w:r w:rsidR="000D1D13" w:rsidRPr="000D1D13">
        <w:rPr>
          <w:rFonts w:cs="Times New Roman"/>
          <w:szCs w:val="24"/>
        </w:rPr>
        <w:t xml:space="preserve">, </w:t>
      </w:r>
      <w:r w:rsidR="00132F24">
        <w:rPr>
          <w:rFonts w:cs="Times New Roman"/>
          <w:szCs w:val="24"/>
        </w:rPr>
        <w:t>‘</w:t>
      </w:r>
      <w:r w:rsidR="000D1D13" w:rsidRPr="000D1D13">
        <w:rPr>
          <w:rFonts w:cs="Times New Roman"/>
          <w:szCs w:val="24"/>
        </w:rPr>
        <w:t>enthusiastic</w:t>
      </w:r>
      <w:r w:rsidR="00132F24">
        <w:rPr>
          <w:rFonts w:cs="Times New Roman"/>
          <w:szCs w:val="24"/>
        </w:rPr>
        <w:t>’</w:t>
      </w:r>
      <w:r w:rsidR="00BD65EF">
        <w:rPr>
          <w:rFonts w:cs="Times New Roman"/>
          <w:szCs w:val="24"/>
        </w:rPr>
        <w:t xml:space="preserve"> and</w:t>
      </w:r>
      <w:r w:rsidR="000D1D13" w:rsidRPr="000D1D13">
        <w:rPr>
          <w:rFonts w:cs="Times New Roman"/>
          <w:szCs w:val="24"/>
        </w:rPr>
        <w:t xml:space="preserve"> </w:t>
      </w:r>
      <w:r w:rsidR="00132F24">
        <w:rPr>
          <w:rFonts w:cs="Times New Roman"/>
          <w:szCs w:val="24"/>
        </w:rPr>
        <w:t>‘</w:t>
      </w:r>
      <w:r w:rsidR="000D1D13" w:rsidRPr="000D1D13">
        <w:rPr>
          <w:rFonts w:cs="Times New Roman"/>
          <w:szCs w:val="24"/>
        </w:rPr>
        <w:t>curiou</w:t>
      </w:r>
      <w:r w:rsidR="00BD65EF">
        <w:rPr>
          <w:rFonts w:cs="Times New Roman"/>
          <w:szCs w:val="24"/>
        </w:rPr>
        <w:t>s.</w:t>
      </w:r>
      <w:r w:rsidR="00132F24">
        <w:rPr>
          <w:rFonts w:cs="Times New Roman"/>
          <w:szCs w:val="24"/>
        </w:rPr>
        <w:t>’</w:t>
      </w:r>
      <w:r w:rsidR="000D1D13">
        <w:rPr>
          <w:rFonts w:cs="Times New Roman"/>
          <w:szCs w:val="24"/>
        </w:rPr>
        <w:t xml:space="preserve"> Three students who</w:t>
      </w:r>
      <w:r w:rsidR="000D24C2">
        <w:rPr>
          <w:rFonts w:cs="Times New Roman"/>
          <w:szCs w:val="24"/>
        </w:rPr>
        <w:t xml:space="preserve"> seemed to lack confidence in their future careers struggled to complete the task, for example</w:t>
      </w:r>
      <w:r w:rsidR="001F3FC2">
        <w:rPr>
          <w:rFonts w:cs="Times New Roman"/>
          <w:szCs w:val="24"/>
        </w:rPr>
        <w:t>:</w:t>
      </w:r>
    </w:p>
    <w:p w14:paraId="213FE8F7" w14:textId="77777777" w:rsidR="00AB42DD" w:rsidRPr="00132F24" w:rsidRDefault="000D24C2" w:rsidP="00132F24">
      <w:pPr>
        <w:ind w:left="720" w:firstLine="0"/>
        <w:jc w:val="both"/>
        <w:rPr>
          <w:rFonts w:cs="Times New Roman"/>
          <w:sz w:val="20"/>
          <w:szCs w:val="20"/>
        </w:rPr>
      </w:pPr>
      <w:r w:rsidRPr="00132F24">
        <w:rPr>
          <w:rFonts w:cs="Times New Roman"/>
          <w:sz w:val="20"/>
          <w:szCs w:val="20"/>
        </w:rPr>
        <w:t>I</w:t>
      </w:r>
      <w:r w:rsidR="00BD65EF" w:rsidRPr="00132F24">
        <w:rPr>
          <w:rFonts w:cs="Times New Roman"/>
          <w:sz w:val="20"/>
          <w:szCs w:val="20"/>
        </w:rPr>
        <w:t>’</w:t>
      </w:r>
      <w:r w:rsidRPr="00132F24">
        <w:rPr>
          <w:rFonts w:cs="Times New Roman"/>
          <w:sz w:val="20"/>
          <w:szCs w:val="20"/>
        </w:rPr>
        <w:t>m trying to take as much learning with me as I can, in uni. So, if you can compact that to one word, you</w:t>
      </w:r>
      <w:r w:rsidR="00BD65EF" w:rsidRPr="00132F24">
        <w:rPr>
          <w:rFonts w:cs="Times New Roman"/>
          <w:sz w:val="20"/>
          <w:szCs w:val="20"/>
        </w:rPr>
        <w:t>’</w:t>
      </w:r>
      <w:r w:rsidRPr="00132F24">
        <w:rPr>
          <w:rFonts w:cs="Times New Roman"/>
          <w:sz w:val="20"/>
          <w:szCs w:val="20"/>
        </w:rPr>
        <w:t>re welcome. So, I approach it, yeah, just for learning</w:t>
      </w:r>
      <w:r w:rsidR="00ED1578" w:rsidRPr="00132F24">
        <w:rPr>
          <w:rFonts w:cs="Times New Roman"/>
          <w:sz w:val="20"/>
          <w:szCs w:val="20"/>
        </w:rPr>
        <w:t xml:space="preserve"> (Design student)</w:t>
      </w:r>
      <w:r w:rsidRPr="00132F24">
        <w:rPr>
          <w:rFonts w:cs="Times New Roman"/>
          <w:sz w:val="20"/>
          <w:szCs w:val="20"/>
        </w:rPr>
        <w:t>.</w:t>
      </w:r>
    </w:p>
    <w:p w14:paraId="414748F5" w14:textId="7D08E5B9" w:rsidR="008A6392" w:rsidRDefault="00AB42DD" w:rsidP="00584C61">
      <w:pPr>
        <w:ind w:firstLine="0"/>
        <w:jc w:val="both"/>
        <w:rPr>
          <w:rFonts w:cs="Times New Roman"/>
          <w:szCs w:val="24"/>
        </w:rPr>
      </w:pPr>
      <w:r>
        <w:rPr>
          <w:rFonts w:cs="Times New Roman"/>
          <w:szCs w:val="24"/>
        </w:rPr>
        <w:t>In the interviews,</w:t>
      </w:r>
      <w:r w:rsidR="007E53C6">
        <w:rPr>
          <w:rFonts w:cs="Times New Roman"/>
          <w:szCs w:val="24"/>
        </w:rPr>
        <w:t xml:space="preserve"> students were asked how they pictured their future professional life, as well as about any plans or dreams for beyond university. Students who had clear pictures of their future career had</w:t>
      </w:r>
      <w:r w:rsidR="00243189">
        <w:rPr>
          <w:rFonts w:cs="Times New Roman"/>
          <w:szCs w:val="24"/>
        </w:rPr>
        <w:t>,</w:t>
      </w:r>
      <w:r w:rsidR="007E53C6">
        <w:rPr>
          <w:rFonts w:cs="Times New Roman"/>
          <w:szCs w:val="24"/>
        </w:rPr>
        <w:t xml:space="preserve"> </w:t>
      </w:r>
      <w:r w:rsidR="008A6392">
        <w:rPr>
          <w:rFonts w:cs="Times New Roman"/>
          <w:szCs w:val="24"/>
        </w:rPr>
        <w:t>in general</w:t>
      </w:r>
      <w:r w:rsidR="00243189">
        <w:rPr>
          <w:rFonts w:cs="Times New Roman"/>
          <w:szCs w:val="24"/>
        </w:rPr>
        <w:t>,</w:t>
      </w:r>
      <w:r w:rsidR="008A6392">
        <w:rPr>
          <w:rFonts w:cs="Times New Roman"/>
          <w:szCs w:val="24"/>
        </w:rPr>
        <w:t xml:space="preserve"> </w:t>
      </w:r>
      <w:r w:rsidR="007E53C6">
        <w:rPr>
          <w:rFonts w:cs="Times New Roman"/>
          <w:szCs w:val="24"/>
        </w:rPr>
        <w:t>observed or experienced certain aspects of their (potential) professional life, either through work placements, volunteering or in other contexts</w:t>
      </w:r>
      <w:r w:rsidR="00243189">
        <w:rPr>
          <w:rFonts w:cs="Times New Roman"/>
          <w:szCs w:val="24"/>
        </w:rPr>
        <w:t>.</w:t>
      </w:r>
      <w:r w:rsidR="007E53C6">
        <w:rPr>
          <w:rFonts w:cs="Times New Roman"/>
          <w:szCs w:val="24"/>
        </w:rPr>
        <w:t xml:space="preserve"> </w:t>
      </w:r>
      <w:r w:rsidR="00A20D18">
        <w:rPr>
          <w:rFonts w:cs="Times New Roman"/>
          <w:szCs w:val="24"/>
        </w:rPr>
        <w:t xml:space="preserve">Students who did not have placements </w:t>
      </w:r>
      <w:r w:rsidR="0047406D">
        <w:rPr>
          <w:rFonts w:cs="Times New Roman"/>
          <w:szCs w:val="24"/>
        </w:rPr>
        <w:t xml:space="preserve">tended to </w:t>
      </w:r>
      <w:r w:rsidR="00A20D18">
        <w:rPr>
          <w:rFonts w:cs="Times New Roman"/>
          <w:szCs w:val="24"/>
        </w:rPr>
        <w:t xml:space="preserve">be more reticent about providing a picture of their future career, for example: </w:t>
      </w:r>
    </w:p>
    <w:p w14:paraId="66C6B5FE" w14:textId="77777777" w:rsidR="00132F24" w:rsidRPr="00132F24" w:rsidRDefault="00A20D18" w:rsidP="00132F24">
      <w:pPr>
        <w:ind w:left="720" w:firstLine="0"/>
        <w:jc w:val="both"/>
        <w:rPr>
          <w:rFonts w:cs="Times New Roman"/>
          <w:sz w:val="20"/>
          <w:szCs w:val="20"/>
        </w:rPr>
      </w:pPr>
      <w:r w:rsidRPr="00132F24">
        <w:rPr>
          <w:rFonts w:cs="Times New Roman"/>
          <w:sz w:val="20"/>
          <w:szCs w:val="20"/>
        </w:rPr>
        <w:t>It</w:t>
      </w:r>
      <w:r w:rsidR="00BD65EF" w:rsidRPr="00132F24">
        <w:rPr>
          <w:rFonts w:cs="Times New Roman"/>
          <w:sz w:val="20"/>
          <w:szCs w:val="20"/>
        </w:rPr>
        <w:t>’</w:t>
      </w:r>
      <w:r w:rsidRPr="00132F24">
        <w:rPr>
          <w:rFonts w:cs="Times New Roman"/>
          <w:sz w:val="20"/>
          <w:szCs w:val="20"/>
        </w:rPr>
        <w:t>s difficult if you haven</w:t>
      </w:r>
      <w:r w:rsidR="00BD65EF" w:rsidRPr="00132F24">
        <w:rPr>
          <w:rFonts w:cs="Times New Roman"/>
          <w:sz w:val="20"/>
          <w:szCs w:val="20"/>
        </w:rPr>
        <w:t>’</w:t>
      </w:r>
      <w:r w:rsidRPr="00132F24">
        <w:rPr>
          <w:rFonts w:cs="Times New Roman"/>
          <w:sz w:val="20"/>
          <w:szCs w:val="20"/>
        </w:rPr>
        <w:t>t been to an internship, and you don</w:t>
      </w:r>
      <w:r w:rsidR="00BD65EF" w:rsidRPr="00132F24">
        <w:rPr>
          <w:rFonts w:cs="Times New Roman"/>
          <w:sz w:val="20"/>
          <w:szCs w:val="20"/>
        </w:rPr>
        <w:t>’</w:t>
      </w:r>
      <w:r w:rsidRPr="00132F24">
        <w:rPr>
          <w:rFonts w:cs="Times New Roman"/>
          <w:sz w:val="20"/>
          <w:szCs w:val="20"/>
        </w:rPr>
        <w:t>t know exactly how you fit in, you know, or if you are useful in what you do. It</w:t>
      </w:r>
      <w:r w:rsidR="00BD65EF" w:rsidRPr="00132F24">
        <w:rPr>
          <w:rFonts w:cs="Times New Roman"/>
          <w:sz w:val="20"/>
          <w:szCs w:val="20"/>
        </w:rPr>
        <w:t>’</w:t>
      </w:r>
      <w:r w:rsidRPr="00132F24">
        <w:rPr>
          <w:rFonts w:cs="Times New Roman"/>
          <w:sz w:val="20"/>
          <w:szCs w:val="20"/>
        </w:rPr>
        <w:t>s difficult to kind of picture or see yourself; you don</w:t>
      </w:r>
      <w:r w:rsidR="00BD65EF" w:rsidRPr="00132F24">
        <w:rPr>
          <w:rFonts w:cs="Times New Roman"/>
          <w:sz w:val="20"/>
          <w:szCs w:val="20"/>
        </w:rPr>
        <w:t>’</w:t>
      </w:r>
      <w:r w:rsidRPr="00132F24">
        <w:rPr>
          <w:rFonts w:cs="Times New Roman"/>
          <w:sz w:val="20"/>
          <w:szCs w:val="20"/>
        </w:rPr>
        <w:t>t know if you</w:t>
      </w:r>
      <w:r w:rsidR="00BD65EF" w:rsidRPr="00132F24">
        <w:rPr>
          <w:rFonts w:cs="Times New Roman"/>
          <w:sz w:val="20"/>
          <w:szCs w:val="20"/>
        </w:rPr>
        <w:t>’</w:t>
      </w:r>
      <w:r w:rsidRPr="00132F24">
        <w:rPr>
          <w:rFonts w:cs="Times New Roman"/>
          <w:sz w:val="20"/>
          <w:szCs w:val="20"/>
        </w:rPr>
        <w:t>re prepared or not</w:t>
      </w:r>
      <w:r w:rsidR="00132F24" w:rsidRPr="00132F24">
        <w:rPr>
          <w:rFonts w:cs="Times New Roman"/>
          <w:sz w:val="20"/>
          <w:szCs w:val="20"/>
        </w:rPr>
        <w:t xml:space="preserve"> </w:t>
      </w:r>
      <w:r w:rsidRPr="00132F24">
        <w:rPr>
          <w:rFonts w:cs="Times New Roman"/>
          <w:sz w:val="20"/>
          <w:szCs w:val="20"/>
        </w:rPr>
        <w:t>(</w:t>
      </w:r>
      <w:r w:rsidR="008A6392" w:rsidRPr="00132F24">
        <w:rPr>
          <w:rFonts w:cs="Times New Roman"/>
          <w:sz w:val="20"/>
          <w:szCs w:val="20"/>
        </w:rPr>
        <w:t>D</w:t>
      </w:r>
      <w:r w:rsidRPr="00132F24">
        <w:rPr>
          <w:rFonts w:cs="Times New Roman"/>
          <w:sz w:val="20"/>
          <w:szCs w:val="20"/>
        </w:rPr>
        <w:t>esign student)</w:t>
      </w:r>
      <w:r w:rsidR="00132F24" w:rsidRPr="00132F24">
        <w:rPr>
          <w:rFonts w:cs="Times New Roman"/>
          <w:sz w:val="20"/>
          <w:szCs w:val="20"/>
        </w:rPr>
        <w:t>.</w:t>
      </w:r>
      <w:r w:rsidRPr="00132F24">
        <w:rPr>
          <w:rFonts w:cs="Times New Roman"/>
          <w:sz w:val="20"/>
          <w:szCs w:val="20"/>
        </w:rPr>
        <w:t xml:space="preserve"> </w:t>
      </w:r>
    </w:p>
    <w:p w14:paraId="7040CD0D" w14:textId="77777777" w:rsidR="00C13831" w:rsidRDefault="000614F4" w:rsidP="00584C61">
      <w:pPr>
        <w:ind w:firstLine="0"/>
        <w:jc w:val="both"/>
        <w:rPr>
          <w:rFonts w:cs="Times New Roman"/>
          <w:szCs w:val="24"/>
        </w:rPr>
      </w:pPr>
      <w:r>
        <w:rPr>
          <w:rFonts w:cs="Times New Roman"/>
          <w:szCs w:val="24"/>
        </w:rPr>
        <w:t>Other interviewees</w:t>
      </w:r>
      <w:r w:rsidR="00A20D18">
        <w:rPr>
          <w:rFonts w:cs="Times New Roman"/>
          <w:szCs w:val="24"/>
        </w:rPr>
        <w:t xml:space="preserve"> had some relevant experiences, but wanted to keep their options open</w:t>
      </w:r>
      <w:r w:rsidR="00C13831">
        <w:rPr>
          <w:rFonts w:cs="Times New Roman"/>
          <w:szCs w:val="24"/>
        </w:rPr>
        <w:t>:</w:t>
      </w:r>
    </w:p>
    <w:p w14:paraId="01076EA0" w14:textId="77777777" w:rsidR="003A6706" w:rsidRPr="00132F24" w:rsidRDefault="00A20D18" w:rsidP="00132F24">
      <w:pPr>
        <w:ind w:left="720" w:firstLine="0"/>
        <w:jc w:val="both"/>
        <w:rPr>
          <w:rFonts w:cs="Times New Roman"/>
          <w:sz w:val="20"/>
          <w:szCs w:val="20"/>
        </w:rPr>
      </w:pPr>
      <w:r w:rsidRPr="00132F24">
        <w:rPr>
          <w:rFonts w:cs="Times New Roman"/>
          <w:sz w:val="20"/>
          <w:szCs w:val="20"/>
        </w:rPr>
        <w:lastRenderedPageBreak/>
        <w:t>You never know what opportunity</w:t>
      </w:r>
      <w:r w:rsidR="00BD65EF" w:rsidRPr="00132F24">
        <w:rPr>
          <w:rFonts w:cs="Times New Roman"/>
          <w:sz w:val="20"/>
          <w:szCs w:val="20"/>
        </w:rPr>
        <w:t>’</w:t>
      </w:r>
      <w:r w:rsidRPr="00132F24">
        <w:rPr>
          <w:rFonts w:cs="Times New Roman"/>
          <w:sz w:val="20"/>
          <w:szCs w:val="20"/>
        </w:rPr>
        <w:t>s going to come up or what job needs you to relocate and just go and travel and see places, or who you</w:t>
      </w:r>
      <w:r w:rsidR="00BD65EF" w:rsidRPr="00132F24">
        <w:rPr>
          <w:rFonts w:cs="Times New Roman"/>
          <w:sz w:val="20"/>
          <w:szCs w:val="20"/>
        </w:rPr>
        <w:t>’</w:t>
      </w:r>
      <w:r w:rsidRPr="00132F24">
        <w:rPr>
          <w:rFonts w:cs="Times New Roman"/>
          <w:sz w:val="20"/>
          <w:szCs w:val="20"/>
        </w:rPr>
        <w:t>re going to end up working with or what projects you</w:t>
      </w:r>
      <w:r w:rsidR="00BD65EF" w:rsidRPr="00132F24">
        <w:rPr>
          <w:rFonts w:cs="Times New Roman"/>
          <w:sz w:val="20"/>
          <w:szCs w:val="20"/>
        </w:rPr>
        <w:t>’</w:t>
      </w:r>
      <w:r w:rsidRPr="00132F24">
        <w:rPr>
          <w:rFonts w:cs="Times New Roman"/>
          <w:sz w:val="20"/>
          <w:szCs w:val="20"/>
        </w:rPr>
        <w:t>re going to end up working with</w:t>
      </w:r>
      <w:r w:rsidR="00AB42DD" w:rsidRPr="00132F24">
        <w:rPr>
          <w:rFonts w:cs="Times New Roman"/>
          <w:sz w:val="20"/>
          <w:szCs w:val="20"/>
        </w:rPr>
        <w:t xml:space="preserve"> (</w:t>
      </w:r>
      <w:r w:rsidR="00243189" w:rsidRPr="00132F24">
        <w:rPr>
          <w:rFonts w:cs="Times New Roman"/>
          <w:sz w:val="20"/>
          <w:szCs w:val="20"/>
        </w:rPr>
        <w:t>D</w:t>
      </w:r>
      <w:r w:rsidR="00AB42DD" w:rsidRPr="00132F24">
        <w:rPr>
          <w:rFonts w:cs="Times New Roman"/>
          <w:sz w:val="20"/>
          <w:szCs w:val="20"/>
        </w:rPr>
        <w:t>esign student)</w:t>
      </w:r>
      <w:r w:rsidRPr="00132F24">
        <w:rPr>
          <w:rFonts w:cs="Times New Roman"/>
          <w:sz w:val="20"/>
          <w:szCs w:val="20"/>
        </w:rPr>
        <w:t xml:space="preserve">.  </w:t>
      </w:r>
    </w:p>
    <w:p w14:paraId="152BB031" w14:textId="5961F07A" w:rsidR="00AB42DD" w:rsidRDefault="00732707" w:rsidP="00584C61">
      <w:pPr>
        <w:ind w:firstLine="0"/>
        <w:jc w:val="both"/>
        <w:rPr>
          <w:rFonts w:cs="Times New Roman"/>
          <w:szCs w:val="24"/>
        </w:rPr>
      </w:pPr>
      <w:r>
        <w:rPr>
          <w:rFonts w:cs="Times New Roman"/>
          <w:szCs w:val="24"/>
        </w:rPr>
        <w:t>I</w:t>
      </w:r>
      <w:r w:rsidR="00AB42DD">
        <w:rPr>
          <w:rFonts w:cs="Times New Roman"/>
          <w:szCs w:val="24"/>
        </w:rPr>
        <w:t xml:space="preserve">nterviews provided opportunities for students to consider transitions </w:t>
      </w:r>
      <w:r w:rsidR="00E60A7E">
        <w:rPr>
          <w:rFonts w:cs="Times New Roman"/>
          <w:szCs w:val="24"/>
        </w:rPr>
        <w:t xml:space="preserve">and </w:t>
      </w:r>
      <w:r w:rsidR="00E15374">
        <w:rPr>
          <w:rFonts w:cs="Times New Roman"/>
          <w:szCs w:val="24"/>
        </w:rPr>
        <w:t xml:space="preserve">the </w:t>
      </w:r>
      <w:r w:rsidR="00E60A7E">
        <w:rPr>
          <w:rFonts w:cs="Times New Roman"/>
          <w:szCs w:val="24"/>
        </w:rPr>
        <w:t>salience of their</w:t>
      </w:r>
      <w:r w:rsidR="00AB42DD">
        <w:rPr>
          <w:rFonts w:cs="Times New Roman"/>
          <w:szCs w:val="24"/>
        </w:rPr>
        <w:t xml:space="preserve"> student and </w:t>
      </w:r>
      <w:r w:rsidR="00E60A7E">
        <w:rPr>
          <w:rFonts w:cs="Times New Roman"/>
          <w:szCs w:val="24"/>
        </w:rPr>
        <w:t xml:space="preserve">emerging </w:t>
      </w:r>
      <w:r w:rsidR="00AB42DD">
        <w:rPr>
          <w:rFonts w:cs="Times New Roman"/>
          <w:szCs w:val="24"/>
        </w:rPr>
        <w:t xml:space="preserve">professional identities. A few students were confident and ready for this step: </w:t>
      </w:r>
      <w:r w:rsidR="00132F24">
        <w:rPr>
          <w:rFonts w:cs="Times New Roman"/>
          <w:szCs w:val="24"/>
        </w:rPr>
        <w:t>‘</w:t>
      </w:r>
      <w:r w:rsidR="00AB42DD" w:rsidRPr="00AB42DD">
        <w:rPr>
          <w:rFonts w:cs="Times New Roman"/>
          <w:szCs w:val="24"/>
        </w:rPr>
        <w:t xml:space="preserve">I think </w:t>
      </w:r>
      <w:r w:rsidR="00BD65EF">
        <w:rPr>
          <w:rFonts w:cs="Times New Roman"/>
          <w:szCs w:val="24"/>
        </w:rPr>
        <w:t>I’m</w:t>
      </w:r>
      <w:r w:rsidR="00AB42DD" w:rsidRPr="00AB42DD">
        <w:rPr>
          <w:rFonts w:cs="Times New Roman"/>
          <w:szCs w:val="24"/>
        </w:rPr>
        <w:t xml:space="preserve"> prepared mentally to approach what is professional life, but I do still think that in terms of a skill I still ne</w:t>
      </w:r>
      <w:r w:rsidR="00AB42DD">
        <w:rPr>
          <w:rFonts w:cs="Times New Roman"/>
          <w:szCs w:val="24"/>
        </w:rPr>
        <w:t>ed quite a lot more practice</w:t>
      </w:r>
      <w:r w:rsidR="00132F24">
        <w:rPr>
          <w:rFonts w:cs="Times New Roman"/>
          <w:szCs w:val="24"/>
        </w:rPr>
        <w:t>’</w:t>
      </w:r>
      <w:r w:rsidR="00AB42DD">
        <w:rPr>
          <w:rFonts w:cs="Times New Roman"/>
          <w:szCs w:val="24"/>
        </w:rPr>
        <w:t xml:space="preserve"> (</w:t>
      </w:r>
      <w:r w:rsidR="00243189">
        <w:rPr>
          <w:rFonts w:cs="Times New Roman"/>
          <w:szCs w:val="24"/>
        </w:rPr>
        <w:t>D</w:t>
      </w:r>
      <w:r w:rsidR="00AB42DD">
        <w:rPr>
          <w:rFonts w:cs="Times New Roman"/>
          <w:szCs w:val="24"/>
        </w:rPr>
        <w:t>esign student). Others were more apprehensiv</w:t>
      </w:r>
      <w:r w:rsidR="00246E26">
        <w:rPr>
          <w:rFonts w:cs="Times New Roman"/>
          <w:szCs w:val="24"/>
        </w:rPr>
        <w:t xml:space="preserve">e, and </w:t>
      </w:r>
      <w:r w:rsidR="00243189">
        <w:rPr>
          <w:rFonts w:cs="Times New Roman"/>
          <w:szCs w:val="24"/>
        </w:rPr>
        <w:t>acknowledged</w:t>
      </w:r>
      <w:r w:rsidR="000614F4">
        <w:rPr>
          <w:rFonts w:cs="Times New Roman"/>
          <w:szCs w:val="24"/>
        </w:rPr>
        <w:t xml:space="preserve"> that</w:t>
      </w:r>
      <w:r w:rsidR="00243189">
        <w:rPr>
          <w:rFonts w:cs="Times New Roman"/>
          <w:szCs w:val="24"/>
        </w:rPr>
        <w:t xml:space="preserve"> their</w:t>
      </w:r>
      <w:r w:rsidR="008A6392">
        <w:rPr>
          <w:rFonts w:cs="Times New Roman"/>
          <w:szCs w:val="24"/>
        </w:rPr>
        <w:t xml:space="preserve"> first step </w:t>
      </w:r>
      <w:r w:rsidR="000614F4">
        <w:rPr>
          <w:rFonts w:cs="Times New Roman"/>
          <w:szCs w:val="24"/>
        </w:rPr>
        <w:t xml:space="preserve">in this transition </w:t>
      </w:r>
      <w:r w:rsidR="00243189">
        <w:rPr>
          <w:rFonts w:cs="Times New Roman"/>
          <w:szCs w:val="24"/>
        </w:rPr>
        <w:t>would be gaining</w:t>
      </w:r>
      <w:r w:rsidR="008A6392">
        <w:rPr>
          <w:rFonts w:cs="Times New Roman"/>
          <w:szCs w:val="24"/>
        </w:rPr>
        <w:t xml:space="preserve"> relevant work experience</w:t>
      </w:r>
      <w:r w:rsidR="00AB42DD">
        <w:rPr>
          <w:rFonts w:cs="Times New Roman"/>
          <w:szCs w:val="24"/>
        </w:rPr>
        <w:t xml:space="preserve">. </w:t>
      </w:r>
    </w:p>
    <w:p w14:paraId="481306E4" w14:textId="77777777" w:rsidR="00522B43" w:rsidRDefault="00522B43" w:rsidP="00584C61">
      <w:pPr>
        <w:ind w:firstLine="0"/>
        <w:jc w:val="both"/>
        <w:rPr>
          <w:rFonts w:cs="Times New Roman"/>
          <w:szCs w:val="24"/>
        </w:rPr>
      </w:pPr>
      <w:r>
        <w:rPr>
          <w:rFonts w:cs="Times New Roman"/>
          <w:szCs w:val="24"/>
        </w:rPr>
        <w:t>Subject-specific findings</w:t>
      </w:r>
    </w:p>
    <w:p w14:paraId="1CFC3BEC" w14:textId="23639F76" w:rsidR="00522B43" w:rsidRDefault="00522B43" w:rsidP="00584C61">
      <w:pPr>
        <w:ind w:firstLine="0"/>
        <w:jc w:val="both"/>
        <w:rPr>
          <w:rFonts w:cs="Times New Roman"/>
          <w:szCs w:val="24"/>
        </w:rPr>
      </w:pPr>
      <w:r>
        <w:rPr>
          <w:rFonts w:cs="Times New Roman"/>
          <w:szCs w:val="24"/>
        </w:rPr>
        <w:t xml:space="preserve">Breaking participant responses down </w:t>
      </w:r>
      <w:r w:rsidR="00CF1AA3">
        <w:rPr>
          <w:rFonts w:cs="Times New Roman"/>
          <w:szCs w:val="24"/>
        </w:rPr>
        <w:t xml:space="preserve">according </w:t>
      </w:r>
      <w:r>
        <w:rPr>
          <w:rFonts w:cs="Times New Roman"/>
          <w:szCs w:val="24"/>
        </w:rPr>
        <w:t xml:space="preserve">to their subject disciplines, the results </w:t>
      </w:r>
      <w:r w:rsidR="001722E9">
        <w:rPr>
          <w:rFonts w:cs="Times New Roman"/>
          <w:szCs w:val="24"/>
        </w:rPr>
        <w:t>are</w:t>
      </w:r>
      <w:r>
        <w:rPr>
          <w:rFonts w:cs="Times New Roman"/>
          <w:szCs w:val="24"/>
        </w:rPr>
        <w:t xml:space="preserve"> summarised </w:t>
      </w:r>
      <w:r w:rsidR="001722E9">
        <w:rPr>
          <w:rFonts w:cs="Times New Roman"/>
          <w:szCs w:val="24"/>
        </w:rPr>
        <w:t>in Table 5</w:t>
      </w:r>
      <w:r>
        <w:rPr>
          <w:rFonts w:cs="Times New Roman"/>
          <w:szCs w:val="24"/>
        </w:rPr>
        <w:t>:</w:t>
      </w:r>
    </w:p>
    <w:p w14:paraId="4B78F8C2" w14:textId="49ED3A6D" w:rsidR="00E57972" w:rsidRDefault="00E57972" w:rsidP="00E57972">
      <w:pPr>
        <w:jc w:val="both"/>
        <w:rPr>
          <w:rFonts w:cs="Times New Roman"/>
          <w:szCs w:val="24"/>
        </w:rPr>
      </w:pPr>
      <w:r>
        <w:rPr>
          <w:rFonts w:cs="Times New Roman"/>
          <w:szCs w:val="24"/>
        </w:rPr>
        <w:t>[Table 5 about here]</w:t>
      </w:r>
    </w:p>
    <w:p w14:paraId="47B8FD4E" w14:textId="77777777" w:rsidR="00522B43" w:rsidRPr="00D273CE" w:rsidRDefault="00522B43" w:rsidP="00584C61">
      <w:pPr>
        <w:ind w:firstLine="0"/>
        <w:jc w:val="both"/>
        <w:rPr>
          <w:rFonts w:cs="Times New Roman"/>
          <w:szCs w:val="24"/>
        </w:rPr>
      </w:pPr>
    </w:p>
    <w:p w14:paraId="1EDA7C2B" w14:textId="77777777" w:rsidR="00E16AB4" w:rsidRPr="00D273CE" w:rsidRDefault="00E16AB4" w:rsidP="00FC4A43">
      <w:pPr>
        <w:pStyle w:val="Heading1"/>
      </w:pPr>
      <w:r w:rsidRPr="00D273CE">
        <w:t>Discussion</w:t>
      </w:r>
    </w:p>
    <w:p w14:paraId="3EDA4780" w14:textId="7119124E" w:rsidR="0047406D" w:rsidRDefault="0047406D">
      <w:pPr>
        <w:jc w:val="both"/>
        <w:rPr>
          <w:rFonts w:cs="Times New Roman"/>
          <w:szCs w:val="24"/>
        </w:rPr>
      </w:pPr>
      <w:r w:rsidRPr="0047406D">
        <w:rPr>
          <w:rFonts w:cs="Times New Roman"/>
          <w:szCs w:val="24"/>
        </w:rPr>
        <w:t>Students’ general dispositions</w:t>
      </w:r>
      <w:r w:rsidR="008C27CE">
        <w:rPr>
          <w:rFonts w:cs="Times New Roman"/>
          <w:szCs w:val="24"/>
        </w:rPr>
        <w:t xml:space="preserve"> </w:t>
      </w:r>
      <w:r w:rsidRPr="0047406D">
        <w:rPr>
          <w:rFonts w:cs="Times New Roman"/>
          <w:szCs w:val="24"/>
        </w:rPr>
        <w:t xml:space="preserve">led in the main to selecting their </w:t>
      </w:r>
      <w:r w:rsidR="00864207">
        <w:rPr>
          <w:rFonts w:cs="Times New Roman"/>
          <w:szCs w:val="24"/>
        </w:rPr>
        <w:t>course</w:t>
      </w:r>
      <w:r w:rsidRPr="0047406D">
        <w:rPr>
          <w:rFonts w:cs="Times New Roman"/>
          <w:szCs w:val="24"/>
        </w:rPr>
        <w:t xml:space="preserve">s based on interest in their discipline. </w:t>
      </w:r>
      <w:r>
        <w:rPr>
          <w:rFonts w:cs="Times New Roman"/>
          <w:szCs w:val="24"/>
        </w:rPr>
        <w:t>Specific m</w:t>
      </w:r>
      <w:r w:rsidR="003410F9">
        <w:rPr>
          <w:rFonts w:cs="Times New Roman"/>
          <w:szCs w:val="24"/>
        </w:rPr>
        <w:t>odules</w:t>
      </w:r>
      <w:r w:rsidR="007C245B" w:rsidRPr="007C245B">
        <w:rPr>
          <w:rFonts w:cs="Times New Roman"/>
          <w:szCs w:val="24"/>
        </w:rPr>
        <w:t xml:space="preserve"> </w:t>
      </w:r>
      <w:r>
        <w:rPr>
          <w:rFonts w:cs="Times New Roman"/>
          <w:szCs w:val="24"/>
        </w:rPr>
        <w:t xml:space="preserve">on these </w:t>
      </w:r>
      <w:r w:rsidR="00864207">
        <w:rPr>
          <w:rFonts w:cs="Times New Roman"/>
          <w:szCs w:val="24"/>
        </w:rPr>
        <w:t>course</w:t>
      </w:r>
      <w:r>
        <w:rPr>
          <w:rFonts w:cs="Times New Roman"/>
          <w:szCs w:val="24"/>
        </w:rPr>
        <w:t xml:space="preserve">s </w:t>
      </w:r>
      <w:r w:rsidR="007E0896">
        <w:rPr>
          <w:rFonts w:cs="Times New Roman"/>
          <w:szCs w:val="24"/>
        </w:rPr>
        <w:t>had been</w:t>
      </w:r>
      <w:r w:rsidRPr="007C245B">
        <w:rPr>
          <w:rFonts w:cs="Times New Roman"/>
          <w:szCs w:val="24"/>
        </w:rPr>
        <w:t xml:space="preserve"> </w:t>
      </w:r>
      <w:r w:rsidR="007C245B" w:rsidRPr="007C245B">
        <w:rPr>
          <w:rFonts w:cs="Times New Roman"/>
          <w:szCs w:val="24"/>
        </w:rPr>
        <w:t>designed to create resources for identity adaptation</w:t>
      </w:r>
      <w:r w:rsidR="00940794">
        <w:rPr>
          <w:rFonts w:cs="Times New Roman"/>
          <w:szCs w:val="24"/>
        </w:rPr>
        <w:t>:</w:t>
      </w:r>
      <w:r w:rsidR="007C245B" w:rsidRPr="007C245B">
        <w:rPr>
          <w:rFonts w:cs="Times New Roman"/>
          <w:szCs w:val="24"/>
        </w:rPr>
        <w:t xml:space="preserve"> to create conditions whe</w:t>
      </w:r>
      <w:r w:rsidR="00132F24">
        <w:rPr>
          <w:rFonts w:cs="Times New Roman"/>
          <w:szCs w:val="24"/>
        </w:rPr>
        <w:t>reby students would ultimately ‘</w:t>
      </w:r>
      <w:r w:rsidR="007C245B" w:rsidRPr="007C245B">
        <w:rPr>
          <w:rFonts w:cs="Times New Roman"/>
          <w:szCs w:val="24"/>
        </w:rPr>
        <w:t xml:space="preserve">act in ways that lead others to ascribe to them the identity of being a </w:t>
      </w:r>
      <w:r w:rsidR="00132F24">
        <w:rPr>
          <w:rFonts w:cs="Times New Roman"/>
          <w:szCs w:val="24"/>
        </w:rPr>
        <w:t>person worthy of being employed’</w:t>
      </w:r>
      <w:r w:rsidR="007C245B" w:rsidRPr="007C245B">
        <w:rPr>
          <w:rFonts w:cs="Times New Roman"/>
          <w:szCs w:val="24"/>
        </w:rPr>
        <w:t xml:space="preserve"> (Holmes 2013, 549). </w:t>
      </w:r>
      <w:r w:rsidR="003F7007">
        <w:rPr>
          <w:rFonts w:cs="Times New Roman"/>
          <w:szCs w:val="24"/>
        </w:rPr>
        <w:t xml:space="preserve">In general, the </w:t>
      </w:r>
      <w:r w:rsidR="003410F9">
        <w:rPr>
          <w:rFonts w:cs="Times New Roman"/>
          <w:szCs w:val="24"/>
        </w:rPr>
        <w:t>modules</w:t>
      </w:r>
      <w:r w:rsidR="003F7007">
        <w:rPr>
          <w:rFonts w:cs="Times New Roman"/>
          <w:szCs w:val="24"/>
        </w:rPr>
        <w:t xml:space="preserve"> </w:t>
      </w:r>
      <w:r w:rsidR="007E0896">
        <w:rPr>
          <w:rFonts w:cs="Times New Roman"/>
          <w:szCs w:val="24"/>
        </w:rPr>
        <w:t xml:space="preserve">granted </w:t>
      </w:r>
      <w:r w:rsidR="003F7007">
        <w:rPr>
          <w:rFonts w:cs="Times New Roman"/>
          <w:szCs w:val="24"/>
        </w:rPr>
        <w:t>students ‘examples to draw on’</w:t>
      </w:r>
      <w:r w:rsidR="00BD0FB5">
        <w:rPr>
          <w:rFonts w:cs="Times New Roman"/>
          <w:szCs w:val="24"/>
        </w:rPr>
        <w:t xml:space="preserve"> (McMurray et al.</w:t>
      </w:r>
      <w:r w:rsidR="003F7007">
        <w:rPr>
          <w:rFonts w:cs="Times New Roman"/>
          <w:szCs w:val="24"/>
        </w:rPr>
        <w:t xml:space="preserve"> 2017, 282). </w:t>
      </w:r>
      <w:r w:rsidR="00306371">
        <w:rPr>
          <w:rFonts w:cs="Times New Roman"/>
          <w:szCs w:val="24"/>
        </w:rPr>
        <w:t>S</w:t>
      </w:r>
      <w:r w:rsidR="007C245B" w:rsidRPr="007C245B">
        <w:rPr>
          <w:rFonts w:cs="Times New Roman"/>
          <w:szCs w:val="24"/>
        </w:rPr>
        <w:t>tudents were largely found to have the motivation to undertake identity work</w:t>
      </w:r>
      <w:r w:rsidR="00306371">
        <w:rPr>
          <w:rFonts w:cs="Times New Roman"/>
          <w:szCs w:val="24"/>
        </w:rPr>
        <w:t xml:space="preserve"> (Beech </w:t>
      </w:r>
      <w:r w:rsidR="00AA2643">
        <w:rPr>
          <w:rFonts w:cs="Times New Roman"/>
          <w:szCs w:val="24"/>
        </w:rPr>
        <w:t>et al.</w:t>
      </w:r>
      <w:r w:rsidR="00306371">
        <w:rPr>
          <w:rFonts w:cs="Times New Roman"/>
          <w:szCs w:val="24"/>
        </w:rPr>
        <w:t xml:space="preserve"> 2008)</w:t>
      </w:r>
      <w:r w:rsidR="00243189">
        <w:rPr>
          <w:rFonts w:cs="Times New Roman"/>
          <w:szCs w:val="24"/>
        </w:rPr>
        <w:t>,</w:t>
      </w:r>
      <w:r w:rsidR="007C245B" w:rsidRPr="007C245B">
        <w:rPr>
          <w:rFonts w:cs="Times New Roman"/>
          <w:szCs w:val="24"/>
        </w:rPr>
        <w:t xml:space="preserve"> as evidenced by their strongly positive response to the question of work experience being useful to them. In practice, many participants in this study were observed to </w:t>
      </w:r>
      <w:r w:rsidR="003B1EE5">
        <w:rPr>
          <w:rFonts w:cs="Times New Roman"/>
          <w:szCs w:val="24"/>
        </w:rPr>
        <w:t>recognise the rules of the game (Bathmaker</w:t>
      </w:r>
      <w:r w:rsidR="006A6E19">
        <w:rPr>
          <w:rFonts w:cs="Times New Roman"/>
          <w:szCs w:val="24"/>
        </w:rPr>
        <w:t xml:space="preserve">, </w:t>
      </w:r>
      <w:r w:rsidR="006A6E19" w:rsidRPr="00FF3AF1">
        <w:t xml:space="preserve">Ingram, </w:t>
      </w:r>
      <w:r w:rsidR="006A6E19">
        <w:t>and</w:t>
      </w:r>
      <w:r w:rsidR="006A6E19" w:rsidRPr="00FF3AF1">
        <w:t xml:space="preserve"> Waller</w:t>
      </w:r>
      <w:r w:rsidR="003B1EE5">
        <w:rPr>
          <w:rFonts w:cs="Times New Roman"/>
          <w:szCs w:val="24"/>
        </w:rPr>
        <w:t xml:space="preserve"> 2013)</w:t>
      </w:r>
      <w:r w:rsidR="007C245B" w:rsidRPr="007C245B">
        <w:rPr>
          <w:rFonts w:cs="Times New Roman"/>
          <w:szCs w:val="24"/>
        </w:rPr>
        <w:t xml:space="preserve"> through looking for </w:t>
      </w:r>
      <w:r w:rsidR="007C245B" w:rsidRPr="007C245B">
        <w:rPr>
          <w:rFonts w:cs="Times New Roman"/>
          <w:szCs w:val="24"/>
        </w:rPr>
        <w:lastRenderedPageBreak/>
        <w:t>internships, engaging with careers services, and seeking advice.</w:t>
      </w:r>
      <w:r w:rsidR="007C245B">
        <w:rPr>
          <w:rFonts w:cs="Times New Roman"/>
          <w:szCs w:val="24"/>
        </w:rPr>
        <w:t xml:space="preserve"> </w:t>
      </w:r>
      <w:r w:rsidR="007C245B" w:rsidRPr="007C245B">
        <w:rPr>
          <w:rFonts w:cs="Times New Roman"/>
          <w:szCs w:val="24"/>
        </w:rPr>
        <w:t xml:space="preserve">However, some of the rich resources for identity work were not readily accessible. </w:t>
      </w:r>
    </w:p>
    <w:p w14:paraId="56F5D716" w14:textId="69E03FA2" w:rsidR="0047406D" w:rsidRDefault="0047406D">
      <w:pPr>
        <w:jc w:val="both"/>
        <w:rPr>
          <w:rFonts w:cs="Times New Roman"/>
          <w:szCs w:val="24"/>
        </w:rPr>
      </w:pPr>
      <w:r w:rsidRPr="0047406D">
        <w:rPr>
          <w:rFonts w:cs="Times New Roman"/>
          <w:szCs w:val="24"/>
        </w:rPr>
        <w:t xml:space="preserve">Role models have been found elsewhere to provide a valuable resource for identity work, for example, by modelling new behaviours (Ibarra 1999). </w:t>
      </w:r>
      <w:r>
        <w:rPr>
          <w:rFonts w:cs="Times New Roman"/>
          <w:szCs w:val="24"/>
        </w:rPr>
        <w:t>Just over half</w:t>
      </w:r>
      <w:r w:rsidRPr="0047406D">
        <w:rPr>
          <w:rFonts w:cs="Times New Roman"/>
          <w:szCs w:val="24"/>
        </w:rPr>
        <w:t xml:space="preserve"> of the students had role models in the industry</w:t>
      </w:r>
      <w:r>
        <w:rPr>
          <w:rFonts w:cs="Times New Roman"/>
          <w:szCs w:val="24"/>
        </w:rPr>
        <w:t>, however most were not known to them.</w:t>
      </w:r>
      <w:r w:rsidRPr="0047406D">
        <w:rPr>
          <w:rFonts w:cs="Times New Roman"/>
          <w:szCs w:val="24"/>
        </w:rPr>
        <w:t xml:space="preserve"> Students </w:t>
      </w:r>
      <w:r>
        <w:rPr>
          <w:rFonts w:cs="Times New Roman"/>
          <w:szCs w:val="24"/>
        </w:rPr>
        <w:t>also</w:t>
      </w:r>
      <w:r w:rsidRPr="0047406D">
        <w:rPr>
          <w:rFonts w:cs="Times New Roman"/>
          <w:szCs w:val="24"/>
        </w:rPr>
        <w:t xml:space="preserve"> cited academic staff, who exhibit the discipline-related habits of speech and gesture, as role models. Gibson (2003) found that ‘near’ role models were most widely used amongst early career employees, while in later stages ‘distant’ role models were used to affirm individuals’ self-concept. For </w:t>
      </w:r>
      <w:r w:rsidR="00CD51D9">
        <w:rPr>
          <w:rFonts w:cs="Times New Roman"/>
          <w:szCs w:val="24"/>
        </w:rPr>
        <w:t xml:space="preserve">most </w:t>
      </w:r>
      <w:r w:rsidRPr="0047406D">
        <w:rPr>
          <w:rFonts w:cs="Times New Roman"/>
          <w:szCs w:val="24"/>
        </w:rPr>
        <w:t>undergraduate students, ‘near’ role models i</w:t>
      </w:r>
      <w:r>
        <w:rPr>
          <w:rFonts w:cs="Times New Roman"/>
          <w:szCs w:val="24"/>
        </w:rPr>
        <w:t>ncluded family members and</w:t>
      </w:r>
      <w:r w:rsidRPr="0047406D">
        <w:rPr>
          <w:rFonts w:cs="Times New Roman"/>
          <w:szCs w:val="24"/>
        </w:rPr>
        <w:t xml:space="preserve"> offered limited resources for identity adaptation</w:t>
      </w:r>
      <w:r w:rsidR="00CD51D9">
        <w:rPr>
          <w:rFonts w:cs="Times New Roman"/>
          <w:szCs w:val="24"/>
        </w:rPr>
        <w:t xml:space="preserve"> in terms of modelling professional behaviour or as resource</w:t>
      </w:r>
      <w:r w:rsidR="006A6E19">
        <w:rPr>
          <w:rFonts w:cs="Times New Roman"/>
          <w:szCs w:val="24"/>
        </w:rPr>
        <w:t>s</w:t>
      </w:r>
      <w:r w:rsidR="00CD51D9">
        <w:rPr>
          <w:rFonts w:cs="Times New Roman"/>
          <w:szCs w:val="24"/>
        </w:rPr>
        <w:t xml:space="preserve"> for imagining a possible professional </w:t>
      </w:r>
      <w:r w:rsidR="008C27CE">
        <w:rPr>
          <w:rFonts w:cs="Times New Roman"/>
          <w:szCs w:val="24"/>
        </w:rPr>
        <w:t>self (Berg et al.</w:t>
      </w:r>
      <w:r w:rsidR="00414341">
        <w:rPr>
          <w:rFonts w:cs="Times New Roman"/>
          <w:szCs w:val="24"/>
        </w:rPr>
        <w:t xml:space="preserve"> 2017</w:t>
      </w:r>
      <w:r w:rsidR="00CD51D9">
        <w:rPr>
          <w:rFonts w:cs="Times New Roman"/>
          <w:szCs w:val="24"/>
        </w:rPr>
        <w:t>). Most students could, however, imagine themselves in a work environment and were able to articulate this imagining.</w:t>
      </w:r>
    </w:p>
    <w:p w14:paraId="30493BD0" w14:textId="77777777" w:rsidR="00BD4AC1" w:rsidRDefault="007E0896">
      <w:pPr>
        <w:jc w:val="both"/>
        <w:rPr>
          <w:rFonts w:cs="Times New Roman"/>
          <w:szCs w:val="24"/>
        </w:rPr>
      </w:pPr>
      <w:r>
        <w:rPr>
          <w:rFonts w:cs="Times New Roman"/>
          <w:szCs w:val="24"/>
        </w:rPr>
        <w:t>M</w:t>
      </w:r>
      <w:r w:rsidR="007C245B" w:rsidRPr="007C245B">
        <w:rPr>
          <w:rFonts w:cs="Times New Roman"/>
          <w:szCs w:val="24"/>
        </w:rPr>
        <w:t xml:space="preserve">any students’ developmental networks </w:t>
      </w:r>
      <w:r w:rsidR="00BD4AC1">
        <w:rPr>
          <w:rFonts w:cs="Times New Roman"/>
          <w:szCs w:val="24"/>
        </w:rPr>
        <w:t>were</w:t>
      </w:r>
      <w:r w:rsidR="007C245B" w:rsidRPr="007C245B">
        <w:rPr>
          <w:rFonts w:cs="Times New Roman"/>
          <w:szCs w:val="24"/>
        </w:rPr>
        <w:t xml:space="preserve"> overly</w:t>
      </w:r>
      <w:r w:rsidR="00940794">
        <w:rPr>
          <w:rFonts w:cs="Times New Roman"/>
          <w:szCs w:val="24"/>
        </w:rPr>
        <w:t>-</w:t>
      </w:r>
      <w:r w:rsidR="007C245B" w:rsidRPr="007C245B">
        <w:rPr>
          <w:rFonts w:cs="Times New Roman"/>
          <w:szCs w:val="24"/>
        </w:rPr>
        <w:t xml:space="preserve">reliant on family and friends, rather than more diverse networks which would </w:t>
      </w:r>
      <w:r w:rsidR="00414341">
        <w:rPr>
          <w:rFonts w:cs="Times New Roman"/>
          <w:szCs w:val="24"/>
        </w:rPr>
        <w:t xml:space="preserve">represent </w:t>
      </w:r>
      <w:r w:rsidR="004B0808">
        <w:rPr>
          <w:rFonts w:cs="Times New Roman"/>
          <w:szCs w:val="24"/>
        </w:rPr>
        <w:t>stronger</w:t>
      </w:r>
      <w:r w:rsidR="007C245B" w:rsidRPr="007C245B">
        <w:rPr>
          <w:rFonts w:cs="Times New Roman"/>
          <w:szCs w:val="24"/>
        </w:rPr>
        <w:t xml:space="preserve"> resources for identity work</w:t>
      </w:r>
      <w:r w:rsidR="00BD4AC1">
        <w:rPr>
          <w:rFonts w:cs="Times New Roman"/>
          <w:szCs w:val="24"/>
        </w:rPr>
        <w:t xml:space="preserve"> (Gibson 2003; </w:t>
      </w:r>
      <w:r w:rsidR="00C66D2A">
        <w:rPr>
          <w:rFonts w:cs="Times New Roman"/>
          <w:szCs w:val="24"/>
        </w:rPr>
        <w:t>Wright and Wright 1987)</w:t>
      </w:r>
      <w:r w:rsidR="007C245B" w:rsidRPr="007C245B">
        <w:rPr>
          <w:rFonts w:cs="Times New Roman"/>
          <w:szCs w:val="24"/>
        </w:rPr>
        <w:t xml:space="preserve">. </w:t>
      </w:r>
      <w:r w:rsidR="002850E1" w:rsidRPr="002850E1">
        <w:rPr>
          <w:rFonts w:cs="Times New Roman"/>
          <w:szCs w:val="24"/>
        </w:rPr>
        <w:t xml:space="preserve">Dobrow and Higgins (2005) found that dense networks, where individuals in the network were themselves interconnected, impacted negatively on clarity of identity, suggesting that this was due to a lack of resources for experimenting with possible selves. Furthermore, Archer (2007) found that reliance on close family networks was less likely to lead to self-development and social mobility. </w:t>
      </w:r>
    </w:p>
    <w:p w14:paraId="048865B8" w14:textId="5AF60916" w:rsidR="0047406D" w:rsidRPr="007C245B" w:rsidRDefault="003B29F4">
      <w:pPr>
        <w:jc w:val="both"/>
        <w:rPr>
          <w:rFonts w:cs="Times New Roman"/>
          <w:szCs w:val="24"/>
        </w:rPr>
      </w:pPr>
      <w:r w:rsidRPr="003B29F4">
        <w:rPr>
          <w:rFonts w:cs="Times New Roman"/>
          <w:szCs w:val="24"/>
        </w:rPr>
        <w:t>Access to wider networks</w:t>
      </w:r>
      <w:r w:rsidR="004B0808">
        <w:rPr>
          <w:rFonts w:cs="Times New Roman"/>
          <w:szCs w:val="24"/>
        </w:rPr>
        <w:t xml:space="preserve">, as </w:t>
      </w:r>
      <w:r w:rsidRPr="003B29F4">
        <w:rPr>
          <w:rFonts w:cs="Times New Roman"/>
          <w:szCs w:val="24"/>
        </w:rPr>
        <w:t xml:space="preserve">a factor in capitalising on </w:t>
      </w:r>
      <w:r w:rsidR="004B0808">
        <w:rPr>
          <w:rFonts w:cs="Times New Roman"/>
          <w:szCs w:val="24"/>
        </w:rPr>
        <w:t xml:space="preserve">employability </w:t>
      </w:r>
      <w:r w:rsidRPr="003B29F4">
        <w:rPr>
          <w:rFonts w:cs="Times New Roman"/>
          <w:szCs w:val="24"/>
        </w:rPr>
        <w:t>opportunities</w:t>
      </w:r>
      <w:r w:rsidR="00306371">
        <w:rPr>
          <w:rFonts w:cs="Times New Roman"/>
          <w:szCs w:val="24"/>
        </w:rPr>
        <w:t>,</w:t>
      </w:r>
      <w:r w:rsidRPr="003B29F4">
        <w:rPr>
          <w:rFonts w:cs="Times New Roman"/>
          <w:szCs w:val="24"/>
        </w:rPr>
        <w:t xml:space="preserve"> </w:t>
      </w:r>
      <w:r w:rsidR="002850E1">
        <w:rPr>
          <w:rFonts w:cs="Times New Roman"/>
          <w:szCs w:val="24"/>
        </w:rPr>
        <w:t>was</w:t>
      </w:r>
      <w:r w:rsidR="00732707">
        <w:rPr>
          <w:rFonts w:cs="Times New Roman"/>
          <w:szCs w:val="24"/>
        </w:rPr>
        <w:t xml:space="preserve"> not uniform across</w:t>
      </w:r>
      <w:r w:rsidR="00BD4AC1">
        <w:rPr>
          <w:rFonts w:cs="Times New Roman"/>
          <w:szCs w:val="24"/>
        </w:rPr>
        <w:t xml:space="preserve"> student groups</w:t>
      </w:r>
      <w:r w:rsidR="004B0808">
        <w:rPr>
          <w:rFonts w:cs="Times New Roman"/>
          <w:szCs w:val="24"/>
        </w:rPr>
        <w:t>,</w:t>
      </w:r>
      <w:r w:rsidR="00BD4AC1">
        <w:rPr>
          <w:rFonts w:cs="Times New Roman"/>
          <w:szCs w:val="24"/>
        </w:rPr>
        <w:t xml:space="preserve"> </w:t>
      </w:r>
      <w:r w:rsidR="00732707">
        <w:rPr>
          <w:rFonts w:cs="Times New Roman"/>
          <w:szCs w:val="24"/>
        </w:rPr>
        <w:t>particularly</w:t>
      </w:r>
      <w:r w:rsidR="00732707" w:rsidRPr="003B29F4">
        <w:rPr>
          <w:rFonts w:cs="Times New Roman"/>
          <w:szCs w:val="24"/>
        </w:rPr>
        <w:t xml:space="preserve"> </w:t>
      </w:r>
      <w:r w:rsidRPr="003B29F4">
        <w:rPr>
          <w:rFonts w:cs="Times New Roman"/>
          <w:szCs w:val="24"/>
        </w:rPr>
        <w:t xml:space="preserve">those who </w:t>
      </w:r>
      <w:r w:rsidR="007E0896">
        <w:rPr>
          <w:rFonts w:cs="Times New Roman"/>
          <w:szCs w:val="24"/>
        </w:rPr>
        <w:t>we</w:t>
      </w:r>
      <w:r w:rsidRPr="003B29F4">
        <w:rPr>
          <w:rFonts w:cs="Times New Roman"/>
          <w:szCs w:val="24"/>
        </w:rPr>
        <w:t xml:space="preserve">re the first in their family to attend university. </w:t>
      </w:r>
      <w:r w:rsidR="00306371">
        <w:rPr>
          <w:rFonts w:cs="Times New Roman"/>
          <w:szCs w:val="24"/>
        </w:rPr>
        <w:t>University-led activities</w:t>
      </w:r>
      <w:r w:rsidR="007E0896">
        <w:rPr>
          <w:rFonts w:cs="Times New Roman"/>
          <w:szCs w:val="24"/>
        </w:rPr>
        <w:t xml:space="preserve"> as attempts to expand networks</w:t>
      </w:r>
      <w:r w:rsidR="00940794">
        <w:rPr>
          <w:rFonts w:cs="Times New Roman"/>
          <w:szCs w:val="24"/>
        </w:rPr>
        <w:t>,</w:t>
      </w:r>
      <w:r w:rsidR="00306371">
        <w:rPr>
          <w:rFonts w:cs="Times New Roman"/>
          <w:szCs w:val="24"/>
        </w:rPr>
        <w:t xml:space="preserve"> such as inviting alumni to present or mentor</w:t>
      </w:r>
      <w:r w:rsidR="00940794">
        <w:rPr>
          <w:rFonts w:cs="Times New Roman"/>
          <w:szCs w:val="24"/>
        </w:rPr>
        <w:t>,</w:t>
      </w:r>
      <w:r w:rsidR="00306371">
        <w:rPr>
          <w:rFonts w:cs="Times New Roman"/>
          <w:szCs w:val="24"/>
        </w:rPr>
        <w:t xml:space="preserve"> </w:t>
      </w:r>
      <w:r w:rsidRPr="003B29F4">
        <w:rPr>
          <w:rFonts w:cs="Times New Roman"/>
          <w:szCs w:val="24"/>
        </w:rPr>
        <w:t xml:space="preserve">did not appear to </w:t>
      </w:r>
      <w:r w:rsidR="00940794">
        <w:rPr>
          <w:rFonts w:cs="Times New Roman"/>
          <w:szCs w:val="24"/>
        </w:rPr>
        <w:t xml:space="preserve">have much </w:t>
      </w:r>
      <w:r w:rsidRPr="003B29F4">
        <w:rPr>
          <w:rFonts w:cs="Times New Roman"/>
          <w:szCs w:val="24"/>
        </w:rPr>
        <w:t xml:space="preserve">impact on </w:t>
      </w:r>
      <w:r w:rsidR="001F00DE">
        <w:rPr>
          <w:rFonts w:cs="Times New Roman"/>
          <w:szCs w:val="24"/>
        </w:rPr>
        <w:t>study participants</w:t>
      </w:r>
      <w:r w:rsidRPr="003B29F4">
        <w:rPr>
          <w:rFonts w:cs="Times New Roman"/>
          <w:szCs w:val="24"/>
        </w:rPr>
        <w:t>.</w:t>
      </w:r>
      <w:r>
        <w:rPr>
          <w:rFonts w:cs="Times New Roman"/>
          <w:szCs w:val="24"/>
        </w:rPr>
        <w:t xml:space="preserve"> </w:t>
      </w:r>
      <w:r w:rsidR="007C245B" w:rsidRPr="007C245B">
        <w:rPr>
          <w:rFonts w:cs="Times New Roman"/>
          <w:szCs w:val="24"/>
        </w:rPr>
        <w:t xml:space="preserve">The new employability </w:t>
      </w:r>
      <w:r w:rsidR="003410F9">
        <w:rPr>
          <w:rFonts w:cs="Times New Roman"/>
          <w:szCs w:val="24"/>
        </w:rPr>
        <w:t>modules</w:t>
      </w:r>
      <w:r w:rsidR="007C245B" w:rsidRPr="007C245B">
        <w:rPr>
          <w:rFonts w:cs="Times New Roman"/>
          <w:szCs w:val="24"/>
        </w:rPr>
        <w:t xml:space="preserve"> had been designed</w:t>
      </w:r>
      <w:r w:rsidR="00103BFC" w:rsidRPr="00103BFC">
        <w:rPr>
          <w:rFonts w:cs="Times New Roman"/>
          <w:szCs w:val="24"/>
        </w:rPr>
        <w:t xml:space="preserve"> </w:t>
      </w:r>
      <w:r w:rsidR="00103BFC" w:rsidRPr="007C245B">
        <w:rPr>
          <w:rFonts w:cs="Times New Roman"/>
          <w:szCs w:val="24"/>
        </w:rPr>
        <w:t>to support students’ capacity for identity work</w:t>
      </w:r>
      <w:r w:rsidR="006B388E">
        <w:rPr>
          <w:rFonts w:cs="Times New Roman"/>
          <w:szCs w:val="24"/>
        </w:rPr>
        <w:t>,</w:t>
      </w:r>
      <w:r w:rsidR="007C245B" w:rsidRPr="007C245B">
        <w:rPr>
          <w:rFonts w:cs="Times New Roman"/>
          <w:szCs w:val="24"/>
        </w:rPr>
        <w:t xml:space="preserve"> </w:t>
      </w:r>
      <w:r w:rsidR="007C245B" w:rsidRPr="007C245B">
        <w:rPr>
          <w:rFonts w:cs="Times New Roman"/>
          <w:szCs w:val="24"/>
        </w:rPr>
        <w:lastRenderedPageBreak/>
        <w:t>through increasing opportunities to experience professional identities</w:t>
      </w:r>
      <w:r w:rsidR="00103BFC">
        <w:rPr>
          <w:rFonts w:cs="Times New Roman"/>
          <w:szCs w:val="24"/>
        </w:rPr>
        <w:t>.</w:t>
      </w:r>
      <w:r w:rsidR="007C245B" w:rsidRPr="007C245B">
        <w:rPr>
          <w:rFonts w:cs="Times New Roman"/>
          <w:szCs w:val="24"/>
        </w:rPr>
        <w:t xml:space="preserve">  </w:t>
      </w:r>
      <w:r w:rsidR="00103BFC">
        <w:rPr>
          <w:rFonts w:cs="Times New Roman"/>
          <w:szCs w:val="24"/>
        </w:rPr>
        <w:t>H</w:t>
      </w:r>
      <w:r w:rsidR="007C245B" w:rsidRPr="007C245B">
        <w:rPr>
          <w:rFonts w:cs="Times New Roman"/>
          <w:szCs w:val="24"/>
        </w:rPr>
        <w:t xml:space="preserve">owever, in some cases, a lack of resources was </w:t>
      </w:r>
      <w:r w:rsidR="00103BFC">
        <w:rPr>
          <w:rFonts w:cs="Times New Roman"/>
          <w:szCs w:val="24"/>
        </w:rPr>
        <w:t xml:space="preserve">still </w:t>
      </w:r>
      <w:r w:rsidR="007C245B" w:rsidRPr="007C245B">
        <w:rPr>
          <w:rFonts w:cs="Times New Roman"/>
          <w:szCs w:val="24"/>
        </w:rPr>
        <w:t xml:space="preserve">observed. </w:t>
      </w:r>
      <w:r w:rsidR="00103BFC">
        <w:rPr>
          <w:rFonts w:cs="Times New Roman"/>
          <w:szCs w:val="24"/>
        </w:rPr>
        <w:t>Not all students</w:t>
      </w:r>
      <w:r w:rsidR="007C245B">
        <w:rPr>
          <w:rFonts w:cs="Times New Roman"/>
          <w:szCs w:val="24"/>
        </w:rPr>
        <w:t xml:space="preserve"> </w:t>
      </w:r>
      <w:r w:rsidR="007C245B" w:rsidRPr="007C245B">
        <w:rPr>
          <w:rFonts w:cs="Times New Roman"/>
          <w:szCs w:val="24"/>
        </w:rPr>
        <w:t>recognise</w:t>
      </w:r>
      <w:r w:rsidR="00103BFC">
        <w:rPr>
          <w:rFonts w:cs="Times New Roman"/>
          <w:szCs w:val="24"/>
        </w:rPr>
        <w:t>d</w:t>
      </w:r>
      <w:r w:rsidR="007C245B" w:rsidRPr="007C245B">
        <w:rPr>
          <w:rFonts w:cs="Times New Roman"/>
          <w:szCs w:val="24"/>
        </w:rPr>
        <w:t xml:space="preserve"> the language that academics adopted to associate work</w:t>
      </w:r>
      <w:r w:rsidR="00103BFC">
        <w:rPr>
          <w:rFonts w:cs="Times New Roman"/>
          <w:szCs w:val="24"/>
        </w:rPr>
        <w:t>-</w:t>
      </w:r>
      <w:r w:rsidR="002850E1">
        <w:rPr>
          <w:rFonts w:cs="Times New Roman"/>
          <w:szCs w:val="24"/>
        </w:rPr>
        <w:t>related</w:t>
      </w:r>
      <w:r w:rsidR="007C245B" w:rsidRPr="007C245B">
        <w:rPr>
          <w:rFonts w:cs="Times New Roman"/>
          <w:szCs w:val="24"/>
        </w:rPr>
        <w:t xml:space="preserve"> learning with employment</w:t>
      </w:r>
      <w:r w:rsidR="00E00D3B">
        <w:rPr>
          <w:rFonts w:cs="Times New Roman"/>
          <w:szCs w:val="24"/>
        </w:rPr>
        <w:t>;</w:t>
      </w:r>
      <w:r w:rsidR="007C245B" w:rsidRPr="007C245B">
        <w:rPr>
          <w:rFonts w:cs="Times New Roman"/>
          <w:szCs w:val="24"/>
        </w:rPr>
        <w:t xml:space="preserve"> thus</w:t>
      </w:r>
      <w:r w:rsidR="006B388E">
        <w:rPr>
          <w:rFonts w:cs="Times New Roman"/>
          <w:szCs w:val="24"/>
        </w:rPr>
        <w:t>,</w:t>
      </w:r>
      <w:r w:rsidR="007C245B" w:rsidRPr="007C245B">
        <w:rPr>
          <w:rFonts w:cs="Times New Roman"/>
          <w:szCs w:val="24"/>
        </w:rPr>
        <w:t xml:space="preserve"> agency was restricted by a lack of symbolic recognition. There was evidence that many students believed internships or work experience w</w:t>
      </w:r>
      <w:r w:rsidR="00103BFC">
        <w:rPr>
          <w:rFonts w:cs="Times New Roman"/>
          <w:szCs w:val="24"/>
        </w:rPr>
        <w:t>ere</w:t>
      </w:r>
      <w:r w:rsidR="007C245B" w:rsidRPr="007C245B">
        <w:rPr>
          <w:rFonts w:cs="Times New Roman"/>
          <w:szCs w:val="24"/>
        </w:rPr>
        <w:t xml:space="preserve"> something that was either going to happen </w:t>
      </w:r>
      <w:r w:rsidR="007C245B" w:rsidRPr="00E00D3B">
        <w:rPr>
          <w:rFonts w:cs="Times New Roman"/>
          <w:i/>
          <w:szCs w:val="24"/>
        </w:rPr>
        <w:t>to</w:t>
      </w:r>
      <w:r w:rsidR="007C245B" w:rsidRPr="007C245B">
        <w:rPr>
          <w:rFonts w:cs="Times New Roman"/>
          <w:szCs w:val="24"/>
        </w:rPr>
        <w:t xml:space="preserve"> them or had passed them by</w:t>
      </w:r>
      <w:r w:rsidR="001F3D7B">
        <w:rPr>
          <w:rFonts w:cs="Times New Roman"/>
          <w:szCs w:val="24"/>
        </w:rPr>
        <w:t>,</w:t>
      </w:r>
      <w:r w:rsidR="007C245B" w:rsidRPr="007C245B">
        <w:rPr>
          <w:rFonts w:cs="Times New Roman"/>
          <w:szCs w:val="24"/>
        </w:rPr>
        <w:t xml:space="preserve"> </w:t>
      </w:r>
      <w:r w:rsidR="001F00DE">
        <w:rPr>
          <w:rFonts w:cs="Times New Roman"/>
          <w:szCs w:val="24"/>
        </w:rPr>
        <w:t>reflecting</w:t>
      </w:r>
      <w:r w:rsidR="007C245B" w:rsidRPr="007C245B">
        <w:rPr>
          <w:rFonts w:cs="Times New Roman"/>
          <w:szCs w:val="24"/>
        </w:rPr>
        <w:t xml:space="preserve"> a lack of agency. </w:t>
      </w:r>
      <w:r w:rsidR="007E0896">
        <w:rPr>
          <w:rFonts w:cs="Times New Roman"/>
          <w:szCs w:val="24"/>
        </w:rPr>
        <w:t xml:space="preserve">In the main, participant responses revealed a lack of understanding of </w:t>
      </w:r>
      <w:r w:rsidR="00864207">
        <w:rPr>
          <w:rFonts w:cs="Times New Roman"/>
          <w:szCs w:val="24"/>
        </w:rPr>
        <w:t>course</w:t>
      </w:r>
      <w:r w:rsidR="007E0896">
        <w:rPr>
          <w:rFonts w:cs="Times New Roman"/>
          <w:szCs w:val="24"/>
        </w:rPr>
        <w:t xml:space="preserve"> approaches to employability. </w:t>
      </w:r>
      <w:r w:rsidR="007E0896" w:rsidRPr="007E0896">
        <w:rPr>
          <w:rFonts w:cs="Times New Roman"/>
          <w:szCs w:val="24"/>
        </w:rPr>
        <w:t xml:space="preserve">Using the modules to frame identity claims was not routinely observed, beyond students realising that work experience would be beneficial to them. </w:t>
      </w:r>
      <w:r w:rsidR="00E00D3B">
        <w:rPr>
          <w:rFonts w:cs="Times New Roman"/>
          <w:szCs w:val="24"/>
        </w:rPr>
        <w:t>The</w:t>
      </w:r>
      <w:r w:rsidR="007C245B" w:rsidRPr="007C245B">
        <w:rPr>
          <w:rFonts w:cs="Times New Roman"/>
          <w:szCs w:val="24"/>
        </w:rPr>
        <w:t xml:space="preserve"> opportunity to </w:t>
      </w:r>
      <w:r w:rsidR="00414341">
        <w:rPr>
          <w:rFonts w:cs="Times New Roman"/>
          <w:szCs w:val="24"/>
        </w:rPr>
        <w:t>initiate</w:t>
      </w:r>
      <w:r w:rsidR="00414341" w:rsidRPr="007C245B">
        <w:rPr>
          <w:rFonts w:cs="Times New Roman"/>
          <w:szCs w:val="24"/>
        </w:rPr>
        <w:t xml:space="preserve"> </w:t>
      </w:r>
      <w:r w:rsidR="007C245B" w:rsidRPr="007C245B">
        <w:rPr>
          <w:rFonts w:cs="Times New Roman"/>
          <w:szCs w:val="24"/>
        </w:rPr>
        <w:t xml:space="preserve">identity claims (Holmes 2013) </w:t>
      </w:r>
      <w:r w:rsidR="00E00D3B">
        <w:rPr>
          <w:rFonts w:cs="Times New Roman"/>
          <w:szCs w:val="24"/>
        </w:rPr>
        <w:t xml:space="preserve">in these </w:t>
      </w:r>
      <w:r w:rsidR="003410F9">
        <w:rPr>
          <w:rFonts w:cs="Times New Roman"/>
          <w:szCs w:val="24"/>
        </w:rPr>
        <w:t>modules</w:t>
      </w:r>
      <w:r w:rsidR="00E00D3B">
        <w:rPr>
          <w:rFonts w:cs="Times New Roman"/>
          <w:szCs w:val="24"/>
        </w:rPr>
        <w:t xml:space="preserve"> </w:t>
      </w:r>
      <w:r w:rsidR="007C245B" w:rsidRPr="007C245B">
        <w:rPr>
          <w:rFonts w:cs="Times New Roman"/>
          <w:szCs w:val="24"/>
        </w:rPr>
        <w:t xml:space="preserve">was therefore lost for these students. Nor were the new modules clear sources of identity affirmation, </w:t>
      </w:r>
      <w:r w:rsidR="001F3D7B">
        <w:rPr>
          <w:rFonts w:cs="Times New Roman"/>
          <w:szCs w:val="24"/>
        </w:rPr>
        <w:t>even though</w:t>
      </w:r>
      <w:r w:rsidR="007C245B" w:rsidRPr="007C245B">
        <w:rPr>
          <w:rFonts w:cs="Times New Roman"/>
          <w:szCs w:val="24"/>
        </w:rPr>
        <w:t xml:space="preserve"> most students look</w:t>
      </w:r>
      <w:r w:rsidR="001F3D7B">
        <w:rPr>
          <w:rFonts w:cs="Times New Roman"/>
          <w:szCs w:val="24"/>
        </w:rPr>
        <w:t>ed</w:t>
      </w:r>
      <w:r w:rsidR="007C245B" w:rsidRPr="007C245B">
        <w:rPr>
          <w:rFonts w:cs="Times New Roman"/>
          <w:szCs w:val="24"/>
        </w:rPr>
        <w:t xml:space="preserve"> to lecturers for guidance. </w:t>
      </w:r>
      <w:r w:rsidR="008C27CE">
        <w:rPr>
          <w:rFonts w:cs="Times New Roman"/>
          <w:szCs w:val="24"/>
        </w:rPr>
        <w:t xml:space="preserve">As universities increasingly value research </w:t>
      </w:r>
      <w:r w:rsidR="002804D9">
        <w:rPr>
          <w:rFonts w:cs="Times New Roman"/>
          <w:szCs w:val="24"/>
        </w:rPr>
        <w:t>excellence in staff (</w:t>
      </w:r>
      <w:r w:rsidR="001A7BFB">
        <w:rPr>
          <w:rFonts w:cs="Times New Roman"/>
          <w:szCs w:val="24"/>
        </w:rPr>
        <w:t xml:space="preserve">for example, </w:t>
      </w:r>
      <w:r w:rsidR="001A7BFB" w:rsidRPr="001A7BFB">
        <w:rPr>
          <w:rFonts w:cs="Times New Roman"/>
          <w:szCs w:val="24"/>
        </w:rPr>
        <w:t>van Winkel</w:t>
      </w:r>
      <w:r w:rsidR="001A7BFB">
        <w:rPr>
          <w:rFonts w:cs="Times New Roman"/>
          <w:szCs w:val="24"/>
        </w:rPr>
        <w:t xml:space="preserve"> et al. 2017) </w:t>
      </w:r>
      <w:r w:rsidR="008C27CE">
        <w:rPr>
          <w:rFonts w:cs="Times New Roman"/>
          <w:szCs w:val="24"/>
        </w:rPr>
        <w:t xml:space="preserve">there may in the future be </w:t>
      </w:r>
      <w:r w:rsidR="001A7BFB">
        <w:rPr>
          <w:rFonts w:cs="Times New Roman"/>
          <w:szCs w:val="24"/>
        </w:rPr>
        <w:t>fewer</w:t>
      </w:r>
      <w:r w:rsidR="008C27CE">
        <w:rPr>
          <w:rFonts w:cs="Times New Roman"/>
          <w:szCs w:val="24"/>
        </w:rPr>
        <w:t xml:space="preserve"> academic practitioners</w:t>
      </w:r>
      <w:r w:rsidR="001A7BFB">
        <w:rPr>
          <w:rFonts w:cs="Times New Roman"/>
          <w:szCs w:val="24"/>
        </w:rPr>
        <w:t xml:space="preserve"> with work experience outside academia</w:t>
      </w:r>
      <w:r w:rsidR="008C27CE">
        <w:rPr>
          <w:rFonts w:cs="Times New Roman"/>
          <w:szCs w:val="24"/>
        </w:rPr>
        <w:t xml:space="preserve">. </w:t>
      </w:r>
      <w:r w:rsidR="000144D1">
        <w:rPr>
          <w:rFonts w:cs="Times New Roman"/>
          <w:szCs w:val="24"/>
        </w:rPr>
        <w:t>More generally, n</w:t>
      </w:r>
      <w:r w:rsidR="00A17954">
        <w:rPr>
          <w:rFonts w:cs="Times New Roman"/>
          <w:szCs w:val="24"/>
        </w:rPr>
        <w:t xml:space="preserve">ot all students could be provided with placements and the alternative employability elements </w:t>
      </w:r>
      <w:r w:rsidR="007C245B" w:rsidRPr="007C245B">
        <w:rPr>
          <w:rFonts w:cs="Times New Roman"/>
          <w:szCs w:val="24"/>
        </w:rPr>
        <w:t xml:space="preserve">were not </w:t>
      </w:r>
      <w:r w:rsidR="00A17954">
        <w:rPr>
          <w:rFonts w:cs="Times New Roman"/>
          <w:szCs w:val="24"/>
        </w:rPr>
        <w:t>necessarily recognis</w:t>
      </w:r>
      <w:r w:rsidR="00D53756">
        <w:rPr>
          <w:rFonts w:cs="Times New Roman"/>
          <w:szCs w:val="24"/>
        </w:rPr>
        <w:t>ed</w:t>
      </w:r>
      <w:r w:rsidR="00A17954">
        <w:rPr>
          <w:rFonts w:cs="Times New Roman"/>
          <w:szCs w:val="24"/>
        </w:rPr>
        <w:t xml:space="preserve"> as such, limiting their</w:t>
      </w:r>
      <w:r w:rsidR="007C245B" w:rsidRPr="007C245B">
        <w:rPr>
          <w:rFonts w:cs="Times New Roman"/>
          <w:szCs w:val="24"/>
        </w:rPr>
        <w:t xml:space="preserve"> bas</w:t>
      </w:r>
      <w:r w:rsidR="000E0495">
        <w:rPr>
          <w:rFonts w:cs="Times New Roman"/>
          <w:szCs w:val="24"/>
        </w:rPr>
        <w:t>e</w:t>
      </w:r>
      <w:r w:rsidR="007C245B" w:rsidRPr="007C245B">
        <w:rPr>
          <w:rFonts w:cs="Times New Roman"/>
          <w:szCs w:val="24"/>
        </w:rPr>
        <w:t xml:space="preserve">s </w:t>
      </w:r>
      <w:r w:rsidR="00A17954">
        <w:rPr>
          <w:rFonts w:cs="Times New Roman"/>
          <w:szCs w:val="24"/>
        </w:rPr>
        <w:t xml:space="preserve">as resources </w:t>
      </w:r>
      <w:r w:rsidR="007C245B" w:rsidRPr="007C245B">
        <w:rPr>
          <w:rFonts w:cs="Times New Roman"/>
          <w:szCs w:val="24"/>
        </w:rPr>
        <w:t>for a pre-professional</w:t>
      </w:r>
      <w:r w:rsidR="00A17954">
        <w:rPr>
          <w:rFonts w:cs="Times New Roman"/>
          <w:szCs w:val="24"/>
        </w:rPr>
        <w:t xml:space="preserve"> identity</w:t>
      </w:r>
      <w:r w:rsidR="007C245B" w:rsidRPr="007C245B">
        <w:rPr>
          <w:rFonts w:cs="Times New Roman"/>
          <w:szCs w:val="24"/>
        </w:rPr>
        <w:t xml:space="preserve"> (Jackson</w:t>
      </w:r>
      <w:r w:rsidR="00155120">
        <w:rPr>
          <w:rFonts w:cs="Times New Roman"/>
          <w:szCs w:val="24"/>
        </w:rPr>
        <w:t xml:space="preserve"> </w:t>
      </w:r>
      <w:r w:rsidR="002F7762">
        <w:rPr>
          <w:rFonts w:cs="Times New Roman"/>
          <w:szCs w:val="24"/>
        </w:rPr>
        <w:t>2016</w:t>
      </w:r>
      <w:r w:rsidR="007C245B" w:rsidRPr="007C245B">
        <w:rPr>
          <w:rFonts w:cs="Times New Roman"/>
          <w:szCs w:val="24"/>
        </w:rPr>
        <w:t xml:space="preserve">) </w:t>
      </w:r>
      <w:r w:rsidR="00A17954">
        <w:rPr>
          <w:rFonts w:cs="Times New Roman"/>
          <w:szCs w:val="24"/>
        </w:rPr>
        <w:t>and students’ agency in exploiting them</w:t>
      </w:r>
      <w:r w:rsidR="007C245B" w:rsidRPr="007C245B">
        <w:rPr>
          <w:rFonts w:cs="Times New Roman"/>
          <w:szCs w:val="24"/>
        </w:rPr>
        <w:t xml:space="preserve">. </w:t>
      </w:r>
      <w:r w:rsidR="00481BB3">
        <w:rPr>
          <w:rFonts w:cs="Times New Roman"/>
          <w:szCs w:val="24"/>
        </w:rPr>
        <w:t>Students’ r</w:t>
      </w:r>
      <w:r w:rsidR="003410F9">
        <w:rPr>
          <w:rFonts w:cs="Times New Roman"/>
          <w:szCs w:val="24"/>
        </w:rPr>
        <w:t xml:space="preserve">ecognition </w:t>
      </w:r>
      <w:r w:rsidR="00481BB3">
        <w:rPr>
          <w:rFonts w:cs="Times New Roman"/>
          <w:szCs w:val="24"/>
        </w:rPr>
        <w:t xml:space="preserve">of a module as an employability experience </w:t>
      </w:r>
      <w:r w:rsidR="003410F9">
        <w:rPr>
          <w:rFonts w:cs="Times New Roman"/>
          <w:szCs w:val="24"/>
        </w:rPr>
        <w:t xml:space="preserve">may be dependent on </w:t>
      </w:r>
      <w:r w:rsidR="00481BB3">
        <w:rPr>
          <w:rFonts w:cs="Times New Roman"/>
          <w:szCs w:val="24"/>
        </w:rPr>
        <w:t xml:space="preserve">the extent to which it involves them in overt </w:t>
      </w:r>
      <w:r w:rsidR="003410F9">
        <w:rPr>
          <w:rFonts w:cs="Times New Roman"/>
          <w:szCs w:val="24"/>
        </w:rPr>
        <w:t>workplace</w:t>
      </w:r>
      <w:r w:rsidR="00481BB3">
        <w:rPr>
          <w:rFonts w:cs="Times New Roman"/>
          <w:szCs w:val="24"/>
        </w:rPr>
        <w:t xml:space="preserve"> exposure</w:t>
      </w:r>
      <w:r w:rsidR="007E0896">
        <w:rPr>
          <w:rFonts w:cs="Times New Roman"/>
          <w:szCs w:val="24"/>
        </w:rPr>
        <w:t>, for example,</w:t>
      </w:r>
      <w:r w:rsidR="007E0896" w:rsidRPr="007E0896">
        <w:t xml:space="preserve"> </w:t>
      </w:r>
      <w:r w:rsidR="007E0896" w:rsidRPr="007E0896">
        <w:rPr>
          <w:rFonts w:cs="Times New Roman"/>
          <w:szCs w:val="24"/>
        </w:rPr>
        <w:t>Thompson’s (2017) study found short-term placements to be ‘meaningful and productive experiences’ (420).</w:t>
      </w:r>
    </w:p>
    <w:p w14:paraId="7FB2FE6F" w14:textId="1B93E7FA" w:rsidR="002804D9" w:rsidRDefault="00FD3219" w:rsidP="00B23DE1">
      <w:pPr>
        <w:jc w:val="both"/>
        <w:rPr>
          <w:rFonts w:cs="Times New Roman"/>
          <w:szCs w:val="24"/>
        </w:rPr>
      </w:pPr>
      <w:r>
        <w:rPr>
          <w:rFonts w:cs="Times New Roman"/>
          <w:szCs w:val="24"/>
        </w:rPr>
        <w:t>The new</w:t>
      </w:r>
      <w:r w:rsidR="007C245B" w:rsidRPr="007C245B">
        <w:rPr>
          <w:rFonts w:cs="Times New Roman"/>
          <w:szCs w:val="24"/>
        </w:rPr>
        <w:t xml:space="preserve"> </w:t>
      </w:r>
      <w:r w:rsidR="003410F9">
        <w:rPr>
          <w:rFonts w:cs="Times New Roman"/>
          <w:szCs w:val="24"/>
        </w:rPr>
        <w:t>modules</w:t>
      </w:r>
      <w:r w:rsidR="007C245B" w:rsidRPr="007C245B">
        <w:rPr>
          <w:rFonts w:cs="Times New Roman"/>
          <w:szCs w:val="24"/>
        </w:rPr>
        <w:t xml:space="preserve"> provided social and educational structure</w:t>
      </w:r>
      <w:r w:rsidR="004A10F7">
        <w:rPr>
          <w:rFonts w:cs="Times New Roman"/>
          <w:szCs w:val="24"/>
        </w:rPr>
        <w:t>s</w:t>
      </w:r>
      <w:r w:rsidR="007C245B" w:rsidRPr="007C245B">
        <w:rPr>
          <w:rFonts w:cs="Times New Roman"/>
          <w:szCs w:val="24"/>
        </w:rPr>
        <w:t xml:space="preserve"> within which students could explore their subject discipline at the intersection of professional practice. Practices and resources were designed to influence and inform the students’ </w:t>
      </w:r>
      <w:r w:rsidR="00B23DE1">
        <w:rPr>
          <w:rFonts w:cs="Times New Roman"/>
          <w:szCs w:val="24"/>
        </w:rPr>
        <w:t>‘</w:t>
      </w:r>
      <w:r w:rsidR="007C245B" w:rsidRPr="007C245B">
        <w:rPr>
          <w:rFonts w:cs="Times New Roman"/>
          <w:szCs w:val="24"/>
        </w:rPr>
        <w:t>immediate horizons</w:t>
      </w:r>
      <w:r w:rsidR="00A17954">
        <w:rPr>
          <w:rFonts w:cs="Times New Roman"/>
          <w:szCs w:val="24"/>
        </w:rPr>
        <w:t>’</w:t>
      </w:r>
      <w:r w:rsidR="007C245B" w:rsidRPr="007C245B">
        <w:rPr>
          <w:rFonts w:cs="Times New Roman"/>
          <w:szCs w:val="24"/>
        </w:rPr>
        <w:t xml:space="preserve"> for action (Aldous</w:t>
      </w:r>
      <w:r w:rsidR="004E1724">
        <w:rPr>
          <w:rFonts w:cs="Times New Roman"/>
          <w:szCs w:val="24"/>
        </w:rPr>
        <w:t>, Sparkes and Brown</w:t>
      </w:r>
      <w:r w:rsidR="007167FD">
        <w:rPr>
          <w:rFonts w:cs="Times New Roman"/>
          <w:szCs w:val="24"/>
        </w:rPr>
        <w:t xml:space="preserve"> 2014</w:t>
      </w:r>
      <w:r w:rsidR="00A17954">
        <w:rPr>
          <w:rFonts w:cs="Times New Roman"/>
          <w:szCs w:val="24"/>
        </w:rPr>
        <w:t>, 193</w:t>
      </w:r>
      <w:r w:rsidR="007C245B" w:rsidRPr="007C245B">
        <w:rPr>
          <w:rFonts w:cs="Times New Roman"/>
          <w:szCs w:val="24"/>
        </w:rPr>
        <w:t xml:space="preserve">). Some students remained unaware of the employability modules as opportunities for </w:t>
      </w:r>
      <w:r w:rsidR="00C9065B" w:rsidRPr="007C245B">
        <w:rPr>
          <w:rFonts w:cs="Times New Roman"/>
          <w:szCs w:val="24"/>
        </w:rPr>
        <w:t>work-</w:t>
      </w:r>
      <w:r w:rsidR="00E2243D">
        <w:rPr>
          <w:rFonts w:cs="Times New Roman"/>
          <w:szCs w:val="24"/>
        </w:rPr>
        <w:t>related</w:t>
      </w:r>
      <w:r w:rsidR="007C245B" w:rsidRPr="007C245B">
        <w:rPr>
          <w:rFonts w:cs="Times New Roman"/>
          <w:szCs w:val="24"/>
        </w:rPr>
        <w:t xml:space="preserve"> learning, leaving them less able to develop new self-narratives as skilled and employable. </w:t>
      </w:r>
      <w:r w:rsidR="00414341" w:rsidRPr="00414341">
        <w:rPr>
          <w:rFonts w:cs="Times New Roman"/>
          <w:szCs w:val="24"/>
        </w:rPr>
        <w:t>The one exception was C</w:t>
      </w:r>
      <w:r w:rsidR="002804D9">
        <w:rPr>
          <w:rFonts w:cs="Times New Roman"/>
          <w:szCs w:val="24"/>
        </w:rPr>
        <w:t xml:space="preserve">omputing. </w:t>
      </w:r>
      <w:r w:rsidR="002804D9">
        <w:rPr>
          <w:rFonts w:cs="Times New Roman"/>
          <w:szCs w:val="24"/>
        </w:rPr>
        <w:lastRenderedPageBreak/>
        <w:t>Th</w:t>
      </w:r>
      <w:r w:rsidR="00E57972">
        <w:rPr>
          <w:rFonts w:cs="Times New Roman"/>
          <w:szCs w:val="24"/>
        </w:rPr>
        <w:t>is</w:t>
      </w:r>
      <w:r w:rsidR="002804D9">
        <w:rPr>
          <w:rFonts w:cs="Times New Roman"/>
          <w:szCs w:val="24"/>
        </w:rPr>
        <w:t xml:space="preserve"> department</w:t>
      </w:r>
      <w:r w:rsidR="00414341" w:rsidRPr="00414341">
        <w:rPr>
          <w:rFonts w:cs="Times New Roman"/>
          <w:szCs w:val="24"/>
        </w:rPr>
        <w:t xml:space="preserve"> promotes placements and work-related learning at the application stage and at each year of the </w:t>
      </w:r>
      <w:r w:rsidR="00864207">
        <w:rPr>
          <w:rFonts w:cs="Times New Roman"/>
          <w:szCs w:val="24"/>
        </w:rPr>
        <w:t>course</w:t>
      </w:r>
      <w:r w:rsidR="00414341" w:rsidRPr="00414341">
        <w:rPr>
          <w:rFonts w:cs="Times New Roman"/>
          <w:szCs w:val="24"/>
        </w:rPr>
        <w:t>. Over half of the academics in Computing act as work-based learning tutors and there was greater contextual awareness of work-based and work-related experiences among these participants.</w:t>
      </w:r>
      <w:r w:rsidR="00414341">
        <w:rPr>
          <w:rFonts w:cs="Times New Roman"/>
          <w:szCs w:val="24"/>
        </w:rPr>
        <w:t xml:space="preserve"> </w:t>
      </w:r>
    </w:p>
    <w:p w14:paraId="10D7EA2E" w14:textId="3D4C0E9C" w:rsidR="002C74CF" w:rsidRDefault="00FF3AF1" w:rsidP="00B23DE1">
      <w:pPr>
        <w:jc w:val="both"/>
        <w:rPr>
          <w:rFonts w:cs="Times New Roman"/>
          <w:szCs w:val="24"/>
        </w:rPr>
      </w:pPr>
      <w:r>
        <w:rPr>
          <w:rFonts w:cs="Times New Roman"/>
          <w:szCs w:val="24"/>
        </w:rPr>
        <w:t>Conversations about careers and the importance of work experience</w:t>
      </w:r>
      <w:r w:rsidR="00481BB3">
        <w:rPr>
          <w:rFonts w:cs="Times New Roman"/>
          <w:szCs w:val="24"/>
        </w:rPr>
        <w:t xml:space="preserve"> </w:t>
      </w:r>
      <w:r w:rsidR="0067519A">
        <w:rPr>
          <w:rFonts w:cs="Times New Roman"/>
          <w:szCs w:val="24"/>
        </w:rPr>
        <w:t>(e.g.</w:t>
      </w:r>
      <w:r w:rsidR="000D0B37">
        <w:rPr>
          <w:rFonts w:cs="Times New Roman"/>
          <w:szCs w:val="24"/>
        </w:rPr>
        <w:t xml:space="preserve"> </w:t>
      </w:r>
      <w:r>
        <w:rPr>
          <w:rFonts w:cs="Times New Roman"/>
          <w:szCs w:val="24"/>
        </w:rPr>
        <w:t>over pa</w:t>
      </w:r>
      <w:r w:rsidR="008C193F">
        <w:rPr>
          <w:rFonts w:cs="Times New Roman"/>
          <w:szCs w:val="24"/>
        </w:rPr>
        <w:t>id work not related to their course</w:t>
      </w:r>
      <w:r w:rsidR="009928A6">
        <w:rPr>
          <w:rFonts w:cs="Times New Roman"/>
          <w:szCs w:val="24"/>
        </w:rPr>
        <w:t>)</w:t>
      </w:r>
      <w:r>
        <w:rPr>
          <w:rFonts w:cs="Times New Roman"/>
          <w:szCs w:val="24"/>
        </w:rPr>
        <w:t xml:space="preserve"> with family members were found to influence student attitudes</w:t>
      </w:r>
      <w:r w:rsidR="000D0B37">
        <w:rPr>
          <w:rFonts w:cs="Times New Roman"/>
          <w:szCs w:val="24"/>
        </w:rPr>
        <w:t>,</w:t>
      </w:r>
      <w:r w:rsidR="00306371">
        <w:rPr>
          <w:rFonts w:cs="Times New Roman"/>
          <w:szCs w:val="24"/>
        </w:rPr>
        <w:t xml:space="preserve"> with some students </w:t>
      </w:r>
      <w:r w:rsidR="00E57972">
        <w:rPr>
          <w:rFonts w:cs="Times New Roman"/>
          <w:szCs w:val="24"/>
        </w:rPr>
        <w:t xml:space="preserve">who had not experienced such discussions </w:t>
      </w:r>
      <w:r w:rsidR="00306371">
        <w:rPr>
          <w:rFonts w:cs="Times New Roman"/>
          <w:szCs w:val="24"/>
        </w:rPr>
        <w:t>left at a disadvantage</w:t>
      </w:r>
      <w:r>
        <w:rPr>
          <w:rFonts w:cs="Times New Roman"/>
          <w:szCs w:val="24"/>
        </w:rPr>
        <w:t xml:space="preserve">. </w:t>
      </w:r>
      <w:r w:rsidR="002C74CF">
        <w:rPr>
          <w:rFonts w:cs="Times New Roman"/>
          <w:szCs w:val="24"/>
        </w:rPr>
        <w:t xml:space="preserve">Access to cultural capital has been found </w:t>
      </w:r>
      <w:r>
        <w:rPr>
          <w:rFonts w:cs="Times New Roman"/>
          <w:szCs w:val="24"/>
        </w:rPr>
        <w:t xml:space="preserve">elsewhere </w:t>
      </w:r>
      <w:r w:rsidR="002C74CF">
        <w:rPr>
          <w:rFonts w:cs="Times New Roman"/>
          <w:szCs w:val="24"/>
        </w:rPr>
        <w:t>to influence success in higher education</w:t>
      </w:r>
      <w:r>
        <w:rPr>
          <w:rFonts w:cs="Times New Roman"/>
          <w:szCs w:val="24"/>
        </w:rPr>
        <w:t xml:space="preserve"> and future careers</w:t>
      </w:r>
      <w:r w:rsidR="002C74CF">
        <w:rPr>
          <w:rFonts w:cs="Times New Roman"/>
          <w:szCs w:val="24"/>
        </w:rPr>
        <w:t xml:space="preserve"> </w:t>
      </w:r>
      <w:r w:rsidR="00BD0FB5">
        <w:rPr>
          <w:rFonts w:cs="Times New Roman"/>
          <w:szCs w:val="24"/>
        </w:rPr>
        <w:t>(</w:t>
      </w:r>
      <w:r>
        <w:rPr>
          <w:rFonts w:cs="Times New Roman"/>
          <w:szCs w:val="24"/>
        </w:rPr>
        <w:t>Bathmaker et a</w:t>
      </w:r>
      <w:r w:rsidR="00BD0FB5">
        <w:rPr>
          <w:rFonts w:cs="Times New Roman"/>
          <w:szCs w:val="24"/>
        </w:rPr>
        <w:t>l.</w:t>
      </w:r>
      <w:r>
        <w:rPr>
          <w:rFonts w:cs="Times New Roman"/>
          <w:szCs w:val="24"/>
        </w:rPr>
        <w:t xml:space="preserve"> 201</w:t>
      </w:r>
      <w:r w:rsidR="000144D1">
        <w:rPr>
          <w:rFonts w:cs="Times New Roman"/>
          <w:szCs w:val="24"/>
        </w:rPr>
        <w:t>3</w:t>
      </w:r>
      <w:r w:rsidR="00A23EBA">
        <w:rPr>
          <w:rFonts w:cs="Times New Roman"/>
          <w:szCs w:val="24"/>
        </w:rPr>
        <w:t>; Childs, Finnie, and Mueller 2016</w:t>
      </w:r>
      <w:r>
        <w:rPr>
          <w:rFonts w:cs="Times New Roman"/>
          <w:szCs w:val="24"/>
        </w:rPr>
        <w:t>).</w:t>
      </w:r>
      <w:r w:rsidR="00E2243D">
        <w:rPr>
          <w:rFonts w:cs="Times New Roman"/>
          <w:szCs w:val="24"/>
        </w:rPr>
        <w:t xml:space="preserve"> Elsewhere, students have reported acquisition of social capital, co</w:t>
      </w:r>
      <w:r w:rsidR="00BD0FB5">
        <w:rPr>
          <w:rFonts w:cs="Times New Roman"/>
          <w:szCs w:val="24"/>
        </w:rPr>
        <w:t>nfidence and networks (Thompson</w:t>
      </w:r>
      <w:r w:rsidR="00E2243D">
        <w:rPr>
          <w:rFonts w:cs="Times New Roman"/>
          <w:szCs w:val="24"/>
        </w:rPr>
        <w:t xml:space="preserve"> 2017)</w:t>
      </w:r>
      <w:r w:rsidR="00901268">
        <w:rPr>
          <w:rFonts w:cs="Times New Roman"/>
          <w:szCs w:val="24"/>
        </w:rPr>
        <w:t>;</w:t>
      </w:r>
      <w:r w:rsidR="00E2243D">
        <w:rPr>
          <w:rFonts w:cs="Times New Roman"/>
          <w:szCs w:val="24"/>
        </w:rPr>
        <w:t xml:space="preserve"> so </w:t>
      </w:r>
      <w:r w:rsidR="003410F9">
        <w:rPr>
          <w:rFonts w:cs="Times New Roman"/>
          <w:szCs w:val="24"/>
        </w:rPr>
        <w:t xml:space="preserve">the </w:t>
      </w:r>
      <w:r w:rsidR="00E2243D">
        <w:rPr>
          <w:rFonts w:cs="Times New Roman"/>
          <w:szCs w:val="24"/>
        </w:rPr>
        <w:t xml:space="preserve">way these </w:t>
      </w:r>
      <w:r w:rsidR="003410F9">
        <w:rPr>
          <w:rFonts w:cs="Times New Roman"/>
          <w:szCs w:val="24"/>
        </w:rPr>
        <w:t>modules</w:t>
      </w:r>
      <w:r w:rsidR="00E2243D">
        <w:rPr>
          <w:rFonts w:cs="Times New Roman"/>
          <w:szCs w:val="24"/>
        </w:rPr>
        <w:t xml:space="preserve"> are articulated to students</w:t>
      </w:r>
      <w:r w:rsidR="003410F9">
        <w:rPr>
          <w:rFonts w:cs="Times New Roman"/>
          <w:szCs w:val="24"/>
        </w:rPr>
        <w:t xml:space="preserve"> and embedded</w:t>
      </w:r>
      <w:r w:rsidR="00E2243D">
        <w:rPr>
          <w:rFonts w:cs="Times New Roman"/>
          <w:szCs w:val="24"/>
        </w:rPr>
        <w:t xml:space="preserve"> may have a significant impact on outcomes. </w:t>
      </w:r>
    </w:p>
    <w:p w14:paraId="463F91F2" w14:textId="6F94D9E0" w:rsidR="002632A1" w:rsidRDefault="007C245B" w:rsidP="00462ACD">
      <w:pPr>
        <w:jc w:val="both"/>
        <w:rPr>
          <w:rFonts w:cs="Times New Roman"/>
          <w:szCs w:val="24"/>
        </w:rPr>
      </w:pPr>
      <w:r w:rsidRPr="007C245B">
        <w:rPr>
          <w:rFonts w:cs="Times New Roman"/>
          <w:szCs w:val="24"/>
        </w:rPr>
        <w:t>Academic staff were found to influence decision-making through encouragement to gain relevant work experience</w:t>
      </w:r>
      <w:r w:rsidR="001750F2">
        <w:rPr>
          <w:rFonts w:cs="Times New Roman"/>
          <w:szCs w:val="24"/>
        </w:rPr>
        <w:t>;</w:t>
      </w:r>
      <w:r w:rsidRPr="007C245B">
        <w:rPr>
          <w:rFonts w:cs="Times New Roman"/>
          <w:szCs w:val="24"/>
        </w:rPr>
        <w:t xml:space="preserve"> however</w:t>
      </w:r>
      <w:r w:rsidR="00B96618">
        <w:rPr>
          <w:rFonts w:cs="Times New Roman"/>
          <w:szCs w:val="24"/>
        </w:rPr>
        <w:t>,</w:t>
      </w:r>
      <w:r w:rsidRPr="007C245B">
        <w:rPr>
          <w:rFonts w:cs="Times New Roman"/>
          <w:szCs w:val="24"/>
        </w:rPr>
        <w:t xml:space="preserve"> </w:t>
      </w:r>
      <w:r w:rsidR="001750F2">
        <w:rPr>
          <w:rFonts w:cs="Times New Roman"/>
          <w:szCs w:val="24"/>
        </w:rPr>
        <w:t xml:space="preserve">they </w:t>
      </w:r>
      <w:r w:rsidRPr="007C245B">
        <w:rPr>
          <w:rFonts w:cs="Times New Roman"/>
          <w:szCs w:val="24"/>
        </w:rPr>
        <w:t xml:space="preserve">came second to family as a source of careers advice. </w:t>
      </w:r>
      <w:r w:rsidR="002804D9">
        <w:rPr>
          <w:rFonts w:cs="Times New Roman"/>
          <w:szCs w:val="24"/>
        </w:rPr>
        <w:t xml:space="preserve">As mentioned, </w:t>
      </w:r>
      <w:r w:rsidRPr="007C245B">
        <w:rPr>
          <w:rFonts w:cs="Times New Roman"/>
          <w:szCs w:val="24"/>
        </w:rPr>
        <w:t xml:space="preserve">Holmes (2013) has previously called for a graduate identity construction rather than </w:t>
      </w:r>
      <w:r w:rsidR="00F933E4">
        <w:rPr>
          <w:rFonts w:cs="Times New Roman"/>
          <w:szCs w:val="24"/>
        </w:rPr>
        <w:t>‘</w:t>
      </w:r>
      <w:r w:rsidRPr="007C245B">
        <w:rPr>
          <w:rFonts w:cs="Times New Roman"/>
          <w:szCs w:val="24"/>
        </w:rPr>
        <w:t>positional</w:t>
      </w:r>
      <w:r w:rsidR="00F933E4">
        <w:rPr>
          <w:rFonts w:cs="Times New Roman"/>
          <w:szCs w:val="24"/>
        </w:rPr>
        <w:t>’</w:t>
      </w:r>
      <w:r w:rsidRPr="007C245B">
        <w:rPr>
          <w:rFonts w:cs="Times New Roman"/>
          <w:szCs w:val="24"/>
        </w:rPr>
        <w:t xml:space="preserve"> approach to employability. The positional approach recognises situational factors such as social class, ethnicity and university status (</w:t>
      </w:r>
      <w:r w:rsidR="002F7762">
        <w:rPr>
          <w:rFonts w:cs="Times New Roman"/>
          <w:szCs w:val="24"/>
        </w:rPr>
        <w:t xml:space="preserve">Archer, Hutchings and Ross 2005; </w:t>
      </w:r>
      <w:r w:rsidR="004E4B37">
        <w:rPr>
          <w:rFonts w:cs="Times New Roman"/>
          <w:szCs w:val="24"/>
        </w:rPr>
        <w:t xml:space="preserve">Bathmaker et al. 2013; </w:t>
      </w:r>
      <w:r w:rsidR="001750F2">
        <w:rPr>
          <w:rFonts w:cs="Times New Roman"/>
          <w:szCs w:val="24"/>
        </w:rPr>
        <w:t xml:space="preserve">Boliver 2013; </w:t>
      </w:r>
      <w:r w:rsidR="002F7762">
        <w:rPr>
          <w:rFonts w:cs="Times New Roman"/>
          <w:szCs w:val="24"/>
        </w:rPr>
        <w:t>Connor</w:t>
      </w:r>
      <w:r w:rsidR="00B96618">
        <w:rPr>
          <w:rFonts w:cs="Times New Roman"/>
          <w:szCs w:val="24"/>
        </w:rPr>
        <w:t xml:space="preserve"> et al.</w:t>
      </w:r>
      <w:r w:rsidR="002F7762">
        <w:rPr>
          <w:rFonts w:cs="Times New Roman"/>
          <w:szCs w:val="24"/>
        </w:rPr>
        <w:t xml:space="preserve"> 2004</w:t>
      </w:r>
      <w:r w:rsidRPr="007C245B">
        <w:rPr>
          <w:rFonts w:cs="Times New Roman"/>
          <w:szCs w:val="24"/>
        </w:rPr>
        <w:t>)</w:t>
      </w:r>
      <w:r w:rsidR="001750F2">
        <w:rPr>
          <w:rFonts w:cs="Times New Roman"/>
          <w:szCs w:val="24"/>
        </w:rPr>
        <w:t>.</w:t>
      </w:r>
      <w:r w:rsidRPr="007C245B">
        <w:rPr>
          <w:rFonts w:cs="Times New Roman"/>
          <w:szCs w:val="24"/>
        </w:rPr>
        <w:t xml:space="preserve"> Our study suggests that the limitations imposed by social </w:t>
      </w:r>
      <w:r w:rsidR="002804D9" w:rsidRPr="007C245B">
        <w:rPr>
          <w:rFonts w:cs="Times New Roman"/>
          <w:szCs w:val="24"/>
        </w:rPr>
        <w:t>s</w:t>
      </w:r>
      <w:r w:rsidR="002804D9">
        <w:rPr>
          <w:rFonts w:cs="Times New Roman"/>
          <w:szCs w:val="24"/>
        </w:rPr>
        <w:t>tructures</w:t>
      </w:r>
      <w:r w:rsidR="002804D9" w:rsidRPr="007C245B">
        <w:rPr>
          <w:rFonts w:cs="Times New Roman"/>
          <w:szCs w:val="24"/>
        </w:rPr>
        <w:t xml:space="preserve"> </w:t>
      </w:r>
      <w:r w:rsidRPr="007C245B">
        <w:rPr>
          <w:rFonts w:cs="Times New Roman"/>
          <w:szCs w:val="24"/>
        </w:rPr>
        <w:t>should be recognised by curriculum designers</w:t>
      </w:r>
      <w:r w:rsidR="001750F2">
        <w:rPr>
          <w:rFonts w:cs="Times New Roman"/>
          <w:szCs w:val="24"/>
        </w:rPr>
        <w:t>,</w:t>
      </w:r>
      <w:r w:rsidR="00355ADA">
        <w:rPr>
          <w:rFonts w:cs="Times New Roman"/>
          <w:szCs w:val="24"/>
        </w:rPr>
        <w:t xml:space="preserve"> and </w:t>
      </w:r>
      <w:r w:rsidR="00462ACD">
        <w:rPr>
          <w:rFonts w:cs="Times New Roman"/>
          <w:szCs w:val="24"/>
        </w:rPr>
        <w:t>in</w:t>
      </w:r>
      <w:r w:rsidR="00F93CC7">
        <w:rPr>
          <w:rFonts w:cs="Times New Roman"/>
          <w:szCs w:val="24"/>
        </w:rPr>
        <w:t xml:space="preserve"> </w:t>
      </w:r>
      <w:r w:rsidR="00462ACD">
        <w:rPr>
          <w:rFonts w:cs="Times New Roman"/>
          <w:szCs w:val="24"/>
        </w:rPr>
        <w:t xml:space="preserve">turn </w:t>
      </w:r>
      <w:r w:rsidR="00355ADA">
        <w:rPr>
          <w:rFonts w:cs="Times New Roman"/>
          <w:szCs w:val="24"/>
        </w:rPr>
        <w:t>influence</w:t>
      </w:r>
      <w:r w:rsidRPr="007C245B">
        <w:rPr>
          <w:rFonts w:cs="Times New Roman"/>
          <w:szCs w:val="24"/>
        </w:rPr>
        <w:t xml:space="preserve"> the creation of resources for identity adaptation</w:t>
      </w:r>
      <w:r w:rsidR="001750F2">
        <w:rPr>
          <w:rFonts w:cs="Times New Roman"/>
          <w:szCs w:val="24"/>
        </w:rPr>
        <w:t>,</w:t>
      </w:r>
      <w:r w:rsidRPr="007C245B">
        <w:rPr>
          <w:rFonts w:cs="Times New Roman"/>
          <w:szCs w:val="24"/>
        </w:rPr>
        <w:t xml:space="preserve"> including </w:t>
      </w:r>
      <w:r w:rsidR="00DD66FB">
        <w:rPr>
          <w:rFonts w:cs="Times New Roman"/>
          <w:szCs w:val="24"/>
        </w:rPr>
        <w:t xml:space="preserve">creating the conditions for </w:t>
      </w:r>
      <w:r w:rsidRPr="007C245B">
        <w:rPr>
          <w:rFonts w:cs="Times New Roman"/>
          <w:szCs w:val="24"/>
        </w:rPr>
        <w:t>student identity claims and discipline-spe</w:t>
      </w:r>
      <w:r w:rsidR="00D9013B">
        <w:rPr>
          <w:rFonts w:cs="Times New Roman"/>
          <w:szCs w:val="24"/>
        </w:rPr>
        <w:t xml:space="preserve">cific episodes of affirmation. </w:t>
      </w:r>
    </w:p>
    <w:p w14:paraId="0FCEC357" w14:textId="77777777" w:rsidR="007C245B" w:rsidRPr="007C245B" w:rsidRDefault="0047406D">
      <w:pPr>
        <w:jc w:val="both"/>
        <w:rPr>
          <w:rFonts w:cs="Times New Roman"/>
          <w:szCs w:val="24"/>
        </w:rPr>
      </w:pPr>
      <w:r w:rsidRPr="0047406D">
        <w:rPr>
          <w:rFonts w:cs="Times New Roman"/>
          <w:szCs w:val="24"/>
        </w:rPr>
        <w:t>The results show that the aspiration to introduce employability initiatives through curriculum development was only partially successful. Student responses showed a positive attitude to gaining work experience, but not all work-related learning was recognised as such. Students, despite evidence of agency, had limited access to resources for identity adaptation.</w:t>
      </w:r>
      <w:r w:rsidR="00414341">
        <w:rPr>
          <w:rFonts w:cs="Times New Roman"/>
          <w:szCs w:val="24"/>
        </w:rPr>
        <w:t xml:space="preserve"> </w:t>
      </w:r>
      <w:r w:rsidR="007C245B" w:rsidRPr="007C245B">
        <w:rPr>
          <w:rFonts w:cs="Times New Roman"/>
          <w:szCs w:val="24"/>
        </w:rPr>
        <w:lastRenderedPageBreak/>
        <w:t>Of course, dynamic labour market structures</w:t>
      </w:r>
      <w:r w:rsidR="001750F2">
        <w:rPr>
          <w:rFonts w:cs="Times New Roman"/>
          <w:szCs w:val="24"/>
        </w:rPr>
        <w:t>,</w:t>
      </w:r>
      <w:r w:rsidR="007C245B" w:rsidRPr="007C245B">
        <w:rPr>
          <w:rFonts w:cs="Times New Roman"/>
          <w:szCs w:val="24"/>
        </w:rPr>
        <w:t xml:space="preserve"> in the context of expansion of higher education leading to more graduates than graduate jobs</w:t>
      </w:r>
      <w:r w:rsidR="001750F2">
        <w:rPr>
          <w:rFonts w:cs="Times New Roman"/>
          <w:szCs w:val="24"/>
        </w:rPr>
        <w:t>,</w:t>
      </w:r>
      <w:r w:rsidR="007C245B" w:rsidRPr="007C245B">
        <w:rPr>
          <w:rFonts w:cs="Times New Roman"/>
          <w:szCs w:val="24"/>
        </w:rPr>
        <w:t xml:space="preserve"> undermine agentic efforts at career planning</w:t>
      </w:r>
      <w:r w:rsidR="001750F2">
        <w:rPr>
          <w:rFonts w:cs="Times New Roman"/>
          <w:szCs w:val="24"/>
        </w:rPr>
        <w:t>;</w:t>
      </w:r>
      <w:r w:rsidR="007C245B" w:rsidRPr="007C245B">
        <w:rPr>
          <w:rFonts w:cs="Times New Roman"/>
          <w:szCs w:val="24"/>
        </w:rPr>
        <w:t xml:space="preserve"> so</w:t>
      </w:r>
      <w:r w:rsidR="00F93CC7">
        <w:rPr>
          <w:rFonts w:cs="Times New Roman"/>
          <w:szCs w:val="24"/>
        </w:rPr>
        <w:t>,</w:t>
      </w:r>
      <w:r w:rsidR="007C245B" w:rsidRPr="007C245B">
        <w:rPr>
          <w:rFonts w:cs="Times New Roman"/>
          <w:szCs w:val="24"/>
        </w:rPr>
        <w:t xml:space="preserve"> challenging students to consider who they want to be</w:t>
      </w:r>
      <w:r w:rsidR="001750F2">
        <w:rPr>
          <w:rFonts w:cs="Times New Roman"/>
          <w:szCs w:val="24"/>
        </w:rPr>
        <w:t>,</w:t>
      </w:r>
      <w:r w:rsidR="007C245B" w:rsidRPr="007C245B">
        <w:rPr>
          <w:rFonts w:cs="Times New Roman"/>
          <w:szCs w:val="24"/>
        </w:rPr>
        <w:t xml:space="preserve"> rather than what they want to do</w:t>
      </w:r>
      <w:r w:rsidR="001750F2">
        <w:rPr>
          <w:rFonts w:cs="Times New Roman"/>
          <w:szCs w:val="24"/>
        </w:rPr>
        <w:t>,</w:t>
      </w:r>
      <w:r w:rsidR="007C245B" w:rsidRPr="007C245B">
        <w:rPr>
          <w:rFonts w:cs="Times New Roman"/>
          <w:szCs w:val="24"/>
        </w:rPr>
        <w:t xml:space="preserve"> opens up the possibility for lifelong reflexion and adaptability.</w:t>
      </w:r>
    </w:p>
    <w:p w14:paraId="0A288C98" w14:textId="77777777" w:rsidR="007C245B" w:rsidRPr="00F933E4" w:rsidRDefault="007C245B" w:rsidP="00B23DE1">
      <w:pPr>
        <w:pStyle w:val="Heading1"/>
      </w:pPr>
      <w:r w:rsidRPr="00F933E4">
        <w:t>Conclusion</w:t>
      </w:r>
    </w:p>
    <w:p w14:paraId="50A6483C" w14:textId="77777777" w:rsidR="00882ADC" w:rsidRPr="00882ADC" w:rsidRDefault="008970E4" w:rsidP="00B23DE1">
      <w:pPr>
        <w:jc w:val="both"/>
        <w:rPr>
          <w:rFonts w:cs="Times New Roman"/>
          <w:szCs w:val="24"/>
        </w:rPr>
      </w:pPr>
      <w:r>
        <w:rPr>
          <w:rFonts w:cs="Times New Roman"/>
          <w:szCs w:val="24"/>
        </w:rPr>
        <w:t xml:space="preserve">By focusing on student identity </w:t>
      </w:r>
      <w:r w:rsidR="00C37E0C">
        <w:rPr>
          <w:rFonts w:cs="Times New Roman"/>
          <w:szCs w:val="24"/>
        </w:rPr>
        <w:t>in transition</w:t>
      </w:r>
      <w:r w:rsidR="004A10F7">
        <w:rPr>
          <w:rFonts w:cs="Times New Roman"/>
          <w:szCs w:val="24"/>
        </w:rPr>
        <w:t xml:space="preserve">, </w:t>
      </w:r>
      <w:r>
        <w:rPr>
          <w:rFonts w:cs="Times New Roman"/>
          <w:szCs w:val="24"/>
        </w:rPr>
        <w:t xml:space="preserve">this study reveals </w:t>
      </w:r>
      <w:r w:rsidR="000144D1">
        <w:rPr>
          <w:rFonts w:cs="Times New Roman"/>
          <w:szCs w:val="24"/>
        </w:rPr>
        <w:t>student approaches to</w:t>
      </w:r>
      <w:r>
        <w:rPr>
          <w:rFonts w:cs="Times New Roman"/>
          <w:szCs w:val="24"/>
        </w:rPr>
        <w:t xml:space="preserve"> recognising and engaging </w:t>
      </w:r>
      <w:r w:rsidR="007C245B" w:rsidRPr="007C245B">
        <w:rPr>
          <w:rFonts w:cs="Times New Roman"/>
          <w:szCs w:val="24"/>
        </w:rPr>
        <w:t>with work</w:t>
      </w:r>
      <w:r w:rsidR="000B7DEB">
        <w:rPr>
          <w:rFonts w:cs="Times New Roman"/>
          <w:szCs w:val="24"/>
        </w:rPr>
        <w:t>-</w:t>
      </w:r>
      <w:r w:rsidR="007C245B" w:rsidRPr="007C245B">
        <w:rPr>
          <w:rFonts w:cs="Times New Roman"/>
          <w:szCs w:val="24"/>
        </w:rPr>
        <w:t xml:space="preserve">related </w:t>
      </w:r>
      <w:r w:rsidR="000B7DEB">
        <w:rPr>
          <w:rFonts w:cs="Times New Roman"/>
          <w:szCs w:val="24"/>
        </w:rPr>
        <w:t>activities</w:t>
      </w:r>
      <w:r w:rsidR="007C245B" w:rsidRPr="007C245B">
        <w:rPr>
          <w:rFonts w:cs="Times New Roman"/>
          <w:szCs w:val="24"/>
        </w:rPr>
        <w:t>.</w:t>
      </w:r>
      <w:r w:rsidR="00882ADC">
        <w:rPr>
          <w:rFonts w:cs="Times New Roman"/>
          <w:szCs w:val="24"/>
        </w:rPr>
        <w:t xml:space="preserve"> </w:t>
      </w:r>
      <w:r w:rsidR="000B7DEB">
        <w:rPr>
          <w:rFonts w:cs="Times New Roman"/>
          <w:szCs w:val="24"/>
        </w:rPr>
        <w:t>C</w:t>
      </w:r>
      <w:r w:rsidR="00882ADC" w:rsidRPr="00882ADC">
        <w:rPr>
          <w:rFonts w:cs="Times New Roman"/>
          <w:szCs w:val="24"/>
        </w:rPr>
        <w:t>urriculum development</w:t>
      </w:r>
      <w:r w:rsidR="0028597D">
        <w:rPr>
          <w:rFonts w:cs="Times New Roman"/>
          <w:szCs w:val="24"/>
        </w:rPr>
        <w:t xml:space="preserve"> of work-related learning</w:t>
      </w:r>
      <w:r w:rsidR="00882ADC" w:rsidRPr="00882ADC">
        <w:rPr>
          <w:rFonts w:cs="Times New Roman"/>
          <w:szCs w:val="24"/>
        </w:rPr>
        <w:t xml:space="preserve"> </w:t>
      </w:r>
      <w:r w:rsidR="000B7DEB">
        <w:rPr>
          <w:rFonts w:cs="Times New Roman"/>
          <w:szCs w:val="24"/>
        </w:rPr>
        <w:t>alone</w:t>
      </w:r>
      <w:r w:rsidR="00882ADC" w:rsidRPr="00882ADC">
        <w:rPr>
          <w:rFonts w:cs="Times New Roman"/>
          <w:szCs w:val="24"/>
        </w:rPr>
        <w:t xml:space="preserve"> </w:t>
      </w:r>
      <w:r w:rsidR="00FD3219">
        <w:rPr>
          <w:rFonts w:cs="Times New Roman"/>
          <w:szCs w:val="24"/>
        </w:rPr>
        <w:t>is</w:t>
      </w:r>
      <w:r w:rsidR="00882ADC" w:rsidRPr="00882ADC">
        <w:rPr>
          <w:rFonts w:cs="Times New Roman"/>
          <w:szCs w:val="24"/>
        </w:rPr>
        <w:t xml:space="preserve"> insufficient to ensure </w:t>
      </w:r>
      <w:r w:rsidR="00414341">
        <w:rPr>
          <w:rFonts w:cs="Times New Roman"/>
          <w:szCs w:val="24"/>
        </w:rPr>
        <w:t xml:space="preserve">meaningful </w:t>
      </w:r>
      <w:r w:rsidR="00882ADC" w:rsidRPr="00882ADC">
        <w:rPr>
          <w:rFonts w:cs="Times New Roman"/>
          <w:szCs w:val="24"/>
        </w:rPr>
        <w:t>student engagement with</w:t>
      </w:r>
      <w:r w:rsidR="000B7DEB">
        <w:rPr>
          <w:rFonts w:cs="Times New Roman"/>
          <w:szCs w:val="24"/>
        </w:rPr>
        <w:t xml:space="preserve"> </w:t>
      </w:r>
      <w:r w:rsidR="00882ADC" w:rsidRPr="00882ADC">
        <w:rPr>
          <w:rFonts w:cs="Times New Roman"/>
          <w:szCs w:val="24"/>
        </w:rPr>
        <w:t xml:space="preserve">employability initiatives. </w:t>
      </w:r>
      <w:r w:rsidR="00336A57">
        <w:rPr>
          <w:rFonts w:cs="Times New Roman"/>
          <w:szCs w:val="24"/>
        </w:rPr>
        <w:t>T</w:t>
      </w:r>
      <w:r w:rsidR="00882ADC" w:rsidRPr="00882ADC">
        <w:rPr>
          <w:rFonts w:cs="Times New Roman"/>
          <w:szCs w:val="24"/>
        </w:rPr>
        <w:t xml:space="preserve">he important influences on students’ identity work in the context of employability were found to be: students’ life experiences before and outside university; their routes into their courses; and the ways employability initiatives </w:t>
      </w:r>
      <w:r w:rsidR="000144D1">
        <w:rPr>
          <w:rFonts w:cs="Times New Roman"/>
          <w:szCs w:val="24"/>
        </w:rPr>
        <w:t>we</w:t>
      </w:r>
      <w:r w:rsidR="00882ADC" w:rsidRPr="00882ADC">
        <w:rPr>
          <w:rFonts w:cs="Times New Roman"/>
          <w:szCs w:val="24"/>
        </w:rPr>
        <w:t xml:space="preserve">re supported within their different departments. Students who had work experience, either through the university or organised independently, were more confident in expressing aspects of a professional identity. </w:t>
      </w:r>
      <w:r w:rsidR="00336A57">
        <w:rPr>
          <w:rFonts w:cs="Times New Roman"/>
          <w:szCs w:val="24"/>
        </w:rPr>
        <w:t xml:space="preserve">However, </w:t>
      </w:r>
      <w:r w:rsidR="00C37E0C">
        <w:rPr>
          <w:rFonts w:cs="Times New Roman"/>
          <w:szCs w:val="24"/>
        </w:rPr>
        <w:t>existing</w:t>
      </w:r>
      <w:r w:rsidR="00882ADC" w:rsidRPr="00882ADC">
        <w:rPr>
          <w:rFonts w:cs="Times New Roman"/>
          <w:szCs w:val="24"/>
        </w:rPr>
        <w:t xml:space="preserve"> self-confidence </w:t>
      </w:r>
      <w:r w:rsidR="00C37E0C">
        <w:rPr>
          <w:rFonts w:cs="Times New Roman"/>
          <w:szCs w:val="24"/>
        </w:rPr>
        <w:t xml:space="preserve">may have paved the way to </w:t>
      </w:r>
      <w:r w:rsidR="000144D1">
        <w:rPr>
          <w:rFonts w:cs="Times New Roman"/>
          <w:szCs w:val="24"/>
        </w:rPr>
        <w:t xml:space="preserve">gaining this </w:t>
      </w:r>
      <w:r w:rsidR="00C37E0C">
        <w:rPr>
          <w:rFonts w:cs="Times New Roman"/>
          <w:szCs w:val="24"/>
        </w:rPr>
        <w:t>work experience</w:t>
      </w:r>
      <w:r w:rsidR="00882ADC" w:rsidRPr="00882ADC">
        <w:rPr>
          <w:rFonts w:cs="Times New Roman"/>
          <w:szCs w:val="24"/>
        </w:rPr>
        <w:t xml:space="preserve">, especially in highly competitive fields where the university could not arrange placements for all students. </w:t>
      </w:r>
      <w:r w:rsidR="00C93C97" w:rsidRPr="00C93C97">
        <w:rPr>
          <w:rFonts w:cs="Times New Roman"/>
          <w:szCs w:val="24"/>
        </w:rPr>
        <w:t xml:space="preserve">Strategic development of the curriculum to enhance graduate employability </w:t>
      </w:r>
      <w:r w:rsidR="00462ACD">
        <w:rPr>
          <w:rFonts w:cs="Times New Roman"/>
          <w:szCs w:val="24"/>
        </w:rPr>
        <w:t>should</w:t>
      </w:r>
      <w:r w:rsidR="00C93C97" w:rsidRPr="00C93C97">
        <w:rPr>
          <w:rFonts w:cs="Times New Roman"/>
          <w:szCs w:val="24"/>
        </w:rPr>
        <w:t xml:space="preserve"> acknowledge the intersection of student identity, graduate</w:t>
      </w:r>
      <w:r w:rsidR="0090196E">
        <w:rPr>
          <w:rFonts w:cs="Times New Roman"/>
          <w:szCs w:val="24"/>
        </w:rPr>
        <w:t>/ professional</w:t>
      </w:r>
      <w:r w:rsidR="00C93C97" w:rsidRPr="00C93C97">
        <w:rPr>
          <w:rFonts w:cs="Times New Roman"/>
          <w:szCs w:val="24"/>
        </w:rPr>
        <w:t xml:space="preserve"> identity</w:t>
      </w:r>
      <w:r w:rsidR="006619EF">
        <w:rPr>
          <w:rFonts w:cs="Times New Roman"/>
          <w:szCs w:val="24"/>
        </w:rPr>
        <w:t>,</w:t>
      </w:r>
      <w:r w:rsidR="00C93C97" w:rsidRPr="00C93C97">
        <w:rPr>
          <w:rFonts w:cs="Times New Roman"/>
          <w:szCs w:val="24"/>
        </w:rPr>
        <w:t xml:space="preserve"> </w:t>
      </w:r>
      <w:r w:rsidR="00E60110">
        <w:rPr>
          <w:rFonts w:cs="Times New Roman"/>
          <w:szCs w:val="24"/>
        </w:rPr>
        <w:t>social and cultural factors together with</w:t>
      </w:r>
      <w:r w:rsidR="00E60110" w:rsidRPr="00C93C97">
        <w:rPr>
          <w:rFonts w:cs="Times New Roman"/>
          <w:szCs w:val="24"/>
        </w:rPr>
        <w:t xml:space="preserve"> </w:t>
      </w:r>
      <w:r w:rsidR="00C93C97" w:rsidRPr="00C93C97">
        <w:rPr>
          <w:rFonts w:cs="Times New Roman"/>
          <w:szCs w:val="24"/>
        </w:rPr>
        <w:t xml:space="preserve">the </w:t>
      </w:r>
      <w:r w:rsidR="00462ACD">
        <w:rPr>
          <w:rFonts w:cs="Times New Roman"/>
          <w:szCs w:val="24"/>
        </w:rPr>
        <w:t xml:space="preserve">vagaries of the </w:t>
      </w:r>
      <w:r w:rsidR="00C93C97" w:rsidRPr="00C93C97">
        <w:rPr>
          <w:rFonts w:cs="Times New Roman"/>
          <w:szCs w:val="24"/>
        </w:rPr>
        <w:t xml:space="preserve">labour market. Beyond </w:t>
      </w:r>
      <w:r w:rsidR="00CB0E3E">
        <w:rPr>
          <w:rFonts w:cs="Times New Roman"/>
          <w:szCs w:val="24"/>
        </w:rPr>
        <w:t xml:space="preserve">their </w:t>
      </w:r>
      <w:r w:rsidR="00C37E0C">
        <w:rPr>
          <w:rFonts w:cs="Times New Roman"/>
          <w:szCs w:val="24"/>
        </w:rPr>
        <w:t>teaching</w:t>
      </w:r>
      <w:r w:rsidR="00CB0E3E">
        <w:rPr>
          <w:rFonts w:cs="Times New Roman"/>
          <w:szCs w:val="24"/>
        </w:rPr>
        <w:t xml:space="preserve"> roles</w:t>
      </w:r>
      <w:r w:rsidR="00C93C97" w:rsidRPr="00C93C97">
        <w:rPr>
          <w:rFonts w:cs="Times New Roman"/>
          <w:szCs w:val="24"/>
        </w:rPr>
        <w:t xml:space="preserve">, </w:t>
      </w:r>
      <w:r w:rsidR="000B7DEB">
        <w:rPr>
          <w:rFonts w:cs="Times New Roman"/>
          <w:szCs w:val="24"/>
        </w:rPr>
        <w:t xml:space="preserve">the study revealed academics </w:t>
      </w:r>
      <w:r w:rsidR="00C93C97" w:rsidRPr="00C93C97">
        <w:rPr>
          <w:rFonts w:cs="Times New Roman"/>
          <w:szCs w:val="24"/>
        </w:rPr>
        <w:t>as a resource for student identity adaptation</w:t>
      </w:r>
      <w:r w:rsidR="00EB66C9">
        <w:rPr>
          <w:rFonts w:cs="Times New Roman"/>
          <w:szCs w:val="24"/>
        </w:rPr>
        <w:t>,</w:t>
      </w:r>
      <w:r w:rsidR="00C93C97" w:rsidRPr="00C93C97">
        <w:rPr>
          <w:rFonts w:cs="Times New Roman"/>
          <w:szCs w:val="24"/>
        </w:rPr>
        <w:t xml:space="preserve"> from id</w:t>
      </w:r>
      <w:r w:rsidR="00B23DE1">
        <w:rPr>
          <w:rFonts w:cs="Times New Roman"/>
          <w:szCs w:val="24"/>
        </w:rPr>
        <w:t>entity affirmation to acting as</w:t>
      </w:r>
      <w:r w:rsidR="00C93C97" w:rsidRPr="00C93C97">
        <w:rPr>
          <w:rFonts w:cs="Times New Roman"/>
          <w:szCs w:val="24"/>
        </w:rPr>
        <w:t xml:space="preserve"> role model</w:t>
      </w:r>
      <w:r w:rsidR="00EB66C9">
        <w:rPr>
          <w:rFonts w:cs="Times New Roman"/>
          <w:szCs w:val="24"/>
        </w:rPr>
        <w:t>s</w:t>
      </w:r>
      <w:r w:rsidR="00C93C97" w:rsidRPr="00C93C97">
        <w:rPr>
          <w:rFonts w:cs="Times New Roman"/>
          <w:szCs w:val="24"/>
        </w:rPr>
        <w:t xml:space="preserve">. University employability development initiatives </w:t>
      </w:r>
      <w:r w:rsidR="00462ACD">
        <w:rPr>
          <w:rFonts w:cs="Times New Roman"/>
          <w:szCs w:val="24"/>
        </w:rPr>
        <w:t>can</w:t>
      </w:r>
      <w:r w:rsidR="00C93C97" w:rsidRPr="00C93C97">
        <w:rPr>
          <w:rFonts w:cs="Times New Roman"/>
          <w:szCs w:val="24"/>
        </w:rPr>
        <w:t xml:space="preserve"> make </w:t>
      </w:r>
      <w:r w:rsidR="00462ACD">
        <w:rPr>
          <w:rFonts w:cs="Times New Roman"/>
          <w:szCs w:val="24"/>
        </w:rPr>
        <w:t>identity adaptation</w:t>
      </w:r>
      <w:r w:rsidR="00C93C97" w:rsidRPr="00C93C97">
        <w:rPr>
          <w:rFonts w:cs="Times New Roman"/>
          <w:szCs w:val="24"/>
        </w:rPr>
        <w:t xml:space="preserve"> resource</w:t>
      </w:r>
      <w:r w:rsidR="00462ACD">
        <w:rPr>
          <w:rFonts w:cs="Times New Roman"/>
          <w:szCs w:val="24"/>
        </w:rPr>
        <w:t>s</w:t>
      </w:r>
      <w:r w:rsidR="00EB66C9">
        <w:rPr>
          <w:rFonts w:cs="Times New Roman"/>
          <w:szCs w:val="24"/>
        </w:rPr>
        <w:t xml:space="preserve"> </w:t>
      </w:r>
      <w:r w:rsidR="00C93C97" w:rsidRPr="00C93C97">
        <w:rPr>
          <w:rFonts w:cs="Times New Roman"/>
          <w:szCs w:val="24"/>
        </w:rPr>
        <w:t xml:space="preserve">more </w:t>
      </w:r>
      <w:r w:rsidR="000144D1">
        <w:rPr>
          <w:rFonts w:cs="Times New Roman"/>
          <w:szCs w:val="24"/>
        </w:rPr>
        <w:t xml:space="preserve">widely </w:t>
      </w:r>
      <w:r w:rsidR="00C93C97" w:rsidRPr="00C93C97">
        <w:rPr>
          <w:rFonts w:cs="Times New Roman"/>
          <w:szCs w:val="24"/>
        </w:rPr>
        <w:t>accessible</w:t>
      </w:r>
      <w:r w:rsidR="00EB66C9">
        <w:rPr>
          <w:rFonts w:cs="Times New Roman"/>
          <w:szCs w:val="24"/>
        </w:rPr>
        <w:t>,</w:t>
      </w:r>
      <w:r w:rsidR="00C93C97" w:rsidRPr="00C93C97">
        <w:rPr>
          <w:rFonts w:cs="Times New Roman"/>
          <w:szCs w:val="24"/>
        </w:rPr>
        <w:t xml:space="preserve"> through creating </w:t>
      </w:r>
      <w:r w:rsidR="000144D1">
        <w:rPr>
          <w:rFonts w:cs="Times New Roman"/>
          <w:szCs w:val="24"/>
        </w:rPr>
        <w:t xml:space="preserve">further </w:t>
      </w:r>
      <w:r w:rsidR="00B5437D">
        <w:rPr>
          <w:rFonts w:cs="Times New Roman"/>
          <w:szCs w:val="24"/>
        </w:rPr>
        <w:t>opportunities</w:t>
      </w:r>
      <w:r w:rsidR="00C93C97" w:rsidRPr="00C93C97">
        <w:rPr>
          <w:rFonts w:cs="Times New Roman"/>
          <w:szCs w:val="24"/>
        </w:rPr>
        <w:t xml:space="preserve"> for meaningful interactions</w:t>
      </w:r>
      <w:r w:rsidR="00B5437D">
        <w:rPr>
          <w:rFonts w:cs="Times New Roman"/>
          <w:szCs w:val="24"/>
        </w:rPr>
        <w:t>,</w:t>
      </w:r>
      <w:r w:rsidR="000B7DEB">
        <w:rPr>
          <w:rFonts w:cs="Times New Roman"/>
          <w:szCs w:val="24"/>
        </w:rPr>
        <w:t xml:space="preserve"> </w:t>
      </w:r>
      <w:r w:rsidR="000144D1">
        <w:rPr>
          <w:rFonts w:cs="Times New Roman"/>
          <w:szCs w:val="24"/>
        </w:rPr>
        <w:t xml:space="preserve">with coherence across </w:t>
      </w:r>
      <w:r w:rsidR="00864207">
        <w:rPr>
          <w:rFonts w:cs="Times New Roman"/>
          <w:szCs w:val="24"/>
        </w:rPr>
        <w:t>course</w:t>
      </w:r>
      <w:r w:rsidR="000144D1">
        <w:rPr>
          <w:rFonts w:cs="Times New Roman"/>
          <w:szCs w:val="24"/>
        </w:rPr>
        <w:t xml:space="preserve">s – </w:t>
      </w:r>
      <w:r w:rsidR="002804D9">
        <w:rPr>
          <w:rFonts w:cs="Times New Roman"/>
          <w:szCs w:val="24"/>
        </w:rPr>
        <w:t xml:space="preserve">as long as they are </w:t>
      </w:r>
      <w:r w:rsidR="000144D1">
        <w:rPr>
          <w:rFonts w:cs="Times New Roman"/>
          <w:szCs w:val="24"/>
        </w:rPr>
        <w:t>well understood by both students and academics</w:t>
      </w:r>
      <w:r w:rsidR="00C93C97" w:rsidRPr="00C93C97">
        <w:rPr>
          <w:rFonts w:cs="Times New Roman"/>
          <w:szCs w:val="24"/>
        </w:rPr>
        <w:t xml:space="preserve">. </w:t>
      </w:r>
      <w:r w:rsidR="00882ADC" w:rsidRPr="00882ADC">
        <w:rPr>
          <w:rFonts w:cs="Times New Roman"/>
          <w:szCs w:val="24"/>
        </w:rPr>
        <w:t>Targeted</w:t>
      </w:r>
      <w:r w:rsidR="007563D9">
        <w:rPr>
          <w:rFonts w:cs="Times New Roman"/>
          <w:szCs w:val="24"/>
        </w:rPr>
        <w:t>,</w:t>
      </w:r>
      <w:r w:rsidR="00882ADC" w:rsidRPr="00882ADC">
        <w:rPr>
          <w:rFonts w:cs="Times New Roman"/>
          <w:szCs w:val="24"/>
        </w:rPr>
        <w:t xml:space="preserve"> student-focused employability </w:t>
      </w:r>
      <w:r w:rsidR="00F933E4">
        <w:rPr>
          <w:rFonts w:cs="Times New Roman"/>
          <w:szCs w:val="24"/>
        </w:rPr>
        <w:t>elements</w:t>
      </w:r>
      <w:r w:rsidR="00C93C97">
        <w:rPr>
          <w:rFonts w:cs="Times New Roman"/>
          <w:szCs w:val="24"/>
        </w:rPr>
        <w:t>,</w:t>
      </w:r>
      <w:r w:rsidR="00882ADC" w:rsidRPr="00882ADC">
        <w:rPr>
          <w:rFonts w:cs="Times New Roman"/>
          <w:szCs w:val="24"/>
        </w:rPr>
        <w:t xml:space="preserve"> with clear messages designed to signpost advice and mentoring provided by the </w:t>
      </w:r>
      <w:r w:rsidR="00882ADC" w:rsidRPr="00882ADC">
        <w:rPr>
          <w:rFonts w:cs="Times New Roman"/>
          <w:szCs w:val="24"/>
        </w:rPr>
        <w:lastRenderedPageBreak/>
        <w:t>university</w:t>
      </w:r>
      <w:r w:rsidR="00C93C97">
        <w:rPr>
          <w:rFonts w:cs="Times New Roman"/>
          <w:szCs w:val="24"/>
        </w:rPr>
        <w:t>,</w:t>
      </w:r>
      <w:r w:rsidR="00882ADC" w:rsidRPr="00882ADC">
        <w:rPr>
          <w:rFonts w:cs="Times New Roman"/>
          <w:szCs w:val="24"/>
        </w:rPr>
        <w:t xml:space="preserve"> could </w:t>
      </w:r>
      <w:r w:rsidR="00B5437D">
        <w:rPr>
          <w:rFonts w:cs="Times New Roman"/>
          <w:szCs w:val="24"/>
        </w:rPr>
        <w:t>align initiatives with</w:t>
      </w:r>
      <w:r w:rsidR="008B2EE5">
        <w:rPr>
          <w:rFonts w:cs="Times New Roman"/>
          <w:szCs w:val="24"/>
        </w:rPr>
        <w:t xml:space="preserve"> student aspirations</w:t>
      </w:r>
      <w:r w:rsidR="00B5437D">
        <w:rPr>
          <w:rFonts w:cs="Times New Roman"/>
          <w:szCs w:val="24"/>
        </w:rPr>
        <w:t xml:space="preserve"> and </w:t>
      </w:r>
      <w:r w:rsidR="00FB7743">
        <w:rPr>
          <w:rFonts w:cs="Times New Roman"/>
          <w:szCs w:val="24"/>
        </w:rPr>
        <w:t>partially</w:t>
      </w:r>
      <w:r w:rsidR="00462ACD">
        <w:rPr>
          <w:rFonts w:cs="Times New Roman"/>
          <w:szCs w:val="24"/>
        </w:rPr>
        <w:t xml:space="preserve"> </w:t>
      </w:r>
      <w:r w:rsidR="00B5437D">
        <w:rPr>
          <w:rFonts w:cs="Times New Roman"/>
          <w:szCs w:val="24"/>
        </w:rPr>
        <w:t xml:space="preserve">counter limiting social factors, providing students with resources for </w:t>
      </w:r>
      <w:r w:rsidR="00882ADC" w:rsidRPr="00882ADC">
        <w:rPr>
          <w:rFonts w:cs="Times New Roman"/>
          <w:szCs w:val="24"/>
        </w:rPr>
        <w:t xml:space="preserve">identity adaptation to </w:t>
      </w:r>
      <w:r w:rsidR="00C37E0C">
        <w:rPr>
          <w:rFonts w:cs="Times New Roman"/>
          <w:szCs w:val="24"/>
        </w:rPr>
        <w:t>employable graduates</w:t>
      </w:r>
      <w:r w:rsidR="00882ADC" w:rsidRPr="00882ADC">
        <w:rPr>
          <w:rFonts w:cs="Times New Roman"/>
          <w:szCs w:val="24"/>
        </w:rPr>
        <w:t>.</w:t>
      </w:r>
      <w:r w:rsidR="00C93C97">
        <w:rPr>
          <w:rFonts w:cs="Times New Roman"/>
          <w:szCs w:val="24"/>
        </w:rPr>
        <w:t xml:space="preserve"> </w:t>
      </w:r>
    </w:p>
    <w:p w14:paraId="162DF54C" w14:textId="77777777" w:rsidR="002330F6" w:rsidRDefault="002330F6" w:rsidP="00887FAF"/>
    <w:p w14:paraId="7C2833BB" w14:textId="77777777" w:rsidR="00436833" w:rsidRPr="00436833" w:rsidRDefault="00436833" w:rsidP="007A6887">
      <w:pPr>
        <w:sectPr w:rsidR="00436833" w:rsidRPr="00436833" w:rsidSect="00946E09">
          <w:headerReference w:type="default" r:id="rId8"/>
          <w:headerReference w:type="first" r:id="rId9"/>
          <w:pgSz w:w="11906" w:h="16838"/>
          <w:pgMar w:top="1440" w:right="1440" w:bottom="1440" w:left="1440" w:header="708" w:footer="708" w:gutter="0"/>
          <w:cols w:space="708"/>
          <w:docGrid w:linePitch="360"/>
        </w:sectPr>
      </w:pPr>
    </w:p>
    <w:p w14:paraId="2D5585F2" w14:textId="77777777" w:rsidR="005B02B5" w:rsidRPr="00807DF7" w:rsidRDefault="00A95FBB" w:rsidP="005D7B65">
      <w:pPr>
        <w:pStyle w:val="Heading1"/>
      </w:pPr>
      <w:r w:rsidRPr="00807DF7">
        <w:lastRenderedPageBreak/>
        <w:t>References</w:t>
      </w:r>
    </w:p>
    <w:p w14:paraId="450055E0" w14:textId="77777777" w:rsidR="00882ADC" w:rsidRDefault="00882ADC" w:rsidP="009549C8">
      <w:pPr>
        <w:pStyle w:val="references"/>
        <w:ind w:hanging="720"/>
      </w:pPr>
      <w:r w:rsidRPr="00882ADC">
        <w:t xml:space="preserve">Aldous, D. C., </w:t>
      </w:r>
      <w:r w:rsidR="00247D78" w:rsidRPr="00882ADC">
        <w:t>A. C.</w:t>
      </w:r>
      <w:r w:rsidR="00247D78">
        <w:t xml:space="preserve"> </w:t>
      </w:r>
      <w:r w:rsidR="00DF31E7">
        <w:t xml:space="preserve">Sparkes, </w:t>
      </w:r>
      <w:r w:rsidR="0057433B">
        <w:t>and</w:t>
      </w:r>
      <w:r w:rsidRPr="00882ADC">
        <w:t xml:space="preserve"> </w:t>
      </w:r>
      <w:r w:rsidR="00247D78">
        <w:t xml:space="preserve">D.H. </w:t>
      </w:r>
      <w:r w:rsidRPr="00882ADC">
        <w:t>Brown</w:t>
      </w:r>
      <w:r w:rsidR="00247D78">
        <w:t xml:space="preserve"> </w:t>
      </w:r>
      <w:r w:rsidRPr="00882ADC">
        <w:t xml:space="preserve">2014. </w:t>
      </w:r>
      <w:r w:rsidR="00247D78">
        <w:t>“</w:t>
      </w:r>
      <w:r w:rsidRPr="00882ADC">
        <w:t>Transitional experiences of post-16 sports education: Jack’s story</w:t>
      </w:r>
      <w:r w:rsidR="00247D78">
        <w:t>”</w:t>
      </w:r>
      <w:r w:rsidRPr="00882ADC">
        <w:t xml:space="preserve">. </w:t>
      </w:r>
      <w:r w:rsidRPr="008C22AC">
        <w:rPr>
          <w:i/>
        </w:rPr>
        <w:t>British Journal of Sociology of Education</w:t>
      </w:r>
      <w:r w:rsidRPr="00882ADC">
        <w:t xml:space="preserve"> 35</w:t>
      </w:r>
      <w:r w:rsidR="0057433B">
        <w:t xml:space="preserve"> </w:t>
      </w:r>
      <w:r w:rsidRPr="00882ADC">
        <w:t>(2)</w:t>
      </w:r>
      <w:r w:rsidR="00247D78">
        <w:t>:</w:t>
      </w:r>
      <w:r w:rsidRPr="00882ADC">
        <w:t xml:space="preserve"> 185</w:t>
      </w:r>
      <w:r w:rsidR="009315D8" w:rsidRPr="00F50A0D">
        <w:t>–</w:t>
      </w:r>
      <w:r w:rsidRPr="00882ADC">
        <w:t xml:space="preserve">203. </w:t>
      </w:r>
    </w:p>
    <w:p w14:paraId="38EB5EB9" w14:textId="77777777" w:rsidR="006772BE" w:rsidRPr="009549C8" w:rsidRDefault="009A4B98" w:rsidP="009549C8">
      <w:pPr>
        <w:pStyle w:val="references"/>
        <w:ind w:hanging="720"/>
      </w:pPr>
      <w:r>
        <w:t xml:space="preserve">Alvesson, M. </w:t>
      </w:r>
      <w:r w:rsidR="00326CF8" w:rsidRPr="009549C8">
        <w:t xml:space="preserve">2010. </w:t>
      </w:r>
      <w:r w:rsidR="0048106D">
        <w:t>“</w:t>
      </w:r>
      <w:r w:rsidR="00326CF8" w:rsidRPr="009549C8">
        <w:t>Self</w:t>
      </w:r>
      <w:r w:rsidR="00614D49" w:rsidRPr="009549C8">
        <w:t>-Doubters, Str</w:t>
      </w:r>
      <w:r w:rsidR="00614D49">
        <w:t>ugglers, Storytellers, Surfers and Others: Images of Self-Identities i</w:t>
      </w:r>
      <w:r w:rsidR="00614D49" w:rsidRPr="009549C8">
        <w:t>n Organization Studies.</w:t>
      </w:r>
      <w:r w:rsidR="0048106D">
        <w:t>”</w:t>
      </w:r>
      <w:r w:rsidR="00614D49" w:rsidRPr="009549C8">
        <w:t xml:space="preserve"> </w:t>
      </w:r>
      <w:r w:rsidR="00326CF8" w:rsidRPr="00C47C9D">
        <w:rPr>
          <w:i/>
        </w:rPr>
        <w:t>Human Relations</w:t>
      </w:r>
      <w:r w:rsidR="005D50C9">
        <w:t xml:space="preserve"> 63 (2): </w:t>
      </w:r>
      <w:r w:rsidR="00326CF8" w:rsidRPr="009549C8">
        <w:t>193</w:t>
      </w:r>
      <w:r w:rsidR="009315D8" w:rsidRPr="00F50A0D">
        <w:t>–</w:t>
      </w:r>
      <w:r w:rsidR="00326CF8" w:rsidRPr="009549C8">
        <w:t>217.</w:t>
      </w:r>
    </w:p>
    <w:p w14:paraId="389DABB6" w14:textId="77777777" w:rsidR="002F7762" w:rsidRDefault="002F7762" w:rsidP="009549C8">
      <w:pPr>
        <w:pStyle w:val="references"/>
        <w:ind w:hanging="720"/>
      </w:pPr>
      <w:r w:rsidRPr="002F7762">
        <w:t xml:space="preserve">Archer, L., </w:t>
      </w:r>
      <w:r w:rsidR="00005D7C">
        <w:t xml:space="preserve">M. </w:t>
      </w:r>
      <w:r w:rsidR="00DF31E7">
        <w:t xml:space="preserve">Hutchings, </w:t>
      </w:r>
      <w:r w:rsidR="00A7029B">
        <w:t>and</w:t>
      </w:r>
      <w:r w:rsidRPr="002F7762">
        <w:t xml:space="preserve"> </w:t>
      </w:r>
      <w:r w:rsidR="00005D7C">
        <w:t xml:space="preserve">A. </w:t>
      </w:r>
      <w:r w:rsidRPr="002F7762">
        <w:t>Ross</w:t>
      </w:r>
      <w:r w:rsidR="00005D7C">
        <w:t xml:space="preserve"> </w:t>
      </w:r>
      <w:r w:rsidRPr="002F7762">
        <w:t xml:space="preserve">2005. </w:t>
      </w:r>
      <w:r w:rsidRPr="008C22AC">
        <w:rPr>
          <w:i/>
        </w:rPr>
        <w:t>Higher education and social class: Issues of exclusion and inclusion</w:t>
      </w:r>
      <w:r w:rsidRPr="002F7762">
        <w:t xml:space="preserve">. </w:t>
      </w:r>
      <w:r w:rsidR="00005D7C">
        <w:t xml:space="preserve">London: </w:t>
      </w:r>
      <w:r w:rsidRPr="002F7762">
        <w:t>Routledge.</w:t>
      </w:r>
    </w:p>
    <w:p w14:paraId="13D12A0E" w14:textId="77777777" w:rsidR="00326CF8" w:rsidRPr="009549C8" w:rsidRDefault="00326CF8" w:rsidP="009549C8">
      <w:pPr>
        <w:pStyle w:val="references"/>
        <w:ind w:hanging="720"/>
      </w:pPr>
      <w:r w:rsidRPr="009549C8">
        <w:t xml:space="preserve">Archer, M. S. </w:t>
      </w:r>
      <w:r w:rsidR="009A4B98">
        <w:t>2007</w:t>
      </w:r>
      <w:r w:rsidRPr="009549C8">
        <w:t>.</w:t>
      </w:r>
      <w:r w:rsidR="00614D49" w:rsidRPr="009549C8">
        <w:t xml:space="preserve"> </w:t>
      </w:r>
      <w:r w:rsidRPr="00C47C9D">
        <w:rPr>
          <w:i/>
        </w:rPr>
        <w:t xml:space="preserve">Making </w:t>
      </w:r>
      <w:r w:rsidR="00614D49">
        <w:rPr>
          <w:i/>
        </w:rPr>
        <w:t>our Way t</w:t>
      </w:r>
      <w:r w:rsidR="00614D49" w:rsidRPr="00C47C9D">
        <w:rPr>
          <w:i/>
        </w:rPr>
        <w:t xml:space="preserve">hrough </w:t>
      </w:r>
      <w:r w:rsidR="00614D49">
        <w:rPr>
          <w:i/>
        </w:rPr>
        <w:t>t</w:t>
      </w:r>
      <w:r w:rsidR="00614D49" w:rsidRPr="00C47C9D">
        <w:rPr>
          <w:i/>
        </w:rPr>
        <w:t xml:space="preserve">he World: </w:t>
      </w:r>
      <w:r w:rsidRPr="00C47C9D">
        <w:rPr>
          <w:i/>
        </w:rPr>
        <w:t xml:space="preserve">Human </w:t>
      </w:r>
      <w:r w:rsidR="00614D49">
        <w:rPr>
          <w:i/>
        </w:rPr>
        <w:t>Reflexivity a</w:t>
      </w:r>
      <w:r w:rsidR="00614D49" w:rsidRPr="00C47C9D">
        <w:rPr>
          <w:i/>
        </w:rPr>
        <w:t>nd Social Mobility</w:t>
      </w:r>
      <w:r w:rsidR="00614D49" w:rsidRPr="009549C8">
        <w:t xml:space="preserve">. </w:t>
      </w:r>
      <w:r w:rsidRPr="009549C8">
        <w:t>Cambridge University Press.</w:t>
      </w:r>
    </w:p>
    <w:p w14:paraId="5A4712C2" w14:textId="04F62961" w:rsidR="00FF3AF1" w:rsidRDefault="00FF3AF1" w:rsidP="009549C8">
      <w:pPr>
        <w:pStyle w:val="references"/>
        <w:ind w:hanging="720"/>
      </w:pPr>
      <w:r w:rsidRPr="00FF3AF1">
        <w:t xml:space="preserve">Bathmaker, A.M., </w:t>
      </w:r>
      <w:r w:rsidR="002F75DB">
        <w:t xml:space="preserve">N. </w:t>
      </w:r>
      <w:r w:rsidRPr="00FF3AF1">
        <w:t xml:space="preserve">Ingram, </w:t>
      </w:r>
      <w:r w:rsidR="009315D8">
        <w:t>and</w:t>
      </w:r>
      <w:r w:rsidRPr="00FF3AF1">
        <w:t xml:space="preserve"> </w:t>
      </w:r>
      <w:r w:rsidR="002F75DB">
        <w:t>R.</w:t>
      </w:r>
      <w:r w:rsidRPr="00FF3AF1">
        <w:t xml:space="preserve">Waller. 2013. Higher education, social class and the mobilisation of capitals: Recognising and playing the game. </w:t>
      </w:r>
      <w:r w:rsidRPr="00FF3AF1">
        <w:rPr>
          <w:i/>
        </w:rPr>
        <w:t xml:space="preserve">British Journal of Sociology of Education, </w:t>
      </w:r>
      <w:r w:rsidRPr="00FF3AF1">
        <w:t>34(5-6), 723</w:t>
      </w:r>
      <w:r w:rsidR="009315D8" w:rsidRPr="00F50A0D">
        <w:t>–</w:t>
      </w:r>
      <w:r w:rsidRPr="00FF3AF1">
        <w:t>743.</w:t>
      </w:r>
    </w:p>
    <w:p w14:paraId="73A774BD" w14:textId="77777777" w:rsidR="00326CF8" w:rsidRPr="009549C8" w:rsidRDefault="009A4B98" w:rsidP="009549C8">
      <w:pPr>
        <w:pStyle w:val="references"/>
        <w:ind w:hanging="720"/>
      </w:pPr>
      <w:r>
        <w:t xml:space="preserve">Beach, K.D. </w:t>
      </w:r>
      <w:r w:rsidR="00326CF8" w:rsidRPr="009549C8">
        <w:t>1999.</w:t>
      </w:r>
      <w:r w:rsidR="00614D49" w:rsidRPr="009549C8">
        <w:t xml:space="preserve"> </w:t>
      </w:r>
      <w:r w:rsidR="0048106D">
        <w:t>“</w:t>
      </w:r>
      <w:r w:rsidR="00326CF8" w:rsidRPr="009549C8">
        <w:t xml:space="preserve">Consequential </w:t>
      </w:r>
      <w:r w:rsidR="00614D49" w:rsidRPr="009549C8">
        <w:t xml:space="preserve">Transitions: </w:t>
      </w:r>
      <w:r w:rsidR="00326CF8" w:rsidRPr="009549C8">
        <w:t xml:space="preserve">A </w:t>
      </w:r>
      <w:r>
        <w:t>Sociocultural Expedition beyond Transfer i</w:t>
      </w:r>
      <w:r w:rsidR="0048106D">
        <w:t xml:space="preserve">n Education.” </w:t>
      </w:r>
      <w:r w:rsidR="00326CF8" w:rsidRPr="00C47C9D">
        <w:rPr>
          <w:i/>
        </w:rPr>
        <w:t>Review of Research in Education</w:t>
      </w:r>
      <w:r w:rsidR="005D50C9">
        <w:t xml:space="preserve"> 24: </w:t>
      </w:r>
      <w:r w:rsidR="00326CF8" w:rsidRPr="009549C8">
        <w:t>101</w:t>
      </w:r>
      <w:r w:rsidR="009315D8" w:rsidRPr="00F50A0D">
        <w:t>–</w:t>
      </w:r>
      <w:r w:rsidR="00326CF8" w:rsidRPr="009549C8">
        <w:t>139.</w:t>
      </w:r>
    </w:p>
    <w:p w14:paraId="7A3675CF" w14:textId="729E2263" w:rsidR="00326CF8" w:rsidRPr="009549C8" w:rsidRDefault="00326CF8" w:rsidP="009549C8">
      <w:pPr>
        <w:pStyle w:val="references"/>
        <w:ind w:hanging="720"/>
      </w:pPr>
      <w:r w:rsidRPr="009549C8">
        <w:t>Beech, N</w:t>
      </w:r>
      <w:r w:rsidR="00637D66">
        <w:t>., R. MacIntosh and</w:t>
      </w:r>
      <w:r w:rsidR="009A4B98">
        <w:t xml:space="preserve"> </w:t>
      </w:r>
      <w:r w:rsidR="002F75DB">
        <w:t>P.</w:t>
      </w:r>
      <w:r w:rsidR="009A4B98">
        <w:t xml:space="preserve">McInnes. </w:t>
      </w:r>
      <w:r w:rsidRPr="009549C8">
        <w:t xml:space="preserve">2008. Identity </w:t>
      </w:r>
      <w:r w:rsidR="009A4B98">
        <w:t>Work: Processes a</w:t>
      </w:r>
      <w:r w:rsidR="00614D49" w:rsidRPr="009549C8">
        <w:t xml:space="preserve">nd </w:t>
      </w:r>
      <w:r w:rsidR="009A4B98">
        <w:t>Dynamics o</w:t>
      </w:r>
      <w:r w:rsidR="00614D49" w:rsidRPr="009549C8">
        <w:t>f Identity Formations</w:t>
      </w:r>
      <w:r w:rsidR="0048106D">
        <w:t>.</w:t>
      </w:r>
      <w:r w:rsidRPr="009549C8">
        <w:t xml:space="preserve"> </w:t>
      </w:r>
      <w:r w:rsidRPr="00C47C9D">
        <w:rPr>
          <w:i/>
        </w:rPr>
        <w:t>International Journal of Public Administration</w:t>
      </w:r>
      <w:r w:rsidR="005D50C9">
        <w:t xml:space="preserve"> 31 (9): </w:t>
      </w:r>
      <w:r w:rsidRPr="009549C8">
        <w:t>957</w:t>
      </w:r>
      <w:r w:rsidR="009315D8" w:rsidRPr="00F50A0D">
        <w:t>–</w:t>
      </w:r>
      <w:r w:rsidRPr="009549C8">
        <w:t>970.</w:t>
      </w:r>
    </w:p>
    <w:p w14:paraId="16528FD8" w14:textId="77777777" w:rsidR="00326CF8" w:rsidRPr="009549C8" w:rsidRDefault="00326CF8" w:rsidP="009549C8">
      <w:pPr>
        <w:pStyle w:val="references"/>
        <w:ind w:hanging="720"/>
      </w:pPr>
      <w:r w:rsidRPr="009549C8">
        <w:t xml:space="preserve">Beech, N., </w:t>
      </w:r>
      <w:r w:rsidR="00637D66">
        <w:t xml:space="preserve">and P. </w:t>
      </w:r>
      <w:r w:rsidRPr="009549C8">
        <w:t xml:space="preserve">Johnson. 2005. </w:t>
      </w:r>
      <w:r w:rsidR="0048106D">
        <w:t>“</w:t>
      </w:r>
      <w:r w:rsidRPr="009549C8">
        <w:t xml:space="preserve">Discourses </w:t>
      </w:r>
      <w:r w:rsidR="009A4B98">
        <w:t>of Disrupted Identities in t</w:t>
      </w:r>
      <w:r w:rsidR="00614D49" w:rsidRPr="009549C8">
        <w:t xml:space="preserve">he Practice </w:t>
      </w:r>
      <w:r w:rsidR="009A4B98">
        <w:t>o</w:t>
      </w:r>
      <w:r w:rsidR="00614D49" w:rsidRPr="009549C8">
        <w:t>f Strategic Change:</w:t>
      </w:r>
      <w:r w:rsidR="009A4B98">
        <w:t xml:space="preserve"> The Mayor, the Street-Fighter a</w:t>
      </w:r>
      <w:r w:rsidR="00614D49" w:rsidRPr="009549C8">
        <w:t xml:space="preserve">nd </w:t>
      </w:r>
      <w:r w:rsidR="009A4B98">
        <w:t>t</w:t>
      </w:r>
      <w:r w:rsidR="0048106D">
        <w:t>he Insider-Out.”</w:t>
      </w:r>
      <w:r w:rsidRPr="009549C8">
        <w:t xml:space="preserve"> </w:t>
      </w:r>
      <w:r w:rsidRPr="00C47C9D">
        <w:rPr>
          <w:i/>
        </w:rPr>
        <w:t xml:space="preserve">Journal of </w:t>
      </w:r>
      <w:r w:rsidR="00DF31E7">
        <w:rPr>
          <w:i/>
        </w:rPr>
        <w:t xml:space="preserve">Organizational Change Management </w:t>
      </w:r>
      <w:r w:rsidRPr="009549C8">
        <w:t>18</w:t>
      </w:r>
      <w:r w:rsidR="00C47C9D">
        <w:t xml:space="preserve"> </w:t>
      </w:r>
      <w:r w:rsidR="005D50C9">
        <w:t>(1):</w:t>
      </w:r>
      <w:r w:rsidRPr="009549C8">
        <w:t xml:space="preserve"> 31</w:t>
      </w:r>
      <w:r w:rsidR="009315D8" w:rsidRPr="00F50A0D">
        <w:t>–</w:t>
      </w:r>
      <w:r w:rsidRPr="009549C8">
        <w:t>47.</w:t>
      </w:r>
    </w:p>
    <w:p w14:paraId="78651EDE" w14:textId="4852DAC0" w:rsidR="00C37E0C" w:rsidRDefault="00C37E0C" w:rsidP="00C37E0C">
      <w:pPr>
        <w:pStyle w:val="references"/>
        <w:ind w:hanging="720"/>
      </w:pPr>
      <w:r w:rsidRPr="00AD3DED">
        <w:t xml:space="preserve">Behle, H., </w:t>
      </w:r>
      <w:r w:rsidR="009C60EC">
        <w:t>G.</w:t>
      </w:r>
      <w:r w:rsidR="00F809AB">
        <w:t xml:space="preserve"> </w:t>
      </w:r>
      <w:r w:rsidRPr="00AD3DED">
        <w:t xml:space="preserve">Atfield, </w:t>
      </w:r>
      <w:r w:rsidR="009C60EC">
        <w:t>P.</w:t>
      </w:r>
      <w:r w:rsidRPr="00AD3DED">
        <w:t xml:space="preserve"> Elias, </w:t>
      </w:r>
      <w:r w:rsidR="009C60EC">
        <w:t>L.</w:t>
      </w:r>
      <w:r w:rsidRPr="00AD3DED">
        <w:t xml:space="preserve"> Gambin, </w:t>
      </w:r>
      <w:r w:rsidR="009C60EC">
        <w:t>A.</w:t>
      </w:r>
      <w:r w:rsidRPr="00AD3DED">
        <w:t xml:space="preserve"> Green, </w:t>
      </w:r>
      <w:r w:rsidR="009C60EC">
        <w:t>T.</w:t>
      </w:r>
      <w:r w:rsidRPr="00AD3DED">
        <w:t xml:space="preserve"> Hogarth, </w:t>
      </w:r>
      <w:r w:rsidR="009C60EC">
        <w:t>K.</w:t>
      </w:r>
      <w:r>
        <w:t xml:space="preserve"> Purcell, </w:t>
      </w:r>
      <w:r w:rsidR="009C60EC">
        <w:t>C.</w:t>
      </w:r>
      <w:r>
        <w:t xml:space="preserve"> Tzanakou, </w:t>
      </w:r>
      <w:r w:rsidRPr="00AD3DED">
        <w:t xml:space="preserve"> </w:t>
      </w:r>
      <w:r w:rsidR="009315D8">
        <w:t>and</w:t>
      </w:r>
      <w:r w:rsidRPr="00AD3DED">
        <w:t xml:space="preserve"> </w:t>
      </w:r>
      <w:r w:rsidR="009C60EC">
        <w:t xml:space="preserve">C. </w:t>
      </w:r>
      <w:r w:rsidRPr="00AD3DED">
        <w:t xml:space="preserve">Warhurst. 2015. Reassessing the employment outcomes of higher education. </w:t>
      </w:r>
      <w:r w:rsidRPr="00AD3DED">
        <w:rPr>
          <w:i/>
        </w:rPr>
        <w:t>Researching Higher Education: International Perspectives on Theory, Policy and Practice</w:t>
      </w:r>
      <w:r w:rsidRPr="00AD3DED">
        <w:t>, 114.</w:t>
      </w:r>
    </w:p>
    <w:p w14:paraId="5A5E1CD6" w14:textId="2D9EC022" w:rsidR="00867918" w:rsidRDefault="00867918" w:rsidP="009549C8">
      <w:pPr>
        <w:pStyle w:val="references"/>
        <w:ind w:hanging="720"/>
      </w:pPr>
      <w:r w:rsidRPr="00867918">
        <w:lastRenderedPageBreak/>
        <w:t xml:space="preserve">Bennett, D., </w:t>
      </w:r>
      <w:r w:rsidR="00005D7C">
        <w:t xml:space="preserve">H. </w:t>
      </w:r>
      <w:r w:rsidRPr="00867918">
        <w:t xml:space="preserve">Coates, </w:t>
      </w:r>
      <w:r w:rsidR="00005D7C">
        <w:t>P.</w:t>
      </w:r>
      <w:r w:rsidRPr="00867918">
        <w:t xml:space="preserve"> MacKinnon, P. Poronnik, </w:t>
      </w:r>
      <w:r w:rsidR="00005D7C">
        <w:t>S.</w:t>
      </w:r>
      <w:r w:rsidRPr="00867918">
        <w:t xml:space="preserve"> Richardson, </w:t>
      </w:r>
      <w:r w:rsidR="00005D7C">
        <w:t>L.</w:t>
      </w:r>
      <w:r w:rsidRPr="00867918">
        <w:t xml:space="preserve"> Schmidt, L., </w:t>
      </w:r>
      <w:r w:rsidR="0064622C">
        <w:t>and</w:t>
      </w:r>
      <w:r w:rsidR="00574234">
        <w:t xml:space="preserve"> </w:t>
      </w:r>
      <w:r w:rsidR="00005D7C">
        <w:t xml:space="preserve">M. </w:t>
      </w:r>
      <w:r w:rsidRPr="00867918">
        <w:t>Mahat</w:t>
      </w:r>
      <w:r w:rsidR="00005D7C">
        <w:t xml:space="preserve"> </w:t>
      </w:r>
      <w:r w:rsidRPr="00867918">
        <w:t xml:space="preserve">2015. </w:t>
      </w:r>
      <w:r w:rsidR="00005D7C">
        <w:t>“</w:t>
      </w:r>
      <w:r w:rsidRPr="00867918">
        <w:t>Navigating Uncertainty and Complexity: Higher Education and the Dilemma of Employability</w:t>
      </w:r>
      <w:r w:rsidR="00005D7C">
        <w:t>”</w:t>
      </w:r>
      <w:r w:rsidRPr="00867918">
        <w:t xml:space="preserve">. In </w:t>
      </w:r>
      <w:r w:rsidR="00005D7C" w:rsidRPr="008C22AC">
        <w:rPr>
          <w:i/>
        </w:rPr>
        <w:t>Research and Development in Higher Education: Learning for Life and Work in a Complex World Vol. 38</w:t>
      </w:r>
      <w:r w:rsidR="00690005">
        <w:rPr>
          <w:i/>
        </w:rPr>
        <w:t xml:space="preserve">, edited by </w:t>
      </w:r>
      <w:r w:rsidR="00690005" w:rsidRPr="00690005">
        <w:t xml:space="preserve">Thomas, T., E. Levin, P. Dawson, </w:t>
      </w:r>
      <w:r w:rsidR="00DF31E7">
        <w:t xml:space="preserve">K. Fraser, and R. Hadgraft, </w:t>
      </w:r>
      <w:r w:rsidR="00690005">
        <w:t>1-10. Milperra, Australia: HERDSA</w:t>
      </w:r>
      <w:r w:rsidR="007563D9">
        <w:t>:</w:t>
      </w:r>
      <w:r w:rsidRPr="00867918">
        <w:t xml:space="preserve"> 1</w:t>
      </w:r>
      <w:r w:rsidR="009315D8" w:rsidRPr="00F50A0D">
        <w:t>–</w:t>
      </w:r>
      <w:r w:rsidRPr="00867918">
        <w:t>10.</w:t>
      </w:r>
    </w:p>
    <w:p w14:paraId="6785370D" w14:textId="21DDFC99" w:rsidR="002644AD" w:rsidRDefault="002644AD" w:rsidP="009549C8">
      <w:pPr>
        <w:pStyle w:val="references"/>
        <w:ind w:hanging="720"/>
      </w:pPr>
      <w:r>
        <w:t xml:space="preserve">Berg, T., </w:t>
      </w:r>
      <w:r w:rsidR="002F75DB">
        <w:t xml:space="preserve">T. </w:t>
      </w:r>
      <w:r>
        <w:t xml:space="preserve">Bowen, </w:t>
      </w:r>
      <w:r w:rsidR="002F75DB">
        <w:t>C</w:t>
      </w:r>
      <w:r w:rsidR="00C87EB1">
        <w:t>.</w:t>
      </w:r>
      <w:r w:rsidR="002F75DB">
        <w:t>F</w:t>
      </w:r>
      <w:r>
        <w:t xml:space="preserve">. Smith,  </w:t>
      </w:r>
      <w:r w:rsidR="00BA0125">
        <w:t>and</w:t>
      </w:r>
      <w:r w:rsidR="00574234">
        <w:t xml:space="preserve"> </w:t>
      </w:r>
      <w:r w:rsidR="002F75DB">
        <w:t xml:space="preserve">S. </w:t>
      </w:r>
      <w:r>
        <w:t>Smith</w:t>
      </w:r>
      <w:r w:rsidR="002F75DB">
        <w:t>.</w:t>
      </w:r>
      <w:r w:rsidR="00F809AB">
        <w:t xml:space="preserve"> </w:t>
      </w:r>
      <w:r>
        <w:t xml:space="preserve">2017. </w:t>
      </w:r>
      <w:r w:rsidRPr="002644AD">
        <w:t>Visualizing the Future: Surfacing student perspectives on post-graduation prospects using Rich Pictures</w:t>
      </w:r>
      <w:r>
        <w:t xml:space="preserve">, </w:t>
      </w:r>
      <w:r w:rsidRPr="002644AD">
        <w:rPr>
          <w:i/>
        </w:rPr>
        <w:t>Higher Education Research and Development</w:t>
      </w:r>
      <w:r>
        <w:t>, In press.</w:t>
      </w:r>
    </w:p>
    <w:p w14:paraId="7C9DCA7B" w14:textId="77777777" w:rsidR="002F7762" w:rsidRDefault="002F7762" w:rsidP="009549C8">
      <w:pPr>
        <w:pStyle w:val="references"/>
        <w:ind w:hanging="720"/>
      </w:pPr>
      <w:r w:rsidRPr="002F7762">
        <w:t xml:space="preserve">Boliver, V. 2013. </w:t>
      </w:r>
      <w:r w:rsidR="00C9277D">
        <w:t>“</w:t>
      </w:r>
      <w:r w:rsidRPr="002F7762">
        <w:t>How fair is access to more prestigious UK universities?</w:t>
      </w:r>
      <w:r w:rsidR="00C9277D">
        <w:t>”</w:t>
      </w:r>
      <w:r w:rsidRPr="002F7762">
        <w:t xml:space="preserve"> </w:t>
      </w:r>
      <w:r w:rsidRPr="008C22AC">
        <w:rPr>
          <w:i/>
        </w:rPr>
        <w:t>The British journal of sociology</w:t>
      </w:r>
      <w:r w:rsidRPr="002F7762">
        <w:t xml:space="preserve"> 64</w:t>
      </w:r>
      <w:r w:rsidR="005F7D92">
        <w:t xml:space="preserve"> </w:t>
      </w:r>
      <w:r w:rsidRPr="002F7762">
        <w:t>(2)</w:t>
      </w:r>
      <w:r w:rsidR="005F7D92">
        <w:t>:</w:t>
      </w:r>
      <w:r w:rsidRPr="002F7762">
        <w:t xml:space="preserve"> 344</w:t>
      </w:r>
      <w:r w:rsidR="009315D8" w:rsidRPr="00F50A0D">
        <w:t>–</w:t>
      </w:r>
      <w:r w:rsidRPr="002F7762">
        <w:t>364.</w:t>
      </w:r>
    </w:p>
    <w:p w14:paraId="4C6DCBF1" w14:textId="6FCC38A2" w:rsidR="000D69B7" w:rsidRDefault="000D69B7" w:rsidP="009549C8">
      <w:pPr>
        <w:pStyle w:val="references"/>
        <w:ind w:hanging="720"/>
      </w:pPr>
      <w:r w:rsidRPr="000D69B7">
        <w:t>Brenner, P. S</w:t>
      </w:r>
      <w:r w:rsidR="00864207">
        <w:t xml:space="preserve">., </w:t>
      </w:r>
      <w:r w:rsidR="002F75DB">
        <w:t xml:space="preserve">R.T. </w:t>
      </w:r>
      <w:r w:rsidR="00864207">
        <w:t xml:space="preserve">Serpe, , </w:t>
      </w:r>
      <w:r w:rsidR="00BA0125">
        <w:t>and</w:t>
      </w:r>
      <w:r w:rsidR="00864207">
        <w:t xml:space="preserve"> </w:t>
      </w:r>
      <w:r w:rsidR="002F75DB">
        <w:t>S.</w:t>
      </w:r>
      <w:r w:rsidR="00F809AB">
        <w:t xml:space="preserve"> </w:t>
      </w:r>
      <w:r w:rsidR="00864207">
        <w:t>Stryker. 2014</w:t>
      </w:r>
      <w:r w:rsidRPr="000D69B7">
        <w:t xml:space="preserve">. The causal ordering of prominence and salience in identity theory: An empirical examination. </w:t>
      </w:r>
      <w:r w:rsidRPr="005A456A">
        <w:rPr>
          <w:i/>
        </w:rPr>
        <w:t>Social psychology quarterly</w:t>
      </w:r>
      <w:r w:rsidRPr="000D69B7">
        <w:t>, 77(3), 231-252.</w:t>
      </w:r>
    </w:p>
    <w:p w14:paraId="2B35AEC0" w14:textId="5338A040" w:rsidR="00FF3AF1" w:rsidRDefault="00FF3AF1" w:rsidP="009549C8">
      <w:pPr>
        <w:pStyle w:val="references"/>
        <w:ind w:hanging="720"/>
      </w:pPr>
      <w:r w:rsidRPr="00FF3AF1">
        <w:t xml:space="preserve">Childs, S., </w:t>
      </w:r>
      <w:r w:rsidR="002F75DB">
        <w:t xml:space="preserve">R. </w:t>
      </w:r>
      <w:r w:rsidRPr="00FF3AF1">
        <w:t xml:space="preserve">Finnie, </w:t>
      </w:r>
      <w:r w:rsidR="009315D8">
        <w:t>and</w:t>
      </w:r>
      <w:r w:rsidRPr="00FF3AF1">
        <w:t xml:space="preserve"> </w:t>
      </w:r>
      <w:r w:rsidR="002F75DB">
        <w:t xml:space="preserve">R.E. </w:t>
      </w:r>
      <w:r w:rsidRPr="00FF3AF1">
        <w:t xml:space="preserve">Mueller. 2016. Assessing the importance of cultural capital on post-secondary education attendance in Canada. </w:t>
      </w:r>
      <w:r w:rsidRPr="00FF3AF1">
        <w:rPr>
          <w:i/>
        </w:rPr>
        <w:t>Journal of Further and Higher Education</w:t>
      </w:r>
      <w:r w:rsidRPr="00FF3AF1">
        <w:t>, 1</w:t>
      </w:r>
      <w:r w:rsidR="009315D8" w:rsidRPr="00F50A0D">
        <w:t>–</w:t>
      </w:r>
      <w:r w:rsidRPr="00FF3AF1">
        <w:t>35.</w:t>
      </w:r>
    </w:p>
    <w:p w14:paraId="457DB931" w14:textId="2A4CA0AB" w:rsidR="002F7762" w:rsidRDefault="002F7762" w:rsidP="009549C8">
      <w:pPr>
        <w:pStyle w:val="references"/>
        <w:ind w:hanging="720"/>
      </w:pPr>
      <w:r w:rsidRPr="002F7762">
        <w:t xml:space="preserve">Connor, H., </w:t>
      </w:r>
      <w:r w:rsidR="005F7D92">
        <w:t xml:space="preserve">C. </w:t>
      </w:r>
      <w:r w:rsidRPr="002F7762">
        <w:t xml:space="preserve">Tyers, </w:t>
      </w:r>
      <w:r w:rsidR="005F7D92">
        <w:t>T.</w:t>
      </w:r>
      <w:r w:rsidR="00DF31E7">
        <w:t xml:space="preserve"> Modood, </w:t>
      </w:r>
      <w:r w:rsidR="00A7029B">
        <w:t>and</w:t>
      </w:r>
      <w:r w:rsidRPr="002F7762">
        <w:t xml:space="preserve"> </w:t>
      </w:r>
      <w:r w:rsidR="005F7D92">
        <w:t xml:space="preserve">J. </w:t>
      </w:r>
      <w:r w:rsidRPr="002F7762">
        <w:t>Hillage</w:t>
      </w:r>
      <w:r w:rsidR="00BA0125">
        <w:t>.</w:t>
      </w:r>
      <w:r w:rsidR="005F7D92">
        <w:t xml:space="preserve"> </w:t>
      </w:r>
      <w:r w:rsidRPr="002F7762">
        <w:t xml:space="preserve">2004. </w:t>
      </w:r>
      <w:r w:rsidR="00C9277D">
        <w:t>“</w:t>
      </w:r>
      <w:r w:rsidRPr="002F7762">
        <w:t>Why the difference? A closer look at higher education minority ethnic students and graduates</w:t>
      </w:r>
      <w:r w:rsidR="00C9277D">
        <w:t>”</w:t>
      </w:r>
      <w:r w:rsidRPr="002F7762">
        <w:t xml:space="preserve"> </w:t>
      </w:r>
      <w:r w:rsidR="00C9277D" w:rsidRPr="00C9277D">
        <w:t xml:space="preserve">Department for Education and Skills </w:t>
      </w:r>
      <w:r w:rsidR="007563D9">
        <w:t>Research Report</w:t>
      </w:r>
      <w:r w:rsidR="00C9277D">
        <w:t xml:space="preserve">. Nottingham: DfES. </w:t>
      </w:r>
    </w:p>
    <w:p w14:paraId="0336648C" w14:textId="77777777" w:rsidR="005A1242" w:rsidRPr="007A0EF8" w:rsidRDefault="005A1242" w:rsidP="009549C8">
      <w:pPr>
        <w:pStyle w:val="references"/>
        <w:ind w:hanging="720"/>
      </w:pPr>
      <w:r>
        <w:t>Creswell, J.W</w:t>
      </w:r>
      <w:r w:rsidR="00C9277D">
        <w:t>.</w:t>
      </w:r>
      <w:r>
        <w:t xml:space="preserve"> 20</w:t>
      </w:r>
      <w:r w:rsidR="007A0EF8">
        <w:t>13</w:t>
      </w:r>
      <w:r w:rsidR="00C9277D">
        <w:t>.</w:t>
      </w:r>
      <w:r w:rsidR="007A0EF8">
        <w:t xml:space="preserve"> </w:t>
      </w:r>
      <w:r w:rsidR="007A0EF8">
        <w:rPr>
          <w:i/>
        </w:rPr>
        <w:t xml:space="preserve">Research Design: Qualitative, Quantitative and Mixed Method Approaches. </w:t>
      </w:r>
      <w:r w:rsidR="007A0EF8">
        <w:t>4</w:t>
      </w:r>
      <w:r w:rsidR="007A0EF8" w:rsidRPr="001D3656">
        <w:rPr>
          <w:vertAlign w:val="superscript"/>
        </w:rPr>
        <w:t>th</w:t>
      </w:r>
      <w:r w:rsidR="007A0EF8">
        <w:t xml:space="preserve"> ed</w:t>
      </w:r>
      <w:r w:rsidR="00C9277D">
        <w:t>.</w:t>
      </w:r>
      <w:r w:rsidR="00DF31E7">
        <w:t xml:space="preserve"> </w:t>
      </w:r>
      <w:r w:rsidR="007A0EF8">
        <w:t>Thousand Oaks: Sage.</w:t>
      </w:r>
    </w:p>
    <w:p w14:paraId="58BBF6DF" w14:textId="3E689E80" w:rsidR="00326CF8" w:rsidRPr="009549C8" w:rsidRDefault="00326CF8" w:rsidP="009549C8">
      <w:pPr>
        <w:pStyle w:val="references"/>
        <w:ind w:hanging="720"/>
      </w:pPr>
      <w:r w:rsidRPr="009549C8">
        <w:t xml:space="preserve">Dacre Pool, </w:t>
      </w:r>
      <w:r w:rsidR="005D50C9">
        <w:t>L.</w:t>
      </w:r>
      <w:r w:rsidR="00637D66" w:rsidDel="00A7029B">
        <w:t>P.</w:t>
      </w:r>
      <w:r w:rsidR="005D50C9" w:rsidDel="00A7029B">
        <w:t xml:space="preserve"> </w:t>
      </w:r>
      <w:r w:rsidR="005D50C9">
        <w:t>Qualter</w:t>
      </w:r>
      <w:r w:rsidR="00BA0125">
        <w:t>,</w:t>
      </w:r>
      <w:r w:rsidR="00637D66">
        <w:t xml:space="preserve"> and P.J.</w:t>
      </w:r>
      <w:r w:rsidR="005D50C9">
        <w:t xml:space="preserve"> Sewell. </w:t>
      </w:r>
      <w:r w:rsidRPr="009549C8">
        <w:t xml:space="preserve">2014. </w:t>
      </w:r>
      <w:r w:rsidR="0048106D">
        <w:t>“</w:t>
      </w:r>
      <w:r w:rsidRPr="009549C8">
        <w:t>Exploring the Factor Structure of the CareerEDGE Employability Development Profile</w:t>
      </w:r>
      <w:r w:rsidR="0048106D">
        <w:t>”</w:t>
      </w:r>
      <w:r w:rsidRPr="009549C8">
        <w:t xml:space="preserve">.  </w:t>
      </w:r>
      <w:r w:rsidRPr="0048106D">
        <w:rPr>
          <w:i/>
        </w:rPr>
        <w:t>Ed</w:t>
      </w:r>
      <w:r w:rsidR="005D50C9" w:rsidRPr="0048106D">
        <w:rPr>
          <w:i/>
        </w:rPr>
        <w:t>ucation + Training</w:t>
      </w:r>
      <w:r w:rsidR="005D50C9">
        <w:t xml:space="preserve"> 56 (4): </w:t>
      </w:r>
      <w:r w:rsidRPr="009549C8">
        <w:t>303</w:t>
      </w:r>
      <w:r w:rsidR="007378AF" w:rsidRPr="00F50A0D">
        <w:t>–</w:t>
      </w:r>
      <w:r w:rsidRPr="009549C8">
        <w:t>313.</w:t>
      </w:r>
    </w:p>
    <w:p w14:paraId="3DFAA2B4" w14:textId="77777777" w:rsidR="00326CF8" w:rsidRPr="009549C8" w:rsidRDefault="005D50C9" w:rsidP="009549C8">
      <w:pPr>
        <w:pStyle w:val="references"/>
        <w:ind w:hanging="720"/>
      </w:pPr>
      <w:r>
        <w:lastRenderedPageBreak/>
        <w:t xml:space="preserve">Dacre Pool, L. </w:t>
      </w:r>
      <w:r w:rsidR="00637D66">
        <w:t xml:space="preserve">and P. </w:t>
      </w:r>
      <w:r>
        <w:t>Sewell</w:t>
      </w:r>
      <w:r w:rsidR="00637D66">
        <w:t xml:space="preserve">. </w:t>
      </w:r>
      <w:r>
        <w:t xml:space="preserve">2007. </w:t>
      </w:r>
      <w:r w:rsidR="0048106D">
        <w:t>“</w:t>
      </w:r>
      <w:r w:rsidR="00326CF8" w:rsidRPr="009549C8">
        <w:t xml:space="preserve">The </w:t>
      </w:r>
      <w:r>
        <w:t>Key to Employability: Developing a Practical Model o</w:t>
      </w:r>
      <w:r w:rsidRPr="009549C8">
        <w:t>f Graduate Employability</w:t>
      </w:r>
      <w:r w:rsidR="0048106D">
        <w:t>”</w:t>
      </w:r>
      <w:r w:rsidRPr="009549C8">
        <w:t>.</w:t>
      </w:r>
      <w:r w:rsidR="00326CF8" w:rsidRPr="009549C8">
        <w:t xml:space="preserve"> </w:t>
      </w:r>
      <w:r w:rsidR="00326CF8" w:rsidRPr="00C47C9D">
        <w:rPr>
          <w:i/>
        </w:rPr>
        <w:t>Education</w:t>
      </w:r>
      <w:r w:rsidR="00C47C9D" w:rsidRPr="00C47C9D">
        <w:rPr>
          <w:i/>
        </w:rPr>
        <w:t xml:space="preserve"> </w:t>
      </w:r>
      <w:r w:rsidR="00326CF8" w:rsidRPr="00C47C9D">
        <w:rPr>
          <w:i/>
        </w:rPr>
        <w:t>+ Training</w:t>
      </w:r>
      <w:r w:rsidR="00326CF8" w:rsidRPr="009549C8">
        <w:t xml:space="preserve"> 49 (4)</w:t>
      </w:r>
      <w:r>
        <w:t>:</w:t>
      </w:r>
      <w:r w:rsidR="00326CF8" w:rsidRPr="009549C8">
        <w:t xml:space="preserve"> 277</w:t>
      </w:r>
      <w:r w:rsidR="007378AF" w:rsidRPr="00F50A0D">
        <w:t>–</w:t>
      </w:r>
      <w:r w:rsidR="00326CF8" w:rsidRPr="009549C8">
        <w:t>289.</w:t>
      </w:r>
    </w:p>
    <w:p w14:paraId="5340AE21" w14:textId="4E9579E1" w:rsidR="00A7029B" w:rsidRDefault="005D50C9" w:rsidP="007A6887">
      <w:pPr>
        <w:pStyle w:val="references"/>
        <w:ind w:hanging="720"/>
      </w:pPr>
      <w:r w:rsidRPr="00A57622">
        <w:t>Daicoff,</w:t>
      </w:r>
      <w:r>
        <w:t xml:space="preserve"> S.S. </w:t>
      </w:r>
      <w:r w:rsidR="00326CF8" w:rsidRPr="009549C8">
        <w:t xml:space="preserve">2014. </w:t>
      </w:r>
      <w:r w:rsidR="00B269A6">
        <w:t>“</w:t>
      </w:r>
      <w:r w:rsidR="00326CF8" w:rsidRPr="009549C8">
        <w:t>Lawyer, Form Thyself: Professional Identity Formation Strategies in Legal Education, Professional Responsibility, and Experiential Courses</w:t>
      </w:r>
      <w:r w:rsidR="00B269A6">
        <w:t>”</w:t>
      </w:r>
      <w:r w:rsidR="00326CF8" w:rsidRPr="009549C8">
        <w:t xml:space="preserve">. </w:t>
      </w:r>
      <w:r w:rsidR="00B269A6">
        <w:t xml:space="preserve"> Accessed 5</w:t>
      </w:r>
      <w:r w:rsidR="00B269A6" w:rsidRPr="008C22AC">
        <w:rPr>
          <w:vertAlign w:val="superscript"/>
        </w:rPr>
        <w:t>th</w:t>
      </w:r>
      <w:r w:rsidR="00B269A6">
        <w:t xml:space="preserve"> August 2016. </w:t>
      </w:r>
      <w:hyperlink r:id="rId10" w:history="1">
        <w:r w:rsidR="00414341" w:rsidRPr="00D50261">
          <w:rPr>
            <w:rStyle w:val="Hyperlink"/>
          </w:rPr>
          <w:t>http://papers.ssrn.com/sol3/papers.cfm?abstract_id=2530736</w:t>
        </w:r>
      </w:hyperlink>
    </w:p>
    <w:p w14:paraId="7365008D" w14:textId="1EE99A87" w:rsidR="00414341" w:rsidRDefault="00414341" w:rsidP="007A6887">
      <w:pPr>
        <w:pStyle w:val="references"/>
        <w:ind w:hanging="720"/>
      </w:pPr>
      <w:r>
        <w:t xml:space="preserve">Daniels, J. </w:t>
      </w:r>
      <w:r w:rsidR="00BA0125">
        <w:t>and J.</w:t>
      </w:r>
      <w:r>
        <w:t xml:space="preserve"> Brooker. 2014</w:t>
      </w:r>
      <w:r w:rsidRPr="00414341">
        <w:t xml:space="preserve">. Student identity development in higher education: Implications for graduate attributes and work-readiness. </w:t>
      </w:r>
      <w:r w:rsidRPr="005A456A">
        <w:rPr>
          <w:i/>
        </w:rPr>
        <w:t>Educational Research,</w:t>
      </w:r>
      <w:r w:rsidRPr="00414341">
        <w:t xml:space="preserve"> 56(1), 65-76.</w:t>
      </w:r>
    </w:p>
    <w:p w14:paraId="04D315E4" w14:textId="77777777" w:rsidR="00BB66B5" w:rsidRDefault="00BB66B5" w:rsidP="007A6887">
      <w:pPr>
        <w:pStyle w:val="references"/>
        <w:ind w:hanging="720"/>
      </w:pPr>
      <w:r w:rsidRPr="005A043D">
        <w:t>Dannels, D.P.</w:t>
      </w:r>
      <w:r w:rsidR="005D50C9">
        <w:t xml:space="preserve"> </w:t>
      </w:r>
      <w:r w:rsidRPr="005A043D">
        <w:t xml:space="preserve">2000. </w:t>
      </w:r>
      <w:r w:rsidR="00DF31E7">
        <w:t>“</w:t>
      </w:r>
      <w:r w:rsidRPr="005A043D">
        <w:t xml:space="preserve">Learning </w:t>
      </w:r>
      <w:r w:rsidR="005D50C9">
        <w:t xml:space="preserve">to be Professional, </w:t>
      </w:r>
      <w:r w:rsidR="005D50C9" w:rsidRPr="005A043D">
        <w:t xml:space="preserve">Technical </w:t>
      </w:r>
      <w:r w:rsidR="005D50C9">
        <w:t>C</w:t>
      </w:r>
      <w:r w:rsidR="005D50C9" w:rsidRPr="005A043D">
        <w:t xml:space="preserve">lassroom Discourse, Practice, </w:t>
      </w:r>
      <w:r w:rsidR="005D50C9">
        <w:t>a</w:t>
      </w:r>
      <w:r w:rsidR="005D50C9" w:rsidRPr="005A043D">
        <w:t>nd Professional Identity Construction</w:t>
      </w:r>
      <w:r w:rsidR="00DF31E7">
        <w:t>”</w:t>
      </w:r>
      <w:r w:rsidRPr="005A043D">
        <w:t xml:space="preserve">. </w:t>
      </w:r>
      <w:r w:rsidRPr="007A6887">
        <w:rPr>
          <w:i/>
        </w:rPr>
        <w:t>Journal of Business and Technical Communication</w:t>
      </w:r>
      <w:r w:rsidRPr="005A043D">
        <w:t xml:space="preserve"> 14</w:t>
      </w:r>
      <w:r w:rsidR="00B12F78">
        <w:t xml:space="preserve"> </w:t>
      </w:r>
      <w:r w:rsidRPr="005A043D">
        <w:t>(1)</w:t>
      </w:r>
      <w:r w:rsidR="005D50C9">
        <w:t xml:space="preserve">: </w:t>
      </w:r>
      <w:r w:rsidRPr="005A043D">
        <w:t>5</w:t>
      </w:r>
      <w:r w:rsidR="007378AF" w:rsidRPr="00F50A0D">
        <w:t>–</w:t>
      </w:r>
      <w:r w:rsidRPr="005A043D">
        <w:t>37.</w:t>
      </w:r>
    </w:p>
    <w:p w14:paraId="30FB7843" w14:textId="2B2D30B4" w:rsidR="00326CF8" w:rsidRPr="009549C8" w:rsidRDefault="00326CF8" w:rsidP="009549C8">
      <w:pPr>
        <w:pStyle w:val="references"/>
        <w:ind w:hanging="720"/>
      </w:pPr>
      <w:r w:rsidRPr="009549C8">
        <w:t xml:space="preserve">Dobrow, S.R., </w:t>
      </w:r>
      <w:r w:rsidR="00BA0125">
        <w:t xml:space="preserve">D.E. </w:t>
      </w:r>
      <w:r w:rsidRPr="009549C8">
        <w:t>Chandler</w:t>
      </w:r>
      <w:r w:rsidR="00864207">
        <w:t xml:space="preserve">, </w:t>
      </w:r>
      <w:r w:rsidR="00BA0125">
        <w:t>M.W.</w:t>
      </w:r>
      <w:r w:rsidR="005D50C9">
        <w:t xml:space="preserve"> Murphy</w:t>
      </w:r>
      <w:r w:rsidR="00DF31E7">
        <w:t>,</w:t>
      </w:r>
      <w:r w:rsidR="005D50C9">
        <w:t xml:space="preserve"> and</w:t>
      </w:r>
      <w:r w:rsidR="00DF31E7">
        <w:t xml:space="preserve"> </w:t>
      </w:r>
      <w:r w:rsidR="00BA0125">
        <w:t xml:space="preserve">D.E. </w:t>
      </w:r>
      <w:r w:rsidR="005D50C9">
        <w:t>Kram</w:t>
      </w:r>
      <w:r w:rsidR="00864207">
        <w:t xml:space="preserve">, </w:t>
      </w:r>
      <w:r w:rsidR="005D50C9">
        <w:t xml:space="preserve"> </w:t>
      </w:r>
      <w:r w:rsidRPr="009549C8">
        <w:t xml:space="preserve">2012. </w:t>
      </w:r>
      <w:r w:rsidR="00DF31E7">
        <w:t>“</w:t>
      </w:r>
      <w:r w:rsidRPr="009549C8">
        <w:t xml:space="preserve">A </w:t>
      </w:r>
      <w:r w:rsidR="005D50C9">
        <w:t>Review o</w:t>
      </w:r>
      <w:r w:rsidR="005D50C9" w:rsidRPr="009549C8">
        <w:t>f Develo</w:t>
      </w:r>
      <w:r w:rsidR="005D50C9">
        <w:t>pmental Networks Incorporating a</w:t>
      </w:r>
      <w:r w:rsidR="005D50C9" w:rsidRPr="009549C8">
        <w:t xml:space="preserve"> Mutuality Perspective</w:t>
      </w:r>
      <w:r w:rsidR="00DF31E7">
        <w:t>”</w:t>
      </w:r>
      <w:r w:rsidRPr="009549C8">
        <w:t xml:space="preserve">. </w:t>
      </w:r>
      <w:r w:rsidRPr="008D587D">
        <w:rPr>
          <w:i/>
        </w:rPr>
        <w:t>Journal of Management</w:t>
      </w:r>
      <w:r w:rsidR="00637D66">
        <w:t xml:space="preserve"> 38 (1):</w:t>
      </w:r>
      <w:r w:rsidRPr="009549C8">
        <w:t xml:space="preserve"> 210</w:t>
      </w:r>
      <w:r w:rsidR="007378AF" w:rsidRPr="00F50A0D">
        <w:t>–</w:t>
      </w:r>
      <w:r w:rsidRPr="009549C8">
        <w:t>242.</w:t>
      </w:r>
    </w:p>
    <w:p w14:paraId="3A41712A" w14:textId="7FB24660" w:rsidR="00326CF8" w:rsidRPr="009549C8" w:rsidRDefault="00637D66" w:rsidP="00DF31E7">
      <w:pPr>
        <w:pStyle w:val="references"/>
        <w:ind w:hanging="720"/>
      </w:pPr>
      <w:r>
        <w:t xml:space="preserve">Dobrow, S.R. and </w:t>
      </w:r>
      <w:r w:rsidR="00DF31E7">
        <w:t xml:space="preserve">M.C. </w:t>
      </w:r>
      <w:r w:rsidR="00326CF8" w:rsidRPr="009549C8">
        <w:t>Higgins</w:t>
      </w:r>
      <w:r w:rsidR="00EE4182">
        <w:t>.</w:t>
      </w:r>
      <w:r w:rsidR="00DF31E7" w:rsidRPr="009549C8">
        <w:t xml:space="preserve"> </w:t>
      </w:r>
      <w:r w:rsidR="00326CF8" w:rsidRPr="009549C8">
        <w:t xml:space="preserve">2005. </w:t>
      </w:r>
      <w:r w:rsidR="00DF31E7">
        <w:t>“</w:t>
      </w:r>
      <w:r w:rsidR="00326CF8" w:rsidRPr="009549C8">
        <w:t xml:space="preserve">Developmental </w:t>
      </w:r>
      <w:r w:rsidR="0048106D">
        <w:t>Networks a</w:t>
      </w:r>
      <w:r w:rsidR="0048106D" w:rsidRPr="009549C8">
        <w:t xml:space="preserve">nd Professional Identity: </w:t>
      </w:r>
      <w:r w:rsidR="00326CF8" w:rsidRPr="009549C8">
        <w:t xml:space="preserve">A </w:t>
      </w:r>
      <w:r w:rsidR="0048106D" w:rsidRPr="009549C8">
        <w:t>Longitudinal Study</w:t>
      </w:r>
      <w:r w:rsidR="00DF31E7">
        <w:t>”</w:t>
      </w:r>
      <w:r w:rsidR="00326CF8" w:rsidRPr="009549C8">
        <w:t xml:space="preserve">. </w:t>
      </w:r>
      <w:r w:rsidR="00326CF8" w:rsidRPr="008D587D">
        <w:rPr>
          <w:i/>
        </w:rPr>
        <w:t>Career Development International</w:t>
      </w:r>
      <w:r w:rsidR="0048106D">
        <w:t xml:space="preserve"> 10 (6/7): </w:t>
      </w:r>
      <w:r w:rsidR="00326CF8" w:rsidRPr="009549C8">
        <w:t>567</w:t>
      </w:r>
      <w:r w:rsidR="007378AF" w:rsidRPr="00F50A0D">
        <w:t>–</w:t>
      </w:r>
      <w:r w:rsidR="00326CF8" w:rsidRPr="009549C8">
        <w:t>583.</w:t>
      </w:r>
    </w:p>
    <w:p w14:paraId="7B9F3564" w14:textId="0AFBEC4F" w:rsidR="00326CF8" w:rsidRPr="009549C8" w:rsidRDefault="0048106D" w:rsidP="009549C8">
      <w:pPr>
        <w:pStyle w:val="references"/>
        <w:ind w:hanging="720"/>
      </w:pPr>
      <w:r>
        <w:t xml:space="preserve">Elias, P. and </w:t>
      </w:r>
      <w:r w:rsidR="00DF31E7">
        <w:t xml:space="preserve">K. </w:t>
      </w:r>
      <w:r>
        <w:t>Purcell</w:t>
      </w:r>
      <w:r w:rsidR="00EE4182">
        <w:t>.</w:t>
      </w:r>
      <w:r w:rsidR="00DF31E7">
        <w:t xml:space="preserve"> </w:t>
      </w:r>
      <w:r w:rsidR="00326CF8" w:rsidRPr="009549C8">
        <w:t xml:space="preserve">2004. </w:t>
      </w:r>
      <w:r w:rsidR="00DF31E7">
        <w:t>“</w:t>
      </w:r>
      <w:r w:rsidR="00326CF8" w:rsidRPr="009549C8">
        <w:t>Is Mass Higher Education Working? Evidence from the Labour Market Experiences of Recent Graduates</w:t>
      </w:r>
      <w:r w:rsidR="00DF31E7">
        <w:t>”</w:t>
      </w:r>
      <w:r w:rsidR="00326CF8" w:rsidRPr="009549C8">
        <w:t xml:space="preserve">. </w:t>
      </w:r>
      <w:r w:rsidR="00326CF8" w:rsidRPr="008D587D">
        <w:rPr>
          <w:i/>
        </w:rPr>
        <w:t>National Institute Economic Review</w:t>
      </w:r>
      <w:r w:rsidR="00DF31E7">
        <w:t xml:space="preserve"> </w:t>
      </w:r>
      <w:r>
        <w:t xml:space="preserve">190: </w:t>
      </w:r>
      <w:r w:rsidR="00326CF8" w:rsidRPr="009549C8">
        <w:t>60</w:t>
      </w:r>
      <w:r w:rsidR="007378AF" w:rsidRPr="00F50A0D">
        <w:t>–</w:t>
      </w:r>
      <w:r w:rsidR="00326CF8" w:rsidRPr="009549C8">
        <w:t xml:space="preserve">74. </w:t>
      </w:r>
    </w:p>
    <w:p w14:paraId="25D03511" w14:textId="010BCB93" w:rsidR="00326CF8" w:rsidRPr="009549C8" w:rsidRDefault="00326CF8" w:rsidP="009549C8">
      <w:pPr>
        <w:pStyle w:val="references"/>
        <w:ind w:hanging="720"/>
      </w:pPr>
      <w:r w:rsidRPr="009549C8">
        <w:t xml:space="preserve">Gale, T. </w:t>
      </w:r>
      <w:r w:rsidR="0048106D">
        <w:t xml:space="preserve">and </w:t>
      </w:r>
      <w:r w:rsidR="00DF31E7">
        <w:t xml:space="preserve">S. </w:t>
      </w:r>
      <w:r w:rsidRPr="009549C8">
        <w:t>Parker</w:t>
      </w:r>
      <w:r w:rsidR="00EE4182">
        <w:t>.</w:t>
      </w:r>
      <w:r w:rsidR="00F40823" w:rsidRPr="00F40823">
        <w:t xml:space="preserve"> </w:t>
      </w:r>
      <w:r w:rsidRPr="009549C8">
        <w:t>201</w:t>
      </w:r>
      <w:r w:rsidR="00BC2338">
        <w:t>4</w:t>
      </w:r>
      <w:r w:rsidRPr="009549C8">
        <w:t xml:space="preserve">. </w:t>
      </w:r>
      <w:r w:rsidR="00DF31E7">
        <w:t>“</w:t>
      </w:r>
      <w:r w:rsidRPr="009549C8">
        <w:t xml:space="preserve">Navigating </w:t>
      </w:r>
      <w:r w:rsidR="0068457D" w:rsidRPr="009549C8">
        <w:t xml:space="preserve">Change: </w:t>
      </w:r>
      <w:r w:rsidRPr="009549C8">
        <w:t xml:space="preserve">A </w:t>
      </w:r>
      <w:r w:rsidR="0068457D">
        <w:t>Typology of Student Transition i</w:t>
      </w:r>
      <w:r w:rsidR="0068457D" w:rsidRPr="009549C8">
        <w:t>n Higher Education</w:t>
      </w:r>
      <w:r w:rsidR="00DF31E7">
        <w:t>”</w:t>
      </w:r>
      <w:r w:rsidRPr="009549C8">
        <w:t xml:space="preserve">. </w:t>
      </w:r>
      <w:r w:rsidRPr="008D587D">
        <w:rPr>
          <w:i/>
        </w:rPr>
        <w:t>Studies in Higher Education</w:t>
      </w:r>
      <w:r w:rsidR="0048106D">
        <w:t xml:space="preserve"> 39 (5): </w:t>
      </w:r>
      <w:r w:rsidRPr="009549C8">
        <w:t>734</w:t>
      </w:r>
      <w:r w:rsidR="007378AF" w:rsidRPr="00F50A0D">
        <w:t>–</w:t>
      </w:r>
      <w:r w:rsidRPr="009549C8">
        <w:t>753.</w:t>
      </w:r>
    </w:p>
    <w:p w14:paraId="3F908AD8" w14:textId="7542BAAC" w:rsidR="007544BD" w:rsidRDefault="00326CF8" w:rsidP="007544BD">
      <w:pPr>
        <w:pStyle w:val="references"/>
        <w:ind w:hanging="720"/>
      </w:pPr>
      <w:r w:rsidRPr="009549C8">
        <w:t>Gibson, D.E</w:t>
      </w:r>
      <w:r w:rsidR="000C5A41">
        <w:t>.</w:t>
      </w:r>
      <w:r w:rsidRPr="009549C8">
        <w:t xml:space="preserve"> 2003. </w:t>
      </w:r>
      <w:r w:rsidR="0048106D">
        <w:t>“</w:t>
      </w:r>
      <w:r w:rsidR="000C5A41" w:rsidRPr="000C5A41">
        <w:t>Developing the Professional Self-Concept: Role Model Construals in Early, Middle, and Late Career Stages</w:t>
      </w:r>
      <w:r w:rsidR="008D587D">
        <w:t>.</w:t>
      </w:r>
      <w:r w:rsidR="0048106D">
        <w:t>”</w:t>
      </w:r>
      <w:r w:rsidR="008D587D">
        <w:t xml:space="preserve"> </w:t>
      </w:r>
      <w:r w:rsidR="000C5A41" w:rsidRPr="000C5A41">
        <w:rPr>
          <w:i/>
        </w:rPr>
        <w:t>Organization Science</w:t>
      </w:r>
      <w:r w:rsidR="000C5A41">
        <w:t xml:space="preserve"> 14 </w:t>
      </w:r>
      <w:r w:rsidRPr="009549C8">
        <w:t>(</w:t>
      </w:r>
      <w:r w:rsidR="000C5A41">
        <w:t>5</w:t>
      </w:r>
      <w:r w:rsidR="0048106D">
        <w:t>):</w:t>
      </w:r>
      <w:r w:rsidR="000C5A41" w:rsidRPr="000C5A41">
        <w:t xml:space="preserve"> 591</w:t>
      </w:r>
      <w:r w:rsidR="007378AF" w:rsidRPr="00F50A0D">
        <w:t>–</w:t>
      </w:r>
      <w:r w:rsidR="000C5A41" w:rsidRPr="000C5A41">
        <w:t>610</w:t>
      </w:r>
      <w:r w:rsidRPr="009549C8">
        <w:t>.</w:t>
      </w:r>
    </w:p>
    <w:p w14:paraId="272B46C1" w14:textId="77777777" w:rsidR="00326CF8" w:rsidRPr="009549C8" w:rsidRDefault="0048106D" w:rsidP="009549C8">
      <w:pPr>
        <w:pStyle w:val="references"/>
        <w:ind w:hanging="720"/>
      </w:pPr>
      <w:r>
        <w:t>Harvey, L. 2001</w:t>
      </w:r>
      <w:r w:rsidR="00326CF8" w:rsidRPr="009549C8">
        <w:t xml:space="preserve">. </w:t>
      </w:r>
      <w:r w:rsidR="00DF31E7">
        <w:t>“</w:t>
      </w:r>
      <w:r w:rsidR="00326CF8" w:rsidRPr="009549C8">
        <w:t>Defining and Measuring Employability</w:t>
      </w:r>
      <w:r>
        <w:t>”</w:t>
      </w:r>
      <w:r w:rsidR="00326CF8" w:rsidRPr="009549C8">
        <w:t xml:space="preserve"> </w:t>
      </w:r>
      <w:r w:rsidR="00326CF8" w:rsidRPr="008D587D">
        <w:rPr>
          <w:i/>
        </w:rPr>
        <w:t>Quality in Higher Education</w:t>
      </w:r>
      <w:r w:rsidR="00DF31E7">
        <w:t xml:space="preserve"> 7 (</w:t>
      </w:r>
      <w:r>
        <w:t>2</w:t>
      </w:r>
      <w:r w:rsidR="00DF31E7">
        <w:t>)</w:t>
      </w:r>
      <w:r>
        <w:t>:</w:t>
      </w:r>
      <w:r w:rsidR="00326CF8" w:rsidRPr="009549C8">
        <w:t xml:space="preserve"> 97</w:t>
      </w:r>
      <w:r w:rsidR="007378AF" w:rsidRPr="00F50A0D">
        <w:t>–</w:t>
      </w:r>
      <w:r w:rsidR="00326CF8" w:rsidRPr="009549C8">
        <w:t>109.</w:t>
      </w:r>
    </w:p>
    <w:p w14:paraId="42461C20" w14:textId="2AB7A88D" w:rsidR="00326CF8" w:rsidRPr="009549C8" w:rsidRDefault="00326CF8" w:rsidP="009549C8">
      <w:pPr>
        <w:pStyle w:val="references"/>
        <w:ind w:hanging="720"/>
      </w:pPr>
      <w:r w:rsidRPr="009549C8">
        <w:lastRenderedPageBreak/>
        <w:t xml:space="preserve">Higgins, M.C. </w:t>
      </w:r>
      <w:r w:rsidR="0048106D">
        <w:t xml:space="preserve">and </w:t>
      </w:r>
      <w:r w:rsidR="00DF31E7">
        <w:t xml:space="preserve">K.E. </w:t>
      </w:r>
      <w:r w:rsidRPr="009549C8">
        <w:t>Kram</w:t>
      </w:r>
      <w:r w:rsidR="00EE4182">
        <w:t>.</w:t>
      </w:r>
      <w:r w:rsidR="00DF31E7">
        <w:t xml:space="preserve"> </w:t>
      </w:r>
      <w:r w:rsidR="0048106D">
        <w:t>2001</w:t>
      </w:r>
      <w:r w:rsidRPr="009549C8">
        <w:t xml:space="preserve">. </w:t>
      </w:r>
      <w:r w:rsidR="00DF31E7">
        <w:t>“</w:t>
      </w:r>
      <w:r w:rsidRPr="009549C8">
        <w:t xml:space="preserve">Reconceptualizing </w:t>
      </w:r>
      <w:r w:rsidR="0068457D">
        <w:t>Mentoring a</w:t>
      </w:r>
      <w:r w:rsidR="0068457D" w:rsidRPr="009549C8">
        <w:t>t Work: A Developmental Network Perspective</w:t>
      </w:r>
      <w:r w:rsidR="00DF31E7">
        <w:t>”</w:t>
      </w:r>
      <w:r w:rsidRPr="009549C8">
        <w:t xml:space="preserve">. </w:t>
      </w:r>
      <w:r w:rsidRPr="008D587D">
        <w:rPr>
          <w:i/>
        </w:rPr>
        <w:t>Academy of Management Review</w:t>
      </w:r>
      <w:r w:rsidR="0048106D">
        <w:t xml:space="preserve"> 26 (2): </w:t>
      </w:r>
      <w:r w:rsidRPr="009549C8">
        <w:t>264</w:t>
      </w:r>
      <w:r w:rsidR="007378AF" w:rsidRPr="00F50A0D">
        <w:t>–</w:t>
      </w:r>
      <w:r w:rsidRPr="009549C8">
        <w:t>288.</w:t>
      </w:r>
    </w:p>
    <w:p w14:paraId="16B1D271" w14:textId="77777777" w:rsidR="00503D55" w:rsidRDefault="00503D55" w:rsidP="009549C8">
      <w:pPr>
        <w:pStyle w:val="references"/>
        <w:ind w:hanging="720"/>
      </w:pPr>
      <w:r w:rsidRPr="00503D55">
        <w:t>Holmes, L. 2013. Competing perspectives on graduate employability: possession, position or process?. Studies in Higher Education, 38(4), 538</w:t>
      </w:r>
      <w:r w:rsidR="007378AF" w:rsidRPr="00F50A0D">
        <w:t>–</w:t>
      </w:r>
      <w:r w:rsidRPr="00503D55">
        <w:t>554.</w:t>
      </w:r>
    </w:p>
    <w:p w14:paraId="3EE2F239" w14:textId="77777777" w:rsidR="00326CF8" w:rsidRPr="009549C8" w:rsidRDefault="0048106D" w:rsidP="009549C8">
      <w:pPr>
        <w:pStyle w:val="references"/>
        <w:ind w:hanging="720"/>
      </w:pPr>
      <w:r>
        <w:t xml:space="preserve">Ibarra, H. </w:t>
      </w:r>
      <w:r w:rsidR="00326CF8" w:rsidRPr="009549C8">
        <w:t xml:space="preserve">1999. </w:t>
      </w:r>
      <w:r>
        <w:t>“</w:t>
      </w:r>
      <w:r w:rsidR="00326CF8" w:rsidRPr="009549C8">
        <w:t xml:space="preserve">Provisional </w:t>
      </w:r>
      <w:r w:rsidR="0068457D" w:rsidRPr="009549C8">
        <w:t xml:space="preserve">Selves: </w:t>
      </w:r>
      <w:r w:rsidR="00326CF8" w:rsidRPr="009549C8">
        <w:t xml:space="preserve">Experimenting </w:t>
      </w:r>
      <w:r w:rsidR="0068457D">
        <w:t>with Image and Identity i</w:t>
      </w:r>
      <w:r w:rsidR="0068457D" w:rsidRPr="009549C8">
        <w:t>n Professional Adaptation.</w:t>
      </w:r>
      <w:r w:rsidR="0068457D">
        <w:t>”</w:t>
      </w:r>
      <w:r w:rsidR="0068457D" w:rsidRPr="009549C8">
        <w:t xml:space="preserve"> </w:t>
      </w:r>
      <w:r w:rsidR="00326CF8" w:rsidRPr="008D587D">
        <w:rPr>
          <w:i/>
        </w:rPr>
        <w:t>Administrative Science Quarterly</w:t>
      </w:r>
      <w:r w:rsidR="00DF31E7">
        <w:t xml:space="preserve"> </w:t>
      </w:r>
      <w:r w:rsidR="00326CF8" w:rsidRPr="009549C8">
        <w:t>44 (4)</w:t>
      </w:r>
      <w:r>
        <w:t>:</w:t>
      </w:r>
      <w:r w:rsidR="00326CF8" w:rsidRPr="009549C8">
        <w:t xml:space="preserve"> 764</w:t>
      </w:r>
      <w:r w:rsidR="007378AF" w:rsidRPr="00F50A0D">
        <w:t>–</w:t>
      </w:r>
      <w:r w:rsidR="00326CF8" w:rsidRPr="009549C8">
        <w:t>791.</w:t>
      </w:r>
    </w:p>
    <w:p w14:paraId="23733EE3" w14:textId="77777777" w:rsidR="00553F06" w:rsidRDefault="00326CF8" w:rsidP="007A6887">
      <w:pPr>
        <w:pStyle w:val="references"/>
        <w:ind w:hanging="720"/>
      </w:pPr>
      <w:r w:rsidRPr="009549C8">
        <w:t xml:space="preserve">Ibarra, H. </w:t>
      </w:r>
      <w:r w:rsidR="0048106D">
        <w:t xml:space="preserve">and J.L. </w:t>
      </w:r>
      <w:r w:rsidRPr="009549C8">
        <w:t>Petriglieri</w:t>
      </w:r>
      <w:r w:rsidR="0048106D">
        <w:t>. 2010</w:t>
      </w:r>
      <w:r w:rsidRPr="009549C8">
        <w:t xml:space="preserve">. </w:t>
      </w:r>
      <w:r w:rsidR="0048106D">
        <w:t>“</w:t>
      </w:r>
      <w:r w:rsidRPr="009549C8">
        <w:t xml:space="preserve">Identity </w:t>
      </w:r>
      <w:r w:rsidR="0068457D">
        <w:t>Work a</w:t>
      </w:r>
      <w:r w:rsidR="0068457D" w:rsidRPr="009549C8">
        <w:t>nd Play</w:t>
      </w:r>
      <w:r w:rsidRPr="009549C8">
        <w:t>.</w:t>
      </w:r>
      <w:r w:rsidR="0048106D">
        <w:t>”</w:t>
      </w:r>
      <w:r w:rsidRPr="009549C8">
        <w:t xml:space="preserve"> </w:t>
      </w:r>
      <w:r w:rsidRPr="008D587D">
        <w:rPr>
          <w:i/>
        </w:rPr>
        <w:t>Journal of Organizational Change Management</w:t>
      </w:r>
      <w:r w:rsidR="0048106D">
        <w:t xml:space="preserve"> 23 (1): </w:t>
      </w:r>
      <w:r w:rsidRPr="009549C8">
        <w:t>10</w:t>
      </w:r>
      <w:r w:rsidR="007378AF" w:rsidRPr="00F50A0D">
        <w:t>–</w:t>
      </w:r>
      <w:r w:rsidRPr="009549C8">
        <w:t>25.</w:t>
      </w:r>
    </w:p>
    <w:p w14:paraId="17405D90" w14:textId="77777777" w:rsidR="004940D8" w:rsidRDefault="00DF31E7" w:rsidP="007A6887">
      <w:pPr>
        <w:pStyle w:val="references"/>
        <w:ind w:hanging="720"/>
      </w:pPr>
      <w:r>
        <w:t xml:space="preserve">Jackson, D. </w:t>
      </w:r>
      <w:r w:rsidR="004940D8" w:rsidRPr="004940D8">
        <w:t xml:space="preserve">2016. </w:t>
      </w:r>
      <w:r>
        <w:t>“</w:t>
      </w:r>
      <w:r w:rsidR="004940D8" w:rsidRPr="004940D8">
        <w:t>Re-conceptualising graduate employability: the importance of pre-professional identity</w:t>
      </w:r>
      <w:r>
        <w:t>”</w:t>
      </w:r>
      <w:r w:rsidR="004940D8" w:rsidRPr="004940D8">
        <w:t xml:space="preserve">. </w:t>
      </w:r>
      <w:r w:rsidR="004940D8" w:rsidRPr="00DF31E7">
        <w:rPr>
          <w:i/>
        </w:rPr>
        <w:t>Higher Education Research &amp; Development</w:t>
      </w:r>
      <w:r w:rsidR="004940D8" w:rsidRPr="004940D8">
        <w:t>, 1</w:t>
      </w:r>
      <w:r w:rsidR="007378AF" w:rsidRPr="00F50A0D">
        <w:t>–</w:t>
      </w:r>
      <w:r w:rsidR="004940D8" w:rsidRPr="004940D8">
        <w:t>15.</w:t>
      </w:r>
    </w:p>
    <w:p w14:paraId="1B5221A6" w14:textId="7F5223C1" w:rsidR="00584C61" w:rsidRDefault="00584C61" w:rsidP="007A6887">
      <w:pPr>
        <w:pStyle w:val="references"/>
        <w:ind w:hanging="720"/>
        <w:rPr>
          <w:rFonts w:cs="Times New Roman"/>
          <w:szCs w:val="24"/>
        </w:rPr>
      </w:pPr>
      <w:r w:rsidRPr="00584C61">
        <w:rPr>
          <w:rFonts w:cs="Times New Roman"/>
          <w:szCs w:val="24"/>
        </w:rPr>
        <w:t xml:space="preserve">Knight, P. and </w:t>
      </w:r>
      <w:r w:rsidR="00DF31E7">
        <w:rPr>
          <w:rFonts w:cs="Times New Roman"/>
          <w:szCs w:val="24"/>
        </w:rPr>
        <w:t xml:space="preserve">M. </w:t>
      </w:r>
      <w:r w:rsidRPr="00584C61">
        <w:rPr>
          <w:rFonts w:cs="Times New Roman"/>
          <w:szCs w:val="24"/>
        </w:rPr>
        <w:t>Yorke</w:t>
      </w:r>
      <w:r w:rsidR="00EE4182">
        <w:rPr>
          <w:rFonts w:cs="Times New Roman"/>
          <w:szCs w:val="24"/>
        </w:rPr>
        <w:t>.</w:t>
      </w:r>
      <w:r w:rsidRPr="00584C61">
        <w:rPr>
          <w:rFonts w:cs="Times New Roman"/>
          <w:szCs w:val="24"/>
        </w:rPr>
        <w:t xml:space="preserve"> 2006. </w:t>
      </w:r>
      <w:r w:rsidRPr="00DF31E7">
        <w:rPr>
          <w:rFonts w:cs="Times New Roman"/>
          <w:i/>
          <w:szCs w:val="24"/>
        </w:rPr>
        <w:t>Embedding employability into the curriculum</w:t>
      </w:r>
      <w:r w:rsidRPr="00584C61">
        <w:rPr>
          <w:rFonts w:cs="Times New Roman"/>
          <w:szCs w:val="24"/>
        </w:rPr>
        <w:t xml:space="preserve">. </w:t>
      </w:r>
      <w:r w:rsidR="00DF31E7">
        <w:rPr>
          <w:rFonts w:cs="Times New Roman"/>
          <w:szCs w:val="24"/>
        </w:rPr>
        <w:t>York: Higher Education Academy</w:t>
      </w:r>
      <w:r w:rsidRPr="00584C61">
        <w:rPr>
          <w:rFonts w:cs="Times New Roman"/>
          <w:szCs w:val="24"/>
        </w:rPr>
        <w:t>.</w:t>
      </w:r>
    </w:p>
    <w:p w14:paraId="38E1A9F5" w14:textId="77777777" w:rsidR="00BB66B5" w:rsidRDefault="00BB66B5" w:rsidP="007A6887">
      <w:pPr>
        <w:pStyle w:val="references"/>
        <w:ind w:hanging="720"/>
        <w:rPr>
          <w:rFonts w:cs="Times New Roman"/>
          <w:szCs w:val="24"/>
        </w:rPr>
      </w:pPr>
      <w:r w:rsidRPr="005A043D">
        <w:rPr>
          <w:rFonts w:cs="Times New Roman"/>
          <w:szCs w:val="24"/>
        </w:rPr>
        <w:t>Loui, M.C.</w:t>
      </w:r>
      <w:r w:rsidR="0048106D">
        <w:rPr>
          <w:rFonts w:cs="Times New Roman"/>
          <w:szCs w:val="24"/>
        </w:rPr>
        <w:t xml:space="preserve"> </w:t>
      </w:r>
      <w:r w:rsidRPr="005A043D">
        <w:rPr>
          <w:rFonts w:cs="Times New Roman"/>
          <w:szCs w:val="24"/>
        </w:rPr>
        <w:t xml:space="preserve">2005. </w:t>
      </w:r>
      <w:r w:rsidR="0048106D">
        <w:rPr>
          <w:rFonts w:cs="Times New Roman"/>
          <w:szCs w:val="24"/>
        </w:rPr>
        <w:t>“</w:t>
      </w:r>
      <w:r w:rsidRPr="005A043D">
        <w:rPr>
          <w:rFonts w:cs="Times New Roman"/>
          <w:szCs w:val="24"/>
        </w:rPr>
        <w:t xml:space="preserve">Ethics </w:t>
      </w:r>
      <w:r w:rsidR="0068457D">
        <w:rPr>
          <w:rFonts w:cs="Times New Roman"/>
          <w:szCs w:val="24"/>
        </w:rPr>
        <w:t>a</w:t>
      </w:r>
      <w:r w:rsidR="0068457D" w:rsidRPr="005A043D">
        <w:rPr>
          <w:rFonts w:cs="Times New Roman"/>
          <w:szCs w:val="24"/>
        </w:rPr>
        <w:t xml:space="preserve">nd </w:t>
      </w:r>
      <w:r w:rsidR="0068457D">
        <w:rPr>
          <w:rFonts w:cs="Times New Roman"/>
          <w:szCs w:val="24"/>
        </w:rPr>
        <w:t>the Development of Professional Identities o</w:t>
      </w:r>
      <w:r w:rsidR="0068457D" w:rsidRPr="005A043D">
        <w:rPr>
          <w:rFonts w:cs="Times New Roman"/>
          <w:szCs w:val="24"/>
        </w:rPr>
        <w:t>f Engineering Students</w:t>
      </w:r>
      <w:r w:rsidRPr="005A043D">
        <w:rPr>
          <w:rFonts w:cs="Times New Roman"/>
          <w:szCs w:val="24"/>
        </w:rPr>
        <w:t>.</w:t>
      </w:r>
      <w:r w:rsidR="0048106D">
        <w:rPr>
          <w:rFonts w:cs="Times New Roman"/>
          <w:szCs w:val="24"/>
        </w:rPr>
        <w:t>”</w:t>
      </w:r>
      <w:r w:rsidRPr="005A043D">
        <w:rPr>
          <w:rFonts w:cs="Times New Roman"/>
          <w:szCs w:val="24"/>
        </w:rPr>
        <w:t xml:space="preserve"> </w:t>
      </w:r>
      <w:r w:rsidRPr="007A6887">
        <w:rPr>
          <w:rFonts w:cs="Times New Roman"/>
          <w:i/>
          <w:szCs w:val="24"/>
        </w:rPr>
        <w:t>Journal of Engineering Education</w:t>
      </w:r>
      <w:r w:rsidRPr="005A043D">
        <w:rPr>
          <w:rFonts w:cs="Times New Roman"/>
          <w:szCs w:val="24"/>
        </w:rPr>
        <w:t xml:space="preserve"> 94</w:t>
      </w:r>
      <w:r w:rsidR="00B648B3">
        <w:rPr>
          <w:rFonts w:cs="Times New Roman"/>
          <w:szCs w:val="24"/>
        </w:rPr>
        <w:t xml:space="preserve"> </w:t>
      </w:r>
      <w:r w:rsidRPr="005A043D">
        <w:rPr>
          <w:rFonts w:cs="Times New Roman"/>
          <w:szCs w:val="24"/>
        </w:rPr>
        <w:t>(4)</w:t>
      </w:r>
      <w:r w:rsidR="0048106D">
        <w:rPr>
          <w:rFonts w:cs="Times New Roman"/>
          <w:szCs w:val="24"/>
        </w:rPr>
        <w:t xml:space="preserve">: </w:t>
      </w:r>
      <w:r w:rsidRPr="005A043D">
        <w:rPr>
          <w:rFonts w:cs="Times New Roman"/>
          <w:szCs w:val="24"/>
        </w:rPr>
        <w:t>383</w:t>
      </w:r>
      <w:r w:rsidR="007378AF" w:rsidRPr="00F50A0D">
        <w:t>–</w:t>
      </w:r>
      <w:r w:rsidRPr="005A043D">
        <w:rPr>
          <w:rFonts w:cs="Times New Roman"/>
          <w:szCs w:val="24"/>
        </w:rPr>
        <w:t>390.</w:t>
      </w:r>
    </w:p>
    <w:p w14:paraId="4441EEE0" w14:textId="77777777" w:rsidR="00917368" w:rsidRDefault="00917368" w:rsidP="009549C8">
      <w:pPr>
        <w:pStyle w:val="references"/>
        <w:ind w:hanging="720"/>
      </w:pPr>
      <w:r>
        <w:t>Marginson, S. 2017</w:t>
      </w:r>
      <w:r w:rsidRPr="00917368">
        <w:t xml:space="preserve">. Higher education, economic inequality and social mobility: Implications for emerging East Asia. </w:t>
      </w:r>
      <w:r w:rsidRPr="005A456A">
        <w:rPr>
          <w:i/>
        </w:rPr>
        <w:t>International Journal of Educational Development</w:t>
      </w:r>
      <w:r w:rsidRPr="00917368">
        <w:t>.</w:t>
      </w:r>
    </w:p>
    <w:p w14:paraId="3075DD2B" w14:textId="4BEBF74F" w:rsidR="00326CF8" w:rsidRPr="009549C8" w:rsidRDefault="00326CF8" w:rsidP="009549C8">
      <w:pPr>
        <w:pStyle w:val="references"/>
        <w:ind w:hanging="720"/>
      </w:pPr>
      <w:r w:rsidRPr="009549C8">
        <w:t xml:space="preserve">Markus, H. </w:t>
      </w:r>
      <w:r w:rsidR="0068457D">
        <w:t>and P. Nurius</w:t>
      </w:r>
      <w:r w:rsidR="00EE4182">
        <w:t>.</w:t>
      </w:r>
      <w:r w:rsidRPr="009549C8">
        <w:t xml:space="preserve"> 1986. </w:t>
      </w:r>
      <w:r w:rsidR="0068457D">
        <w:t>“</w:t>
      </w:r>
      <w:r w:rsidRPr="009549C8">
        <w:t xml:space="preserve">Possible </w:t>
      </w:r>
      <w:r w:rsidR="0068457D">
        <w:t>S</w:t>
      </w:r>
      <w:r w:rsidRPr="009549C8">
        <w:t>elves.</w:t>
      </w:r>
      <w:r w:rsidR="0068457D">
        <w:t>”</w:t>
      </w:r>
      <w:r w:rsidRPr="009549C8">
        <w:t xml:space="preserve"> </w:t>
      </w:r>
      <w:r w:rsidRPr="008D587D">
        <w:rPr>
          <w:i/>
        </w:rPr>
        <w:t>American Psychologist</w:t>
      </w:r>
      <w:r w:rsidRPr="009549C8">
        <w:t xml:space="preserve"> 41 (9)</w:t>
      </w:r>
      <w:r w:rsidR="0068457D">
        <w:t xml:space="preserve">: </w:t>
      </w:r>
      <w:r w:rsidRPr="009549C8">
        <w:t>954.</w:t>
      </w:r>
    </w:p>
    <w:p w14:paraId="34B293A3" w14:textId="3D30243C" w:rsidR="00306371" w:rsidRDefault="00306371" w:rsidP="009549C8">
      <w:pPr>
        <w:pStyle w:val="references"/>
        <w:ind w:hanging="720"/>
      </w:pPr>
      <w:r w:rsidRPr="00306371">
        <w:t xml:space="preserve">Martin, L., </w:t>
      </w:r>
      <w:r w:rsidR="00EE4182">
        <w:t xml:space="preserve">G. </w:t>
      </w:r>
      <w:r w:rsidRPr="00306371">
        <w:t xml:space="preserve">Spolander, </w:t>
      </w:r>
      <w:r w:rsidR="00EE4182">
        <w:t>I.</w:t>
      </w:r>
      <w:r w:rsidRPr="00306371">
        <w:t xml:space="preserve"> Ali, </w:t>
      </w:r>
      <w:r w:rsidR="007378AF">
        <w:t>and</w:t>
      </w:r>
      <w:r w:rsidRPr="00306371">
        <w:t xml:space="preserve"> </w:t>
      </w:r>
      <w:r w:rsidR="00EE4182">
        <w:t xml:space="preserve">B. </w:t>
      </w:r>
      <w:r w:rsidRPr="00306371">
        <w:t xml:space="preserve">Maas. 2014. The evolution of student identity: A case of caveat emptor. </w:t>
      </w:r>
      <w:r w:rsidRPr="00306371">
        <w:rPr>
          <w:i/>
        </w:rPr>
        <w:t>Journal of Further and Higher Education,</w:t>
      </w:r>
      <w:r w:rsidRPr="00306371">
        <w:t xml:space="preserve"> 38(2), 200</w:t>
      </w:r>
      <w:r w:rsidR="007378AF" w:rsidRPr="00F50A0D">
        <w:t>–</w:t>
      </w:r>
      <w:r w:rsidRPr="00306371">
        <w:t>210.</w:t>
      </w:r>
    </w:p>
    <w:p w14:paraId="41D6A5F6" w14:textId="3E021C63" w:rsidR="003F7007" w:rsidRDefault="003F7007" w:rsidP="009549C8">
      <w:pPr>
        <w:pStyle w:val="references"/>
        <w:ind w:hanging="720"/>
      </w:pPr>
      <w:r w:rsidRPr="003F7007">
        <w:t xml:space="preserve">McMurray, I., </w:t>
      </w:r>
      <w:r w:rsidR="00EE4182">
        <w:t xml:space="preserve">C. </w:t>
      </w:r>
      <w:r w:rsidRPr="003F7007">
        <w:t xml:space="preserve">Rafferty, </w:t>
      </w:r>
      <w:r w:rsidR="00EE4182">
        <w:t>C.</w:t>
      </w:r>
      <w:r w:rsidRPr="003F7007">
        <w:t xml:space="preserve"> Sutton, </w:t>
      </w:r>
      <w:r w:rsidR="007378AF">
        <w:t>and</w:t>
      </w:r>
      <w:r w:rsidRPr="003F7007">
        <w:t xml:space="preserve"> </w:t>
      </w:r>
      <w:r w:rsidR="00EE4182">
        <w:t xml:space="preserve">S. </w:t>
      </w:r>
      <w:r w:rsidRPr="003F7007">
        <w:t xml:space="preserve">Patel. 2015. Using dissertation projects to facilitate transitions to university and employment: an exploratory case study. </w:t>
      </w:r>
      <w:r w:rsidRPr="003F7007">
        <w:rPr>
          <w:i/>
        </w:rPr>
        <w:t xml:space="preserve">Journal of Further and Higher Education, </w:t>
      </w:r>
      <w:r w:rsidR="00AA2643">
        <w:t>41(3):</w:t>
      </w:r>
      <w:r w:rsidR="00AA2643">
        <w:rPr>
          <w:i/>
        </w:rPr>
        <w:t xml:space="preserve"> </w:t>
      </w:r>
      <w:r>
        <w:t>273</w:t>
      </w:r>
      <w:r w:rsidR="007378AF" w:rsidRPr="00F50A0D">
        <w:t>–</w:t>
      </w:r>
      <w:r>
        <w:t>285</w:t>
      </w:r>
      <w:r w:rsidRPr="003F7007">
        <w:t>.</w:t>
      </w:r>
    </w:p>
    <w:p w14:paraId="62A9AEB9" w14:textId="77777777" w:rsidR="00326CF8" w:rsidRDefault="00326CF8" w:rsidP="009549C8">
      <w:pPr>
        <w:pStyle w:val="references"/>
        <w:ind w:hanging="720"/>
      </w:pPr>
      <w:r w:rsidRPr="009549C8">
        <w:t xml:space="preserve">Moore, J., </w:t>
      </w:r>
      <w:r w:rsidR="0068457D">
        <w:t xml:space="preserve">J. </w:t>
      </w:r>
      <w:r w:rsidRPr="009549C8">
        <w:t>Sanders</w:t>
      </w:r>
      <w:r w:rsidR="0068457D">
        <w:t xml:space="preserve"> and L. </w:t>
      </w:r>
      <w:r w:rsidRPr="009549C8">
        <w:t>Higham</w:t>
      </w:r>
      <w:r w:rsidR="0068457D">
        <w:t>.</w:t>
      </w:r>
      <w:r w:rsidRPr="009549C8">
        <w:t xml:space="preserve"> 2013. </w:t>
      </w:r>
      <w:r w:rsidRPr="007563D9">
        <w:rPr>
          <w:i/>
        </w:rPr>
        <w:t xml:space="preserve">Literature </w:t>
      </w:r>
      <w:r w:rsidR="0068457D" w:rsidRPr="007563D9">
        <w:rPr>
          <w:i/>
        </w:rPr>
        <w:t>Review of Research into Widening Participation to Higher Education</w:t>
      </w:r>
      <w:r w:rsidR="0068457D" w:rsidRPr="009549C8">
        <w:t>.</w:t>
      </w:r>
      <w:r w:rsidR="00DF31E7">
        <w:t xml:space="preserve"> London: HEFCE. </w:t>
      </w:r>
    </w:p>
    <w:p w14:paraId="22A0DFAD" w14:textId="77777777" w:rsidR="00CD30C2" w:rsidRPr="00A57622" w:rsidRDefault="00CD30C2" w:rsidP="00A57622">
      <w:pPr>
        <w:ind w:left="720" w:hanging="720"/>
        <w:jc w:val="both"/>
        <w:rPr>
          <w:noProof/>
          <w:szCs w:val="24"/>
        </w:rPr>
      </w:pPr>
      <w:bookmarkStart w:id="0" w:name="_ENREF_44"/>
      <w:r w:rsidRPr="00734FC2">
        <w:rPr>
          <w:noProof/>
          <w:szCs w:val="24"/>
        </w:rPr>
        <w:lastRenderedPageBreak/>
        <w:t xml:space="preserve">Oliver, B. 2013. "Graduate attributes as a focus for institution-wide curriculum renewal: innovations and challenges." </w:t>
      </w:r>
      <w:r w:rsidRPr="00734FC2">
        <w:rPr>
          <w:i/>
          <w:noProof/>
          <w:szCs w:val="24"/>
        </w:rPr>
        <w:t>Higher Education Research &amp; Development</w:t>
      </w:r>
      <w:r w:rsidRPr="00734FC2">
        <w:rPr>
          <w:noProof/>
          <w:szCs w:val="24"/>
        </w:rPr>
        <w:t xml:space="preserve"> 32 (3):450</w:t>
      </w:r>
      <w:r w:rsidR="007378AF" w:rsidRPr="00F50A0D">
        <w:t>–</w:t>
      </w:r>
      <w:r w:rsidRPr="00734FC2">
        <w:rPr>
          <w:noProof/>
          <w:szCs w:val="24"/>
        </w:rPr>
        <w:t>463.</w:t>
      </w:r>
      <w:bookmarkEnd w:id="0"/>
    </w:p>
    <w:p w14:paraId="10B1BBFA" w14:textId="54CAA6DB" w:rsidR="00326CF8" w:rsidRDefault="0068457D" w:rsidP="009549C8">
      <w:pPr>
        <w:pStyle w:val="references"/>
        <w:ind w:hanging="720"/>
      </w:pPr>
      <w:r>
        <w:t xml:space="preserve">Pegg, A., J. </w:t>
      </w:r>
      <w:r w:rsidR="00326CF8" w:rsidRPr="009549C8">
        <w:t xml:space="preserve">Waldock, </w:t>
      </w:r>
      <w:r>
        <w:t xml:space="preserve">S. </w:t>
      </w:r>
      <w:r w:rsidR="00326CF8" w:rsidRPr="009549C8">
        <w:t>Hendy-Isaac</w:t>
      </w:r>
      <w:r w:rsidR="00DF31E7">
        <w:t>,</w:t>
      </w:r>
      <w:r w:rsidR="00326CF8" w:rsidRPr="009549C8">
        <w:t xml:space="preserve"> a</w:t>
      </w:r>
      <w:r w:rsidR="008D587D">
        <w:t xml:space="preserve">nd </w:t>
      </w:r>
      <w:r>
        <w:t xml:space="preserve">R. </w:t>
      </w:r>
      <w:r w:rsidR="008D587D">
        <w:t>Lawton</w:t>
      </w:r>
      <w:r w:rsidR="00D907DD">
        <w:t>.</w:t>
      </w:r>
      <w:r>
        <w:t xml:space="preserve"> </w:t>
      </w:r>
      <w:r w:rsidR="008D587D">
        <w:t xml:space="preserve">2012. </w:t>
      </w:r>
      <w:r w:rsidR="008D587D" w:rsidRPr="008D587D">
        <w:rPr>
          <w:i/>
        </w:rPr>
        <w:t>Pedagogy f</w:t>
      </w:r>
      <w:r w:rsidR="00326CF8" w:rsidRPr="008D587D">
        <w:rPr>
          <w:i/>
        </w:rPr>
        <w:t>or Employability</w:t>
      </w:r>
      <w:r w:rsidR="00DF31E7">
        <w:t>. York</w:t>
      </w:r>
      <w:r w:rsidR="00326CF8" w:rsidRPr="009549C8">
        <w:t>: Higher Education Academy.</w:t>
      </w:r>
    </w:p>
    <w:p w14:paraId="0D852E48" w14:textId="7207CAF1" w:rsidR="002804D9" w:rsidRPr="005A456A" w:rsidRDefault="002804D9" w:rsidP="005A456A">
      <w:pPr>
        <w:ind w:left="720" w:hanging="720"/>
        <w:jc w:val="both"/>
        <w:rPr>
          <w:noProof/>
          <w:szCs w:val="24"/>
        </w:rPr>
      </w:pPr>
      <w:r w:rsidRPr="005E55F8">
        <w:rPr>
          <w:noProof/>
          <w:szCs w:val="24"/>
        </w:rPr>
        <w:t>Perry, A.L. 2013. Preparing to leave, graduation and beyond.</w:t>
      </w:r>
      <w:r>
        <w:rPr>
          <w:noProof/>
          <w:szCs w:val="24"/>
        </w:rPr>
        <w:t xml:space="preserve"> In: Morgan, M. ed.</w:t>
      </w:r>
      <w:r w:rsidRPr="005E55F8">
        <w:rPr>
          <w:noProof/>
          <w:szCs w:val="24"/>
        </w:rPr>
        <w:t xml:space="preserve"> </w:t>
      </w:r>
      <w:r w:rsidRPr="00766DEB">
        <w:rPr>
          <w:i/>
          <w:noProof/>
          <w:szCs w:val="24"/>
        </w:rPr>
        <w:t>Improving the Student Experience: A Practical Guide for Universities and Colleges</w:t>
      </w:r>
      <w:r w:rsidRPr="005E55F8">
        <w:rPr>
          <w:noProof/>
          <w:szCs w:val="24"/>
        </w:rPr>
        <w:t xml:space="preserve">, </w:t>
      </w:r>
      <w:r>
        <w:rPr>
          <w:noProof/>
          <w:szCs w:val="24"/>
        </w:rPr>
        <w:t>Routledge, Oxon,</w:t>
      </w:r>
      <w:r w:rsidRPr="005E55F8">
        <w:rPr>
          <w:noProof/>
          <w:szCs w:val="24"/>
        </w:rPr>
        <w:t>126.</w:t>
      </w:r>
    </w:p>
    <w:p w14:paraId="494D2612" w14:textId="77777777" w:rsidR="00BB66B5" w:rsidRDefault="00BB66B5" w:rsidP="007A6887">
      <w:pPr>
        <w:ind w:left="851" w:hanging="851"/>
        <w:rPr>
          <w:rFonts w:cs="Times New Roman"/>
          <w:szCs w:val="24"/>
        </w:rPr>
      </w:pPr>
      <w:r w:rsidRPr="005A043D">
        <w:rPr>
          <w:rFonts w:cs="Times New Roman"/>
          <w:szCs w:val="24"/>
        </w:rPr>
        <w:t xml:space="preserve">Pierrakos, O., </w:t>
      </w:r>
      <w:r w:rsidR="0068457D">
        <w:rPr>
          <w:rFonts w:cs="Times New Roman"/>
          <w:szCs w:val="24"/>
        </w:rPr>
        <w:t xml:space="preserve">T.K. </w:t>
      </w:r>
      <w:r w:rsidRPr="005A043D">
        <w:rPr>
          <w:rFonts w:cs="Times New Roman"/>
          <w:szCs w:val="24"/>
        </w:rPr>
        <w:t xml:space="preserve">Beam, </w:t>
      </w:r>
      <w:r w:rsidR="0068457D">
        <w:rPr>
          <w:rFonts w:cs="Times New Roman"/>
          <w:szCs w:val="24"/>
        </w:rPr>
        <w:t>J.</w:t>
      </w:r>
      <w:r w:rsidRPr="005A043D">
        <w:rPr>
          <w:rFonts w:cs="Times New Roman"/>
          <w:szCs w:val="24"/>
        </w:rPr>
        <w:t xml:space="preserve"> Constantz, </w:t>
      </w:r>
      <w:r w:rsidR="0068457D">
        <w:rPr>
          <w:rFonts w:cs="Times New Roman"/>
          <w:szCs w:val="24"/>
        </w:rPr>
        <w:t xml:space="preserve">A. </w:t>
      </w:r>
      <w:r w:rsidRPr="005A043D">
        <w:rPr>
          <w:rFonts w:cs="Times New Roman"/>
          <w:szCs w:val="24"/>
        </w:rPr>
        <w:t>Johri</w:t>
      </w:r>
      <w:r w:rsidR="00DF31E7">
        <w:rPr>
          <w:rFonts w:cs="Times New Roman"/>
          <w:szCs w:val="24"/>
        </w:rPr>
        <w:t>,</w:t>
      </w:r>
      <w:r w:rsidRPr="005A043D">
        <w:rPr>
          <w:rFonts w:cs="Times New Roman"/>
          <w:szCs w:val="24"/>
        </w:rPr>
        <w:t xml:space="preserve"> and </w:t>
      </w:r>
      <w:r w:rsidR="0068457D">
        <w:rPr>
          <w:rFonts w:cs="Times New Roman"/>
          <w:szCs w:val="24"/>
        </w:rPr>
        <w:t xml:space="preserve">R. </w:t>
      </w:r>
      <w:r w:rsidRPr="005A043D">
        <w:rPr>
          <w:rFonts w:cs="Times New Roman"/>
          <w:szCs w:val="24"/>
        </w:rPr>
        <w:t>Anderson.</w:t>
      </w:r>
      <w:r w:rsidR="0068457D">
        <w:rPr>
          <w:rFonts w:cs="Times New Roman"/>
          <w:szCs w:val="24"/>
        </w:rPr>
        <w:t xml:space="preserve"> </w:t>
      </w:r>
      <w:r w:rsidRPr="005A043D">
        <w:rPr>
          <w:rFonts w:cs="Times New Roman"/>
          <w:szCs w:val="24"/>
        </w:rPr>
        <w:t xml:space="preserve">2009. </w:t>
      </w:r>
      <w:r w:rsidR="0068457D">
        <w:rPr>
          <w:rFonts w:cs="Times New Roman"/>
          <w:szCs w:val="24"/>
        </w:rPr>
        <w:t>“</w:t>
      </w:r>
      <w:r w:rsidRPr="0068457D">
        <w:rPr>
          <w:rFonts w:cs="Times New Roman"/>
          <w:szCs w:val="24"/>
        </w:rPr>
        <w:t xml:space="preserve">On </w:t>
      </w:r>
      <w:r w:rsidR="0068457D" w:rsidRPr="0068457D">
        <w:rPr>
          <w:rFonts w:cs="Times New Roman"/>
          <w:szCs w:val="24"/>
        </w:rPr>
        <w:t>t</w:t>
      </w:r>
      <w:r w:rsidR="0068457D">
        <w:rPr>
          <w:rFonts w:cs="Times New Roman"/>
          <w:szCs w:val="24"/>
        </w:rPr>
        <w:t>he Development o</w:t>
      </w:r>
      <w:r w:rsidR="0068457D" w:rsidRPr="0068457D">
        <w:rPr>
          <w:rFonts w:cs="Times New Roman"/>
          <w:szCs w:val="24"/>
        </w:rPr>
        <w:t xml:space="preserve">f </w:t>
      </w:r>
      <w:r w:rsidR="0068457D">
        <w:rPr>
          <w:rFonts w:cs="Times New Roman"/>
          <w:szCs w:val="24"/>
        </w:rPr>
        <w:t>a</w:t>
      </w:r>
      <w:r w:rsidR="0068457D" w:rsidRPr="0068457D">
        <w:rPr>
          <w:rFonts w:cs="Times New Roman"/>
          <w:szCs w:val="24"/>
        </w:rPr>
        <w:t xml:space="preserve"> Professional Identity: </w:t>
      </w:r>
      <w:r w:rsidRPr="0068457D">
        <w:rPr>
          <w:rFonts w:cs="Times New Roman"/>
          <w:szCs w:val="24"/>
        </w:rPr>
        <w:t xml:space="preserve">Engineering </w:t>
      </w:r>
      <w:r w:rsidR="0068457D">
        <w:rPr>
          <w:rFonts w:cs="Times New Roman"/>
          <w:szCs w:val="24"/>
        </w:rPr>
        <w:t>Persisters v</w:t>
      </w:r>
      <w:r w:rsidR="0068457D" w:rsidRPr="0068457D">
        <w:rPr>
          <w:rFonts w:cs="Times New Roman"/>
          <w:szCs w:val="24"/>
        </w:rPr>
        <w:t>s Engineering Switchers</w:t>
      </w:r>
      <w:r w:rsidRPr="0068457D">
        <w:rPr>
          <w:rFonts w:cs="Times New Roman"/>
          <w:szCs w:val="24"/>
        </w:rPr>
        <w:t>.</w:t>
      </w:r>
      <w:r w:rsidR="0068457D">
        <w:rPr>
          <w:rFonts w:cs="Times New Roman"/>
          <w:szCs w:val="24"/>
        </w:rPr>
        <w:t>”</w:t>
      </w:r>
      <w:r w:rsidRPr="005A043D">
        <w:rPr>
          <w:rFonts w:cs="Times New Roman"/>
          <w:szCs w:val="24"/>
        </w:rPr>
        <w:t xml:space="preserve"> In</w:t>
      </w:r>
      <w:r w:rsidR="00B12F78">
        <w:rPr>
          <w:rFonts w:cs="Times New Roman"/>
          <w:szCs w:val="24"/>
        </w:rPr>
        <w:t xml:space="preserve"> </w:t>
      </w:r>
      <w:r w:rsidR="007563D9">
        <w:rPr>
          <w:rFonts w:cs="Times New Roman"/>
          <w:i/>
          <w:szCs w:val="24"/>
        </w:rPr>
        <w:t>P</w:t>
      </w:r>
      <w:r w:rsidR="00B12F78" w:rsidRPr="007563D9">
        <w:rPr>
          <w:rFonts w:cs="Times New Roman"/>
          <w:i/>
          <w:szCs w:val="24"/>
        </w:rPr>
        <w:t>roceedings</w:t>
      </w:r>
      <w:r w:rsidRPr="007563D9">
        <w:rPr>
          <w:rFonts w:cs="Times New Roman"/>
          <w:i/>
          <w:szCs w:val="24"/>
        </w:rPr>
        <w:t xml:space="preserve"> </w:t>
      </w:r>
      <w:r w:rsidR="00B12F78" w:rsidRPr="007563D9">
        <w:rPr>
          <w:rFonts w:cs="Times New Roman"/>
          <w:i/>
          <w:szCs w:val="24"/>
        </w:rPr>
        <w:t>of 39</w:t>
      </w:r>
      <w:r w:rsidR="00B12F78" w:rsidRPr="007563D9">
        <w:rPr>
          <w:rFonts w:cs="Times New Roman"/>
          <w:i/>
          <w:szCs w:val="24"/>
          <w:vertAlign w:val="superscript"/>
        </w:rPr>
        <w:t>th</w:t>
      </w:r>
      <w:r w:rsidR="00B12F78" w:rsidRPr="007563D9">
        <w:rPr>
          <w:rFonts w:cs="Times New Roman"/>
          <w:i/>
          <w:szCs w:val="24"/>
        </w:rPr>
        <w:t xml:space="preserve"> </w:t>
      </w:r>
      <w:r w:rsidRPr="007563D9">
        <w:rPr>
          <w:rFonts w:cs="Times New Roman"/>
          <w:i/>
          <w:szCs w:val="24"/>
        </w:rPr>
        <w:t xml:space="preserve">Frontiers in Education Conference, 2009 </w:t>
      </w:r>
      <w:r w:rsidR="00B12F78" w:rsidRPr="007563D9">
        <w:rPr>
          <w:rFonts w:cs="Times New Roman"/>
          <w:i/>
          <w:szCs w:val="24"/>
        </w:rPr>
        <w:t>(</w:t>
      </w:r>
      <w:r w:rsidRPr="007563D9">
        <w:rPr>
          <w:rFonts w:cs="Times New Roman"/>
          <w:i/>
          <w:szCs w:val="24"/>
        </w:rPr>
        <w:t>FIE</w:t>
      </w:r>
      <w:r w:rsidR="00DF31E7" w:rsidRPr="007563D9">
        <w:rPr>
          <w:rFonts w:cs="Times New Roman"/>
          <w:i/>
          <w:szCs w:val="24"/>
        </w:rPr>
        <w:t>’</w:t>
      </w:r>
      <w:r w:rsidRPr="007563D9">
        <w:rPr>
          <w:rFonts w:cs="Times New Roman"/>
          <w:i/>
          <w:szCs w:val="24"/>
        </w:rPr>
        <w:t>09</w:t>
      </w:r>
      <w:r w:rsidR="00B12F78" w:rsidRPr="007563D9">
        <w:rPr>
          <w:rFonts w:cs="Times New Roman"/>
          <w:i/>
          <w:szCs w:val="24"/>
        </w:rPr>
        <w:t>)</w:t>
      </w:r>
      <w:r w:rsidRPr="007563D9">
        <w:rPr>
          <w:rFonts w:cs="Times New Roman"/>
          <w:i/>
          <w:szCs w:val="24"/>
        </w:rPr>
        <w:t>.</w:t>
      </w:r>
      <w:r w:rsidRPr="005A043D">
        <w:rPr>
          <w:rFonts w:cs="Times New Roman"/>
          <w:szCs w:val="24"/>
        </w:rPr>
        <w:t xml:space="preserve"> IEEE</w:t>
      </w:r>
      <w:r w:rsidR="0068457D">
        <w:rPr>
          <w:rFonts w:cs="Times New Roman"/>
          <w:szCs w:val="24"/>
        </w:rPr>
        <w:t xml:space="preserve">: </w:t>
      </w:r>
      <w:r w:rsidR="00FB3BFF">
        <w:rPr>
          <w:rFonts w:cs="Times New Roman"/>
          <w:szCs w:val="24"/>
        </w:rPr>
        <w:t>599</w:t>
      </w:r>
      <w:r w:rsidR="007378AF" w:rsidRPr="00F50A0D">
        <w:t>–</w:t>
      </w:r>
      <w:r w:rsidR="00FB3BFF">
        <w:rPr>
          <w:rFonts w:cs="Times New Roman"/>
          <w:szCs w:val="24"/>
        </w:rPr>
        <w:t>605</w:t>
      </w:r>
      <w:r w:rsidR="00094351">
        <w:rPr>
          <w:rFonts w:cs="Times New Roman"/>
          <w:szCs w:val="24"/>
        </w:rPr>
        <w:t>.</w:t>
      </w:r>
      <w:r w:rsidR="00781560">
        <w:rPr>
          <w:rFonts w:cs="Times New Roman"/>
          <w:szCs w:val="24"/>
        </w:rPr>
        <w:t xml:space="preserve"> </w:t>
      </w:r>
    </w:p>
    <w:p w14:paraId="2FBA56EF" w14:textId="30017C9B" w:rsidR="00781560" w:rsidRPr="00D273CE" w:rsidRDefault="00781560" w:rsidP="007A6887">
      <w:pPr>
        <w:ind w:left="851" w:hanging="851"/>
        <w:rPr>
          <w:rFonts w:cs="Times New Roman"/>
          <w:szCs w:val="24"/>
        </w:rPr>
      </w:pPr>
      <w:r>
        <w:rPr>
          <w:rFonts w:cs="Times New Roman"/>
          <w:szCs w:val="24"/>
        </w:rPr>
        <w:t xml:space="preserve">Raffe, D and </w:t>
      </w:r>
      <w:r w:rsidR="00D907DD">
        <w:rPr>
          <w:rFonts w:cs="Times New Roman"/>
          <w:szCs w:val="24"/>
        </w:rPr>
        <w:t>L.</w:t>
      </w:r>
      <w:r>
        <w:rPr>
          <w:rFonts w:cs="Times New Roman"/>
          <w:szCs w:val="24"/>
        </w:rPr>
        <w:t>Croxford</w:t>
      </w:r>
      <w:r w:rsidR="00864207">
        <w:rPr>
          <w:rFonts w:cs="Times New Roman"/>
          <w:szCs w:val="24"/>
        </w:rPr>
        <w:t>.</w:t>
      </w:r>
      <w:r>
        <w:rPr>
          <w:rFonts w:cs="Times New Roman"/>
          <w:szCs w:val="24"/>
        </w:rPr>
        <w:t xml:space="preserve"> 2015</w:t>
      </w:r>
      <w:r w:rsidR="00864207">
        <w:rPr>
          <w:rFonts w:cs="Times New Roman"/>
          <w:szCs w:val="24"/>
        </w:rPr>
        <w:t>.</w:t>
      </w:r>
      <w:r>
        <w:rPr>
          <w:rFonts w:cs="Times New Roman"/>
          <w:szCs w:val="24"/>
        </w:rPr>
        <w:t xml:space="preserve"> “How stable is the stratification of higher education in England and Scotland?” </w:t>
      </w:r>
      <w:r>
        <w:rPr>
          <w:rFonts w:cs="Times New Roman"/>
          <w:i/>
          <w:szCs w:val="24"/>
        </w:rPr>
        <w:t>British Jou</w:t>
      </w:r>
      <w:r w:rsidR="00094351">
        <w:rPr>
          <w:rFonts w:cs="Times New Roman"/>
          <w:i/>
          <w:szCs w:val="24"/>
        </w:rPr>
        <w:t>rnal of Sociology of Education</w:t>
      </w:r>
      <w:r>
        <w:rPr>
          <w:rFonts w:cs="Times New Roman"/>
          <w:i/>
          <w:szCs w:val="24"/>
        </w:rPr>
        <w:t xml:space="preserve"> </w:t>
      </w:r>
      <w:r w:rsidRPr="001D3656">
        <w:rPr>
          <w:rFonts w:cs="Times New Roman"/>
          <w:szCs w:val="24"/>
        </w:rPr>
        <w:t>36</w:t>
      </w:r>
      <w:r w:rsidRPr="00781560">
        <w:rPr>
          <w:rFonts w:cs="Times New Roman"/>
          <w:szCs w:val="24"/>
        </w:rPr>
        <w:t xml:space="preserve"> </w:t>
      </w:r>
      <w:r>
        <w:rPr>
          <w:rFonts w:cs="Times New Roman"/>
          <w:szCs w:val="24"/>
        </w:rPr>
        <w:t>(2): 313</w:t>
      </w:r>
      <w:r w:rsidR="007378AF" w:rsidRPr="00F50A0D">
        <w:t>–</w:t>
      </w:r>
      <w:r>
        <w:rPr>
          <w:rFonts w:cs="Times New Roman"/>
          <w:szCs w:val="24"/>
        </w:rPr>
        <w:t>335</w:t>
      </w:r>
      <w:r w:rsidR="00094351">
        <w:rPr>
          <w:rFonts w:cs="Times New Roman"/>
          <w:szCs w:val="24"/>
        </w:rPr>
        <w:t>.</w:t>
      </w:r>
    </w:p>
    <w:p w14:paraId="1AA5D2DD" w14:textId="77777777" w:rsidR="003B29F4" w:rsidRDefault="0068457D" w:rsidP="009549C8">
      <w:pPr>
        <w:pStyle w:val="references"/>
        <w:ind w:hanging="720"/>
      </w:pPr>
      <w:r>
        <w:t>Ronfeldt, M. and P.</w:t>
      </w:r>
      <w:r w:rsidR="00326CF8" w:rsidRPr="009549C8">
        <w:t xml:space="preserve"> Grossman.</w:t>
      </w:r>
      <w:r>
        <w:t xml:space="preserve"> </w:t>
      </w:r>
      <w:r w:rsidR="00326CF8" w:rsidRPr="009549C8">
        <w:t xml:space="preserve">2008. </w:t>
      </w:r>
      <w:r>
        <w:t>“</w:t>
      </w:r>
      <w:r w:rsidR="00326CF8" w:rsidRPr="009549C8">
        <w:t xml:space="preserve">Becoming </w:t>
      </w:r>
      <w:r>
        <w:t>a</w:t>
      </w:r>
      <w:r w:rsidRPr="009549C8">
        <w:t xml:space="preserve"> Professional: Experimenting With Possible Selves</w:t>
      </w:r>
      <w:r w:rsidR="00326CF8" w:rsidRPr="009549C8">
        <w:t>.</w:t>
      </w:r>
      <w:r>
        <w:t>”</w:t>
      </w:r>
      <w:r w:rsidR="00326CF8" w:rsidRPr="009549C8">
        <w:t xml:space="preserve"> </w:t>
      </w:r>
      <w:r w:rsidR="00326CF8" w:rsidRPr="008D587D">
        <w:rPr>
          <w:i/>
        </w:rPr>
        <w:t>Teacher Education Quarterly</w:t>
      </w:r>
      <w:r>
        <w:t xml:space="preserve"> 35 (3):</w:t>
      </w:r>
      <w:r w:rsidR="00326CF8" w:rsidRPr="009549C8">
        <w:t xml:space="preserve"> 41</w:t>
      </w:r>
      <w:r w:rsidR="007378AF" w:rsidRPr="00F50A0D">
        <w:t>–</w:t>
      </w:r>
      <w:r w:rsidR="00326CF8" w:rsidRPr="009549C8">
        <w:t>59.</w:t>
      </w:r>
      <w:r w:rsidR="003B29F4" w:rsidRPr="003B29F4">
        <w:t xml:space="preserve"> </w:t>
      </w:r>
    </w:p>
    <w:p w14:paraId="66971910" w14:textId="77777777" w:rsidR="00326CF8" w:rsidRPr="009549C8" w:rsidRDefault="00326CF8" w:rsidP="009549C8">
      <w:pPr>
        <w:pStyle w:val="references"/>
        <w:ind w:hanging="720"/>
      </w:pPr>
      <w:r w:rsidRPr="009549C8">
        <w:t xml:space="preserve">Serpe, R. </w:t>
      </w:r>
      <w:r w:rsidR="0068457D">
        <w:t xml:space="preserve">and S. </w:t>
      </w:r>
      <w:r w:rsidRPr="009549C8">
        <w:t>Stryker</w:t>
      </w:r>
      <w:r w:rsidR="0068457D">
        <w:t>.</w:t>
      </w:r>
      <w:r w:rsidRPr="009549C8">
        <w:t xml:space="preserve"> 2011. </w:t>
      </w:r>
      <w:r w:rsidR="0068457D">
        <w:t>“</w:t>
      </w:r>
      <w:r w:rsidRPr="009549C8">
        <w:t xml:space="preserve">The </w:t>
      </w:r>
      <w:r w:rsidR="0068457D" w:rsidRPr="009549C8">
        <w:t>Symbo</w:t>
      </w:r>
      <w:r w:rsidR="0068457D">
        <w:t>lic Interactionist Perspective a</w:t>
      </w:r>
      <w:r w:rsidR="0068457D" w:rsidRPr="009549C8">
        <w:t>nd Identity Theory.</w:t>
      </w:r>
      <w:r w:rsidR="0068457D">
        <w:t>”</w:t>
      </w:r>
      <w:r w:rsidR="0068457D" w:rsidRPr="009549C8">
        <w:t xml:space="preserve"> </w:t>
      </w:r>
      <w:r w:rsidRPr="009549C8">
        <w:t xml:space="preserve">In </w:t>
      </w:r>
      <w:r w:rsidRPr="008D587D">
        <w:rPr>
          <w:i/>
        </w:rPr>
        <w:t>Handbook of identity theory and research</w:t>
      </w:r>
      <w:r w:rsidR="00094351">
        <w:rPr>
          <w:i/>
        </w:rPr>
        <w:t xml:space="preserve">, edited by </w:t>
      </w:r>
      <w:r w:rsidR="00094351">
        <w:t>S.J.</w:t>
      </w:r>
      <w:r w:rsidR="007378AF">
        <w:t xml:space="preserve"> </w:t>
      </w:r>
      <w:r w:rsidR="00094351">
        <w:t>Schwartz, K. Luyckx, and V.L. Vignoles</w:t>
      </w:r>
      <w:r w:rsidRPr="009549C8">
        <w:t>. New York: Springer.</w:t>
      </w:r>
    </w:p>
    <w:p w14:paraId="4DA95E2B" w14:textId="4416264B" w:rsidR="00014BB9" w:rsidRDefault="00014BB9" w:rsidP="009549C8">
      <w:pPr>
        <w:pStyle w:val="references"/>
        <w:ind w:hanging="720"/>
      </w:pPr>
      <w:r w:rsidRPr="00014BB9">
        <w:t xml:space="preserve">Sin, C. </w:t>
      </w:r>
      <w:r w:rsidR="007378AF">
        <w:t>and</w:t>
      </w:r>
      <w:r w:rsidRPr="00014BB9">
        <w:t xml:space="preserve"> Neave, G. 2016. Employability deconstructed: perceptions of Bologna stakeholders. Studies in Higher Education, 41(8), 1447</w:t>
      </w:r>
      <w:r w:rsidR="007378AF" w:rsidRPr="00F50A0D">
        <w:t>–</w:t>
      </w:r>
      <w:r w:rsidRPr="00014BB9">
        <w:t>1462.</w:t>
      </w:r>
    </w:p>
    <w:p w14:paraId="758E6BEA" w14:textId="4F114FBC" w:rsidR="00326CF8" w:rsidRPr="009549C8" w:rsidRDefault="00326CF8" w:rsidP="009549C8">
      <w:pPr>
        <w:pStyle w:val="references"/>
        <w:ind w:hanging="720"/>
      </w:pPr>
      <w:r w:rsidRPr="009549C8">
        <w:t xml:space="preserve">Singh, V., </w:t>
      </w:r>
      <w:r w:rsidR="00024304">
        <w:t xml:space="preserve">S. </w:t>
      </w:r>
      <w:r w:rsidRPr="009549C8">
        <w:t>Vinnicombe</w:t>
      </w:r>
      <w:r w:rsidR="00D907DD">
        <w:t>,</w:t>
      </w:r>
      <w:r w:rsidR="00024304">
        <w:t xml:space="preserve"> and K.</w:t>
      </w:r>
      <w:r w:rsidRPr="009549C8">
        <w:t xml:space="preserve"> James. 2006. </w:t>
      </w:r>
      <w:r w:rsidR="00024304">
        <w:t>“</w:t>
      </w:r>
      <w:r w:rsidRPr="009549C8">
        <w:t xml:space="preserve">Constructing </w:t>
      </w:r>
      <w:r w:rsidR="00024304">
        <w:t>a</w:t>
      </w:r>
      <w:r w:rsidR="00024304" w:rsidRPr="009549C8">
        <w:t xml:space="preserve"> Professional Identity: How Young Female M</w:t>
      </w:r>
      <w:r w:rsidR="00024304">
        <w:t>anagers Use Role Models</w:t>
      </w:r>
      <w:r w:rsidR="008D587D">
        <w:t>.</w:t>
      </w:r>
      <w:r w:rsidR="00024304">
        <w:t>”</w:t>
      </w:r>
      <w:r w:rsidR="008D587D">
        <w:t xml:space="preserve"> </w:t>
      </w:r>
      <w:r w:rsidR="008D587D" w:rsidRPr="008D587D">
        <w:rPr>
          <w:i/>
        </w:rPr>
        <w:t>Women i</w:t>
      </w:r>
      <w:r w:rsidRPr="008D587D">
        <w:rPr>
          <w:i/>
        </w:rPr>
        <w:t>n Management Review</w:t>
      </w:r>
      <w:r w:rsidR="00094351">
        <w:t xml:space="preserve"> </w:t>
      </w:r>
      <w:r w:rsidR="00024304">
        <w:t>21(1):</w:t>
      </w:r>
      <w:r w:rsidRPr="009549C8">
        <w:t xml:space="preserve"> 67</w:t>
      </w:r>
      <w:r w:rsidR="007378AF" w:rsidRPr="00F50A0D">
        <w:t>–</w:t>
      </w:r>
      <w:r w:rsidRPr="009549C8">
        <w:t>81.</w:t>
      </w:r>
    </w:p>
    <w:p w14:paraId="73CED71B" w14:textId="7A482EE9" w:rsidR="00094351" w:rsidRDefault="00326CF8" w:rsidP="009549C8">
      <w:pPr>
        <w:pStyle w:val="references"/>
        <w:ind w:hanging="720"/>
      </w:pPr>
      <w:r w:rsidRPr="009549C8">
        <w:lastRenderedPageBreak/>
        <w:t xml:space="preserve">Smith, S., </w:t>
      </w:r>
      <w:r w:rsidR="00024304">
        <w:t xml:space="preserve">E. </w:t>
      </w:r>
      <w:r w:rsidRPr="009549C8">
        <w:t>Sobolewska</w:t>
      </w:r>
      <w:r w:rsidR="00D907DD">
        <w:t>,</w:t>
      </w:r>
      <w:r w:rsidR="00024304">
        <w:t xml:space="preserve"> and I. </w:t>
      </w:r>
      <w:r w:rsidRPr="009549C8">
        <w:t xml:space="preserve">Smith. 2014. </w:t>
      </w:r>
      <w:r w:rsidR="00094351">
        <w:t>“</w:t>
      </w:r>
      <w:r w:rsidRPr="009549C8">
        <w:t>From employability attributes to professional identity: students transitioning to the workplace</w:t>
      </w:r>
      <w:r w:rsidR="00094351">
        <w:t>”</w:t>
      </w:r>
      <w:r w:rsidRPr="009549C8">
        <w:t xml:space="preserve">. </w:t>
      </w:r>
      <w:r w:rsidR="00094351">
        <w:rPr>
          <w:i/>
        </w:rPr>
        <w:t>Proceedings of</w:t>
      </w:r>
      <w:r w:rsidRPr="00024304">
        <w:rPr>
          <w:i/>
        </w:rPr>
        <w:t xml:space="preserve"> Frontiers in Education Conference (FIE), 2014</w:t>
      </w:r>
      <w:r w:rsidR="00094351">
        <w:rPr>
          <w:i/>
        </w:rPr>
        <w:t xml:space="preserve">, </w:t>
      </w:r>
      <w:r w:rsidR="00094351" w:rsidRPr="00094351">
        <w:t>1-8</w:t>
      </w:r>
      <w:r w:rsidRPr="00094351">
        <w:t>.</w:t>
      </w:r>
      <w:r w:rsidRPr="00024304">
        <w:rPr>
          <w:i/>
        </w:rPr>
        <w:t xml:space="preserve"> </w:t>
      </w:r>
      <w:r w:rsidR="00024304">
        <w:t>IEEE. Pp. 1</w:t>
      </w:r>
      <w:r w:rsidR="007378AF" w:rsidRPr="00F50A0D">
        <w:t>–</w:t>
      </w:r>
      <w:r w:rsidR="00024304">
        <w:t xml:space="preserve">8. </w:t>
      </w:r>
    </w:p>
    <w:p w14:paraId="611F249D" w14:textId="2DD7C3BF" w:rsidR="00E66796" w:rsidRDefault="00864207" w:rsidP="009549C8">
      <w:pPr>
        <w:pStyle w:val="references"/>
        <w:ind w:hanging="720"/>
      </w:pPr>
      <w:r>
        <w:t>Stevenson, J</w:t>
      </w:r>
      <w:r w:rsidR="00D907DD">
        <w:t xml:space="preserve"> and</w:t>
      </w:r>
      <w:r>
        <w:t xml:space="preserve"> </w:t>
      </w:r>
      <w:r w:rsidR="00D907DD">
        <w:t xml:space="preserve">S. </w:t>
      </w:r>
      <w:r>
        <w:t>Clegg. 2011</w:t>
      </w:r>
      <w:r w:rsidR="00E66796" w:rsidRPr="00E66796">
        <w:t xml:space="preserve">. Possible selves: Students orientating themselves towards the future through extracurricular activity. </w:t>
      </w:r>
      <w:r w:rsidR="00E66796" w:rsidRPr="005A456A">
        <w:rPr>
          <w:i/>
        </w:rPr>
        <w:t>British Educational Research Journal,</w:t>
      </w:r>
      <w:r w:rsidR="00E66796" w:rsidRPr="00E66796">
        <w:t xml:space="preserve"> 37(2), 231-246.</w:t>
      </w:r>
    </w:p>
    <w:p w14:paraId="02CC73FB" w14:textId="77777777" w:rsidR="00326CF8" w:rsidRPr="009549C8" w:rsidRDefault="00326CF8" w:rsidP="009549C8">
      <w:pPr>
        <w:pStyle w:val="references"/>
        <w:ind w:hanging="720"/>
      </w:pPr>
      <w:r w:rsidRPr="009549C8">
        <w:t xml:space="preserve">Stryker, S. </w:t>
      </w:r>
      <w:r w:rsidR="00024304">
        <w:t xml:space="preserve">and P.J. </w:t>
      </w:r>
      <w:r w:rsidRPr="009549C8">
        <w:t xml:space="preserve">Burke. 2000. </w:t>
      </w:r>
      <w:r w:rsidR="00024304">
        <w:t>“</w:t>
      </w:r>
      <w:r w:rsidRPr="009549C8">
        <w:t xml:space="preserve">The </w:t>
      </w:r>
      <w:r w:rsidR="00024304">
        <w:t>Past, Present and Future of a</w:t>
      </w:r>
      <w:r w:rsidR="00024304" w:rsidRPr="009549C8">
        <w:t>n Identity Theory</w:t>
      </w:r>
      <w:r w:rsidRPr="009549C8">
        <w:t>.</w:t>
      </w:r>
      <w:r w:rsidR="00024304">
        <w:t>”</w:t>
      </w:r>
      <w:r w:rsidRPr="009549C8">
        <w:t xml:space="preserve"> </w:t>
      </w:r>
      <w:r w:rsidRPr="008D587D">
        <w:rPr>
          <w:i/>
        </w:rPr>
        <w:t>Social Psychology Quarterly</w:t>
      </w:r>
      <w:r w:rsidR="00024304">
        <w:t xml:space="preserve"> 63 (4):</w:t>
      </w:r>
      <w:r w:rsidRPr="009549C8">
        <w:t xml:space="preserve"> 284</w:t>
      </w:r>
      <w:r w:rsidR="007378AF" w:rsidRPr="00F50A0D">
        <w:t>–</w:t>
      </w:r>
      <w:r w:rsidRPr="009549C8">
        <w:t>297.</w:t>
      </w:r>
    </w:p>
    <w:p w14:paraId="788A0898" w14:textId="77777777" w:rsidR="00326CF8" w:rsidRDefault="00326CF8" w:rsidP="009549C8">
      <w:pPr>
        <w:pStyle w:val="references"/>
        <w:ind w:hanging="720"/>
      </w:pPr>
      <w:r w:rsidRPr="009549C8">
        <w:t xml:space="preserve">Sveningsson, S. </w:t>
      </w:r>
      <w:r w:rsidR="00024304">
        <w:t xml:space="preserve">and M. </w:t>
      </w:r>
      <w:r w:rsidRPr="009549C8">
        <w:t>Alvesson.</w:t>
      </w:r>
      <w:r w:rsidR="00024304">
        <w:t xml:space="preserve"> </w:t>
      </w:r>
      <w:r w:rsidRPr="009549C8">
        <w:t xml:space="preserve">2003. </w:t>
      </w:r>
      <w:r w:rsidR="00024304">
        <w:t>“</w:t>
      </w:r>
      <w:r w:rsidRPr="009549C8">
        <w:t xml:space="preserve">Managing </w:t>
      </w:r>
      <w:r w:rsidR="00024304" w:rsidRPr="009549C8">
        <w:t>Managerial Identities: Organizational Fragmentation, Discours</w:t>
      </w:r>
      <w:r w:rsidR="00024304">
        <w:t>e and Identity Struggle</w:t>
      </w:r>
      <w:r w:rsidR="008D587D">
        <w:t>.</w:t>
      </w:r>
      <w:r w:rsidR="00024304">
        <w:t>”</w:t>
      </w:r>
      <w:r w:rsidR="008D587D">
        <w:t xml:space="preserve"> </w:t>
      </w:r>
      <w:r w:rsidR="008D587D" w:rsidRPr="008D587D">
        <w:rPr>
          <w:i/>
        </w:rPr>
        <w:t>Human R</w:t>
      </w:r>
      <w:r w:rsidRPr="008D587D">
        <w:rPr>
          <w:i/>
        </w:rPr>
        <w:t>elations</w:t>
      </w:r>
      <w:r w:rsidRPr="009549C8">
        <w:t xml:space="preserve"> 56 (10)</w:t>
      </w:r>
      <w:r w:rsidR="00024304">
        <w:t xml:space="preserve">: </w:t>
      </w:r>
      <w:r w:rsidRPr="009549C8">
        <w:t>1163</w:t>
      </w:r>
      <w:r w:rsidR="007378AF" w:rsidRPr="00F50A0D">
        <w:t>–</w:t>
      </w:r>
      <w:r w:rsidRPr="009549C8">
        <w:t>1193.</w:t>
      </w:r>
    </w:p>
    <w:p w14:paraId="6278BA10" w14:textId="497D3CF8" w:rsidR="00DF3B8F" w:rsidRPr="009549C8" w:rsidRDefault="00024304" w:rsidP="009549C8">
      <w:pPr>
        <w:pStyle w:val="references"/>
        <w:ind w:hanging="720"/>
      </w:pPr>
      <w:r>
        <w:t xml:space="preserve">Swann, W.B., Jr. </w:t>
      </w:r>
      <w:r w:rsidR="00DF3B8F" w:rsidRPr="00DF3B8F">
        <w:t xml:space="preserve">1983. </w:t>
      </w:r>
      <w:r>
        <w:t>“</w:t>
      </w:r>
      <w:r w:rsidR="00DF3B8F" w:rsidRPr="00DF3B8F">
        <w:t>Self-Verification: Bringing Social Reality into Harmony with the Self.</w:t>
      </w:r>
      <w:r>
        <w:t>”</w:t>
      </w:r>
      <w:r w:rsidR="00DF3B8F" w:rsidRPr="00DF3B8F">
        <w:t xml:space="preserve"> In </w:t>
      </w:r>
      <w:r w:rsidR="00DF3B8F" w:rsidRPr="00F41D2A">
        <w:rPr>
          <w:i/>
        </w:rPr>
        <w:t>Social Psychological Perspectives on the Self</w:t>
      </w:r>
      <w:r w:rsidRPr="00094351">
        <w:rPr>
          <w:i/>
        </w:rPr>
        <w:t>. Vol. 2</w:t>
      </w:r>
      <w:r w:rsidR="00094351">
        <w:t>, edited by J. Suls and A.G. Greenwald.</w:t>
      </w:r>
      <w:r w:rsidR="00DF3B8F" w:rsidRPr="00DF3B8F">
        <w:t xml:space="preserve"> 33–66. Hillsdale, NJ: Erlbaum.</w:t>
      </w:r>
    </w:p>
    <w:p w14:paraId="4C86D88B" w14:textId="77777777" w:rsidR="00326CF8" w:rsidRPr="009549C8" w:rsidRDefault="00024304">
      <w:pPr>
        <w:pStyle w:val="references"/>
        <w:ind w:hanging="720"/>
      </w:pPr>
      <w:r>
        <w:t xml:space="preserve">Sweitzer, V.B. </w:t>
      </w:r>
      <w:r w:rsidR="00326CF8" w:rsidRPr="009549C8">
        <w:t xml:space="preserve">2009. </w:t>
      </w:r>
      <w:r>
        <w:t>“</w:t>
      </w:r>
      <w:r w:rsidR="00326CF8" w:rsidRPr="009549C8">
        <w:t xml:space="preserve">Towards </w:t>
      </w:r>
      <w:r>
        <w:t>a Theory o</w:t>
      </w:r>
      <w:r w:rsidRPr="009549C8">
        <w:t>f Doctoral Student Professional Identity Development: A Developmental Networks Approach</w:t>
      </w:r>
      <w:r w:rsidR="00326CF8" w:rsidRPr="009549C8">
        <w:t>.</w:t>
      </w:r>
      <w:r>
        <w:t>”</w:t>
      </w:r>
      <w:r w:rsidR="00326CF8" w:rsidRPr="009549C8">
        <w:t xml:space="preserve"> </w:t>
      </w:r>
      <w:r w:rsidR="00326CF8" w:rsidRPr="008D587D">
        <w:rPr>
          <w:i/>
        </w:rPr>
        <w:t>The Journal of Higher Education</w:t>
      </w:r>
      <w:r>
        <w:t xml:space="preserve"> 80 (1):</w:t>
      </w:r>
      <w:r w:rsidR="00326CF8" w:rsidRPr="009549C8">
        <w:t xml:space="preserve"> 1</w:t>
      </w:r>
      <w:r w:rsidR="007378AF" w:rsidRPr="00F50A0D">
        <w:t>–</w:t>
      </w:r>
      <w:r w:rsidR="00326CF8" w:rsidRPr="009549C8">
        <w:t>33.</w:t>
      </w:r>
    </w:p>
    <w:p w14:paraId="6C2E3971" w14:textId="6498D3FA" w:rsidR="00AA2643" w:rsidRDefault="00AA2643" w:rsidP="009549C8">
      <w:pPr>
        <w:pStyle w:val="references"/>
        <w:ind w:hanging="720"/>
      </w:pPr>
      <w:r w:rsidRPr="00AA2643">
        <w:t xml:space="preserve">Thompson, D.W. 2016. </w:t>
      </w:r>
      <w:r w:rsidR="007378AF">
        <w:t>“</w:t>
      </w:r>
      <w:r w:rsidRPr="00AA2643">
        <w:t>How valuable is ‘short project’placement experience to higher education students?</w:t>
      </w:r>
      <w:r w:rsidR="007378AF">
        <w:t>”</w:t>
      </w:r>
      <w:r w:rsidRPr="00AA2643">
        <w:t xml:space="preserve"> </w:t>
      </w:r>
      <w:r w:rsidRPr="00AA2643">
        <w:rPr>
          <w:i/>
        </w:rPr>
        <w:t>Journal of Further and Higher Education</w:t>
      </w:r>
      <w:r>
        <w:t>, 41 (3): 413</w:t>
      </w:r>
      <w:r w:rsidR="007378AF" w:rsidRPr="00F50A0D">
        <w:t>–</w:t>
      </w:r>
      <w:r>
        <w:t>424</w:t>
      </w:r>
      <w:r w:rsidRPr="00AA2643">
        <w:t>.</w:t>
      </w:r>
    </w:p>
    <w:p w14:paraId="445E81F0" w14:textId="77777777" w:rsidR="004A34B3" w:rsidRDefault="00094351" w:rsidP="009549C8">
      <w:pPr>
        <w:pStyle w:val="references"/>
        <w:ind w:hanging="720"/>
      </w:pPr>
      <w:r>
        <w:t xml:space="preserve">Tomlinson, M. </w:t>
      </w:r>
      <w:r w:rsidR="004A34B3" w:rsidRPr="004A34B3">
        <w:t xml:space="preserve">2010. </w:t>
      </w:r>
      <w:r>
        <w:t>“</w:t>
      </w:r>
      <w:r w:rsidR="004A34B3" w:rsidRPr="004A34B3">
        <w:t>Investing in the self: structure, agency and identity in graduates' employability</w:t>
      </w:r>
      <w:r>
        <w:t>”</w:t>
      </w:r>
      <w:r w:rsidR="004A34B3" w:rsidRPr="004A34B3">
        <w:t xml:space="preserve">. </w:t>
      </w:r>
      <w:r w:rsidR="004A34B3" w:rsidRPr="00094351">
        <w:rPr>
          <w:i/>
        </w:rPr>
        <w:t>Education, Knowledge &amp; Economy</w:t>
      </w:r>
      <w:r w:rsidR="004A34B3" w:rsidRPr="004A34B3">
        <w:t xml:space="preserve"> 4</w:t>
      </w:r>
      <w:r>
        <w:t xml:space="preserve"> </w:t>
      </w:r>
      <w:r w:rsidR="004A34B3" w:rsidRPr="004A34B3">
        <w:t>(2)</w:t>
      </w:r>
      <w:r>
        <w:t>:</w:t>
      </w:r>
      <w:r w:rsidR="004A34B3" w:rsidRPr="004A34B3">
        <w:t xml:space="preserve"> 73</w:t>
      </w:r>
      <w:r w:rsidR="007378AF" w:rsidRPr="00F50A0D">
        <w:t>–</w:t>
      </w:r>
      <w:r w:rsidR="004A34B3" w:rsidRPr="004A34B3">
        <w:t>88.</w:t>
      </w:r>
    </w:p>
    <w:p w14:paraId="78AB9E97" w14:textId="77777777" w:rsidR="00503D55" w:rsidRDefault="00503D55" w:rsidP="009549C8">
      <w:pPr>
        <w:pStyle w:val="references"/>
        <w:ind w:hanging="720"/>
      </w:pPr>
      <w:r w:rsidRPr="00503D55">
        <w:t>Tymon, A. 2013. The student perspective on employability. Studies in higher education, 38(6), 841</w:t>
      </w:r>
      <w:r w:rsidR="006521A2" w:rsidRPr="00F50A0D">
        <w:t>–</w:t>
      </w:r>
      <w:r w:rsidRPr="00503D55">
        <w:t>856.</w:t>
      </w:r>
    </w:p>
    <w:p w14:paraId="6AEFEEDB" w14:textId="000CA7C0" w:rsidR="001A7BFB" w:rsidRDefault="001A7BFB" w:rsidP="009549C8">
      <w:pPr>
        <w:pStyle w:val="references"/>
        <w:ind w:hanging="720"/>
      </w:pPr>
      <w:r w:rsidRPr="001A7BFB">
        <w:t xml:space="preserve">van Winkel, M.A., </w:t>
      </w:r>
      <w:r w:rsidR="00D907DD">
        <w:t xml:space="preserve">R.M. </w:t>
      </w:r>
      <w:r w:rsidRPr="001A7BFB">
        <w:t xml:space="preserve">van der Rijst, </w:t>
      </w:r>
      <w:r w:rsidR="00D907DD">
        <w:t>R.F.</w:t>
      </w:r>
      <w:r w:rsidRPr="001A7BFB">
        <w:t xml:space="preserve"> Po</w:t>
      </w:r>
      <w:r w:rsidR="00864207">
        <w:t xml:space="preserve">ell, </w:t>
      </w:r>
      <w:r w:rsidR="00D907DD">
        <w:t>and J.H.</w:t>
      </w:r>
      <w:r w:rsidR="00864207">
        <w:t xml:space="preserve"> van Driel,. 2017</w:t>
      </w:r>
      <w:r w:rsidRPr="001A7BFB">
        <w:t xml:space="preserve">. Identities of research-active academics in new universities: Towards a complete academic </w:t>
      </w:r>
      <w:r w:rsidRPr="001A7BFB">
        <w:lastRenderedPageBreak/>
        <w:t xml:space="preserve">profession cross-cutting different worlds of practice. </w:t>
      </w:r>
      <w:r w:rsidRPr="005A456A">
        <w:rPr>
          <w:i/>
        </w:rPr>
        <w:t>Journal of Further and Higher Education</w:t>
      </w:r>
      <w:r w:rsidRPr="001A7BFB">
        <w:t>, 1-17.</w:t>
      </w:r>
    </w:p>
    <w:p w14:paraId="11AB25E5" w14:textId="77777777" w:rsidR="00326CF8" w:rsidRPr="009549C8" w:rsidRDefault="00326CF8" w:rsidP="009549C8">
      <w:pPr>
        <w:pStyle w:val="references"/>
        <w:ind w:hanging="720"/>
      </w:pPr>
      <w:r w:rsidRPr="009549C8">
        <w:t xml:space="preserve">Wright, C.A. </w:t>
      </w:r>
      <w:r w:rsidR="00024304">
        <w:t xml:space="preserve">and S.D. </w:t>
      </w:r>
      <w:r w:rsidRPr="009549C8">
        <w:t>Wright</w:t>
      </w:r>
      <w:r w:rsidR="00024304">
        <w:t>.</w:t>
      </w:r>
      <w:r w:rsidRPr="009549C8">
        <w:t xml:space="preserve"> 1987. </w:t>
      </w:r>
      <w:r w:rsidR="00024304">
        <w:t>“</w:t>
      </w:r>
      <w:r w:rsidRPr="009549C8">
        <w:t xml:space="preserve">The </w:t>
      </w:r>
      <w:r w:rsidR="00024304">
        <w:t xml:space="preserve">Role of Mentors in </w:t>
      </w:r>
      <w:r w:rsidR="00094351">
        <w:t>t</w:t>
      </w:r>
      <w:r w:rsidR="00024304">
        <w:t>he Career Development o</w:t>
      </w:r>
      <w:r w:rsidR="00024304" w:rsidRPr="009549C8">
        <w:t>f Young Professionals</w:t>
      </w:r>
      <w:r w:rsidRPr="009549C8">
        <w:t>.</w:t>
      </w:r>
      <w:r w:rsidR="00024304">
        <w:t>”</w:t>
      </w:r>
      <w:r w:rsidRPr="009549C8">
        <w:t xml:space="preserve"> </w:t>
      </w:r>
      <w:r w:rsidRPr="008D587D">
        <w:rPr>
          <w:i/>
        </w:rPr>
        <w:t>Family Relations</w:t>
      </w:r>
      <w:r w:rsidR="00024304">
        <w:t xml:space="preserve"> 36 (2): </w:t>
      </w:r>
      <w:r w:rsidRPr="009549C8">
        <w:t>204</w:t>
      </w:r>
      <w:r w:rsidR="006521A2" w:rsidRPr="00F50A0D">
        <w:t>–</w:t>
      </w:r>
      <w:r w:rsidRPr="009549C8">
        <w:t>208.</w:t>
      </w:r>
    </w:p>
    <w:p w14:paraId="6DD9900A" w14:textId="2F4A4A78" w:rsidR="00807DF7" w:rsidRDefault="00326CF8" w:rsidP="009549C8">
      <w:pPr>
        <w:pStyle w:val="references"/>
        <w:ind w:hanging="720"/>
      </w:pPr>
      <w:r w:rsidRPr="009549C8">
        <w:t xml:space="preserve">Wong, A. </w:t>
      </w:r>
      <w:r w:rsidR="00024304">
        <w:t>and K</w:t>
      </w:r>
      <w:r w:rsidR="00D907DD">
        <w:t>.</w:t>
      </w:r>
      <w:r w:rsidR="00024304">
        <w:t xml:space="preserve"> </w:t>
      </w:r>
      <w:r w:rsidRPr="009549C8">
        <w:t xml:space="preserve">Trollope-Kumar. 2014. </w:t>
      </w:r>
      <w:r w:rsidR="00024304">
        <w:t>“</w:t>
      </w:r>
      <w:r w:rsidRPr="009549C8">
        <w:t>Reflections</w:t>
      </w:r>
      <w:r w:rsidR="00024304">
        <w:t>: An Inquiry i</w:t>
      </w:r>
      <w:r w:rsidR="00024304" w:rsidRPr="009549C8">
        <w:t>nto Medical Students</w:t>
      </w:r>
      <w:r w:rsidR="009527F3">
        <w:t>”</w:t>
      </w:r>
      <w:r w:rsidR="00024304" w:rsidRPr="009549C8">
        <w:t xml:space="preserve"> Professional Identity Formation</w:t>
      </w:r>
      <w:r w:rsidRPr="009549C8">
        <w:t>.</w:t>
      </w:r>
      <w:r w:rsidR="00024304">
        <w:t>”</w:t>
      </w:r>
      <w:r w:rsidRPr="009549C8">
        <w:t xml:space="preserve"> </w:t>
      </w:r>
      <w:r w:rsidRPr="008D587D">
        <w:rPr>
          <w:i/>
        </w:rPr>
        <w:t>Medical Education</w:t>
      </w:r>
      <w:r w:rsidRPr="009549C8">
        <w:t xml:space="preserve"> 48 (5)</w:t>
      </w:r>
      <w:r w:rsidR="00024304">
        <w:t xml:space="preserve">: </w:t>
      </w:r>
      <w:r w:rsidRPr="009549C8">
        <w:t>489–501.</w:t>
      </w:r>
    </w:p>
    <w:p w14:paraId="4E77C545" w14:textId="77777777" w:rsidR="00D918B6" w:rsidRDefault="00D918B6" w:rsidP="009549C8">
      <w:pPr>
        <w:pStyle w:val="references"/>
        <w:ind w:hanging="720"/>
      </w:pPr>
      <w:r w:rsidRPr="00D918B6">
        <w:t>Yorke, M. (Ed.)</w:t>
      </w:r>
      <w:r w:rsidR="00864207">
        <w:t xml:space="preserve">. </w:t>
      </w:r>
      <w:r w:rsidRPr="00D918B6">
        <w:t>2004</w:t>
      </w:r>
      <w:r w:rsidR="00864207">
        <w:t>.</w:t>
      </w:r>
      <w:r w:rsidRPr="00D918B6">
        <w:t xml:space="preserve"> </w:t>
      </w:r>
      <w:r w:rsidRPr="005A456A">
        <w:rPr>
          <w:i/>
        </w:rPr>
        <w:t>Learning &amp; Employability</w:t>
      </w:r>
      <w:r w:rsidRPr="00D918B6">
        <w:t xml:space="preserve"> (York: Learning &amp; Teaching Support Network).</w:t>
      </w:r>
    </w:p>
    <w:p w14:paraId="63D7C8CC" w14:textId="77777777" w:rsidR="0034251C" w:rsidRDefault="0034251C">
      <w:pPr>
        <w:spacing w:after="200" w:line="276" w:lineRule="auto"/>
        <w:ind w:firstLine="0"/>
      </w:pPr>
      <w:r>
        <w:br w:type="page"/>
      </w:r>
    </w:p>
    <w:tbl>
      <w:tblPr>
        <w:tblStyle w:val="TableGrid"/>
        <w:tblW w:w="0" w:type="auto"/>
        <w:tblInd w:w="113"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2391"/>
        <w:gridCol w:w="2391"/>
        <w:gridCol w:w="2392"/>
      </w:tblGrid>
      <w:tr w:rsidR="0034251C" w14:paraId="76F0E42D" w14:textId="77777777" w:rsidTr="005F6A25">
        <w:tc>
          <w:tcPr>
            <w:tcW w:w="2391" w:type="dxa"/>
          </w:tcPr>
          <w:p w14:paraId="683F270E" w14:textId="77777777" w:rsidR="0034251C" w:rsidRPr="00E172C9" w:rsidRDefault="0034251C" w:rsidP="005F6A25">
            <w:pPr>
              <w:pStyle w:val="Tabletext"/>
              <w:rPr>
                <w:b/>
              </w:rPr>
            </w:pPr>
            <w:r w:rsidRPr="00E172C9">
              <w:rPr>
                <w:b/>
              </w:rPr>
              <w:lastRenderedPageBreak/>
              <w:t>Subject discipline</w:t>
            </w:r>
          </w:p>
        </w:tc>
        <w:tc>
          <w:tcPr>
            <w:tcW w:w="2391" w:type="dxa"/>
          </w:tcPr>
          <w:p w14:paraId="59CA21F8" w14:textId="77777777" w:rsidR="0034251C" w:rsidRPr="00C171C6" w:rsidRDefault="0034251C" w:rsidP="005F6A25">
            <w:pPr>
              <w:pStyle w:val="Tabletext"/>
              <w:rPr>
                <w:b/>
              </w:rPr>
            </w:pPr>
            <w:r>
              <w:rPr>
                <w:b/>
              </w:rPr>
              <w:t>Survey responses (n=199)</w:t>
            </w:r>
          </w:p>
        </w:tc>
        <w:tc>
          <w:tcPr>
            <w:tcW w:w="2392" w:type="dxa"/>
          </w:tcPr>
          <w:p w14:paraId="3A8617C9" w14:textId="77777777" w:rsidR="0034251C" w:rsidRDefault="0034251C" w:rsidP="005F6A25">
            <w:pPr>
              <w:pStyle w:val="Tabletext"/>
              <w:rPr>
                <w:b/>
              </w:rPr>
            </w:pPr>
            <w:r>
              <w:rPr>
                <w:b/>
              </w:rPr>
              <w:t xml:space="preserve">Interviewees </w:t>
            </w:r>
          </w:p>
          <w:p w14:paraId="454B5B0D" w14:textId="77777777" w:rsidR="0034251C" w:rsidRPr="00C171C6" w:rsidRDefault="0034251C" w:rsidP="005F6A25">
            <w:pPr>
              <w:pStyle w:val="Tabletext"/>
              <w:rPr>
                <w:b/>
              </w:rPr>
            </w:pPr>
            <w:r>
              <w:rPr>
                <w:b/>
              </w:rPr>
              <w:t>(n=15)</w:t>
            </w:r>
            <w:r w:rsidRPr="00C171C6">
              <w:rPr>
                <w:b/>
              </w:rPr>
              <w:t xml:space="preserve"> </w:t>
            </w:r>
          </w:p>
        </w:tc>
      </w:tr>
      <w:tr w:rsidR="0034251C" w14:paraId="45D5A896" w14:textId="77777777" w:rsidTr="005F6A25">
        <w:tc>
          <w:tcPr>
            <w:tcW w:w="2391" w:type="dxa"/>
          </w:tcPr>
          <w:p w14:paraId="126E861D" w14:textId="77777777" w:rsidR="0034251C" w:rsidRPr="00D34064" w:rsidRDefault="0034251C" w:rsidP="005F6A25">
            <w:pPr>
              <w:pStyle w:val="Tabletext"/>
            </w:pPr>
            <w:r>
              <w:t>Computer Science</w:t>
            </w:r>
          </w:p>
        </w:tc>
        <w:tc>
          <w:tcPr>
            <w:tcW w:w="2391" w:type="dxa"/>
          </w:tcPr>
          <w:p w14:paraId="351BD270" w14:textId="77777777" w:rsidR="0034251C" w:rsidRPr="00C81734" w:rsidRDefault="0034251C" w:rsidP="005F6A25">
            <w:pPr>
              <w:pStyle w:val="Tabletext"/>
            </w:pPr>
            <w:r>
              <w:t>92</w:t>
            </w:r>
          </w:p>
        </w:tc>
        <w:tc>
          <w:tcPr>
            <w:tcW w:w="2392" w:type="dxa"/>
          </w:tcPr>
          <w:p w14:paraId="0764EC9B" w14:textId="77777777" w:rsidR="0034251C" w:rsidRPr="00D273CE" w:rsidRDefault="0034251C" w:rsidP="005F6A25">
            <w:pPr>
              <w:pStyle w:val="Tabletext"/>
            </w:pPr>
            <w:r>
              <w:t>5</w:t>
            </w:r>
          </w:p>
        </w:tc>
      </w:tr>
      <w:tr w:rsidR="0034251C" w14:paraId="26A654E5" w14:textId="77777777" w:rsidTr="005F6A25">
        <w:tc>
          <w:tcPr>
            <w:tcW w:w="2391" w:type="dxa"/>
          </w:tcPr>
          <w:p w14:paraId="30B157C3" w14:textId="77777777" w:rsidR="0034251C" w:rsidRPr="00D34064" w:rsidRDefault="0034251C" w:rsidP="005F6A25">
            <w:pPr>
              <w:pStyle w:val="Tabletext"/>
            </w:pPr>
            <w:r>
              <w:t>Graphic Design</w:t>
            </w:r>
          </w:p>
        </w:tc>
        <w:tc>
          <w:tcPr>
            <w:tcW w:w="2391" w:type="dxa"/>
          </w:tcPr>
          <w:p w14:paraId="1E80A271" w14:textId="77777777" w:rsidR="0034251C" w:rsidRPr="00C81734" w:rsidRDefault="0034251C" w:rsidP="005F6A25">
            <w:pPr>
              <w:pStyle w:val="Tabletext"/>
            </w:pPr>
            <w:r>
              <w:t>62</w:t>
            </w:r>
          </w:p>
        </w:tc>
        <w:tc>
          <w:tcPr>
            <w:tcW w:w="2392" w:type="dxa"/>
          </w:tcPr>
          <w:p w14:paraId="47E49148" w14:textId="77777777" w:rsidR="0034251C" w:rsidRPr="00D273CE" w:rsidRDefault="0034251C" w:rsidP="005F6A25">
            <w:pPr>
              <w:pStyle w:val="Tabletext"/>
            </w:pPr>
            <w:r>
              <w:t>7</w:t>
            </w:r>
          </w:p>
        </w:tc>
      </w:tr>
      <w:tr w:rsidR="0034251C" w14:paraId="78BEC711" w14:textId="77777777" w:rsidTr="005F6A25">
        <w:tc>
          <w:tcPr>
            <w:tcW w:w="2391" w:type="dxa"/>
          </w:tcPr>
          <w:p w14:paraId="56139195" w14:textId="77777777" w:rsidR="0034251C" w:rsidRPr="00D34064" w:rsidRDefault="0034251C" w:rsidP="005F6A25">
            <w:pPr>
              <w:pStyle w:val="Tabletext"/>
            </w:pPr>
            <w:r>
              <w:t>Vet Nursing</w:t>
            </w:r>
          </w:p>
        </w:tc>
        <w:tc>
          <w:tcPr>
            <w:tcW w:w="2391" w:type="dxa"/>
          </w:tcPr>
          <w:p w14:paraId="47C4EA67" w14:textId="77777777" w:rsidR="0034251C" w:rsidRPr="00C81734" w:rsidRDefault="0034251C" w:rsidP="005F6A25">
            <w:pPr>
              <w:pStyle w:val="Tabletext"/>
            </w:pPr>
            <w:r>
              <w:t>28</w:t>
            </w:r>
          </w:p>
        </w:tc>
        <w:tc>
          <w:tcPr>
            <w:tcW w:w="2392" w:type="dxa"/>
          </w:tcPr>
          <w:p w14:paraId="6861531F" w14:textId="77777777" w:rsidR="0034251C" w:rsidRPr="00D273CE" w:rsidRDefault="0034251C" w:rsidP="005F6A25">
            <w:pPr>
              <w:pStyle w:val="Tabletext"/>
            </w:pPr>
            <w:r>
              <w:t>0</w:t>
            </w:r>
          </w:p>
        </w:tc>
      </w:tr>
      <w:tr w:rsidR="0034251C" w14:paraId="6A0D5E10" w14:textId="77777777" w:rsidTr="005F6A25">
        <w:tc>
          <w:tcPr>
            <w:tcW w:w="2391" w:type="dxa"/>
          </w:tcPr>
          <w:p w14:paraId="49E7CC37" w14:textId="77777777" w:rsidR="0034251C" w:rsidRPr="00D34064" w:rsidRDefault="0034251C" w:rsidP="005F6A25">
            <w:pPr>
              <w:pStyle w:val="Tabletext"/>
            </w:pPr>
            <w:r>
              <w:t xml:space="preserve">Film </w:t>
            </w:r>
          </w:p>
        </w:tc>
        <w:tc>
          <w:tcPr>
            <w:tcW w:w="2391" w:type="dxa"/>
          </w:tcPr>
          <w:p w14:paraId="5C922954" w14:textId="77777777" w:rsidR="0034251C" w:rsidRPr="00C81734" w:rsidRDefault="0034251C" w:rsidP="005F6A25">
            <w:pPr>
              <w:pStyle w:val="Tabletext"/>
            </w:pPr>
            <w:r>
              <w:t>13</w:t>
            </w:r>
          </w:p>
        </w:tc>
        <w:tc>
          <w:tcPr>
            <w:tcW w:w="2392" w:type="dxa"/>
          </w:tcPr>
          <w:p w14:paraId="6E486310" w14:textId="77777777" w:rsidR="0034251C" w:rsidRPr="00D273CE" w:rsidRDefault="0034251C" w:rsidP="005F6A25">
            <w:pPr>
              <w:pStyle w:val="Tabletext"/>
            </w:pPr>
            <w:r>
              <w:t>1</w:t>
            </w:r>
          </w:p>
        </w:tc>
      </w:tr>
      <w:tr w:rsidR="0034251C" w14:paraId="7841F267" w14:textId="77777777" w:rsidTr="005F6A25">
        <w:tc>
          <w:tcPr>
            <w:tcW w:w="2391" w:type="dxa"/>
          </w:tcPr>
          <w:p w14:paraId="1DDE7264" w14:textId="77777777" w:rsidR="0034251C" w:rsidRDefault="0034251C" w:rsidP="005F6A25">
            <w:pPr>
              <w:pStyle w:val="Tabletext"/>
            </w:pPr>
            <w:r>
              <w:t>Law</w:t>
            </w:r>
          </w:p>
        </w:tc>
        <w:tc>
          <w:tcPr>
            <w:tcW w:w="2391" w:type="dxa"/>
          </w:tcPr>
          <w:p w14:paraId="79D7335A" w14:textId="77777777" w:rsidR="0034251C" w:rsidRPr="00C81734" w:rsidRDefault="0034251C" w:rsidP="005F6A25">
            <w:pPr>
              <w:pStyle w:val="Tabletext"/>
            </w:pPr>
            <w:r>
              <w:t>4</w:t>
            </w:r>
          </w:p>
        </w:tc>
        <w:tc>
          <w:tcPr>
            <w:tcW w:w="2392" w:type="dxa"/>
          </w:tcPr>
          <w:p w14:paraId="4FD9F968" w14:textId="77777777" w:rsidR="0034251C" w:rsidRPr="00D273CE" w:rsidRDefault="0034251C" w:rsidP="005F6A25">
            <w:pPr>
              <w:pStyle w:val="Tabletext"/>
            </w:pPr>
            <w:r>
              <w:t>2</w:t>
            </w:r>
          </w:p>
        </w:tc>
      </w:tr>
      <w:tr w:rsidR="0034251C" w14:paraId="3CA38D2F" w14:textId="77777777" w:rsidTr="005F6A25">
        <w:tc>
          <w:tcPr>
            <w:tcW w:w="2391" w:type="dxa"/>
          </w:tcPr>
          <w:p w14:paraId="14FD61A4" w14:textId="77777777" w:rsidR="0034251C" w:rsidRDefault="0034251C" w:rsidP="005F6A25">
            <w:pPr>
              <w:pStyle w:val="Tabletext"/>
            </w:pPr>
          </w:p>
        </w:tc>
        <w:tc>
          <w:tcPr>
            <w:tcW w:w="2391" w:type="dxa"/>
          </w:tcPr>
          <w:p w14:paraId="57978CBF" w14:textId="77777777" w:rsidR="0034251C" w:rsidRDefault="0034251C" w:rsidP="005F6A25">
            <w:pPr>
              <w:pStyle w:val="Tabletext"/>
            </w:pPr>
          </w:p>
        </w:tc>
        <w:tc>
          <w:tcPr>
            <w:tcW w:w="2392" w:type="dxa"/>
          </w:tcPr>
          <w:p w14:paraId="6BFF4FC1" w14:textId="77777777" w:rsidR="0034251C" w:rsidRDefault="0034251C" w:rsidP="005F6A25">
            <w:pPr>
              <w:pStyle w:val="Tabletext"/>
            </w:pPr>
          </w:p>
        </w:tc>
      </w:tr>
      <w:tr w:rsidR="0034251C" w14:paraId="60E3AFCE" w14:textId="77777777" w:rsidTr="005F6A25">
        <w:tc>
          <w:tcPr>
            <w:tcW w:w="2391" w:type="dxa"/>
          </w:tcPr>
          <w:p w14:paraId="696C1778" w14:textId="77777777" w:rsidR="0034251C" w:rsidRPr="00E172C9" w:rsidRDefault="0034251C" w:rsidP="005F6A25">
            <w:pPr>
              <w:pStyle w:val="Tabletext"/>
              <w:rPr>
                <w:b/>
              </w:rPr>
            </w:pPr>
            <w:r w:rsidRPr="00E172C9">
              <w:rPr>
                <w:b/>
              </w:rPr>
              <w:t>Gender</w:t>
            </w:r>
          </w:p>
        </w:tc>
        <w:tc>
          <w:tcPr>
            <w:tcW w:w="2391" w:type="dxa"/>
          </w:tcPr>
          <w:p w14:paraId="72CD36CD" w14:textId="77777777" w:rsidR="0034251C" w:rsidRDefault="0034251C" w:rsidP="005F6A25">
            <w:pPr>
              <w:pStyle w:val="Tabletext"/>
            </w:pPr>
            <w:r>
              <w:t>Male/ Female</w:t>
            </w:r>
          </w:p>
        </w:tc>
        <w:tc>
          <w:tcPr>
            <w:tcW w:w="2392" w:type="dxa"/>
          </w:tcPr>
          <w:p w14:paraId="45BC3901" w14:textId="77777777" w:rsidR="0034251C" w:rsidRDefault="0034251C" w:rsidP="005F6A25">
            <w:pPr>
              <w:pStyle w:val="Tabletext"/>
            </w:pPr>
            <w:r>
              <w:t>Male/ Female</w:t>
            </w:r>
          </w:p>
        </w:tc>
      </w:tr>
      <w:tr w:rsidR="0034251C" w14:paraId="1B669796" w14:textId="77777777" w:rsidTr="005F6A25">
        <w:tc>
          <w:tcPr>
            <w:tcW w:w="2391" w:type="dxa"/>
          </w:tcPr>
          <w:p w14:paraId="19DC66E0" w14:textId="77777777" w:rsidR="0034251C" w:rsidRDefault="0034251C" w:rsidP="005F6A25">
            <w:pPr>
              <w:pStyle w:val="Tabletext"/>
            </w:pPr>
          </w:p>
        </w:tc>
        <w:tc>
          <w:tcPr>
            <w:tcW w:w="2391" w:type="dxa"/>
          </w:tcPr>
          <w:p w14:paraId="37636E93" w14:textId="77777777" w:rsidR="0034251C" w:rsidRDefault="0034251C" w:rsidP="005F6A25">
            <w:pPr>
              <w:pStyle w:val="Tabletext"/>
            </w:pPr>
            <w:r>
              <w:t>57% / 43%</w:t>
            </w:r>
          </w:p>
        </w:tc>
        <w:tc>
          <w:tcPr>
            <w:tcW w:w="2392" w:type="dxa"/>
          </w:tcPr>
          <w:p w14:paraId="7C95D703" w14:textId="77777777" w:rsidR="0034251C" w:rsidRDefault="0034251C" w:rsidP="005F6A25">
            <w:pPr>
              <w:pStyle w:val="Tabletext"/>
            </w:pPr>
            <w:r>
              <w:t>53% / 47%</w:t>
            </w:r>
          </w:p>
        </w:tc>
      </w:tr>
    </w:tbl>
    <w:p w14:paraId="49D214F5" w14:textId="77777777" w:rsidR="0034251C" w:rsidRDefault="0034251C" w:rsidP="0034251C">
      <w:pPr>
        <w:pStyle w:val="references"/>
        <w:ind w:hanging="720"/>
      </w:pPr>
      <w:r>
        <w:t>Table 1: Subject discipline</w:t>
      </w:r>
    </w:p>
    <w:p w14:paraId="1B7ACF13" w14:textId="77777777" w:rsidR="00E16AB4" w:rsidRDefault="00E16AB4" w:rsidP="006A2249">
      <w:pPr>
        <w:spacing w:after="200" w:line="276" w:lineRule="auto"/>
        <w:ind w:firstLine="0"/>
      </w:pPr>
    </w:p>
    <w:tbl>
      <w:tblPr>
        <w:tblStyle w:val="TableGrid"/>
        <w:tblW w:w="0" w:type="auto"/>
        <w:tblInd w:w="113"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4106"/>
        <w:gridCol w:w="2552"/>
      </w:tblGrid>
      <w:tr w:rsidR="0034251C" w14:paraId="65F00434" w14:textId="77777777" w:rsidTr="005F6A25">
        <w:tc>
          <w:tcPr>
            <w:tcW w:w="4106" w:type="dxa"/>
          </w:tcPr>
          <w:p w14:paraId="5166DE19" w14:textId="77777777" w:rsidR="0034251C" w:rsidRPr="00E172C9" w:rsidRDefault="0034251C" w:rsidP="005F6A25">
            <w:pPr>
              <w:pStyle w:val="Tabletext"/>
              <w:rPr>
                <w:b/>
              </w:rPr>
            </w:pPr>
            <w:r>
              <w:rPr>
                <w:b/>
              </w:rPr>
              <w:t>Motivation for course choice</w:t>
            </w:r>
          </w:p>
        </w:tc>
        <w:tc>
          <w:tcPr>
            <w:tcW w:w="2552" w:type="dxa"/>
          </w:tcPr>
          <w:p w14:paraId="726348E2" w14:textId="77777777" w:rsidR="0034251C" w:rsidRPr="00C171C6" w:rsidRDefault="0034251C" w:rsidP="005F6A25">
            <w:pPr>
              <w:pStyle w:val="Tabletext"/>
              <w:rPr>
                <w:b/>
              </w:rPr>
            </w:pPr>
            <w:r>
              <w:rPr>
                <w:b/>
              </w:rPr>
              <w:t>Survey responses (n=199)</w:t>
            </w:r>
          </w:p>
        </w:tc>
      </w:tr>
      <w:tr w:rsidR="0034251C" w14:paraId="4501EF56" w14:textId="77777777" w:rsidTr="005F6A25">
        <w:tc>
          <w:tcPr>
            <w:tcW w:w="4106" w:type="dxa"/>
          </w:tcPr>
          <w:p w14:paraId="43DE33B4" w14:textId="77777777" w:rsidR="0034251C" w:rsidRPr="00D34064" w:rsidRDefault="0034251C" w:rsidP="005F6A25">
            <w:pPr>
              <w:pStyle w:val="Tabletext"/>
            </w:pPr>
            <w:r>
              <w:t>Subject was of interest</w:t>
            </w:r>
          </w:p>
        </w:tc>
        <w:tc>
          <w:tcPr>
            <w:tcW w:w="2552" w:type="dxa"/>
          </w:tcPr>
          <w:p w14:paraId="3E72610C" w14:textId="77777777" w:rsidR="0034251C" w:rsidRPr="00C81734" w:rsidRDefault="0034251C" w:rsidP="005F6A25">
            <w:pPr>
              <w:pStyle w:val="Tabletext"/>
            </w:pPr>
            <w:r>
              <w:t>81%</w:t>
            </w:r>
          </w:p>
        </w:tc>
      </w:tr>
      <w:tr w:rsidR="0034251C" w14:paraId="660A4484" w14:textId="77777777" w:rsidTr="005F6A25">
        <w:tc>
          <w:tcPr>
            <w:tcW w:w="4106" w:type="dxa"/>
          </w:tcPr>
          <w:p w14:paraId="7647983F" w14:textId="77777777" w:rsidR="0034251C" w:rsidRPr="00D34064" w:rsidRDefault="0034251C" w:rsidP="005F6A25">
            <w:pPr>
              <w:pStyle w:val="Tabletext"/>
            </w:pPr>
            <w:r>
              <w:t>To follow a specific career path</w:t>
            </w:r>
          </w:p>
        </w:tc>
        <w:tc>
          <w:tcPr>
            <w:tcW w:w="2552" w:type="dxa"/>
          </w:tcPr>
          <w:p w14:paraId="33A89935" w14:textId="77777777" w:rsidR="0034251C" w:rsidRPr="00C81734" w:rsidRDefault="0034251C" w:rsidP="005F6A25">
            <w:pPr>
              <w:pStyle w:val="Tabletext"/>
            </w:pPr>
            <w:r>
              <w:t>57%</w:t>
            </w:r>
          </w:p>
        </w:tc>
      </w:tr>
      <w:tr w:rsidR="0034251C" w14:paraId="05889174" w14:textId="77777777" w:rsidTr="005F6A25">
        <w:tc>
          <w:tcPr>
            <w:tcW w:w="4106" w:type="dxa"/>
          </w:tcPr>
          <w:p w14:paraId="32F379FC" w14:textId="77777777" w:rsidR="0034251C" w:rsidRPr="00D34064" w:rsidRDefault="0034251C" w:rsidP="005F6A25">
            <w:pPr>
              <w:pStyle w:val="Tabletext"/>
            </w:pPr>
            <w:r>
              <w:t>Found the subject enjoyable</w:t>
            </w:r>
          </w:p>
        </w:tc>
        <w:tc>
          <w:tcPr>
            <w:tcW w:w="2552" w:type="dxa"/>
          </w:tcPr>
          <w:p w14:paraId="419B7FF4" w14:textId="77777777" w:rsidR="0034251C" w:rsidRPr="00C81734" w:rsidRDefault="0034251C" w:rsidP="005F6A25">
            <w:pPr>
              <w:pStyle w:val="Tabletext"/>
            </w:pPr>
            <w:r>
              <w:t>32%</w:t>
            </w:r>
          </w:p>
        </w:tc>
      </w:tr>
      <w:tr w:rsidR="0034251C" w14:paraId="2F8DB1C0" w14:textId="77777777" w:rsidTr="005F6A25">
        <w:tc>
          <w:tcPr>
            <w:tcW w:w="4106" w:type="dxa"/>
          </w:tcPr>
          <w:p w14:paraId="6340D280" w14:textId="77777777" w:rsidR="0034251C" w:rsidRPr="00D34064" w:rsidRDefault="0034251C" w:rsidP="005F6A25">
            <w:pPr>
              <w:pStyle w:val="Tabletext"/>
            </w:pPr>
            <w:r>
              <w:t>Opportunity for personal development</w:t>
            </w:r>
          </w:p>
        </w:tc>
        <w:tc>
          <w:tcPr>
            <w:tcW w:w="2552" w:type="dxa"/>
          </w:tcPr>
          <w:p w14:paraId="48D85DA7" w14:textId="77777777" w:rsidR="0034251C" w:rsidRPr="00C81734" w:rsidRDefault="0034251C" w:rsidP="005F6A25">
            <w:pPr>
              <w:pStyle w:val="Tabletext"/>
            </w:pPr>
            <w:r>
              <w:t>34%</w:t>
            </w:r>
          </w:p>
        </w:tc>
      </w:tr>
    </w:tbl>
    <w:p w14:paraId="69E8E3AC" w14:textId="77777777" w:rsidR="0034251C" w:rsidRDefault="0034251C" w:rsidP="0034251C">
      <w:pPr>
        <w:pStyle w:val="references"/>
        <w:ind w:hanging="720"/>
      </w:pPr>
      <w:r>
        <w:t>Table 2: Motivation for course choice</w:t>
      </w:r>
    </w:p>
    <w:p w14:paraId="26731DEB" w14:textId="77777777" w:rsidR="0034251C" w:rsidRDefault="0034251C" w:rsidP="006A2249">
      <w:pPr>
        <w:spacing w:after="200" w:line="276" w:lineRule="auto"/>
        <w:ind w:firstLine="0"/>
      </w:pPr>
    </w:p>
    <w:tbl>
      <w:tblPr>
        <w:tblStyle w:val="TableGrid"/>
        <w:tblW w:w="0" w:type="auto"/>
        <w:tblInd w:w="113"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3701"/>
        <w:gridCol w:w="1801"/>
        <w:gridCol w:w="1672"/>
        <w:gridCol w:w="1733"/>
      </w:tblGrid>
      <w:tr w:rsidR="0034251C" w14:paraId="404A1A11" w14:textId="77777777" w:rsidTr="005F6A25">
        <w:tc>
          <w:tcPr>
            <w:tcW w:w="8907" w:type="dxa"/>
            <w:gridSpan w:val="4"/>
          </w:tcPr>
          <w:p w14:paraId="294F9172" w14:textId="77777777" w:rsidR="0034251C" w:rsidRDefault="0034251C" w:rsidP="005F6A25">
            <w:pPr>
              <w:pStyle w:val="Tabletext"/>
            </w:pPr>
          </w:p>
          <w:p w14:paraId="6C8B8A6B" w14:textId="77777777" w:rsidR="0034251C" w:rsidRPr="00C171C6" w:rsidRDefault="0034251C" w:rsidP="005F6A25">
            <w:pPr>
              <w:pStyle w:val="Tabletext"/>
              <w:rPr>
                <w:i/>
              </w:rPr>
            </w:pPr>
            <w:r w:rsidRPr="00C171C6">
              <w:rPr>
                <w:i/>
              </w:rPr>
              <w:t>Sources of encouragement</w:t>
            </w:r>
            <w:r>
              <w:t xml:space="preserve"> </w:t>
            </w:r>
            <w:r w:rsidRPr="00145F09">
              <w:rPr>
                <w:i/>
              </w:rPr>
              <w:t>to gain relevant work experience</w:t>
            </w:r>
          </w:p>
        </w:tc>
      </w:tr>
      <w:tr w:rsidR="0034251C" w14:paraId="1D71499E" w14:textId="77777777" w:rsidTr="005F6A25">
        <w:tc>
          <w:tcPr>
            <w:tcW w:w="3701" w:type="dxa"/>
          </w:tcPr>
          <w:p w14:paraId="75D6C6EE" w14:textId="77777777" w:rsidR="0034251C" w:rsidRDefault="0034251C" w:rsidP="005F6A25">
            <w:pPr>
              <w:pStyle w:val="Tabletext"/>
            </w:pPr>
          </w:p>
        </w:tc>
        <w:tc>
          <w:tcPr>
            <w:tcW w:w="1801" w:type="dxa"/>
          </w:tcPr>
          <w:p w14:paraId="4B9A809C" w14:textId="77777777" w:rsidR="0034251C" w:rsidRPr="00C171C6" w:rsidRDefault="0034251C" w:rsidP="005F6A25">
            <w:pPr>
              <w:pStyle w:val="Tabletext"/>
              <w:rPr>
                <w:b/>
              </w:rPr>
            </w:pPr>
            <w:r w:rsidRPr="00C171C6">
              <w:rPr>
                <w:b/>
              </w:rPr>
              <w:t>Total agree</w:t>
            </w:r>
          </w:p>
        </w:tc>
        <w:tc>
          <w:tcPr>
            <w:tcW w:w="1672" w:type="dxa"/>
          </w:tcPr>
          <w:p w14:paraId="0144CD19" w14:textId="77777777" w:rsidR="0034251C" w:rsidRPr="00C171C6" w:rsidRDefault="0034251C" w:rsidP="005F6A25">
            <w:pPr>
              <w:pStyle w:val="Tabletext"/>
              <w:rPr>
                <w:b/>
              </w:rPr>
            </w:pPr>
            <w:r w:rsidRPr="00C171C6">
              <w:rPr>
                <w:b/>
              </w:rPr>
              <w:t xml:space="preserve">Neither agree nor disagree </w:t>
            </w:r>
          </w:p>
        </w:tc>
        <w:tc>
          <w:tcPr>
            <w:tcW w:w="1733" w:type="dxa"/>
          </w:tcPr>
          <w:p w14:paraId="477CE530" w14:textId="77777777" w:rsidR="0034251C" w:rsidRPr="00C171C6" w:rsidRDefault="0034251C" w:rsidP="005F6A25">
            <w:pPr>
              <w:pStyle w:val="Tabletext"/>
              <w:rPr>
                <w:b/>
              </w:rPr>
            </w:pPr>
            <w:r w:rsidRPr="00C171C6">
              <w:rPr>
                <w:b/>
              </w:rPr>
              <w:t>Total Disagree</w:t>
            </w:r>
            <w:r w:rsidRPr="00C171C6" w:rsidDel="00CF479B">
              <w:rPr>
                <w:b/>
              </w:rPr>
              <w:t xml:space="preserve"> </w:t>
            </w:r>
          </w:p>
        </w:tc>
      </w:tr>
      <w:tr w:rsidR="0034251C" w14:paraId="13F2238A" w14:textId="77777777" w:rsidTr="005F6A25">
        <w:tc>
          <w:tcPr>
            <w:tcW w:w="3701" w:type="dxa"/>
          </w:tcPr>
          <w:p w14:paraId="1E21F5E9" w14:textId="77777777" w:rsidR="0034251C" w:rsidRPr="00D34064" w:rsidRDefault="0034251C" w:rsidP="005F6A25">
            <w:pPr>
              <w:pStyle w:val="Tabletext"/>
            </w:pPr>
            <w:r w:rsidRPr="00D34064">
              <w:t>My lecturers</w:t>
            </w:r>
          </w:p>
        </w:tc>
        <w:tc>
          <w:tcPr>
            <w:tcW w:w="1801" w:type="dxa"/>
          </w:tcPr>
          <w:p w14:paraId="17E3B860" w14:textId="77777777" w:rsidR="0034251C" w:rsidRPr="00C81734" w:rsidRDefault="0034251C" w:rsidP="005F6A25">
            <w:pPr>
              <w:pStyle w:val="Tabletext"/>
            </w:pPr>
            <w:r>
              <w:t>78</w:t>
            </w:r>
            <w:r w:rsidRPr="00C81734">
              <w:t>%</w:t>
            </w:r>
          </w:p>
        </w:tc>
        <w:tc>
          <w:tcPr>
            <w:tcW w:w="1672" w:type="dxa"/>
          </w:tcPr>
          <w:p w14:paraId="1624EE5B" w14:textId="77777777" w:rsidR="0034251C" w:rsidRPr="00D273CE" w:rsidRDefault="0034251C" w:rsidP="005F6A25">
            <w:pPr>
              <w:pStyle w:val="Tabletext"/>
            </w:pPr>
            <w:r>
              <w:t>17</w:t>
            </w:r>
            <w:r w:rsidRPr="00D273CE">
              <w:t>%</w:t>
            </w:r>
          </w:p>
        </w:tc>
        <w:tc>
          <w:tcPr>
            <w:tcW w:w="1733" w:type="dxa"/>
          </w:tcPr>
          <w:p w14:paraId="21D8C45F" w14:textId="77777777" w:rsidR="0034251C" w:rsidRPr="00D273CE" w:rsidRDefault="0034251C" w:rsidP="005F6A25">
            <w:pPr>
              <w:pStyle w:val="Tabletext"/>
            </w:pPr>
            <w:r>
              <w:t>5</w:t>
            </w:r>
            <w:r w:rsidRPr="00D273CE">
              <w:t>%</w:t>
            </w:r>
          </w:p>
        </w:tc>
      </w:tr>
      <w:tr w:rsidR="0034251C" w14:paraId="278B4088" w14:textId="77777777" w:rsidTr="005F6A25">
        <w:tc>
          <w:tcPr>
            <w:tcW w:w="3701" w:type="dxa"/>
          </w:tcPr>
          <w:p w14:paraId="4B4A335C" w14:textId="77777777" w:rsidR="0034251C" w:rsidRPr="00D34064" w:rsidRDefault="0034251C" w:rsidP="005F6A25">
            <w:pPr>
              <w:pStyle w:val="Tabletext"/>
            </w:pPr>
            <w:r w:rsidRPr="00D34064">
              <w:t>My friends and family members</w:t>
            </w:r>
          </w:p>
        </w:tc>
        <w:tc>
          <w:tcPr>
            <w:tcW w:w="1801" w:type="dxa"/>
          </w:tcPr>
          <w:p w14:paraId="78A11C2C" w14:textId="77777777" w:rsidR="0034251C" w:rsidRPr="00C81734" w:rsidRDefault="0034251C" w:rsidP="005F6A25">
            <w:pPr>
              <w:pStyle w:val="Tabletext"/>
            </w:pPr>
            <w:r>
              <w:t>68</w:t>
            </w:r>
            <w:r w:rsidRPr="00C81734">
              <w:t>%</w:t>
            </w:r>
          </w:p>
        </w:tc>
        <w:tc>
          <w:tcPr>
            <w:tcW w:w="1672" w:type="dxa"/>
          </w:tcPr>
          <w:p w14:paraId="57C2B653" w14:textId="77777777" w:rsidR="0034251C" w:rsidRPr="00D273CE" w:rsidRDefault="0034251C" w:rsidP="005F6A25">
            <w:pPr>
              <w:pStyle w:val="Tabletext"/>
            </w:pPr>
            <w:r>
              <w:t>22</w:t>
            </w:r>
            <w:r w:rsidRPr="00D273CE">
              <w:t>%</w:t>
            </w:r>
          </w:p>
        </w:tc>
        <w:tc>
          <w:tcPr>
            <w:tcW w:w="1733" w:type="dxa"/>
          </w:tcPr>
          <w:p w14:paraId="63D96F2F" w14:textId="77777777" w:rsidR="0034251C" w:rsidRPr="00D273CE" w:rsidRDefault="0034251C" w:rsidP="005F6A25">
            <w:pPr>
              <w:pStyle w:val="Tabletext"/>
            </w:pPr>
            <w:r>
              <w:t>10</w:t>
            </w:r>
            <w:r w:rsidRPr="00D273CE">
              <w:t>%</w:t>
            </w:r>
          </w:p>
        </w:tc>
      </w:tr>
      <w:tr w:rsidR="0034251C" w14:paraId="274D7EC0" w14:textId="77777777" w:rsidTr="005F6A25">
        <w:tc>
          <w:tcPr>
            <w:tcW w:w="3701" w:type="dxa"/>
          </w:tcPr>
          <w:p w14:paraId="24376ECF" w14:textId="77777777" w:rsidR="0034251C" w:rsidRPr="00D34064" w:rsidRDefault="0034251C" w:rsidP="005F6A25">
            <w:pPr>
              <w:pStyle w:val="Tabletext"/>
            </w:pPr>
            <w:r w:rsidRPr="00D34064">
              <w:t>Placement and careers staff</w:t>
            </w:r>
          </w:p>
        </w:tc>
        <w:tc>
          <w:tcPr>
            <w:tcW w:w="1801" w:type="dxa"/>
          </w:tcPr>
          <w:p w14:paraId="7DA2C706" w14:textId="77777777" w:rsidR="0034251C" w:rsidRPr="00C81734" w:rsidRDefault="0034251C" w:rsidP="005F6A25">
            <w:pPr>
              <w:pStyle w:val="Tabletext"/>
            </w:pPr>
            <w:r>
              <w:t>64</w:t>
            </w:r>
            <w:r w:rsidRPr="00C81734">
              <w:t>%</w:t>
            </w:r>
          </w:p>
        </w:tc>
        <w:tc>
          <w:tcPr>
            <w:tcW w:w="1672" w:type="dxa"/>
          </w:tcPr>
          <w:p w14:paraId="68BA2A7D" w14:textId="77777777" w:rsidR="0034251C" w:rsidRPr="00D273CE" w:rsidRDefault="0034251C" w:rsidP="005F6A25">
            <w:pPr>
              <w:pStyle w:val="Tabletext"/>
            </w:pPr>
            <w:r>
              <w:t>31</w:t>
            </w:r>
            <w:r w:rsidRPr="00D273CE">
              <w:t>%</w:t>
            </w:r>
          </w:p>
        </w:tc>
        <w:tc>
          <w:tcPr>
            <w:tcW w:w="1733" w:type="dxa"/>
          </w:tcPr>
          <w:p w14:paraId="48FCDA3F" w14:textId="77777777" w:rsidR="0034251C" w:rsidRPr="00D273CE" w:rsidRDefault="0034251C" w:rsidP="005F6A25">
            <w:pPr>
              <w:pStyle w:val="Tabletext"/>
            </w:pPr>
            <w:r>
              <w:t>5</w:t>
            </w:r>
            <w:r w:rsidRPr="00D273CE">
              <w:t>%</w:t>
            </w:r>
          </w:p>
        </w:tc>
      </w:tr>
      <w:tr w:rsidR="0034251C" w14:paraId="4AE613AD" w14:textId="77777777" w:rsidTr="005F6A25">
        <w:tc>
          <w:tcPr>
            <w:tcW w:w="3701" w:type="dxa"/>
          </w:tcPr>
          <w:p w14:paraId="630459C0" w14:textId="77777777" w:rsidR="0034251C" w:rsidRPr="00D34064" w:rsidRDefault="0034251C" w:rsidP="005F6A25">
            <w:pPr>
              <w:pStyle w:val="Tabletext"/>
            </w:pPr>
            <w:r w:rsidRPr="00D34064">
              <w:t>Other students on my course</w:t>
            </w:r>
          </w:p>
        </w:tc>
        <w:tc>
          <w:tcPr>
            <w:tcW w:w="1801" w:type="dxa"/>
          </w:tcPr>
          <w:p w14:paraId="38F3F7F6" w14:textId="77777777" w:rsidR="0034251C" w:rsidRPr="00C81734" w:rsidRDefault="0034251C" w:rsidP="005F6A25">
            <w:pPr>
              <w:pStyle w:val="Tabletext"/>
            </w:pPr>
            <w:r>
              <w:t>58</w:t>
            </w:r>
            <w:r w:rsidRPr="00C81734">
              <w:t>%</w:t>
            </w:r>
          </w:p>
        </w:tc>
        <w:tc>
          <w:tcPr>
            <w:tcW w:w="1672" w:type="dxa"/>
          </w:tcPr>
          <w:p w14:paraId="027C70B6" w14:textId="77777777" w:rsidR="0034251C" w:rsidRPr="00D273CE" w:rsidRDefault="0034251C" w:rsidP="005F6A25">
            <w:pPr>
              <w:pStyle w:val="Tabletext"/>
            </w:pPr>
            <w:r>
              <w:t>31</w:t>
            </w:r>
            <w:r w:rsidRPr="00D273CE">
              <w:t>%</w:t>
            </w:r>
          </w:p>
        </w:tc>
        <w:tc>
          <w:tcPr>
            <w:tcW w:w="1733" w:type="dxa"/>
          </w:tcPr>
          <w:p w14:paraId="7AFCAF82" w14:textId="77777777" w:rsidR="0034251C" w:rsidRPr="00D273CE" w:rsidRDefault="0034251C" w:rsidP="005F6A25">
            <w:pPr>
              <w:pStyle w:val="Tabletext"/>
            </w:pPr>
            <w:r>
              <w:t>11</w:t>
            </w:r>
            <w:r w:rsidRPr="00D273CE">
              <w:t>%</w:t>
            </w:r>
          </w:p>
        </w:tc>
      </w:tr>
      <w:tr w:rsidR="0034251C" w14:paraId="7F197E5A" w14:textId="77777777" w:rsidTr="005F6A25">
        <w:tc>
          <w:tcPr>
            <w:tcW w:w="3701" w:type="dxa"/>
          </w:tcPr>
          <w:p w14:paraId="778DB194" w14:textId="77777777" w:rsidR="0034251C" w:rsidRDefault="0034251C" w:rsidP="005F6A25">
            <w:pPr>
              <w:pStyle w:val="Tabletext"/>
            </w:pPr>
            <w:r w:rsidRPr="00D34064">
              <w:t>Others – please let us know who:</w:t>
            </w:r>
          </w:p>
        </w:tc>
        <w:tc>
          <w:tcPr>
            <w:tcW w:w="1801" w:type="dxa"/>
          </w:tcPr>
          <w:p w14:paraId="11E283E3" w14:textId="77777777" w:rsidR="0034251C" w:rsidRPr="00C81734" w:rsidRDefault="0034251C" w:rsidP="005F6A25">
            <w:pPr>
              <w:pStyle w:val="Tabletext"/>
            </w:pPr>
            <w:r>
              <w:t>6.5</w:t>
            </w:r>
            <w:r w:rsidRPr="00C81734">
              <w:t>%</w:t>
            </w:r>
          </w:p>
        </w:tc>
        <w:tc>
          <w:tcPr>
            <w:tcW w:w="1672" w:type="dxa"/>
          </w:tcPr>
          <w:p w14:paraId="39EA5E87" w14:textId="77777777" w:rsidR="0034251C" w:rsidRPr="00D273CE" w:rsidRDefault="0034251C" w:rsidP="005F6A25">
            <w:pPr>
              <w:pStyle w:val="Tabletext"/>
            </w:pPr>
            <w:r>
              <w:t>91</w:t>
            </w:r>
            <w:r w:rsidRPr="00D273CE">
              <w:t>%</w:t>
            </w:r>
          </w:p>
        </w:tc>
        <w:tc>
          <w:tcPr>
            <w:tcW w:w="1733" w:type="dxa"/>
          </w:tcPr>
          <w:p w14:paraId="6F392A52" w14:textId="77777777" w:rsidR="0034251C" w:rsidRPr="00D273CE" w:rsidRDefault="0034251C" w:rsidP="005F6A25">
            <w:pPr>
              <w:pStyle w:val="Tabletext"/>
            </w:pPr>
          </w:p>
        </w:tc>
      </w:tr>
    </w:tbl>
    <w:p w14:paraId="10113890" w14:textId="77777777" w:rsidR="0034251C" w:rsidRDefault="0034251C" w:rsidP="0034251C">
      <w:pPr>
        <w:pStyle w:val="Tabletext"/>
      </w:pPr>
      <w:r>
        <w:t>Table 3: Sources of encouragement</w:t>
      </w:r>
    </w:p>
    <w:p w14:paraId="7FB39525" w14:textId="77777777" w:rsidR="0034251C" w:rsidRDefault="0034251C" w:rsidP="006A2249">
      <w:pPr>
        <w:spacing w:after="200" w:line="276" w:lineRule="auto"/>
        <w:ind w:firstLine="0"/>
      </w:pPr>
    </w:p>
    <w:tbl>
      <w:tblPr>
        <w:tblStyle w:val="TableGrid3"/>
        <w:tblW w:w="5000" w:type="pct"/>
        <w:tblLook w:val="04A0" w:firstRow="1" w:lastRow="0" w:firstColumn="1" w:lastColumn="0" w:noHBand="0" w:noVBand="1"/>
      </w:tblPr>
      <w:tblGrid>
        <w:gridCol w:w="4405"/>
        <w:gridCol w:w="1611"/>
        <w:gridCol w:w="1501"/>
        <w:gridCol w:w="1499"/>
      </w:tblGrid>
      <w:tr w:rsidR="0034251C" w:rsidRPr="00D273CE" w14:paraId="7391CDD2" w14:textId="77777777" w:rsidTr="005F6A25">
        <w:tc>
          <w:tcPr>
            <w:tcW w:w="4405" w:type="dxa"/>
            <w:shd w:val="clear" w:color="auto" w:fill="FFFFFF" w:themeFill="background1"/>
          </w:tcPr>
          <w:p w14:paraId="276DAC6C" w14:textId="77777777" w:rsidR="0034251C" w:rsidRDefault="0034251C" w:rsidP="005F6A25">
            <w:pPr>
              <w:pStyle w:val="Tabletext"/>
            </w:pPr>
          </w:p>
          <w:p w14:paraId="357C6801" w14:textId="77777777" w:rsidR="0034251C" w:rsidRPr="00807DF7" w:rsidRDefault="0034251C" w:rsidP="005F6A25">
            <w:pPr>
              <w:pStyle w:val="Tabletext"/>
              <w:rPr>
                <w:i/>
              </w:rPr>
            </w:pPr>
            <w:r>
              <w:rPr>
                <w:i/>
              </w:rPr>
              <w:t>Mentioned as source of careers advice</w:t>
            </w:r>
          </w:p>
        </w:tc>
        <w:tc>
          <w:tcPr>
            <w:tcW w:w="1611" w:type="dxa"/>
            <w:shd w:val="clear" w:color="auto" w:fill="FFFFFF" w:themeFill="background1"/>
          </w:tcPr>
          <w:p w14:paraId="00AEADC2" w14:textId="77777777" w:rsidR="0034251C" w:rsidRDefault="0034251C" w:rsidP="005F6A25">
            <w:pPr>
              <w:pStyle w:val="Tabletext"/>
              <w:rPr>
                <w:b/>
              </w:rPr>
            </w:pPr>
            <w:r w:rsidRPr="00C171C6">
              <w:rPr>
                <w:b/>
              </w:rPr>
              <w:t>All</w:t>
            </w:r>
          </w:p>
          <w:p w14:paraId="484C9237" w14:textId="77777777" w:rsidR="0034251C" w:rsidRPr="00C171C6" w:rsidRDefault="0034251C" w:rsidP="005F6A25">
            <w:pPr>
              <w:pStyle w:val="Tabletext"/>
              <w:rPr>
                <w:b/>
              </w:rPr>
            </w:pPr>
            <w:r>
              <w:rPr>
                <w:b/>
              </w:rPr>
              <w:t>(n=199)</w:t>
            </w:r>
          </w:p>
        </w:tc>
        <w:tc>
          <w:tcPr>
            <w:tcW w:w="1501" w:type="dxa"/>
            <w:shd w:val="clear" w:color="auto" w:fill="FFFFFF" w:themeFill="background1"/>
          </w:tcPr>
          <w:p w14:paraId="3C921E4D" w14:textId="77777777" w:rsidR="0034251C" w:rsidRDefault="0034251C" w:rsidP="005F6A25">
            <w:pPr>
              <w:pStyle w:val="Tabletext"/>
              <w:rPr>
                <w:b/>
              </w:rPr>
            </w:pPr>
            <w:r w:rsidRPr="00C171C6">
              <w:rPr>
                <w:b/>
              </w:rPr>
              <w:t>Yes to placement</w:t>
            </w:r>
          </w:p>
          <w:p w14:paraId="4CA13881" w14:textId="77777777" w:rsidR="0034251C" w:rsidRPr="00C171C6" w:rsidRDefault="0034251C" w:rsidP="005F6A25">
            <w:pPr>
              <w:pStyle w:val="Tabletext"/>
              <w:rPr>
                <w:b/>
              </w:rPr>
            </w:pPr>
            <w:r>
              <w:rPr>
                <w:b/>
              </w:rPr>
              <w:t>(n=85)</w:t>
            </w:r>
          </w:p>
        </w:tc>
        <w:tc>
          <w:tcPr>
            <w:tcW w:w="1499" w:type="dxa"/>
            <w:shd w:val="clear" w:color="auto" w:fill="FFFFFF" w:themeFill="background1"/>
          </w:tcPr>
          <w:p w14:paraId="6001801B" w14:textId="77777777" w:rsidR="0034251C" w:rsidRDefault="0034251C" w:rsidP="005F6A25">
            <w:pPr>
              <w:pStyle w:val="Tabletext"/>
              <w:rPr>
                <w:b/>
              </w:rPr>
            </w:pPr>
            <w:r w:rsidRPr="00C171C6">
              <w:rPr>
                <w:b/>
              </w:rPr>
              <w:t>No to placement</w:t>
            </w:r>
          </w:p>
          <w:p w14:paraId="349C8472" w14:textId="77777777" w:rsidR="0034251C" w:rsidRPr="00C171C6" w:rsidRDefault="0034251C" w:rsidP="005F6A25">
            <w:pPr>
              <w:pStyle w:val="Tabletext"/>
              <w:rPr>
                <w:b/>
              </w:rPr>
            </w:pPr>
            <w:r>
              <w:rPr>
                <w:b/>
              </w:rPr>
              <w:t>(n=114)</w:t>
            </w:r>
          </w:p>
        </w:tc>
      </w:tr>
      <w:tr w:rsidR="0034251C" w:rsidRPr="00D273CE" w14:paraId="133E54F1" w14:textId="77777777" w:rsidTr="005F6A25">
        <w:tc>
          <w:tcPr>
            <w:tcW w:w="4405" w:type="dxa"/>
          </w:tcPr>
          <w:p w14:paraId="3B91EB46" w14:textId="77777777" w:rsidR="0034251C" w:rsidRPr="00D273CE" w:rsidRDefault="0034251C" w:rsidP="005F6A25">
            <w:pPr>
              <w:pStyle w:val="Tabletext"/>
            </w:pPr>
            <w:r w:rsidRPr="00D273CE">
              <w:rPr>
                <w:b/>
              </w:rPr>
              <w:t>Family or family member</w:t>
            </w:r>
            <w:r w:rsidRPr="00D273CE">
              <w:t xml:space="preserve"> (not partner)</w:t>
            </w:r>
          </w:p>
        </w:tc>
        <w:tc>
          <w:tcPr>
            <w:tcW w:w="1611" w:type="dxa"/>
          </w:tcPr>
          <w:p w14:paraId="67FBAB2D" w14:textId="77777777" w:rsidR="0034251C" w:rsidRDefault="0034251C" w:rsidP="005F6A25">
            <w:pPr>
              <w:pStyle w:val="Tabletext"/>
            </w:pPr>
            <w:r>
              <w:t>34%</w:t>
            </w:r>
          </w:p>
        </w:tc>
        <w:tc>
          <w:tcPr>
            <w:tcW w:w="1501" w:type="dxa"/>
          </w:tcPr>
          <w:p w14:paraId="3CE2D9E1" w14:textId="77777777" w:rsidR="0034251C" w:rsidRPr="00D273CE" w:rsidRDefault="0034251C" w:rsidP="005F6A25">
            <w:pPr>
              <w:pStyle w:val="Tabletext"/>
            </w:pPr>
            <w:r>
              <w:t>46%</w:t>
            </w:r>
          </w:p>
        </w:tc>
        <w:tc>
          <w:tcPr>
            <w:tcW w:w="1499" w:type="dxa"/>
          </w:tcPr>
          <w:p w14:paraId="65CD623B" w14:textId="77777777" w:rsidR="0034251C" w:rsidRPr="00D273CE" w:rsidRDefault="0034251C" w:rsidP="005F6A25">
            <w:pPr>
              <w:pStyle w:val="Tabletext"/>
            </w:pPr>
            <w:r>
              <w:t>41%</w:t>
            </w:r>
          </w:p>
        </w:tc>
      </w:tr>
      <w:tr w:rsidR="0034251C" w:rsidRPr="00D273CE" w14:paraId="586AC3BD" w14:textId="77777777" w:rsidTr="005F6A25">
        <w:tc>
          <w:tcPr>
            <w:tcW w:w="4405" w:type="dxa"/>
          </w:tcPr>
          <w:p w14:paraId="594D5D6B" w14:textId="77777777" w:rsidR="0034251C" w:rsidRPr="00D273CE" w:rsidRDefault="0034251C" w:rsidP="005F6A25">
            <w:pPr>
              <w:pStyle w:val="Tabletext"/>
            </w:pPr>
            <w:r w:rsidRPr="00D273CE">
              <w:rPr>
                <w:b/>
                <w:color w:val="000000"/>
                <w:lang w:eastAsia="en-GB"/>
              </w:rPr>
              <w:t>Lecturers/</w:t>
            </w:r>
            <w:r>
              <w:rPr>
                <w:b/>
                <w:color w:val="000000"/>
                <w:lang w:eastAsia="en-GB"/>
              </w:rPr>
              <w:t xml:space="preserve"> </w:t>
            </w:r>
            <w:r w:rsidRPr="00D273CE">
              <w:rPr>
                <w:b/>
                <w:color w:val="000000"/>
                <w:lang w:eastAsia="en-GB"/>
              </w:rPr>
              <w:t>tutors</w:t>
            </w:r>
            <w:r>
              <w:rPr>
                <w:b/>
                <w:color w:val="000000"/>
                <w:lang w:eastAsia="en-GB"/>
              </w:rPr>
              <w:t>/ careers staff</w:t>
            </w:r>
            <w:r w:rsidRPr="00D273CE">
              <w:rPr>
                <w:b/>
                <w:color w:val="000000"/>
                <w:lang w:eastAsia="en-GB"/>
              </w:rPr>
              <w:t xml:space="preserve"> </w:t>
            </w:r>
          </w:p>
        </w:tc>
        <w:tc>
          <w:tcPr>
            <w:tcW w:w="1611" w:type="dxa"/>
          </w:tcPr>
          <w:p w14:paraId="0805B0BC" w14:textId="77777777" w:rsidR="0034251C" w:rsidRDefault="0034251C" w:rsidP="005F6A25">
            <w:pPr>
              <w:pStyle w:val="Tabletext"/>
            </w:pPr>
            <w:r>
              <w:t>28%</w:t>
            </w:r>
          </w:p>
        </w:tc>
        <w:tc>
          <w:tcPr>
            <w:tcW w:w="1501" w:type="dxa"/>
          </w:tcPr>
          <w:p w14:paraId="5D59CE1F" w14:textId="77777777" w:rsidR="0034251C" w:rsidRPr="00D273CE" w:rsidRDefault="0034251C" w:rsidP="005F6A25">
            <w:pPr>
              <w:pStyle w:val="Tabletext"/>
            </w:pPr>
            <w:r>
              <w:t>29%</w:t>
            </w:r>
          </w:p>
        </w:tc>
        <w:tc>
          <w:tcPr>
            <w:tcW w:w="1499" w:type="dxa"/>
          </w:tcPr>
          <w:p w14:paraId="59457372" w14:textId="77777777" w:rsidR="0034251C" w:rsidRPr="00D273CE" w:rsidRDefault="0034251C" w:rsidP="005F6A25">
            <w:pPr>
              <w:pStyle w:val="Tabletext"/>
            </w:pPr>
            <w:r>
              <w:t>26%</w:t>
            </w:r>
          </w:p>
        </w:tc>
      </w:tr>
      <w:tr w:rsidR="0034251C" w:rsidRPr="00D273CE" w14:paraId="5F137657" w14:textId="77777777" w:rsidTr="005F6A25">
        <w:tc>
          <w:tcPr>
            <w:tcW w:w="4405" w:type="dxa"/>
          </w:tcPr>
          <w:p w14:paraId="12E41602" w14:textId="77777777" w:rsidR="0034251C" w:rsidRPr="00D273CE" w:rsidRDefault="0034251C" w:rsidP="005F6A25">
            <w:pPr>
              <w:pStyle w:val="Tabletext"/>
            </w:pPr>
            <w:r w:rsidRPr="00D273CE">
              <w:rPr>
                <w:b/>
              </w:rPr>
              <w:t>Friends/ peers</w:t>
            </w:r>
            <w:r>
              <w:rPr>
                <w:b/>
              </w:rPr>
              <w:t xml:space="preserve"> /</w:t>
            </w:r>
            <w:r w:rsidRPr="00D273CE">
              <w:t xml:space="preserve"> </w:t>
            </w:r>
            <w:r w:rsidRPr="00FF26F7">
              <w:rPr>
                <w:b/>
              </w:rPr>
              <w:t>other students</w:t>
            </w:r>
            <w:r w:rsidRPr="00D273CE">
              <w:t xml:space="preserve"> </w:t>
            </w:r>
            <w:r>
              <w:t xml:space="preserve">(includes </w:t>
            </w:r>
            <w:r w:rsidRPr="00D273CE">
              <w:t>partners/</w:t>
            </w:r>
            <w:r>
              <w:t xml:space="preserve"> </w:t>
            </w:r>
            <w:r w:rsidRPr="00D273CE">
              <w:t>spouses)</w:t>
            </w:r>
          </w:p>
        </w:tc>
        <w:tc>
          <w:tcPr>
            <w:tcW w:w="1611" w:type="dxa"/>
          </w:tcPr>
          <w:p w14:paraId="532D173A" w14:textId="77777777" w:rsidR="0034251C" w:rsidRDefault="0034251C" w:rsidP="005F6A25">
            <w:pPr>
              <w:pStyle w:val="Tabletext"/>
            </w:pPr>
            <w:r>
              <w:t>26%</w:t>
            </w:r>
          </w:p>
        </w:tc>
        <w:tc>
          <w:tcPr>
            <w:tcW w:w="1501" w:type="dxa"/>
          </w:tcPr>
          <w:p w14:paraId="03E0F75F" w14:textId="77777777" w:rsidR="0034251C" w:rsidRPr="00D273CE" w:rsidRDefault="0034251C" w:rsidP="005F6A25">
            <w:pPr>
              <w:pStyle w:val="Tabletext"/>
            </w:pPr>
            <w:r>
              <w:t>25%</w:t>
            </w:r>
          </w:p>
        </w:tc>
        <w:tc>
          <w:tcPr>
            <w:tcW w:w="1499" w:type="dxa"/>
          </w:tcPr>
          <w:p w14:paraId="687EAF2E" w14:textId="77777777" w:rsidR="0034251C" w:rsidRPr="00D273CE" w:rsidRDefault="0034251C" w:rsidP="005F6A25">
            <w:pPr>
              <w:pStyle w:val="Tabletext"/>
            </w:pPr>
            <w:r>
              <w:t>26%</w:t>
            </w:r>
          </w:p>
        </w:tc>
      </w:tr>
      <w:tr w:rsidR="0034251C" w:rsidRPr="00D273CE" w14:paraId="291A53C1" w14:textId="77777777" w:rsidTr="005F6A25">
        <w:tc>
          <w:tcPr>
            <w:tcW w:w="4405" w:type="dxa"/>
          </w:tcPr>
          <w:p w14:paraId="08AFC066" w14:textId="77777777" w:rsidR="0034251C" w:rsidRPr="00D273CE" w:rsidRDefault="0034251C" w:rsidP="005F6A25">
            <w:pPr>
              <w:pStyle w:val="Tabletext"/>
              <w:rPr>
                <w:b/>
                <w:color w:val="000000"/>
                <w:lang w:eastAsia="en-GB"/>
              </w:rPr>
            </w:pPr>
            <w:r w:rsidRPr="00D273CE">
              <w:rPr>
                <w:b/>
                <w:color w:val="000000"/>
                <w:lang w:eastAsia="en-GB"/>
              </w:rPr>
              <w:t xml:space="preserve">No one/myself </w:t>
            </w:r>
          </w:p>
        </w:tc>
        <w:tc>
          <w:tcPr>
            <w:tcW w:w="1611" w:type="dxa"/>
          </w:tcPr>
          <w:p w14:paraId="5974C5E5" w14:textId="77777777" w:rsidR="0034251C" w:rsidRPr="00D273CE" w:rsidRDefault="0034251C" w:rsidP="005F6A25">
            <w:pPr>
              <w:pStyle w:val="Tabletext"/>
            </w:pPr>
            <w:r>
              <w:t>10.5%</w:t>
            </w:r>
          </w:p>
        </w:tc>
        <w:tc>
          <w:tcPr>
            <w:tcW w:w="1501" w:type="dxa"/>
          </w:tcPr>
          <w:p w14:paraId="6FD8CEE9" w14:textId="77777777" w:rsidR="0034251C" w:rsidRPr="00D273CE" w:rsidRDefault="0034251C" w:rsidP="005F6A25">
            <w:pPr>
              <w:pStyle w:val="Tabletext"/>
            </w:pPr>
            <w:r>
              <w:t>10.5%</w:t>
            </w:r>
          </w:p>
        </w:tc>
        <w:tc>
          <w:tcPr>
            <w:tcW w:w="1499" w:type="dxa"/>
          </w:tcPr>
          <w:p w14:paraId="6B86AFFC" w14:textId="77777777" w:rsidR="0034251C" w:rsidRPr="00D273CE" w:rsidRDefault="0034251C" w:rsidP="005F6A25">
            <w:pPr>
              <w:pStyle w:val="Tabletext"/>
            </w:pPr>
            <w:r>
              <w:t>10.5%</w:t>
            </w:r>
          </w:p>
        </w:tc>
      </w:tr>
      <w:tr w:rsidR="0034251C" w:rsidRPr="00D273CE" w14:paraId="0C267BA7" w14:textId="77777777" w:rsidTr="005F6A25">
        <w:tc>
          <w:tcPr>
            <w:tcW w:w="4405" w:type="dxa"/>
          </w:tcPr>
          <w:p w14:paraId="720BDAAB" w14:textId="77777777" w:rsidR="0034251C" w:rsidRPr="00D273CE" w:rsidRDefault="0034251C" w:rsidP="005F6A25">
            <w:pPr>
              <w:pStyle w:val="Tabletext"/>
              <w:rPr>
                <w:b/>
                <w:color w:val="000000"/>
                <w:lang w:eastAsia="en-GB"/>
              </w:rPr>
            </w:pPr>
            <w:r w:rsidRPr="00D273CE">
              <w:rPr>
                <w:b/>
                <w:color w:val="000000"/>
                <w:lang w:eastAsia="en-GB"/>
              </w:rPr>
              <w:t>Industry</w:t>
            </w:r>
          </w:p>
        </w:tc>
        <w:tc>
          <w:tcPr>
            <w:tcW w:w="1611" w:type="dxa"/>
          </w:tcPr>
          <w:p w14:paraId="4BD0BDDE" w14:textId="77777777" w:rsidR="0034251C" w:rsidRPr="00D273CE" w:rsidRDefault="0034251C" w:rsidP="005F6A25">
            <w:pPr>
              <w:pStyle w:val="Tabletext"/>
            </w:pPr>
            <w:r>
              <w:t xml:space="preserve"> 9%</w:t>
            </w:r>
          </w:p>
        </w:tc>
        <w:tc>
          <w:tcPr>
            <w:tcW w:w="1501" w:type="dxa"/>
          </w:tcPr>
          <w:p w14:paraId="2210CF48" w14:textId="77777777" w:rsidR="0034251C" w:rsidRPr="00D273CE" w:rsidRDefault="0034251C" w:rsidP="005F6A25">
            <w:pPr>
              <w:pStyle w:val="Tabletext"/>
            </w:pPr>
            <w:r>
              <w:t>9%</w:t>
            </w:r>
          </w:p>
        </w:tc>
        <w:tc>
          <w:tcPr>
            <w:tcW w:w="1499" w:type="dxa"/>
          </w:tcPr>
          <w:p w14:paraId="79ECCAA1" w14:textId="77777777" w:rsidR="0034251C" w:rsidRPr="00D273CE" w:rsidRDefault="0034251C" w:rsidP="005F6A25">
            <w:pPr>
              <w:pStyle w:val="Tabletext"/>
            </w:pPr>
            <w:r>
              <w:t>9%</w:t>
            </w:r>
          </w:p>
        </w:tc>
      </w:tr>
    </w:tbl>
    <w:p w14:paraId="3B625E34" w14:textId="77777777" w:rsidR="0034251C" w:rsidRPr="002632A1" w:rsidRDefault="0034251C" w:rsidP="0034251C">
      <w:pPr>
        <w:keepNext/>
        <w:spacing w:before="40"/>
        <w:ind w:firstLine="0"/>
        <w:rPr>
          <w:rFonts w:eastAsia="Times New Roman" w:cs="Times New Roman"/>
          <w:bCs/>
          <w:szCs w:val="24"/>
        </w:rPr>
      </w:pPr>
      <w:r w:rsidRPr="002632A1">
        <w:rPr>
          <w:rFonts w:eastAsia="Times New Roman" w:cs="Times New Roman"/>
          <w:bCs/>
          <w:szCs w:val="24"/>
        </w:rPr>
        <w:t xml:space="preserve">Table 4: </w:t>
      </w:r>
      <w:r>
        <w:rPr>
          <w:rFonts w:eastAsia="Times New Roman" w:cs="Times New Roman"/>
          <w:bCs/>
          <w:szCs w:val="24"/>
        </w:rPr>
        <w:t>Sources of careers advice</w:t>
      </w:r>
    </w:p>
    <w:p w14:paraId="7BF5B35B" w14:textId="77777777" w:rsidR="00E57972" w:rsidRDefault="00E57972" w:rsidP="00E57972">
      <w:pPr>
        <w:ind w:firstLine="0"/>
        <w:jc w:val="both"/>
        <w:rPr>
          <w:rFonts w:cs="Times New Roman"/>
          <w:szCs w:val="24"/>
        </w:rPr>
      </w:pPr>
    </w:p>
    <w:tbl>
      <w:tblPr>
        <w:tblStyle w:val="TableGrid"/>
        <w:tblW w:w="0" w:type="auto"/>
        <w:tblLook w:val="04A0" w:firstRow="1" w:lastRow="0" w:firstColumn="1" w:lastColumn="0" w:noHBand="0" w:noVBand="1"/>
      </w:tblPr>
      <w:tblGrid>
        <w:gridCol w:w="1413"/>
        <w:gridCol w:w="2268"/>
        <w:gridCol w:w="2693"/>
        <w:gridCol w:w="2642"/>
      </w:tblGrid>
      <w:tr w:rsidR="00E57972" w14:paraId="5AC14793" w14:textId="77777777" w:rsidTr="003A2BAE">
        <w:tc>
          <w:tcPr>
            <w:tcW w:w="1413" w:type="dxa"/>
          </w:tcPr>
          <w:p w14:paraId="1BEEADB6" w14:textId="77777777" w:rsidR="00E57972" w:rsidRPr="008C193F" w:rsidRDefault="00E57972" w:rsidP="008C193F">
            <w:pPr>
              <w:ind w:firstLine="0"/>
              <w:rPr>
                <w:rFonts w:cs="Times New Roman"/>
                <w:b/>
                <w:szCs w:val="24"/>
              </w:rPr>
            </w:pPr>
            <w:r w:rsidRPr="008C193F">
              <w:rPr>
                <w:rFonts w:cs="Times New Roman"/>
                <w:b/>
                <w:szCs w:val="24"/>
              </w:rPr>
              <w:lastRenderedPageBreak/>
              <w:t>Subject</w:t>
            </w:r>
          </w:p>
        </w:tc>
        <w:tc>
          <w:tcPr>
            <w:tcW w:w="2268" w:type="dxa"/>
          </w:tcPr>
          <w:p w14:paraId="2E8AD824" w14:textId="77777777" w:rsidR="00E57972" w:rsidRPr="008C193F" w:rsidRDefault="00E57972" w:rsidP="008C193F">
            <w:pPr>
              <w:ind w:firstLine="0"/>
              <w:rPr>
                <w:rFonts w:cs="Times New Roman"/>
                <w:b/>
                <w:szCs w:val="24"/>
              </w:rPr>
            </w:pPr>
            <w:r w:rsidRPr="008C193F">
              <w:rPr>
                <w:rFonts w:cs="Times New Roman"/>
                <w:b/>
                <w:szCs w:val="24"/>
              </w:rPr>
              <w:t>Description of module development</w:t>
            </w:r>
          </w:p>
        </w:tc>
        <w:tc>
          <w:tcPr>
            <w:tcW w:w="2693" w:type="dxa"/>
          </w:tcPr>
          <w:p w14:paraId="1F929953" w14:textId="77777777" w:rsidR="00E57972" w:rsidRPr="008C193F" w:rsidRDefault="00E57972" w:rsidP="008C193F">
            <w:pPr>
              <w:ind w:firstLine="0"/>
              <w:rPr>
                <w:rFonts w:cs="Times New Roman"/>
                <w:b/>
                <w:szCs w:val="24"/>
              </w:rPr>
            </w:pPr>
            <w:r w:rsidRPr="008C193F">
              <w:rPr>
                <w:rFonts w:cs="Times New Roman"/>
                <w:b/>
                <w:szCs w:val="24"/>
              </w:rPr>
              <w:t>Student perceptions</w:t>
            </w:r>
          </w:p>
        </w:tc>
        <w:tc>
          <w:tcPr>
            <w:tcW w:w="2642" w:type="dxa"/>
          </w:tcPr>
          <w:p w14:paraId="5610BA20" w14:textId="77777777" w:rsidR="00E57972" w:rsidRPr="008C193F" w:rsidRDefault="00E57972" w:rsidP="008C193F">
            <w:pPr>
              <w:ind w:firstLine="0"/>
              <w:rPr>
                <w:rFonts w:cs="Times New Roman"/>
                <w:b/>
                <w:szCs w:val="24"/>
              </w:rPr>
            </w:pPr>
            <w:r w:rsidRPr="008C193F">
              <w:rPr>
                <w:rFonts w:cs="Times New Roman"/>
                <w:b/>
                <w:szCs w:val="24"/>
              </w:rPr>
              <w:t>Implications for university-wide initiatives</w:t>
            </w:r>
          </w:p>
        </w:tc>
      </w:tr>
      <w:tr w:rsidR="00E57972" w14:paraId="7EBBE30E" w14:textId="77777777" w:rsidTr="003A2BAE">
        <w:tc>
          <w:tcPr>
            <w:tcW w:w="1413" w:type="dxa"/>
          </w:tcPr>
          <w:p w14:paraId="43E3A619" w14:textId="77777777" w:rsidR="00E57972" w:rsidRPr="008C193F" w:rsidRDefault="00E57972" w:rsidP="008C193F">
            <w:pPr>
              <w:ind w:firstLine="0"/>
              <w:rPr>
                <w:rFonts w:cs="Times New Roman"/>
                <w:b/>
                <w:szCs w:val="24"/>
              </w:rPr>
            </w:pPr>
            <w:r w:rsidRPr="008C193F">
              <w:rPr>
                <w:rFonts w:cs="Times New Roman"/>
                <w:b/>
                <w:szCs w:val="24"/>
              </w:rPr>
              <w:t>Computing</w:t>
            </w:r>
          </w:p>
        </w:tc>
        <w:tc>
          <w:tcPr>
            <w:tcW w:w="2268" w:type="dxa"/>
          </w:tcPr>
          <w:p w14:paraId="0F67E2CE" w14:textId="77777777" w:rsidR="00E57972" w:rsidRDefault="00E57972" w:rsidP="008C193F">
            <w:pPr>
              <w:ind w:firstLine="0"/>
              <w:rPr>
                <w:rFonts w:cs="Times New Roman"/>
                <w:szCs w:val="24"/>
              </w:rPr>
            </w:pPr>
            <w:r>
              <w:rPr>
                <w:rFonts w:cs="Times New Roman"/>
                <w:szCs w:val="24"/>
              </w:rPr>
              <w:t>External client-led projects.</w:t>
            </w:r>
            <w:bookmarkStart w:id="1" w:name="_GoBack"/>
            <w:bookmarkEnd w:id="1"/>
          </w:p>
        </w:tc>
        <w:tc>
          <w:tcPr>
            <w:tcW w:w="2693" w:type="dxa"/>
          </w:tcPr>
          <w:p w14:paraId="1F74A485" w14:textId="77777777" w:rsidR="00E57972" w:rsidRDefault="00E57972" w:rsidP="008C193F">
            <w:pPr>
              <w:ind w:firstLine="0"/>
              <w:rPr>
                <w:rFonts w:cs="Times New Roman"/>
                <w:szCs w:val="24"/>
              </w:rPr>
            </w:pPr>
            <w:r>
              <w:rPr>
                <w:rFonts w:cs="Times New Roman"/>
                <w:szCs w:val="24"/>
              </w:rPr>
              <w:t>Aims well-understood &amp; signposted; good recognition of opportunity.</w:t>
            </w:r>
          </w:p>
        </w:tc>
        <w:tc>
          <w:tcPr>
            <w:tcW w:w="2642" w:type="dxa"/>
          </w:tcPr>
          <w:p w14:paraId="58D8582F" w14:textId="77777777" w:rsidR="00E57972" w:rsidRDefault="00E57972" w:rsidP="008C193F">
            <w:pPr>
              <w:ind w:firstLine="0"/>
              <w:rPr>
                <w:rFonts w:cs="Times New Roman"/>
                <w:szCs w:val="24"/>
              </w:rPr>
            </w:pPr>
            <w:r>
              <w:rPr>
                <w:rFonts w:cs="Times New Roman"/>
                <w:szCs w:val="24"/>
              </w:rPr>
              <w:t xml:space="preserve">Ensure sufficient resources are identified to facilitate and sustain work-related learning. </w:t>
            </w:r>
          </w:p>
        </w:tc>
      </w:tr>
      <w:tr w:rsidR="00E57972" w14:paraId="6950BFF7" w14:textId="77777777" w:rsidTr="003A2BAE">
        <w:tc>
          <w:tcPr>
            <w:tcW w:w="1413" w:type="dxa"/>
          </w:tcPr>
          <w:p w14:paraId="09028414" w14:textId="77777777" w:rsidR="00E57972" w:rsidRPr="008C193F" w:rsidRDefault="00E57972" w:rsidP="008C193F">
            <w:pPr>
              <w:ind w:firstLine="0"/>
              <w:rPr>
                <w:rFonts w:cs="Times New Roman"/>
                <w:b/>
                <w:szCs w:val="24"/>
              </w:rPr>
            </w:pPr>
            <w:r w:rsidRPr="008C193F">
              <w:rPr>
                <w:rFonts w:cs="Times New Roman"/>
                <w:b/>
                <w:szCs w:val="24"/>
              </w:rPr>
              <w:t xml:space="preserve">Design </w:t>
            </w:r>
          </w:p>
        </w:tc>
        <w:tc>
          <w:tcPr>
            <w:tcW w:w="2268" w:type="dxa"/>
          </w:tcPr>
          <w:p w14:paraId="4091ADA3" w14:textId="77777777" w:rsidR="00E57972" w:rsidRDefault="00E57972" w:rsidP="008C193F">
            <w:pPr>
              <w:ind w:firstLine="0"/>
              <w:rPr>
                <w:rFonts w:cs="Times New Roman"/>
                <w:szCs w:val="24"/>
              </w:rPr>
            </w:pPr>
            <w:r>
              <w:rPr>
                <w:rFonts w:cs="Times New Roman"/>
                <w:szCs w:val="24"/>
              </w:rPr>
              <w:t>Semester-long initiative: design studio, internship or study abroad.</w:t>
            </w:r>
          </w:p>
        </w:tc>
        <w:tc>
          <w:tcPr>
            <w:tcW w:w="2693" w:type="dxa"/>
          </w:tcPr>
          <w:p w14:paraId="2FBF0CCC" w14:textId="77777777" w:rsidR="00E57972" w:rsidRDefault="00E57972" w:rsidP="008C193F">
            <w:pPr>
              <w:ind w:firstLine="0"/>
              <w:rPr>
                <w:rFonts w:cs="Times New Roman"/>
                <w:szCs w:val="24"/>
              </w:rPr>
            </w:pPr>
            <w:r>
              <w:rPr>
                <w:rFonts w:cs="Times New Roman"/>
                <w:szCs w:val="24"/>
              </w:rPr>
              <w:t>Significant confusion about how student selection was to be conducted, in spite of valuable advice from tutors.</w:t>
            </w:r>
          </w:p>
        </w:tc>
        <w:tc>
          <w:tcPr>
            <w:tcW w:w="2642" w:type="dxa"/>
          </w:tcPr>
          <w:p w14:paraId="4F5ACBFE" w14:textId="77777777" w:rsidR="00E57972" w:rsidRDefault="00E57972" w:rsidP="008C193F">
            <w:pPr>
              <w:ind w:firstLine="0"/>
              <w:rPr>
                <w:rFonts w:cs="Times New Roman"/>
                <w:szCs w:val="24"/>
              </w:rPr>
            </w:pPr>
            <w:r>
              <w:rPr>
                <w:rFonts w:cs="Times New Roman"/>
                <w:szCs w:val="24"/>
              </w:rPr>
              <w:t>Ensure teaching staff know the work-related learning strategy; then a</w:t>
            </w:r>
            <w:r w:rsidRPr="00E3219B">
              <w:rPr>
                <w:rFonts w:cs="Times New Roman"/>
                <w:szCs w:val="24"/>
              </w:rPr>
              <w:t>lign messages about where and when students can participate in work-related learning.</w:t>
            </w:r>
            <w:r>
              <w:rPr>
                <w:rFonts w:cs="Times New Roman"/>
                <w:szCs w:val="24"/>
              </w:rPr>
              <w:t xml:space="preserve"> Recognise the value of industry experience to students when appointing staff.</w:t>
            </w:r>
          </w:p>
        </w:tc>
      </w:tr>
      <w:tr w:rsidR="00E57972" w14:paraId="29C58752" w14:textId="77777777" w:rsidTr="003A2BAE">
        <w:tc>
          <w:tcPr>
            <w:tcW w:w="1413" w:type="dxa"/>
          </w:tcPr>
          <w:p w14:paraId="59E147C3" w14:textId="77777777" w:rsidR="00E57972" w:rsidRPr="008C193F" w:rsidRDefault="00E57972" w:rsidP="008C193F">
            <w:pPr>
              <w:ind w:firstLine="0"/>
              <w:rPr>
                <w:rFonts w:cs="Times New Roman"/>
                <w:b/>
                <w:szCs w:val="24"/>
              </w:rPr>
            </w:pPr>
            <w:r w:rsidRPr="008C193F">
              <w:rPr>
                <w:rFonts w:cs="Times New Roman"/>
                <w:b/>
                <w:szCs w:val="24"/>
              </w:rPr>
              <w:t>Film &amp; TV</w:t>
            </w:r>
          </w:p>
        </w:tc>
        <w:tc>
          <w:tcPr>
            <w:tcW w:w="2268" w:type="dxa"/>
          </w:tcPr>
          <w:p w14:paraId="328AE64C" w14:textId="77777777" w:rsidR="00E57972" w:rsidRDefault="00E57972" w:rsidP="008C193F">
            <w:pPr>
              <w:ind w:firstLine="0"/>
              <w:rPr>
                <w:rFonts w:cs="Times New Roman"/>
                <w:szCs w:val="24"/>
              </w:rPr>
            </w:pPr>
            <w:r>
              <w:rPr>
                <w:rFonts w:cs="Times New Roman"/>
                <w:szCs w:val="24"/>
              </w:rPr>
              <w:t>Semester-long internships/ client-led projects.</w:t>
            </w:r>
          </w:p>
        </w:tc>
        <w:tc>
          <w:tcPr>
            <w:tcW w:w="2693" w:type="dxa"/>
          </w:tcPr>
          <w:p w14:paraId="15B1BF03" w14:textId="77777777" w:rsidR="00E57972" w:rsidRDefault="00E57972" w:rsidP="008C193F">
            <w:pPr>
              <w:ind w:firstLine="0"/>
              <w:rPr>
                <w:rFonts w:cs="Times New Roman"/>
                <w:szCs w:val="24"/>
              </w:rPr>
            </w:pPr>
            <w:r>
              <w:rPr>
                <w:rFonts w:cs="Times New Roman"/>
                <w:szCs w:val="24"/>
              </w:rPr>
              <w:t>Lack of clarity about how to apply for these projects, for example, how they would be advertised.</w:t>
            </w:r>
          </w:p>
        </w:tc>
        <w:tc>
          <w:tcPr>
            <w:tcW w:w="2642" w:type="dxa"/>
          </w:tcPr>
          <w:p w14:paraId="5EF9A1EA" w14:textId="77777777" w:rsidR="00E57972" w:rsidRDefault="00E57972" w:rsidP="008C193F">
            <w:pPr>
              <w:ind w:firstLine="0"/>
              <w:rPr>
                <w:rFonts w:cs="Times New Roman"/>
                <w:szCs w:val="24"/>
              </w:rPr>
            </w:pPr>
            <w:r>
              <w:rPr>
                <w:rFonts w:cs="Times New Roman"/>
                <w:szCs w:val="24"/>
              </w:rPr>
              <w:t>Consider equality of access to work-related learning and how this could be implemented.</w:t>
            </w:r>
          </w:p>
        </w:tc>
      </w:tr>
      <w:tr w:rsidR="00E57972" w14:paraId="77A45098" w14:textId="77777777" w:rsidTr="003A2BAE">
        <w:tc>
          <w:tcPr>
            <w:tcW w:w="1413" w:type="dxa"/>
          </w:tcPr>
          <w:p w14:paraId="19E50B31" w14:textId="77777777" w:rsidR="00E57972" w:rsidRPr="008C193F" w:rsidRDefault="00E57972" w:rsidP="008C193F">
            <w:pPr>
              <w:ind w:firstLine="0"/>
              <w:rPr>
                <w:rFonts w:cs="Times New Roman"/>
                <w:b/>
                <w:szCs w:val="24"/>
              </w:rPr>
            </w:pPr>
            <w:r w:rsidRPr="008C193F">
              <w:rPr>
                <w:rFonts w:cs="Times New Roman"/>
                <w:b/>
                <w:szCs w:val="24"/>
              </w:rPr>
              <w:lastRenderedPageBreak/>
              <w:t>Law</w:t>
            </w:r>
          </w:p>
        </w:tc>
        <w:tc>
          <w:tcPr>
            <w:tcW w:w="2268" w:type="dxa"/>
          </w:tcPr>
          <w:p w14:paraId="02EB0556" w14:textId="77777777" w:rsidR="00E57972" w:rsidRDefault="00E57972" w:rsidP="008C193F">
            <w:pPr>
              <w:ind w:firstLine="0"/>
              <w:rPr>
                <w:rFonts w:cs="Times New Roman"/>
                <w:szCs w:val="24"/>
              </w:rPr>
            </w:pPr>
            <w:r>
              <w:rPr>
                <w:rFonts w:cs="Times New Roman"/>
                <w:szCs w:val="24"/>
              </w:rPr>
              <w:t>Law clinic</w:t>
            </w:r>
          </w:p>
        </w:tc>
        <w:tc>
          <w:tcPr>
            <w:tcW w:w="2693" w:type="dxa"/>
          </w:tcPr>
          <w:p w14:paraId="0D386001" w14:textId="77777777" w:rsidR="00E57972" w:rsidRDefault="00E57972" w:rsidP="008C193F">
            <w:pPr>
              <w:ind w:firstLine="0"/>
              <w:rPr>
                <w:rFonts w:cs="Times New Roman"/>
                <w:szCs w:val="24"/>
              </w:rPr>
            </w:pPr>
            <w:r>
              <w:rPr>
                <w:rFonts w:cs="Times New Roman"/>
                <w:szCs w:val="24"/>
              </w:rPr>
              <w:t>Recognised as valuable opportunity to put theory into practice.</w:t>
            </w:r>
          </w:p>
        </w:tc>
        <w:tc>
          <w:tcPr>
            <w:tcW w:w="2642" w:type="dxa"/>
          </w:tcPr>
          <w:p w14:paraId="46C7BCD7" w14:textId="77777777" w:rsidR="00E57972" w:rsidRDefault="00E57972" w:rsidP="008C193F">
            <w:pPr>
              <w:ind w:firstLine="0"/>
              <w:rPr>
                <w:rFonts w:cs="Times New Roman"/>
                <w:szCs w:val="24"/>
              </w:rPr>
            </w:pPr>
            <w:r>
              <w:rPr>
                <w:rFonts w:cs="Times New Roman"/>
                <w:szCs w:val="24"/>
              </w:rPr>
              <w:t>Disseminate good practice across the institution.</w:t>
            </w:r>
          </w:p>
        </w:tc>
      </w:tr>
      <w:tr w:rsidR="00E57972" w14:paraId="6DA37175" w14:textId="77777777" w:rsidTr="003A2BAE">
        <w:tc>
          <w:tcPr>
            <w:tcW w:w="1413" w:type="dxa"/>
          </w:tcPr>
          <w:p w14:paraId="75B4D997" w14:textId="77777777" w:rsidR="00E57972" w:rsidRPr="008C193F" w:rsidRDefault="00E57972" w:rsidP="008C193F">
            <w:pPr>
              <w:ind w:firstLine="0"/>
              <w:rPr>
                <w:rFonts w:cs="Times New Roman"/>
                <w:b/>
                <w:szCs w:val="24"/>
              </w:rPr>
            </w:pPr>
            <w:r w:rsidRPr="008C193F">
              <w:rPr>
                <w:rFonts w:cs="Times New Roman"/>
                <w:b/>
                <w:szCs w:val="24"/>
              </w:rPr>
              <w:t>Vet Nursing</w:t>
            </w:r>
          </w:p>
        </w:tc>
        <w:tc>
          <w:tcPr>
            <w:tcW w:w="2268" w:type="dxa"/>
          </w:tcPr>
          <w:p w14:paraId="360C7828" w14:textId="77777777" w:rsidR="00E57972" w:rsidRDefault="00E57972" w:rsidP="008C193F">
            <w:pPr>
              <w:ind w:firstLine="0"/>
              <w:rPr>
                <w:rFonts w:cs="Times New Roman"/>
                <w:szCs w:val="24"/>
              </w:rPr>
            </w:pPr>
            <w:r>
              <w:rPr>
                <w:rFonts w:cs="Times New Roman"/>
                <w:szCs w:val="24"/>
              </w:rPr>
              <w:t>Professional practice module with work experience.</w:t>
            </w:r>
          </w:p>
        </w:tc>
        <w:tc>
          <w:tcPr>
            <w:tcW w:w="2693" w:type="dxa"/>
          </w:tcPr>
          <w:p w14:paraId="176A6B94" w14:textId="77777777" w:rsidR="00E57972" w:rsidRDefault="00E57972" w:rsidP="008C193F">
            <w:pPr>
              <w:ind w:firstLine="0"/>
              <w:rPr>
                <w:rFonts w:cs="Times New Roman"/>
                <w:szCs w:val="24"/>
              </w:rPr>
            </w:pPr>
            <w:r>
              <w:rPr>
                <w:rFonts w:cs="Times New Roman"/>
                <w:szCs w:val="24"/>
              </w:rPr>
              <w:t>Worth of this activity well understood; when and how it would happen was not clear.</w:t>
            </w:r>
          </w:p>
        </w:tc>
        <w:tc>
          <w:tcPr>
            <w:tcW w:w="2642" w:type="dxa"/>
          </w:tcPr>
          <w:p w14:paraId="68ADC675" w14:textId="77777777" w:rsidR="00E57972" w:rsidRDefault="00E57972" w:rsidP="008C193F">
            <w:pPr>
              <w:ind w:firstLine="0"/>
              <w:rPr>
                <w:rFonts w:cs="Times New Roman"/>
                <w:szCs w:val="24"/>
              </w:rPr>
            </w:pPr>
            <w:r>
              <w:rPr>
                <w:rFonts w:cs="Times New Roman"/>
                <w:szCs w:val="24"/>
              </w:rPr>
              <w:t>Increase awareness of work-related learning amongst students.</w:t>
            </w:r>
          </w:p>
        </w:tc>
      </w:tr>
    </w:tbl>
    <w:p w14:paraId="3244987B" w14:textId="2BB98190" w:rsidR="00E57972" w:rsidRDefault="00E57972" w:rsidP="00E57972">
      <w:pPr>
        <w:ind w:firstLine="0"/>
        <w:jc w:val="both"/>
        <w:rPr>
          <w:rFonts w:cs="Times New Roman"/>
          <w:szCs w:val="24"/>
        </w:rPr>
      </w:pPr>
      <w:r>
        <w:rPr>
          <w:rFonts w:cs="Times New Roman"/>
          <w:szCs w:val="24"/>
        </w:rPr>
        <w:t xml:space="preserve">Table 5: Subject-specific findings </w:t>
      </w:r>
    </w:p>
    <w:p w14:paraId="47C4D4FF" w14:textId="77777777" w:rsidR="0034251C" w:rsidRPr="006A2249" w:rsidRDefault="0034251C" w:rsidP="006A2249">
      <w:pPr>
        <w:spacing w:after="200" w:line="276" w:lineRule="auto"/>
        <w:ind w:firstLine="0"/>
      </w:pPr>
    </w:p>
    <w:sectPr w:rsidR="0034251C" w:rsidRPr="006A2249" w:rsidSect="00721031">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E230C" w14:textId="77777777" w:rsidR="00327092" w:rsidRDefault="00327092" w:rsidP="002E26BE">
      <w:pPr>
        <w:spacing w:line="240" w:lineRule="auto"/>
      </w:pPr>
      <w:r>
        <w:separator/>
      </w:r>
    </w:p>
  </w:endnote>
  <w:endnote w:type="continuationSeparator" w:id="0">
    <w:p w14:paraId="272284A2" w14:textId="77777777" w:rsidR="00327092" w:rsidRDefault="00327092" w:rsidP="002E2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E2049" w14:textId="77777777" w:rsidR="00327092" w:rsidRDefault="00327092" w:rsidP="002E26BE">
      <w:pPr>
        <w:spacing w:line="240" w:lineRule="auto"/>
      </w:pPr>
      <w:r>
        <w:separator/>
      </w:r>
    </w:p>
  </w:footnote>
  <w:footnote w:type="continuationSeparator" w:id="0">
    <w:p w14:paraId="05B1FBFD" w14:textId="77777777" w:rsidR="00327092" w:rsidRDefault="00327092" w:rsidP="002E26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286588"/>
      <w:docPartObj>
        <w:docPartGallery w:val="Page Numbers (Top of Page)"/>
        <w:docPartUnique/>
      </w:docPartObj>
    </w:sdtPr>
    <w:sdtEndPr>
      <w:rPr>
        <w:noProof/>
      </w:rPr>
    </w:sdtEndPr>
    <w:sdtContent>
      <w:p w14:paraId="1CF175C8" w14:textId="470BF7CC" w:rsidR="00481BB3" w:rsidRDefault="00481BB3" w:rsidP="00946E09">
        <w:pPr>
          <w:pStyle w:val="Header"/>
          <w:ind w:firstLine="0"/>
        </w:pPr>
        <w:r>
          <w:ptab w:relativeTo="margin" w:alignment="right" w:leader="none"/>
        </w:r>
        <w:r>
          <w:fldChar w:fldCharType="begin"/>
        </w:r>
        <w:r>
          <w:instrText xml:space="preserve"> PAGE   \* MERGEFORMAT </w:instrText>
        </w:r>
        <w:r>
          <w:fldChar w:fldCharType="separate"/>
        </w:r>
        <w:r w:rsidR="008C193F">
          <w:rPr>
            <w:noProof/>
          </w:rPr>
          <w:t>30</w:t>
        </w:r>
        <w:r>
          <w:rPr>
            <w:noProof/>
          </w:rPr>
          <w:fldChar w:fldCharType="end"/>
        </w:r>
      </w:p>
    </w:sdtContent>
  </w:sdt>
  <w:p w14:paraId="7640499A" w14:textId="77777777" w:rsidR="00481BB3" w:rsidRPr="002E26BE" w:rsidRDefault="00481BB3">
    <w:pPr>
      <w:pStyle w:val="Header"/>
      <w:rPr>
        <w:rFonts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509749"/>
      <w:docPartObj>
        <w:docPartGallery w:val="Page Numbers (Top of Page)"/>
        <w:docPartUnique/>
      </w:docPartObj>
    </w:sdtPr>
    <w:sdtEndPr>
      <w:rPr>
        <w:noProof/>
      </w:rPr>
    </w:sdtEndPr>
    <w:sdtContent>
      <w:p w14:paraId="166D452D" w14:textId="77777777" w:rsidR="00481BB3" w:rsidRDefault="00481BB3" w:rsidP="00946E09">
        <w:pPr>
          <w:pStyle w:val="Header"/>
          <w:ind w:firstLine="0"/>
        </w:pPr>
        <w:r w:rsidRPr="00721031">
          <w:t xml:space="preserve">STUDENT </w:t>
        </w:r>
        <w:r>
          <w:t>IDENTITY AND GRADUATE EMPLOYABILITY</w:t>
        </w:r>
        <w:r>
          <w:ptab w:relativeTo="margin" w:alignment="right" w:leader="none"/>
        </w:r>
        <w:r>
          <w:t xml:space="preserve"> </w:t>
        </w:r>
        <w:r w:rsidRPr="00721031">
          <w:t xml:space="preserve"> </w:t>
        </w:r>
        <w:r>
          <w:fldChar w:fldCharType="begin"/>
        </w:r>
        <w:r>
          <w:instrText xml:space="preserve"> PAGE   \* MERGEFORMAT </w:instrText>
        </w:r>
        <w:r>
          <w:fldChar w:fldCharType="separate"/>
        </w:r>
        <w:r>
          <w:rPr>
            <w:noProof/>
          </w:rPr>
          <w:t>1</w:t>
        </w:r>
        <w:r>
          <w:rPr>
            <w:noProof/>
          </w:rPr>
          <w:fldChar w:fldCharType="end"/>
        </w:r>
      </w:p>
    </w:sdtContent>
  </w:sdt>
  <w:p w14:paraId="79037A0E" w14:textId="77777777" w:rsidR="00481BB3" w:rsidRDefault="00481BB3" w:rsidP="00946E09">
    <w:pPr>
      <w:pStyle w:val="Header"/>
      <w:ind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367962"/>
      <w:docPartObj>
        <w:docPartGallery w:val="Page Numbers (Top of Page)"/>
        <w:docPartUnique/>
      </w:docPartObj>
    </w:sdtPr>
    <w:sdtEndPr>
      <w:rPr>
        <w:noProof/>
      </w:rPr>
    </w:sdtEndPr>
    <w:sdtContent>
      <w:p w14:paraId="456AA669" w14:textId="199C28D7" w:rsidR="00481BB3" w:rsidRDefault="00481BB3" w:rsidP="00946E09">
        <w:pPr>
          <w:pStyle w:val="Header"/>
          <w:ind w:firstLine="0"/>
        </w:pPr>
        <w:r w:rsidRPr="00721031">
          <w:t>STUDENT APPRO</w:t>
        </w:r>
        <w:r>
          <w:t>ACHES TO GRADUATE EMPLOYABILITY</w:t>
        </w:r>
        <w:r>
          <w:ptab w:relativeTo="margin" w:alignment="right" w:leader="none"/>
        </w:r>
        <w:r>
          <w:t xml:space="preserve"> </w:t>
        </w:r>
        <w:r w:rsidRPr="00721031">
          <w:t xml:space="preserve"> </w:t>
        </w:r>
        <w:r>
          <w:fldChar w:fldCharType="begin"/>
        </w:r>
        <w:r>
          <w:instrText xml:space="preserve"> PAGE   \* MERGEFORMAT </w:instrText>
        </w:r>
        <w:r>
          <w:fldChar w:fldCharType="separate"/>
        </w:r>
        <w:r w:rsidR="008C193F">
          <w:rPr>
            <w:noProof/>
          </w:rPr>
          <w:t>21</w:t>
        </w:r>
        <w:r>
          <w:rPr>
            <w:noProof/>
          </w:rPr>
          <w:fldChar w:fldCharType="end"/>
        </w:r>
      </w:p>
    </w:sdtContent>
  </w:sdt>
  <w:p w14:paraId="277ED9DF" w14:textId="77777777" w:rsidR="00481BB3" w:rsidRDefault="00481BB3" w:rsidP="00946E09">
    <w:pPr>
      <w:pStyle w:val="Header"/>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C5E76"/>
    <w:multiLevelType w:val="hybridMultilevel"/>
    <w:tmpl w:val="0BEE022A"/>
    <w:lvl w:ilvl="0" w:tplc="8EBC52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9598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3711A6"/>
    <w:multiLevelType w:val="hybridMultilevel"/>
    <w:tmpl w:val="CF626CE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F93020"/>
    <w:multiLevelType w:val="hybridMultilevel"/>
    <w:tmpl w:val="3C0049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41E95862"/>
    <w:multiLevelType w:val="hybridMultilevel"/>
    <w:tmpl w:val="D4BCD9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4A2F1E6A"/>
    <w:multiLevelType w:val="hybridMultilevel"/>
    <w:tmpl w:val="3C0049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4951550"/>
    <w:multiLevelType w:val="hybridMultilevel"/>
    <w:tmpl w:val="92B0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B4"/>
    <w:rsid w:val="00000440"/>
    <w:rsid w:val="0000118D"/>
    <w:rsid w:val="00005D7C"/>
    <w:rsid w:val="00006085"/>
    <w:rsid w:val="00011456"/>
    <w:rsid w:val="00012946"/>
    <w:rsid w:val="00012DD2"/>
    <w:rsid w:val="000135CE"/>
    <w:rsid w:val="00013EEC"/>
    <w:rsid w:val="000144D1"/>
    <w:rsid w:val="00014BB9"/>
    <w:rsid w:val="00015AFD"/>
    <w:rsid w:val="000167EF"/>
    <w:rsid w:val="00024304"/>
    <w:rsid w:val="00025F1F"/>
    <w:rsid w:val="00026640"/>
    <w:rsid w:val="000340E0"/>
    <w:rsid w:val="00046552"/>
    <w:rsid w:val="00054A02"/>
    <w:rsid w:val="00060AD1"/>
    <w:rsid w:val="000612E5"/>
    <w:rsid w:val="000614F4"/>
    <w:rsid w:val="000619D9"/>
    <w:rsid w:val="000626AF"/>
    <w:rsid w:val="0006732D"/>
    <w:rsid w:val="000679F7"/>
    <w:rsid w:val="00070104"/>
    <w:rsid w:val="00070B54"/>
    <w:rsid w:val="0007535B"/>
    <w:rsid w:val="00075DC7"/>
    <w:rsid w:val="000771AF"/>
    <w:rsid w:val="00081EA0"/>
    <w:rsid w:val="00082004"/>
    <w:rsid w:val="00082580"/>
    <w:rsid w:val="00085868"/>
    <w:rsid w:val="000862A3"/>
    <w:rsid w:val="00090C24"/>
    <w:rsid w:val="00090FE6"/>
    <w:rsid w:val="00094351"/>
    <w:rsid w:val="000A0AB4"/>
    <w:rsid w:val="000A5277"/>
    <w:rsid w:val="000A52CD"/>
    <w:rsid w:val="000B24F9"/>
    <w:rsid w:val="000B7DEB"/>
    <w:rsid w:val="000C06C6"/>
    <w:rsid w:val="000C157F"/>
    <w:rsid w:val="000C3DA6"/>
    <w:rsid w:val="000C422F"/>
    <w:rsid w:val="000C54EF"/>
    <w:rsid w:val="000C5A41"/>
    <w:rsid w:val="000C7DE9"/>
    <w:rsid w:val="000D0B37"/>
    <w:rsid w:val="000D1D13"/>
    <w:rsid w:val="000D24C2"/>
    <w:rsid w:val="000D3E1F"/>
    <w:rsid w:val="000D69B7"/>
    <w:rsid w:val="000D6DD0"/>
    <w:rsid w:val="000D7548"/>
    <w:rsid w:val="000E0495"/>
    <w:rsid w:val="000E1E30"/>
    <w:rsid w:val="000E207C"/>
    <w:rsid w:val="000E22B3"/>
    <w:rsid w:val="000E2D9D"/>
    <w:rsid w:val="000E3C59"/>
    <w:rsid w:val="000E6653"/>
    <w:rsid w:val="000E7982"/>
    <w:rsid w:val="000E7CB1"/>
    <w:rsid w:val="000F0189"/>
    <w:rsid w:val="000F1058"/>
    <w:rsid w:val="000F2380"/>
    <w:rsid w:val="000F2E4C"/>
    <w:rsid w:val="000F3055"/>
    <w:rsid w:val="000F526D"/>
    <w:rsid w:val="000F6911"/>
    <w:rsid w:val="00102C01"/>
    <w:rsid w:val="00103BFC"/>
    <w:rsid w:val="00105952"/>
    <w:rsid w:val="001061FC"/>
    <w:rsid w:val="0010627D"/>
    <w:rsid w:val="001111DC"/>
    <w:rsid w:val="00111FD5"/>
    <w:rsid w:val="001120F7"/>
    <w:rsid w:val="00122851"/>
    <w:rsid w:val="00130B28"/>
    <w:rsid w:val="00132F24"/>
    <w:rsid w:val="00133848"/>
    <w:rsid w:val="001357C6"/>
    <w:rsid w:val="00137352"/>
    <w:rsid w:val="0014271B"/>
    <w:rsid w:val="001436B1"/>
    <w:rsid w:val="00145F09"/>
    <w:rsid w:val="001478A8"/>
    <w:rsid w:val="00150DB7"/>
    <w:rsid w:val="00151253"/>
    <w:rsid w:val="00151808"/>
    <w:rsid w:val="001542CF"/>
    <w:rsid w:val="00155120"/>
    <w:rsid w:val="001561B8"/>
    <w:rsid w:val="00163B3C"/>
    <w:rsid w:val="00165599"/>
    <w:rsid w:val="00171949"/>
    <w:rsid w:val="001722E9"/>
    <w:rsid w:val="001731C3"/>
    <w:rsid w:val="00174395"/>
    <w:rsid w:val="00174494"/>
    <w:rsid w:val="001750F2"/>
    <w:rsid w:val="001764A5"/>
    <w:rsid w:val="0018026A"/>
    <w:rsid w:val="00180C53"/>
    <w:rsid w:val="0018101F"/>
    <w:rsid w:val="00183824"/>
    <w:rsid w:val="00187BCD"/>
    <w:rsid w:val="00190AB0"/>
    <w:rsid w:val="001913BA"/>
    <w:rsid w:val="00197C47"/>
    <w:rsid w:val="001A1E3D"/>
    <w:rsid w:val="001A2D9F"/>
    <w:rsid w:val="001A7BFB"/>
    <w:rsid w:val="001C2BBB"/>
    <w:rsid w:val="001C4FBE"/>
    <w:rsid w:val="001C5548"/>
    <w:rsid w:val="001D3007"/>
    <w:rsid w:val="001D3656"/>
    <w:rsid w:val="001D4754"/>
    <w:rsid w:val="001D63B4"/>
    <w:rsid w:val="001D78E6"/>
    <w:rsid w:val="001E05DA"/>
    <w:rsid w:val="001E0BD1"/>
    <w:rsid w:val="001E0D2E"/>
    <w:rsid w:val="001E491B"/>
    <w:rsid w:val="001E7A1D"/>
    <w:rsid w:val="001F00DE"/>
    <w:rsid w:val="001F1881"/>
    <w:rsid w:val="001F28F4"/>
    <w:rsid w:val="001F3D7B"/>
    <w:rsid w:val="001F3FC2"/>
    <w:rsid w:val="001F5794"/>
    <w:rsid w:val="001F59FB"/>
    <w:rsid w:val="0020076C"/>
    <w:rsid w:val="00203DF9"/>
    <w:rsid w:val="00210368"/>
    <w:rsid w:val="00213190"/>
    <w:rsid w:val="00215808"/>
    <w:rsid w:val="00217F84"/>
    <w:rsid w:val="002251F9"/>
    <w:rsid w:val="00232DCB"/>
    <w:rsid w:val="002330F6"/>
    <w:rsid w:val="00233741"/>
    <w:rsid w:val="00233B5A"/>
    <w:rsid w:val="002353FC"/>
    <w:rsid w:val="00235862"/>
    <w:rsid w:val="00243189"/>
    <w:rsid w:val="0024578A"/>
    <w:rsid w:val="0024669B"/>
    <w:rsid w:val="00246E26"/>
    <w:rsid w:val="00247B83"/>
    <w:rsid w:val="00247D78"/>
    <w:rsid w:val="002507DE"/>
    <w:rsid w:val="00251319"/>
    <w:rsid w:val="00257458"/>
    <w:rsid w:val="00260467"/>
    <w:rsid w:val="00262560"/>
    <w:rsid w:val="002632A1"/>
    <w:rsid w:val="002644AD"/>
    <w:rsid w:val="002650A6"/>
    <w:rsid w:val="00266C7D"/>
    <w:rsid w:val="00267B05"/>
    <w:rsid w:val="00270060"/>
    <w:rsid w:val="00270821"/>
    <w:rsid w:val="00275A9E"/>
    <w:rsid w:val="00275E1A"/>
    <w:rsid w:val="002766EF"/>
    <w:rsid w:val="002804D9"/>
    <w:rsid w:val="0028142F"/>
    <w:rsid w:val="00284CF6"/>
    <w:rsid w:val="002850E1"/>
    <w:rsid w:val="0028597D"/>
    <w:rsid w:val="0029109C"/>
    <w:rsid w:val="002917B7"/>
    <w:rsid w:val="00295970"/>
    <w:rsid w:val="002A2714"/>
    <w:rsid w:val="002A4A2F"/>
    <w:rsid w:val="002C1AA7"/>
    <w:rsid w:val="002C2D43"/>
    <w:rsid w:val="002C6218"/>
    <w:rsid w:val="002C74CF"/>
    <w:rsid w:val="002C7854"/>
    <w:rsid w:val="002D1852"/>
    <w:rsid w:val="002D2169"/>
    <w:rsid w:val="002D4420"/>
    <w:rsid w:val="002D60AC"/>
    <w:rsid w:val="002E0018"/>
    <w:rsid w:val="002E0140"/>
    <w:rsid w:val="002E1708"/>
    <w:rsid w:val="002E2204"/>
    <w:rsid w:val="002E26BE"/>
    <w:rsid w:val="002F58E3"/>
    <w:rsid w:val="002F7225"/>
    <w:rsid w:val="002F75DB"/>
    <w:rsid w:val="002F7762"/>
    <w:rsid w:val="00302DF6"/>
    <w:rsid w:val="00306371"/>
    <w:rsid w:val="00307BF5"/>
    <w:rsid w:val="0031067A"/>
    <w:rsid w:val="003109A4"/>
    <w:rsid w:val="0031116E"/>
    <w:rsid w:val="00312022"/>
    <w:rsid w:val="003122F6"/>
    <w:rsid w:val="00312E7E"/>
    <w:rsid w:val="00314B3B"/>
    <w:rsid w:val="00324123"/>
    <w:rsid w:val="00326CF8"/>
    <w:rsid w:val="00327092"/>
    <w:rsid w:val="003337F9"/>
    <w:rsid w:val="00335F80"/>
    <w:rsid w:val="00336A57"/>
    <w:rsid w:val="003373BF"/>
    <w:rsid w:val="003410F9"/>
    <w:rsid w:val="0034251C"/>
    <w:rsid w:val="00343C40"/>
    <w:rsid w:val="00345675"/>
    <w:rsid w:val="003462E9"/>
    <w:rsid w:val="003513E5"/>
    <w:rsid w:val="00351E5E"/>
    <w:rsid w:val="00355ADA"/>
    <w:rsid w:val="00363DD4"/>
    <w:rsid w:val="003671DF"/>
    <w:rsid w:val="00371CA4"/>
    <w:rsid w:val="003739D8"/>
    <w:rsid w:val="00376452"/>
    <w:rsid w:val="003777AC"/>
    <w:rsid w:val="00381613"/>
    <w:rsid w:val="003827A3"/>
    <w:rsid w:val="00384624"/>
    <w:rsid w:val="00385BFD"/>
    <w:rsid w:val="00385D0E"/>
    <w:rsid w:val="00394D16"/>
    <w:rsid w:val="003969A0"/>
    <w:rsid w:val="003A3991"/>
    <w:rsid w:val="003A47CD"/>
    <w:rsid w:val="003A6706"/>
    <w:rsid w:val="003B0260"/>
    <w:rsid w:val="003B0B81"/>
    <w:rsid w:val="003B1EE5"/>
    <w:rsid w:val="003B29F4"/>
    <w:rsid w:val="003B44FE"/>
    <w:rsid w:val="003B5DE4"/>
    <w:rsid w:val="003B5DF2"/>
    <w:rsid w:val="003C5B49"/>
    <w:rsid w:val="003C68CF"/>
    <w:rsid w:val="003D29D7"/>
    <w:rsid w:val="003D70B0"/>
    <w:rsid w:val="003E4BAB"/>
    <w:rsid w:val="003E6472"/>
    <w:rsid w:val="003F181E"/>
    <w:rsid w:val="003F7007"/>
    <w:rsid w:val="00404A6B"/>
    <w:rsid w:val="00406B5B"/>
    <w:rsid w:val="00406BD1"/>
    <w:rsid w:val="00414341"/>
    <w:rsid w:val="00415CA5"/>
    <w:rsid w:val="00423214"/>
    <w:rsid w:val="004232B7"/>
    <w:rsid w:val="00425846"/>
    <w:rsid w:val="004261AF"/>
    <w:rsid w:val="0042656A"/>
    <w:rsid w:val="00426BA7"/>
    <w:rsid w:val="0043217C"/>
    <w:rsid w:val="004342DE"/>
    <w:rsid w:val="00436833"/>
    <w:rsid w:val="00441825"/>
    <w:rsid w:val="00441BAC"/>
    <w:rsid w:val="00441FDE"/>
    <w:rsid w:val="0044441C"/>
    <w:rsid w:val="00444B9F"/>
    <w:rsid w:val="00445C80"/>
    <w:rsid w:val="0045170F"/>
    <w:rsid w:val="00452433"/>
    <w:rsid w:val="0046277B"/>
    <w:rsid w:val="00462ACD"/>
    <w:rsid w:val="00465AF0"/>
    <w:rsid w:val="00467F55"/>
    <w:rsid w:val="004714BF"/>
    <w:rsid w:val="0047277E"/>
    <w:rsid w:val="00472A94"/>
    <w:rsid w:val="0047406D"/>
    <w:rsid w:val="00475AF9"/>
    <w:rsid w:val="00475F36"/>
    <w:rsid w:val="00477990"/>
    <w:rsid w:val="0048106D"/>
    <w:rsid w:val="00481BB3"/>
    <w:rsid w:val="00483639"/>
    <w:rsid w:val="004856B3"/>
    <w:rsid w:val="00487A9E"/>
    <w:rsid w:val="00490056"/>
    <w:rsid w:val="00490AFB"/>
    <w:rsid w:val="00491BF5"/>
    <w:rsid w:val="004940D8"/>
    <w:rsid w:val="00495047"/>
    <w:rsid w:val="00495693"/>
    <w:rsid w:val="004963FE"/>
    <w:rsid w:val="00496B1D"/>
    <w:rsid w:val="0049747E"/>
    <w:rsid w:val="004A06BD"/>
    <w:rsid w:val="004A10F7"/>
    <w:rsid w:val="004A34B3"/>
    <w:rsid w:val="004A6D63"/>
    <w:rsid w:val="004A7B24"/>
    <w:rsid w:val="004A7E56"/>
    <w:rsid w:val="004B0808"/>
    <w:rsid w:val="004B3CCE"/>
    <w:rsid w:val="004B4D66"/>
    <w:rsid w:val="004B69FF"/>
    <w:rsid w:val="004C303E"/>
    <w:rsid w:val="004C32DC"/>
    <w:rsid w:val="004C68E8"/>
    <w:rsid w:val="004C6FDF"/>
    <w:rsid w:val="004D0D1A"/>
    <w:rsid w:val="004D31F1"/>
    <w:rsid w:val="004D3DCF"/>
    <w:rsid w:val="004E1724"/>
    <w:rsid w:val="004E1EC1"/>
    <w:rsid w:val="004E22EE"/>
    <w:rsid w:val="004E4B37"/>
    <w:rsid w:val="004E59FF"/>
    <w:rsid w:val="004E5FAE"/>
    <w:rsid w:val="004F2638"/>
    <w:rsid w:val="004F32CE"/>
    <w:rsid w:val="004F564D"/>
    <w:rsid w:val="00502C38"/>
    <w:rsid w:val="00503D55"/>
    <w:rsid w:val="00506EFE"/>
    <w:rsid w:val="005107C1"/>
    <w:rsid w:val="00520CBF"/>
    <w:rsid w:val="00522B43"/>
    <w:rsid w:val="0052525D"/>
    <w:rsid w:val="00536420"/>
    <w:rsid w:val="005374A1"/>
    <w:rsid w:val="005378BE"/>
    <w:rsid w:val="00540142"/>
    <w:rsid w:val="0054076F"/>
    <w:rsid w:val="00546A82"/>
    <w:rsid w:val="00553F06"/>
    <w:rsid w:val="00555A06"/>
    <w:rsid w:val="00556313"/>
    <w:rsid w:val="00556CD7"/>
    <w:rsid w:val="00560455"/>
    <w:rsid w:val="00562710"/>
    <w:rsid w:val="00563CB7"/>
    <w:rsid w:val="00566702"/>
    <w:rsid w:val="00567168"/>
    <w:rsid w:val="00567187"/>
    <w:rsid w:val="00567984"/>
    <w:rsid w:val="0057069A"/>
    <w:rsid w:val="00574234"/>
    <w:rsid w:val="0057433B"/>
    <w:rsid w:val="0057602E"/>
    <w:rsid w:val="00576EA9"/>
    <w:rsid w:val="005772EA"/>
    <w:rsid w:val="00584C61"/>
    <w:rsid w:val="00591379"/>
    <w:rsid w:val="005975F4"/>
    <w:rsid w:val="00597BB5"/>
    <w:rsid w:val="005A08B5"/>
    <w:rsid w:val="005A107F"/>
    <w:rsid w:val="005A1242"/>
    <w:rsid w:val="005A23C0"/>
    <w:rsid w:val="005A2436"/>
    <w:rsid w:val="005A2D54"/>
    <w:rsid w:val="005A456A"/>
    <w:rsid w:val="005A686D"/>
    <w:rsid w:val="005A6FCF"/>
    <w:rsid w:val="005B02B5"/>
    <w:rsid w:val="005C4BDF"/>
    <w:rsid w:val="005C5B58"/>
    <w:rsid w:val="005C6200"/>
    <w:rsid w:val="005D10F8"/>
    <w:rsid w:val="005D4C83"/>
    <w:rsid w:val="005D50C9"/>
    <w:rsid w:val="005D5415"/>
    <w:rsid w:val="005D7B65"/>
    <w:rsid w:val="005E089A"/>
    <w:rsid w:val="005E2319"/>
    <w:rsid w:val="005E36FC"/>
    <w:rsid w:val="005E3AD5"/>
    <w:rsid w:val="005E55F8"/>
    <w:rsid w:val="005F0BD8"/>
    <w:rsid w:val="005F7D92"/>
    <w:rsid w:val="005F7F34"/>
    <w:rsid w:val="00600A31"/>
    <w:rsid w:val="0060327A"/>
    <w:rsid w:val="00614D49"/>
    <w:rsid w:val="006161D8"/>
    <w:rsid w:val="00625041"/>
    <w:rsid w:val="006262B5"/>
    <w:rsid w:val="0062698D"/>
    <w:rsid w:val="00626FC3"/>
    <w:rsid w:val="0063267F"/>
    <w:rsid w:val="00633186"/>
    <w:rsid w:val="0063735A"/>
    <w:rsid w:val="00637D66"/>
    <w:rsid w:val="00637FE4"/>
    <w:rsid w:val="00640961"/>
    <w:rsid w:val="006412EE"/>
    <w:rsid w:val="00642AA9"/>
    <w:rsid w:val="0064376B"/>
    <w:rsid w:val="0064400B"/>
    <w:rsid w:val="00645E61"/>
    <w:rsid w:val="0064622C"/>
    <w:rsid w:val="006518B0"/>
    <w:rsid w:val="006521A2"/>
    <w:rsid w:val="0065268B"/>
    <w:rsid w:val="00652B84"/>
    <w:rsid w:val="006535E6"/>
    <w:rsid w:val="00653A81"/>
    <w:rsid w:val="00654973"/>
    <w:rsid w:val="00655962"/>
    <w:rsid w:val="006563C4"/>
    <w:rsid w:val="006619EF"/>
    <w:rsid w:val="00662B1E"/>
    <w:rsid w:val="00664F20"/>
    <w:rsid w:val="0066686F"/>
    <w:rsid w:val="00673CA2"/>
    <w:rsid w:val="0067519A"/>
    <w:rsid w:val="006772BE"/>
    <w:rsid w:val="00683255"/>
    <w:rsid w:val="0068457D"/>
    <w:rsid w:val="00685826"/>
    <w:rsid w:val="00687F77"/>
    <w:rsid w:val="00690005"/>
    <w:rsid w:val="006968BB"/>
    <w:rsid w:val="006A2249"/>
    <w:rsid w:val="006A26E1"/>
    <w:rsid w:val="006A2E9D"/>
    <w:rsid w:val="006A37B7"/>
    <w:rsid w:val="006A6B06"/>
    <w:rsid w:val="006A6E19"/>
    <w:rsid w:val="006B388E"/>
    <w:rsid w:val="006B3E1B"/>
    <w:rsid w:val="006C2364"/>
    <w:rsid w:val="006C3339"/>
    <w:rsid w:val="006C5AA1"/>
    <w:rsid w:val="006D3903"/>
    <w:rsid w:val="006D4532"/>
    <w:rsid w:val="006D6A60"/>
    <w:rsid w:val="006E40C4"/>
    <w:rsid w:val="006E5CFB"/>
    <w:rsid w:val="006E7012"/>
    <w:rsid w:val="006F2895"/>
    <w:rsid w:val="006F313E"/>
    <w:rsid w:val="006F539B"/>
    <w:rsid w:val="00700B64"/>
    <w:rsid w:val="00703EF4"/>
    <w:rsid w:val="00704314"/>
    <w:rsid w:val="00704318"/>
    <w:rsid w:val="00704C61"/>
    <w:rsid w:val="0070507C"/>
    <w:rsid w:val="007161AE"/>
    <w:rsid w:val="007167FD"/>
    <w:rsid w:val="00721031"/>
    <w:rsid w:val="00721551"/>
    <w:rsid w:val="0072776D"/>
    <w:rsid w:val="00727DEE"/>
    <w:rsid w:val="00730003"/>
    <w:rsid w:val="00730969"/>
    <w:rsid w:val="00732707"/>
    <w:rsid w:val="007359ED"/>
    <w:rsid w:val="0073609F"/>
    <w:rsid w:val="007378AF"/>
    <w:rsid w:val="00740A83"/>
    <w:rsid w:val="0074172C"/>
    <w:rsid w:val="007434F2"/>
    <w:rsid w:val="00743A34"/>
    <w:rsid w:val="00745BC9"/>
    <w:rsid w:val="007544BD"/>
    <w:rsid w:val="00754A51"/>
    <w:rsid w:val="007563D9"/>
    <w:rsid w:val="00761CB4"/>
    <w:rsid w:val="00761D88"/>
    <w:rsid w:val="0076331E"/>
    <w:rsid w:val="007705BA"/>
    <w:rsid w:val="00776C99"/>
    <w:rsid w:val="00777673"/>
    <w:rsid w:val="00781560"/>
    <w:rsid w:val="0079538B"/>
    <w:rsid w:val="007A0EF8"/>
    <w:rsid w:val="007A6887"/>
    <w:rsid w:val="007B1389"/>
    <w:rsid w:val="007B1F22"/>
    <w:rsid w:val="007B4FC9"/>
    <w:rsid w:val="007B6798"/>
    <w:rsid w:val="007C03CC"/>
    <w:rsid w:val="007C1535"/>
    <w:rsid w:val="007C245B"/>
    <w:rsid w:val="007C37F1"/>
    <w:rsid w:val="007D5307"/>
    <w:rsid w:val="007D6941"/>
    <w:rsid w:val="007E0896"/>
    <w:rsid w:val="007E4657"/>
    <w:rsid w:val="007E53C6"/>
    <w:rsid w:val="007E6414"/>
    <w:rsid w:val="00800697"/>
    <w:rsid w:val="0080463D"/>
    <w:rsid w:val="00804F16"/>
    <w:rsid w:val="00805F7C"/>
    <w:rsid w:val="00807DF7"/>
    <w:rsid w:val="00812CB0"/>
    <w:rsid w:val="00812E5F"/>
    <w:rsid w:val="00812FFD"/>
    <w:rsid w:val="0081329D"/>
    <w:rsid w:val="0081455B"/>
    <w:rsid w:val="00815D4C"/>
    <w:rsid w:val="00820D2B"/>
    <w:rsid w:val="00820EC0"/>
    <w:rsid w:val="0082452C"/>
    <w:rsid w:val="008314FB"/>
    <w:rsid w:val="00831822"/>
    <w:rsid w:val="00835A49"/>
    <w:rsid w:val="00836E24"/>
    <w:rsid w:val="008371F1"/>
    <w:rsid w:val="00840525"/>
    <w:rsid w:val="00842449"/>
    <w:rsid w:val="0084657A"/>
    <w:rsid w:val="0084771E"/>
    <w:rsid w:val="00847866"/>
    <w:rsid w:val="00851973"/>
    <w:rsid w:val="0085235D"/>
    <w:rsid w:val="00852811"/>
    <w:rsid w:val="0085283F"/>
    <w:rsid w:val="00856843"/>
    <w:rsid w:val="008578D2"/>
    <w:rsid w:val="00860440"/>
    <w:rsid w:val="008617B6"/>
    <w:rsid w:val="00864207"/>
    <w:rsid w:val="00865EE9"/>
    <w:rsid w:val="008678A9"/>
    <w:rsid w:val="00867918"/>
    <w:rsid w:val="008707B3"/>
    <w:rsid w:val="00870DE0"/>
    <w:rsid w:val="00873A55"/>
    <w:rsid w:val="00874BB8"/>
    <w:rsid w:val="00875E5A"/>
    <w:rsid w:val="00877243"/>
    <w:rsid w:val="00882ADC"/>
    <w:rsid w:val="0088363A"/>
    <w:rsid w:val="00884121"/>
    <w:rsid w:val="0088419E"/>
    <w:rsid w:val="00887FAF"/>
    <w:rsid w:val="0089619C"/>
    <w:rsid w:val="008970E4"/>
    <w:rsid w:val="008A2E72"/>
    <w:rsid w:val="008A6392"/>
    <w:rsid w:val="008B0D9C"/>
    <w:rsid w:val="008B2EE5"/>
    <w:rsid w:val="008B6C3D"/>
    <w:rsid w:val="008C03E4"/>
    <w:rsid w:val="008C193F"/>
    <w:rsid w:val="008C217C"/>
    <w:rsid w:val="008C22AC"/>
    <w:rsid w:val="008C27CE"/>
    <w:rsid w:val="008C3917"/>
    <w:rsid w:val="008C7745"/>
    <w:rsid w:val="008D2265"/>
    <w:rsid w:val="008D2947"/>
    <w:rsid w:val="008D3B74"/>
    <w:rsid w:val="008D4411"/>
    <w:rsid w:val="008D4EC7"/>
    <w:rsid w:val="008D5074"/>
    <w:rsid w:val="008D5679"/>
    <w:rsid w:val="008D587D"/>
    <w:rsid w:val="008E1F30"/>
    <w:rsid w:val="008E2FF1"/>
    <w:rsid w:val="008E37CB"/>
    <w:rsid w:val="008E450C"/>
    <w:rsid w:val="008E712C"/>
    <w:rsid w:val="008F0AC3"/>
    <w:rsid w:val="008F3245"/>
    <w:rsid w:val="008F6CA4"/>
    <w:rsid w:val="008F6F8E"/>
    <w:rsid w:val="00901268"/>
    <w:rsid w:val="0090196E"/>
    <w:rsid w:val="00902147"/>
    <w:rsid w:val="0090223B"/>
    <w:rsid w:val="009030A7"/>
    <w:rsid w:val="00906B69"/>
    <w:rsid w:val="00913C59"/>
    <w:rsid w:val="00914A71"/>
    <w:rsid w:val="00917368"/>
    <w:rsid w:val="00923F1D"/>
    <w:rsid w:val="009241C6"/>
    <w:rsid w:val="00927A93"/>
    <w:rsid w:val="009315D8"/>
    <w:rsid w:val="00932131"/>
    <w:rsid w:val="0093262A"/>
    <w:rsid w:val="00934CCC"/>
    <w:rsid w:val="00935B01"/>
    <w:rsid w:val="00940794"/>
    <w:rsid w:val="0094438A"/>
    <w:rsid w:val="00945712"/>
    <w:rsid w:val="0094585E"/>
    <w:rsid w:val="00946885"/>
    <w:rsid w:val="00946E09"/>
    <w:rsid w:val="009503CD"/>
    <w:rsid w:val="0095210F"/>
    <w:rsid w:val="009527F3"/>
    <w:rsid w:val="009549C8"/>
    <w:rsid w:val="00954EFE"/>
    <w:rsid w:val="009617D5"/>
    <w:rsid w:val="009644C3"/>
    <w:rsid w:val="0096483D"/>
    <w:rsid w:val="0097284C"/>
    <w:rsid w:val="00972F68"/>
    <w:rsid w:val="009749FA"/>
    <w:rsid w:val="00976A7C"/>
    <w:rsid w:val="00981847"/>
    <w:rsid w:val="00981879"/>
    <w:rsid w:val="0098227F"/>
    <w:rsid w:val="009858B2"/>
    <w:rsid w:val="00986724"/>
    <w:rsid w:val="009928A6"/>
    <w:rsid w:val="00994AEC"/>
    <w:rsid w:val="00996A4D"/>
    <w:rsid w:val="009A0F00"/>
    <w:rsid w:val="009A36C2"/>
    <w:rsid w:val="009A37DE"/>
    <w:rsid w:val="009A4B98"/>
    <w:rsid w:val="009B3ED8"/>
    <w:rsid w:val="009B41D9"/>
    <w:rsid w:val="009B5152"/>
    <w:rsid w:val="009B5D07"/>
    <w:rsid w:val="009B67A2"/>
    <w:rsid w:val="009B7616"/>
    <w:rsid w:val="009C203C"/>
    <w:rsid w:val="009C60EC"/>
    <w:rsid w:val="009D0A5D"/>
    <w:rsid w:val="009D4513"/>
    <w:rsid w:val="009D7648"/>
    <w:rsid w:val="009D79D6"/>
    <w:rsid w:val="009E1CDF"/>
    <w:rsid w:val="009E3D79"/>
    <w:rsid w:val="009F7A50"/>
    <w:rsid w:val="00A04159"/>
    <w:rsid w:val="00A04AA5"/>
    <w:rsid w:val="00A063E4"/>
    <w:rsid w:val="00A1443A"/>
    <w:rsid w:val="00A15EA8"/>
    <w:rsid w:val="00A1724A"/>
    <w:rsid w:val="00A17954"/>
    <w:rsid w:val="00A2000B"/>
    <w:rsid w:val="00A2012E"/>
    <w:rsid w:val="00A20D18"/>
    <w:rsid w:val="00A23EBA"/>
    <w:rsid w:val="00A24394"/>
    <w:rsid w:val="00A26A52"/>
    <w:rsid w:val="00A26EAD"/>
    <w:rsid w:val="00A300E7"/>
    <w:rsid w:val="00A31E08"/>
    <w:rsid w:val="00A35114"/>
    <w:rsid w:val="00A36BD6"/>
    <w:rsid w:val="00A4284C"/>
    <w:rsid w:val="00A51A20"/>
    <w:rsid w:val="00A54059"/>
    <w:rsid w:val="00A57622"/>
    <w:rsid w:val="00A61181"/>
    <w:rsid w:val="00A61C49"/>
    <w:rsid w:val="00A66077"/>
    <w:rsid w:val="00A7029B"/>
    <w:rsid w:val="00A7073C"/>
    <w:rsid w:val="00A72953"/>
    <w:rsid w:val="00A752D1"/>
    <w:rsid w:val="00A8048B"/>
    <w:rsid w:val="00A81CF1"/>
    <w:rsid w:val="00A83034"/>
    <w:rsid w:val="00A8363C"/>
    <w:rsid w:val="00A84FAE"/>
    <w:rsid w:val="00A95FBB"/>
    <w:rsid w:val="00AA2643"/>
    <w:rsid w:val="00AA6710"/>
    <w:rsid w:val="00AB3496"/>
    <w:rsid w:val="00AB42DD"/>
    <w:rsid w:val="00AB6249"/>
    <w:rsid w:val="00AB7A12"/>
    <w:rsid w:val="00AC1222"/>
    <w:rsid w:val="00AC19ED"/>
    <w:rsid w:val="00AC3595"/>
    <w:rsid w:val="00AC3B66"/>
    <w:rsid w:val="00AD3DED"/>
    <w:rsid w:val="00AD68B4"/>
    <w:rsid w:val="00AE52C6"/>
    <w:rsid w:val="00AF6F9A"/>
    <w:rsid w:val="00AF74B2"/>
    <w:rsid w:val="00B0177E"/>
    <w:rsid w:val="00B0762B"/>
    <w:rsid w:val="00B101B9"/>
    <w:rsid w:val="00B12F78"/>
    <w:rsid w:val="00B14280"/>
    <w:rsid w:val="00B144AE"/>
    <w:rsid w:val="00B17299"/>
    <w:rsid w:val="00B23DE1"/>
    <w:rsid w:val="00B269A6"/>
    <w:rsid w:val="00B26D86"/>
    <w:rsid w:val="00B307B2"/>
    <w:rsid w:val="00B34DE2"/>
    <w:rsid w:val="00B37073"/>
    <w:rsid w:val="00B451E3"/>
    <w:rsid w:val="00B460C8"/>
    <w:rsid w:val="00B46771"/>
    <w:rsid w:val="00B467BF"/>
    <w:rsid w:val="00B5281A"/>
    <w:rsid w:val="00B52F72"/>
    <w:rsid w:val="00B53E6B"/>
    <w:rsid w:val="00B5437D"/>
    <w:rsid w:val="00B60CB9"/>
    <w:rsid w:val="00B61D46"/>
    <w:rsid w:val="00B648B3"/>
    <w:rsid w:val="00B64A59"/>
    <w:rsid w:val="00B661AF"/>
    <w:rsid w:val="00B70FF5"/>
    <w:rsid w:val="00B7445F"/>
    <w:rsid w:val="00B7487F"/>
    <w:rsid w:val="00B765BC"/>
    <w:rsid w:val="00B80384"/>
    <w:rsid w:val="00B80D19"/>
    <w:rsid w:val="00B81369"/>
    <w:rsid w:val="00B82A5B"/>
    <w:rsid w:val="00B86380"/>
    <w:rsid w:val="00B90DE5"/>
    <w:rsid w:val="00B96618"/>
    <w:rsid w:val="00B96F88"/>
    <w:rsid w:val="00B97017"/>
    <w:rsid w:val="00B970C6"/>
    <w:rsid w:val="00B9783F"/>
    <w:rsid w:val="00BA0125"/>
    <w:rsid w:val="00BA27E6"/>
    <w:rsid w:val="00BA2A1E"/>
    <w:rsid w:val="00BA360C"/>
    <w:rsid w:val="00BA77AE"/>
    <w:rsid w:val="00BB1F06"/>
    <w:rsid w:val="00BB1F74"/>
    <w:rsid w:val="00BB221D"/>
    <w:rsid w:val="00BB3D8D"/>
    <w:rsid w:val="00BB5D66"/>
    <w:rsid w:val="00BB5F29"/>
    <w:rsid w:val="00BB66B5"/>
    <w:rsid w:val="00BC2338"/>
    <w:rsid w:val="00BC2A72"/>
    <w:rsid w:val="00BC2FF1"/>
    <w:rsid w:val="00BC3DC1"/>
    <w:rsid w:val="00BC61CB"/>
    <w:rsid w:val="00BD0DFE"/>
    <w:rsid w:val="00BD0FB5"/>
    <w:rsid w:val="00BD1BD7"/>
    <w:rsid w:val="00BD265A"/>
    <w:rsid w:val="00BD4AC1"/>
    <w:rsid w:val="00BD528B"/>
    <w:rsid w:val="00BD65EF"/>
    <w:rsid w:val="00BD66EE"/>
    <w:rsid w:val="00BE150E"/>
    <w:rsid w:val="00BE41C9"/>
    <w:rsid w:val="00BF1620"/>
    <w:rsid w:val="00BF2133"/>
    <w:rsid w:val="00BF28F3"/>
    <w:rsid w:val="00BF2FCD"/>
    <w:rsid w:val="00BF716B"/>
    <w:rsid w:val="00C000E8"/>
    <w:rsid w:val="00C02F5E"/>
    <w:rsid w:val="00C03BD4"/>
    <w:rsid w:val="00C057C1"/>
    <w:rsid w:val="00C05DE0"/>
    <w:rsid w:val="00C10A68"/>
    <w:rsid w:val="00C10B95"/>
    <w:rsid w:val="00C13831"/>
    <w:rsid w:val="00C16446"/>
    <w:rsid w:val="00C171C6"/>
    <w:rsid w:val="00C212D0"/>
    <w:rsid w:val="00C21B6F"/>
    <w:rsid w:val="00C2505B"/>
    <w:rsid w:val="00C27572"/>
    <w:rsid w:val="00C30585"/>
    <w:rsid w:val="00C32844"/>
    <w:rsid w:val="00C3501D"/>
    <w:rsid w:val="00C35067"/>
    <w:rsid w:val="00C35291"/>
    <w:rsid w:val="00C357B4"/>
    <w:rsid w:val="00C36B9E"/>
    <w:rsid w:val="00C374D5"/>
    <w:rsid w:val="00C37E0C"/>
    <w:rsid w:val="00C461A4"/>
    <w:rsid w:val="00C47C9D"/>
    <w:rsid w:val="00C62B00"/>
    <w:rsid w:val="00C6486B"/>
    <w:rsid w:val="00C65908"/>
    <w:rsid w:val="00C65A47"/>
    <w:rsid w:val="00C66D2A"/>
    <w:rsid w:val="00C7109E"/>
    <w:rsid w:val="00C712BE"/>
    <w:rsid w:val="00C76649"/>
    <w:rsid w:val="00C76D73"/>
    <w:rsid w:val="00C81734"/>
    <w:rsid w:val="00C82473"/>
    <w:rsid w:val="00C86BEE"/>
    <w:rsid w:val="00C87EB1"/>
    <w:rsid w:val="00C900E7"/>
    <w:rsid w:val="00C9065B"/>
    <w:rsid w:val="00C909D0"/>
    <w:rsid w:val="00C9277D"/>
    <w:rsid w:val="00C93C97"/>
    <w:rsid w:val="00C94A9D"/>
    <w:rsid w:val="00C95BBF"/>
    <w:rsid w:val="00C9622A"/>
    <w:rsid w:val="00C9651F"/>
    <w:rsid w:val="00C97AA8"/>
    <w:rsid w:val="00CA3A87"/>
    <w:rsid w:val="00CA40A7"/>
    <w:rsid w:val="00CB0E3E"/>
    <w:rsid w:val="00CB10BD"/>
    <w:rsid w:val="00CB126A"/>
    <w:rsid w:val="00CB692A"/>
    <w:rsid w:val="00CC1A50"/>
    <w:rsid w:val="00CC3844"/>
    <w:rsid w:val="00CC4993"/>
    <w:rsid w:val="00CC4D55"/>
    <w:rsid w:val="00CD0604"/>
    <w:rsid w:val="00CD30C2"/>
    <w:rsid w:val="00CD51D9"/>
    <w:rsid w:val="00CD5A80"/>
    <w:rsid w:val="00CD682C"/>
    <w:rsid w:val="00CD6DD1"/>
    <w:rsid w:val="00CD7A88"/>
    <w:rsid w:val="00CE0860"/>
    <w:rsid w:val="00CE0DDF"/>
    <w:rsid w:val="00CE5536"/>
    <w:rsid w:val="00CE75AF"/>
    <w:rsid w:val="00CF126D"/>
    <w:rsid w:val="00CF1AA3"/>
    <w:rsid w:val="00CF3911"/>
    <w:rsid w:val="00CF4284"/>
    <w:rsid w:val="00CF61EA"/>
    <w:rsid w:val="00D00465"/>
    <w:rsid w:val="00D01240"/>
    <w:rsid w:val="00D02088"/>
    <w:rsid w:val="00D03EFF"/>
    <w:rsid w:val="00D043A0"/>
    <w:rsid w:val="00D10DB1"/>
    <w:rsid w:val="00D116D7"/>
    <w:rsid w:val="00D11843"/>
    <w:rsid w:val="00D11F1D"/>
    <w:rsid w:val="00D1292E"/>
    <w:rsid w:val="00D20581"/>
    <w:rsid w:val="00D21FBE"/>
    <w:rsid w:val="00D23C0B"/>
    <w:rsid w:val="00D25256"/>
    <w:rsid w:val="00D273CE"/>
    <w:rsid w:val="00D27434"/>
    <w:rsid w:val="00D301AB"/>
    <w:rsid w:val="00D34FC8"/>
    <w:rsid w:val="00D40D4F"/>
    <w:rsid w:val="00D462BE"/>
    <w:rsid w:val="00D47EF8"/>
    <w:rsid w:val="00D513D6"/>
    <w:rsid w:val="00D522C5"/>
    <w:rsid w:val="00D53756"/>
    <w:rsid w:val="00D56F31"/>
    <w:rsid w:val="00D64875"/>
    <w:rsid w:val="00D6615A"/>
    <w:rsid w:val="00D71891"/>
    <w:rsid w:val="00D71CB7"/>
    <w:rsid w:val="00D741A0"/>
    <w:rsid w:val="00D75D0F"/>
    <w:rsid w:val="00D8314B"/>
    <w:rsid w:val="00D84CA3"/>
    <w:rsid w:val="00D86340"/>
    <w:rsid w:val="00D9013B"/>
    <w:rsid w:val="00D905E2"/>
    <w:rsid w:val="00D907DD"/>
    <w:rsid w:val="00D918B6"/>
    <w:rsid w:val="00D92959"/>
    <w:rsid w:val="00D954D2"/>
    <w:rsid w:val="00D95D91"/>
    <w:rsid w:val="00D96318"/>
    <w:rsid w:val="00DA3EC6"/>
    <w:rsid w:val="00DA48E7"/>
    <w:rsid w:val="00DA5B11"/>
    <w:rsid w:val="00DA61B7"/>
    <w:rsid w:val="00DA75BF"/>
    <w:rsid w:val="00DB1566"/>
    <w:rsid w:val="00DB37A8"/>
    <w:rsid w:val="00DB4AF7"/>
    <w:rsid w:val="00DC131B"/>
    <w:rsid w:val="00DC2668"/>
    <w:rsid w:val="00DD5216"/>
    <w:rsid w:val="00DD66FB"/>
    <w:rsid w:val="00DE0878"/>
    <w:rsid w:val="00DE3752"/>
    <w:rsid w:val="00DE517A"/>
    <w:rsid w:val="00DE5323"/>
    <w:rsid w:val="00DE58F3"/>
    <w:rsid w:val="00DF0A40"/>
    <w:rsid w:val="00DF31E7"/>
    <w:rsid w:val="00DF3B8F"/>
    <w:rsid w:val="00DF4C24"/>
    <w:rsid w:val="00E00D3B"/>
    <w:rsid w:val="00E01FC8"/>
    <w:rsid w:val="00E02513"/>
    <w:rsid w:val="00E02803"/>
    <w:rsid w:val="00E050B0"/>
    <w:rsid w:val="00E10612"/>
    <w:rsid w:val="00E15374"/>
    <w:rsid w:val="00E16AB4"/>
    <w:rsid w:val="00E172C9"/>
    <w:rsid w:val="00E177BC"/>
    <w:rsid w:val="00E2243D"/>
    <w:rsid w:val="00E245CC"/>
    <w:rsid w:val="00E24E7D"/>
    <w:rsid w:val="00E30056"/>
    <w:rsid w:val="00E3219B"/>
    <w:rsid w:val="00E33CD4"/>
    <w:rsid w:val="00E45BDC"/>
    <w:rsid w:val="00E46C60"/>
    <w:rsid w:val="00E46D00"/>
    <w:rsid w:val="00E511A3"/>
    <w:rsid w:val="00E52662"/>
    <w:rsid w:val="00E5316A"/>
    <w:rsid w:val="00E5537E"/>
    <w:rsid w:val="00E57972"/>
    <w:rsid w:val="00E60110"/>
    <w:rsid w:val="00E60833"/>
    <w:rsid w:val="00E60A7E"/>
    <w:rsid w:val="00E62FCE"/>
    <w:rsid w:val="00E655FE"/>
    <w:rsid w:val="00E66796"/>
    <w:rsid w:val="00E74AA9"/>
    <w:rsid w:val="00E7520F"/>
    <w:rsid w:val="00E7600E"/>
    <w:rsid w:val="00E80471"/>
    <w:rsid w:val="00E805E4"/>
    <w:rsid w:val="00E8569E"/>
    <w:rsid w:val="00E8773A"/>
    <w:rsid w:val="00E92E43"/>
    <w:rsid w:val="00E93232"/>
    <w:rsid w:val="00E9369A"/>
    <w:rsid w:val="00E94345"/>
    <w:rsid w:val="00EA0340"/>
    <w:rsid w:val="00EA2E79"/>
    <w:rsid w:val="00EB2597"/>
    <w:rsid w:val="00EB3F8A"/>
    <w:rsid w:val="00EB5FE0"/>
    <w:rsid w:val="00EB66C9"/>
    <w:rsid w:val="00EC39AF"/>
    <w:rsid w:val="00ED1578"/>
    <w:rsid w:val="00ED4193"/>
    <w:rsid w:val="00ED762F"/>
    <w:rsid w:val="00ED7C12"/>
    <w:rsid w:val="00EE0A62"/>
    <w:rsid w:val="00EE393F"/>
    <w:rsid w:val="00EE4182"/>
    <w:rsid w:val="00EF4285"/>
    <w:rsid w:val="00EF468C"/>
    <w:rsid w:val="00EF4913"/>
    <w:rsid w:val="00EF49ED"/>
    <w:rsid w:val="00F005A3"/>
    <w:rsid w:val="00F04369"/>
    <w:rsid w:val="00F05ABD"/>
    <w:rsid w:val="00F06722"/>
    <w:rsid w:val="00F07172"/>
    <w:rsid w:val="00F07371"/>
    <w:rsid w:val="00F07701"/>
    <w:rsid w:val="00F10F29"/>
    <w:rsid w:val="00F153D0"/>
    <w:rsid w:val="00F21183"/>
    <w:rsid w:val="00F24FF5"/>
    <w:rsid w:val="00F35395"/>
    <w:rsid w:val="00F40823"/>
    <w:rsid w:val="00F41BD4"/>
    <w:rsid w:val="00F41D2A"/>
    <w:rsid w:val="00F41F5B"/>
    <w:rsid w:val="00F4559C"/>
    <w:rsid w:val="00F46444"/>
    <w:rsid w:val="00F47B73"/>
    <w:rsid w:val="00F5435C"/>
    <w:rsid w:val="00F54781"/>
    <w:rsid w:val="00F55A3C"/>
    <w:rsid w:val="00F55B0F"/>
    <w:rsid w:val="00F71E26"/>
    <w:rsid w:val="00F72B03"/>
    <w:rsid w:val="00F73251"/>
    <w:rsid w:val="00F809AB"/>
    <w:rsid w:val="00F821D8"/>
    <w:rsid w:val="00F83AF9"/>
    <w:rsid w:val="00F8548D"/>
    <w:rsid w:val="00F875AC"/>
    <w:rsid w:val="00F90991"/>
    <w:rsid w:val="00F90EC1"/>
    <w:rsid w:val="00F9252A"/>
    <w:rsid w:val="00F933E4"/>
    <w:rsid w:val="00F935A9"/>
    <w:rsid w:val="00F93CC7"/>
    <w:rsid w:val="00F9454A"/>
    <w:rsid w:val="00F94B0C"/>
    <w:rsid w:val="00F952F8"/>
    <w:rsid w:val="00F9594D"/>
    <w:rsid w:val="00FA4E9E"/>
    <w:rsid w:val="00FA7984"/>
    <w:rsid w:val="00FA7E08"/>
    <w:rsid w:val="00FB1725"/>
    <w:rsid w:val="00FB29FA"/>
    <w:rsid w:val="00FB3BFF"/>
    <w:rsid w:val="00FB5A55"/>
    <w:rsid w:val="00FB7743"/>
    <w:rsid w:val="00FC0D33"/>
    <w:rsid w:val="00FC1064"/>
    <w:rsid w:val="00FC1C68"/>
    <w:rsid w:val="00FC4A43"/>
    <w:rsid w:val="00FD12E4"/>
    <w:rsid w:val="00FD3219"/>
    <w:rsid w:val="00FD55D2"/>
    <w:rsid w:val="00FD69F6"/>
    <w:rsid w:val="00FE3C3A"/>
    <w:rsid w:val="00FE418C"/>
    <w:rsid w:val="00FF2049"/>
    <w:rsid w:val="00FF26F7"/>
    <w:rsid w:val="00FF2F92"/>
    <w:rsid w:val="00FF3AF1"/>
    <w:rsid w:val="00FF7701"/>
    <w:rsid w:val="00FF79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55409F"/>
  <w15:docId w15:val="{3F0A833D-40F9-41FC-AE13-FDFD67F6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54"/>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9503CD"/>
    <w:pPr>
      <w:keepNext/>
      <w:keepLines/>
      <w:spacing w:before="360" w:after="60" w:line="360" w:lineRule="auto"/>
      <w:ind w:firstLine="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C4D55"/>
    <w:pPr>
      <w:keepNext/>
      <w:keepLines/>
      <w:spacing w:before="360" w:after="60" w:line="360" w:lineRule="auto"/>
      <w:ind w:firstLine="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64376B"/>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5627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72BE"/>
    <w:pPr>
      <w:ind w:left="720" w:firstLine="0"/>
      <w:contextualSpacing/>
    </w:pPr>
  </w:style>
  <w:style w:type="character" w:customStyle="1" w:styleId="Heading1Char">
    <w:name w:val="Heading 1 Char"/>
    <w:basedOn w:val="DefaultParagraphFont"/>
    <w:link w:val="Heading1"/>
    <w:uiPriority w:val="9"/>
    <w:rsid w:val="009503CD"/>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D40D4F"/>
    <w:pPr>
      <w:spacing w:after="120" w:line="360" w:lineRule="auto"/>
      <w:ind w:firstLine="0"/>
      <w:contextualSpacing/>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D40D4F"/>
    <w:rPr>
      <w:rFonts w:ascii="Times New Roman" w:eastAsiaTheme="majorEastAsia" w:hAnsi="Times New Roman" w:cstheme="majorBidi"/>
      <w:b/>
      <w:spacing w:val="5"/>
      <w:kern w:val="28"/>
      <w:sz w:val="28"/>
      <w:szCs w:val="52"/>
    </w:rPr>
  </w:style>
  <w:style w:type="paragraph" w:customStyle="1" w:styleId="Standard">
    <w:name w:val="Standard"/>
    <w:rsid w:val="00BE41C9"/>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Heading2Char">
    <w:name w:val="Heading 2 Char"/>
    <w:basedOn w:val="DefaultParagraphFont"/>
    <w:link w:val="Heading2"/>
    <w:uiPriority w:val="9"/>
    <w:rsid w:val="00CC4D55"/>
    <w:rPr>
      <w:rFonts w:ascii="Times New Roman" w:eastAsiaTheme="majorEastAsia" w:hAnsi="Times New Roman" w:cstheme="majorBidi"/>
      <w:b/>
      <w:i/>
      <w:sz w:val="24"/>
      <w:szCs w:val="26"/>
    </w:rPr>
  </w:style>
  <w:style w:type="paragraph" w:styleId="BodyText">
    <w:name w:val="Body Text"/>
    <w:basedOn w:val="Normal"/>
    <w:link w:val="BodyTextChar"/>
    <w:uiPriority w:val="99"/>
    <w:rsid w:val="005F7F34"/>
    <w:pPr>
      <w:tabs>
        <w:tab w:val="left" w:pos="288"/>
      </w:tabs>
      <w:spacing w:after="120" w:line="228" w:lineRule="auto"/>
      <w:ind w:firstLine="288"/>
      <w:jc w:val="both"/>
    </w:pPr>
    <w:rPr>
      <w:rFonts w:eastAsia="MS Mincho" w:cs="Times New Roman"/>
      <w:spacing w:val="-1"/>
      <w:sz w:val="20"/>
      <w:szCs w:val="20"/>
      <w:lang w:val="en-US"/>
    </w:rPr>
  </w:style>
  <w:style w:type="character" w:customStyle="1" w:styleId="BodyTextChar">
    <w:name w:val="Body Text Char"/>
    <w:basedOn w:val="DefaultParagraphFont"/>
    <w:link w:val="BodyText"/>
    <w:uiPriority w:val="99"/>
    <w:rsid w:val="005F7F34"/>
    <w:rPr>
      <w:rFonts w:ascii="Times New Roman" w:eastAsia="MS Mincho" w:hAnsi="Times New Roman" w:cs="Times New Roman"/>
      <w:spacing w:val="-1"/>
      <w:sz w:val="20"/>
      <w:szCs w:val="20"/>
      <w:lang w:val="en-US"/>
    </w:rPr>
  </w:style>
  <w:style w:type="character" w:customStyle="1" w:styleId="Heading3Char">
    <w:name w:val="Heading 3 Char"/>
    <w:basedOn w:val="DefaultParagraphFont"/>
    <w:link w:val="Heading3"/>
    <w:uiPriority w:val="9"/>
    <w:rsid w:val="0064376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4271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B02B5"/>
  </w:style>
  <w:style w:type="paragraph" w:styleId="NormalWeb">
    <w:name w:val="Normal (Web)"/>
    <w:basedOn w:val="Normal"/>
    <w:uiPriority w:val="99"/>
    <w:semiHidden/>
    <w:unhideWhenUsed/>
    <w:rsid w:val="00972F68"/>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CD5A80"/>
    <w:rPr>
      <w:color w:val="0000FF" w:themeColor="hyperlink"/>
      <w:u w:val="single"/>
    </w:rPr>
  </w:style>
  <w:style w:type="character" w:customStyle="1" w:styleId="Heading4Char">
    <w:name w:val="Heading 4 Char"/>
    <w:basedOn w:val="DefaultParagraphFont"/>
    <w:link w:val="Heading4"/>
    <w:uiPriority w:val="9"/>
    <w:rsid w:val="00562710"/>
    <w:rPr>
      <w:rFonts w:asciiTheme="majorHAnsi" w:eastAsiaTheme="majorEastAsia" w:hAnsiTheme="majorHAnsi" w:cstheme="majorBidi"/>
      <w:b/>
      <w:bCs/>
      <w:i/>
      <w:iCs/>
      <w:color w:val="4F81BD" w:themeColor="accent1"/>
    </w:rPr>
  </w:style>
  <w:style w:type="character" w:customStyle="1" w:styleId="NoSpacingChar">
    <w:name w:val="No Spacing Char"/>
    <w:link w:val="NoSpacing"/>
    <w:uiPriority w:val="1"/>
    <w:locked/>
    <w:rsid w:val="00C900E7"/>
  </w:style>
  <w:style w:type="paragraph" w:styleId="NoSpacing">
    <w:name w:val="No Spacing"/>
    <w:link w:val="NoSpacingChar"/>
    <w:uiPriority w:val="1"/>
    <w:qFormat/>
    <w:rsid w:val="00C900E7"/>
    <w:pPr>
      <w:spacing w:after="0" w:line="240" w:lineRule="auto"/>
    </w:pPr>
  </w:style>
  <w:style w:type="character" w:customStyle="1" w:styleId="TabletextChar">
    <w:name w:val="Table text Char"/>
    <w:link w:val="Tabletext"/>
    <w:locked/>
    <w:rsid w:val="006772BE"/>
    <w:rPr>
      <w:rFonts w:ascii="Times New Roman" w:eastAsia="Calibri" w:hAnsi="Times New Roman" w:cs="Times New Roman"/>
      <w:sz w:val="24"/>
      <w:lang w:bidi="en-US"/>
    </w:rPr>
  </w:style>
  <w:style w:type="paragraph" w:customStyle="1" w:styleId="Tabletext">
    <w:name w:val="Table text"/>
    <w:basedOn w:val="Normal"/>
    <w:link w:val="TabletextChar"/>
    <w:qFormat/>
    <w:rsid w:val="006772BE"/>
    <w:pPr>
      <w:widowControl w:val="0"/>
      <w:spacing w:line="240" w:lineRule="auto"/>
      <w:ind w:firstLine="0"/>
    </w:pPr>
    <w:rPr>
      <w:rFonts w:eastAsia="Calibri" w:cs="Times New Roman"/>
      <w:lang w:bidi="en-US"/>
    </w:rPr>
  </w:style>
  <w:style w:type="table" w:styleId="LightShading-Accent4">
    <w:name w:val="Light Shading Accent 4"/>
    <w:basedOn w:val="TableNormal"/>
    <w:uiPriority w:val="60"/>
    <w:rsid w:val="00875E5A"/>
    <w:pPr>
      <w:spacing w:after="0" w:line="240" w:lineRule="auto"/>
    </w:pPr>
    <w:rPr>
      <w:rFonts w:eastAsiaTheme="minorEastAsia"/>
      <w:color w:val="5F497A" w:themeColor="accent4" w:themeShade="BF"/>
      <w:sz w:val="24"/>
      <w:szCs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CommentReference">
    <w:name w:val="annotation reference"/>
    <w:basedOn w:val="DefaultParagraphFont"/>
    <w:uiPriority w:val="99"/>
    <w:semiHidden/>
    <w:unhideWhenUsed/>
    <w:rsid w:val="00082580"/>
    <w:rPr>
      <w:sz w:val="16"/>
      <w:szCs w:val="16"/>
    </w:rPr>
  </w:style>
  <w:style w:type="paragraph" w:styleId="CommentText">
    <w:name w:val="annotation text"/>
    <w:basedOn w:val="Normal"/>
    <w:link w:val="CommentTextChar"/>
    <w:uiPriority w:val="99"/>
    <w:semiHidden/>
    <w:unhideWhenUsed/>
    <w:rsid w:val="00082580"/>
    <w:pPr>
      <w:spacing w:line="240" w:lineRule="auto"/>
    </w:pPr>
    <w:rPr>
      <w:sz w:val="20"/>
      <w:szCs w:val="20"/>
    </w:rPr>
  </w:style>
  <w:style w:type="character" w:customStyle="1" w:styleId="CommentTextChar">
    <w:name w:val="Comment Text Char"/>
    <w:basedOn w:val="DefaultParagraphFont"/>
    <w:link w:val="CommentText"/>
    <w:uiPriority w:val="99"/>
    <w:semiHidden/>
    <w:rsid w:val="00082580"/>
    <w:rPr>
      <w:sz w:val="20"/>
      <w:szCs w:val="20"/>
    </w:rPr>
  </w:style>
  <w:style w:type="paragraph" w:styleId="CommentSubject">
    <w:name w:val="annotation subject"/>
    <w:basedOn w:val="CommentText"/>
    <w:next w:val="CommentText"/>
    <w:link w:val="CommentSubjectChar"/>
    <w:uiPriority w:val="99"/>
    <w:semiHidden/>
    <w:unhideWhenUsed/>
    <w:rsid w:val="00082580"/>
    <w:rPr>
      <w:b/>
      <w:bCs/>
    </w:rPr>
  </w:style>
  <w:style w:type="character" w:customStyle="1" w:styleId="CommentSubjectChar">
    <w:name w:val="Comment Subject Char"/>
    <w:basedOn w:val="CommentTextChar"/>
    <w:link w:val="CommentSubject"/>
    <w:uiPriority w:val="99"/>
    <w:semiHidden/>
    <w:rsid w:val="00082580"/>
    <w:rPr>
      <w:b/>
      <w:bCs/>
      <w:sz w:val="20"/>
      <w:szCs w:val="20"/>
    </w:rPr>
  </w:style>
  <w:style w:type="paragraph" w:styleId="BalloonText">
    <w:name w:val="Balloon Text"/>
    <w:basedOn w:val="Normal"/>
    <w:link w:val="BalloonTextChar"/>
    <w:uiPriority w:val="99"/>
    <w:semiHidden/>
    <w:unhideWhenUsed/>
    <w:rsid w:val="000825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80"/>
    <w:rPr>
      <w:rFonts w:ascii="Tahoma" w:hAnsi="Tahoma" w:cs="Tahoma"/>
      <w:sz w:val="16"/>
      <w:szCs w:val="16"/>
    </w:rPr>
  </w:style>
  <w:style w:type="table" w:customStyle="1" w:styleId="TableGrid1">
    <w:name w:val="Table Grid1"/>
    <w:basedOn w:val="TableNormal"/>
    <w:next w:val="TableGrid"/>
    <w:uiPriority w:val="59"/>
    <w:rsid w:val="00EF428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0D3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C0D3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C0D3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6BE"/>
    <w:pPr>
      <w:tabs>
        <w:tab w:val="center" w:pos="4513"/>
        <w:tab w:val="right" w:pos="9026"/>
      </w:tabs>
      <w:spacing w:line="240" w:lineRule="auto"/>
    </w:pPr>
  </w:style>
  <w:style w:type="character" w:customStyle="1" w:styleId="HeaderChar">
    <w:name w:val="Header Char"/>
    <w:basedOn w:val="DefaultParagraphFont"/>
    <w:link w:val="Header"/>
    <w:uiPriority w:val="99"/>
    <w:rsid w:val="002E26BE"/>
  </w:style>
  <w:style w:type="paragraph" w:styleId="Footer">
    <w:name w:val="footer"/>
    <w:basedOn w:val="Normal"/>
    <w:link w:val="FooterChar"/>
    <w:uiPriority w:val="99"/>
    <w:unhideWhenUsed/>
    <w:rsid w:val="002E26BE"/>
    <w:pPr>
      <w:tabs>
        <w:tab w:val="center" w:pos="4513"/>
        <w:tab w:val="right" w:pos="9026"/>
      </w:tabs>
      <w:spacing w:line="240" w:lineRule="auto"/>
    </w:pPr>
  </w:style>
  <w:style w:type="character" w:customStyle="1" w:styleId="FooterChar">
    <w:name w:val="Footer Char"/>
    <w:basedOn w:val="DefaultParagraphFont"/>
    <w:link w:val="Footer"/>
    <w:uiPriority w:val="99"/>
    <w:rsid w:val="002E26BE"/>
  </w:style>
  <w:style w:type="paragraph" w:styleId="Caption">
    <w:name w:val="caption"/>
    <w:basedOn w:val="Normal"/>
    <w:next w:val="Normal"/>
    <w:uiPriority w:val="35"/>
    <w:unhideWhenUsed/>
    <w:qFormat/>
    <w:rsid w:val="00472A94"/>
    <w:pPr>
      <w:spacing w:line="240" w:lineRule="auto"/>
    </w:pPr>
    <w:rPr>
      <w:b/>
      <w:bCs/>
      <w:color w:val="4F81BD" w:themeColor="accent1"/>
      <w:sz w:val="18"/>
      <w:szCs w:val="18"/>
    </w:rPr>
  </w:style>
  <w:style w:type="paragraph" w:customStyle="1" w:styleId="references">
    <w:name w:val="references"/>
    <w:basedOn w:val="Normal"/>
    <w:link w:val="referencesChar"/>
    <w:qFormat/>
    <w:rsid w:val="009549C8"/>
    <w:pPr>
      <w:ind w:left="720" w:firstLine="0"/>
    </w:pPr>
  </w:style>
  <w:style w:type="paragraph" w:styleId="Quote">
    <w:name w:val="Quote"/>
    <w:basedOn w:val="Normal"/>
    <w:next w:val="Normal"/>
    <w:link w:val="QuoteChar"/>
    <w:uiPriority w:val="29"/>
    <w:qFormat/>
    <w:rsid w:val="00A83034"/>
    <w:pPr>
      <w:ind w:left="720" w:firstLine="0"/>
    </w:pPr>
    <w:rPr>
      <w:iCs/>
      <w:color w:val="000000" w:themeColor="text1"/>
    </w:rPr>
  </w:style>
  <w:style w:type="character" w:customStyle="1" w:styleId="ListParagraphChar">
    <w:name w:val="List Paragraph Char"/>
    <w:basedOn w:val="DefaultParagraphFont"/>
    <w:link w:val="ListParagraph"/>
    <w:uiPriority w:val="34"/>
    <w:rsid w:val="006772BE"/>
    <w:rPr>
      <w:rFonts w:ascii="Times New Roman" w:hAnsi="Times New Roman"/>
      <w:sz w:val="24"/>
    </w:rPr>
  </w:style>
  <w:style w:type="character" w:customStyle="1" w:styleId="referencesChar">
    <w:name w:val="references Char"/>
    <w:basedOn w:val="ListParagraphChar"/>
    <w:link w:val="references"/>
    <w:rsid w:val="009549C8"/>
    <w:rPr>
      <w:rFonts w:ascii="Times New Roman" w:hAnsi="Times New Roman"/>
      <w:sz w:val="24"/>
    </w:rPr>
  </w:style>
  <w:style w:type="character" w:customStyle="1" w:styleId="QuoteChar">
    <w:name w:val="Quote Char"/>
    <w:basedOn w:val="DefaultParagraphFont"/>
    <w:link w:val="Quote"/>
    <w:uiPriority w:val="29"/>
    <w:rsid w:val="00A83034"/>
    <w:rPr>
      <w:rFonts w:ascii="Times New Roman" w:hAnsi="Times New Roman"/>
      <w:iCs/>
      <w:color w:val="000000" w:themeColor="text1"/>
      <w:sz w:val="24"/>
    </w:rPr>
  </w:style>
  <w:style w:type="paragraph" w:styleId="DocumentMap">
    <w:name w:val="Document Map"/>
    <w:basedOn w:val="Normal"/>
    <w:link w:val="DocumentMapChar"/>
    <w:uiPriority w:val="99"/>
    <w:semiHidden/>
    <w:unhideWhenUsed/>
    <w:rsid w:val="00BB1F06"/>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B1F06"/>
    <w:rPr>
      <w:rFonts w:ascii="Lucida Grande" w:hAnsi="Lucida Grande" w:cs="Lucida Grande"/>
      <w:sz w:val="24"/>
      <w:szCs w:val="24"/>
    </w:rPr>
  </w:style>
  <w:style w:type="paragraph" w:styleId="Revision">
    <w:name w:val="Revision"/>
    <w:hidden/>
    <w:uiPriority w:val="99"/>
    <w:semiHidden/>
    <w:rsid w:val="00B9783F"/>
    <w:pPr>
      <w:spacing w:after="0" w:line="240" w:lineRule="auto"/>
    </w:pPr>
    <w:rPr>
      <w:rFonts w:ascii="Times New Roman" w:hAnsi="Times New Roman"/>
      <w:sz w:val="24"/>
    </w:rPr>
  </w:style>
  <w:style w:type="paragraph" w:styleId="FootnoteText">
    <w:name w:val="footnote text"/>
    <w:basedOn w:val="Normal"/>
    <w:link w:val="FootnoteTextChar"/>
    <w:uiPriority w:val="99"/>
    <w:unhideWhenUsed/>
    <w:rsid w:val="00F55B0F"/>
    <w:pPr>
      <w:spacing w:line="240" w:lineRule="auto"/>
      <w:ind w:firstLine="0"/>
    </w:pPr>
    <w:rPr>
      <w:sz w:val="20"/>
      <w:szCs w:val="20"/>
    </w:rPr>
  </w:style>
  <w:style w:type="character" w:customStyle="1" w:styleId="FootnoteTextChar">
    <w:name w:val="Footnote Text Char"/>
    <w:basedOn w:val="DefaultParagraphFont"/>
    <w:link w:val="FootnoteText"/>
    <w:uiPriority w:val="99"/>
    <w:rsid w:val="00F55B0F"/>
    <w:rPr>
      <w:rFonts w:ascii="Times New Roman" w:hAnsi="Times New Roman"/>
      <w:sz w:val="20"/>
      <w:szCs w:val="20"/>
    </w:rPr>
  </w:style>
  <w:style w:type="character" w:styleId="FootnoteReference">
    <w:name w:val="footnote reference"/>
    <w:basedOn w:val="DefaultParagraphFont"/>
    <w:uiPriority w:val="99"/>
    <w:semiHidden/>
    <w:unhideWhenUsed/>
    <w:rsid w:val="00D043A0"/>
    <w:rPr>
      <w:vertAlign w:val="superscript"/>
    </w:rPr>
  </w:style>
  <w:style w:type="paragraph" w:customStyle="1" w:styleId="Default">
    <w:name w:val="Default"/>
    <w:rsid w:val="0001294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76452"/>
    <w:rPr>
      <w:color w:val="800080" w:themeColor="followedHyperlink"/>
      <w:u w:val="single"/>
    </w:rPr>
  </w:style>
  <w:style w:type="paragraph" w:customStyle="1" w:styleId="authornames">
    <w:name w:val="author names"/>
    <w:basedOn w:val="Title"/>
    <w:link w:val="authornamesChar"/>
    <w:qFormat/>
    <w:rsid w:val="00AE52C6"/>
    <w:pPr>
      <w:spacing w:before="200" w:after="0"/>
    </w:pPr>
    <w:rPr>
      <w:szCs w:val="24"/>
    </w:rPr>
  </w:style>
  <w:style w:type="paragraph" w:customStyle="1" w:styleId="abstract">
    <w:name w:val="abstract"/>
    <w:basedOn w:val="Normal"/>
    <w:link w:val="abstractChar"/>
    <w:qFormat/>
    <w:rsid w:val="00D40D4F"/>
    <w:pPr>
      <w:spacing w:before="360" w:after="300" w:line="360" w:lineRule="auto"/>
      <w:ind w:left="720" w:right="567" w:firstLine="0"/>
      <w:jc w:val="both"/>
    </w:pPr>
    <w:rPr>
      <w:color w:val="000000" w:themeColor="text1"/>
      <w:sz w:val="20"/>
      <w:szCs w:val="20"/>
    </w:rPr>
  </w:style>
  <w:style w:type="character" w:customStyle="1" w:styleId="authornamesChar">
    <w:name w:val="author names Char"/>
    <w:basedOn w:val="TitleChar"/>
    <w:link w:val="authornames"/>
    <w:rsid w:val="00AE52C6"/>
    <w:rPr>
      <w:rFonts w:ascii="Times New Roman" w:eastAsiaTheme="majorEastAsia" w:hAnsi="Times New Roman" w:cstheme="majorBidi"/>
      <w:b/>
      <w:spacing w:val="5"/>
      <w:kern w:val="28"/>
      <w:sz w:val="28"/>
      <w:szCs w:val="24"/>
    </w:rPr>
  </w:style>
  <w:style w:type="character" w:customStyle="1" w:styleId="abstractChar">
    <w:name w:val="abstract Char"/>
    <w:basedOn w:val="DefaultParagraphFont"/>
    <w:link w:val="abstract"/>
    <w:rsid w:val="00D40D4F"/>
    <w:rPr>
      <w:rFonts w:ascii="Times New Roman" w:hAnsi="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82843">
      <w:bodyDiv w:val="1"/>
      <w:marLeft w:val="0"/>
      <w:marRight w:val="0"/>
      <w:marTop w:val="0"/>
      <w:marBottom w:val="0"/>
      <w:divBdr>
        <w:top w:val="none" w:sz="0" w:space="0" w:color="auto"/>
        <w:left w:val="none" w:sz="0" w:space="0" w:color="auto"/>
        <w:bottom w:val="none" w:sz="0" w:space="0" w:color="auto"/>
        <w:right w:val="none" w:sz="0" w:space="0" w:color="auto"/>
      </w:divBdr>
    </w:div>
    <w:div w:id="1043824361">
      <w:bodyDiv w:val="1"/>
      <w:marLeft w:val="0"/>
      <w:marRight w:val="0"/>
      <w:marTop w:val="0"/>
      <w:marBottom w:val="0"/>
      <w:divBdr>
        <w:top w:val="none" w:sz="0" w:space="0" w:color="auto"/>
        <w:left w:val="none" w:sz="0" w:space="0" w:color="auto"/>
        <w:bottom w:val="none" w:sz="0" w:space="0" w:color="auto"/>
        <w:right w:val="none" w:sz="0" w:space="0" w:color="auto"/>
      </w:divBdr>
    </w:div>
    <w:div w:id="1502773144">
      <w:bodyDiv w:val="1"/>
      <w:marLeft w:val="0"/>
      <w:marRight w:val="0"/>
      <w:marTop w:val="0"/>
      <w:marBottom w:val="0"/>
      <w:divBdr>
        <w:top w:val="none" w:sz="0" w:space="0" w:color="auto"/>
        <w:left w:val="none" w:sz="0" w:space="0" w:color="auto"/>
        <w:bottom w:val="none" w:sz="0" w:space="0" w:color="auto"/>
        <w:right w:val="none" w:sz="0" w:space="0" w:color="auto"/>
      </w:divBdr>
    </w:div>
    <w:div w:id="1641106138">
      <w:bodyDiv w:val="1"/>
      <w:marLeft w:val="0"/>
      <w:marRight w:val="0"/>
      <w:marTop w:val="0"/>
      <w:marBottom w:val="0"/>
      <w:divBdr>
        <w:top w:val="none" w:sz="0" w:space="0" w:color="auto"/>
        <w:left w:val="none" w:sz="0" w:space="0" w:color="auto"/>
        <w:bottom w:val="none" w:sz="0" w:space="0" w:color="auto"/>
        <w:right w:val="none" w:sz="0" w:space="0" w:color="auto"/>
      </w:divBdr>
    </w:div>
    <w:div w:id="18504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papers.ssrn.com/sol3/papers.cfm?abstract_id=2530736"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62A7-210F-4AC9-AB43-BE9802C5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7732</Words>
  <Characters>44076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Napier</Company>
  <LinksUpToDate>false</LinksUpToDate>
  <CharactersWithSpaces>51705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SoC-laptop</dc:creator>
  <cp:lastModifiedBy>Smith, Sally</cp:lastModifiedBy>
  <cp:revision>3</cp:revision>
  <cp:lastPrinted>2017-05-11T09:12:00Z</cp:lastPrinted>
  <dcterms:created xsi:type="dcterms:W3CDTF">2017-08-17T15:01:00Z</dcterms:created>
  <dcterms:modified xsi:type="dcterms:W3CDTF">2017-08-17T15:06:00Z</dcterms:modified>
</cp:coreProperties>
</file>