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ABBD" w14:textId="2315996D" w:rsidR="003D4073" w:rsidRPr="00263CA6" w:rsidRDefault="00D568A0" w:rsidP="00553A1C">
      <w:pPr>
        <w:spacing w:line="480" w:lineRule="auto"/>
        <w:rPr>
          <w:b/>
          <w:color w:val="000000" w:themeColor="text1"/>
          <w:sz w:val="32"/>
          <w:szCs w:val="32"/>
        </w:rPr>
      </w:pPr>
      <w:bookmarkStart w:id="0" w:name="_GoBack"/>
      <w:bookmarkEnd w:id="0"/>
      <w:r w:rsidRPr="00263CA6">
        <w:rPr>
          <w:b/>
          <w:color w:val="000000" w:themeColor="text1"/>
          <w:sz w:val="32"/>
          <w:szCs w:val="32"/>
        </w:rPr>
        <w:t>Population health and nurse education – time to step-up</w:t>
      </w:r>
    </w:p>
    <w:p w14:paraId="7831AF53" w14:textId="416559A0" w:rsidR="005174ED" w:rsidRPr="00263CA6" w:rsidRDefault="00D41862" w:rsidP="00553A1C">
      <w:pPr>
        <w:spacing w:line="480" w:lineRule="auto"/>
        <w:rPr>
          <w:i/>
          <w:color w:val="000000" w:themeColor="text1"/>
        </w:rPr>
      </w:pPr>
      <w:r w:rsidRPr="00263CA6">
        <w:rPr>
          <w:i/>
          <w:color w:val="000000" w:themeColor="text1"/>
        </w:rPr>
        <w:t>Introduction</w:t>
      </w:r>
    </w:p>
    <w:p w14:paraId="7F8AB593" w14:textId="548E00CF" w:rsidR="00EC1854" w:rsidRPr="00263CA6" w:rsidRDefault="00C53A80" w:rsidP="00553A1C">
      <w:pPr>
        <w:spacing w:line="480" w:lineRule="auto"/>
        <w:rPr>
          <w:color w:val="000000" w:themeColor="text1"/>
        </w:rPr>
      </w:pPr>
      <w:r w:rsidRPr="00263CA6">
        <w:rPr>
          <w:color w:val="000000" w:themeColor="text1"/>
        </w:rPr>
        <w:t>Population health must</w:t>
      </w:r>
      <w:r w:rsidR="001D5DF5" w:rsidRPr="00263CA6">
        <w:rPr>
          <w:color w:val="000000" w:themeColor="text1"/>
        </w:rPr>
        <w:t xml:space="preserve"> become a funda</w:t>
      </w:r>
      <w:r w:rsidR="00FE25FF" w:rsidRPr="00263CA6">
        <w:rPr>
          <w:color w:val="000000" w:themeColor="text1"/>
        </w:rPr>
        <w:t xml:space="preserve">mental and explicit component of </w:t>
      </w:r>
      <w:r w:rsidR="001D5DF5" w:rsidRPr="00263CA6">
        <w:rPr>
          <w:color w:val="000000" w:themeColor="text1"/>
        </w:rPr>
        <w:t>health care professionals</w:t>
      </w:r>
      <w:r w:rsidR="00FE25FF" w:rsidRPr="00263CA6">
        <w:rPr>
          <w:color w:val="000000" w:themeColor="text1"/>
        </w:rPr>
        <w:t>’ education</w:t>
      </w:r>
      <w:r w:rsidR="001D5DF5" w:rsidRPr="00263CA6">
        <w:rPr>
          <w:color w:val="000000" w:themeColor="text1"/>
        </w:rPr>
        <w:t>.</w:t>
      </w:r>
      <w:r w:rsidR="000C4B7B" w:rsidRPr="00263CA6">
        <w:rPr>
          <w:color w:val="000000" w:themeColor="text1"/>
        </w:rPr>
        <w:t xml:space="preserve">  This was the conclusion reached in a </w:t>
      </w:r>
      <w:r w:rsidR="0047790D" w:rsidRPr="00263CA6">
        <w:rPr>
          <w:color w:val="000000" w:themeColor="text1"/>
        </w:rPr>
        <w:t xml:space="preserve">report </w:t>
      </w:r>
      <w:r w:rsidR="00027EAC" w:rsidRPr="00263CA6">
        <w:rPr>
          <w:color w:val="000000" w:themeColor="text1"/>
        </w:rPr>
        <w:t xml:space="preserve">by The Institute of Health </w:t>
      </w:r>
      <w:r w:rsidR="009D2815" w:rsidRPr="00263CA6">
        <w:rPr>
          <w:color w:val="000000" w:themeColor="text1"/>
        </w:rPr>
        <w:t>Equity</w:t>
      </w:r>
      <w:r w:rsidR="00136CF5" w:rsidRPr="00263CA6">
        <w:rPr>
          <w:color w:val="000000" w:themeColor="text1"/>
        </w:rPr>
        <w:t xml:space="preserve"> </w:t>
      </w:r>
      <w:r w:rsidR="00DB606F" w:rsidRPr="00263CA6">
        <w:rPr>
          <w:color w:val="000000" w:themeColor="text1"/>
        </w:rPr>
        <w:fldChar w:fldCharType="begin"/>
      </w:r>
      <w:r w:rsidR="00DB606F" w:rsidRPr="00263CA6">
        <w:rPr>
          <w:color w:val="000000" w:themeColor="text1"/>
        </w:rPr>
        <w:instrText xml:space="preserve"> ADDIN EN.CITE &lt;EndNote&gt;&lt;Cite ExcludeAuth="1"&gt;&lt;Author&gt;Institute&lt;/Author&gt;&lt;Year&gt;2013&lt;/Year&gt;&lt;IDText&gt;Working for health: the role of health professionals&lt;/IDText&gt;&lt;DisplayText&gt;(2013)&lt;/DisplayText&gt;&lt;record&gt;&lt;titles&gt;&lt;title&gt;Working for health: the role of health professionals&lt;/title&gt;&lt;/titles&gt;&lt;contributors&gt;&lt;authors&gt;&lt;author&gt;Institute of Health Equity&lt;/author&gt;&lt;/authors&gt;&lt;/contributors&gt;&lt;added-date format="utc"&gt;1450111433&lt;/added-date&gt;&lt;pub-location&gt;London&lt;/pub-location&gt;&lt;ref-type name="Report"&gt;27&lt;/ref-type&gt;&lt;dates&gt;&lt;year&gt;2013&lt;/year&gt;&lt;/dates&gt;&lt;rec-number&gt;7&lt;/rec-number&gt;&lt;publisher&gt;UCL&lt;/publisher&gt;&lt;last-updated-date format="utc"&gt;1452026126&lt;/last-updated-date&gt;&lt;/record&gt;&lt;/Cite&gt;&lt;/EndNote&gt;</w:instrText>
      </w:r>
      <w:r w:rsidR="00DB606F" w:rsidRPr="00263CA6">
        <w:rPr>
          <w:color w:val="000000" w:themeColor="text1"/>
        </w:rPr>
        <w:fldChar w:fldCharType="separate"/>
      </w:r>
      <w:r w:rsidR="00DB606F" w:rsidRPr="00263CA6">
        <w:rPr>
          <w:noProof/>
          <w:color w:val="000000" w:themeColor="text1"/>
        </w:rPr>
        <w:t>(2013)</w:t>
      </w:r>
      <w:r w:rsidR="00DB606F" w:rsidRPr="00263CA6">
        <w:rPr>
          <w:color w:val="000000" w:themeColor="text1"/>
        </w:rPr>
        <w:fldChar w:fldCharType="end"/>
      </w:r>
      <w:r w:rsidR="00885F7D" w:rsidRPr="00263CA6">
        <w:rPr>
          <w:color w:val="000000" w:themeColor="text1"/>
        </w:rPr>
        <w:t>.</w:t>
      </w:r>
      <w:r w:rsidR="000C4B7B" w:rsidRPr="00263CA6">
        <w:rPr>
          <w:color w:val="000000" w:themeColor="text1"/>
        </w:rPr>
        <w:t xml:space="preserve">  We agree.  And p</w:t>
      </w:r>
      <w:r w:rsidR="00885F7D" w:rsidRPr="00263CA6">
        <w:rPr>
          <w:color w:val="000000" w:themeColor="text1"/>
        </w:rPr>
        <w:t>icking up this call</w:t>
      </w:r>
      <w:r w:rsidR="00365039" w:rsidRPr="00263CA6">
        <w:rPr>
          <w:color w:val="000000" w:themeColor="text1"/>
        </w:rPr>
        <w:t xml:space="preserve"> </w:t>
      </w:r>
      <w:r w:rsidR="00EC1854" w:rsidRPr="00263CA6">
        <w:rPr>
          <w:color w:val="000000" w:themeColor="text1"/>
        </w:rPr>
        <w:t xml:space="preserve">we believe that it is time for nurse </w:t>
      </w:r>
      <w:r w:rsidR="000C4B7B" w:rsidRPr="00263CA6">
        <w:rPr>
          <w:color w:val="000000" w:themeColor="text1"/>
        </w:rPr>
        <w:t xml:space="preserve">education to take population </w:t>
      </w:r>
      <w:r w:rsidR="00397510" w:rsidRPr="00263CA6">
        <w:rPr>
          <w:color w:val="000000" w:themeColor="text1"/>
        </w:rPr>
        <w:t xml:space="preserve">health </w:t>
      </w:r>
      <w:r w:rsidR="000C4B7B" w:rsidRPr="00263CA6">
        <w:rPr>
          <w:color w:val="000000" w:themeColor="text1"/>
        </w:rPr>
        <w:t xml:space="preserve">seriously and for nurse </w:t>
      </w:r>
      <w:r w:rsidR="001E3F81" w:rsidRPr="00263CA6">
        <w:rPr>
          <w:color w:val="000000" w:themeColor="text1"/>
        </w:rPr>
        <w:t>educators</w:t>
      </w:r>
      <w:r w:rsidR="00EC1854" w:rsidRPr="00263CA6">
        <w:rPr>
          <w:color w:val="000000" w:themeColor="text1"/>
        </w:rPr>
        <w:t xml:space="preserve"> to </w:t>
      </w:r>
      <w:r w:rsidR="00885F7D" w:rsidRPr="00263CA6">
        <w:rPr>
          <w:color w:val="000000" w:themeColor="text1"/>
        </w:rPr>
        <w:t xml:space="preserve">step up and </w:t>
      </w:r>
      <w:r w:rsidR="00A75C90" w:rsidRPr="00263CA6">
        <w:rPr>
          <w:color w:val="000000" w:themeColor="text1"/>
        </w:rPr>
        <w:t xml:space="preserve">meaningfully </w:t>
      </w:r>
      <w:r w:rsidR="00885F7D" w:rsidRPr="00263CA6">
        <w:rPr>
          <w:color w:val="000000" w:themeColor="text1"/>
        </w:rPr>
        <w:t>engag</w:t>
      </w:r>
      <w:r w:rsidR="00DE05C0" w:rsidRPr="00263CA6">
        <w:rPr>
          <w:color w:val="000000" w:themeColor="text1"/>
        </w:rPr>
        <w:t>e</w:t>
      </w:r>
      <w:r w:rsidR="00885F7D" w:rsidRPr="00263CA6">
        <w:rPr>
          <w:color w:val="000000" w:themeColor="text1"/>
        </w:rPr>
        <w:t xml:space="preserve"> </w:t>
      </w:r>
      <w:r w:rsidR="00A75C90" w:rsidRPr="00263CA6">
        <w:rPr>
          <w:color w:val="000000" w:themeColor="text1"/>
        </w:rPr>
        <w:t>with</w:t>
      </w:r>
      <w:r w:rsidR="00EC1854" w:rsidRPr="00263CA6">
        <w:rPr>
          <w:color w:val="000000" w:themeColor="text1"/>
        </w:rPr>
        <w:t xml:space="preserve"> population health.</w:t>
      </w:r>
      <w:r w:rsidR="000C4B7B" w:rsidRPr="00263CA6">
        <w:rPr>
          <w:color w:val="000000" w:themeColor="text1"/>
        </w:rPr>
        <w:t xml:space="preserve">  The purpose of this paper is to succinctly yet strongly set out our case. </w:t>
      </w:r>
    </w:p>
    <w:p w14:paraId="176EAD1B" w14:textId="77777777" w:rsidR="000C4B7B" w:rsidRPr="00263CA6" w:rsidRDefault="000C4B7B" w:rsidP="00553A1C">
      <w:pPr>
        <w:spacing w:line="480" w:lineRule="auto"/>
        <w:rPr>
          <w:color w:val="000000" w:themeColor="text1"/>
        </w:rPr>
      </w:pPr>
    </w:p>
    <w:p w14:paraId="072C00F0" w14:textId="15030A50" w:rsidR="00D41862" w:rsidRPr="00263CA6" w:rsidRDefault="000B5CB9" w:rsidP="00553A1C">
      <w:pPr>
        <w:spacing w:line="480" w:lineRule="auto"/>
        <w:rPr>
          <w:color w:val="000000" w:themeColor="text1"/>
        </w:rPr>
      </w:pPr>
      <w:r w:rsidRPr="00263CA6">
        <w:rPr>
          <w:color w:val="000000" w:themeColor="text1"/>
        </w:rPr>
        <w:t>The reasons why</w:t>
      </w:r>
      <w:r w:rsidR="004C700D" w:rsidRPr="00263CA6">
        <w:rPr>
          <w:color w:val="000000" w:themeColor="text1"/>
        </w:rPr>
        <w:t xml:space="preserve"> nurse </w:t>
      </w:r>
      <w:r w:rsidR="00BC75AF" w:rsidRPr="00263CA6">
        <w:rPr>
          <w:color w:val="000000" w:themeColor="text1"/>
        </w:rPr>
        <w:t>educators</w:t>
      </w:r>
      <w:r w:rsidR="004C700D" w:rsidRPr="00263CA6">
        <w:rPr>
          <w:color w:val="000000" w:themeColor="text1"/>
        </w:rPr>
        <w:t xml:space="preserve"> must step-up</w:t>
      </w:r>
      <w:r w:rsidRPr="00263CA6">
        <w:rPr>
          <w:color w:val="000000" w:themeColor="text1"/>
        </w:rPr>
        <w:t xml:space="preserve"> are legion and plain. </w:t>
      </w:r>
      <w:r w:rsidR="00430A9F" w:rsidRPr="00263CA6">
        <w:rPr>
          <w:color w:val="000000" w:themeColor="text1"/>
        </w:rPr>
        <w:t>Internationally, h</w:t>
      </w:r>
      <w:r w:rsidR="004F3F1C" w:rsidRPr="00263CA6">
        <w:rPr>
          <w:color w:val="000000" w:themeColor="text1"/>
        </w:rPr>
        <w:t xml:space="preserve">ealth services </w:t>
      </w:r>
      <w:r w:rsidR="00D320FB" w:rsidRPr="00263CA6">
        <w:rPr>
          <w:color w:val="000000" w:themeColor="text1"/>
        </w:rPr>
        <w:t xml:space="preserve">face </w:t>
      </w:r>
      <w:r w:rsidR="004F3F1C" w:rsidRPr="00263CA6">
        <w:rPr>
          <w:color w:val="000000" w:themeColor="text1"/>
        </w:rPr>
        <w:t xml:space="preserve">trends that </w:t>
      </w:r>
      <w:r w:rsidRPr="00263CA6">
        <w:rPr>
          <w:color w:val="000000" w:themeColor="text1"/>
        </w:rPr>
        <w:t xml:space="preserve">threaten </w:t>
      </w:r>
      <w:r w:rsidR="004F3F1C" w:rsidRPr="00263CA6">
        <w:rPr>
          <w:color w:val="000000" w:themeColor="text1"/>
        </w:rPr>
        <w:t xml:space="preserve">their </w:t>
      </w:r>
      <w:r w:rsidR="005C4264" w:rsidRPr="00263CA6">
        <w:rPr>
          <w:color w:val="000000" w:themeColor="text1"/>
        </w:rPr>
        <w:t>very sustainability</w:t>
      </w:r>
      <w:r w:rsidR="00D8560F" w:rsidRPr="00263CA6">
        <w:rPr>
          <w:color w:val="000000" w:themeColor="text1"/>
        </w:rPr>
        <w:t>.</w:t>
      </w:r>
      <w:r w:rsidR="005C4264" w:rsidRPr="00263CA6">
        <w:rPr>
          <w:color w:val="000000" w:themeColor="text1"/>
        </w:rPr>
        <w:t xml:space="preserve"> </w:t>
      </w:r>
      <w:r w:rsidR="00D320FB" w:rsidRPr="00263CA6">
        <w:rPr>
          <w:color w:val="000000" w:themeColor="text1"/>
        </w:rPr>
        <w:t>P</w:t>
      </w:r>
      <w:r w:rsidR="008909A9" w:rsidRPr="00263CA6">
        <w:rPr>
          <w:color w:val="000000" w:themeColor="text1"/>
        </w:rPr>
        <w:t>opulation</w:t>
      </w:r>
      <w:r w:rsidR="00DB598B" w:rsidRPr="00263CA6">
        <w:rPr>
          <w:color w:val="000000" w:themeColor="text1"/>
        </w:rPr>
        <w:t>s are</w:t>
      </w:r>
      <w:r w:rsidR="008909A9" w:rsidRPr="00263CA6">
        <w:rPr>
          <w:color w:val="000000" w:themeColor="text1"/>
        </w:rPr>
        <w:t xml:space="preserve"> ageing</w:t>
      </w:r>
      <w:r w:rsidR="00EB5084" w:rsidRPr="00263CA6">
        <w:rPr>
          <w:color w:val="000000" w:themeColor="text1"/>
        </w:rPr>
        <w:t xml:space="preserve"> –</w:t>
      </w:r>
      <w:r w:rsidR="008909A9" w:rsidRPr="00263CA6">
        <w:rPr>
          <w:color w:val="000000" w:themeColor="text1"/>
        </w:rPr>
        <w:t xml:space="preserve"> </w:t>
      </w:r>
      <w:r w:rsidR="004C700D" w:rsidRPr="00263CA6">
        <w:rPr>
          <w:color w:val="000000" w:themeColor="text1"/>
        </w:rPr>
        <w:t>pi</w:t>
      </w:r>
      <w:r w:rsidRPr="00263CA6">
        <w:rPr>
          <w:color w:val="000000" w:themeColor="text1"/>
        </w:rPr>
        <w:t>ling</w:t>
      </w:r>
      <w:r w:rsidR="00EB5084" w:rsidRPr="00263CA6">
        <w:rPr>
          <w:color w:val="000000" w:themeColor="text1"/>
        </w:rPr>
        <w:t xml:space="preserve"> </w:t>
      </w:r>
      <w:r w:rsidR="008909A9" w:rsidRPr="00263CA6">
        <w:rPr>
          <w:color w:val="000000" w:themeColor="text1"/>
        </w:rPr>
        <w:t>pressure on</w:t>
      </w:r>
      <w:r w:rsidR="005C4264" w:rsidRPr="00263CA6">
        <w:rPr>
          <w:color w:val="000000" w:themeColor="text1"/>
        </w:rPr>
        <w:t xml:space="preserve"> limited</w:t>
      </w:r>
      <w:r w:rsidR="00111683" w:rsidRPr="00263CA6">
        <w:rPr>
          <w:color w:val="000000" w:themeColor="text1"/>
        </w:rPr>
        <w:t xml:space="preserve"> </w:t>
      </w:r>
      <w:r w:rsidR="005C4264" w:rsidRPr="00263CA6">
        <w:rPr>
          <w:color w:val="000000" w:themeColor="text1"/>
        </w:rPr>
        <w:t>health and social care resources</w:t>
      </w:r>
      <w:r w:rsidR="005D654E" w:rsidRPr="00263CA6">
        <w:rPr>
          <w:color w:val="000000" w:themeColor="text1"/>
        </w:rPr>
        <w:t xml:space="preserve"> (Bloom </w:t>
      </w:r>
      <w:r w:rsidR="005D654E" w:rsidRPr="00263CA6">
        <w:rPr>
          <w:i/>
          <w:color w:val="000000" w:themeColor="text1"/>
        </w:rPr>
        <w:t xml:space="preserve">et al. </w:t>
      </w:r>
      <w:r w:rsidR="005D654E" w:rsidRPr="00263CA6">
        <w:rPr>
          <w:color w:val="000000" w:themeColor="text1"/>
        </w:rPr>
        <w:t>2015)</w:t>
      </w:r>
      <w:r w:rsidR="0007639A" w:rsidRPr="00263CA6">
        <w:rPr>
          <w:color w:val="000000" w:themeColor="text1"/>
        </w:rPr>
        <w:t>.</w:t>
      </w:r>
      <w:r w:rsidRPr="00263CA6">
        <w:rPr>
          <w:color w:val="000000" w:themeColor="text1"/>
        </w:rPr>
        <w:t xml:space="preserve">  </w:t>
      </w:r>
      <w:r w:rsidR="004C3A2D" w:rsidRPr="00263CA6">
        <w:rPr>
          <w:color w:val="000000" w:themeColor="text1"/>
        </w:rPr>
        <w:t>The prevalence</w:t>
      </w:r>
      <w:r w:rsidR="0007639A" w:rsidRPr="00263CA6">
        <w:rPr>
          <w:color w:val="000000" w:themeColor="text1"/>
        </w:rPr>
        <w:t xml:space="preserve"> of </w:t>
      </w:r>
      <w:r w:rsidRPr="00263CA6">
        <w:rPr>
          <w:color w:val="000000" w:themeColor="text1"/>
        </w:rPr>
        <w:t>obesity</w:t>
      </w:r>
      <w:r w:rsidR="00C324F5" w:rsidRPr="00263CA6">
        <w:rPr>
          <w:color w:val="000000" w:themeColor="text1"/>
        </w:rPr>
        <w:t xml:space="preserve"> is</w:t>
      </w:r>
      <w:r w:rsidR="00F55F27" w:rsidRPr="00263CA6">
        <w:rPr>
          <w:color w:val="000000" w:themeColor="text1"/>
        </w:rPr>
        <w:t xml:space="preserve"> </w:t>
      </w:r>
      <w:r w:rsidRPr="00263CA6">
        <w:rPr>
          <w:color w:val="000000" w:themeColor="text1"/>
        </w:rPr>
        <w:t>growing globally</w:t>
      </w:r>
      <w:r w:rsidR="00EB5084" w:rsidRPr="00263CA6">
        <w:rPr>
          <w:color w:val="000000" w:themeColor="text1"/>
        </w:rPr>
        <w:t xml:space="preserve"> – </w:t>
      </w:r>
      <w:r w:rsidRPr="00263CA6">
        <w:rPr>
          <w:color w:val="000000" w:themeColor="text1"/>
        </w:rPr>
        <w:t>increasing</w:t>
      </w:r>
      <w:r w:rsidR="00EB5084" w:rsidRPr="00263CA6">
        <w:rPr>
          <w:color w:val="000000" w:themeColor="text1"/>
        </w:rPr>
        <w:t xml:space="preserve"> </w:t>
      </w:r>
      <w:r w:rsidR="009D2815" w:rsidRPr="00263CA6">
        <w:rPr>
          <w:color w:val="000000" w:themeColor="text1"/>
        </w:rPr>
        <w:t>the number of individuals living with</w:t>
      </w:r>
      <w:r w:rsidRPr="00263CA6">
        <w:rPr>
          <w:color w:val="000000" w:themeColor="text1"/>
        </w:rPr>
        <w:t xml:space="preserve"> </w:t>
      </w:r>
      <w:r w:rsidR="0007639A" w:rsidRPr="00263CA6">
        <w:rPr>
          <w:color w:val="000000" w:themeColor="text1"/>
        </w:rPr>
        <w:t xml:space="preserve">associated comorbidities, </w:t>
      </w:r>
      <w:r w:rsidR="009D2815" w:rsidRPr="00263CA6">
        <w:rPr>
          <w:color w:val="000000" w:themeColor="text1"/>
        </w:rPr>
        <w:t xml:space="preserve">such as </w:t>
      </w:r>
      <w:r w:rsidR="00F55F27" w:rsidRPr="00263CA6">
        <w:rPr>
          <w:color w:val="000000" w:themeColor="text1"/>
        </w:rPr>
        <w:t xml:space="preserve">diabetes and </w:t>
      </w:r>
      <w:r w:rsidR="00521B71" w:rsidRPr="00263CA6">
        <w:rPr>
          <w:color w:val="000000" w:themeColor="text1"/>
        </w:rPr>
        <w:t xml:space="preserve">cardiovascular </w:t>
      </w:r>
      <w:r w:rsidR="00F55F27" w:rsidRPr="00263CA6">
        <w:rPr>
          <w:color w:val="000000" w:themeColor="text1"/>
        </w:rPr>
        <w:t>problems</w:t>
      </w:r>
      <w:r w:rsidR="0007639A" w:rsidRPr="00263CA6">
        <w:rPr>
          <w:color w:val="000000" w:themeColor="text1"/>
        </w:rPr>
        <w:t>. Inequalities</w:t>
      </w:r>
      <w:r w:rsidR="00F55F27" w:rsidRPr="00263CA6">
        <w:rPr>
          <w:color w:val="000000" w:themeColor="text1"/>
        </w:rPr>
        <w:t xml:space="preserve"> remain intractably high</w:t>
      </w:r>
      <w:r w:rsidR="00EB5084" w:rsidRPr="00263CA6">
        <w:rPr>
          <w:color w:val="000000" w:themeColor="text1"/>
        </w:rPr>
        <w:t xml:space="preserve"> –</w:t>
      </w:r>
      <w:r w:rsidR="00AC0942" w:rsidRPr="00263CA6">
        <w:rPr>
          <w:color w:val="000000" w:themeColor="text1"/>
        </w:rPr>
        <w:t xml:space="preserve"> </w:t>
      </w:r>
      <w:r w:rsidR="009D2815" w:rsidRPr="00263CA6">
        <w:rPr>
          <w:color w:val="000000" w:themeColor="text1"/>
        </w:rPr>
        <w:t>despite</w:t>
      </w:r>
      <w:r w:rsidR="00EB5084" w:rsidRPr="00263CA6">
        <w:rPr>
          <w:color w:val="000000" w:themeColor="text1"/>
        </w:rPr>
        <w:t xml:space="preserve"> </w:t>
      </w:r>
      <w:r w:rsidR="00AC0942" w:rsidRPr="00263CA6">
        <w:rPr>
          <w:color w:val="000000" w:themeColor="text1"/>
        </w:rPr>
        <w:t>decades of research on the social determinants of health.</w:t>
      </w:r>
      <w:r w:rsidR="00C2088F" w:rsidRPr="00263CA6">
        <w:rPr>
          <w:color w:val="000000" w:themeColor="text1"/>
        </w:rPr>
        <w:t xml:space="preserve">  </w:t>
      </w:r>
      <w:r w:rsidR="00F927AC" w:rsidRPr="00263CA6">
        <w:rPr>
          <w:color w:val="000000" w:themeColor="text1"/>
        </w:rPr>
        <w:t>We could go on</w:t>
      </w:r>
      <w:r w:rsidR="00F309EE" w:rsidRPr="00263CA6">
        <w:rPr>
          <w:color w:val="000000" w:themeColor="text1"/>
        </w:rPr>
        <w:t>:</w:t>
      </w:r>
      <w:r w:rsidR="00C2088F" w:rsidRPr="00263CA6">
        <w:rPr>
          <w:color w:val="000000" w:themeColor="text1"/>
        </w:rPr>
        <w:t xml:space="preserve"> h</w:t>
      </w:r>
      <w:r w:rsidR="00F927AC" w:rsidRPr="00263CA6">
        <w:rPr>
          <w:color w:val="000000" w:themeColor="text1"/>
        </w:rPr>
        <w:t>omelessness</w:t>
      </w:r>
      <w:r w:rsidR="00F309EE" w:rsidRPr="00263CA6">
        <w:rPr>
          <w:color w:val="000000" w:themeColor="text1"/>
        </w:rPr>
        <w:t>;</w:t>
      </w:r>
      <w:r w:rsidR="00C2088F" w:rsidRPr="00263CA6">
        <w:rPr>
          <w:color w:val="000000" w:themeColor="text1"/>
        </w:rPr>
        <w:t xml:space="preserve"> p</w:t>
      </w:r>
      <w:r w:rsidR="00F927AC" w:rsidRPr="00263CA6">
        <w:rPr>
          <w:color w:val="000000" w:themeColor="text1"/>
        </w:rPr>
        <w:t>overty</w:t>
      </w:r>
      <w:r w:rsidR="00F309EE" w:rsidRPr="00263CA6">
        <w:rPr>
          <w:color w:val="000000" w:themeColor="text1"/>
        </w:rPr>
        <w:t>; refugees fleeing conflict</w:t>
      </w:r>
      <w:r w:rsidR="00F927AC" w:rsidRPr="00263CA6">
        <w:rPr>
          <w:color w:val="000000" w:themeColor="text1"/>
        </w:rPr>
        <w:t>.</w:t>
      </w:r>
      <w:r w:rsidR="00AC0942" w:rsidRPr="00263CA6">
        <w:rPr>
          <w:color w:val="000000" w:themeColor="text1"/>
        </w:rPr>
        <w:t xml:space="preserve"> </w:t>
      </w:r>
      <w:r w:rsidR="00C2088F" w:rsidRPr="00263CA6">
        <w:rPr>
          <w:color w:val="000000" w:themeColor="text1"/>
        </w:rPr>
        <w:t>Each</w:t>
      </w:r>
      <w:r w:rsidR="000C38C4" w:rsidRPr="00263CA6">
        <w:rPr>
          <w:color w:val="000000" w:themeColor="text1"/>
        </w:rPr>
        <w:t xml:space="preserve"> is</w:t>
      </w:r>
      <w:r w:rsidR="00C2088F" w:rsidRPr="00263CA6">
        <w:rPr>
          <w:color w:val="000000" w:themeColor="text1"/>
        </w:rPr>
        <w:t xml:space="preserve"> an issue intimately familiar to the readership of this journal, </w:t>
      </w:r>
      <w:r w:rsidR="009D2815" w:rsidRPr="00263CA6">
        <w:rPr>
          <w:color w:val="000000" w:themeColor="text1"/>
        </w:rPr>
        <w:t xml:space="preserve">flitting daily </w:t>
      </w:r>
      <w:r w:rsidR="00C2088F" w:rsidRPr="00263CA6">
        <w:rPr>
          <w:color w:val="000000" w:themeColor="text1"/>
        </w:rPr>
        <w:t>into our live</w:t>
      </w:r>
      <w:r w:rsidR="00C824A1" w:rsidRPr="00263CA6">
        <w:rPr>
          <w:color w:val="000000" w:themeColor="text1"/>
        </w:rPr>
        <w:t>s and filtered through web</w:t>
      </w:r>
      <w:r w:rsidR="00C2088F" w:rsidRPr="00263CA6">
        <w:rPr>
          <w:color w:val="000000" w:themeColor="text1"/>
        </w:rPr>
        <w:t xml:space="preserve">sites, newsprint and near constant news; and, yet, </w:t>
      </w:r>
      <w:r w:rsidR="001B548D" w:rsidRPr="00263CA6">
        <w:rPr>
          <w:color w:val="000000" w:themeColor="text1"/>
        </w:rPr>
        <w:t>virtually absent from</w:t>
      </w:r>
      <w:r w:rsidR="009D2815" w:rsidRPr="00263CA6">
        <w:rPr>
          <w:color w:val="000000" w:themeColor="text1"/>
        </w:rPr>
        <w:t xml:space="preserve"> </w:t>
      </w:r>
      <w:r w:rsidR="00C2088F" w:rsidRPr="00263CA6">
        <w:rPr>
          <w:color w:val="000000" w:themeColor="text1"/>
        </w:rPr>
        <w:t xml:space="preserve">the debate around our healthcare systems and services. </w:t>
      </w:r>
      <w:r w:rsidR="00464BF9" w:rsidRPr="00263CA6">
        <w:rPr>
          <w:color w:val="000000" w:themeColor="text1"/>
        </w:rPr>
        <w:t>Continuing</w:t>
      </w:r>
      <w:r w:rsidR="001B548D" w:rsidRPr="00263CA6">
        <w:rPr>
          <w:color w:val="000000" w:themeColor="text1"/>
        </w:rPr>
        <w:t xml:space="preserve"> to</w:t>
      </w:r>
      <w:r w:rsidR="00F927AC" w:rsidRPr="00263CA6">
        <w:rPr>
          <w:color w:val="000000" w:themeColor="text1"/>
        </w:rPr>
        <w:t xml:space="preserve"> rel</w:t>
      </w:r>
      <w:r w:rsidR="001B548D" w:rsidRPr="00263CA6">
        <w:rPr>
          <w:color w:val="000000" w:themeColor="text1"/>
        </w:rPr>
        <w:t>y</w:t>
      </w:r>
      <w:r w:rsidR="00F927AC" w:rsidRPr="00263CA6">
        <w:rPr>
          <w:color w:val="000000" w:themeColor="text1"/>
        </w:rPr>
        <w:t xml:space="preserve"> on large acute </w:t>
      </w:r>
      <w:r w:rsidR="004E0CA3" w:rsidRPr="00263CA6">
        <w:rPr>
          <w:color w:val="000000" w:themeColor="text1"/>
        </w:rPr>
        <w:t xml:space="preserve">care </w:t>
      </w:r>
      <w:r w:rsidR="00F927AC" w:rsidRPr="00263CA6">
        <w:rPr>
          <w:color w:val="000000" w:themeColor="text1"/>
        </w:rPr>
        <w:t xml:space="preserve">settings </w:t>
      </w:r>
      <w:r w:rsidR="00D320FB" w:rsidRPr="00263CA6">
        <w:rPr>
          <w:color w:val="000000" w:themeColor="text1"/>
        </w:rPr>
        <w:t xml:space="preserve">for health care provision is </w:t>
      </w:r>
      <w:r w:rsidR="001B548D" w:rsidRPr="00263CA6">
        <w:rPr>
          <w:color w:val="000000" w:themeColor="text1"/>
        </w:rPr>
        <w:t>un</w:t>
      </w:r>
      <w:r w:rsidR="00D320FB" w:rsidRPr="00263CA6">
        <w:rPr>
          <w:color w:val="000000" w:themeColor="text1"/>
        </w:rPr>
        <w:t xml:space="preserve">tenable as a basis for </w:t>
      </w:r>
      <w:r w:rsidR="001B548D" w:rsidRPr="00263CA6">
        <w:rPr>
          <w:color w:val="000000" w:themeColor="text1"/>
        </w:rPr>
        <w:t xml:space="preserve">advancing </w:t>
      </w:r>
      <w:r w:rsidR="00D320FB" w:rsidRPr="00263CA6">
        <w:rPr>
          <w:color w:val="000000" w:themeColor="text1"/>
        </w:rPr>
        <w:t xml:space="preserve">health care </w:t>
      </w:r>
      <w:r w:rsidR="001B548D" w:rsidRPr="00263CA6">
        <w:rPr>
          <w:color w:val="000000" w:themeColor="text1"/>
        </w:rPr>
        <w:t>to</w:t>
      </w:r>
      <w:r w:rsidR="00521B71" w:rsidRPr="00263CA6">
        <w:rPr>
          <w:color w:val="000000" w:themeColor="text1"/>
        </w:rPr>
        <w:t xml:space="preserve"> improv</w:t>
      </w:r>
      <w:r w:rsidR="001B548D" w:rsidRPr="00263CA6">
        <w:rPr>
          <w:color w:val="000000" w:themeColor="text1"/>
        </w:rPr>
        <w:t>e</w:t>
      </w:r>
      <w:r w:rsidR="00521B71" w:rsidRPr="00263CA6">
        <w:rPr>
          <w:color w:val="000000" w:themeColor="text1"/>
        </w:rPr>
        <w:t xml:space="preserve"> health outcomes</w:t>
      </w:r>
      <w:r w:rsidR="001B548D" w:rsidRPr="00263CA6">
        <w:rPr>
          <w:color w:val="000000" w:themeColor="text1"/>
        </w:rPr>
        <w:t xml:space="preserve"> at a population level</w:t>
      </w:r>
      <w:r w:rsidR="00D96B0D" w:rsidRPr="00263CA6">
        <w:rPr>
          <w:color w:val="000000" w:themeColor="text1"/>
        </w:rPr>
        <w:t>;</w:t>
      </w:r>
      <w:r w:rsidR="00DF45A9" w:rsidRPr="00263CA6">
        <w:rPr>
          <w:color w:val="000000" w:themeColor="text1"/>
        </w:rPr>
        <w:t xml:space="preserve"> especially for the most marginalised</w:t>
      </w:r>
      <w:r w:rsidR="00F927AC" w:rsidRPr="00263CA6">
        <w:rPr>
          <w:color w:val="000000" w:themeColor="text1"/>
        </w:rPr>
        <w:t xml:space="preserve">. </w:t>
      </w:r>
      <w:r w:rsidR="00DB598B" w:rsidRPr="00263CA6">
        <w:rPr>
          <w:color w:val="000000" w:themeColor="text1"/>
        </w:rPr>
        <w:t>Yet</w:t>
      </w:r>
      <w:r w:rsidR="001B548D" w:rsidRPr="00263CA6">
        <w:rPr>
          <w:color w:val="000000" w:themeColor="text1"/>
        </w:rPr>
        <w:t>,</w:t>
      </w:r>
      <w:r w:rsidR="00DB598B" w:rsidRPr="00263CA6">
        <w:rPr>
          <w:color w:val="000000" w:themeColor="text1"/>
        </w:rPr>
        <w:t xml:space="preserve"> the extent to which </w:t>
      </w:r>
      <w:r w:rsidR="00DB598B" w:rsidRPr="00263CA6">
        <w:rPr>
          <w:color w:val="000000" w:themeColor="text1"/>
        </w:rPr>
        <w:lastRenderedPageBreak/>
        <w:t xml:space="preserve">we in nurse education have </w:t>
      </w:r>
      <w:r w:rsidR="0047790D" w:rsidRPr="00263CA6">
        <w:rPr>
          <w:color w:val="000000" w:themeColor="text1"/>
        </w:rPr>
        <w:t xml:space="preserve">really </w:t>
      </w:r>
      <w:r w:rsidR="00DB598B" w:rsidRPr="00263CA6">
        <w:rPr>
          <w:color w:val="000000" w:themeColor="text1"/>
        </w:rPr>
        <w:t>recognised</w:t>
      </w:r>
      <w:r w:rsidR="001B548D" w:rsidRPr="00263CA6">
        <w:rPr>
          <w:color w:val="000000" w:themeColor="text1"/>
        </w:rPr>
        <w:t xml:space="preserve"> the</w:t>
      </w:r>
      <w:r w:rsidR="00DB598B" w:rsidRPr="00263CA6">
        <w:rPr>
          <w:color w:val="000000" w:themeColor="text1"/>
        </w:rPr>
        <w:t xml:space="preserve"> implications</w:t>
      </w:r>
      <w:r w:rsidR="0047790D" w:rsidRPr="00263CA6">
        <w:rPr>
          <w:color w:val="000000" w:themeColor="text1"/>
        </w:rPr>
        <w:t xml:space="preserve"> of these issues </w:t>
      </w:r>
      <w:r w:rsidR="00521B71" w:rsidRPr="00263CA6">
        <w:rPr>
          <w:color w:val="000000" w:themeColor="text1"/>
        </w:rPr>
        <w:t xml:space="preserve">and truly incorporated population health </w:t>
      </w:r>
      <w:r w:rsidR="0047790D" w:rsidRPr="00263CA6">
        <w:rPr>
          <w:color w:val="000000" w:themeColor="text1"/>
        </w:rPr>
        <w:t xml:space="preserve">into our programmes </w:t>
      </w:r>
      <w:r w:rsidR="00DB598B" w:rsidRPr="00263CA6">
        <w:rPr>
          <w:color w:val="000000" w:themeColor="text1"/>
        </w:rPr>
        <w:t>is</w:t>
      </w:r>
      <w:r w:rsidR="00E53DC2" w:rsidRPr="00263CA6">
        <w:rPr>
          <w:color w:val="000000" w:themeColor="text1"/>
        </w:rPr>
        <w:t xml:space="preserve">, </w:t>
      </w:r>
      <w:r w:rsidR="00DB598B" w:rsidRPr="00263CA6">
        <w:rPr>
          <w:color w:val="000000" w:themeColor="text1"/>
        </w:rPr>
        <w:t>thus far</w:t>
      </w:r>
      <w:r w:rsidR="00D41862" w:rsidRPr="00263CA6">
        <w:rPr>
          <w:color w:val="000000" w:themeColor="text1"/>
        </w:rPr>
        <w:t>,</w:t>
      </w:r>
      <w:r w:rsidR="00DB598B" w:rsidRPr="00263CA6">
        <w:rPr>
          <w:color w:val="000000" w:themeColor="text1"/>
        </w:rPr>
        <w:t xml:space="preserve"> limited.</w:t>
      </w:r>
      <w:r w:rsidR="008E626A" w:rsidRPr="00263CA6">
        <w:rPr>
          <w:color w:val="000000" w:themeColor="text1"/>
        </w:rPr>
        <w:t xml:space="preserve"> </w:t>
      </w:r>
    </w:p>
    <w:p w14:paraId="74F5BE67" w14:textId="77777777" w:rsidR="00F8748C" w:rsidRPr="00263CA6" w:rsidRDefault="00F8748C" w:rsidP="00553A1C">
      <w:pPr>
        <w:spacing w:line="480" w:lineRule="auto"/>
        <w:rPr>
          <w:color w:val="000000" w:themeColor="text1"/>
        </w:rPr>
      </w:pPr>
    </w:p>
    <w:p w14:paraId="5D4BF3E7" w14:textId="7D223267" w:rsidR="004E3709" w:rsidRPr="00263CA6" w:rsidRDefault="00D41862" w:rsidP="00553A1C">
      <w:pPr>
        <w:spacing w:line="480" w:lineRule="auto"/>
        <w:rPr>
          <w:color w:val="000000" w:themeColor="text1"/>
        </w:rPr>
      </w:pPr>
      <w:r w:rsidRPr="00263CA6">
        <w:rPr>
          <w:color w:val="000000" w:themeColor="text1"/>
        </w:rPr>
        <w:t xml:space="preserve">In this paper, we make the case for </w:t>
      </w:r>
      <w:r w:rsidR="00521B71" w:rsidRPr="00263CA6">
        <w:rPr>
          <w:i/>
          <w:color w:val="000000" w:themeColor="text1"/>
        </w:rPr>
        <w:t>intentionally</w:t>
      </w:r>
      <w:r w:rsidR="00521B71" w:rsidRPr="00263CA6">
        <w:rPr>
          <w:color w:val="000000" w:themeColor="text1"/>
        </w:rPr>
        <w:t xml:space="preserve"> integrating </w:t>
      </w:r>
      <w:r w:rsidR="00E53DC2" w:rsidRPr="00263CA6">
        <w:rPr>
          <w:color w:val="000000" w:themeColor="text1"/>
        </w:rPr>
        <w:t xml:space="preserve">population health </w:t>
      </w:r>
      <w:r w:rsidRPr="00263CA6">
        <w:rPr>
          <w:color w:val="000000" w:themeColor="text1"/>
        </w:rPr>
        <w:t xml:space="preserve">across </w:t>
      </w:r>
      <w:r w:rsidR="00355700" w:rsidRPr="00263CA6">
        <w:rPr>
          <w:color w:val="000000" w:themeColor="text1"/>
        </w:rPr>
        <w:t xml:space="preserve">all </w:t>
      </w:r>
      <w:r w:rsidR="00E53DC2" w:rsidRPr="00263CA6">
        <w:rPr>
          <w:color w:val="000000" w:themeColor="text1"/>
        </w:rPr>
        <w:t xml:space="preserve">nursing </w:t>
      </w:r>
      <w:r w:rsidRPr="00263CA6">
        <w:rPr>
          <w:color w:val="000000" w:themeColor="text1"/>
        </w:rPr>
        <w:t>programmes</w:t>
      </w:r>
      <w:r w:rsidR="00F927AC" w:rsidRPr="00263CA6">
        <w:rPr>
          <w:color w:val="000000" w:themeColor="text1"/>
        </w:rPr>
        <w:t xml:space="preserve">: undergraduate; postgraduate; and </w:t>
      </w:r>
      <w:r w:rsidR="00521B71" w:rsidRPr="00263CA6">
        <w:rPr>
          <w:color w:val="000000" w:themeColor="text1"/>
        </w:rPr>
        <w:t xml:space="preserve">in </w:t>
      </w:r>
      <w:r w:rsidR="002F1EC3" w:rsidRPr="00263CA6">
        <w:rPr>
          <w:color w:val="000000" w:themeColor="text1"/>
        </w:rPr>
        <w:t>c</w:t>
      </w:r>
      <w:r w:rsidR="00F927AC" w:rsidRPr="00263CA6">
        <w:rPr>
          <w:color w:val="000000" w:themeColor="text1"/>
        </w:rPr>
        <w:t>o</w:t>
      </w:r>
      <w:r w:rsidR="002F1EC3" w:rsidRPr="00263CA6">
        <w:rPr>
          <w:color w:val="000000" w:themeColor="text1"/>
        </w:rPr>
        <w:t>ntinuing professional d</w:t>
      </w:r>
      <w:r w:rsidR="00F927AC" w:rsidRPr="00263CA6">
        <w:rPr>
          <w:color w:val="000000" w:themeColor="text1"/>
        </w:rPr>
        <w:t>evelopment</w:t>
      </w:r>
      <w:r w:rsidR="00553A1C" w:rsidRPr="00263CA6">
        <w:rPr>
          <w:color w:val="000000" w:themeColor="text1"/>
        </w:rPr>
        <w:t xml:space="preserve"> (CPD)</w:t>
      </w:r>
      <w:r w:rsidR="00F927AC" w:rsidRPr="00263CA6">
        <w:rPr>
          <w:color w:val="000000" w:themeColor="text1"/>
        </w:rPr>
        <w:t>.</w:t>
      </w:r>
      <w:r w:rsidR="004E3709" w:rsidRPr="00263CA6">
        <w:rPr>
          <w:color w:val="000000" w:themeColor="text1"/>
        </w:rPr>
        <w:t xml:space="preserve"> </w:t>
      </w:r>
      <w:r w:rsidR="009C627F" w:rsidRPr="00263CA6">
        <w:rPr>
          <w:color w:val="000000" w:themeColor="text1"/>
        </w:rPr>
        <w:t xml:space="preserve"> </w:t>
      </w:r>
      <w:r w:rsidR="00231914" w:rsidRPr="00263CA6">
        <w:rPr>
          <w:color w:val="000000" w:themeColor="text1"/>
        </w:rPr>
        <w:t xml:space="preserve">Our </w:t>
      </w:r>
      <w:r w:rsidR="009C627F" w:rsidRPr="00263CA6">
        <w:rPr>
          <w:color w:val="000000" w:themeColor="text1"/>
        </w:rPr>
        <w:t xml:space="preserve">aim </w:t>
      </w:r>
      <w:r w:rsidR="00231914" w:rsidRPr="00263CA6">
        <w:rPr>
          <w:color w:val="000000" w:themeColor="text1"/>
        </w:rPr>
        <w:t xml:space="preserve">is </w:t>
      </w:r>
      <w:r w:rsidR="009C627F" w:rsidRPr="00263CA6">
        <w:rPr>
          <w:color w:val="000000" w:themeColor="text1"/>
        </w:rPr>
        <w:t xml:space="preserve">to stimulate thinking and debate </w:t>
      </w:r>
      <w:r w:rsidR="00231914" w:rsidRPr="00263CA6">
        <w:rPr>
          <w:color w:val="000000" w:themeColor="text1"/>
        </w:rPr>
        <w:t xml:space="preserve">about </w:t>
      </w:r>
      <w:r w:rsidR="009C627F" w:rsidRPr="00263CA6">
        <w:rPr>
          <w:color w:val="000000" w:themeColor="text1"/>
        </w:rPr>
        <w:t xml:space="preserve">how this can be enabled. </w:t>
      </w:r>
      <w:r w:rsidR="004E3709" w:rsidRPr="00263CA6">
        <w:rPr>
          <w:color w:val="000000" w:themeColor="text1"/>
        </w:rPr>
        <w:t xml:space="preserve">We provide some examples of innovative teaching to </w:t>
      </w:r>
      <w:r w:rsidR="00231914" w:rsidRPr="00263CA6">
        <w:rPr>
          <w:color w:val="000000" w:themeColor="text1"/>
        </w:rPr>
        <w:t>illustrate</w:t>
      </w:r>
      <w:r w:rsidR="004E3709" w:rsidRPr="00263CA6">
        <w:rPr>
          <w:color w:val="000000" w:themeColor="text1"/>
        </w:rPr>
        <w:t xml:space="preserve"> how we, as nurse educators, can meaningfully </w:t>
      </w:r>
      <w:r w:rsidR="002F1EC3" w:rsidRPr="00263CA6">
        <w:rPr>
          <w:color w:val="000000" w:themeColor="text1"/>
        </w:rPr>
        <w:t>facilitate</w:t>
      </w:r>
      <w:r w:rsidR="004E3709" w:rsidRPr="00263CA6">
        <w:rPr>
          <w:color w:val="000000" w:themeColor="text1"/>
        </w:rPr>
        <w:t xml:space="preserve"> students to link their own practice to</w:t>
      </w:r>
      <w:r w:rsidR="00231914" w:rsidRPr="00263CA6">
        <w:rPr>
          <w:color w:val="000000" w:themeColor="text1"/>
        </w:rPr>
        <w:t xml:space="preserve"> the</w:t>
      </w:r>
      <w:r w:rsidR="004E3709" w:rsidRPr="00263CA6">
        <w:rPr>
          <w:color w:val="000000" w:themeColor="text1"/>
        </w:rPr>
        <w:t xml:space="preserve"> challenges facing wider society. </w:t>
      </w:r>
      <w:r w:rsidR="00F927AC" w:rsidRPr="00263CA6">
        <w:rPr>
          <w:color w:val="000000" w:themeColor="text1"/>
        </w:rPr>
        <w:t xml:space="preserve"> </w:t>
      </w:r>
      <w:r w:rsidR="00112982" w:rsidRPr="00263CA6">
        <w:rPr>
          <w:color w:val="000000" w:themeColor="text1"/>
        </w:rPr>
        <w:t xml:space="preserve">Our intention is not to be prescriptive. Rather, it is to make </w:t>
      </w:r>
      <w:r w:rsidR="00231914" w:rsidRPr="00263CA6">
        <w:rPr>
          <w:color w:val="000000" w:themeColor="text1"/>
        </w:rPr>
        <w:t xml:space="preserve">a potent </w:t>
      </w:r>
      <w:r w:rsidR="00112982" w:rsidRPr="00263CA6">
        <w:rPr>
          <w:color w:val="000000" w:themeColor="text1"/>
        </w:rPr>
        <w:t>case for population health to be at the heart of</w:t>
      </w:r>
      <w:r w:rsidR="009C627F" w:rsidRPr="00263CA6">
        <w:rPr>
          <w:color w:val="000000" w:themeColor="text1"/>
        </w:rPr>
        <w:t xml:space="preserve"> </w:t>
      </w:r>
      <w:r w:rsidR="00231914" w:rsidRPr="00263CA6">
        <w:rPr>
          <w:color w:val="000000" w:themeColor="text1"/>
        </w:rPr>
        <w:t xml:space="preserve">nursing </w:t>
      </w:r>
      <w:r w:rsidR="009C627F" w:rsidRPr="00263CA6">
        <w:rPr>
          <w:color w:val="000000" w:themeColor="text1"/>
        </w:rPr>
        <w:t>curricul</w:t>
      </w:r>
      <w:r w:rsidR="00231914" w:rsidRPr="00263CA6">
        <w:rPr>
          <w:color w:val="000000" w:themeColor="text1"/>
        </w:rPr>
        <w:t>a</w:t>
      </w:r>
      <w:r w:rsidR="009C627F" w:rsidRPr="00263CA6">
        <w:rPr>
          <w:color w:val="000000" w:themeColor="text1"/>
        </w:rPr>
        <w:t xml:space="preserve">, and to demonstrate that doing so is both practical and feasible.  </w:t>
      </w:r>
      <w:r w:rsidR="00231914" w:rsidRPr="00263CA6">
        <w:rPr>
          <w:color w:val="000000" w:themeColor="text1"/>
        </w:rPr>
        <w:t>In so doing</w:t>
      </w:r>
      <w:r w:rsidR="009C627F" w:rsidRPr="00263CA6">
        <w:rPr>
          <w:color w:val="000000" w:themeColor="text1"/>
        </w:rPr>
        <w:t xml:space="preserve">, we challenge nurse education to consider carefully its responsibilities to the wider </w:t>
      </w:r>
      <w:r w:rsidR="00231914" w:rsidRPr="00263CA6">
        <w:rPr>
          <w:color w:val="000000" w:themeColor="text1"/>
        </w:rPr>
        <w:t xml:space="preserve">communities and </w:t>
      </w:r>
      <w:r w:rsidR="009C627F" w:rsidRPr="00263CA6">
        <w:rPr>
          <w:color w:val="000000" w:themeColor="text1"/>
        </w:rPr>
        <w:t>societies that they serve.</w:t>
      </w:r>
      <w:r w:rsidR="004C3A2D" w:rsidRPr="00263CA6">
        <w:rPr>
          <w:color w:val="000000" w:themeColor="text1"/>
        </w:rPr>
        <w:t xml:space="preserve"> </w:t>
      </w:r>
    </w:p>
    <w:p w14:paraId="5D779CED" w14:textId="77777777" w:rsidR="004E3709" w:rsidRPr="00263CA6" w:rsidRDefault="004E3709" w:rsidP="00553A1C">
      <w:pPr>
        <w:spacing w:line="480" w:lineRule="auto"/>
        <w:rPr>
          <w:color w:val="000000" w:themeColor="text1"/>
        </w:rPr>
      </w:pPr>
    </w:p>
    <w:p w14:paraId="3C48FD16" w14:textId="4E7DB942" w:rsidR="009C627F" w:rsidRPr="00263CA6" w:rsidRDefault="009C627F" w:rsidP="00553A1C">
      <w:pPr>
        <w:spacing w:line="480" w:lineRule="auto"/>
        <w:rPr>
          <w:i/>
          <w:color w:val="000000" w:themeColor="text1"/>
        </w:rPr>
      </w:pPr>
      <w:r w:rsidRPr="00263CA6">
        <w:rPr>
          <w:i/>
          <w:color w:val="000000" w:themeColor="text1"/>
        </w:rPr>
        <w:t>Nursing as a population health intervention</w:t>
      </w:r>
    </w:p>
    <w:p w14:paraId="0493186B" w14:textId="24D41050" w:rsidR="006E7C77" w:rsidRPr="00263CA6" w:rsidRDefault="0015612E" w:rsidP="00553A1C">
      <w:pPr>
        <w:spacing w:line="480" w:lineRule="auto"/>
        <w:rPr>
          <w:i/>
          <w:color w:val="000000" w:themeColor="text1"/>
        </w:rPr>
      </w:pPr>
      <w:r w:rsidRPr="00263CA6">
        <w:rPr>
          <w:color w:val="000000" w:themeColor="text1"/>
        </w:rPr>
        <w:t>Although our long-term goal is ambitious, e</w:t>
      </w:r>
      <w:r w:rsidR="00964523" w:rsidRPr="00263CA6">
        <w:rPr>
          <w:color w:val="000000" w:themeColor="text1"/>
        </w:rPr>
        <w:t xml:space="preserve">ven </w:t>
      </w:r>
      <w:r w:rsidR="001B7F0A" w:rsidRPr="00263CA6">
        <w:rPr>
          <w:color w:val="000000" w:themeColor="text1"/>
        </w:rPr>
        <w:t xml:space="preserve">implementing </w:t>
      </w:r>
      <w:r w:rsidR="00964523" w:rsidRPr="00263CA6">
        <w:rPr>
          <w:color w:val="000000" w:themeColor="text1"/>
        </w:rPr>
        <w:t xml:space="preserve">small </w:t>
      </w:r>
      <w:r w:rsidR="001B7F0A" w:rsidRPr="00263CA6">
        <w:rPr>
          <w:color w:val="000000" w:themeColor="text1"/>
        </w:rPr>
        <w:t xml:space="preserve">curricula </w:t>
      </w:r>
      <w:r w:rsidR="00964523" w:rsidRPr="00263CA6">
        <w:rPr>
          <w:color w:val="000000" w:themeColor="text1"/>
        </w:rPr>
        <w:t>changes would</w:t>
      </w:r>
      <w:r w:rsidR="0047790D" w:rsidRPr="00263CA6">
        <w:rPr>
          <w:color w:val="000000" w:themeColor="text1"/>
        </w:rPr>
        <w:t>, we argue,</w:t>
      </w:r>
      <w:r w:rsidR="00964523" w:rsidRPr="00263CA6">
        <w:rPr>
          <w:color w:val="000000" w:themeColor="text1"/>
        </w:rPr>
        <w:t xml:space="preserve"> </w:t>
      </w:r>
      <w:r w:rsidR="009429E2" w:rsidRPr="00263CA6">
        <w:rPr>
          <w:color w:val="000000" w:themeColor="text1"/>
        </w:rPr>
        <w:t>have</w:t>
      </w:r>
      <w:r w:rsidR="00BB6E07" w:rsidRPr="00263CA6">
        <w:rPr>
          <w:color w:val="000000" w:themeColor="text1"/>
        </w:rPr>
        <w:t xml:space="preserve"> potential to </w:t>
      </w:r>
      <w:r w:rsidR="00964523" w:rsidRPr="00263CA6">
        <w:rPr>
          <w:color w:val="000000" w:themeColor="text1"/>
        </w:rPr>
        <w:t>have marked impact on population health.</w:t>
      </w:r>
      <w:r w:rsidR="009B6A84" w:rsidRPr="00263CA6">
        <w:rPr>
          <w:color w:val="000000" w:themeColor="text1"/>
        </w:rPr>
        <w:t xml:space="preserve">  If </w:t>
      </w:r>
      <w:r w:rsidR="00C025A1" w:rsidRPr="00263CA6">
        <w:rPr>
          <w:color w:val="000000" w:themeColor="text1"/>
        </w:rPr>
        <w:t xml:space="preserve">nursing </w:t>
      </w:r>
      <w:r w:rsidR="009B6A84" w:rsidRPr="00263CA6">
        <w:rPr>
          <w:color w:val="000000" w:themeColor="text1"/>
        </w:rPr>
        <w:t>is indeed to meaningfully engage beyond individual</w:t>
      </w:r>
      <w:r w:rsidR="004C3A2D" w:rsidRPr="00263CA6">
        <w:rPr>
          <w:color w:val="000000" w:themeColor="text1"/>
        </w:rPr>
        <w:t xml:space="preserve"> and famil</w:t>
      </w:r>
      <w:r w:rsidR="00D96B0D" w:rsidRPr="00263CA6">
        <w:rPr>
          <w:color w:val="000000" w:themeColor="text1"/>
        </w:rPr>
        <w:t>y levels</w:t>
      </w:r>
      <w:r w:rsidR="009B6A84" w:rsidRPr="00263CA6">
        <w:rPr>
          <w:color w:val="000000" w:themeColor="text1"/>
        </w:rPr>
        <w:t>, nurse e</w:t>
      </w:r>
      <w:r w:rsidR="00964523" w:rsidRPr="00263CA6">
        <w:rPr>
          <w:color w:val="000000" w:themeColor="text1"/>
        </w:rPr>
        <w:t>ducatio</w:t>
      </w:r>
      <w:r w:rsidR="009B6A84" w:rsidRPr="00263CA6">
        <w:rPr>
          <w:color w:val="000000" w:themeColor="text1"/>
        </w:rPr>
        <w:t>n</w:t>
      </w:r>
      <w:r w:rsidR="00964523" w:rsidRPr="00263CA6">
        <w:rPr>
          <w:color w:val="000000" w:themeColor="text1"/>
        </w:rPr>
        <w:t xml:space="preserve"> must </w:t>
      </w:r>
      <w:r w:rsidR="00521B71" w:rsidRPr="00263CA6">
        <w:rPr>
          <w:color w:val="000000" w:themeColor="text1"/>
        </w:rPr>
        <w:t xml:space="preserve">help </w:t>
      </w:r>
      <w:r w:rsidR="00F309EE" w:rsidRPr="00263CA6">
        <w:rPr>
          <w:color w:val="000000" w:themeColor="text1"/>
        </w:rPr>
        <w:t>students</w:t>
      </w:r>
      <w:r w:rsidR="00964523" w:rsidRPr="00263CA6">
        <w:rPr>
          <w:color w:val="000000" w:themeColor="text1"/>
        </w:rPr>
        <w:t xml:space="preserve"> connect practice to social determinants, and hence to </w:t>
      </w:r>
      <w:r w:rsidR="009B6A84" w:rsidRPr="00263CA6">
        <w:rPr>
          <w:color w:val="000000" w:themeColor="text1"/>
        </w:rPr>
        <w:t xml:space="preserve">wider </w:t>
      </w:r>
      <w:r w:rsidR="00964523" w:rsidRPr="00263CA6">
        <w:rPr>
          <w:color w:val="000000" w:themeColor="text1"/>
        </w:rPr>
        <w:t>population</w:t>
      </w:r>
      <w:r w:rsidR="00553A1C" w:rsidRPr="00263CA6">
        <w:rPr>
          <w:color w:val="000000" w:themeColor="text1"/>
        </w:rPr>
        <w:t xml:space="preserve">s, whether </w:t>
      </w:r>
      <w:r w:rsidR="009D4839" w:rsidRPr="00263CA6">
        <w:rPr>
          <w:color w:val="000000" w:themeColor="text1"/>
        </w:rPr>
        <w:t xml:space="preserve">housed or not, rich or poor, </w:t>
      </w:r>
      <w:r w:rsidR="0047790D" w:rsidRPr="00263CA6">
        <w:rPr>
          <w:color w:val="000000" w:themeColor="text1"/>
        </w:rPr>
        <w:t>static or mobile</w:t>
      </w:r>
      <w:r w:rsidR="009D4839" w:rsidRPr="00263CA6">
        <w:rPr>
          <w:color w:val="000000" w:themeColor="text1"/>
        </w:rPr>
        <w:t>, local or global</w:t>
      </w:r>
      <w:r w:rsidR="00964523" w:rsidRPr="00263CA6">
        <w:rPr>
          <w:color w:val="000000" w:themeColor="text1"/>
        </w:rPr>
        <w:t>.</w:t>
      </w:r>
      <w:r w:rsidR="00EE2047" w:rsidRPr="00263CA6">
        <w:rPr>
          <w:color w:val="000000" w:themeColor="text1"/>
        </w:rPr>
        <w:t xml:space="preserve"> </w:t>
      </w:r>
      <w:r w:rsidR="006E7C77" w:rsidRPr="00263CA6">
        <w:rPr>
          <w:color w:val="000000" w:themeColor="text1"/>
        </w:rPr>
        <w:t xml:space="preserve">Doing </w:t>
      </w:r>
      <w:r w:rsidR="009B6A84" w:rsidRPr="00263CA6">
        <w:rPr>
          <w:color w:val="000000" w:themeColor="text1"/>
        </w:rPr>
        <w:t xml:space="preserve">this </w:t>
      </w:r>
      <w:r w:rsidR="006E7C77" w:rsidRPr="00263CA6">
        <w:rPr>
          <w:color w:val="000000" w:themeColor="text1"/>
        </w:rPr>
        <w:t xml:space="preserve">is not </w:t>
      </w:r>
      <w:r w:rsidR="00D41862" w:rsidRPr="00263CA6">
        <w:rPr>
          <w:color w:val="000000" w:themeColor="text1"/>
        </w:rPr>
        <w:t>straightforward</w:t>
      </w:r>
      <w:r w:rsidR="00E53DC2" w:rsidRPr="00263CA6">
        <w:rPr>
          <w:color w:val="000000" w:themeColor="text1"/>
        </w:rPr>
        <w:t>; rote learning</w:t>
      </w:r>
      <w:r w:rsidR="009B6A84" w:rsidRPr="00263CA6">
        <w:rPr>
          <w:color w:val="000000" w:themeColor="text1"/>
        </w:rPr>
        <w:t xml:space="preserve"> that remains, stubbornly, in our programmes </w:t>
      </w:r>
      <w:r w:rsidR="00E53DC2" w:rsidRPr="00263CA6">
        <w:rPr>
          <w:color w:val="000000" w:themeColor="text1"/>
        </w:rPr>
        <w:t xml:space="preserve">will not suffice. </w:t>
      </w:r>
      <w:r w:rsidR="009B6A84" w:rsidRPr="00263CA6">
        <w:rPr>
          <w:color w:val="000000" w:themeColor="text1"/>
        </w:rPr>
        <w:t xml:space="preserve">Population health </w:t>
      </w:r>
      <w:r w:rsidR="006E7C77" w:rsidRPr="00263CA6">
        <w:rPr>
          <w:color w:val="000000" w:themeColor="text1"/>
        </w:rPr>
        <w:t>need</w:t>
      </w:r>
      <w:r w:rsidR="009B6A84" w:rsidRPr="00263CA6">
        <w:rPr>
          <w:color w:val="000000" w:themeColor="text1"/>
        </w:rPr>
        <w:t>s</w:t>
      </w:r>
      <w:r w:rsidR="006E7C77" w:rsidRPr="00263CA6">
        <w:rPr>
          <w:color w:val="000000" w:themeColor="text1"/>
        </w:rPr>
        <w:t xml:space="preserve"> to become a</w:t>
      </w:r>
      <w:r w:rsidR="00523F5A" w:rsidRPr="00263CA6">
        <w:rPr>
          <w:color w:val="000000" w:themeColor="text1"/>
        </w:rPr>
        <w:t>n implicit</w:t>
      </w:r>
      <w:r w:rsidR="006E7C77" w:rsidRPr="00263CA6">
        <w:rPr>
          <w:color w:val="000000" w:themeColor="text1"/>
        </w:rPr>
        <w:t xml:space="preserve"> part of</w:t>
      </w:r>
      <w:r w:rsidR="004A62D3" w:rsidRPr="00263CA6">
        <w:rPr>
          <w:color w:val="000000" w:themeColor="text1"/>
        </w:rPr>
        <w:t xml:space="preserve"> nurses’</w:t>
      </w:r>
      <w:r w:rsidR="006E7C77" w:rsidRPr="00263CA6">
        <w:rPr>
          <w:color w:val="000000" w:themeColor="text1"/>
        </w:rPr>
        <w:t xml:space="preserve"> </w:t>
      </w:r>
      <w:r w:rsidR="00523F5A" w:rsidRPr="00263CA6">
        <w:rPr>
          <w:color w:val="000000" w:themeColor="text1"/>
        </w:rPr>
        <w:t>p</w:t>
      </w:r>
      <w:r w:rsidRPr="00263CA6">
        <w:rPr>
          <w:color w:val="000000" w:themeColor="text1"/>
        </w:rPr>
        <w:t>ractise</w:t>
      </w:r>
      <w:r w:rsidR="00516D53" w:rsidRPr="00263CA6">
        <w:rPr>
          <w:color w:val="000000" w:themeColor="text1"/>
        </w:rPr>
        <w:t>s</w:t>
      </w:r>
      <w:r w:rsidR="00523F5A" w:rsidRPr="00263CA6">
        <w:rPr>
          <w:color w:val="000000" w:themeColor="text1"/>
        </w:rPr>
        <w:t xml:space="preserve"> </w:t>
      </w:r>
      <w:r w:rsidR="006E7C77" w:rsidRPr="00263CA6">
        <w:rPr>
          <w:color w:val="000000" w:themeColor="text1"/>
        </w:rPr>
        <w:t>through</w:t>
      </w:r>
      <w:r w:rsidR="00355700" w:rsidRPr="00263CA6">
        <w:rPr>
          <w:color w:val="000000" w:themeColor="text1"/>
        </w:rPr>
        <w:t>out</w:t>
      </w:r>
      <w:r w:rsidR="006E7C77" w:rsidRPr="00263CA6">
        <w:rPr>
          <w:color w:val="000000" w:themeColor="text1"/>
        </w:rPr>
        <w:t xml:space="preserve"> </w:t>
      </w:r>
      <w:r w:rsidR="004A62D3" w:rsidRPr="00263CA6">
        <w:rPr>
          <w:color w:val="000000" w:themeColor="text1"/>
        </w:rPr>
        <w:t>their</w:t>
      </w:r>
      <w:r w:rsidR="006E7C77" w:rsidRPr="00263CA6">
        <w:rPr>
          <w:color w:val="000000" w:themeColor="text1"/>
        </w:rPr>
        <w:t xml:space="preserve"> careers. </w:t>
      </w:r>
      <w:r w:rsidR="001341D3" w:rsidRPr="00263CA6">
        <w:rPr>
          <w:color w:val="000000" w:themeColor="text1"/>
        </w:rPr>
        <w:t>To borrow a phrase, s</w:t>
      </w:r>
      <w:r w:rsidR="00E53DC2" w:rsidRPr="00263CA6">
        <w:rPr>
          <w:color w:val="000000" w:themeColor="text1"/>
        </w:rPr>
        <w:t>tudents need</w:t>
      </w:r>
      <w:r w:rsidR="001341D3" w:rsidRPr="00263CA6">
        <w:rPr>
          <w:color w:val="000000" w:themeColor="text1"/>
        </w:rPr>
        <w:t xml:space="preserve"> </w:t>
      </w:r>
      <w:r w:rsidR="006E7C77" w:rsidRPr="00263CA6">
        <w:rPr>
          <w:color w:val="000000" w:themeColor="text1"/>
        </w:rPr>
        <w:t xml:space="preserve">to develop </w:t>
      </w:r>
      <w:r w:rsidR="00E53DC2" w:rsidRPr="00263CA6">
        <w:rPr>
          <w:color w:val="000000" w:themeColor="text1"/>
        </w:rPr>
        <w:t xml:space="preserve">an </w:t>
      </w:r>
      <w:r w:rsidR="007A3797" w:rsidRPr="00263CA6">
        <w:rPr>
          <w:color w:val="000000" w:themeColor="text1"/>
        </w:rPr>
        <w:t>“</w:t>
      </w:r>
      <w:r w:rsidR="00E53DC2" w:rsidRPr="00263CA6">
        <w:rPr>
          <w:color w:val="000000" w:themeColor="text1"/>
        </w:rPr>
        <w:t xml:space="preserve">epidemiological </w:t>
      </w:r>
      <w:r w:rsidR="00E53DC2" w:rsidRPr="00263CA6">
        <w:rPr>
          <w:color w:val="000000" w:themeColor="text1"/>
        </w:rPr>
        <w:lastRenderedPageBreak/>
        <w:t>imagination</w:t>
      </w:r>
      <w:r w:rsidR="00266903" w:rsidRPr="00263CA6">
        <w:rPr>
          <w:color w:val="000000" w:themeColor="text1"/>
        </w:rPr>
        <w:t xml:space="preserve">” </w:t>
      </w:r>
      <w:r w:rsidR="00266903" w:rsidRPr="00263CA6">
        <w:rPr>
          <w:color w:val="000000" w:themeColor="text1"/>
        </w:rPr>
        <w:fldChar w:fldCharType="begin"/>
      </w:r>
      <w:r w:rsidR="00E95609" w:rsidRPr="00263CA6">
        <w:rPr>
          <w:color w:val="000000" w:themeColor="text1"/>
        </w:rPr>
        <w:instrText xml:space="preserve"> ADDIN EN.CITE &lt;EndNote&gt;&lt;Cite&gt;&lt;Author&gt;Ashton&lt;/Author&gt;&lt;Year&gt;1994&lt;/Year&gt;&lt;IDText&gt;The Epidemiological Imagination: a reader&lt;/IDText&gt;&lt;DisplayText&gt;(Ashton, 1994)&lt;/DisplayText&gt;&lt;record&gt;&lt;titles&gt;&lt;title&gt;The Epidemiological Imagination: a reader&lt;/title&gt;&lt;/titles&gt;&lt;contributors&gt;&lt;authors&gt;&lt;author&gt;Ashton, J.&lt;/author&gt;&lt;/authors&gt;&lt;/contributors&gt;&lt;added-date format="utc"&gt;1452011434&lt;/added-date&gt;&lt;pub-location&gt;Buckinghamshire&lt;/pub-location&gt;&lt;ref-type name="Generic"&gt;13&lt;/ref-type&gt;&lt;dates&gt;&lt;year&gt;1994&lt;/year&gt;&lt;/dates&gt;&lt;rec-number&gt;38&lt;/rec-number&gt;&lt;publisher&gt;Open University Press&lt;/publisher&gt;&lt;last-updated-date format="utc"&gt;1452012408&lt;/last-updated-date&gt;&lt;/record&gt;&lt;/Cite&gt;&lt;/EndNote&gt;</w:instrText>
      </w:r>
      <w:r w:rsidR="00266903" w:rsidRPr="00263CA6">
        <w:rPr>
          <w:color w:val="000000" w:themeColor="text1"/>
        </w:rPr>
        <w:fldChar w:fldCharType="separate"/>
      </w:r>
      <w:r w:rsidR="00E95609" w:rsidRPr="00263CA6">
        <w:rPr>
          <w:noProof/>
          <w:color w:val="000000" w:themeColor="text1"/>
        </w:rPr>
        <w:t>(Ashton, 1994)</w:t>
      </w:r>
      <w:r w:rsidR="00266903" w:rsidRPr="00263CA6">
        <w:rPr>
          <w:color w:val="000000" w:themeColor="text1"/>
        </w:rPr>
        <w:fldChar w:fldCharType="end"/>
      </w:r>
      <w:r w:rsidR="004432F4" w:rsidRPr="00263CA6">
        <w:rPr>
          <w:color w:val="000000" w:themeColor="text1"/>
        </w:rPr>
        <w:t>, creatively linking their practice</w:t>
      </w:r>
      <w:r w:rsidR="00516D53" w:rsidRPr="00263CA6">
        <w:rPr>
          <w:color w:val="000000" w:themeColor="text1"/>
        </w:rPr>
        <w:t>s</w:t>
      </w:r>
      <w:r w:rsidR="004432F4" w:rsidRPr="00263CA6">
        <w:rPr>
          <w:color w:val="000000" w:themeColor="text1"/>
        </w:rPr>
        <w:t xml:space="preserve"> to societal issues</w:t>
      </w:r>
      <w:r w:rsidR="006E7C77" w:rsidRPr="00263CA6">
        <w:rPr>
          <w:color w:val="000000" w:themeColor="text1"/>
        </w:rPr>
        <w:t>.</w:t>
      </w:r>
      <w:r w:rsidR="00E53DC2" w:rsidRPr="00263CA6">
        <w:rPr>
          <w:color w:val="000000" w:themeColor="text1"/>
        </w:rPr>
        <w:t xml:space="preserve"> </w:t>
      </w:r>
      <w:r w:rsidR="009D4839" w:rsidRPr="00263CA6">
        <w:rPr>
          <w:color w:val="000000" w:themeColor="text1"/>
        </w:rPr>
        <w:t>N</w:t>
      </w:r>
      <w:r w:rsidR="00F47960" w:rsidRPr="00263CA6">
        <w:rPr>
          <w:color w:val="000000" w:themeColor="text1"/>
        </w:rPr>
        <w:t xml:space="preserve">urse educators </w:t>
      </w:r>
      <w:r w:rsidR="00E53DC2" w:rsidRPr="00263CA6">
        <w:rPr>
          <w:color w:val="000000" w:themeColor="text1"/>
        </w:rPr>
        <w:t xml:space="preserve">need to become passionate </w:t>
      </w:r>
      <w:r w:rsidR="00DF6C96" w:rsidRPr="00263CA6">
        <w:rPr>
          <w:color w:val="000000" w:themeColor="text1"/>
        </w:rPr>
        <w:t xml:space="preserve">advocates of </w:t>
      </w:r>
      <w:r w:rsidR="00E53DC2" w:rsidRPr="00263CA6">
        <w:rPr>
          <w:color w:val="000000" w:themeColor="text1"/>
        </w:rPr>
        <w:t xml:space="preserve">nursing’s </w:t>
      </w:r>
      <w:r w:rsidRPr="00263CA6">
        <w:rPr>
          <w:color w:val="000000" w:themeColor="text1"/>
        </w:rPr>
        <w:t>societal</w:t>
      </w:r>
      <w:r w:rsidR="00E53DC2" w:rsidRPr="00263CA6">
        <w:rPr>
          <w:color w:val="000000" w:themeColor="text1"/>
        </w:rPr>
        <w:t xml:space="preserve"> role</w:t>
      </w:r>
      <w:r w:rsidR="007A3797" w:rsidRPr="00263CA6">
        <w:rPr>
          <w:color w:val="000000" w:themeColor="text1"/>
        </w:rPr>
        <w:t>, to encourage students to</w:t>
      </w:r>
      <w:r w:rsidR="004E0CA3" w:rsidRPr="00263CA6">
        <w:rPr>
          <w:color w:val="000000" w:themeColor="text1"/>
        </w:rPr>
        <w:t xml:space="preserve"> view all patient encounters as an opportunity to </w:t>
      </w:r>
      <w:r w:rsidR="003C101C" w:rsidRPr="00263CA6">
        <w:rPr>
          <w:color w:val="000000" w:themeColor="text1"/>
        </w:rPr>
        <w:t>link to</w:t>
      </w:r>
      <w:r w:rsidR="004E0CA3" w:rsidRPr="00263CA6">
        <w:rPr>
          <w:color w:val="000000" w:themeColor="text1"/>
        </w:rPr>
        <w:t xml:space="preserve"> broader population</w:t>
      </w:r>
      <w:r w:rsidR="003C101C" w:rsidRPr="00263CA6">
        <w:rPr>
          <w:color w:val="000000" w:themeColor="text1"/>
        </w:rPr>
        <w:t xml:space="preserve"> issues</w:t>
      </w:r>
      <w:r w:rsidR="004E0CA3" w:rsidRPr="00263CA6">
        <w:rPr>
          <w:color w:val="000000" w:themeColor="text1"/>
        </w:rPr>
        <w:t xml:space="preserve">.  Practice then provides authenticity for developing interventions that address wider societal issues and improve health. </w:t>
      </w:r>
      <w:r w:rsidR="00D41862" w:rsidRPr="00263CA6">
        <w:rPr>
          <w:color w:val="000000" w:themeColor="text1"/>
        </w:rPr>
        <w:t>We</w:t>
      </w:r>
      <w:r w:rsidR="00E53DC2" w:rsidRPr="00263CA6">
        <w:rPr>
          <w:color w:val="000000" w:themeColor="text1"/>
        </w:rPr>
        <w:t xml:space="preserve"> hence</w:t>
      </w:r>
      <w:r w:rsidR="004C700D" w:rsidRPr="00263CA6">
        <w:rPr>
          <w:color w:val="000000" w:themeColor="text1"/>
        </w:rPr>
        <w:t xml:space="preserve"> highlight exemplars</w:t>
      </w:r>
      <w:r w:rsidR="0013602D" w:rsidRPr="00263CA6">
        <w:rPr>
          <w:color w:val="000000" w:themeColor="text1"/>
        </w:rPr>
        <w:t xml:space="preserve"> of approaches</w:t>
      </w:r>
      <w:r w:rsidR="00E53DC2" w:rsidRPr="00263CA6">
        <w:rPr>
          <w:color w:val="000000" w:themeColor="text1"/>
        </w:rPr>
        <w:t xml:space="preserve"> that</w:t>
      </w:r>
      <w:r w:rsidR="00D41862" w:rsidRPr="00263CA6">
        <w:rPr>
          <w:color w:val="000000" w:themeColor="text1"/>
        </w:rPr>
        <w:t xml:space="preserve"> </w:t>
      </w:r>
      <w:r w:rsidR="00545C9D" w:rsidRPr="00263CA6">
        <w:rPr>
          <w:color w:val="000000" w:themeColor="text1"/>
        </w:rPr>
        <w:t xml:space="preserve">can </w:t>
      </w:r>
      <w:r w:rsidR="004769B9" w:rsidRPr="00263CA6">
        <w:rPr>
          <w:color w:val="000000" w:themeColor="text1"/>
        </w:rPr>
        <w:t>enthuse and motivate students, and</w:t>
      </w:r>
      <w:r w:rsidR="009B6A84" w:rsidRPr="00263CA6">
        <w:rPr>
          <w:color w:val="000000" w:themeColor="text1"/>
        </w:rPr>
        <w:t xml:space="preserve"> </w:t>
      </w:r>
      <w:r w:rsidR="00945BBA" w:rsidRPr="00263CA6">
        <w:rPr>
          <w:color w:val="000000" w:themeColor="text1"/>
        </w:rPr>
        <w:t>stir passion among educators</w:t>
      </w:r>
      <w:r w:rsidR="00D41862" w:rsidRPr="00263CA6">
        <w:rPr>
          <w:color w:val="000000" w:themeColor="text1"/>
        </w:rPr>
        <w:t xml:space="preserve">. </w:t>
      </w:r>
      <w:r w:rsidR="00B82B9C" w:rsidRPr="00263CA6">
        <w:rPr>
          <w:color w:val="000000" w:themeColor="text1"/>
        </w:rPr>
        <w:t>W</w:t>
      </w:r>
      <w:r w:rsidR="00D41862" w:rsidRPr="00263CA6">
        <w:rPr>
          <w:color w:val="000000" w:themeColor="text1"/>
        </w:rPr>
        <w:t>e start out by making the case for the nursing profession to have population health at its heart.</w:t>
      </w:r>
    </w:p>
    <w:p w14:paraId="1A1C63B7" w14:textId="77777777" w:rsidR="006E7C77" w:rsidRPr="00263CA6" w:rsidRDefault="006E7C77" w:rsidP="00553A1C">
      <w:pPr>
        <w:spacing w:line="480" w:lineRule="auto"/>
        <w:rPr>
          <w:i/>
          <w:color w:val="000000" w:themeColor="text1"/>
        </w:rPr>
      </w:pPr>
    </w:p>
    <w:p w14:paraId="0733B90E" w14:textId="2ED0C72B" w:rsidR="00FC725C" w:rsidRPr="00263CA6" w:rsidRDefault="00FC725C" w:rsidP="00553A1C">
      <w:pPr>
        <w:spacing w:line="480" w:lineRule="auto"/>
        <w:rPr>
          <w:color w:val="000000" w:themeColor="text1"/>
        </w:rPr>
      </w:pPr>
      <w:r w:rsidRPr="00263CA6">
        <w:rPr>
          <w:color w:val="000000" w:themeColor="text1"/>
        </w:rPr>
        <w:t xml:space="preserve">Our case that nurses </w:t>
      </w:r>
      <w:r w:rsidR="00553A1C" w:rsidRPr="00263CA6">
        <w:rPr>
          <w:color w:val="000000" w:themeColor="text1"/>
        </w:rPr>
        <w:t>have</w:t>
      </w:r>
      <w:r w:rsidRPr="00263CA6">
        <w:rPr>
          <w:color w:val="000000" w:themeColor="text1"/>
        </w:rPr>
        <w:t xml:space="preserve"> an unparalleled opportunity for </w:t>
      </w:r>
      <w:r w:rsidR="00C009CB" w:rsidRPr="00263CA6">
        <w:rPr>
          <w:color w:val="000000" w:themeColor="text1"/>
        </w:rPr>
        <w:t xml:space="preserve">enabling population </w:t>
      </w:r>
      <w:r w:rsidRPr="00263CA6">
        <w:rPr>
          <w:color w:val="000000" w:themeColor="text1"/>
        </w:rPr>
        <w:t xml:space="preserve">change is underpinned by the sheer scale of the profession. In the United Kingdom, a third of a million nurses </w:t>
      </w:r>
      <w:r w:rsidR="00521B71" w:rsidRPr="00263CA6">
        <w:rPr>
          <w:color w:val="000000" w:themeColor="text1"/>
        </w:rPr>
        <w:t xml:space="preserve">are </w:t>
      </w:r>
      <w:r w:rsidRPr="00263CA6">
        <w:rPr>
          <w:color w:val="000000" w:themeColor="text1"/>
        </w:rPr>
        <w:t>employed in the state</w:t>
      </w:r>
      <w:r w:rsidR="00553A1C" w:rsidRPr="00263CA6">
        <w:rPr>
          <w:color w:val="000000" w:themeColor="text1"/>
        </w:rPr>
        <w:t>-</w:t>
      </w:r>
      <w:r w:rsidRPr="00263CA6">
        <w:rPr>
          <w:color w:val="000000" w:themeColor="text1"/>
        </w:rPr>
        <w:t xml:space="preserve">run National Health </w:t>
      </w:r>
      <w:r w:rsidR="00266903" w:rsidRPr="00263CA6">
        <w:rPr>
          <w:color w:val="000000" w:themeColor="text1"/>
        </w:rPr>
        <w:t xml:space="preserve">Service </w:t>
      </w:r>
      <w:r w:rsidR="00266903" w:rsidRPr="00263CA6">
        <w:rPr>
          <w:color w:val="000000" w:themeColor="text1"/>
        </w:rPr>
        <w:fldChar w:fldCharType="begin"/>
      </w:r>
      <w:r w:rsidR="00E95609" w:rsidRPr="00263CA6">
        <w:rPr>
          <w:color w:val="000000" w:themeColor="text1"/>
        </w:rPr>
        <w:instrText xml:space="preserve"> ADDIN EN.CITE &lt;EndNote&gt;&lt;Cite&gt;&lt;Author&gt;National Health Service Confederation&lt;/Author&gt;&lt;Year&gt;2015&lt;/Year&gt;&lt;IDText&gt;Key statistics on the NHS&lt;/IDText&gt;&lt;DisplayText&gt;(National Health Service Confederation, 2015)&lt;/DisplayText&gt;&lt;record&gt;&lt;urls&gt;&lt;related-urls&gt;&lt;url&gt;http://www.nhsconfed.org/resources/key-statistics-on-the-nhs&lt;/url&gt;&lt;/related-urls&gt;&lt;/urls&gt;&lt;titles&gt;&lt;title&gt;Key statistics on the NHS&lt;/title&gt;&lt;/titles&gt;&lt;access-date&gt;5th January 2016&lt;/access-date&gt;&lt;contributors&gt;&lt;authors&gt;&lt;author&gt;National Health Service Confederation,.&lt;/author&gt;&lt;/authors&gt;&lt;/contributors&gt;&lt;added-date format="utc"&gt;1452013135&lt;/added-date&gt;&lt;ref-type name="Report"&gt;27&lt;/ref-type&gt;&lt;dates&gt;&lt;year&gt;2015&lt;/year&gt;&lt;/dates&gt;&lt;rec-number&gt;45&lt;/rec-number&gt;&lt;last-updated-date format="utc"&gt;1452014703&lt;/last-updated-date&gt;&lt;/record&gt;&lt;/Cite&gt;&lt;/EndNote&gt;</w:instrText>
      </w:r>
      <w:r w:rsidR="00266903" w:rsidRPr="00263CA6">
        <w:rPr>
          <w:color w:val="000000" w:themeColor="text1"/>
        </w:rPr>
        <w:fldChar w:fldCharType="separate"/>
      </w:r>
      <w:r w:rsidR="00E95609" w:rsidRPr="00263CA6">
        <w:rPr>
          <w:noProof/>
          <w:color w:val="000000" w:themeColor="text1"/>
        </w:rPr>
        <w:t>(National Health Service Confederation, 2015)</w:t>
      </w:r>
      <w:r w:rsidR="00266903" w:rsidRPr="00263CA6">
        <w:rPr>
          <w:color w:val="000000" w:themeColor="text1"/>
        </w:rPr>
        <w:fldChar w:fldCharType="end"/>
      </w:r>
      <w:r w:rsidRPr="00263CA6">
        <w:rPr>
          <w:color w:val="000000" w:themeColor="text1"/>
        </w:rPr>
        <w:t>. That figure does not include those employed by</w:t>
      </w:r>
      <w:r w:rsidR="00941A5F" w:rsidRPr="00263CA6">
        <w:rPr>
          <w:color w:val="000000" w:themeColor="text1"/>
        </w:rPr>
        <w:t xml:space="preserve"> private</w:t>
      </w:r>
      <w:r w:rsidRPr="00263CA6">
        <w:rPr>
          <w:color w:val="000000" w:themeColor="text1"/>
        </w:rPr>
        <w:t xml:space="preserve"> agencies and not for profit organisations. If that </w:t>
      </w:r>
      <w:r w:rsidR="00844579" w:rsidRPr="00263CA6">
        <w:rPr>
          <w:color w:val="000000" w:themeColor="text1"/>
        </w:rPr>
        <w:t>is a force to be reckoned with</w:t>
      </w:r>
      <w:r w:rsidRPr="00263CA6">
        <w:rPr>
          <w:color w:val="000000" w:themeColor="text1"/>
        </w:rPr>
        <w:t>, consider the more than 3 million</w:t>
      </w:r>
      <w:r w:rsidR="00E53DC2" w:rsidRPr="00263CA6">
        <w:rPr>
          <w:color w:val="000000" w:themeColor="text1"/>
        </w:rPr>
        <w:t xml:space="preserve"> registered</w:t>
      </w:r>
      <w:r w:rsidRPr="00263CA6">
        <w:rPr>
          <w:color w:val="000000" w:themeColor="text1"/>
        </w:rPr>
        <w:t xml:space="preserve"> nurses</w:t>
      </w:r>
      <w:r w:rsidR="00844579" w:rsidRPr="00263CA6">
        <w:rPr>
          <w:color w:val="000000" w:themeColor="text1"/>
        </w:rPr>
        <w:t xml:space="preserve"> in the United States</w:t>
      </w:r>
      <w:r w:rsidR="00251D33" w:rsidRPr="00263CA6">
        <w:rPr>
          <w:color w:val="000000" w:themeColor="text1"/>
        </w:rPr>
        <w:t xml:space="preserve"> (US)</w:t>
      </w:r>
      <w:r w:rsidRPr="00263CA6">
        <w:rPr>
          <w:color w:val="000000" w:themeColor="text1"/>
        </w:rPr>
        <w:t xml:space="preserve"> </w:t>
      </w:r>
      <w:r w:rsidR="00266903" w:rsidRPr="00263CA6">
        <w:rPr>
          <w:color w:val="000000" w:themeColor="text1"/>
        </w:rPr>
        <w:fldChar w:fldCharType="begin"/>
      </w:r>
      <w:r w:rsidR="00E95609" w:rsidRPr="00263CA6">
        <w:rPr>
          <w:color w:val="000000" w:themeColor="text1"/>
        </w:rPr>
        <w:instrText xml:space="preserve"> ADDIN EN.CITE &lt;EndNote&gt;&lt;Cite&gt;&lt;Author&gt;American Association of Colleges of Nursing&lt;/Author&gt;&lt;Year&gt;2015&lt;/Year&gt;&lt;IDText&gt;Nursing fact sheet&lt;/IDText&gt;&lt;DisplayText&gt;(American Association of Colleges of Nursing, 2015)&lt;/DisplayText&gt;&lt;record&gt;&lt;urls&gt;&lt;related-urls&gt;&lt;url&gt;&amp;lt;span style=&amp;quot;font-size:12.0pt&lt;/url&gt;&lt;url&gt;mso-bidi-language:AR-SA&amp;quot;&amp;gt;http://www.aacn.nche.edu/media-relations/fact-sheets/nursing-fact-sheet&lt;/url&gt;&lt;/related-urls&gt;&lt;/urls&gt;&lt;titles&gt;&lt;title&gt;Nursing fact sheet&lt;/title&gt;&lt;/titles&gt;&lt;access-date&gt;5th January 2016&lt;/access-date&gt;&lt;contributors&gt;&lt;authors&gt;&lt;author&gt;American Association of Colleges of Nursing,.&lt;/author&gt;&lt;/authors&gt;&lt;/contributors&gt;&lt;added-date format="utc"&gt;1452014876&lt;/added-date&gt;&lt;ref-type name="Report"&gt;27&lt;/ref-type&gt;&lt;dates&gt;&lt;year&gt;2015&lt;/year&gt;&lt;/dates&gt;&lt;rec-number&gt;51&lt;/rec-number&gt;&lt;last-updated-date format="utc"&gt;1452014921&lt;/last-updated-date&gt;&lt;/record&gt;&lt;/Cite&gt;&lt;/EndNote&gt;</w:instrText>
      </w:r>
      <w:r w:rsidR="00266903" w:rsidRPr="00263CA6">
        <w:rPr>
          <w:color w:val="000000" w:themeColor="text1"/>
        </w:rPr>
        <w:fldChar w:fldCharType="separate"/>
      </w:r>
      <w:r w:rsidR="00E95609" w:rsidRPr="00263CA6">
        <w:rPr>
          <w:noProof/>
          <w:color w:val="000000" w:themeColor="text1"/>
        </w:rPr>
        <w:t>(American Association of Colleges of Nursing, 2015)</w:t>
      </w:r>
      <w:r w:rsidR="00266903" w:rsidRPr="00263CA6">
        <w:rPr>
          <w:color w:val="000000" w:themeColor="text1"/>
        </w:rPr>
        <w:fldChar w:fldCharType="end"/>
      </w:r>
      <w:r w:rsidR="00521B71" w:rsidRPr="00263CA6">
        <w:rPr>
          <w:color w:val="000000" w:themeColor="text1"/>
        </w:rPr>
        <w:t>.</w:t>
      </w:r>
      <w:r w:rsidR="006E54B8" w:rsidRPr="00263CA6">
        <w:rPr>
          <w:color w:val="000000" w:themeColor="text1"/>
        </w:rPr>
        <w:t xml:space="preserve"> </w:t>
      </w:r>
      <w:r w:rsidR="00D9312A" w:rsidRPr="00263CA6">
        <w:rPr>
          <w:color w:val="000000" w:themeColor="text1"/>
        </w:rPr>
        <w:t>T</w:t>
      </w:r>
      <w:r w:rsidR="00E53DC2" w:rsidRPr="00263CA6">
        <w:rPr>
          <w:color w:val="000000" w:themeColor="text1"/>
        </w:rPr>
        <w:t xml:space="preserve">hat scale </w:t>
      </w:r>
      <w:r w:rsidR="00D9312A" w:rsidRPr="00263CA6">
        <w:rPr>
          <w:color w:val="000000" w:themeColor="text1"/>
        </w:rPr>
        <w:t>is</w:t>
      </w:r>
      <w:r w:rsidR="00E53DC2" w:rsidRPr="00263CA6">
        <w:rPr>
          <w:color w:val="000000" w:themeColor="text1"/>
        </w:rPr>
        <w:t xml:space="preserve"> reflected worldwide</w:t>
      </w:r>
      <w:r w:rsidR="002F1D6A" w:rsidRPr="00263CA6">
        <w:rPr>
          <w:color w:val="000000" w:themeColor="text1"/>
        </w:rPr>
        <w:t>:</w:t>
      </w:r>
      <w:r w:rsidR="004B552F" w:rsidRPr="00263CA6">
        <w:rPr>
          <w:color w:val="000000" w:themeColor="text1"/>
        </w:rPr>
        <w:t xml:space="preserve"> in Canada, </w:t>
      </w:r>
      <w:r w:rsidR="00041B8A" w:rsidRPr="00263CA6">
        <w:rPr>
          <w:color w:val="000000" w:themeColor="text1"/>
        </w:rPr>
        <w:t>a quarter of a million</w:t>
      </w:r>
      <w:r w:rsidR="00136CF5" w:rsidRPr="00263CA6">
        <w:rPr>
          <w:color w:val="000000" w:themeColor="text1"/>
        </w:rPr>
        <w:t xml:space="preserve"> </w:t>
      </w:r>
      <w:r w:rsidR="00136CF5" w:rsidRPr="00263CA6">
        <w:rPr>
          <w:color w:val="000000" w:themeColor="text1"/>
        </w:rPr>
        <w:fldChar w:fldCharType="begin"/>
      </w:r>
      <w:r w:rsidR="00E95609" w:rsidRPr="00263CA6">
        <w:rPr>
          <w:color w:val="000000" w:themeColor="text1"/>
        </w:rPr>
        <w:instrText xml:space="preserve"> ADDIN EN.CITE &lt;EndNote&gt;&lt;Cite&gt;&lt;Author&gt;Canadian Nurses Association&lt;/Author&gt;&lt;Year&gt;2012&lt;/Year&gt;&lt;IDText&gt;2010 Workforce Profile of Registered Nurses in Canada&lt;/IDText&gt;&lt;DisplayText&gt;(Canadian Nurses Association, 2012)&lt;/DisplayText&gt;&lt;record&gt;&lt;urls&gt;&lt;related-urls&gt;&lt;url&gt;&amp;lt;span style=&amp;quot;font-size:12.0pt&lt;/url&gt;&lt;url&gt;mso-bidi-language:AR-SA&amp;quot;&amp;gt;https://www.cna-aiic.ca/~/media/cna/page-content/pdf-en/2010_rn_snapshot_e.pdf&lt;/url&gt;&lt;/related-urls&gt;&lt;/urls&gt;&lt;titles&gt;&lt;title&gt;2010 Workforce Profile of Registered Nurses in Canada&lt;/title&gt;&lt;/titles&gt;&lt;access-date&gt;5th January 2016&lt;/access-date&gt;&lt;contributors&gt;&lt;authors&gt;&lt;author&gt;Canadian Nurses Association,.&lt;/author&gt;&lt;/authors&gt;&lt;/contributors&gt;&lt;added-date format="utc"&gt;1452011537&lt;/added-date&gt;&lt;pub-location&gt;Ottowa&lt;/pub-location&gt;&lt;ref-type name="Generic"&gt;13&lt;/ref-type&gt;&lt;dates&gt;&lt;year&gt;2012&lt;/year&gt;&lt;/dates&gt;&lt;rec-number&gt;39&lt;/rec-number&gt;&lt;publisher&gt;Canadian Nurses Association&lt;/publisher&gt;&lt;last-updated-date format="utc"&gt;1452016129&lt;/last-updated-date&gt;&lt;/record&gt;&lt;/Cite&gt;&lt;/EndNote&gt;</w:instrText>
      </w:r>
      <w:r w:rsidR="00136CF5" w:rsidRPr="00263CA6">
        <w:rPr>
          <w:color w:val="000000" w:themeColor="text1"/>
        </w:rPr>
        <w:fldChar w:fldCharType="separate"/>
      </w:r>
      <w:r w:rsidR="00E95609" w:rsidRPr="00263CA6">
        <w:rPr>
          <w:noProof/>
          <w:color w:val="000000" w:themeColor="text1"/>
        </w:rPr>
        <w:t>(Canadian Nurses Association, 2012)</w:t>
      </w:r>
      <w:r w:rsidR="00136CF5" w:rsidRPr="00263CA6">
        <w:rPr>
          <w:color w:val="000000" w:themeColor="text1"/>
        </w:rPr>
        <w:fldChar w:fldCharType="end"/>
      </w:r>
      <w:r w:rsidR="005344F3" w:rsidRPr="00263CA6">
        <w:rPr>
          <w:color w:val="000000" w:themeColor="text1"/>
        </w:rPr>
        <w:t>;</w:t>
      </w:r>
      <w:r w:rsidR="002938D8" w:rsidRPr="00263CA6">
        <w:rPr>
          <w:color w:val="000000" w:themeColor="text1"/>
        </w:rPr>
        <w:t xml:space="preserve"> a third of a million</w:t>
      </w:r>
      <w:r w:rsidR="0055432B" w:rsidRPr="00263CA6">
        <w:rPr>
          <w:color w:val="000000" w:themeColor="text1"/>
        </w:rPr>
        <w:t xml:space="preserve"> </w:t>
      </w:r>
      <w:r w:rsidR="00FA195C" w:rsidRPr="00263CA6">
        <w:rPr>
          <w:color w:val="000000" w:themeColor="text1"/>
        </w:rPr>
        <w:t xml:space="preserve">in </w:t>
      </w:r>
      <w:r w:rsidR="0055432B" w:rsidRPr="00263CA6">
        <w:rPr>
          <w:color w:val="000000" w:themeColor="text1"/>
        </w:rPr>
        <w:t>Australia</w:t>
      </w:r>
      <w:r w:rsidR="00266903" w:rsidRPr="00263CA6">
        <w:rPr>
          <w:color w:val="000000" w:themeColor="text1"/>
        </w:rPr>
        <w:t xml:space="preserve">  </w:t>
      </w:r>
      <w:r w:rsidR="00266903" w:rsidRPr="00263CA6">
        <w:rPr>
          <w:color w:val="000000" w:themeColor="text1"/>
        </w:rPr>
        <w:fldChar w:fldCharType="begin"/>
      </w:r>
      <w:r w:rsidR="00E95609" w:rsidRPr="00263CA6">
        <w:rPr>
          <w:color w:val="000000" w:themeColor="text1"/>
        </w:rPr>
        <w:instrText xml:space="preserve"> ADDIN EN.CITE &lt;EndNote&gt;&lt;Cite&gt;&lt;Author&gt;AHPRA&lt;/Author&gt;&lt;Year&gt;2015&lt;/Year&gt;&lt;IDText&gt;Nurse and Midwife Registrant Data: September&lt;/IDText&gt;&lt;DisplayText&gt;(AHPRA, 2015)&lt;/DisplayText&gt;&lt;record&gt;&lt;urls&gt;&lt;related-urls&gt;&lt;url&gt;http://www.nursingmidwiferyboard.gov.au/documents/default.aspx?record=WD15%2F19274&amp;amp;dbid=AP&amp;amp;chksum=MlbZ1dkpHxh6%2FToyKiEr9A%3D%3D&lt;/url&gt;&lt;/related-urls&gt;&lt;/urls&gt;&lt;titles&gt;&lt;title&gt;Nurse and Midwife Registrant Data: September&amp;#xA;2015&lt;/title&gt;&lt;secondary-title&gt;Nursing and Midwifery Board of Australia&lt;/secondary-title&gt;&lt;/titles&gt;&lt;contributors&gt;&lt;authors&gt;&lt;author&gt;AHPRA&lt;/author&gt;&lt;/authors&gt;&lt;/contributors&gt;&lt;added-date format="utc"&gt;1452011082&lt;/added-date&gt;&lt;pub-location&gt;Melbourne&lt;/pub-location&gt;&lt;ref-type name="Report"&gt;27&lt;/ref-type&gt;&lt;dates&gt;&lt;year&gt;2015&lt;/year&gt;&lt;/dates&gt;&lt;rec-number&gt;37&lt;/rec-number&gt;&lt;last-updated-date format="utc"&gt;1452012674&lt;/last-updated-date&gt;&lt;/record&gt;&lt;/Cite&gt;&lt;/EndNote&gt;</w:instrText>
      </w:r>
      <w:r w:rsidR="00266903" w:rsidRPr="00263CA6">
        <w:rPr>
          <w:color w:val="000000" w:themeColor="text1"/>
        </w:rPr>
        <w:fldChar w:fldCharType="separate"/>
      </w:r>
      <w:r w:rsidR="00E95609" w:rsidRPr="00263CA6">
        <w:rPr>
          <w:noProof/>
          <w:color w:val="000000" w:themeColor="text1"/>
        </w:rPr>
        <w:t>(AHPRA, 2015)</w:t>
      </w:r>
      <w:r w:rsidR="00266903" w:rsidRPr="00263CA6">
        <w:rPr>
          <w:color w:val="000000" w:themeColor="text1"/>
        </w:rPr>
        <w:fldChar w:fldCharType="end"/>
      </w:r>
      <w:r w:rsidR="002938D8" w:rsidRPr="00263CA6">
        <w:rPr>
          <w:color w:val="000000" w:themeColor="text1"/>
        </w:rPr>
        <w:t xml:space="preserve">; </w:t>
      </w:r>
      <w:r w:rsidR="002F1D6A" w:rsidRPr="00263CA6">
        <w:rPr>
          <w:color w:val="000000" w:themeColor="text1"/>
        </w:rPr>
        <w:t xml:space="preserve">and </w:t>
      </w:r>
      <w:r w:rsidR="002938D8" w:rsidRPr="00263CA6">
        <w:rPr>
          <w:color w:val="000000" w:themeColor="text1"/>
        </w:rPr>
        <w:t xml:space="preserve">a quarter </w:t>
      </w:r>
      <w:r w:rsidR="002F1D6A" w:rsidRPr="00263CA6">
        <w:rPr>
          <w:color w:val="000000" w:themeColor="text1"/>
        </w:rPr>
        <w:t>of a million</w:t>
      </w:r>
      <w:r w:rsidR="002938D8" w:rsidRPr="00263CA6">
        <w:rPr>
          <w:color w:val="000000" w:themeColor="text1"/>
        </w:rPr>
        <w:t xml:space="preserve"> in </w:t>
      </w:r>
      <w:r w:rsidR="00C94F7B" w:rsidRPr="00263CA6">
        <w:rPr>
          <w:color w:val="000000" w:themeColor="text1"/>
        </w:rPr>
        <w:t xml:space="preserve">South Africa </w:t>
      </w:r>
      <w:r w:rsidR="00266903" w:rsidRPr="00263CA6">
        <w:rPr>
          <w:color w:val="000000" w:themeColor="text1"/>
        </w:rPr>
        <w:fldChar w:fldCharType="begin"/>
      </w:r>
      <w:r w:rsidR="00E95609" w:rsidRPr="00263CA6">
        <w:rPr>
          <w:color w:val="000000" w:themeColor="text1"/>
        </w:rPr>
        <w:instrText xml:space="preserve"> ADDIN EN.CITE &lt;EndNote&gt;&lt;Cite&gt;&lt;Author&gt;South African Nursing Council&lt;/Author&gt;&lt;Year&gt;2015&lt;/Year&gt;&lt;IDText&gt;Growth in the registers and rolls 2005-2014&lt;/IDText&gt;&lt;DisplayText&gt;(South African Nursing Council, 2015)&lt;/DisplayText&gt;&lt;record&gt;&lt;urls&gt;&lt;related-urls&gt;&lt;url&gt;http://www.sanc.co.za/stats/stat_ts/Growth/Growth%202005-2014.pdf&lt;/url&gt;&lt;/related-urls&gt;&lt;/urls&gt;&lt;titles&gt;&lt;title&gt;Growth in the registers and rolls 2005-2014&lt;/title&gt;&lt;/titles&gt;&lt;access-date&gt;5th January 2016&lt;/access-date&gt;&lt;contributors&gt;&lt;authors&gt;&lt;author&gt;South African Nursing Council,.&lt;/author&gt;&lt;/authors&gt;&lt;/contributors&gt;&lt;added-date format="utc"&gt;1452013683&lt;/added-date&gt;&lt;ref-type name="Report"&gt;27&lt;/ref-type&gt;&lt;dates&gt;&lt;year&gt;2015&lt;/year&gt;&lt;/dates&gt;&lt;rec-number&gt;48&lt;/rec-number&gt;&lt;publisher&gt;South African Nursing Council&lt;/publisher&gt;&lt;last-updated-date format="utc"&gt;1452015070&lt;/last-updated-date&gt;&lt;/record&gt;&lt;/Cite&gt;&lt;/EndNote&gt;</w:instrText>
      </w:r>
      <w:r w:rsidR="00266903" w:rsidRPr="00263CA6">
        <w:rPr>
          <w:color w:val="000000" w:themeColor="text1"/>
        </w:rPr>
        <w:fldChar w:fldCharType="separate"/>
      </w:r>
      <w:r w:rsidR="00E95609" w:rsidRPr="00263CA6">
        <w:rPr>
          <w:noProof/>
          <w:color w:val="000000" w:themeColor="text1"/>
        </w:rPr>
        <w:t>(South African Nursing Council, 2015)</w:t>
      </w:r>
      <w:r w:rsidR="00266903" w:rsidRPr="00263CA6">
        <w:rPr>
          <w:color w:val="000000" w:themeColor="text1"/>
        </w:rPr>
        <w:fldChar w:fldCharType="end"/>
      </w:r>
      <w:r w:rsidR="002F1D6A" w:rsidRPr="00263CA6">
        <w:rPr>
          <w:color w:val="000000" w:themeColor="text1"/>
        </w:rPr>
        <w:t>.</w:t>
      </w:r>
      <w:r w:rsidR="00C94F7B" w:rsidRPr="00263CA6">
        <w:rPr>
          <w:color w:val="000000" w:themeColor="text1"/>
        </w:rPr>
        <w:t xml:space="preserve"> </w:t>
      </w:r>
    </w:p>
    <w:p w14:paraId="0F46A13A" w14:textId="77777777" w:rsidR="006E54B8" w:rsidRPr="00263CA6" w:rsidRDefault="006E54B8" w:rsidP="00553A1C">
      <w:pPr>
        <w:spacing w:line="480" w:lineRule="auto"/>
        <w:rPr>
          <w:color w:val="000000" w:themeColor="text1"/>
        </w:rPr>
      </w:pPr>
    </w:p>
    <w:p w14:paraId="23A3EA04" w14:textId="605255A0" w:rsidR="006E54B8" w:rsidRPr="00263CA6" w:rsidRDefault="00713F09" w:rsidP="00553A1C">
      <w:pPr>
        <w:spacing w:line="480" w:lineRule="auto"/>
        <w:rPr>
          <w:color w:val="000000" w:themeColor="text1"/>
        </w:rPr>
      </w:pPr>
      <w:r w:rsidRPr="00263CA6">
        <w:rPr>
          <w:color w:val="000000" w:themeColor="text1"/>
        </w:rPr>
        <w:t>S</w:t>
      </w:r>
      <w:r w:rsidR="006E54B8" w:rsidRPr="00263CA6">
        <w:rPr>
          <w:color w:val="000000" w:themeColor="text1"/>
        </w:rPr>
        <w:t xml:space="preserve">heer numbers </w:t>
      </w:r>
      <w:r w:rsidRPr="00263CA6">
        <w:rPr>
          <w:color w:val="000000" w:themeColor="text1"/>
        </w:rPr>
        <w:t>count</w:t>
      </w:r>
      <w:r w:rsidR="00BD39EB" w:rsidRPr="00263CA6">
        <w:rPr>
          <w:color w:val="000000" w:themeColor="text1"/>
        </w:rPr>
        <w:t>, especially</w:t>
      </w:r>
      <w:r w:rsidRPr="00263CA6">
        <w:rPr>
          <w:color w:val="000000" w:themeColor="text1"/>
        </w:rPr>
        <w:t xml:space="preserve"> </w:t>
      </w:r>
      <w:r w:rsidR="00630E7E" w:rsidRPr="00263CA6">
        <w:rPr>
          <w:color w:val="000000" w:themeColor="text1"/>
        </w:rPr>
        <w:t>if</w:t>
      </w:r>
      <w:r w:rsidR="006E54B8" w:rsidRPr="00263CA6">
        <w:rPr>
          <w:color w:val="000000" w:themeColor="text1"/>
        </w:rPr>
        <w:t xml:space="preserve"> considered through the lens of Rose’s Prevention Paradox </w:t>
      </w:r>
      <w:r w:rsidR="00266903" w:rsidRPr="00263CA6">
        <w:rPr>
          <w:color w:val="000000" w:themeColor="text1"/>
        </w:rPr>
        <w:fldChar w:fldCharType="begin"/>
      </w:r>
      <w:r w:rsidR="00E95609" w:rsidRPr="00263CA6">
        <w:rPr>
          <w:color w:val="000000" w:themeColor="text1"/>
        </w:rPr>
        <w:instrText xml:space="preserve"> ADDIN EN.CITE &lt;EndNote&gt;&lt;Cite&gt;&lt;Author&gt;Rose&lt;/Author&gt;&lt;Year&gt;2001&lt;/Year&gt;&lt;IDText&gt;Sick individuals and sick populatioins&lt;/IDText&gt;&lt;DisplayText&gt;(Rose, 2001)&lt;/DisplayText&gt;&lt;record&gt;&lt;titles&gt;&lt;title&gt;Sick individuals and sick populatioins&lt;/title&gt;&lt;secondary-title&gt;International journal of epidemiology&lt;/secondary-title&gt;&lt;/titles&gt;&lt;pages&gt;427-432&lt;/pages&gt;&lt;number&gt;3&lt;/number&gt;&lt;contributors&gt;&lt;authors&gt;&lt;author&gt;Rose, G.&lt;/author&gt;&lt;/authors&gt;&lt;/contributors&gt;&lt;added-date format="utc"&gt;1452013606&lt;/added-date&gt;&lt;ref-type name="Journal Article"&gt;17&lt;/ref-type&gt;&lt;dates&gt;&lt;year&gt;2001&lt;/year&gt;&lt;/dates&gt;&lt;rec-number&gt;47&lt;/rec-number&gt;&lt;last-updated-date format="utc"&gt;1452013655&lt;/last-updated-date&gt;&lt;volume&gt;30&lt;/volume&gt;&lt;/record&gt;&lt;/Cite&gt;&lt;/EndNote&gt;</w:instrText>
      </w:r>
      <w:r w:rsidR="00266903" w:rsidRPr="00263CA6">
        <w:rPr>
          <w:color w:val="000000" w:themeColor="text1"/>
        </w:rPr>
        <w:fldChar w:fldCharType="separate"/>
      </w:r>
      <w:r w:rsidR="00E95609" w:rsidRPr="00263CA6">
        <w:rPr>
          <w:noProof/>
          <w:color w:val="000000" w:themeColor="text1"/>
        </w:rPr>
        <w:t>(Rose, 2001)</w:t>
      </w:r>
      <w:r w:rsidR="00266903" w:rsidRPr="00263CA6">
        <w:rPr>
          <w:color w:val="000000" w:themeColor="text1"/>
        </w:rPr>
        <w:fldChar w:fldCharType="end"/>
      </w:r>
      <w:r w:rsidR="006E54B8" w:rsidRPr="00263CA6">
        <w:rPr>
          <w:color w:val="000000" w:themeColor="text1"/>
        </w:rPr>
        <w:t xml:space="preserve">. This paradox suggests that small changes made by many will have </w:t>
      </w:r>
      <w:r w:rsidR="00553A1C" w:rsidRPr="00263CA6">
        <w:rPr>
          <w:color w:val="000000" w:themeColor="text1"/>
        </w:rPr>
        <w:t xml:space="preserve">a </w:t>
      </w:r>
      <w:r w:rsidR="002F1D6A" w:rsidRPr="00263CA6">
        <w:rPr>
          <w:color w:val="000000" w:themeColor="text1"/>
        </w:rPr>
        <w:t xml:space="preserve">profound </w:t>
      </w:r>
      <w:r w:rsidR="006E54B8" w:rsidRPr="00263CA6">
        <w:rPr>
          <w:color w:val="000000" w:themeColor="text1"/>
        </w:rPr>
        <w:t>impact</w:t>
      </w:r>
      <w:r w:rsidR="002F1D6A" w:rsidRPr="00263CA6">
        <w:rPr>
          <w:color w:val="000000" w:themeColor="text1"/>
        </w:rPr>
        <w:t xml:space="preserve"> at the population level</w:t>
      </w:r>
      <w:r w:rsidR="00630E7E" w:rsidRPr="00263CA6">
        <w:rPr>
          <w:color w:val="000000" w:themeColor="text1"/>
        </w:rPr>
        <w:t xml:space="preserve">. Conversely, interventions that are notable for individuals will often have little to no </w:t>
      </w:r>
      <w:r w:rsidR="00630E7E" w:rsidRPr="00263CA6">
        <w:rPr>
          <w:color w:val="000000" w:themeColor="text1"/>
        </w:rPr>
        <w:lastRenderedPageBreak/>
        <w:t xml:space="preserve">discernible effects when the macro-scale is considered. </w:t>
      </w:r>
      <w:r w:rsidR="00D9312A" w:rsidRPr="00263CA6">
        <w:rPr>
          <w:color w:val="000000" w:themeColor="text1"/>
        </w:rPr>
        <w:t>T</w:t>
      </w:r>
      <w:r w:rsidR="00630E7E" w:rsidRPr="00263CA6">
        <w:rPr>
          <w:color w:val="000000" w:themeColor="text1"/>
        </w:rPr>
        <w:t>rends</w:t>
      </w:r>
      <w:r w:rsidR="0020186D" w:rsidRPr="00263CA6">
        <w:rPr>
          <w:color w:val="000000" w:themeColor="text1"/>
        </w:rPr>
        <w:t xml:space="preserve"> outlined</w:t>
      </w:r>
      <w:r w:rsidR="00630E7E" w:rsidRPr="00263CA6">
        <w:rPr>
          <w:color w:val="000000" w:themeColor="text1"/>
        </w:rPr>
        <w:t xml:space="preserve"> in the introduction are issues that affect many and threaten to overwhelm </w:t>
      </w:r>
      <w:r w:rsidR="002E2E8D" w:rsidRPr="00263CA6">
        <w:rPr>
          <w:color w:val="000000" w:themeColor="text1"/>
        </w:rPr>
        <w:t>health and social care services. It is these large-scale issues that are a source of social injustice. But</w:t>
      </w:r>
      <w:r w:rsidR="00630E7E" w:rsidRPr="00263CA6">
        <w:rPr>
          <w:color w:val="000000" w:themeColor="text1"/>
        </w:rPr>
        <w:t xml:space="preserve"> </w:t>
      </w:r>
      <w:r w:rsidR="002E2E8D" w:rsidRPr="00263CA6">
        <w:rPr>
          <w:color w:val="000000" w:themeColor="text1"/>
        </w:rPr>
        <w:t>g</w:t>
      </w:r>
      <w:r w:rsidR="006E54B8" w:rsidRPr="00263CA6">
        <w:rPr>
          <w:color w:val="000000" w:themeColor="text1"/>
        </w:rPr>
        <w:t>iven the scale of the</w:t>
      </w:r>
      <w:r w:rsidR="002E2E8D" w:rsidRPr="00263CA6">
        <w:rPr>
          <w:color w:val="000000" w:themeColor="text1"/>
        </w:rPr>
        <w:t xml:space="preserve"> nursing</w:t>
      </w:r>
      <w:r w:rsidR="006E54B8" w:rsidRPr="00263CA6">
        <w:rPr>
          <w:color w:val="000000" w:themeColor="text1"/>
        </w:rPr>
        <w:t xml:space="preserve"> profession, even small changes in engagement with population health </w:t>
      </w:r>
      <w:r w:rsidR="00B82B9C" w:rsidRPr="00263CA6">
        <w:rPr>
          <w:color w:val="000000" w:themeColor="text1"/>
        </w:rPr>
        <w:t>c</w:t>
      </w:r>
      <w:r w:rsidR="006E54B8" w:rsidRPr="00263CA6">
        <w:rPr>
          <w:color w:val="000000" w:themeColor="text1"/>
        </w:rPr>
        <w:t xml:space="preserve">ould have marked impact. </w:t>
      </w:r>
    </w:p>
    <w:p w14:paraId="6B91053B" w14:textId="77777777" w:rsidR="006E54B8" w:rsidRPr="00263CA6" w:rsidRDefault="006E54B8" w:rsidP="00553A1C">
      <w:pPr>
        <w:spacing w:line="480" w:lineRule="auto"/>
        <w:rPr>
          <w:color w:val="000000" w:themeColor="text1"/>
        </w:rPr>
      </w:pPr>
    </w:p>
    <w:p w14:paraId="35828AF7" w14:textId="4E655C9F" w:rsidR="006E54B8" w:rsidRPr="00263CA6" w:rsidRDefault="002E2E8D" w:rsidP="00553A1C">
      <w:pPr>
        <w:spacing w:line="480" w:lineRule="auto"/>
        <w:rPr>
          <w:color w:val="000000" w:themeColor="text1"/>
        </w:rPr>
      </w:pPr>
      <w:r w:rsidRPr="00263CA6">
        <w:rPr>
          <w:color w:val="000000" w:themeColor="text1"/>
        </w:rPr>
        <w:t>Individual n</w:t>
      </w:r>
      <w:r w:rsidR="006E54B8" w:rsidRPr="00263CA6">
        <w:rPr>
          <w:color w:val="000000" w:themeColor="text1"/>
        </w:rPr>
        <w:t>ursing practice</w:t>
      </w:r>
      <w:r w:rsidR="00553A1C" w:rsidRPr="00263CA6">
        <w:rPr>
          <w:color w:val="000000" w:themeColor="text1"/>
        </w:rPr>
        <w:t>s</w:t>
      </w:r>
      <w:r w:rsidR="006E54B8" w:rsidRPr="00263CA6">
        <w:rPr>
          <w:color w:val="000000" w:themeColor="text1"/>
        </w:rPr>
        <w:t xml:space="preserve"> can impact population health</w:t>
      </w:r>
      <w:r w:rsidR="00B37004" w:rsidRPr="00263CA6">
        <w:rPr>
          <w:color w:val="000000" w:themeColor="text1"/>
        </w:rPr>
        <w:t xml:space="preserve"> in a multitude of ways</w:t>
      </w:r>
      <w:r w:rsidR="003F3B41" w:rsidRPr="00263CA6">
        <w:rPr>
          <w:color w:val="000000" w:themeColor="text1"/>
        </w:rPr>
        <w:t xml:space="preserve">: making services accessible to those in marginalised situations; </w:t>
      </w:r>
      <w:r w:rsidR="0022575D" w:rsidRPr="00263CA6">
        <w:rPr>
          <w:color w:val="000000" w:themeColor="text1"/>
        </w:rPr>
        <w:t>enabling</w:t>
      </w:r>
      <w:r w:rsidR="000E5EA5" w:rsidRPr="00263CA6">
        <w:rPr>
          <w:color w:val="000000" w:themeColor="text1"/>
        </w:rPr>
        <w:t xml:space="preserve"> clients’</w:t>
      </w:r>
      <w:r w:rsidR="0022575D" w:rsidRPr="00263CA6">
        <w:rPr>
          <w:color w:val="000000" w:themeColor="text1"/>
        </w:rPr>
        <w:t xml:space="preserve"> access to resources to which they have a right;</w:t>
      </w:r>
      <w:r w:rsidR="003F3B41" w:rsidRPr="00263CA6">
        <w:rPr>
          <w:color w:val="000000" w:themeColor="text1"/>
        </w:rPr>
        <w:t xml:space="preserve"> or to find more suitable housing</w:t>
      </w:r>
      <w:r w:rsidR="006E54B8" w:rsidRPr="00263CA6">
        <w:rPr>
          <w:color w:val="000000" w:themeColor="text1"/>
        </w:rPr>
        <w:t xml:space="preserve">. </w:t>
      </w:r>
      <w:r w:rsidR="005312E6" w:rsidRPr="00263CA6">
        <w:rPr>
          <w:color w:val="000000" w:themeColor="text1"/>
        </w:rPr>
        <w:t xml:space="preserve"> </w:t>
      </w:r>
      <w:r w:rsidR="003F3B41" w:rsidRPr="00263CA6">
        <w:rPr>
          <w:color w:val="000000" w:themeColor="text1"/>
        </w:rPr>
        <w:t>N</w:t>
      </w:r>
      <w:r w:rsidR="005312E6" w:rsidRPr="00263CA6">
        <w:rPr>
          <w:color w:val="000000" w:themeColor="text1"/>
        </w:rPr>
        <w:t>urses</w:t>
      </w:r>
      <w:r w:rsidR="00937210" w:rsidRPr="00263CA6">
        <w:rPr>
          <w:color w:val="000000" w:themeColor="text1"/>
        </w:rPr>
        <w:t xml:space="preserve"> </w:t>
      </w:r>
      <w:r w:rsidR="00B1258A" w:rsidRPr="00263CA6">
        <w:rPr>
          <w:color w:val="000000" w:themeColor="text1"/>
        </w:rPr>
        <w:t>in</w:t>
      </w:r>
      <w:r w:rsidR="00937210" w:rsidRPr="00263CA6">
        <w:rPr>
          <w:color w:val="000000" w:themeColor="text1"/>
        </w:rPr>
        <w:t xml:space="preserve"> both community and</w:t>
      </w:r>
      <w:r w:rsidR="00B1258A" w:rsidRPr="00263CA6">
        <w:rPr>
          <w:color w:val="000000" w:themeColor="text1"/>
        </w:rPr>
        <w:t xml:space="preserve"> acute care settings</w:t>
      </w:r>
      <w:r w:rsidR="00937210" w:rsidRPr="00263CA6">
        <w:rPr>
          <w:color w:val="000000" w:themeColor="text1"/>
        </w:rPr>
        <w:t xml:space="preserve"> </w:t>
      </w:r>
      <w:r w:rsidR="005312E6" w:rsidRPr="00263CA6">
        <w:rPr>
          <w:color w:val="000000" w:themeColor="text1"/>
        </w:rPr>
        <w:t>are</w:t>
      </w:r>
      <w:r w:rsidR="003F3B41" w:rsidRPr="00263CA6">
        <w:rPr>
          <w:color w:val="000000" w:themeColor="text1"/>
        </w:rPr>
        <w:t xml:space="preserve"> ideally placed to be</w:t>
      </w:r>
      <w:r w:rsidR="005312E6" w:rsidRPr="00263CA6">
        <w:rPr>
          <w:color w:val="000000" w:themeColor="text1"/>
        </w:rPr>
        <w:t xml:space="preserve"> at the h</w:t>
      </w:r>
      <w:r w:rsidR="00596477" w:rsidRPr="00263CA6">
        <w:rPr>
          <w:color w:val="000000" w:themeColor="text1"/>
        </w:rPr>
        <w:t>eart of all those interventions</w:t>
      </w:r>
      <w:r w:rsidR="005312E6" w:rsidRPr="00263CA6">
        <w:rPr>
          <w:color w:val="000000" w:themeColor="text1"/>
        </w:rPr>
        <w:t xml:space="preserve"> and many others. </w:t>
      </w:r>
      <w:r w:rsidR="00B1258A" w:rsidRPr="00263CA6">
        <w:rPr>
          <w:color w:val="000000" w:themeColor="text1"/>
        </w:rPr>
        <w:t>They</w:t>
      </w:r>
      <w:r w:rsidR="005312E6" w:rsidRPr="00263CA6">
        <w:rPr>
          <w:color w:val="000000" w:themeColor="text1"/>
        </w:rPr>
        <w:t xml:space="preserve"> </w:t>
      </w:r>
      <w:r w:rsidR="00937210" w:rsidRPr="00263CA6">
        <w:rPr>
          <w:color w:val="000000" w:themeColor="text1"/>
        </w:rPr>
        <w:t>can</w:t>
      </w:r>
      <w:r w:rsidR="005312E6" w:rsidRPr="00263CA6">
        <w:rPr>
          <w:color w:val="000000" w:themeColor="text1"/>
        </w:rPr>
        <w:t xml:space="preserve"> influence, encourage, </w:t>
      </w:r>
      <w:r w:rsidR="00DE05C0" w:rsidRPr="00263CA6">
        <w:rPr>
          <w:color w:val="000000" w:themeColor="text1"/>
        </w:rPr>
        <w:t xml:space="preserve">and </w:t>
      </w:r>
      <w:r w:rsidR="005312E6" w:rsidRPr="00263CA6">
        <w:rPr>
          <w:color w:val="000000" w:themeColor="text1"/>
        </w:rPr>
        <w:t>facilitate</w:t>
      </w:r>
      <w:r w:rsidRPr="00263CA6">
        <w:rPr>
          <w:color w:val="000000" w:themeColor="text1"/>
        </w:rPr>
        <w:t xml:space="preserve">. They can </w:t>
      </w:r>
      <w:r w:rsidR="005312E6" w:rsidRPr="00263CA6">
        <w:rPr>
          <w:color w:val="000000" w:themeColor="text1"/>
        </w:rPr>
        <w:t xml:space="preserve">advocate </w:t>
      </w:r>
      <w:r w:rsidRPr="00263CA6">
        <w:rPr>
          <w:color w:val="000000" w:themeColor="text1"/>
        </w:rPr>
        <w:t>for</w:t>
      </w:r>
      <w:r w:rsidR="00521B71" w:rsidRPr="00263CA6">
        <w:rPr>
          <w:color w:val="000000" w:themeColor="text1"/>
        </w:rPr>
        <w:t xml:space="preserve"> the significance</w:t>
      </w:r>
      <w:r w:rsidR="005312E6" w:rsidRPr="00263CA6">
        <w:rPr>
          <w:color w:val="000000" w:themeColor="text1"/>
        </w:rPr>
        <w:t xml:space="preserve"> </w:t>
      </w:r>
      <w:r w:rsidRPr="00263CA6">
        <w:rPr>
          <w:color w:val="000000" w:themeColor="text1"/>
        </w:rPr>
        <w:t xml:space="preserve">of these interventions </w:t>
      </w:r>
      <w:r w:rsidR="00937210" w:rsidRPr="00263CA6">
        <w:rPr>
          <w:color w:val="000000" w:themeColor="text1"/>
        </w:rPr>
        <w:t xml:space="preserve">among </w:t>
      </w:r>
      <w:r w:rsidR="005312E6" w:rsidRPr="00263CA6">
        <w:rPr>
          <w:color w:val="000000" w:themeColor="text1"/>
        </w:rPr>
        <w:t>fellow health care professionals</w:t>
      </w:r>
      <w:r w:rsidRPr="00263CA6">
        <w:rPr>
          <w:color w:val="000000" w:themeColor="text1"/>
        </w:rPr>
        <w:t xml:space="preserve">, highlighting </w:t>
      </w:r>
      <w:r w:rsidR="00B1258A" w:rsidRPr="00263CA6">
        <w:rPr>
          <w:color w:val="000000" w:themeColor="text1"/>
        </w:rPr>
        <w:t>benefits</w:t>
      </w:r>
      <w:r w:rsidRPr="00263CA6">
        <w:rPr>
          <w:color w:val="000000" w:themeColor="text1"/>
        </w:rPr>
        <w:t xml:space="preserve"> even if effects are delayed and not apparent</w:t>
      </w:r>
      <w:r w:rsidR="00B1258A" w:rsidRPr="00263CA6">
        <w:rPr>
          <w:color w:val="000000" w:themeColor="text1"/>
        </w:rPr>
        <w:t xml:space="preserve"> in the short term</w:t>
      </w:r>
      <w:r w:rsidR="005312E6" w:rsidRPr="00263CA6">
        <w:rPr>
          <w:color w:val="000000" w:themeColor="text1"/>
        </w:rPr>
        <w:t xml:space="preserve">. </w:t>
      </w:r>
    </w:p>
    <w:p w14:paraId="4E2432AA" w14:textId="77777777" w:rsidR="005312E6" w:rsidRPr="00263CA6" w:rsidRDefault="005312E6" w:rsidP="00553A1C">
      <w:pPr>
        <w:spacing w:line="480" w:lineRule="auto"/>
        <w:rPr>
          <w:color w:val="000000" w:themeColor="text1"/>
        </w:rPr>
      </w:pPr>
    </w:p>
    <w:p w14:paraId="0BBC90FB" w14:textId="3C24AF24" w:rsidR="005312E6" w:rsidRPr="00263CA6" w:rsidRDefault="005312E6" w:rsidP="00553A1C">
      <w:pPr>
        <w:spacing w:line="480" w:lineRule="auto"/>
        <w:rPr>
          <w:color w:val="000000" w:themeColor="text1"/>
        </w:rPr>
      </w:pPr>
      <w:r w:rsidRPr="00263CA6">
        <w:rPr>
          <w:color w:val="000000" w:themeColor="text1"/>
        </w:rPr>
        <w:t>These interventions are beneficial to everyone in society, but particularly so for those whose health is poorest; the most marginalised in society.  Yet</w:t>
      </w:r>
      <w:r w:rsidR="00AD1E06" w:rsidRPr="00263CA6">
        <w:rPr>
          <w:color w:val="000000" w:themeColor="text1"/>
        </w:rPr>
        <w:t>,</w:t>
      </w:r>
      <w:r w:rsidRPr="00263CA6">
        <w:rPr>
          <w:color w:val="000000" w:themeColor="text1"/>
        </w:rPr>
        <w:t xml:space="preserve"> it is people in these groups who are often the least likely to </w:t>
      </w:r>
      <w:r w:rsidR="005A5B8C" w:rsidRPr="00263CA6">
        <w:rPr>
          <w:color w:val="000000" w:themeColor="text1"/>
        </w:rPr>
        <w:t xml:space="preserve">utilise the services they so badly need, a theory referred to as the Inverse Care Law </w:t>
      </w:r>
      <w:r w:rsidR="00167974" w:rsidRPr="00263CA6">
        <w:rPr>
          <w:color w:val="000000" w:themeColor="text1"/>
        </w:rPr>
        <w:fldChar w:fldCharType="begin"/>
      </w:r>
      <w:r w:rsidR="00E95609" w:rsidRPr="00263CA6">
        <w:rPr>
          <w:color w:val="000000" w:themeColor="text1"/>
        </w:rPr>
        <w:instrText xml:space="preserve"> ADDIN EN.CITE &lt;EndNote&gt;&lt;Cite&gt;&lt;Author&gt;Hart&lt;/Author&gt;&lt;Year&gt;1971&lt;/Year&gt;&lt;IDText&gt;The Inverse Care Law&lt;/IDText&gt;&lt;DisplayText&gt;(Hart, 1971)&lt;/DisplayText&gt;&lt;record&gt;&lt;titles&gt;&lt;title&gt;The Inverse Care Law&lt;/title&gt;&lt;secondary-title&gt;The Lancet&lt;/secondary-title&gt;&lt;/titles&gt;&lt;pages&gt;405-412&lt;/pages&gt;&lt;number&gt;7696&lt;/number&gt;&lt;contributors&gt;&lt;authors&gt;&lt;author&gt;Hart, J.T.&lt;/author&gt;&lt;/authors&gt;&lt;/contributors&gt;&lt;added-date format="utc"&gt;1452011996&lt;/added-date&gt;&lt;ref-type name="Journal Article"&gt;17&lt;/ref-type&gt;&lt;dates&gt;&lt;year&gt;1971&lt;/year&gt;&lt;/dates&gt;&lt;rec-number&gt;41&lt;/rec-number&gt;&lt;last-updated-date format="utc"&gt;1452012448&lt;/last-updated-date&gt;&lt;electronic-resource-num&gt;http://dx.doi.org/10.1016/S0140-6736(71)92410-X&lt;/electronic-resource-num&gt;&lt;volume&gt;297&lt;/volume&gt;&lt;/record&gt;&lt;/Cite&gt;&lt;/EndNote&gt;</w:instrText>
      </w:r>
      <w:r w:rsidR="00167974" w:rsidRPr="00263CA6">
        <w:rPr>
          <w:color w:val="000000" w:themeColor="text1"/>
        </w:rPr>
        <w:fldChar w:fldCharType="separate"/>
      </w:r>
      <w:r w:rsidR="00E95609" w:rsidRPr="00263CA6">
        <w:rPr>
          <w:noProof/>
          <w:color w:val="000000" w:themeColor="text1"/>
        </w:rPr>
        <w:t>(Hart, 1971)</w:t>
      </w:r>
      <w:r w:rsidR="00167974" w:rsidRPr="00263CA6">
        <w:rPr>
          <w:color w:val="000000" w:themeColor="text1"/>
        </w:rPr>
        <w:fldChar w:fldCharType="end"/>
      </w:r>
      <w:r w:rsidR="005A5B8C" w:rsidRPr="00263CA6">
        <w:rPr>
          <w:color w:val="000000" w:themeColor="text1"/>
        </w:rPr>
        <w:t>. Evidence for the existence of an Inverse Care Law has been reported internationally, including in bo</w:t>
      </w:r>
      <w:r w:rsidR="00783386" w:rsidRPr="00263CA6">
        <w:rPr>
          <w:color w:val="000000" w:themeColor="text1"/>
        </w:rPr>
        <w:t xml:space="preserve">th the United Kingdom </w:t>
      </w:r>
      <w:r w:rsidR="00763137" w:rsidRPr="00263CA6">
        <w:rPr>
          <w:color w:val="000000" w:themeColor="text1"/>
        </w:rPr>
        <w:fldChar w:fldCharType="begin"/>
      </w:r>
      <w:r w:rsidR="00E95609" w:rsidRPr="00263CA6">
        <w:rPr>
          <w:color w:val="000000" w:themeColor="text1"/>
        </w:rPr>
        <w:instrText xml:space="preserve"> ADDIN EN.CITE &lt;EndNote&gt;&lt;Cite&gt;&lt;Author&gt;McLean&lt;/Author&gt;&lt;Year&gt;2006&lt;/Year&gt;&lt;IDText&gt;Deprivation and quality of primary care services: evidence for the persistence of the inverse care law from the UK&lt;/IDText&gt;&lt;DisplayText&gt;(McLean et al, 2006)&lt;/DisplayText&gt;&lt;record&gt;&lt;titles&gt;&lt;title&gt;Deprivation and quality of primary care services: evidence for the persistence of the inverse care law from the UK&lt;/title&gt;&lt;secondary-title&gt;Journal of Epidemiology and Community Health&lt;/secondary-title&gt;&lt;/titles&gt;&lt;pages&gt;917-922&lt;/pages&gt;&lt;contributors&gt;&lt;authors&gt;&lt;author&gt;McLean, G.&lt;/author&gt;&lt;author&gt;Sutton, M.&lt;/author&gt;&lt;author&gt;Guthrie, B.&lt;/author&gt;&lt;/authors&gt;&lt;/contributors&gt;&lt;added-date format="utc"&gt;1452015301&lt;/added-date&gt;&lt;ref-type name="Journal Article"&gt;17&lt;/ref-type&gt;&lt;dates&gt;&lt;year&gt;2006&lt;/year&gt;&lt;/dates&gt;&lt;rec-number&gt;52&lt;/rec-number&gt;&lt;last-updated-date format="utc"&gt;1452015431&lt;/last-updated-date&gt;&lt;volume&gt;60&lt;/volume&gt;&lt;/record&gt;&lt;/Cite&gt;&lt;/EndNote&gt;</w:instrText>
      </w:r>
      <w:r w:rsidR="00763137" w:rsidRPr="00263CA6">
        <w:rPr>
          <w:color w:val="000000" w:themeColor="text1"/>
        </w:rPr>
        <w:fldChar w:fldCharType="separate"/>
      </w:r>
      <w:r w:rsidR="00E95609" w:rsidRPr="00263CA6">
        <w:rPr>
          <w:noProof/>
          <w:color w:val="000000" w:themeColor="text1"/>
        </w:rPr>
        <w:t>(McLean et al, 2006)</w:t>
      </w:r>
      <w:r w:rsidR="00763137" w:rsidRPr="00263CA6">
        <w:rPr>
          <w:color w:val="000000" w:themeColor="text1"/>
        </w:rPr>
        <w:fldChar w:fldCharType="end"/>
      </w:r>
      <w:r w:rsidR="00251D33" w:rsidRPr="00263CA6">
        <w:rPr>
          <w:color w:val="000000" w:themeColor="text1"/>
        </w:rPr>
        <w:t xml:space="preserve"> and the US</w:t>
      </w:r>
      <w:r w:rsidR="00694528" w:rsidRPr="00263CA6">
        <w:rPr>
          <w:color w:val="000000" w:themeColor="text1"/>
        </w:rPr>
        <w:t xml:space="preserve"> </w:t>
      </w:r>
      <w:r w:rsidR="00FD4228" w:rsidRPr="00263CA6">
        <w:rPr>
          <w:color w:val="000000" w:themeColor="text1"/>
        </w:rPr>
        <w:fldChar w:fldCharType="begin"/>
      </w:r>
      <w:r w:rsidR="00E95609" w:rsidRPr="00263CA6">
        <w:rPr>
          <w:color w:val="000000" w:themeColor="text1"/>
        </w:rPr>
        <w:instrText xml:space="preserve"> ADDIN EN.CITE &lt;EndNote&gt;&lt;Cite&gt;&lt;Author&gt;Ram&lt;/Author&gt;&lt;Year&gt;2011&lt;/Year&gt;&lt;IDText&gt;The “inverse care law” and infant mortality among Whites and Blacks in the United States&lt;/IDText&gt;&lt;DisplayText&gt;(Ram, 2011)&lt;/DisplayText&gt;&lt;record&gt;&lt;titles&gt;&lt;title&gt;The “inverse care law” and infant mortality among Whites and Blacks in the United States&lt;/title&gt;&lt;secondary-title&gt;International Journal of Social Economics&lt;/secondary-title&gt;&lt;/titles&gt;&lt;pages&gt;973-982&lt;/pages&gt;&lt;number&gt;12&lt;/number&gt;&lt;contributors&gt;&lt;authors&gt;&lt;author&gt;Ram, R.&lt;/author&gt;&lt;/authors&gt;&lt;/contributors&gt;&lt;added-date format="utc"&gt;1452027364&lt;/added-date&gt;&lt;ref-type name="Journal Article"&gt;17&lt;/ref-type&gt;&lt;dates&gt;&lt;year&gt;2011&lt;/year&gt;&lt;/dates&gt;&lt;rec-number&gt;54&lt;/rec-number&gt;&lt;last-updated-date format="utc"&gt;1452027491&lt;/last-updated-date&gt;&lt;volume&gt; 38&lt;/volume&gt;&lt;/record&gt;&lt;/Cite&gt;&lt;/EndNote&gt;</w:instrText>
      </w:r>
      <w:r w:rsidR="00FD4228" w:rsidRPr="00263CA6">
        <w:rPr>
          <w:color w:val="000000" w:themeColor="text1"/>
        </w:rPr>
        <w:fldChar w:fldCharType="separate"/>
      </w:r>
      <w:r w:rsidR="00E95609" w:rsidRPr="00263CA6">
        <w:rPr>
          <w:noProof/>
          <w:color w:val="000000" w:themeColor="text1"/>
        </w:rPr>
        <w:t>(Ram, 2011)</w:t>
      </w:r>
      <w:r w:rsidR="00FD4228" w:rsidRPr="00263CA6">
        <w:rPr>
          <w:color w:val="000000" w:themeColor="text1"/>
        </w:rPr>
        <w:fldChar w:fldCharType="end"/>
      </w:r>
      <w:r w:rsidR="002E2E8D" w:rsidRPr="00263CA6">
        <w:rPr>
          <w:color w:val="000000" w:themeColor="text1"/>
        </w:rPr>
        <w:t>. Reasons for the</w:t>
      </w:r>
      <w:r w:rsidR="005A5B8C" w:rsidRPr="00263CA6">
        <w:rPr>
          <w:color w:val="000000" w:themeColor="text1"/>
        </w:rPr>
        <w:t xml:space="preserve"> existence</w:t>
      </w:r>
      <w:r w:rsidR="002E2E8D" w:rsidRPr="00263CA6">
        <w:rPr>
          <w:color w:val="000000" w:themeColor="text1"/>
        </w:rPr>
        <w:t xml:space="preserve"> of this injustice are many and </w:t>
      </w:r>
      <w:r w:rsidR="005A5B8C" w:rsidRPr="00263CA6">
        <w:rPr>
          <w:color w:val="000000" w:themeColor="text1"/>
        </w:rPr>
        <w:t>varied, and, importantly, unintended. For example, the</w:t>
      </w:r>
      <w:r w:rsidR="00246DC8" w:rsidRPr="00263CA6">
        <w:rPr>
          <w:color w:val="000000" w:themeColor="text1"/>
        </w:rPr>
        <w:t xml:space="preserve"> high prevalence of</w:t>
      </w:r>
      <w:r w:rsidR="005A5B8C" w:rsidRPr="00263CA6">
        <w:rPr>
          <w:color w:val="000000" w:themeColor="text1"/>
        </w:rPr>
        <w:t xml:space="preserve"> comorbidities associated with </w:t>
      </w:r>
      <w:r w:rsidR="005A027A" w:rsidRPr="00263CA6">
        <w:rPr>
          <w:color w:val="000000" w:themeColor="text1"/>
        </w:rPr>
        <w:t>deprived neighbourhood</w:t>
      </w:r>
      <w:r w:rsidR="00246DC8" w:rsidRPr="00263CA6">
        <w:rPr>
          <w:color w:val="000000" w:themeColor="text1"/>
        </w:rPr>
        <w:t>s</w:t>
      </w:r>
      <w:r w:rsidR="005A5B8C" w:rsidRPr="00263CA6">
        <w:rPr>
          <w:color w:val="000000" w:themeColor="text1"/>
        </w:rPr>
        <w:t xml:space="preserve"> are particularly challenging for health </w:t>
      </w:r>
      <w:r w:rsidR="00BE5DCA" w:rsidRPr="00263CA6">
        <w:rPr>
          <w:color w:val="000000" w:themeColor="text1"/>
        </w:rPr>
        <w:t xml:space="preserve">care </w:t>
      </w:r>
      <w:r w:rsidR="005A5B8C" w:rsidRPr="00263CA6">
        <w:rPr>
          <w:color w:val="000000" w:themeColor="text1"/>
        </w:rPr>
        <w:t>professional</w:t>
      </w:r>
      <w:r w:rsidR="00246DC8" w:rsidRPr="00263CA6">
        <w:rPr>
          <w:color w:val="000000" w:themeColor="text1"/>
        </w:rPr>
        <w:t>s to address, much more so than single morbidities</w:t>
      </w:r>
      <w:r w:rsidR="00DF3176" w:rsidRPr="00263CA6">
        <w:rPr>
          <w:color w:val="000000" w:themeColor="text1"/>
        </w:rPr>
        <w:t xml:space="preserve"> </w:t>
      </w:r>
      <w:r w:rsidR="00C04162" w:rsidRPr="00263CA6">
        <w:rPr>
          <w:color w:val="000000" w:themeColor="text1"/>
        </w:rPr>
        <w:fldChar w:fldCharType="begin"/>
      </w:r>
      <w:r w:rsidR="00C04162" w:rsidRPr="00263CA6">
        <w:rPr>
          <w:color w:val="000000" w:themeColor="text1"/>
        </w:rPr>
        <w:instrText xml:space="preserve"> ADDIN EN.CITE &lt;EndNote&gt;&lt;Cite&gt;&lt;Author&gt;Mercer&lt;/Author&gt;&lt;Year&gt;2007&lt;/Year&gt;&lt;IDText&gt;2007. The inverse care law: clinical primary care encounters in deprived and affluent areas of Scotland.&lt;/IDText&gt;&lt;DisplayText&gt;(Mercer &amp;amp; Watt, 2007)&lt;/DisplayText&gt;&lt;record&gt;&lt;titles&gt;&lt;title&gt;2007. The inverse care law: clinical primary care encounters in deprived and affluent areas of Scotland.&lt;/title&gt;&lt;secondary-title&gt;The Annals of Family Medicine&lt;/secondary-title&gt;&lt;/titles&gt;&lt;pages&gt;503-510&lt;/pages&gt;&lt;number&gt;6&lt;/number&gt;&lt;contributors&gt;&lt;authors&gt;&lt;author&gt;Mercer, S.W.&lt;/author&gt;&lt;author&gt;Watt, G.C.&lt;/author&gt;&lt;/authors&gt;&lt;/contributors&gt;&lt;added-date format="utc"&gt;1452241662&lt;/added-date&gt;&lt;ref-type name="Journal Article"&gt;17&lt;/ref-type&gt;&lt;dates&gt;&lt;year&gt;2007&lt;/year&gt;&lt;/dates&gt;&lt;rec-number&gt;55&lt;/rec-number&gt;&lt;last-updated-date format="utc"&gt;1452241781&lt;/last-updated-date&gt;&lt;volume&gt;5&lt;/volume&gt;&lt;/record&gt;&lt;/Cite&gt;&lt;/EndNote&gt;</w:instrText>
      </w:r>
      <w:r w:rsidR="00C04162" w:rsidRPr="00263CA6">
        <w:rPr>
          <w:color w:val="000000" w:themeColor="text1"/>
        </w:rPr>
        <w:fldChar w:fldCharType="separate"/>
      </w:r>
      <w:r w:rsidR="00C04162" w:rsidRPr="00263CA6">
        <w:rPr>
          <w:noProof/>
          <w:color w:val="000000" w:themeColor="text1"/>
        </w:rPr>
        <w:t xml:space="preserve">(Mercer &amp; Watt, </w:t>
      </w:r>
      <w:r w:rsidR="00C04162" w:rsidRPr="00263CA6">
        <w:rPr>
          <w:noProof/>
          <w:color w:val="000000" w:themeColor="text1"/>
        </w:rPr>
        <w:lastRenderedPageBreak/>
        <w:t>2007)</w:t>
      </w:r>
      <w:r w:rsidR="00C04162" w:rsidRPr="00263CA6">
        <w:rPr>
          <w:color w:val="000000" w:themeColor="text1"/>
        </w:rPr>
        <w:fldChar w:fldCharType="end"/>
      </w:r>
      <w:r w:rsidR="005A5B8C" w:rsidRPr="00263CA6">
        <w:rPr>
          <w:color w:val="000000" w:themeColor="text1"/>
        </w:rPr>
        <w:t>.</w:t>
      </w:r>
      <w:r w:rsidR="00E23FB7" w:rsidRPr="00263CA6">
        <w:rPr>
          <w:color w:val="000000" w:themeColor="text1"/>
        </w:rPr>
        <w:t xml:space="preserve"> </w:t>
      </w:r>
      <w:r w:rsidR="009E04C0" w:rsidRPr="00263CA6">
        <w:rPr>
          <w:color w:val="000000" w:themeColor="text1"/>
        </w:rPr>
        <w:t>Place matter</w:t>
      </w:r>
      <w:r w:rsidR="00AD1E06" w:rsidRPr="00263CA6">
        <w:rPr>
          <w:color w:val="000000" w:themeColor="text1"/>
        </w:rPr>
        <w:t>s</w:t>
      </w:r>
      <w:r w:rsidR="009511D7" w:rsidRPr="00263CA6">
        <w:rPr>
          <w:color w:val="000000" w:themeColor="text1"/>
        </w:rPr>
        <w:t>.</w:t>
      </w:r>
      <w:r w:rsidR="009E04C0" w:rsidRPr="00263CA6">
        <w:rPr>
          <w:color w:val="000000" w:themeColor="text1"/>
        </w:rPr>
        <w:t xml:space="preserve"> </w:t>
      </w:r>
      <w:r w:rsidR="00E23FB7" w:rsidRPr="00263CA6">
        <w:rPr>
          <w:color w:val="000000" w:themeColor="text1"/>
        </w:rPr>
        <w:t xml:space="preserve">Yet, the impact of this deprivation becomes the </w:t>
      </w:r>
      <w:r w:rsidR="0015312E" w:rsidRPr="00263CA6">
        <w:rPr>
          <w:color w:val="000000" w:themeColor="text1"/>
        </w:rPr>
        <w:t xml:space="preserve">problem of the </w:t>
      </w:r>
      <w:r w:rsidR="00E23FB7" w:rsidRPr="00263CA6">
        <w:rPr>
          <w:color w:val="000000" w:themeColor="text1"/>
        </w:rPr>
        <w:t>health</w:t>
      </w:r>
      <w:r w:rsidR="007A0B13" w:rsidRPr="00263CA6">
        <w:rPr>
          <w:color w:val="000000" w:themeColor="text1"/>
        </w:rPr>
        <w:t xml:space="preserve"> </w:t>
      </w:r>
      <w:r w:rsidR="00E23FB7" w:rsidRPr="00263CA6">
        <w:rPr>
          <w:color w:val="000000" w:themeColor="text1"/>
        </w:rPr>
        <w:t xml:space="preserve">care system. </w:t>
      </w:r>
      <w:r w:rsidR="005A5B8C" w:rsidRPr="00263CA6">
        <w:rPr>
          <w:color w:val="000000" w:themeColor="text1"/>
        </w:rPr>
        <w:t xml:space="preserve"> </w:t>
      </w:r>
      <w:r w:rsidR="002E2E8D" w:rsidRPr="00263CA6">
        <w:rPr>
          <w:color w:val="000000" w:themeColor="text1"/>
        </w:rPr>
        <w:t>O</w:t>
      </w:r>
      <w:r w:rsidR="005A5B8C" w:rsidRPr="00263CA6">
        <w:rPr>
          <w:color w:val="000000" w:themeColor="text1"/>
        </w:rPr>
        <w:t xml:space="preserve">ther factors </w:t>
      </w:r>
      <w:r w:rsidR="002E2E8D" w:rsidRPr="00263CA6">
        <w:rPr>
          <w:color w:val="000000" w:themeColor="text1"/>
        </w:rPr>
        <w:t>can conspire</w:t>
      </w:r>
      <w:r w:rsidR="005A5B8C" w:rsidRPr="00263CA6">
        <w:rPr>
          <w:color w:val="000000" w:themeColor="text1"/>
        </w:rPr>
        <w:t xml:space="preserve"> perversely</w:t>
      </w:r>
      <w:r w:rsidR="002E2E8D" w:rsidRPr="00263CA6">
        <w:rPr>
          <w:color w:val="000000" w:themeColor="text1"/>
        </w:rPr>
        <w:t>, making</w:t>
      </w:r>
      <w:r w:rsidR="005A5B8C" w:rsidRPr="00263CA6">
        <w:rPr>
          <w:color w:val="000000" w:themeColor="text1"/>
        </w:rPr>
        <w:t xml:space="preserve"> service engagement more difficult: language used in patient i</w:t>
      </w:r>
      <w:r w:rsidR="002E2E8D" w:rsidRPr="00263CA6">
        <w:rPr>
          <w:color w:val="000000" w:themeColor="text1"/>
        </w:rPr>
        <w:t>nformation</w:t>
      </w:r>
      <w:r w:rsidR="009E04C0" w:rsidRPr="00263CA6">
        <w:rPr>
          <w:color w:val="000000" w:themeColor="text1"/>
        </w:rPr>
        <w:t>, e.g., health literacy</w:t>
      </w:r>
      <w:r w:rsidR="002E2E8D" w:rsidRPr="00263CA6">
        <w:rPr>
          <w:color w:val="000000" w:themeColor="text1"/>
        </w:rPr>
        <w:t>; a lack of service provider insight</w:t>
      </w:r>
      <w:r w:rsidR="009E04C0" w:rsidRPr="00263CA6">
        <w:rPr>
          <w:color w:val="000000" w:themeColor="text1"/>
        </w:rPr>
        <w:t>, cultural competence</w:t>
      </w:r>
      <w:r w:rsidR="005A5B8C" w:rsidRPr="00263CA6">
        <w:rPr>
          <w:color w:val="000000" w:themeColor="text1"/>
        </w:rPr>
        <w:t xml:space="preserve">; and so forth. The Inverse Care Law results from a complex web of interrelated factors. </w:t>
      </w:r>
      <w:r w:rsidR="00460F52" w:rsidRPr="00263CA6">
        <w:rPr>
          <w:color w:val="000000" w:themeColor="text1"/>
        </w:rPr>
        <w:t>N</w:t>
      </w:r>
      <w:r w:rsidR="005A5B8C" w:rsidRPr="00263CA6">
        <w:rPr>
          <w:color w:val="000000" w:themeColor="text1"/>
        </w:rPr>
        <w:t xml:space="preserve">urses’ practice can make a difference, whether to </w:t>
      </w:r>
      <w:r w:rsidR="00460F52" w:rsidRPr="00263CA6">
        <w:rPr>
          <w:color w:val="000000" w:themeColor="text1"/>
        </w:rPr>
        <w:t xml:space="preserve">continue </w:t>
      </w:r>
      <w:r w:rsidR="005A5B8C" w:rsidRPr="00263CA6">
        <w:rPr>
          <w:color w:val="000000" w:themeColor="text1"/>
        </w:rPr>
        <w:t>or to challenge</w:t>
      </w:r>
      <w:r w:rsidR="00460F52" w:rsidRPr="00263CA6">
        <w:rPr>
          <w:color w:val="000000" w:themeColor="text1"/>
        </w:rPr>
        <w:t xml:space="preserve"> this care law</w:t>
      </w:r>
      <w:r w:rsidR="005A5B8C" w:rsidRPr="00263CA6">
        <w:rPr>
          <w:color w:val="000000" w:themeColor="text1"/>
        </w:rPr>
        <w:t>. To do the latter, requires awareness</w:t>
      </w:r>
      <w:r w:rsidR="00F76C73" w:rsidRPr="00263CA6">
        <w:rPr>
          <w:color w:val="000000" w:themeColor="text1"/>
        </w:rPr>
        <w:t xml:space="preserve"> attuned through </w:t>
      </w:r>
      <w:r w:rsidR="00454D05" w:rsidRPr="00263CA6">
        <w:rPr>
          <w:color w:val="000000" w:themeColor="text1"/>
        </w:rPr>
        <w:t xml:space="preserve">(vicariously) </w:t>
      </w:r>
      <w:r w:rsidR="00F76C73" w:rsidRPr="00263CA6">
        <w:rPr>
          <w:color w:val="000000" w:themeColor="text1"/>
        </w:rPr>
        <w:t>experiencing the lives of others</w:t>
      </w:r>
      <w:r w:rsidR="00454D05" w:rsidRPr="00263CA6">
        <w:rPr>
          <w:color w:val="000000" w:themeColor="text1"/>
        </w:rPr>
        <w:t>.</w:t>
      </w:r>
      <w:r w:rsidR="005A5B8C" w:rsidRPr="00263CA6">
        <w:rPr>
          <w:color w:val="000000" w:themeColor="text1"/>
        </w:rPr>
        <w:t xml:space="preserve"> </w:t>
      </w:r>
    </w:p>
    <w:p w14:paraId="03F99391" w14:textId="77777777" w:rsidR="000A695D" w:rsidRPr="00263CA6" w:rsidRDefault="000A695D" w:rsidP="00553A1C">
      <w:pPr>
        <w:spacing w:line="480" w:lineRule="auto"/>
        <w:rPr>
          <w:color w:val="000000" w:themeColor="text1"/>
        </w:rPr>
      </w:pPr>
    </w:p>
    <w:p w14:paraId="0CC46E6E" w14:textId="2F48291D" w:rsidR="00124FF1" w:rsidRPr="00263CA6" w:rsidRDefault="00E34BF6" w:rsidP="00553A1C">
      <w:pPr>
        <w:spacing w:line="480" w:lineRule="auto"/>
        <w:rPr>
          <w:color w:val="000000" w:themeColor="text1"/>
        </w:rPr>
      </w:pPr>
      <w:r w:rsidRPr="00263CA6">
        <w:rPr>
          <w:color w:val="000000" w:themeColor="text1"/>
        </w:rPr>
        <w:t>F</w:t>
      </w:r>
      <w:r w:rsidR="00124FF1" w:rsidRPr="00263CA6">
        <w:rPr>
          <w:color w:val="000000" w:themeColor="text1"/>
        </w:rPr>
        <w:t>or nurses</w:t>
      </w:r>
      <w:r w:rsidR="002D0BB8" w:rsidRPr="00263CA6">
        <w:rPr>
          <w:color w:val="000000" w:themeColor="text1"/>
        </w:rPr>
        <w:t xml:space="preserve"> </w:t>
      </w:r>
      <w:r w:rsidR="00124FF1" w:rsidRPr="00263CA6">
        <w:rPr>
          <w:color w:val="000000" w:themeColor="text1"/>
        </w:rPr>
        <w:t>to take population health more seriously</w:t>
      </w:r>
      <w:r w:rsidRPr="00263CA6">
        <w:rPr>
          <w:color w:val="000000" w:themeColor="text1"/>
        </w:rPr>
        <w:t>, it is necessary</w:t>
      </w:r>
      <w:r w:rsidR="00124FF1" w:rsidRPr="00263CA6">
        <w:rPr>
          <w:color w:val="000000" w:themeColor="text1"/>
        </w:rPr>
        <w:t xml:space="preserve"> that </w:t>
      </w:r>
      <w:r w:rsidR="005A027A" w:rsidRPr="00263CA6">
        <w:rPr>
          <w:color w:val="000000" w:themeColor="text1"/>
        </w:rPr>
        <w:t>the subject</w:t>
      </w:r>
      <w:r w:rsidR="00124FF1" w:rsidRPr="00263CA6">
        <w:rPr>
          <w:color w:val="000000" w:themeColor="text1"/>
        </w:rPr>
        <w:t xml:space="preserve"> becomes a core </w:t>
      </w:r>
      <w:r w:rsidR="009E04C0" w:rsidRPr="00263CA6">
        <w:rPr>
          <w:color w:val="000000" w:themeColor="text1"/>
        </w:rPr>
        <w:t xml:space="preserve">focus </w:t>
      </w:r>
      <w:r w:rsidR="00124FF1" w:rsidRPr="00263CA6">
        <w:rPr>
          <w:color w:val="000000" w:themeColor="text1"/>
        </w:rPr>
        <w:t xml:space="preserve">of their education. </w:t>
      </w:r>
      <w:r w:rsidR="0014660D" w:rsidRPr="00263CA6">
        <w:rPr>
          <w:color w:val="000000" w:themeColor="text1"/>
        </w:rPr>
        <w:t>This is no small undertaking and will not be achieved without efforts from all nurse educators. I</w:t>
      </w:r>
      <w:r w:rsidR="009511D7" w:rsidRPr="00263CA6">
        <w:rPr>
          <w:color w:val="000000" w:themeColor="text1"/>
        </w:rPr>
        <w:t xml:space="preserve">t requires teaching that can spark the imagination, </w:t>
      </w:r>
      <w:r w:rsidR="00BE5DCA" w:rsidRPr="00263CA6">
        <w:rPr>
          <w:color w:val="000000" w:themeColor="text1"/>
        </w:rPr>
        <w:t xml:space="preserve">teaching that </w:t>
      </w:r>
      <w:r w:rsidR="009511D7" w:rsidRPr="00263CA6">
        <w:rPr>
          <w:color w:val="000000" w:themeColor="text1"/>
        </w:rPr>
        <w:t>encourage</w:t>
      </w:r>
      <w:r w:rsidR="00BE5DCA" w:rsidRPr="00263CA6">
        <w:rPr>
          <w:color w:val="000000" w:themeColor="text1"/>
        </w:rPr>
        <w:t>s</w:t>
      </w:r>
      <w:r w:rsidR="009511D7" w:rsidRPr="00263CA6">
        <w:rPr>
          <w:color w:val="000000" w:themeColor="text1"/>
        </w:rPr>
        <w:t xml:space="preserve"> creative thinking that </w:t>
      </w:r>
      <w:r w:rsidR="001617DD" w:rsidRPr="00263CA6">
        <w:rPr>
          <w:color w:val="000000" w:themeColor="text1"/>
        </w:rPr>
        <w:t>frees students to identify themselves with wider issues</w:t>
      </w:r>
      <w:r w:rsidR="0092530B" w:rsidRPr="00263CA6">
        <w:rPr>
          <w:color w:val="000000" w:themeColor="text1"/>
        </w:rPr>
        <w:t>, issues</w:t>
      </w:r>
      <w:r w:rsidR="001617DD" w:rsidRPr="00263CA6">
        <w:rPr>
          <w:color w:val="000000" w:themeColor="text1"/>
        </w:rPr>
        <w:t xml:space="preserve"> impacting on their communities, locally, national and internationally</w:t>
      </w:r>
      <w:r w:rsidR="00124FF1" w:rsidRPr="00263CA6">
        <w:rPr>
          <w:color w:val="000000" w:themeColor="text1"/>
        </w:rPr>
        <w:t xml:space="preserve">. In the next section </w:t>
      </w:r>
      <w:r w:rsidR="004C3A2D" w:rsidRPr="00263CA6">
        <w:rPr>
          <w:color w:val="000000" w:themeColor="text1"/>
        </w:rPr>
        <w:t>we will consider the challenges</w:t>
      </w:r>
      <w:r w:rsidR="00124FF1" w:rsidRPr="00263CA6">
        <w:rPr>
          <w:color w:val="000000" w:themeColor="text1"/>
        </w:rPr>
        <w:t xml:space="preserve"> and exciting opportunit</w:t>
      </w:r>
      <w:r w:rsidR="009E04C0" w:rsidRPr="00263CA6">
        <w:rPr>
          <w:color w:val="000000" w:themeColor="text1"/>
        </w:rPr>
        <w:t>ies</w:t>
      </w:r>
      <w:r w:rsidR="00124FF1" w:rsidRPr="00263CA6">
        <w:rPr>
          <w:color w:val="000000" w:themeColor="text1"/>
        </w:rPr>
        <w:t xml:space="preserve"> to capture the imaginations </w:t>
      </w:r>
      <w:r w:rsidR="00896007" w:rsidRPr="00263CA6">
        <w:rPr>
          <w:color w:val="000000" w:themeColor="text1"/>
        </w:rPr>
        <w:t xml:space="preserve">of our learners </w:t>
      </w:r>
      <w:r w:rsidR="00124FF1" w:rsidRPr="00263CA6">
        <w:rPr>
          <w:color w:val="000000" w:themeColor="text1"/>
        </w:rPr>
        <w:t xml:space="preserve">and passions of our </w:t>
      </w:r>
      <w:r w:rsidR="00896007" w:rsidRPr="00263CA6">
        <w:rPr>
          <w:color w:val="000000" w:themeColor="text1"/>
        </w:rPr>
        <w:t>educators</w:t>
      </w:r>
      <w:r w:rsidR="00124FF1" w:rsidRPr="00263CA6">
        <w:rPr>
          <w:color w:val="000000" w:themeColor="text1"/>
        </w:rPr>
        <w:t>.</w:t>
      </w:r>
    </w:p>
    <w:p w14:paraId="47AB7B26" w14:textId="77777777" w:rsidR="00581195" w:rsidRPr="00263CA6" w:rsidRDefault="00581195" w:rsidP="00553A1C">
      <w:pPr>
        <w:spacing w:line="480" w:lineRule="auto"/>
        <w:rPr>
          <w:color w:val="000000" w:themeColor="text1"/>
        </w:rPr>
      </w:pPr>
    </w:p>
    <w:p w14:paraId="3A165A97" w14:textId="1999CDC9" w:rsidR="00193517" w:rsidRPr="00263CA6" w:rsidRDefault="00556949" w:rsidP="00553A1C">
      <w:pPr>
        <w:spacing w:line="480" w:lineRule="auto"/>
        <w:rPr>
          <w:i/>
          <w:color w:val="000000" w:themeColor="text1"/>
        </w:rPr>
      </w:pPr>
      <w:r w:rsidRPr="00263CA6">
        <w:rPr>
          <w:i/>
          <w:color w:val="000000" w:themeColor="text1"/>
        </w:rPr>
        <w:t xml:space="preserve">Sparking the </w:t>
      </w:r>
      <w:r w:rsidR="00113CC3" w:rsidRPr="00263CA6">
        <w:rPr>
          <w:i/>
          <w:color w:val="000000" w:themeColor="text1"/>
        </w:rPr>
        <w:t>“Epidemiological</w:t>
      </w:r>
      <w:r w:rsidR="00193517" w:rsidRPr="00263CA6">
        <w:rPr>
          <w:i/>
          <w:color w:val="000000" w:themeColor="text1"/>
        </w:rPr>
        <w:t xml:space="preserve"> Imagination</w:t>
      </w:r>
      <w:r w:rsidR="00113CC3" w:rsidRPr="00263CA6">
        <w:rPr>
          <w:i/>
          <w:color w:val="000000" w:themeColor="text1"/>
        </w:rPr>
        <w:t>”</w:t>
      </w:r>
    </w:p>
    <w:p w14:paraId="488C4F44" w14:textId="2E9CA29C" w:rsidR="00193517" w:rsidRPr="00263CA6" w:rsidRDefault="00193517" w:rsidP="00553A1C">
      <w:pPr>
        <w:spacing w:line="480" w:lineRule="auto"/>
        <w:rPr>
          <w:color w:val="000000" w:themeColor="text1"/>
        </w:rPr>
      </w:pPr>
      <w:r w:rsidRPr="00263CA6">
        <w:rPr>
          <w:color w:val="000000" w:themeColor="text1"/>
        </w:rPr>
        <w:t>The challenge for nurse educators is that the link between practice and population health is not immediately obvious. A student who sees a successful resuscitation will easily link defibrillation to improved survival</w:t>
      </w:r>
      <w:r w:rsidR="00651CAF" w:rsidRPr="00263CA6">
        <w:rPr>
          <w:color w:val="000000" w:themeColor="text1"/>
        </w:rPr>
        <w:t xml:space="preserve"> for one individual</w:t>
      </w:r>
      <w:r w:rsidRPr="00263CA6">
        <w:rPr>
          <w:color w:val="000000" w:themeColor="text1"/>
        </w:rPr>
        <w:t xml:space="preserve">. Not so easily </w:t>
      </w:r>
      <w:r w:rsidR="00C721E9" w:rsidRPr="00263CA6">
        <w:rPr>
          <w:color w:val="000000" w:themeColor="text1"/>
        </w:rPr>
        <w:t xml:space="preserve">apparent </w:t>
      </w:r>
      <w:r w:rsidR="001617DD" w:rsidRPr="00263CA6">
        <w:rPr>
          <w:color w:val="000000" w:themeColor="text1"/>
        </w:rPr>
        <w:t>are</w:t>
      </w:r>
      <w:r w:rsidR="00CE3C5F" w:rsidRPr="00263CA6">
        <w:rPr>
          <w:color w:val="000000" w:themeColor="text1"/>
        </w:rPr>
        <w:t xml:space="preserve"> the benefits of</w:t>
      </w:r>
      <w:r w:rsidR="001617DD" w:rsidRPr="00263CA6">
        <w:rPr>
          <w:color w:val="000000" w:themeColor="text1"/>
        </w:rPr>
        <w:t xml:space="preserve"> actions that have consequences perhaps many years later</w:t>
      </w:r>
      <w:r w:rsidR="007F5D2E" w:rsidRPr="00263CA6">
        <w:rPr>
          <w:color w:val="000000" w:themeColor="text1"/>
        </w:rPr>
        <w:t>.</w:t>
      </w:r>
      <w:r w:rsidR="00B07371" w:rsidRPr="00263CA6">
        <w:rPr>
          <w:color w:val="000000" w:themeColor="text1"/>
        </w:rPr>
        <w:t xml:space="preserve"> </w:t>
      </w:r>
      <w:r w:rsidR="00C721E9" w:rsidRPr="00263CA6">
        <w:rPr>
          <w:color w:val="000000" w:themeColor="text1"/>
        </w:rPr>
        <w:t xml:space="preserve"> O</w:t>
      </w:r>
      <w:r w:rsidR="00A61F6E" w:rsidRPr="00263CA6">
        <w:rPr>
          <w:color w:val="000000" w:themeColor="text1"/>
        </w:rPr>
        <w:t>r that manifests</w:t>
      </w:r>
      <w:r w:rsidR="00B07371" w:rsidRPr="00263CA6">
        <w:rPr>
          <w:color w:val="000000" w:themeColor="text1"/>
        </w:rPr>
        <w:t xml:space="preserve"> in </w:t>
      </w:r>
      <w:r w:rsidR="00CE3C5F" w:rsidRPr="00263CA6">
        <w:rPr>
          <w:color w:val="000000" w:themeColor="text1"/>
        </w:rPr>
        <w:t>epidemiological analys</w:t>
      </w:r>
      <w:r w:rsidR="00C721E9" w:rsidRPr="00263CA6">
        <w:rPr>
          <w:color w:val="000000" w:themeColor="text1"/>
        </w:rPr>
        <w:t>e</w:t>
      </w:r>
      <w:r w:rsidR="00CE3C5F" w:rsidRPr="00263CA6">
        <w:rPr>
          <w:color w:val="000000" w:themeColor="text1"/>
        </w:rPr>
        <w:t xml:space="preserve">s, </w:t>
      </w:r>
      <w:r w:rsidR="00C721E9" w:rsidRPr="00263CA6">
        <w:rPr>
          <w:color w:val="000000" w:themeColor="text1"/>
        </w:rPr>
        <w:t xml:space="preserve">such as </w:t>
      </w:r>
      <w:r w:rsidR="00B07371" w:rsidRPr="00263CA6">
        <w:rPr>
          <w:color w:val="000000" w:themeColor="text1"/>
        </w:rPr>
        <w:t xml:space="preserve">declines in morbidity </w:t>
      </w:r>
      <w:r w:rsidR="00C721E9" w:rsidRPr="00263CA6">
        <w:rPr>
          <w:color w:val="000000" w:themeColor="text1"/>
        </w:rPr>
        <w:t>tracked over decades</w:t>
      </w:r>
      <w:r w:rsidR="00B07371" w:rsidRPr="00263CA6">
        <w:rPr>
          <w:color w:val="000000" w:themeColor="text1"/>
        </w:rPr>
        <w:t>.</w:t>
      </w:r>
      <w:r w:rsidR="00A61F6E" w:rsidRPr="00263CA6">
        <w:rPr>
          <w:color w:val="000000" w:themeColor="text1"/>
        </w:rPr>
        <w:t xml:space="preserve"> Or that requires</w:t>
      </w:r>
      <w:r w:rsidR="001D4500" w:rsidRPr="00263CA6">
        <w:rPr>
          <w:color w:val="000000" w:themeColor="text1"/>
        </w:rPr>
        <w:t xml:space="preserve"> </w:t>
      </w:r>
      <w:r w:rsidR="001D4500" w:rsidRPr="00263CA6">
        <w:rPr>
          <w:color w:val="000000" w:themeColor="text1"/>
        </w:rPr>
        <w:lastRenderedPageBreak/>
        <w:t xml:space="preserve">time to develop, such as in </w:t>
      </w:r>
      <w:r w:rsidR="00CE3C5F" w:rsidRPr="00263CA6">
        <w:rPr>
          <w:color w:val="000000" w:themeColor="text1"/>
        </w:rPr>
        <w:t>fostering</w:t>
      </w:r>
      <w:r w:rsidR="001D4500" w:rsidRPr="00263CA6">
        <w:rPr>
          <w:color w:val="000000" w:themeColor="text1"/>
        </w:rPr>
        <w:t xml:space="preserve"> mutual relationships with people living in marginalised circumstances.  But these are vitally important to people’s lives, as well as to the sustainability of health services. They are also crucial to enable communities to improve their health.</w:t>
      </w:r>
      <w:r w:rsidR="00221506" w:rsidRPr="00263CA6">
        <w:rPr>
          <w:color w:val="000000" w:themeColor="text1"/>
        </w:rPr>
        <w:t xml:space="preserve"> </w:t>
      </w:r>
    </w:p>
    <w:p w14:paraId="0602458F" w14:textId="77777777" w:rsidR="001D4500" w:rsidRPr="00263CA6" w:rsidRDefault="001D4500" w:rsidP="00553A1C">
      <w:pPr>
        <w:spacing w:line="480" w:lineRule="auto"/>
        <w:rPr>
          <w:color w:val="000000" w:themeColor="text1"/>
        </w:rPr>
      </w:pPr>
    </w:p>
    <w:p w14:paraId="5C8D42C0" w14:textId="319F1E9A" w:rsidR="00193517" w:rsidRPr="00263CA6" w:rsidRDefault="00107D1C" w:rsidP="00553A1C">
      <w:pPr>
        <w:spacing w:line="480" w:lineRule="auto"/>
        <w:rPr>
          <w:color w:val="000000" w:themeColor="text1"/>
        </w:rPr>
      </w:pPr>
      <w:r w:rsidRPr="00263CA6">
        <w:rPr>
          <w:color w:val="000000" w:themeColor="text1"/>
        </w:rPr>
        <w:t>L</w:t>
      </w:r>
      <w:r w:rsidR="00193517" w:rsidRPr="00263CA6">
        <w:rPr>
          <w:color w:val="000000" w:themeColor="text1"/>
        </w:rPr>
        <w:t>ink</w:t>
      </w:r>
      <w:r w:rsidR="00DA69D8" w:rsidRPr="00263CA6">
        <w:rPr>
          <w:color w:val="000000" w:themeColor="text1"/>
        </w:rPr>
        <w:t>ing</w:t>
      </w:r>
      <w:r w:rsidRPr="00263CA6">
        <w:rPr>
          <w:color w:val="000000" w:themeColor="text1"/>
        </w:rPr>
        <w:t xml:space="preserve"> </w:t>
      </w:r>
      <w:r w:rsidR="00193517" w:rsidRPr="00263CA6">
        <w:rPr>
          <w:color w:val="000000" w:themeColor="text1"/>
        </w:rPr>
        <w:t>practice to population</w:t>
      </w:r>
      <w:r w:rsidRPr="00263CA6">
        <w:rPr>
          <w:color w:val="000000" w:themeColor="text1"/>
        </w:rPr>
        <w:t xml:space="preserve"> health</w:t>
      </w:r>
      <w:r w:rsidR="00193517" w:rsidRPr="00263CA6">
        <w:rPr>
          <w:color w:val="000000" w:themeColor="text1"/>
        </w:rPr>
        <w:t xml:space="preserve"> requires an understanding of</w:t>
      </w:r>
      <w:r w:rsidR="00C91BDE" w:rsidRPr="00263CA6">
        <w:rPr>
          <w:color w:val="000000" w:themeColor="text1"/>
        </w:rPr>
        <w:t xml:space="preserve"> social epidemiology</w:t>
      </w:r>
      <w:r w:rsidRPr="00263CA6">
        <w:rPr>
          <w:color w:val="000000" w:themeColor="text1"/>
        </w:rPr>
        <w:t xml:space="preserve"> beyond the superficial.</w:t>
      </w:r>
      <w:r w:rsidR="00C91BDE" w:rsidRPr="00263CA6">
        <w:rPr>
          <w:color w:val="000000" w:themeColor="text1"/>
        </w:rPr>
        <w:t xml:space="preserve"> </w:t>
      </w:r>
      <w:r w:rsidR="0024507C" w:rsidRPr="00263CA6">
        <w:rPr>
          <w:color w:val="000000" w:themeColor="text1"/>
        </w:rPr>
        <w:t>T</w:t>
      </w:r>
      <w:r w:rsidR="00C91BDE" w:rsidRPr="00263CA6">
        <w:rPr>
          <w:color w:val="000000" w:themeColor="text1"/>
        </w:rPr>
        <w:t>heory, such as the Prevention Paradox or Inverse Care Law, can motivate</w:t>
      </w:r>
      <w:r w:rsidR="00113CC3" w:rsidRPr="00263CA6">
        <w:rPr>
          <w:color w:val="000000" w:themeColor="text1"/>
        </w:rPr>
        <w:t xml:space="preserve"> and encourage practice cognisant of needs not immediately apparent.</w:t>
      </w:r>
      <w:r w:rsidRPr="00263CA6">
        <w:rPr>
          <w:color w:val="000000" w:themeColor="text1"/>
        </w:rPr>
        <w:t xml:space="preserve"> </w:t>
      </w:r>
      <w:r w:rsidR="00113CC3" w:rsidRPr="00263CA6">
        <w:rPr>
          <w:color w:val="000000" w:themeColor="text1"/>
        </w:rPr>
        <w:t>A point has to be reached where there is</w:t>
      </w:r>
      <w:r w:rsidRPr="00263CA6">
        <w:rPr>
          <w:color w:val="000000" w:themeColor="text1"/>
        </w:rPr>
        <w:t xml:space="preserve"> intrinsic understanding that actions impinge on events beyond the immediately observable</w:t>
      </w:r>
      <w:r w:rsidR="00DA69D8" w:rsidRPr="00263CA6">
        <w:rPr>
          <w:color w:val="000000" w:themeColor="text1"/>
        </w:rPr>
        <w:t>, where there is recognition that individual practice has implications, positive and negative, intended and unintended, at a population level</w:t>
      </w:r>
      <w:r w:rsidRPr="00263CA6">
        <w:rPr>
          <w:color w:val="000000" w:themeColor="text1"/>
        </w:rPr>
        <w:t>. This is a leap of the imagination,</w:t>
      </w:r>
      <w:r w:rsidR="00113CC3" w:rsidRPr="00263CA6">
        <w:rPr>
          <w:color w:val="000000" w:themeColor="text1"/>
        </w:rPr>
        <w:t xml:space="preserve"> </w:t>
      </w:r>
      <w:r w:rsidRPr="00263CA6">
        <w:rPr>
          <w:color w:val="000000" w:themeColor="text1"/>
        </w:rPr>
        <w:t xml:space="preserve">one </w:t>
      </w:r>
      <w:r w:rsidR="000A695D" w:rsidRPr="00263CA6">
        <w:rPr>
          <w:color w:val="000000" w:themeColor="text1"/>
        </w:rPr>
        <w:t>that draws</w:t>
      </w:r>
      <w:r w:rsidRPr="00263CA6">
        <w:rPr>
          <w:color w:val="000000" w:themeColor="text1"/>
        </w:rPr>
        <w:t xml:space="preserve"> on reasoning</w:t>
      </w:r>
      <w:r w:rsidR="000A695D" w:rsidRPr="00263CA6">
        <w:rPr>
          <w:color w:val="000000" w:themeColor="text1"/>
        </w:rPr>
        <w:t>,</w:t>
      </w:r>
      <w:r w:rsidR="00113CC3" w:rsidRPr="00263CA6">
        <w:rPr>
          <w:color w:val="000000" w:themeColor="text1"/>
        </w:rPr>
        <w:t xml:space="preserve"> theory and evidence</w:t>
      </w:r>
      <w:r w:rsidRPr="00263CA6">
        <w:rPr>
          <w:color w:val="000000" w:themeColor="text1"/>
        </w:rPr>
        <w:t>.</w:t>
      </w:r>
    </w:p>
    <w:p w14:paraId="0BB135B7" w14:textId="77777777" w:rsidR="00FC725C" w:rsidRPr="00263CA6" w:rsidRDefault="00FC725C" w:rsidP="00553A1C">
      <w:pPr>
        <w:spacing w:line="480" w:lineRule="auto"/>
        <w:rPr>
          <w:color w:val="000000" w:themeColor="text1"/>
        </w:rPr>
      </w:pPr>
    </w:p>
    <w:p w14:paraId="38FA667C" w14:textId="2AC7143D" w:rsidR="0013602D" w:rsidRPr="00263CA6" w:rsidRDefault="005A5F75" w:rsidP="00553A1C">
      <w:pPr>
        <w:spacing w:line="480" w:lineRule="auto"/>
        <w:rPr>
          <w:color w:val="000000" w:themeColor="text1"/>
        </w:rPr>
      </w:pPr>
      <w:r w:rsidRPr="00263CA6">
        <w:rPr>
          <w:color w:val="000000" w:themeColor="text1"/>
        </w:rPr>
        <w:t>Perhaps r</w:t>
      </w:r>
      <w:r w:rsidR="00193517" w:rsidRPr="00263CA6">
        <w:rPr>
          <w:color w:val="000000" w:themeColor="text1"/>
        </w:rPr>
        <w:t xml:space="preserve">elatively few nurses enter the profession with population health in mind. One might question how students </w:t>
      </w:r>
      <w:r w:rsidR="0056160D" w:rsidRPr="00263CA6">
        <w:rPr>
          <w:color w:val="000000" w:themeColor="text1"/>
        </w:rPr>
        <w:t xml:space="preserve">could </w:t>
      </w:r>
      <w:r w:rsidR="00193517" w:rsidRPr="00263CA6">
        <w:rPr>
          <w:color w:val="000000" w:themeColor="text1"/>
        </w:rPr>
        <w:t>be motivated to understand social epidemiology to an extent where they imag</w:t>
      </w:r>
      <w:r w:rsidR="00107D1C" w:rsidRPr="00263CA6">
        <w:rPr>
          <w:color w:val="000000" w:themeColor="text1"/>
        </w:rPr>
        <w:t>inatively draw on it</w:t>
      </w:r>
      <w:r w:rsidR="00140F3D" w:rsidRPr="00263CA6">
        <w:rPr>
          <w:color w:val="000000" w:themeColor="text1"/>
        </w:rPr>
        <w:t>s theories</w:t>
      </w:r>
      <w:r w:rsidR="00107D1C" w:rsidRPr="00263CA6">
        <w:rPr>
          <w:color w:val="000000" w:themeColor="text1"/>
        </w:rPr>
        <w:t xml:space="preserve"> through </w:t>
      </w:r>
      <w:r w:rsidRPr="00263CA6">
        <w:rPr>
          <w:color w:val="000000" w:themeColor="text1"/>
        </w:rPr>
        <w:t>their careers. B</w:t>
      </w:r>
      <w:r w:rsidR="00107D1C" w:rsidRPr="00263CA6">
        <w:rPr>
          <w:color w:val="000000" w:themeColor="text1"/>
        </w:rPr>
        <w:t>ut evidence convincingly suggests that</w:t>
      </w:r>
      <w:r w:rsidRPr="00263CA6">
        <w:rPr>
          <w:color w:val="000000" w:themeColor="text1"/>
        </w:rPr>
        <w:t xml:space="preserve"> people want to become nurses </w:t>
      </w:r>
      <w:r w:rsidR="00D3475A" w:rsidRPr="00263CA6">
        <w:rPr>
          <w:color w:val="000000" w:themeColor="text1"/>
        </w:rPr>
        <w:t xml:space="preserve">to make a difference </w:t>
      </w:r>
      <w:r w:rsidR="00D3475A" w:rsidRPr="00263CA6">
        <w:rPr>
          <w:color w:val="000000" w:themeColor="text1"/>
        </w:rPr>
        <w:fldChar w:fldCharType="begin"/>
      </w:r>
      <w:r w:rsidR="00E95609" w:rsidRPr="00263CA6">
        <w:rPr>
          <w:color w:val="000000" w:themeColor="text1"/>
        </w:rPr>
        <w:instrText xml:space="preserve"> ADDIN EN.CITE &lt;EndNote&gt;&lt;Cite&gt;&lt;Author&gt;Eley&lt;/Author&gt;&lt;Year&gt;2012&lt;/Year&gt;&lt;IDText&gt;Why did I become a nurse? Personality traits and the reasons for entering nursing&lt;/IDText&gt;&lt;DisplayText&gt;(Eley et al, 2012)&lt;/DisplayText&gt;&lt;record&gt;&lt;titles&gt;&lt;title&gt;Why did I become a nurse? Personality traits and the reasons for entering nursing&lt;/title&gt;&lt;secondary-title&gt;Journal of Advanced Nursing&lt;/secondary-title&gt;&lt;/titles&gt;&lt;pages&gt;1546-1555&lt;/pages&gt;&lt;number&gt;7&lt;/number&gt;&lt;contributors&gt;&lt;authors&gt;&lt;author&gt;Eley, D.&lt;/author&gt;&lt;author&gt;Eley, R.&lt;/author&gt;&lt;author&gt;Bertello, M.&lt;/author&gt;&lt;author&gt;Rogers-Clark, C.&lt;/author&gt;&lt;/authors&gt;&lt;/contributors&gt;&lt;added-date format="utc"&gt;1452015610&lt;/added-date&gt;&lt;ref-type name="Journal Article"&gt;17&lt;/ref-type&gt;&lt;dates&gt;&lt;year&gt;2012&lt;/year&gt;&lt;/dates&gt;&lt;rec-number&gt;53&lt;/rec-number&gt;&lt;last-updated-date format="utc"&gt;1452015679&lt;/last-updated-date&gt;&lt;volume&gt;68&lt;/volume&gt;&lt;/record&gt;&lt;/Cite&gt;&lt;/EndNote&gt;</w:instrText>
      </w:r>
      <w:r w:rsidR="00D3475A" w:rsidRPr="00263CA6">
        <w:rPr>
          <w:color w:val="000000" w:themeColor="text1"/>
        </w:rPr>
        <w:fldChar w:fldCharType="separate"/>
      </w:r>
      <w:r w:rsidR="00E95609" w:rsidRPr="00263CA6">
        <w:rPr>
          <w:noProof/>
          <w:color w:val="000000" w:themeColor="text1"/>
        </w:rPr>
        <w:t>(Eley et al, 2012)</w:t>
      </w:r>
      <w:r w:rsidR="00D3475A" w:rsidRPr="00263CA6">
        <w:rPr>
          <w:color w:val="000000" w:themeColor="text1"/>
        </w:rPr>
        <w:fldChar w:fldCharType="end"/>
      </w:r>
      <w:r w:rsidR="00107D1C" w:rsidRPr="00263CA6">
        <w:rPr>
          <w:color w:val="000000" w:themeColor="text1"/>
        </w:rPr>
        <w:t>. Teaching</w:t>
      </w:r>
      <w:r w:rsidR="00D34625" w:rsidRPr="00263CA6">
        <w:rPr>
          <w:color w:val="000000" w:themeColor="text1"/>
        </w:rPr>
        <w:t xml:space="preserve"> and </w:t>
      </w:r>
      <w:r w:rsidR="00F53706" w:rsidRPr="00263CA6">
        <w:rPr>
          <w:color w:val="000000" w:themeColor="text1"/>
        </w:rPr>
        <w:t>research that taps into the imagination</w:t>
      </w:r>
      <w:r w:rsidR="00107D1C" w:rsidRPr="00263CA6">
        <w:rPr>
          <w:color w:val="000000" w:themeColor="text1"/>
        </w:rPr>
        <w:t xml:space="preserve"> can </w:t>
      </w:r>
      <w:r w:rsidR="0056160D" w:rsidRPr="00263CA6">
        <w:rPr>
          <w:color w:val="000000" w:themeColor="text1"/>
        </w:rPr>
        <w:t xml:space="preserve">ignite </w:t>
      </w:r>
      <w:r w:rsidR="00107D1C" w:rsidRPr="00263CA6">
        <w:rPr>
          <w:color w:val="000000" w:themeColor="text1"/>
        </w:rPr>
        <w:t>students</w:t>
      </w:r>
      <w:r w:rsidR="0056160D" w:rsidRPr="00263CA6">
        <w:rPr>
          <w:color w:val="000000" w:themeColor="text1"/>
        </w:rPr>
        <w:t>’ passion for</w:t>
      </w:r>
      <w:r w:rsidR="00F53706" w:rsidRPr="00263CA6">
        <w:rPr>
          <w:color w:val="000000" w:themeColor="text1"/>
        </w:rPr>
        <w:t xml:space="preserve"> population health</w:t>
      </w:r>
      <w:r w:rsidR="00107D1C" w:rsidRPr="00263CA6">
        <w:rPr>
          <w:color w:val="000000" w:themeColor="text1"/>
        </w:rPr>
        <w:t xml:space="preserve"> </w:t>
      </w:r>
      <w:r w:rsidR="0056160D" w:rsidRPr="00263CA6">
        <w:rPr>
          <w:color w:val="000000" w:themeColor="text1"/>
        </w:rPr>
        <w:t xml:space="preserve">by </w:t>
      </w:r>
      <w:r w:rsidR="00107D1C" w:rsidRPr="00263CA6">
        <w:rPr>
          <w:color w:val="000000" w:themeColor="text1"/>
        </w:rPr>
        <w:t xml:space="preserve">facilitating recognition of the links between their individual practice and the </w:t>
      </w:r>
      <w:r w:rsidR="00251D33" w:rsidRPr="00263CA6">
        <w:rPr>
          <w:color w:val="000000" w:themeColor="text1"/>
        </w:rPr>
        <w:t>health</w:t>
      </w:r>
      <w:r w:rsidR="00107D1C" w:rsidRPr="00263CA6">
        <w:rPr>
          <w:color w:val="000000" w:themeColor="text1"/>
        </w:rPr>
        <w:t xml:space="preserve"> of communities.</w:t>
      </w:r>
      <w:r w:rsidR="00266814" w:rsidRPr="00263CA6">
        <w:rPr>
          <w:color w:val="000000" w:themeColor="text1"/>
        </w:rPr>
        <w:t xml:space="preserve">  To spark this ‘epidemiological imagination’, we now </w:t>
      </w:r>
      <w:r w:rsidR="00F53706" w:rsidRPr="00263CA6">
        <w:rPr>
          <w:color w:val="000000" w:themeColor="text1"/>
        </w:rPr>
        <w:t>provid</w:t>
      </w:r>
      <w:r w:rsidR="00266814" w:rsidRPr="00263CA6">
        <w:rPr>
          <w:color w:val="000000" w:themeColor="text1"/>
        </w:rPr>
        <w:t>e</w:t>
      </w:r>
      <w:r w:rsidR="00F53706" w:rsidRPr="00263CA6">
        <w:rPr>
          <w:color w:val="000000" w:themeColor="text1"/>
        </w:rPr>
        <w:t xml:space="preserve"> exemplars of teaching and research</w:t>
      </w:r>
      <w:r w:rsidR="00D34625" w:rsidRPr="00263CA6">
        <w:rPr>
          <w:color w:val="000000" w:themeColor="text1"/>
        </w:rPr>
        <w:t xml:space="preserve"> that illustrate just some ways </w:t>
      </w:r>
      <w:r w:rsidR="00266814" w:rsidRPr="00263CA6">
        <w:rPr>
          <w:color w:val="000000" w:themeColor="text1"/>
        </w:rPr>
        <w:t>that</w:t>
      </w:r>
      <w:r w:rsidR="00D34625" w:rsidRPr="00263CA6">
        <w:rPr>
          <w:color w:val="000000" w:themeColor="text1"/>
        </w:rPr>
        <w:t xml:space="preserve"> these links have been </w:t>
      </w:r>
      <w:r w:rsidR="00266814" w:rsidRPr="00263CA6">
        <w:rPr>
          <w:color w:val="000000" w:themeColor="text1"/>
        </w:rPr>
        <w:t>drawn</w:t>
      </w:r>
      <w:r w:rsidR="00D34625" w:rsidRPr="00263CA6">
        <w:rPr>
          <w:color w:val="000000" w:themeColor="text1"/>
        </w:rPr>
        <w:t>.</w:t>
      </w:r>
    </w:p>
    <w:p w14:paraId="2423589A" w14:textId="77777777" w:rsidR="0013602D" w:rsidRPr="00263CA6" w:rsidRDefault="0013602D" w:rsidP="00553A1C">
      <w:pPr>
        <w:spacing w:line="480" w:lineRule="auto"/>
        <w:rPr>
          <w:color w:val="000000" w:themeColor="text1"/>
        </w:rPr>
      </w:pPr>
    </w:p>
    <w:p w14:paraId="46D63E18" w14:textId="67193B7F" w:rsidR="005A5F75" w:rsidRPr="00263CA6" w:rsidRDefault="0013602D" w:rsidP="00553A1C">
      <w:pPr>
        <w:spacing w:line="480" w:lineRule="auto"/>
        <w:rPr>
          <w:color w:val="000000" w:themeColor="text1"/>
        </w:rPr>
      </w:pPr>
      <w:r w:rsidRPr="00263CA6">
        <w:rPr>
          <w:i/>
          <w:color w:val="000000" w:themeColor="text1"/>
        </w:rPr>
        <w:lastRenderedPageBreak/>
        <w:t>Exemplars</w:t>
      </w:r>
      <w:r w:rsidR="005A5F75" w:rsidRPr="00263CA6">
        <w:rPr>
          <w:i/>
          <w:color w:val="000000" w:themeColor="text1"/>
        </w:rPr>
        <w:t xml:space="preserve"> of innovative education</w:t>
      </w:r>
    </w:p>
    <w:p w14:paraId="2418FC28" w14:textId="0A5F49FC" w:rsidR="005A5F75" w:rsidRPr="00263CA6" w:rsidRDefault="00681C45" w:rsidP="00553A1C">
      <w:pPr>
        <w:spacing w:line="480" w:lineRule="auto"/>
        <w:rPr>
          <w:color w:val="000000" w:themeColor="text1"/>
        </w:rPr>
      </w:pPr>
      <w:r w:rsidRPr="00263CA6">
        <w:rPr>
          <w:color w:val="000000" w:themeColor="text1"/>
        </w:rPr>
        <w:t>These</w:t>
      </w:r>
      <w:r w:rsidR="000B5CA6" w:rsidRPr="00263CA6">
        <w:rPr>
          <w:color w:val="000000" w:themeColor="text1"/>
        </w:rPr>
        <w:t xml:space="preserve"> </w:t>
      </w:r>
      <w:r w:rsidR="00BE2348" w:rsidRPr="00263CA6">
        <w:rPr>
          <w:color w:val="000000" w:themeColor="text1"/>
        </w:rPr>
        <w:t xml:space="preserve">exemplars </w:t>
      </w:r>
      <w:r w:rsidR="000B5CA6" w:rsidRPr="00263CA6">
        <w:rPr>
          <w:color w:val="000000" w:themeColor="text1"/>
        </w:rPr>
        <w:t>are not prescriptive statements of how population health should be taught, but rather starting points to encourage the creative ener</w:t>
      </w:r>
      <w:r w:rsidR="00FB654B" w:rsidRPr="00263CA6">
        <w:rPr>
          <w:color w:val="000000" w:themeColor="text1"/>
        </w:rPr>
        <w:t>gies of those who teach</w:t>
      </w:r>
      <w:r w:rsidR="000B5CA6" w:rsidRPr="00263CA6">
        <w:rPr>
          <w:color w:val="000000" w:themeColor="text1"/>
        </w:rPr>
        <w:t xml:space="preserve">. The </w:t>
      </w:r>
      <w:r w:rsidRPr="00263CA6">
        <w:rPr>
          <w:color w:val="000000" w:themeColor="text1"/>
        </w:rPr>
        <w:t>exemplars</w:t>
      </w:r>
      <w:r w:rsidR="000B5CA6" w:rsidRPr="00263CA6">
        <w:rPr>
          <w:color w:val="000000" w:themeColor="text1"/>
        </w:rPr>
        <w:t xml:space="preserve"> are chosen to cover a range of teaching situations, from research, through classroom teaching, to clinical placements.</w:t>
      </w:r>
      <w:r w:rsidR="00481318" w:rsidRPr="00263CA6">
        <w:rPr>
          <w:color w:val="000000" w:themeColor="text1"/>
        </w:rPr>
        <w:t xml:space="preserve"> They are not unique, but do provide examples of initiatives that explicitly enable students to connect their work to population health.</w:t>
      </w:r>
      <w:r w:rsidR="000B5CA6" w:rsidRPr="00263CA6">
        <w:rPr>
          <w:color w:val="000000" w:themeColor="text1"/>
        </w:rPr>
        <w:t xml:space="preserve"> More specifically, </w:t>
      </w:r>
      <w:r w:rsidR="00D07D82" w:rsidRPr="00263CA6">
        <w:rPr>
          <w:color w:val="000000" w:themeColor="text1"/>
        </w:rPr>
        <w:t>we highlight</w:t>
      </w:r>
      <w:r w:rsidR="000B5CA6" w:rsidRPr="00263CA6">
        <w:rPr>
          <w:color w:val="000000" w:themeColor="text1"/>
        </w:rPr>
        <w:t>:</w:t>
      </w:r>
      <w:r w:rsidR="005A5F75" w:rsidRPr="00263CA6">
        <w:rPr>
          <w:color w:val="000000" w:themeColor="text1"/>
        </w:rPr>
        <w:t xml:space="preserve"> (1) research that demonstrates the implications of wider determinants for the health of nurses themselves; (2) a flipped classroom </w:t>
      </w:r>
      <w:r w:rsidR="0056160D" w:rsidRPr="00263CA6">
        <w:rPr>
          <w:color w:val="000000" w:themeColor="text1"/>
        </w:rPr>
        <w:t>that</w:t>
      </w:r>
      <w:r w:rsidR="005A5F75" w:rsidRPr="00263CA6">
        <w:rPr>
          <w:color w:val="000000" w:themeColor="text1"/>
        </w:rPr>
        <w:t xml:space="preserve"> enable</w:t>
      </w:r>
      <w:r w:rsidR="0056160D" w:rsidRPr="00263CA6">
        <w:rPr>
          <w:color w:val="000000" w:themeColor="text1"/>
        </w:rPr>
        <w:t>s</w:t>
      </w:r>
      <w:r w:rsidR="005A5F75" w:rsidRPr="00263CA6">
        <w:rPr>
          <w:color w:val="000000" w:themeColor="text1"/>
        </w:rPr>
        <w:t xml:space="preserve"> theory to be more effectively </w:t>
      </w:r>
      <w:r w:rsidR="009E04C0" w:rsidRPr="00263CA6">
        <w:rPr>
          <w:color w:val="000000" w:themeColor="text1"/>
        </w:rPr>
        <w:t xml:space="preserve">integrated with </w:t>
      </w:r>
      <w:r w:rsidR="005A5F75" w:rsidRPr="00263CA6">
        <w:rPr>
          <w:color w:val="000000" w:themeColor="text1"/>
        </w:rPr>
        <w:t xml:space="preserve">and linked to practice; and (3) placements </w:t>
      </w:r>
      <w:r w:rsidR="0056160D" w:rsidRPr="00263CA6">
        <w:rPr>
          <w:color w:val="000000" w:themeColor="text1"/>
        </w:rPr>
        <w:t>that</w:t>
      </w:r>
      <w:r w:rsidR="005A5F75" w:rsidRPr="00263CA6">
        <w:rPr>
          <w:color w:val="000000" w:themeColor="text1"/>
        </w:rPr>
        <w:t xml:space="preserve"> enable students to engage directly wit</w:t>
      </w:r>
      <w:r w:rsidR="00AB002D" w:rsidRPr="00263CA6">
        <w:rPr>
          <w:color w:val="000000" w:themeColor="text1"/>
        </w:rPr>
        <w:t>h the realities of vulnerabilities</w:t>
      </w:r>
      <w:r w:rsidR="005A5F75" w:rsidRPr="00263CA6">
        <w:rPr>
          <w:color w:val="000000" w:themeColor="text1"/>
        </w:rPr>
        <w:t>.</w:t>
      </w:r>
    </w:p>
    <w:p w14:paraId="6D8E5169" w14:textId="77777777" w:rsidR="005A5F75" w:rsidRPr="00263CA6" w:rsidRDefault="005A5F75" w:rsidP="00553A1C">
      <w:pPr>
        <w:spacing w:line="480" w:lineRule="auto"/>
        <w:rPr>
          <w:color w:val="000000" w:themeColor="text1"/>
        </w:rPr>
      </w:pPr>
    </w:p>
    <w:p w14:paraId="037F5A3A" w14:textId="7DE6233F" w:rsidR="006E7C8F" w:rsidRPr="00263CA6" w:rsidRDefault="006E7C8F" w:rsidP="00553A1C">
      <w:pPr>
        <w:spacing w:line="480" w:lineRule="auto"/>
        <w:rPr>
          <w:color w:val="000000" w:themeColor="text1"/>
        </w:rPr>
      </w:pPr>
      <w:r w:rsidRPr="00263CA6">
        <w:rPr>
          <w:color w:val="000000" w:themeColor="text1"/>
        </w:rPr>
        <w:t>First, research from Scotland</w:t>
      </w:r>
      <w:r w:rsidR="008645EF" w:rsidRPr="00263CA6">
        <w:rPr>
          <w:color w:val="000000" w:themeColor="text1"/>
        </w:rPr>
        <w:t xml:space="preserve"> has</w:t>
      </w:r>
      <w:r w:rsidRPr="00263CA6">
        <w:rPr>
          <w:color w:val="000000" w:themeColor="text1"/>
        </w:rPr>
        <w:t xml:space="preserve"> </w:t>
      </w:r>
      <w:r w:rsidR="008B748C" w:rsidRPr="00263CA6">
        <w:rPr>
          <w:color w:val="000000" w:themeColor="text1"/>
        </w:rPr>
        <w:t>investigated</w:t>
      </w:r>
      <w:r w:rsidRPr="00263CA6">
        <w:rPr>
          <w:color w:val="000000" w:themeColor="text1"/>
        </w:rPr>
        <w:t xml:space="preserve"> how even </w:t>
      </w:r>
      <w:r w:rsidR="00D07D82" w:rsidRPr="00263CA6">
        <w:rPr>
          <w:color w:val="000000" w:themeColor="text1"/>
        </w:rPr>
        <w:t>nurses,</w:t>
      </w:r>
      <w:r w:rsidR="009E04C0" w:rsidRPr="00263CA6">
        <w:rPr>
          <w:color w:val="000000" w:themeColor="text1"/>
        </w:rPr>
        <w:t xml:space="preserve"> as a population</w:t>
      </w:r>
      <w:r w:rsidR="00D07D82" w:rsidRPr="00263CA6">
        <w:rPr>
          <w:color w:val="000000" w:themeColor="text1"/>
        </w:rPr>
        <w:t>,</w:t>
      </w:r>
      <w:r w:rsidRPr="00263CA6">
        <w:rPr>
          <w:color w:val="000000" w:themeColor="text1"/>
        </w:rPr>
        <w:t xml:space="preserve"> are not immune to the</w:t>
      </w:r>
      <w:r w:rsidR="00D8782E" w:rsidRPr="00263CA6">
        <w:rPr>
          <w:color w:val="000000" w:themeColor="text1"/>
        </w:rPr>
        <w:t xml:space="preserve"> adverse effects of health’s wider determinants</w:t>
      </w:r>
      <w:r w:rsidRPr="00263CA6">
        <w:rPr>
          <w:color w:val="000000" w:themeColor="text1"/>
        </w:rPr>
        <w:t xml:space="preserve">. A recent study has </w:t>
      </w:r>
      <w:r w:rsidR="008051A4" w:rsidRPr="00263CA6">
        <w:rPr>
          <w:color w:val="000000" w:themeColor="text1"/>
        </w:rPr>
        <w:t>estimated</w:t>
      </w:r>
      <w:r w:rsidRPr="00263CA6">
        <w:rPr>
          <w:color w:val="000000" w:themeColor="text1"/>
        </w:rPr>
        <w:t xml:space="preserve"> the prevalence</w:t>
      </w:r>
      <w:r w:rsidR="00D07D82" w:rsidRPr="00263CA6">
        <w:rPr>
          <w:color w:val="000000" w:themeColor="text1"/>
        </w:rPr>
        <w:t xml:space="preserve"> </w:t>
      </w:r>
      <w:r w:rsidRPr="00263CA6">
        <w:rPr>
          <w:color w:val="000000" w:themeColor="text1"/>
        </w:rPr>
        <w:t>of</w:t>
      </w:r>
      <w:r w:rsidR="00381542" w:rsidRPr="00263CA6">
        <w:rPr>
          <w:color w:val="000000" w:themeColor="text1"/>
        </w:rPr>
        <w:t xml:space="preserve"> overweight and obesity amongst</w:t>
      </w:r>
      <w:r w:rsidR="00EB673C" w:rsidRPr="00263CA6">
        <w:rPr>
          <w:color w:val="000000" w:themeColor="text1"/>
        </w:rPr>
        <w:t xml:space="preserve"> </w:t>
      </w:r>
      <w:r w:rsidR="008645EF" w:rsidRPr="00263CA6">
        <w:rPr>
          <w:color w:val="000000" w:themeColor="text1"/>
        </w:rPr>
        <w:t>the nursing profession</w:t>
      </w:r>
      <w:r w:rsidRPr="00263CA6">
        <w:rPr>
          <w:color w:val="000000" w:themeColor="text1"/>
        </w:rPr>
        <w:t xml:space="preserve"> </w:t>
      </w:r>
      <w:r w:rsidR="004B0DF9" w:rsidRPr="00263CA6">
        <w:rPr>
          <w:color w:val="000000" w:themeColor="text1"/>
        </w:rPr>
        <w:fldChar w:fldCharType="begin"/>
      </w:r>
      <w:r w:rsidR="00C04162" w:rsidRPr="00263CA6">
        <w:rPr>
          <w:color w:val="000000" w:themeColor="text1"/>
        </w:rPr>
        <w:instrText xml:space="preserve"> ADDIN EN.CITE &lt;EndNote&gt;&lt;Cite&gt;&lt;Author&gt;Kyle&lt;/Author&gt;&lt;Year&gt;In press&lt;/Year&gt;&lt;IDText&gt;Prevalence of overweight and obesity among nurses in Scotland: a cross-sectional study using the Scottish Health Survey&lt;/IDText&gt;&lt;DisplayText&gt;(Kyle et al, In press)&lt;/DisplayText&gt;&lt;record&gt;&lt;titles&gt;&lt;title&gt;Prevalence of overweight and obesity among nurses in Scotland: a cross-sectional study using the Scottish Health Survey&lt;/title&gt;&lt;secondary-title&gt;International Journal of Nursing Studies&lt;/secondary-title&gt;&lt;/titles&gt;&lt;contributors&gt;&lt;authors&gt;&lt;author&gt;Kyle, R.&lt;/author&gt;&lt;author&gt;Neall, R.&lt;/author&gt;&lt;author&gt;Atherton, I.&lt;/author&gt;&lt;/authors&gt;&lt;/contributors&gt;&lt;added-date format="utc"&gt;1452012784&lt;/added-date&gt;&lt;ref-type name="Journal Article"&gt;17&lt;/ref-type&gt;&lt;dates&gt;&lt;year&gt;In press&lt;/year&gt;&lt;/dates&gt;&lt;rec-number&gt;43&lt;/rec-number&gt;&lt;last-updated-date format="utc"&gt;1452012860&lt;/last-updated-date&gt;&lt;electronic-resource-num&gt;doi.org/10.1016/j.ijnurstu.2015.10.015&lt;/electronic-resource-num&gt;&lt;/record&gt;&lt;/Cite&gt;&lt;/EndNote&gt;</w:instrText>
      </w:r>
      <w:r w:rsidR="004B0DF9" w:rsidRPr="00263CA6">
        <w:rPr>
          <w:color w:val="000000" w:themeColor="text1"/>
        </w:rPr>
        <w:fldChar w:fldCharType="separate"/>
      </w:r>
      <w:r w:rsidR="00C04162" w:rsidRPr="00263CA6">
        <w:rPr>
          <w:noProof/>
          <w:color w:val="000000" w:themeColor="text1"/>
        </w:rPr>
        <w:t>(Kyl</w:t>
      </w:r>
      <w:r w:rsidR="00261128" w:rsidRPr="00263CA6">
        <w:rPr>
          <w:noProof/>
          <w:color w:val="000000" w:themeColor="text1"/>
        </w:rPr>
        <w:t>e et al, 2016</w:t>
      </w:r>
      <w:r w:rsidR="00C04162" w:rsidRPr="00263CA6">
        <w:rPr>
          <w:noProof/>
          <w:color w:val="000000" w:themeColor="text1"/>
        </w:rPr>
        <w:t>)</w:t>
      </w:r>
      <w:r w:rsidR="004B0DF9" w:rsidRPr="00263CA6">
        <w:rPr>
          <w:color w:val="000000" w:themeColor="text1"/>
        </w:rPr>
        <w:fldChar w:fldCharType="end"/>
      </w:r>
      <w:r w:rsidR="005A5F75" w:rsidRPr="00263CA6">
        <w:rPr>
          <w:color w:val="000000" w:themeColor="text1"/>
        </w:rPr>
        <w:t xml:space="preserve">. </w:t>
      </w:r>
      <w:r w:rsidRPr="00263CA6">
        <w:rPr>
          <w:color w:val="000000" w:themeColor="text1"/>
        </w:rPr>
        <w:t xml:space="preserve">Nurses represent a </w:t>
      </w:r>
      <w:r w:rsidR="00E63C30" w:rsidRPr="00263CA6">
        <w:rPr>
          <w:color w:val="000000" w:themeColor="text1"/>
        </w:rPr>
        <w:t>well-educated</w:t>
      </w:r>
      <w:r w:rsidRPr="00263CA6">
        <w:rPr>
          <w:color w:val="000000" w:themeColor="text1"/>
        </w:rPr>
        <w:t xml:space="preserve"> workforce, and one that is especially knowle</w:t>
      </w:r>
      <w:r w:rsidR="00043F2B" w:rsidRPr="00263CA6">
        <w:rPr>
          <w:color w:val="000000" w:themeColor="text1"/>
        </w:rPr>
        <w:t>dgeable about health and health-</w:t>
      </w:r>
      <w:r w:rsidRPr="00263CA6">
        <w:rPr>
          <w:color w:val="000000" w:themeColor="text1"/>
        </w:rPr>
        <w:t>related behaviours. Yet these nurses were more likely</w:t>
      </w:r>
      <w:r w:rsidR="00043F2B" w:rsidRPr="00263CA6">
        <w:rPr>
          <w:color w:val="000000" w:themeColor="text1"/>
        </w:rPr>
        <w:t xml:space="preserve"> to be</w:t>
      </w:r>
      <w:r w:rsidRPr="00263CA6">
        <w:rPr>
          <w:color w:val="000000" w:themeColor="text1"/>
        </w:rPr>
        <w:t xml:space="preserve"> overweight than </w:t>
      </w:r>
      <w:r w:rsidR="00043F2B" w:rsidRPr="00263CA6">
        <w:rPr>
          <w:color w:val="000000" w:themeColor="text1"/>
        </w:rPr>
        <w:t>those working in non-health related occupations</w:t>
      </w:r>
      <w:r w:rsidRPr="00263CA6">
        <w:rPr>
          <w:color w:val="000000" w:themeColor="text1"/>
        </w:rPr>
        <w:t xml:space="preserve">. </w:t>
      </w:r>
      <w:r w:rsidR="008B748C" w:rsidRPr="00263CA6">
        <w:rPr>
          <w:color w:val="000000" w:themeColor="text1"/>
        </w:rPr>
        <w:t xml:space="preserve">The findings cannot be explained by a lack of knowledge, and suggests that wider structures, perhaps the hierarchical nature of the health service or the effects of shift work, </w:t>
      </w:r>
      <w:r w:rsidR="00043F2B" w:rsidRPr="00263CA6">
        <w:rPr>
          <w:color w:val="000000" w:themeColor="text1"/>
        </w:rPr>
        <w:t>adversely impact</w:t>
      </w:r>
      <w:r w:rsidR="008B748C" w:rsidRPr="00263CA6">
        <w:rPr>
          <w:color w:val="000000" w:themeColor="text1"/>
        </w:rPr>
        <w:t xml:space="preserve"> health.</w:t>
      </w:r>
    </w:p>
    <w:p w14:paraId="260E587A" w14:textId="77777777" w:rsidR="008B748C" w:rsidRPr="00263CA6" w:rsidRDefault="008B748C" w:rsidP="00553A1C">
      <w:pPr>
        <w:spacing w:line="480" w:lineRule="auto"/>
        <w:rPr>
          <w:color w:val="000000" w:themeColor="text1"/>
        </w:rPr>
      </w:pPr>
    </w:p>
    <w:p w14:paraId="3067F995" w14:textId="19652BCD" w:rsidR="008B748C" w:rsidRPr="00263CA6" w:rsidRDefault="00894979" w:rsidP="00553A1C">
      <w:pPr>
        <w:spacing w:line="480" w:lineRule="auto"/>
        <w:rPr>
          <w:color w:val="000000" w:themeColor="text1"/>
        </w:rPr>
      </w:pPr>
      <w:r w:rsidRPr="00263CA6">
        <w:rPr>
          <w:color w:val="000000" w:themeColor="text1"/>
        </w:rPr>
        <w:t xml:space="preserve">This research </w:t>
      </w:r>
      <w:r w:rsidR="008B748C" w:rsidRPr="00263CA6">
        <w:rPr>
          <w:color w:val="000000" w:themeColor="text1"/>
        </w:rPr>
        <w:t>shed</w:t>
      </w:r>
      <w:r w:rsidR="00043F2B" w:rsidRPr="00263CA6">
        <w:rPr>
          <w:color w:val="000000" w:themeColor="text1"/>
        </w:rPr>
        <w:t>s</w:t>
      </w:r>
      <w:r w:rsidR="008B748C" w:rsidRPr="00263CA6">
        <w:rPr>
          <w:color w:val="000000" w:themeColor="text1"/>
        </w:rPr>
        <w:t xml:space="preserve"> new light on the wider determinants of health, but also to provide accessible insights to social epidemiology for nurses. </w:t>
      </w:r>
      <w:r w:rsidR="00251D33" w:rsidRPr="00263CA6">
        <w:rPr>
          <w:color w:val="000000" w:themeColor="text1"/>
        </w:rPr>
        <w:t>The findings</w:t>
      </w:r>
      <w:r w:rsidR="008645EF" w:rsidRPr="00263CA6">
        <w:rPr>
          <w:color w:val="000000" w:themeColor="text1"/>
        </w:rPr>
        <w:t xml:space="preserve"> </w:t>
      </w:r>
      <w:r w:rsidR="008645EF" w:rsidRPr="00263CA6">
        <w:rPr>
          <w:color w:val="000000" w:themeColor="text1"/>
        </w:rPr>
        <w:lastRenderedPageBreak/>
        <w:t>contribute to</w:t>
      </w:r>
      <w:r w:rsidR="00A33458" w:rsidRPr="00263CA6">
        <w:rPr>
          <w:color w:val="000000" w:themeColor="text1"/>
        </w:rPr>
        <w:t xml:space="preserve"> break</w:t>
      </w:r>
      <w:r w:rsidR="008645EF" w:rsidRPr="00263CA6">
        <w:rPr>
          <w:color w:val="000000" w:themeColor="text1"/>
        </w:rPr>
        <w:t>ing</w:t>
      </w:r>
      <w:r w:rsidR="00A33458" w:rsidRPr="00263CA6">
        <w:rPr>
          <w:color w:val="000000" w:themeColor="text1"/>
        </w:rPr>
        <w:t xml:space="preserve"> down </w:t>
      </w:r>
      <w:r w:rsidR="00AD5191" w:rsidRPr="00263CA6">
        <w:rPr>
          <w:color w:val="000000" w:themeColor="text1"/>
        </w:rPr>
        <w:t xml:space="preserve">barriers to understanding theories of population health, and ask questions that go beyond any sense of </w:t>
      </w:r>
      <w:r w:rsidR="006D5F80" w:rsidRPr="00263CA6">
        <w:rPr>
          <w:color w:val="000000" w:themeColor="text1"/>
        </w:rPr>
        <w:t>‘</w:t>
      </w:r>
      <w:r w:rsidR="00AD5191" w:rsidRPr="00263CA6">
        <w:rPr>
          <w:color w:val="000000" w:themeColor="text1"/>
        </w:rPr>
        <w:t>them</w:t>
      </w:r>
      <w:r w:rsidR="006D5F80" w:rsidRPr="00263CA6">
        <w:rPr>
          <w:color w:val="000000" w:themeColor="text1"/>
        </w:rPr>
        <w:t>’ and ‘us’, ‘nurse’</w:t>
      </w:r>
      <w:r w:rsidR="00086234" w:rsidRPr="00263CA6">
        <w:rPr>
          <w:color w:val="000000" w:themeColor="text1"/>
        </w:rPr>
        <w:t xml:space="preserve"> and ‘service user’</w:t>
      </w:r>
      <w:r w:rsidR="00AD5191" w:rsidRPr="00263CA6">
        <w:rPr>
          <w:color w:val="000000" w:themeColor="text1"/>
        </w:rPr>
        <w:t xml:space="preserve">. We are all influenced by the wider determinants of health. </w:t>
      </w:r>
      <w:r w:rsidR="00F136B7" w:rsidRPr="00263CA6">
        <w:rPr>
          <w:color w:val="000000" w:themeColor="text1"/>
        </w:rPr>
        <w:t xml:space="preserve">Marmot </w:t>
      </w:r>
      <w:r w:rsidR="00F136B7" w:rsidRPr="00263CA6">
        <w:rPr>
          <w:i/>
          <w:color w:val="000000" w:themeColor="text1"/>
        </w:rPr>
        <w:t>et al.</w:t>
      </w:r>
      <w:r w:rsidR="00BB0C7E" w:rsidRPr="00263CA6">
        <w:rPr>
          <w:i/>
          <w:color w:val="000000" w:themeColor="text1"/>
        </w:rPr>
        <w:t xml:space="preserve"> </w:t>
      </w:r>
      <w:r w:rsidR="004B0DF9" w:rsidRPr="00263CA6">
        <w:rPr>
          <w:color w:val="000000" w:themeColor="text1"/>
        </w:rPr>
        <w:fldChar w:fldCharType="begin"/>
      </w:r>
      <w:r w:rsidR="00D25E6B" w:rsidRPr="00263CA6">
        <w:rPr>
          <w:color w:val="000000" w:themeColor="text1"/>
        </w:rPr>
        <w:instrText xml:space="preserve"> ADDIN EN.CITE &lt;EndNote&gt;&lt;Cite ExcludeAuth="1"&gt;&lt;Author&gt;Marmot&lt;/Author&gt;&lt;Year&gt;1991&lt;/Year&gt;&lt;IDText&gt;Health inequalities among British civil servants: the Whitehall II study&lt;/IDText&gt;&lt;DisplayText&gt;(1991)&lt;/DisplayText&gt;&lt;record&gt;&lt;titles&gt;&lt;title&gt;Health inequalities among British civil servants: the Whitehall II study&lt;/title&gt;&lt;secondary-title&gt;The Lancet&lt;/secondary-title&gt;&lt;/titles&gt;&lt;pages&gt;1387-1393&lt;/pages&gt;&lt;number&gt;8754&lt;/number&gt;&lt;contributors&gt;&lt;authors&gt;&lt;author&gt;Marmot,  M.&lt;/author&gt;&lt;author&gt;Stansfeld, S.&lt;/author&gt;&lt;author&gt;Patel, C.&lt;/author&gt;&lt;author&gt;North, F.&lt;/author&gt;&lt;author&gt;Head, J.&lt;/author&gt;&lt;author&gt;White, I.&lt;/author&gt;&lt;author&gt;Brunner, E.&lt;/author&gt;&lt;author&gt;Feeney, A.&lt;/author&gt;&lt;author&gt;Marmot, M.&lt;/author&gt;&lt;author&gt;Davey Smith, G.&lt;/author&gt;&lt;/authors&gt;&lt;/contributors&gt;&lt;added-date format="utc"&gt;1452012982&lt;/added-date&gt;&lt;ref-type name="Journal Article"&gt;17&lt;/ref-type&gt;&lt;dates&gt;&lt;year&gt;1991&lt;/year&gt;&lt;/dates&gt;&lt;rec-number&gt;44&lt;/rec-number&gt;&lt;last-updated-date format="utc"&gt;1452013087&lt;/last-updated-date&gt;&lt;volume&gt;337&lt;/volume&gt;&lt;/record&gt;&lt;/Cite&gt;&lt;/EndNote&gt;</w:instrText>
      </w:r>
      <w:r w:rsidR="004B0DF9" w:rsidRPr="00263CA6">
        <w:rPr>
          <w:color w:val="000000" w:themeColor="text1"/>
        </w:rPr>
        <w:fldChar w:fldCharType="separate"/>
      </w:r>
      <w:r w:rsidR="00D25E6B" w:rsidRPr="00263CA6">
        <w:rPr>
          <w:noProof/>
          <w:color w:val="000000" w:themeColor="text1"/>
        </w:rPr>
        <w:t>(1991)</w:t>
      </w:r>
      <w:r w:rsidR="004B0DF9" w:rsidRPr="00263CA6">
        <w:rPr>
          <w:color w:val="000000" w:themeColor="text1"/>
        </w:rPr>
        <w:fldChar w:fldCharType="end"/>
      </w:r>
      <w:r w:rsidR="00F136B7" w:rsidRPr="00263CA6">
        <w:rPr>
          <w:color w:val="000000" w:themeColor="text1"/>
        </w:rPr>
        <w:t xml:space="preserve"> have time an</w:t>
      </w:r>
      <w:r w:rsidR="005B21F8" w:rsidRPr="00263CA6">
        <w:rPr>
          <w:color w:val="000000" w:themeColor="text1"/>
        </w:rPr>
        <w:t>d</w:t>
      </w:r>
      <w:r w:rsidR="00F136B7" w:rsidRPr="00263CA6">
        <w:rPr>
          <w:color w:val="000000" w:themeColor="text1"/>
        </w:rPr>
        <w:t xml:space="preserve"> again demonstrated so with their studies based on the civil servants of the Whitehall Studies</w:t>
      </w:r>
      <w:r w:rsidR="000B5CA6" w:rsidRPr="00263CA6">
        <w:rPr>
          <w:color w:val="000000" w:themeColor="text1"/>
        </w:rPr>
        <w:t>,</w:t>
      </w:r>
      <w:r w:rsidR="00F136B7" w:rsidRPr="00263CA6">
        <w:rPr>
          <w:color w:val="000000" w:themeColor="text1"/>
        </w:rPr>
        <w:t xml:space="preserve"> as Kyle </w:t>
      </w:r>
      <w:r w:rsidR="00F136B7" w:rsidRPr="00263CA6">
        <w:rPr>
          <w:i/>
          <w:color w:val="000000" w:themeColor="text1"/>
        </w:rPr>
        <w:t xml:space="preserve">et al. </w:t>
      </w:r>
      <w:r w:rsidR="00E31A04" w:rsidRPr="00263CA6">
        <w:rPr>
          <w:color w:val="000000" w:themeColor="text1"/>
        </w:rPr>
        <w:fldChar w:fldCharType="begin"/>
      </w:r>
      <w:r w:rsidR="00C04162" w:rsidRPr="00263CA6">
        <w:rPr>
          <w:color w:val="000000" w:themeColor="text1"/>
        </w:rPr>
        <w:instrText xml:space="preserve"> ADDIN EN.CITE &lt;EndNote&gt;&lt;Cite ExcludeAuth="1"&gt;&lt;Author&gt;Kyle&lt;/Author&gt;&lt;Year&gt;In press&lt;/Year&gt;&lt;IDText&gt;Prevalence of overweight and obesity among nurses in Scotland: a cross-sectional study using the Scottish Health Survey&lt;/IDText&gt;&lt;DisplayText&gt;(In press)&lt;/DisplayText&gt;&lt;record&gt;&lt;titles&gt;&lt;title&gt;Prevalence of overweight and obesity among nurses in Scotland: a cross-sectional study using the Scottish Health Survey&lt;/title&gt;&lt;secondary-title&gt;International Journal of Nursing Studies&lt;/secondary-title&gt;&lt;/titles&gt;&lt;contributors&gt;&lt;authors&gt;&lt;author&gt;Kyle, R.&lt;/author&gt;&lt;author&gt;Neall, R.&lt;/author&gt;&lt;author&gt;Atherton, I.&lt;/author&gt;&lt;/authors&gt;&lt;/contributors&gt;&lt;added-date format="utc"&gt;1452012784&lt;/added-date&gt;&lt;ref-type name="Journal Article"&gt;17&lt;/ref-type&gt;&lt;dates&gt;&lt;year&gt;In press&lt;/year&gt;&lt;/dates&gt;&lt;rec-number&gt;43&lt;/rec-number&gt;&lt;last-updated-date format="utc"&gt;1452012860&lt;/last-updated-date&gt;&lt;electronic-resource-num&gt;doi.org/10.1016/j.ijnurstu.2015.10.015&lt;/electronic-resource-num&gt;&lt;/record&gt;&lt;/Cite&gt;&lt;/EndNote&gt;</w:instrText>
      </w:r>
      <w:r w:rsidR="00E31A04" w:rsidRPr="00263CA6">
        <w:rPr>
          <w:color w:val="000000" w:themeColor="text1"/>
        </w:rPr>
        <w:fldChar w:fldCharType="separate"/>
      </w:r>
      <w:r w:rsidR="000B58A4" w:rsidRPr="00263CA6">
        <w:rPr>
          <w:noProof/>
          <w:color w:val="000000" w:themeColor="text1"/>
        </w:rPr>
        <w:t>(2016</w:t>
      </w:r>
      <w:r w:rsidR="00C04162" w:rsidRPr="00263CA6">
        <w:rPr>
          <w:noProof/>
          <w:color w:val="000000" w:themeColor="text1"/>
        </w:rPr>
        <w:t>)</w:t>
      </w:r>
      <w:r w:rsidR="00E31A04" w:rsidRPr="00263CA6">
        <w:rPr>
          <w:color w:val="000000" w:themeColor="text1"/>
        </w:rPr>
        <w:fldChar w:fldCharType="end"/>
      </w:r>
      <w:r w:rsidR="00F136B7" w:rsidRPr="00263CA6">
        <w:rPr>
          <w:color w:val="000000" w:themeColor="text1"/>
        </w:rPr>
        <w:t xml:space="preserve"> </w:t>
      </w:r>
      <w:r w:rsidR="000263DB" w:rsidRPr="00263CA6">
        <w:rPr>
          <w:color w:val="000000" w:themeColor="text1"/>
        </w:rPr>
        <w:t>have</w:t>
      </w:r>
      <w:r w:rsidR="00F136B7" w:rsidRPr="00263CA6">
        <w:rPr>
          <w:color w:val="000000" w:themeColor="text1"/>
        </w:rPr>
        <w:t xml:space="preserve"> with nurses.</w:t>
      </w:r>
    </w:p>
    <w:p w14:paraId="3D05D834" w14:textId="77777777" w:rsidR="005A5F75" w:rsidRPr="00263CA6" w:rsidRDefault="005A5F75" w:rsidP="00553A1C">
      <w:pPr>
        <w:spacing w:line="480" w:lineRule="auto"/>
        <w:rPr>
          <w:color w:val="000000" w:themeColor="text1"/>
        </w:rPr>
      </w:pPr>
    </w:p>
    <w:p w14:paraId="24440607" w14:textId="3C2F8D86" w:rsidR="005A5F75" w:rsidRPr="00263CA6" w:rsidRDefault="00251D33" w:rsidP="00553A1C">
      <w:pPr>
        <w:spacing w:line="480" w:lineRule="auto"/>
        <w:rPr>
          <w:color w:val="000000" w:themeColor="text1"/>
        </w:rPr>
      </w:pPr>
      <w:r w:rsidRPr="00263CA6">
        <w:rPr>
          <w:color w:val="000000" w:themeColor="text1"/>
        </w:rPr>
        <w:t xml:space="preserve">Second, to point towards how classroom teaching can </w:t>
      </w:r>
      <w:r w:rsidR="00941DF2" w:rsidRPr="00263CA6">
        <w:rPr>
          <w:color w:val="000000" w:themeColor="text1"/>
        </w:rPr>
        <w:t>spark students’</w:t>
      </w:r>
      <w:r w:rsidRPr="00263CA6">
        <w:rPr>
          <w:color w:val="000000" w:themeColor="text1"/>
        </w:rPr>
        <w:t xml:space="preserve"> imagination to connect individuals’ practice to the wider context, we discuss teaching using a ‘flipped-classroom’</w:t>
      </w:r>
      <w:r w:rsidR="008645EF" w:rsidRPr="00263CA6">
        <w:rPr>
          <w:color w:val="000000" w:themeColor="text1"/>
        </w:rPr>
        <w:t>.</w:t>
      </w:r>
      <w:r w:rsidRPr="00263CA6">
        <w:rPr>
          <w:color w:val="000000" w:themeColor="text1"/>
        </w:rPr>
        <w:t xml:space="preserve"> This specific </w:t>
      </w:r>
      <w:r w:rsidR="008B0C9B" w:rsidRPr="00263CA6">
        <w:rPr>
          <w:color w:val="000000" w:themeColor="text1"/>
        </w:rPr>
        <w:t>exemplar</w:t>
      </w:r>
      <w:r w:rsidR="005A5F75" w:rsidRPr="00263CA6">
        <w:rPr>
          <w:color w:val="000000" w:themeColor="text1"/>
        </w:rPr>
        <w:t xml:space="preserve"> resulted from recognition by academics in the U</w:t>
      </w:r>
      <w:r w:rsidRPr="00263CA6">
        <w:rPr>
          <w:color w:val="000000" w:themeColor="text1"/>
        </w:rPr>
        <w:t>S</w:t>
      </w:r>
      <w:r w:rsidR="005A5F75" w:rsidRPr="00263CA6">
        <w:rPr>
          <w:color w:val="000000" w:themeColor="text1"/>
        </w:rPr>
        <w:t xml:space="preserve"> that traditional didactic approaches were not effective in encouraging </w:t>
      </w:r>
      <w:r w:rsidR="00F136B7" w:rsidRPr="00263CA6">
        <w:rPr>
          <w:color w:val="000000" w:themeColor="text1"/>
        </w:rPr>
        <w:t xml:space="preserve">students to creatively think through the implications of insights from </w:t>
      </w:r>
      <w:r w:rsidR="005A5F75" w:rsidRPr="00263CA6">
        <w:rPr>
          <w:color w:val="000000" w:themeColor="text1"/>
        </w:rPr>
        <w:t>population health</w:t>
      </w:r>
      <w:r w:rsidR="00F136B7" w:rsidRPr="00263CA6">
        <w:rPr>
          <w:color w:val="000000" w:themeColor="text1"/>
        </w:rPr>
        <w:t xml:space="preserve"> for their own practice</w:t>
      </w:r>
      <w:r w:rsidR="005A5F75" w:rsidRPr="00263CA6">
        <w:rPr>
          <w:color w:val="000000" w:themeColor="text1"/>
        </w:rPr>
        <w:t xml:space="preserve"> </w:t>
      </w:r>
      <w:r w:rsidR="008371B3" w:rsidRPr="00263CA6">
        <w:rPr>
          <w:color w:val="000000" w:themeColor="text1"/>
        </w:rPr>
        <w:fldChar w:fldCharType="begin"/>
      </w:r>
      <w:r w:rsidR="00E95609" w:rsidRPr="00263CA6">
        <w:rPr>
          <w:color w:val="000000" w:themeColor="text1"/>
        </w:rPr>
        <w:instrText xml:space="preserve"> ADDIN EN.CITE &lt;EndNote&gt;&lt;Cite&gt;&lt;Author&gt;Simpson&lt;/Author&gt;&lt;Year&gt;2015&lt;/Year&gt;&lt;IDText&gt;Flipping the classroom to teach population health: increasing relevance&lt;/IDText&gt;&lt;DisplayText&gt;(Simpson &amp;amp; Richards, 2015)&lt;/DisplayText&gt;&lt;record&gt;&lt;titles&gt;&lt;title&gt;Flipping the classroom to teach population health: increasing relevance&lt;/title&gt;&lt;secondary-title&gt;Nurse education in practice&lt;/secondary-title&gt;&lt;/titles&gt;&lt;pages&gt;162-167&lt;/pages&gt;&lt;contributors&gt;&lt;authors&gt;&lt;author&gt;Simpson, V.&lt;/author&gt;&lt;author&gt;Richards, E.&lt;/author&gt;&lt;/authors&gt;&lt;/contributors&gt;&lt;added-date format="utc"&gt;1452014347&lt;/added-date&gt;&lt;ref-type name="Journal Article"&gt;17&lt;/ref-type&gt;&lt;dates&gt;&lt;year&gt;2015&lt;/year&gt;&lt;/dates&gt;&lt;rec-number&gt;50&lt;/rec-number&gt;&lt;last-updated-date format="utc"&gt;1452014402&lt;/last-updated-date&gt;&lt;volume&gt;15&lt;/volume&gt;&lt;/record&gt;&lt;/Cite&gt;&lt;/EndNote&gt;</w:instrText>
      </w:r>
      <w:r w:rsidR="008371B3" w:rsidRPr="00263CA6">
        <w:rPr>
          <w:color w:val="000000" w:themeColor="text1"/>
        </w:rPr>
        <w:fldChar w:fldCharType="separate"/>
      </w:r>
      <w:r w:rsidR="00E95609" w:rsidRPr="00263CA6">
        <w:rPr>
          <w:noProof/>
          <w:color w:val="000000" w:themeColor="text1"/>
        </w:rPr>
        <w:t>(Simpson &amp; Richards, 2015)</w:t>
      </w:r>
      <w:r w:rsidR="008371B3" w:rsidRPr="00263CA6">
        <w:rPr>
          <w:color w:val="000000" w:themeColor="text1"/>
        </w:rPr>
        <w:fldChar w:fldCharType="end"/>
      </w:r>
      <w:r w:rsidR="005A5F75" w:rsidRPr="00263CA6">
        <w:rPr>
          <w:color w:val="000000" w:themeColor="text1"/>
        </w:rPr>
        <w:t xml:space="preserve">. </w:t>
      </w:r>
      <w:r w:rsidR="00C95027" w:rsidRPr="00263CA6">
        <w:rPr>
          <w:color w:val="000000" w:themeColor="text1"/>
        </w:rPr>
        <w:t>In this flipped-class, a</w:t>
      </w:r>
      <w:r w:rsidR="005A5F75" w:rsidRPr="00263CA6">
        <w:rPr>
          <w:color w:val="000000" w:themeColor="text1"/>
        </w:rPr>
        <w:t xml:space="preserve"> range of activities and resources </w:t>
      </w:r>
      <w:r w:rsidR="00E55B86" w:rsidRPr="00263CA6">
        <w:rPr>
          <w:color w:val="000000" w:themeColor="text1"/>
        </w:rPr>
        <w:t>were</w:t>
      </w:r>
      <w:r w:rsidR="005A5F75" w:rsidRPr="00263CA6">
        <w:rPr>
          <w:color w:val="000000" w:themeColor="text1"/>
        </w:rPr>
        <w:t xml:space="preserve"> made available</w:t>
      </w:r>
      <w:r w:rsidR="00F136B7" w:rsidRPr="00263CA6">
        <w:rPr>
          <w:color w:val="000000" w:themeColor="text1"/>
        </w:rPr>
        <w:t xml:space="preserve"> to students</w:t>
      </w:r>
      <w:r w:rsidR="005A5F75" w:rsidRPr="00263CA6">
        <w:rPr>
          <w:color w:val="000000" w:themeColor="text1"/>
        </w:rPr>
        <w:t xml:space="preserve"> with an expectation that these would be drawn on prior to attending inter</w:t>
      </w:r>
      <w:r w:rsidR="005B5246" w:rsidRPr="00263CA6">
        <w:rPr>
          <w:color w:val="000000" w:themeColor="text1"/>
        </w:rPr>
        <w:t>active sessions</w:t>
      </w:r>
      <w:r w:rsidR="005A5F75" w:rsidRPr="00263CA6">
        <w:rPr>
          <w:color w:val="000000" w:themeColor="text1"/>
        </w:rPr>
        <w:t xml:space="preserve">. </w:t>
      </w:r>
      <w:r w:rsidR="00C95027" w:rsidRPr="00263CA6">
        <w:rPr>
          <w:color w:val="000000" w:themeColor="text1"/>
        </w:rPr>
        <w:t>O</w:t>
      </w:r>
      <w:r w:rsidR="005A5F75" w:rsidRPr="00263CA6">
        <w:rPr>
          <w:color w:val="000000" w:themeColor="text1"/>
        </w:rPr>
        <w:t xml:space="preserve">nline </w:t>
      </w:r>
      <w:r w:rsidR="00CA4F00" w:rsidRPr="00263CA6">
        <w:rPr>
          <w:color w:val="000000" w:themeColor="text1"/>
        </w:rPr>
        <w:t>quiz</w:t>
      </w:r>
      <w:r w:rsidR="00C95027" w:rsidRPr="00263CA6">
        <w:rPr>
          <w:color w:val="000000" w:themeColor="text1"/>
        </w:rPr>
        <w:t xml:space="preserve">zes </w:t>
      </w:r>
      <w:r w:rsidR="00E55B86" w:rsidRPr="00263CA6">
        <w:rPr>
          <w:color w:val="000000" w:themeColor="text1"/>
        </w:rPr>
        <w:t>were</w:t>
      </w:r>
      <w:r w:rsidR="00C95027" w:rsidRPr="00263CA6">
        <w:rPr>
          <w:color w:val="000000" w:themeColor="text1"/>
        </w:rPr>
        <w:t xml:space="preserve"> </w:t>
      </w:r>
      <w:r w:rsidR="005A5F75" w:rsidRPr="00263CA6">
        <w:rPr>
          <w:color w:val="000000" w:themeColor="text1"/>
        </w:rPr>
        <w:t xml:space="preserve">completed prior to these seminars as a nudge to ensure </w:t>
      </w:r>
      <w:r w:rsidR="00CA4F00" w:rsidRPr="00263CA6">
        <w:rPr>
          <w:color w:val="000000" w:themeColor="text1"/>
        </w:rPr>
        <w:t xml:space="preserve">effective </w:t>
      </w:r>
      <w:r w:rsidR="005A5F75" w:rsidRPr="00263CA6">
        <w:rPr>
          <w:color w:val="000000" w:themeColor="text1"/>
        </w:rPr>
        <w:t>engagement</w:t>
      </w:r>
      <w:r w:rsidR="00CA4F00" w:rsidRPr="00263CA6">
        <w:rPr>
          <w:color w:val="000000" w:themeColor="text1"/>
        </w:rPr>
        <w:t xml:space="preserve"> during class</w:t>
      </w:r>
      <w:r w:rsidR="00AF6EA9" w:rsidRPr="00263CA6">
        <w:rPr>
          <w:color w:val="000000" w:themeColor="text1"/>
        </w:rPr>
        <w:t>. F</w:t>
      </w:r>
      <w:r w:rsidR="005A5F75" w:rsidRPr="00263CA6">
        <w:rPr>
          <w:color w:val="000000" w:themeColor="text1"/>
        </w:rPr>
        <w:t>ortnightl</w:t>
      </w:r>
      <w:r w:rsidR="00AF6EA9" w:rsidRPr="00263CA6">
        <w:rPr>
          <w:color w:val="000000" w:themeColor="text1"/>
        </w:rPr>
        <w:t>y face-to-face sessions include</w:t>
      </w:r>
      <w:r w:rsidR="00E55B86" w:rsidRPr="00263CA6">
        <w:rPr>
          <w:color w:val="000000" w:themeColor="text1"/>
        </w:rPr>
        <w:t>d</w:t>
      </w:r>
      <w:r w:rsidR="005A5F75" w:rsidRPr="00263CA6">
        <w:rPr>
          <w:color w:val="000000" w:themeColor="text1"/>
        </w:rPr>
        <w:t xml:space="preserve"> group work with emphasis on students supporting one-another and </w:t>
      </w:r>
      <w:r w:rsidR="004B34A2" w:rsidRPr="00263CA6">
        <w:rPr>
          <w:color w:val="000000" w:themeColor="text1"/>
        </w:rPr>
        <w:t xml:space="preserve">educators </w:t>
      </w:r>
      <w:r w:rsidR="00F136B7" w:rsidRPr="00263CA6">
        <w:rPr>
          <w:color w:val="000000" w:themeColor="text1"/>
        </w:rPr>
        <w:t>facilitat</w:t>
      </w:r>
      <w:r w:rsidR="004B34A2" w:rsidRPr="00263CA6">
        <w:rPr>
          <w:color w:val="000000" w:themeColor="text1"/>
        </w:rPr>
        <w:t>ing</w:t>
      </w:r>
      <w:r w:rsidR="00F136B7" w:rsidRPr="00263CA6">
        <w:rPr>
          <w:color w:val="000000" w:themeColor="text1"/>
        </w:rPr>
        <w:t xml:space="preserve"> discussion. The nudge towards learning prior to discussion, with</w:t>
      </w:r>
      <w:r w:rsidR="00C95027" w:rsidRPr="00263CA6">
        <w:rPr>
          <w:color w:val="000000" w:themeColor="text1"/>
        </w:rPr>
        <w:t xml:space="preserve"> time and space </w:t>
      </w:r>
      <w:r w:rsidR="00F136B7" w:rsidRPr="00263CA6">
        <w:rPr>
          <w:color w:val="000000" w:themeColor="text1"/>
        </w:rPr>
        <w:t>to re</w:t>
      </w:r>
      <w:r w:rsidR="008645EF" w:rsidRPr="00263CA6">
        <w:rPr>
          <w:color w:val="000000" w:themeColor="text1"/>
        </w:rPr>
        <w:t>flect prior to seminar attendance</w:t>
      </w:r>
      <w:r w:rsidR="00E55B86" w:rsidRPr="00263CA6">
        <w:rPr>
          <w:color w:val="000000" w:themeColor="text1"/>
        </w:rPr>
        <w:t>, enabled</w:t>
      </w:r>
      <w:r w:rsidR="00F136B7" w:rsidRPr="00263CA6">
        <w:rPr>
          <w:color w:val="000000" w:themeColor="text1"/>
        </w:rPr>
        <w:t xml:space="preserve"> students to think through the </w:t>
      </w:r>
      <w:r w:rsidR="003B5053" w:rsidRPr="00263CA6">
        <w:rPr>
          <w:color w:val="000000" w:themeColor="text1"/>
        </w:rPr>
        <w:t>‘</w:t>
      </w:r>
      <w:r w:rsidR="00F136B7" w:rsidRPr="00263CA6">
        <w:rPr>
          <w:color w:val="000000" w:themeColor="text1"/>
        </w:rPr>
        <w:t>so what</w:t>
      </w:r>
      <w:r w:rsidR="003B5053" w:rsidRPr="00263CA6">
        <w:rPr>
          <w:color w:val="000000" w:themeColor="text1"/>
        </w:rPr>
        <w:t>?’</w:t>
      </w:r>
      <w:r w:rsidR="00F136B7" w:rsidRPr="00263CA6">
        <w:rPr>
          <w:color w:val="000000" w:themeColor="text1"/>
        </w:rPr>
        <w:t xml:space="preserve">, and even to ask that question to fellow students, or indeed to clinical placement mentors. </w:t>
      </w:r>
      <w:r w:rsidR="00E55B86" w:rsidRPr="00263CA6">
        <w:rPr>
          <w:color w:val="000000" w:themeColor="text1"/>
        </w:rPr>
        <w:t>After group work was</w:t>
      </w:r>
      <w:r w:rsidR="00C95027" w:rsidRPr="00263CA6">
        <w:rPr>
          <w:color w:val="000000" w:themeColor="text1"/>
        </w:rPr>
        <w:t xml:space="preserve"> completed, students individually reflect</w:t>
      </w:r>
      <w:r w:rsidR="00E55B86" w:rsidRPr="00263CA6">
        <w:rPr>
          <w:color w:val="000000" w:themeColor="text1"/>
        </w:rPr>
        <w:t>ed</w:t>
      </w:r>
      <w:r w:rsidR="00C95027" w:rsidRPr="00263CA6">
        <w:rPr>
          <w:color w:val="000000" w:themeColor="text1"/>
        </w:rPr>
        <w:t xml:space="preserve"> on learning</w:t>
      </w:r>
      <w:r w:rsidR="00DE05C0" w:rsidRPr="00263CA6">
        <w:rPr>
          <w:color w:val="000000" w:themeColor="text1"/>
        </w:rPr>
        <w:t>, enhancing the ability to</w:t>
      </w:r>
      <w:r w:rsidR="00C95027" w:rsidRPr="00263CA6">
        <w:rPr>
          <w:color w:val="000000" w:themeColor="text1"/>
        </w:rPr>
        <w:t xml:space="preserve"> link course material to their families, communities, and future practice.</w:t>
      </w:r>
    </w:p>
    <w:p w14:paraId="60A80ACA" w14:textId="77777777" w:rsidR="005A5F75" w:rsidRPr="00263CA6" w:rsidRDefault="005A5F75" w:rsidP="00553A1C">
      <w:pPr>
        <w:spacing w:line="480" w:lineRule="auto"/>
        <w:rPr>
          <w:color w:val="000000" w:themeColor="text1"/>
        </w:rPr>
      </w:pPr>
    </w:p>
    <w:p w14:paraId="29B2D5D4" w14:textId="5B297A6A" w:rsidR="005A5F75" w:rsidRPr="00263CA6" w:rsidRDefault="005A5F75" w:rsidP="00553A1C">
      <w:pPr>
        <w:spacing w:line="480" w:lineRule="auto"/>
        <w:rPr>
          <w:color w:val="000000" w:themeColor="text1"/>
        </w:rPr>
      </w:pPr>
      <w:r w:rsidRPr="00263CA6">
        <w:rPr>
          <w:color w:val="000000" w:themeColor="text1"/>
        </w:rPr>
        <w:lastRenderedPageBreak/>
        <w:t>Outcomes from this teaching have been encouraging and convincing. Students themselves rated the course highly</w:t>
      </w:r>
      <w:r w:rsidR="00C95027" w:rsidRPr="00263CA6">
        <w:rPr>
          <w:color w:val="000000" w:themeColor="text1"/>
        </w:rPr>
        <w:t xml:space="preserve">, </w:t>
      </w:r>
      <w:r w:rsidR="004D61DB" w:rsidRPr="00263CA6">
        <w:rPr>
          <w:color w:val="000000" w:themeColor="text1"/>
        </w:rPr>
        <w:t>a mark of</w:t>
      </w:r>
      <w:r w:rsidR="002C0C8C" w:rsidRPr="00263CA6">
        <w:rPr>
          <w:color w:val="000000" w:themeColor="text1"/>
        </w:rPr>
        <w:t xml:space="preserve"> engaging teaching</w:t>
      </w:r>
      <w:r w:rsidR="00CB037B" w:rsidRPr="00263CA6">
        <w:rPr>
          <w:color w:val="000000" w:themeColor="text1"/>
        </w:rPr>
        <w:t>. E</w:t>
      </w:r>
      <w:r w:rsidR="005B21F8" w:rsidRPr="00263CA6">
        <w:rPr>
          <w:color w:val="000000" w:themeColor="text1"/>
        </w:rPr>
        <w:t>ducators</w:t>
      </w:r>
      <w:r w:rsidRPr="00263CA6">
        <w:rPr>
          <w:color w:val="000000" w:themeColor="text1"/>
        </w:rPr>
        <w:t>,</w:t>
      </w:r>
      <w:r w:rsidR="00481318" w:rsidRPr="00263CA6">
        <w:rPr>
          <w:color w:val="000000" w:themeColor="text1"/>
        </w:rPr>
        <w:t xml:space="preserve"> including those working with students </w:t>
      </w:r>
      <w:r w:rsidR="00C95027" w:rsidRPr="00263CA6">
        <w:rPr>
          <w:color w:val="000000" w:themeColor="text1"/>
        </w:rPr>
        <w:t xml:space="preserve">in </w:t>
      </w:r>
      <w:r w:rsidR="00481318" w:rsidRPr="00263CA6">
        <w:rPr>
          <w:color w:val="000000" w:themeColor="text1"/>
        </w:rPr>
        <w:t>other courses,</w:t>
      </w:r>
      <w:r w:rsidRPr="00263CA6">
        <w:rPr>
          <w:color w:val="000000" w:themeColor="text1"/>
        </w:rPr>
        <w:t xml:space="preserve"> </w:t>
      </w:r>
      <w:r w:rsidR="00AF6EA9" w:rsidRPr="00263CA6">
        <w:rPr>
          <w:color w:val="000000" w:themeColor="text1"/>
        </w:rPr>
        <w:t xml:space="preserve">have </w:t>
      </w:r>
      <w:r w:rsidR="00216671" w:rsidRPr="00263CA6">
        <w:rPr>
          <w:color w:val="000000" w:themeColor="text1"/>
        </w:rPr>
        <w:t>perceived</w:t>
      </w:r>
      <w:r w:rsidRPr="00263CA6">
        <w:rPr>
          <w:color w:val="000000" w:themeColor="text1"/>
        </w:rPr>
        <w:t xml:space="preserve"> </w:t>
      </w:r>
      <w:r w:rsidR="00C95027" w:rsidRPr="00263CA6">
        <w:rPr>
          <w:color w:val="000000" w:themeColor="text1"/>
        </w:rPr>
        <w:t>classroom dis</w:t>
      </w:r>
      <w:r w:rsidR="00E23A73" w:rsidRPr="00263CA6">
        <w:rPr>
          <w:color w:val="000000" w:themeColor="text1"/>
        </w:rPr>
        <w:t>cussion and other clinical work</w:t>
      </w:r>
      <w:r w:rsidR="00216671" w:rsidRPr="00263CA6">
        <w:rPr>
          <w:color w:val="000000" w:themeColor="text1"/>
        </w:rPr>
        <w:t xml:space="preserve"> to be </w:t>
      </w:r>
      <w:r w:rsidR="00DE05C0" w:rsidRPr="00263CA6">
        <w:rPr>
          <w:color w:val="000000" w:themeColor="text1"/>
        </w:rPr>
        <w:t xml:space="preserve">more </w:t>
      </w:r>
      <w:r w:rsidR="00216671" w:rsidRPr="00263CA6">
        <w:rPr>
          <w:color w:val="000000" w:themeColor="text1"/>
        </w:rPr>
        <w:t>reflecti</w:t>
      </w:r>
      <w:r w:rsidR="00DE05C0" w:rsidRPr="00263CA6">
        <w:rPr>
          <w:color w:val="000000" w:themeColor="text1"/>
        </w:rPr>
        <w:t>ve of</w:t>
      </w:r>
      <w:r w:rsidR="004B34A2" w:rsidRPr="00263CA6">
        <w:rPr>
          <w:color w:val="000000" w:themeColor="text1"/>
        </w:rPr>
        <w:t xml:space="preserve"> </w:t>
      </w:r>
      <w:r w:rsidR="00216671" w:rsidRPr="00263CA6">
        <w:rPr>
          <w:color w:val="000000" w:themeColor="text1"/>
        </w:rPr>
        <w:t>population issues and</w:t>
      </w:r>
      <w:r w:rsidRPr="00263CA6">
        <w:rPr>
          <w:color w:val="000000" w:themeColor="text1"/>
        </w:rPr>
        <w:t xml:space="preserve"> </w:t>
      </w:r>
      <w:r w:rsidR="004B34A2" w:rsidRPr="00263CA6">
        <w:rPr>
          <w:color w:val="000000" w:themeColor="text1"/>
        </w:rPr>
        <w:t xml:space="preserve">less </w:t>
      </w:r>
      <w:r w:rsidRPr="00263CA6">
        <w:rPr>
          <w:color w:val="000000" w:themeColor="text1"/>
        </w:rPr>
        <w:t>on the individual out</w:t>
      </w:r>
      <w:r w:rsidR="00C74BBA" w:rsidRPr="00263CA6">
        <w:rPr>
          <w:color w:val="000000" w:themeColor="text1"/>
        </w:rPr>
        <w:t>side</w:t>
      </w:r>
      <w:r w:rsidRPr="00263CA6">
        <w:rPr>
          <w:color w:val="000000" w:themeColor="text1"/>
        </w:rPr>
        <w:t xml:space="preserve"> of their social context</w:t>
      </w:r>
      <w:r w:rsidR="00C95027" w:rsidRPr="00263CA6">
        <w:rPr>
          <w:color w:val="000000" w:themeColor="text1"/>
        </w:rPr>
        <w:t>.</w:t>
      </w:r>
      <w:r w:rsidRPr="00263CA6">
        <w:rPr>
          <w:color w:val="000000" w:themeColor="text1"/>
        </w:rPr>
        <w:t xml:space="preserve"> </w:t>
      </w:r>
    </w:p>
    <w:p w14:paraId="4CC1F5D0" w14:textId="77777777" w:rsidR="005A5F75" w:rsidRPr="00263CA6" w:rsidRDefault="005A5F75" w:rsidP="00553A1C">
      <w:pPr>
        <w:spacing w:line="480" w:lineRule="auto"/>
        <w:rPr>
          <w:color w:val="000000" w:themeColor="text1"/>
        </w:rPr>
      </w:pPr>
    </w:p>
    <w:p w14:paraId="4800178F" w14:textId="1CE8FF09" w:rsidR="005A5F75" w:rsidRPr="00263CA6" w:rsidRDefault="000B5CA6" w:rsidP="00553A1C">
      <w:pPr>
        <w:spacing w:line="480" w:lineRule="auto"/>
        <w:rPr>
          <w:color w:val="000000" w:themeColor="text1"/>
        </w:rPr>
      </w:pPr>
      <w:r w:rsidRPr="00263CA6">
        <w:rPr>
          <w:color w:val="000000" w:themeColor="text1"/>
        </w:rPr>
        <w:t xml:space="preserve">Third, to demonstrate how clinical placements can connect students to the population level, we </w:t>
      </w:r>
      <w:r w:rsidR="00DC4A4A" w:rsidRPr="00263CA6">
        <w:rPr>
          <w:color w:val="000000" w:themeColor="text1"/>
        </w:rPr>
        <w:t>highlight a project</w:t>
      </w:r>
      <w:r w:rsidRPr="00263CA6">
        <w:rPr>
          <w:color w:val="000000" w:themeColor="text1"/>
        </w:rPr>
        <w:t xml:space="preserve"> that ha</w:t>
      </w:r>
      <w:r w:rsidR="00DC4A4A" w:rsidRPr="00263CA6">
        <w:rPr>
          <w:color w:val="000000" w:themeColor="text1"/>
        </w:rPr>
        <w:t>s</w:t>
      </w:r>
      <w:r w:rsidRPr="00263CA6">
        <w:rPr>
          <w:color w:val="000000" w:themeColor="text1"/>
        </w:rPr>
        <w:t xml:space="preserve"> enabled students to experience issues associated with population health first</w:t>
      </w:r>
      <w:r w:rsidR="008858C6" w:rsidRPr="00263CA6">
        <w:rPr>
          <w:color w:val="000000" w:themeColor="text1"/>
        </w:rPr>
        <w:t>-</w:t>
      </w:r>
      <w:r w:rsidRPr="00263CA6">
        <w:rPr>
          <w:color w:val="000000" w:themeColor="text1"/>
        </w:rPr>
        <w:t xml:space="preserve">hand. </w:t>
      </w:r>
      <w:r w:rsidR="00BC5D3F" w:rsidRPr="00263CA6">
        <w:rPr>
          <w:color w:val="000000" w:themeColor="text1"/>
        </w:rPr>
        <w:t>I-CAN</w:t>
      </w:r>
      <w:r w:rsidR="003B33F7" w:rsidRPr="00263CA6">
        <w:rPr>
          <w:color w:val="000000" w:themeColor="text1"/>
        </w:rPr>
        <w:t xml:space="preserve"> (Interprofessional Care Access Network)</w:t>
      </w:r>
      <w:r w:rsidR="00E55B86" w:rsidRPr="00263CA6">
        <w:rPr>
          <w:color w:val="000000" w:themeColor="text1"/>
        </w:rPr>
        <w:t xml:space="preserve"> </w:t>
      </w:r>
      <w:r w:rsidR="004C5811" w:rsidRPr="00263CA6">
        <w:rPr>
          <w:color w:val="000000" w:themeColor="text1"/>
        </w:rPr>
        <w:t>is a</w:t>
      </w:r>
      <w:r w:rsidR="00A9160C" w:rsidRPr="00263CA6">
        <w:rPr>
          <w:color w:val="000000" w:themeColor="text1"/>
        </w:rPr>
        <w:t xml:space="preserve"> </w:t>
      </w:r>
      <w:r w:rsidR="00BC5D3F" w:rsidRPr="00263CA6">
        <w:rPr>
          <w:color w:val="000000" w:themeColor="text1"/>
        </w:rPr>
        <w:t xml:space="preserve">US based </w:t>
      </w:r>
      <w:r w:rsidR="004B34A2" w:rsidRPr="00263CA6">
        <w:rPr>
          <w:color w:val="000000" w:themeColor="text1"/>
        </w:rPr>
        <w:t>community</w:t>
      </w:r>
      <w:r w:rsidR="005A5F75" w:rsidRPr="00263CA6">
        <w:rPr>
          <w:color w:val="000000" w:themeColor="text1"/>
        </w:rPr>
        <w:t xml:space="preserve"> </w:t>
      </w:r>
      <w:r w:rsidR="00DC4A4A" w:rsidRPr="00263CA6">
        <w:rPr>
          <w:color w:val="000000" w:themeColor="text1"/>
        </w:rPr>
        <w:t>service-</w:t>
      </w:r>
      <w:r w:rsidR="000A0AA5" w:rsidRPr="00263CA6">
        <w:rPr>
          <w:color w:val="000000" w:themeColor="text1"/>
        </w:rPr>
        <w:t xml:space="preserve">learning </w:t>
      </w:r>
      <w:r w:rsidR="00BC5D3F" w:rsidRPr="00263CA6">
        <w:rPr>
          <w:color w:val="000000" w:themeColor="text1"/>
        </w:rPr>
        <w:t>project</w:t>
      </w:r>
      <w:r w:rsidR="00E55B86" w:rsidRPr="00263CA6">
        <w:rPr>
          <w:color w:val="000000" w:themeColor="text1"/>
        </w:rPr>
        <w:t xml:space="preserve"> </w:t>
      </w:r>
      <w:r w:rsidR="006326CF" w:rsidRPr="00263CA6">
        <w:rPr>
          <w:color w:val="000000" w:themeColor="text1"/>
        </w:rPr>
        <w:t xml:space="preserve">that has </w:t>
      </w:r>
      <w:r w:rsidR="00E55B86" w:rsidRPr="00263CA6">
        <w:rPr>
          <w:color w:val="000000" w:themeColor="text1"/>
        </w:rPr>
        <w:t>provided</w:t>
      </w:r>
      <w:r w:rsidR="00BC5D3F" w:rsidRPr="00263CA6">
        <w:rPr>
          <w:color w:val="000000" w:themeColor="text1"/>
        </w:rPr>
        <w:t xml:space="preserve"> clinical experiences for</w:t>
      </w:r>
      <w:r w:rsidR="005A5F75" w:rsidRPr="00263CA6">
        <w:rPr>
          <w:color w:val="000000" w:themeColor="text1"/>
        </w:rPr>
        <w:t xml:space="preserve"> students with </w:t>
      </w:r>
      <w:r w:rsidR="004B34A2" w:rsidRPr="00263CA6">
        <w:rPr>
          <w:color w:val="000000" w:themeColor="text1"/>
        </w:rPr>
        <w:t>diverse populations within defined geographic boundaries</w:t>
      </w:r>
      <w:r w:rsidR="004C5811" w:rsidRPr="00263CA6">
        <w:rPr>
          <w:color w:val="000000" w:themeColor="text1"/>
        </w:rPr>
        <w:t xml:space="preserve"> </w:t>
      </w:r>
      <w:r w:rsidR="004C5811" w:rsidRPr="00263CA6">
        <w:rPr>
          <w:color w:val="000000" w:themeColor="text1"/>
        </w:rPr>
        <w:fldChar w:fldCharType="begin"/>
      </w:r>
      <w:r w:rsidR="004C5811" w:rsidRPr="00263CA6">
        <w:rPr>
          <w:color w:val="000000" w:themeColor="text1"/>
        </w:rPr>
        <w:instrText xml:space="preserve"> ADDIN EN.CITE &lt;EndNote&gt;&lt;Cite&gt;&lt;Author&gt;Wros&lt;/Author&gt;&lt;Year&gt;2015&lt;/Year&gt;&lt;IDText&gt;An academic-practice model to improve the health of underserved neighbourhoods&lt;/IDText&gt;&lt;DisplayText&gt;(Wros et al, 2015)&lt;/DisplayText&gt;&lt;record&gt;&lt;titles&gt;&lt;title&gt;An academic-practice model to improve the health of underserved neighbourhoods&lt;/title&gt;&lt;secondary-title&gt;Family &amp;amp; Community Health&lt;/secondary-title&gt;&lt;/titles&gt;&lt;pages&gt;195-203&lt;/pages&gt;&lt;number&gt;2&lt;/number&gt;&lt;contributors&gt;&lt;authors&gt;&lt;author&gt;Wros, P.&lt;/author&gt;&lt;author&gt;Mathews, L.&lt;/author&gt;&lt;author&gt;Voss, H.&lt;/author&gt;&lt;author&gt;Bookman, N.&lt;/author&gt;&lt;/authors&gt;&lt;/contributors&gt;&lt;added-date format="utc"&gt;1452014116&lt;/added-date&gt;&lt;ref-type name="Journal Article"&gt;17&lt;/ref-type&gt;&lt;dates&gt;&lt;year&gt;2015&lt;/year&gt;&lt;/dates&gt;&lt;rec-number&gt;49&lt;/rec-number&gt;&lt;last-updated-date format="utc"&gt;1452014313&lt;/last-updated-date&gt;&lt;volume&gt;38&lt;/volume&gt;&lt;/record&gt;&lt;/Cite&gt;&lt;/EndNote&gt;</w:instrText>
      </w:r>
      <w:r w:rsidR="004C5811" w:rsidRPr="00263CA6">
        <w:rPr>
          <w:color w:val="000000" w:themeColor="text1"/>
        </w:rPr>
        <w:fldChar w:fldCharType="separate"/>
      </w:r>
      <w:r w:rsidR="004C5811" w:rsidRPr="00263CA6">
        <w:rPr>
          <w:noProof/>
          <w:color w:val="000000" w:themeColor="text1"/>
        </w:rPr>
        <w:t>(Wros et al, 2015)</w:t>
      </w:r>
      <w:r w:rsidR="004C5811" w:rsidRPr="00263CA6">
        <w:rPr>
          <w:color w:val="000000" w:themeColor="text1"/>
        </w:rPr>
        <w:fldChar w:fldCharType="end"/>
      </w:r>
      <w:r w:rsidR="00E55B86" w:rsidRPr="00263CA6">
        <w:rPr>
          <w:color w:val="000000" w:themeColor="text1"/>
        </w:rPr>
        <w:t>.</w:t>
      </w:r>
      <w:r w:rsidR="004B34A2" w:rsidRPr="00263CA6">
        <w:rPr>
          <w:color w:val="000000" w:themeColor="text1"/>
        </w:rPr>
        <w:t xml:space="preserve"> </w:t>
      </w:r>
      <w:r w:rsidR="005A5F75" w:rsidRPr="00263CA6">
        <w:rPr>
          <w:color w:val="000000" w:themeColor="text1"/>
        </w:rPr>
        <w:t xml:space="preserve">Nursing students </w:t>
      </w:r>
      <w:r w:rsidR="00E55B86" w:rsidRPr="00263CA6">
        <w:rPr>
          <w:color w:val="000000" w:themeColor="text1"/>
        </w:rPr>
        <w:t>were</w:t>
      </w:r>
      <w:r w:rsidR="00BC5D3F" w:rsidRPr="00263CA6">
        <w:rPr>
          <w:color w:val="000000" w:themeColor="text1"/>
        </w:rPr>
        <w:t xml:space="preserve"> </w:t>
      </w:r>
      <w:r w:rsidR="005B21F8" w:rsidRPr="00263CA6">
        <w:rPr>
          <w:color w:val="000000" w:themeColor="text1"/>
        </w:rPr>
        <w:t>placed</w:t>
      </w:r>
      <w:r w:rsidR="005A5F75" w:rsidRPr="00263CA6">
        <w:rPr>
          <w:color w:val="000000" w:themeColor="text1"/>
        </w:rPr>
        <w:t xml:space="preserve"> </w:t>
      </w:r>
      <w:r w:rsidR="00BC5D3F" w:rsidRPr="00263CA6">
        <w:rPr>
          <w:color w:val="000000" w:themeColor="text1"/>
        </w:rPr>
        <w:t xml:space="preserve">in specific geographic </w:t>
      </w:r>
      <w:r w:rsidR="005A5F75" w:rsidRPr="00263CA6">
        <w:rPr>
          <w:color w:val="000000" w:themeColor="text1"/>
        </w:rPr>
        <w:t>communit</w:t>
      </w:r>
      <w:r w:rsidR="00DC4A4A" w:rsidRPr="00263CA6">
        <w:rPr>
          <w:color w:val="000000" w:themeColor="text1"/>
        </w:rPr>
        <w:t>ies</w:t>
      </w:r>
      <w:r w:rsidR="00221506" w:rsidRPr="00263CA6">
        <w:rPr>
          <w:color w:val="000000" w:themeColor="text1"/>
        </w:rPr>
        <w:t>, partnering</w:t>
      </w:r>
      <w:r w:rsidR="005A5F75" w:rsidRPr="00263CA6">
        <w:rPr>
          <w:color w:val="000000" w:themeColor="text1"/>
        </w:rPr>
        <w:t xml:space="preserve"> </w:t>
      </w:r>
      <w:r w:rsidR="00BC5D3F" w:rsidRPr="00263CA6">
        <w:rPr>
          <w:color w:val="000000" w:themeColor="text1"/>
        </w:rPr>
        <w:t>with service agencies</w:t>
      </w:r>
      <w:r w:rsidR="004002AD" w:rsidRPr="00263CA6">
        <w:rPr>
          <w:color w:val="000000" w:themeColor="text1"/>
        </w:rPr>
        <w:t xml:space="preserve"> </w:t>
      </w:r>
      <w:r w:rsidR="00B74F6D" w:rsidRPr="00263CA6">
        <w:rPr>
          <w:color w:val="000000" w:themeColor="text1"/>
        </w:rPr>
        <w:t>that support vulnerable people,</w:t>
      </w:r>
      <w:r w:rsidR="005A5F75" w:rsidRPr="00263CA6">
        <w:rPr>
          <w:color w:val="000000" w:themeColor="text1"/>
        </w:rPr>
        <w:t xml:space="preserve"> </w:t>
      </w:r>
      <w:r w:rsidR="0084798E" w:rsidRPr="00263CA6">
        <w:rPr>
          <w:color w:val="000000" w:themeColor="text1"/>
        </w:rPr>
        <w:t xml:space="preserve">those who </w:t>
      </w:r>
      <w:r w:rsidR="008722F9" w:rsidRPr="00263CA6">
        <w:rPr>
          <w:color w:val="000000" w:themeColor="text1"/>
        </w:rPr>
        <w:t>were</w:t>
      </w:r>
      <w:r w:rsidR="0084798E" w:rsidRPr="00263CA6">
        <w:rPr>
          <w:color w:val="000000" w:themeColor="text1"/>
        </w:rPr>
        <w:t xml:space="preserve"> homeless, living in poverty, or refugees fleeing conflict.</w:t>
      </w:r>
      <w:r w:rsidR="00BC5D3F" w:rsidRPr="00263CA6">
        <w:rPr>
          <w:color w:val="000000" w:themeColor="text1"/>
        </w:rPr>
        <w:t xml:space="preserve"> </w:t>
      </w:r>
      <w:r w:rsidR="005A5F75" w:rsidRPr="00263CA6">
        <w:rPr>
          <w:color w:val="000000" w:themeColor="text1"/>
        </w:rPr>
        <w:t>The students provide</w:t>
      </w:r>
      <w:r w:rsidR="00E55B86" w:rsidRPr="00263CA6">
        <w:rPr>
          <w:color w:val="000000" w:themeColor="text1"/>
        </w:rPr>
        <w:t>d</w:t>
      </w:r>
      <w:r w:rsidR="005A5F75" w:rsidRPr="00263CA6">
        <w:rPr>
          <w:color w:val="000000" w:themeColor="text1"/>
        </w:rPr>
        <w:t xml:space="preserve"> a range of </w:t>
      </w:r>
      <w:r w:rsidR="00DC4A4A" w:rsidRPr="00263CA6">
        <w:rPr>
          <w:color w:val="000000" w:themeColor="text1"/>
        </w:rPr>
        <w:t xml:space="preserve">health and </w:t>
      </w:r>
      <w:r w:rsidR="005A5F75" w:rsidRPr="00263CA6">
        <w:rPr>
          <w:color w:val="000000" w:themeColor="text1"/>
        </w:rPr>
        <w:t>health</w:t>
      </w:r>
      <w:r w:rsidR="005B21F8" w:rsidRPr="00263CA6">
        <w:rPr>
          <w:color w:val="000000" w:themeColor="text1"/>
        </w:rPr>
        <w:t>-</w:t>
      </w:r>
      <w:r w:rsidR="005A5F75" w:rsidRPr="00263CA6">
        <w:rPr>
          <w:color w:val="000000" w:themeColor="text1"/>
        </w:rPr>
        <w:t>related services</w:t>
      </w:r>
      <w:r w:rsidR="00DC4A4A" w:rsidRPr="00263CA6">
        <w:rPr>
          <w:color w:val="000000" w:themeColor="text1"/>
        </w:rPr>
        <w:t>.</w:t>
      </w:r>
      <w:r w:rsidR="005A5F75" w:rsidRPr="00263CA6">
        <w:rPr>
          <w:color w:val="000000" w:themeColor="text1"/>
        </w:rPr>
        <w:t xml:space="preserve"> For</w:t>
      </w:r>
      <w:r w:rsidR="004F6F79" w:rsidRPr="00263CA6">
        <w:rPr>
          <w:color w:val="000000" w:themeColor="text1"/>
        </w:rPr>
        <w:t xml:space="preserve"> example, they check</w:t>
      </w:r>
      <w:r w:rsidR="00E55B86" w:rsidRPr="00263CA6">
        <w:rPr>
          <w:color w:val="000000" w:themeColor="text1"/>
        </w:rPr>
        <w:t>ed</w:t>
      </w:r>
      <w:r w:rsidR="005A5F75" w:rsidRPr="00263CA6">
        <w:rPr>
          <w:color w:val="000000" w:themeColor="text1"/>
        </w:rPr>
        <w:t xml:space="preserve"> </w:t>
      </w:r>
      <w:r w:rsidR="005B21F8" w:rsidRPr="00263CA6">
        <w:rPr>
          <w:color w:val="000000" w:themeColor="text1"/>
        </w:rPr>
        <w:t xml:space="preserve">clients’ </w:t>
      </w:r>
      <w:r w:rsidR="005A5F75" w:rsidRPr="00263CA6">
        <w:rPr>
          <w:color w:val="000000" w:themeColor="text1"/>
        </w:rPr>
        <w:t>blood pressure</w:t>
      </w:r>
      <w:r w:rsidR="005B21F8" w:rsidRPr="00263CA6">
        <w:rPr>
          <w:color w:val="000000" w:themeColor="text1"/>
        </w:rPr>
        <w:t>s</w:t>
      </w:r>
      <w:r w:rsidR="00B60AC8" w:rsidRPr="00263CA6">
        <w:rPr>
          <w:color w:val="000000" w:themeColor="text1"/>
        </w:rPr>
        <w:t>, ascertain</w:t>
      </w:r>
      <w:r w:rsidR="00E55B86" w:rsidRPr="00263CA6">
        <w:rPr>
          <w:color w:val="000000" w:themeColor="text1"/>
        </w:rPr>
        <w:t>ed</w:t>
      </w:r>
      <w:r w:rsidR="005A5F75" w:rsidRPr="00263CA6">
        <w:rPr>
          <w:color w:val="000000" w:themeColor="text1"/>
        </w:rPr>
        <w:t xml:space="preserve"> their concerns (often social rather than medical), and </w:t>
      </w:r>
      <w:r w:rsidR="00BC5D3F" w:rsidRPr="00263CA6">
        <w:rPr>
          <w:color w:val="000000" w:themeColor="text1"/>
        </w:rPr>
        <w:t>provide</w:t>
      </w:r>
      <w:r w:rsidR="00E55B86" w:rsidRPr="00263CA6">
        <w:rPr>
          <w:color w:val="000000" w:themeColor="text1"/>
        </w:rPr>
        <w:t>d</w:t>
      </w:r>
      <w:r w:rsidR="00BC5D3F" w:rsidRPr="00263CA6">
        <w:rPr>
          <w:color w:val="000000" w:themeColor="text1"/>
        </w:rPr>
        <w:t xml:space="preserve"> care coordination under the supervision of a clinical </w:t>
      </w:r>
      <w:r w:rsidR="003B33F7" w:rsidRPr="00263CA6">
        <w:rPr>
          <w:color w:val="000000" w:themeColor="text1"/>
        </w:rPr>
        <w:t xml:space="preserve">nurse </w:t>
      </w:r>
      <w:r w:rsidR="00BC5D3F" w:rsidRPr="00263CA6">
        <w:rPr>
          <w:color w:val="000000" w:themeColor="text1"/>
        </w:rPr>
        <w:t>educator.  Students provide</w:t>
      </w:r>
      <w:r w:rsidR="00E55B86" w:rsidRPr="00263CA6">
        <w:rPr>
          <w:color w:val="000000" w:themeColor="text1"/>
        </w:rPr>
        <w:t>d</w:t>
      </w:r>
      <w:r w:rsidR="005A5F75" w:rsidRPr="00263CA6">
        <w:rPr>
          <w:color w:val="000000" w:themeColor="text1"/>
        </w:rPr>
        <w:t xml:space="preserve"> service</w:t>
      </w:r>
      <w:r w:rsidR="00C3623D" w:rsidRPr="00263CA6">
        <w:rPr>
          <w:color w:val="000000" w:themeColor="text1"/>
        </w:rPr>
        <w:t>s</w:t>
      </w:r>
      <w:r w:rsidR="005A5F75" w:rsidRPr="00263CA6">
        <w:rPr>
          <w:color w:val="000000" w:themeColor="text1"/>
        </w:rPr>
        <w:t xml:space="preserve"> that engage</w:t>
      </w:r>
      <w:r w:rsidR="00E55B86" w:rsidRPr="00263CA6">
        <w:rPr>
          <w:color w:val="000000" w:themeColor="text1"/>
        </w:rPr>
        <w:t>d</w:t>
      </w:r>
      <w:r w:rsidR="00BC5D3F" w:rsidRPr="00263CA6">
        <w:rPr>
          <w:color w:val="000000" w:themeColor="text1"/>
        </w:rPr>
        <w:t xml:space="preserve"> them</w:t>
      </w:r>
      <w:r w:rsidR="005A5F75" w:rsidRPr="00263CA6">
        <w:rPr>
          <w:color w:val="000000" w:themeColor="text1"/>
        </w:rPr>
        <w:t xml:space="preserve"> at the population level </w:t>
      </w:r>
      <w:r w:rsidR="00BC5D3F" w:rsidRPr="00263CA6">
        <w:rPr>
          <w:color w:val="000000" w:themeColor="text1"/>
        </w:rPr>
        <w:t>with</w:t>
      </w:r>
      <w:r w:rsidR="004F6F79" w:rsidRPr="00263CA6">
        <w:rPr>
          <w:color w:val="000000" w:themeColor="text1"/>
        </w:rPr>
        <w:t xml:space="preserve"> </w:t>
      </w:r>
      <w:r w:rsidR="005A5F75" w:rsidRPr="00263CA6">
        <w:rPr>
          <w:color w:val="000000" w:themeColor="text1"/>
        </w:rPr>
        <w:t xml:space="preserve">people </w:t>
      </w:r>
      <w:r w:rsidR="000A0AA5" w:rsidRPr="00263CA6">
        <w:rPr>
          <w:color w:val="000000" w:themeColor="text1"/>
        </w:rPr>
        <w:t xml:space="preserve">who otherwise would have limited or no access to such services.  </w:t>
      </w:r>
      <w:r w:rsidR="00BC5D3F" w:rsidRPr="00263CA6">
        <w:rPr>
          <w:color w:val="000000" w:themeColor="text1"/>
        </w:rPr>
        <w:t>S</w:t>
      </w:r>
      <w:r w:rsidR="005A5F75" w:rsidRPr="00263CA6">
        <w:rPr>
          <w:color w:val="000000" w:themeColor="text1"/>
        </w:rPr>
        <w:t xml:space="preserve">tudents </w:t>
      </w:r>
      <w:r w:rsidR="00BC5D3F" w:rsidRPr="00263CA6">
        <w:rPr>
          <w:color w:val="000000" w:themeColor="text1"/>
        </w:rPr>
        <w:t>develop</w:t>
      </w:r>
      <w:r w:rsidR="00E55B86" w:rsidRPr="00263CA6">
        <w:rPr>
          <w:color w:val="000000" w:themeColor="text1"/>
        </w:rPr>
        <w:t>ed</w:t>
      </w:r>
      <w:r w:rsidR="00BC5D3F" w:rsidRPr="00263CA6">
        <w:rPr>
          <w:color w:val="000000" w:themeColor="text1"/>
        </w:rPr>
        <w:t xml:space="preserve"> </w:t>
      </w:r>
      <w:r w:rsidR="005A5F75" w:rsidRPr="00263CA6">
        <w:rPr>
          <w:color w:val="000000" w:themeColor="text1"/>
        </w:rPr>
        <w:t>insights</w:t>
      </w:r>
      <w:r w:rsidR="005B21F8" w:rsidRPr="00263CA6">
        <w:rPr>
          <w:color w:val="000000" w:themeColor="text1"/>
        </w:rPr>
        <w:t xml:space="preserve"> </w:t>
      </w:r>
      <w:r w:rsidR="00BC5D3F" w:rsidRPr="00263CA6">
        <w:rPr>
          <w:color w:val="000000" w:themeColor="text1"/>
        </w:rPr>
        <w:t>into</w:t>
      </w:r>
      <w:r w:rsidR="004F6F79" w:rsidRPr="00263CA6">
        <w:rPr>
          <w:color w:val="000000" w:themeColor="text1"/>
        </w:rPr>
        <w:t xml:space="preserve"> </w:t>
      </w:r>
      <w:r w:rsidR="005B21F8" w:rsidRPr="00263CA6">
        <w:rPr>
          <w:color w:val="000000" w:themeColor="text1"/>
        </w:rPr>
        <w:t xml:space="preserve">how </w:t>
      </w:r>
      <w:r w:rsidR="00BC5D3F" w:rsidRPr="00263CA6">
        <w:rPr>
          <w:color w:val="000000" w:themeColor="text1"/>
        </w:rPr>
        <w:t xml:space="preserve">social </w:t>
      </w:r>
      <w:r w:rsidR="005B21F8" w:rsidRPr="00263CA6">
        <w:rPr>
          <w:color w:val="000000" w:themeColor="text1"/>
        </w:rPr>
        <w:t>determinants of health impact</w:t>
      </w:r>
      <w:r w:rsidR="00507606" w:rsidRPr="00263CA6">
        <w:rPr>
          <w:color w:val="000000" w:themeColor="text1"/>
        </w:rPr>
        <w:t>ed</w:t>
      </w:r>
      <w:r w:rsidR="005A5F75" w:rsidRPr="00263CA6">
        <w:rPr>
          <w:color w:val="000000" w:themeColor="text1"/>
        </w:rPr>
        <w:t xml:space="preserve"> the lives of </w:t>
      </w:r>
      <w:r w:rsidR="00BC5D3F" w:rsidRPr="00263CA6">
        <w:rPr>
          <w:color w:val="000000" w:themeColor="text1"/>
        </w:rPr>
        <w:t>people with</w:t>
      </w:r>
      <w:r w:rsidR="005A5F75" w:rsidRPr="00263CA6">
        <w:rPr>
          <w:color w:val="000000" w:themeColor="text1"/>
        </w:rPr>
        <w:t xml:space="preserve"> backgrounds very different from the</w:t>
      </w:r>
      <w:r w:rsidR="003B33F7" w:rsidRPr="00263CA6">
        <w:rPr>
          <w:color w:val="000000" w:themeColor="text1"/>
        </w:rPr>
        <w:t>ir own.</w:t>
      </w:r>
      <w:r w:rsidR="005A5F75" w:rsidRPr="00263CA6">
        <w:rPr>
          <w:color w:val="000000" w:themeColor="text1"/>
        </w:rPr>
        <w:t xml:space="preserve"> </w:t>
      </w:r>
      <w:r w:rsidR="003B33F7" w:rsidRPr="00263CA6">
        <w:rPr>
          <w:color w:val="000000" w:themeColor="text1"/>
        </w:rPr>
        <w:t>The I-CAN project</w:t>
      </w:r>
      <w:r w:rsidR="005A5F75" w:rsidRPr="00263CA6">
        <w:rPr>
          <w:color w:val="000000" w:themeColor="text1"/>
        </w:rPr>
        <w:t xml:space="preserve"> encourage</w:t>
      </w:r>
      <w:r w:rsidR="00E55B86" w:rsidRPr="00263CA6">
        <w:rPr>
          <w:color w:val="000000" w:themeColor="text1"/>
        </w:rPr>
        <w:t>d</w:t>
      </w:r>
      <w:r w:rsidR="005A5F75" w:rsidRPr="00263CA6">
        <w:rPr>
          <w:color w:val="000000" w:themeColor="text1"/>
        </w:rPr>
        <w:t xml:space="preserve"> active </w:t>
      </w:r>
      <w:r w:rsidR="005B21F8" w:rsidRPr="00263CA6">
        <w:rPr>
          <w:color w:val="000000" w:themeColor="text1"/>
        </w:rPr>
        <w:t>partnership with community leaders</w:t>
      </w:r>
      <w:r w:rsidR="00221506" w:rsidRPr="00263CA6">
        <w:rPr>
          <w:color w:val="000000" w:themeColor="text1"/>
        </w:rPr>
        <w:t xml:space="preserve"> </w:t>
      </w:r>
      <w:r w:rsidR="002E711F" w:rsidRPr="00263CA6">
        <w:rPr>
          <w:color w:val="000000" w:themeColor="text1"/>
        </w:rPr>
        <w:t>and students from</w:t>
      </w:r>
      <w:r w:rsidR="00221506" w:rsidRPr="00263CA6">
        <w:rPr>
          <w:color w:val="000000" w:themeColor="text1"/>
        </w:rPr>
        <w:t xml:space="preserve"> other professions</w:t>
      </w:r>
      <w:r w:rsidR="00DC4A4A" w:rsidRPr="00263CA6">
        <w:rPr>
          <w:color w:val="000000" w:themeColor="text1"/>
        </w:rPr>
        <w:t xml:space="preserve"> to address identified population health issues.</w:t>
      </w:r>
    </w:p>
    <w:p w14:paraId="4694B179" w14:textId="77777777" w:rsidR="005A5F75" w:rsidRPr="00263CA6" w:rsidRDefault="005A5F75" w:rsidP="00553A1C">
      <w:pPr>
        <w:spacing w:line="480" w:lineRule="auto"/>
        <w:rPr>
          <w:color w:val="000000" w:themeColor="text1"/>
        </w:rPr>
      </w:pPr>
    </w:p>
    <w:p w14:paraId="516957B5" w14:textId="4C4013FE" w:rsidR="005A5F75" w:rsidRPr="00263CA6" w:rsidRDefault="005A5F75" w:rsidP="00553A1C">
      <w:pPr>
        <w:spacing w:line="480" w:lineRule="auto"/>
        <w:rPr>
          <w:color w:val="000000" w:themeColor="text1"/>
        </w:rPr>
      </w:pPr>
      <w:r w:rsidRPr="00263CA6">
        <w:rPr>
          <w:color w:val="000000" w:themeColor="text1"/>
        </w:rPr>
        <w:lastRenderedPageBreak/>
        <w:t xml:space="preserve">These three </w:t>
      </w:r>
      <w:r w:rsidR="00B74F6D" w:rsidRPr="00263CA6">
        <w:rPr>
          <w:color w:val="000000" w:themeColor="text1"/>
        </w:rPr>
        <w:t>exemplars</w:t>
      </w:r>
      <w:r w:rsidRPr="00263CA6">
        <w:rPr>
          <w:color w:val="000000" w:themeColor="text1"/>
        </w:rPr>
        <w:t xml:space="preserve"> </w:t>
      </w:r>
      <w:r w:rsidR="00811CC7" w:rsidRPr="00263CA6">
        <w:rPr>
          <w:color w:val="000000" w:themeColor="text1"/>
        </w:rPr>
        <w:t xml:space="preserve">illustrate </w:t>
      </w:r>
      <w:r w:rsidRPr="00263CA6">
        <w:rPr>
          <w:color w:val="000000" w:themeColor="text1"/>
        </w:rPr>
        <w:t xml:space="preserve">innovative approaches that have </w:t>
      </w:r>
      <w:r w:rsidR="00C3623D" w:rsidRPr="00263CA6">
        <w:rPr>
          <w:color w:val="000000" w:themeColor="text1"/>
        </w:rPr>
        <w:t>successfully</w:t>
      </w:r>
      <w:r w:rsidRPr="00263CA6">
        <w:rPr>
          <w:color w:val="000000" w:themeColor="text1"/>
        </w:rPr>
        <w:t xml:space="preserve"> engaged students in population healt</w:t>
      </w:r>
      <w:r w:rsidR="00702D04" w:rsidRPr="00263CA6">
        <w:rPr>
          <w:color w:val="000000" w:themeColor="text1"/>
        </w:rPr>
        <w:t>h. The Scottish research enabled</w:t>
      </w:r>
      <w:r w:rsidRPr="00263CA6">
        <w:rPr>
          <w:color w:val="000000" w:themeColor="text1"/>
        </w:rPr>
        <w:t xml:space="preserve"> students to reflect on their own lives to make accessible </w:t>
      </w:r>
      <w:r w:rsidRPr="00263CA6">
        <w:rPr>
          <w:i/>
          <w:color w:val="000000" w:themeColor="text1"/>
        </w:rPr>
        <w:t>understanding</w:t>
      </w:r>
      <w:r w:rsidRPr="00263CA6">
        <w:rPr>
          <w:color w:val="000000" w:themeColor="text1"/>
        </w:rPr>
        <w:t xml:space="preserve"> population health. The flipped classroom involve</w:t>
      </w:r>
      <w:r w:rsidR="00702D04" w:rsidRPr="00263CA6">
        <w:rPr>
          <w:color w:val="000000" w:themeColor="text1"/>
        </w:rPr>
        <w:t>d</w:t>
      </w:r>
      <w:r w:rsidRPr="00263CA6">
        <w:rPr>
          <w:color w:val="000000" w:themeColor="text1"/>
        </w:rPr>
        <w:t xml:space="preserve"> face-to-face contact only once every two weeks, students having the rest of the time to be independent learners.  And the </w:t>
      </w:r>
      <w:r w:rsidR="003B33F7" w:rsidRPr="00263CA6">
        <w:rPr>
          <w:color w:val="000000" w:themeColor="text1"/>
        </w:rPr>
        <w:t>I-CAN community-based project</w:t>
      </w:r>
      <w:r w:rsidRPr="00263CA6">
        <w:rPr>
          <w:color w:val="000000" w:themeColor="text1"/>
        </w:rPr>
        <w:t xml:space="preserve"> </w:t>
      </w:r>
      <w:r w:rsidR="00702D04" w:rsidRPr="00263CA6">
        <w:rPr>
          <w:color w:val="000000" w:themeColor="text1"/>
        </w:rPr>
        <w:t>drew</w:t>
      </w:r>
      <w:r w:rsidRPr="00263CA6">
        <w:rPr>
          <w:color w:val="000000" w:themeColor="text1"/>
        </w:rPr>
        <w:t xml:space="preserve"> on placement opportunities that would otherwise not have existed. Further, the</w:t>
      </w:r>
      <w:r w:rsidR="00DC4A4A" w:rsidRPr="00263CA6">
        <w:rPr>
          <w:color w:val="000000" w:themeColor="text1"/>
        </w:rPr>
        <w:t>se</w:t>
      </w:r>
      <w:r w:rsidRPr="00263CA6">
        <w:rPr>
          <w:color w:val="000000" w:themeColor="text1"/>
        </w:rPr>
        <w:t xml:space="preserve"> approach</w:t>
      </w:r>
      <w:r w:rsidR="00DC4A4A" w:rsidRPr="00263CA6">
        <w:rPr>
          <w:color w:val="000000" w:themeColor="text1"/>
        </w:rPr>
        <w:t>es</w:t>
      </w:r>
      <w:r w:rsidRPr="00263CA6">
        <w:rPr>
          <w:color w:val="000000" w:themeColor="text1"/>
        </w:rPr>
        <w:t xml:space="preserve"> enable</w:t>
      </w:r>
      <w:r w:rsidR="00702D04" w:rsidRPr="00263CA6">
        <w:rPr>
          <w:color w:val="000000" w:themeColor="text1"/>
        </w:rPr>
        <w:t>d</w:t>
      </w:r>
      <w:r w:rsidRPr="00263CA6">
        <w:rPr>
          <w:color w:val="000000" w:themeColor="text1"/>
        </w:rPr>
        <w:t xml:space="preserve"> students to reflect and recognise the clear links</w:t>
      </w:r>
      <w:r w:rsidR="004C137B" w:rsidRPr="00263CA6">
        <w:rPr>
          <w:color w:val="000000" w:themeColor="text1"/>
        </w:rPr>
        <w:t xml:space="preserve"> of population health</w:t>
      </w:r>
      <w:r w:rsidRPr="00263CA6">
        <w:rPr>
          <w:color w:val="000000" w:themeColor="text1"/>
        </w:rPr>
        <w:t xml:space="preserve"> to their practice.</w:t>
      </w:r>
    </w:p>
    <w:p w14:paraId="5156920B" w14:textId="77777777" w:rsidR="005A5F75" w:rsidRPr="00263CA6" w:rsidRDefault="005A5F75" w:rsidP="00553A1C">
      <w:pPr>
        <w:spacing w:line="480" w:lineRule="auto"/>
        <w:rPr>
          <w:color w:val="000000" w:themeColor="text1"/>
        </w:rPr>
      </w:pPr>
    </w:p>
    <w:p w14:paraId="012DA14B" w14:textId="083F8847" w:rsidR="005A5F75" w:rsidRPr="00263CA6" w:rsidRDefault="005A5F75" w:rsidP="00553A1C">
      <w:pPr>
        <w:spacing w:line="480" w:lineRule="auto"/>
        <w:rPr>
          <w:color w:val="000000" w:themeColor="text1"/>
        </w:rPr>
      </w:pPr>
      <w:r w:rsidRPr="00263CA6">
        <w:rPr>
          <w:color w:val="000000" w:themeColor="text1"/>
        </w:rPr>
        <w:t xml:space="preserve">These </w:t>
      </w:r>
      <w:r w:rsidR="00CA4F00" w:rsidRPr="00263CA6">
        <w:rPr>
          <w:color w:val="000000" w:themeColor="text1"/>
        </w:rPr>
        <w:t xml:space="preserve">are </w:t>
      </w:r>
      <w:r w:rsidR="00390FF1" w:rsidRPr="00263CA6">
        <w:rPr>
          <w:color w:val="000000" w:themeColor="text1"/>
        </w:rPr>
        <w:t xml:space="preserve">far from </w:t>
      </w:r>
      <w:r w:rsidR="00CA4F00" w:rsidRPr="00263CA6">
        <w:rPr>
          <w:color w:val="000000" w:themeColor="text1"/>
        </w:rPr>
        <w:t>the only approaches</w:t>
      </w:r>
      <w:r w:rsidRPr="00263CA6">
        <w:rPr>
          <w:color w:val="000000" w:themeColor="text1"/>
        </w:rPr>
        <w:t xml:space="preserve"> which </w:t>
      </w:r>
      <w:r w:rsidR="00CA4F00" w:rsidRPr="00263CA6">
        <w:rPr>
          <w:color w:val="000000" w:themeColor="text1"/>
        </w:rPr>
        <w:t xml:space="preserve">help </w:t>
      </w:r>
      <w:r w:rsidRPr="00263CA6">
        <w:rPr>
          <w:color w:val="000000" w:themeColor="text1"/>
        </w:rPr>
        <w:t xml:space="preserve">population health </w:t>
      </w:r>
      <w:r w:rsidR="00CA4F00" w:rsidRPr="00263CA6">
        <w:rPr>
          <w:color w:val="000000" w:themeColor="text1"/>
        </w:rPr>
        <w:t>become</w:t>
      </w:r>
      <w:r w:rsidRPr="00263CA6">
        <w:rPr>
          <w:color w:val="000000" w:themeColor="text1"/>
        </w:rPr>
        <w:t xml:space="preserve"> meaningful, or </w:t>
      </w:r>
      <w:r w:rsidR="003B33F7" w:rsidRPr="00263CA6">
        <w:rPr>
          <w:color w:val="000000" w:themeColor="text1"/>
        </w:rPr>
        <w:t xml:space="preserve">develop </w:t>
      </w:r>
      <w:r w:rsidRPr="00263CA6">
        <w:rPr>
          <w:color w:val="000000" w:themeColor="text1"/>
        </w:rPr>
        <w:t>skills to facilitate practitioners</w:t>
      </w:r>
      <w:r w:rsidR="00390FF1" w:rsidRPr="00263CA6">
        <w:rPr>
          <w:color w:val="000000" w:themeColor="text1"/>
        </w:rPr>
        <w:t>’</w:t>
      </w:r>
      <w:r w:rsidRPr="00263CA6">
        <w:rPr>
          <w:color w:val="000000" w:themeColor="text1"/>
        </w:rPr>
        <w:t xml:space="preserve"> confident engage</w:t>
      </w:r>
      <w:r w:rsidR="003B33F7" w:rsidRPr="00263CA6">
        <w:rPr>
          <w:color w:val="000000" w:themeColor="text1"/>
        </w:rPr>
        <w:t>ment</w:t>
      </w:r>
      <w:r w:rsidR="00A9160C" w:rsidRPr="00263CA6">
        <w:rPr>
          <w:color w:val="000000" w:themeColor="text1"/>
        </w:rPr>
        <w:t xml:space="preserve"> with populations</w:t>
      </w:r>
      <w:r w:rsidRPr="00263CA6">
        <w:rPr>
          <w:color w:val="000000" w:themeColor="text1"/>
        </w:rPr>
        <w:t xml:space="preserve">. </w:t>
      </w:r>
      <w:r w:rsidR="00390FF1" w:rsidRPr="00263CA6">
        <w:rPr>
          <w:color w:val="000000" w:themeColor="text1"/>
        </w:rPr>
        <w:t>Yet, w</w:t>
      </w:r>
      <w:r w:rsidRPr="00263CA6">
        <w:rPr>
          <w:color w:val="000000" w:themeColor="text1"/>
        </w:rPr>
        <w:t>e believe the</w:t>
      </w:r>
      <w:r w:rsidR="00A9160C" w:rsidRPr="00263CA6">
        <w:rPr>
          <w:color w:val="000000" w:themeColor="text1"/>
        </w:rPr>
        <w:t>y</w:t>
      </w:r>
      <w:r w:rsidRPr="00263CA6">
        <w:rPr>
          <w:color w:val="000000" w:themeColor="text1"/>
        </w:rPr>
        <w:t xml:space="preserve"> provide indication of just what might be </w:t>
      </w:r>
      <w:r w:rsidR="00390FF1" w:rsidRPr="00263CA6">
        <w:rPr>
          <w:color w:val="000000" w:themeColor="text1"/>
        </w:rPr>
        <w:t xml:space="preserve">achieved to enable </w:t>
      </w:r>
      <w:r w:rsidRPr="00263CA6">
        <w:rPr>
          <w:color w:val="000000" w:themeColor="text1"/>
        </w:rPr>
        <w:t>nurs</w:t>
      </w:r>
      <w:r w:rsidR="003D57B8" w:rsidRPr="00263CA6">
        <w:rPr>
          <w:color w:val="000000" w:themeColor="text1"/>
        </w:rPr>
        <w:t>ing</w:t>
      </w:r>
      <w:r w:rsidRPr="00263CA6">
        <w:rPr>
          <w:color w:val="000000" w:themeColor="text1"/>
        </w:rPr>
        <w:t xml:space="preserve"> education </w:t>
      </w:r>
      <w:r w:rsidR="00390FF1" w:rsidRPr="00263CA6">
        <w:rPr>
          <w:color w:val="000000" w:themeColor="text1"/>
        </w:rPr>
        <w:t xml:space="preserve">to emerge as a </w:t>
      </w:r>
      <w:r w:rsidRPr="00263CA6">
        <w:rPr>
          <w:color w:val="000000" w:themeColor="text1"/>
        </w:rPr>
        <w:t>lead</w:t>
      </w:r>
      <w:r w:rsidR="00390FF1" w:rsidRPr="00263CA6">
        <w:rPr>
          <w:color w:val="000000" w:themeColor="text1"/>
        </w:rPr>
        <w:t>er</w:t>
      </w:r>
      <w:r w:rsidRPr="00263CA6">
        <w:rPr>
          <w:color w:val="000000" w:themeColor="text1"/>
        </w:rPr>
        <w:t xml:space="preserve"> in promoting the role of practitioners </w:t>
      </w:r>
      <w:r w:rsidR="00390FF1" w:rsidRPr="00263CA6">
        <w:rPr>
          <w:color w:val="000000" w:themeColor="text1"/>
        </w:rPr>
        <w:t xml:space="preserve">that </w:t>
      </w:r>
      <w:r w:rsidRPr="00263CA6">
        <w:rPr>
          <w:color w:val="000000" w:themeColor="text1"/>
        </w:rPr>
        <w:t>mak</w:t>
      </w:r>
      <w:r w:rsidR="00390FF1" w:rsidRPr="00263CA6">
        <w:rPr>
          <w:color w:val="000000" w:themeColor="text1"/>
        </w:rPr>
        <w:t>e</w:t>
      </w:r>
      <w:r w:rsidRPr="00263CA6">
        <w:rPr>
          <w:color w:val="000000" w:themeColor="text1"/>
        </w:rPr>
        <w:t xml:space="preserve"> a difference beyond the individual.</w:t>
      </w:r>
    </w:p>
    <w:p w14:paraId="4E915FEF" w14:textId="77777777" w:rsidR="005A5F75" w:rsidRPr="00263CA6" w:rsidRDefault="005A5F75" w:rsidP="00553A1C">
      <w:pPr>
        <w:spacing w:line="480" w:lineRule="auto"/>
        <w:rPr>
          <w:i/>
          <w:color w:val="000000" w:themeColor="text1"/>
        </w:rPr>
      </w:pPr>
    </w:p>
    <w:p w14:paraId="3A1A3BAD" w14:textId="77777777" w:rsidR="005A5F75" w:rsidRPr="00263CA6" w:rsidRDefault="005A5F75" w:rsidP="00553A1C">
      <w:pPr>
        <w:spacing w:line="480" w:lineRule="auto"/>
        <w:rPr>
          <w:i/>
          <w:color w:val="000000" w:themeColor="text1"/>
        </w:rPr>
      </w:pPr>
      <w:r w:rsidRPr="00263CA6">
        <w:rPr>
          <w:i/>
          <w:color w:val="000000" w:themeColor="text1"/>
        </w:rPr>
        <w:t>Conclusion</w:t>
      </w:r>
    </w:p>
    <w:p w14:paraId="66725FC0" w14:textId="30D1DC55" w:rsidR="004C700D" w:rsidRPr="00263CA6" w:rsidRDefault="00CA4F00" w:rsidP="00553A1C">
      <w:pPr>
        <w:spacing w:line="480" w:lineRule="auto"/>
        <w:rPr>
          <w:color w:val="000000" w:themeColor="text1"/>
        </w:rPr>
      </w:pPr>
      <w:r w:rsidRPr="00263CA6">
        <w:rPr>
          <w:color w:val="000000" w:themeColor="text1"/>
        </w:rPr>
        <w:t>It is imperative that p</w:t>
      </w:r>
      <w:r w:rsidR="00615F7B" w:rsidRPr="00263CA6">
        <w:rPr>
          <w:color w:val="000000" w:themeColor="text1"/>
        </w:rPr>
        <w:t>opulation health</w:t>
      </w:r>
      <w:r w:rsidR="005A5F75" w:rsidRPr="00263CA6">
        <w:rPr>
          <w:color w:val="000000" w:themeColor="text1"/>
        </w:rPr>
        <w:t xml:space="preserve"> become</w:t>
      </w:r>
      <w:r w:rsidR="00134D8E" w:rsidRPr="00263CA6">
        <w:rPr>
          <w:color w:val="000000" w:themeColor="text1"/>
        </w:rPr>
        <w:t>s</w:t>
      </w:r>
      <w:r w:rsidR="005A5F75" w:rsidRPr="00263CA6">
        <w:rPr>
          <w:color w:val="000000" w:themeColor="text1"/>
        </w:rPr>
        <w:t xml:space="preserve"> a core component of nurses’ roles</w:t>
      </w:r>
      <w:r w:rsidR="00134D8E" w:rsidRPr="00263CA6">
        <w:rPr>
          <w:color w:val="000000" w:themeColor="text1"/>
        </w:rPr>
        <w:t xml:space="preserve"> and education</w:t>
      </w:r>
      <w:r w:rsidR="00AD6C11" w:rsidRPr="00263CA6">
        <w:rPr>
          <w:color w:val="000000" w:themeColor="text1"/>
        </w:rPr>
        <w:t>.</w:t>
      </w:r>
      <w:r w:rsidR="00A30944" w:rsidRPr="00263CA6">
        <w:rPr>
          <w:color w:val="000000" w:themeColor="text1"/>
        </w:rPr>
        <w:t xml:space="preserve"> </w:t>
      </w:r>
      <w:r w:rsidR="00AD6C11" w:rsidRPr="00263CA6">
        <w:rPr>
          <w:color w:val="000000" w:themeColor="text1"/>
        </w:rPr>
        <w:t>N</w:t>
      </w:r>
      <w:r w:rsidR="005A5F75" w:rsidRPr="00263CA6">
        <w:rPr>
          <w:color w:val="000000" w:themeColor="text1"/>
        </w:rPr>
        <w:t xml:space="preserve">ow. </w:t>
      </w:r>
      <w:r w:rsidR="00615F7B" w:rsidRPr="00263CA6">
        <w:rPr>
          <w:color w:val="000000" w:themeColor="text1"/>
        </w:rPr>
        <w:t>Problems at a population scale</w:t>
      </w:r>
      <w:r w:rsidR="005A5F75" w:rsidRPr="00263CA6">
        <w:rPr>
          <w:color w:val="000000" w:themeColor="text1"/>
        </w:rPr>
        <w:t xml:space="preserve"> are not going to go away</w:t>
      </w:r>
      <w:r w:rsidR="002310BE" w:rsidRPr="00263CA6">
        <w:rPr>
          <w:color w:val="000000" w:themeColor="text1"/>
        </w:rPr>
        <w:t>. N</w:t>
      </w:r>
      <w:r w:rsidR="00615F7B" w:rsidRPr="00263CA6">
        <w:rPr>
          <w:color w:val="000000" w:themeColor="text1"/>
        </w:rPr>
        <w:t xml:space="preserve">or will social injustices </w:t>
      </w:r>
      <w:r w:rsidR="004654A4" w:rsidRPr="00263CA6">
        <w:rPr>
          <w:color w:val="000000" w:themeColor="text1"/>
        </w:rPr>
        <w:t>that</w:t>
      </w:r>
      <w:r w:rsidR="00615F7B" w:rsidRPr="00263CA6">
        <w:rPr>
          <w:color w:val="000000" w:themeColor="text1"/>
        </w:rPr>
        <w:t xml:space="preserve"> health care professionals</w:t>
      </w:r>
      <w:r w:rsidR="00926303" w:rsidRPr="00263CA6">
        <w:rPr>
          <w:color w:val="000000" w:themeColor="text1"/>
        </w:rPr>
        <w:t xml:space="preserve"> can and do</w:t>
      </w:r>
      <w:r w:rsidR="00615F7B" w:rsidRPr="00263CA6">
        <w:rPr>
          <w:color w:val="000000" w:themeColor="text1"/>
        </w:rPr>
        <w:t xml:space="preserve"> unintentionally contribute</w:t>
      </w:r>
      <w:r w:rsidR="004654A4" w:rsidRPr="00263CA6">
        <w:rPr>
          <w:color w:val="000000" w:themeColor="text1"/>
        </w:rPr>
        <w:t xml:space="preserve"> to</w:t>
      </w:r>
      <w:r w:rsidR="002310BE" w:rsidRPr="00263CA6">
        <w:rPr>
          <w:color w:val="000000" w:themeColor="text1"/>
        </w:rPr>
        <w:t xml:space="preserve">. </w:t>
      </w:r>
      <w:r w:rsidR="004654A4" w:rsidRPr="00263CA6">
        <w:rPr>
          <w:color w:val="000000" w:themeColor="text1"/>
        </w:rPr>
        <w:t>T</w:t>
      </w:r>
      <w:r w:rsidR="002310BE" w:rsidRPr="00263CA6">
        <w:rPr>
          <w:color w:val="000000" w:themeColor="text1"/>
        </w:rPr>
        <w:t>hese issues</w:t>
      </w:r>
      <w:r w:rsidR="005A5F75" w:rsidRPr="00263CA6">
        <w:rPr>
          <w:color w:val="000000" w:themeColor="text1"/>
        </w:rPr>
        <w:t xml:space="preserve"> will be </w:t>
      </w:r>
      <w:r w:rsidR="002310BE" w:rsidRPr="00263CA6">
        <w:rPr>
          <w:color w:val="000000" w:themeColor="text1"/>
        </w:rPr>
        <w:t>part</w:t>
      </w:r>
      <w:r w:rsidR="005A5F75" w:rsidRPr="00263CA6">
        <w:rPr>
          <w:color w:val="000000" w:themeColor="text1"/>
        </w:rPr>
        <w:t xml:space="preserve"> of our students’ practice </w:t>
      </w:r>
      <w:r w:rsidR="004654A4" w:rsidRPr="00263CA6">
        <w:rPr>
          <w:color w:val="000000" w:themeColor="text1"/>
        </w:rPr>
        <w:t>throughout</w:t>
      </w:r>
      <w:r w:rsidR="005A5F75" w:rsidRPr="00263CA6">
        <w:rPr>
          <w:color w:val="000000" w:themeColor="text1"/>
        </w:rPr>
        <w:t xml:space="preserve"> their careers.</w:t>
      </w:r>
      <w:r w:rsidR="00615F7B" w:rsidRPr="00263CA6">
        <w:rPr>
          <w:color w:val="000000" w:themeColor="text1"/>
        </w:rPr>
        <w:t xml:space="preserve"> </w:t>
      </w:r>
      <w:r w:rsidR="00A9160C" w:rsidRPr="00263CA6">
        <w:rPr>
          <w:color w:val="000000" w:themeColor="text1"/>
        </w:rPr>
        <w:t xml:space="preserve"> </w:t>
      </w:r>
      <w:r w:rsidR="00615F7B" w:rsidRPr="00263CA6">
        <w:rPr>
          <w:color w:val="000000" w:themeColor="text1"/>
        </w:rPr>
        <w:t xml:space="preserve">Yet there is cause for </w:t>
      </w:r>
      <w:r w:rsidR="00AD6C11" w:rsidRPr="00263CA6">
        <w:rPr>
          <w:color w:val="000000" w:themeColor="text1"/>
        </w:rPr>
        <w:t>hope</w:t>
      </w:r>
      <w:r w:rsidR="004654A4" w:rsidRPr="00263CA6">
        <w:rPr>
          <w:color w:val="000000" w:themeColor="text1"/>
        </w:rPr>
        <w:t>.</w:t>
      </w:r>
      <w:r w:rsidR="00615F7B" w:rsidRPr="00263CA6">
        <w:rPr>
          <w:color w:val="000000" w:themeColor="text1"/>
        </w:rPr>
        <w:t xml:space="preserve"> </w:t>
      </w:r>
      <w:r w:rsidR="004654A4" w:rsidRPr="00263CA6">
        <w:rPr>
          <w:color w:val="000000" w:themeColor="text1"/>
        </w:rPr>
        <w:t xml:space="preserve"> A</w:t>
      </w:r>
      <w:r w:rsidR="00615F7B" w:rsidRPr="00263CA6">
        <w:rPr>
          <w:color w:val="000000" w:themeColor="text1"/>
        </w:rPr>
        <w:t>s we ha</w:t>
      </w:r>
      <w:r w:rsidR="0013602D" w:rsidRPr="00263CA6">
        <w:rPr>
          <w:color w:val="000000" w:themeColor="text1"/>
        </w:rPr>
        <w:t>ve argued throughout this pape</w:t>
      </w:r>
      <w:r w:rsidR="004654A4" w:rsidRPr="00263CA6">
        <w:rPr>
          <w:color w:val="000000" w:themeColor="text1"/>
        </w:rPr>
        <w:t>r, e</w:t>
      </w:r>
      <w:r w:rsidR="005A5F75" w:rsidRPr="00263CA6">
        <w:rPr>
          <w:color w:val="000000" w:themeColor="text1"/>
        </w:rPr>
        <w:t>ven small changes to practice can make a notable difference at the population level.</w:t>
      </w:r>
      <w:r w:rsidR="00615F7B" w:rsidRPr="00263CA6">
        <w:rPr>
          <w:color w:val="000000" w:themeColor="text1"/>
        </w:rPr>
        <w:t xml:space="preserve"> </w:t>
      </w:r>
      <w:r w:rsidR="004654A4" w:rsidRPr="00263CA6">
        <w:rPr>
          <w:color w:val="000000" w:themeColor="text1"/>
        </w:rPr>
        <w:t xml:space="preserve">Moreover, </w:t>
      </w:r>
      <w:r w:rsidR="005A5F75" w:rsidRPr="00263CA6">
        <w:rPr>
          <w:color w:val="000000" w:themeColor="text1"/>
        </w:rPr>
        <w:t>the social issues central to population hea</w:t>
      </w:r>
      <w:r w:rsidR="00615F7B" w:rsidRPr="00263CA6">
        <w:rPr>
          <w:color w:val="000000" w:themeColor="text1"/>
        </w:rPr>
        <w:t>lth, such as</w:t>
      </w:r>
      <w:r w:rsidR="005A5F75" w:rsidRPr="00263CA6">
        <w:rPr>
          <w:color w:val="000000" w:themeColor="text1"/>
        </w:rPr>
        <w:t xml:space="preserve"> the Inverse Care Law, </w:t>
      </w:r>
      <w:r w:rsidR="004654A4" w:rsidRPr="00263CA6">
        <w:rPr>
          <w:color w:val="000000" w:themeColor="text1"/>
        </w:rPr>
        <w:t xml:space="preserve">stir the latent </w:t>
      </w:r>
      <w:r w:rsidR="005A5F75" w:rsidRPr="00263CA6">
        <w:rPr>
          <w:color w:val="000000" w:themeColor="text1"/>
        </w:rPr>
        <w:t>passion</w:t>
      </w:r>
      <w:r w:rsidR="004654A4" w:rsidRPr="00263CA6">
        <w:rPr>
          <w:color w:val="000000" w:themeColor="text1"/>
        </w:rPr>
        <w:t xml:space="preserve"> </w:t>
      </w:r>
      <w:r w:rsidR="005A5F75" w:rsidRPr="00263CA6">
        <w:rPr>
          <w:color w:val="000000" w:themeColor="text1"/>
        </w:rPr>
        <w:t>of our students.</w:t>
      </w:r>
      <w:r w:rsidR="00093F7A" w:rsidRPr="00263CA6">
        <w:rPr>
          <w:color w:val="000000" w:themeColor="text1"/>
        </w:rPr>
        <w:t xml:space="preserve"> </w:t>
      </w:r>
    </w:p>
    <w:p w14:paraId="688983FD" w14:textId="77777777" w:rsidR="004C700D" w:rsidRPr="00263CA6" w:rsidRDefault="004C700D" w:rsidP="00553A1C">
      <w:pPr>
        <w:spacing w:line="480" w:lineRule="auto"/>
        <w:rPr>
          <w:color w:val="000000" w:themeColor="text1"/>
        </w:rPr>
      </w:pPr>
    </w:p>
    <w:p w14:paraId="1B7037B6" w14:textId="0697F318" w:rsidR="005A5F75" w:rsidRPr="00263CA6" w:rsidRDefault="004C700D" w:rsidP="00553A1C">
      <w:pPr>
        <w:spacing w:line="480" w:lineRule="auto"/>
        <w:rPr>
          <w:color w:val="000000" w:themeColor="text1"/>
        </w:rPr>
      </w:pPr>
      <w:r w:rsidRPr="00263CA6">
        <w:rPr>
          <w:color w:val="000000" w:themeColor="text1"/>
        </w:rPr>
        <w:t xml:space="preserve">We call on those </w:t>
      </w:r>
      <w:r w:rsidR="001D0F95" w:rsidRPr="00263CA6">
        <w:rPr>
          <w:color w:val="000000" w:themeColor="text1"/>
        </w:rPr>
        <w:t>in</w:t>
      </w:r>
      <w:r w:rsidRPr="00263CA6">
        <w:rPr>
          <w:color w:val="000000" w:themeColor="text1"/>
        </w:rPr>
        <w:t xml:space="preserve"> nurse education</w:t>
      </w:r>
      <w:r w:rsidR="001D0F95" w:rsidRPr="00263CA6">
        <w:rPr>
          <w:color w:val="000000" w:themeColor="text1"/>
        </w:rPr>
        <w:t xml:space="preserve"> – undergradu</w:t>
      </w:r>
      <w:r w:rsidR="00C401BD" w:rsidRPr="00263CA6">
        <w:rPr>
          <w:color w:val="000000" w:themeColor="text1"/>
        </w:rPr>
        <w:t>ate, postgraduate and CPD</w:t>
      </w:r>
      <w:r w:rsidR="001D0F95" w:rsidRPr="00263CA6">
        <w:rPr>
          <w:color w:val="000000" w:themeColor="text1"/>
        </w:rPr>
        <w:t xml:space="preserve"> – </w:t>
      </w:r>
      <w:r w:rsidRPr="00263CA6">
        <w:rPr>
          <w:color w:val="000000" w:themeColor="text1"/>
        </w:rPr>
        <w:t>to ensure population health is an expli</w:t>
      </w:r>
      <w:r w:rsidR="00C401BD" w:rsidRPr="00263CA6">
        <w:rPr>
          <w:color w:val="000000" w:themeColor="text1"/>
        </w:rPr>
        <w:t>cit component of learning</w:t>
      </w:r>
      <w:r w:rsidRPr="00263CA6">
        <w:rPr>
          <w:color w:val="000000" w:themeColor="text1"/>
        </w:rPr>
        <w:t xml:space="preserve">. </w:t>
      </w:r>
      <w:r w:rsidR="005A5F75" w:rsidRPr="00263CA6">
        <w:rPr>
          <w:color w:val="000000" w:themeColor="text1"/>
        </w:rPr>
        <w:t xml:space="preserve">The </w:t>
      </w:r>
      <w:r w:rsidR="00AE0ED3" w:rsidRPr="00263CA6">
        <w:rPr>
          <w:color w:val="000000" w:themeColor="text1"/>
        </w:rPr>
        <w:t>exemplars</w:t>
      </w:r>
      <w:r w:rsidR="005A5F75" w:rsidRPr="00263CA6">
        <w:rPr>
          <w:color w:val="000000" w:themeColor="text1"/>
        </w:rPr>
        <w:t xml:space="preserve"> presented here point the way to exciting and realistic </w:t>
      </w:r>
      <w:r w:rsidR="004A4C9E" w:rsidRPr="00263CA6">
        <w:rPr>
          <w:color w:val="000000" w:themeColor="text1"/>
        </w:rPr>
        <w:t>pedagogical approaches</w:t>
      </w:r>
      <w:r w:rsidR="005A5F75" w:rsidRPr="00263CA6">
        <w:rPr>
          <w:color w:val="000000" w:themeColor="text1"/>
        </w:rPr>
        <w:t xml:space="preserve"> in which students can be enthused by population health, and come to recognise the </w:t>
      </w:r>
      <w:r w:rsidR="00557CD9" w:rsidRPr="00263CA6">
        <w:rPr>
          <w:color w:val="000000" w:themeColor="text1"/>
        </w:rPr>
        <w:t xml:space="preserve">importance </w:t>
      </w:r>
      <w:r w:rsidR="005A5F75" w:rsidRPr="00263CA6">
        <w:rPr>
          <w:color w:val="000000" w:themeColor="text1"/>
        </w:rPr>
        <w:t xml:space="preserve">of the context of people’s lives, </w:t>
      </w:r>
      <w:r w:rsidR="00D15D37" w:rsidRPr="00263CA6">
        <w:rPr>
          <w:color w:val="000000" w:themeColor="text1"/>
        </w:rPr>
        <w:t>with its</w:t>
      </w:r>
      <w:r w:rsidR="00557CD9" w:rsidRPr="00263CA6">
        <w:rPr>
          <w:color w:val="000000" w:themeColor="text1"/>
        </w:rPr>
        <w:t xml:space="preserve"> </w:t>
      </w:r>
      <w:r w:rsidR="005A5F75" w:rsidRPr="00263CA6">
        <w:rPr>
          <w:color w:val="000000" w:themeColor="text1"/>
        </w:rPr>
        <w:t>implications for health. That recognition is a starting point</w:t>
      </w:r>
      <w:r w:rsidR="00557CD9" w:rsidRPr="00263CA6">
        <w:rPr>
          <w:color w:val="000000" w:themeColor="text1"/>
        </w:rPr>
        <w:t xml:space="preserve"> </w:t>
      </w:r>
      <w:r w:rsidR="005A5F75" w:rsidRPr="00263CA6">
        <w:rPr>
          <w:color w:val="000000" w:themeColor="text1"/>
        </w:rPr>
        <w:t>that can trigger creative thinking</w:t>
      </w:r>
      <w:r w:rsidR="00557CD9" w:rsidRPr="00263CA6">
        <w:rPr>
          <w:color w:val="000000" w:themeColor="text1"/>
        </w:rPr>
        <w:t xml:space="preserve"> and spark innovative </w:t>
      </w:r>
      <w:r w:rsidR="005A5F75" w:rsidRPr="00263CA6">
        <w:rPr>
          <w:color w:val="000000" w:themeColor="text1"/>
        </w:rPr>
        <w:t>solutions that enable nurses to make meaningful contribution</w:t>
      </w:r>
      <w:r w:rsidR="00A9160C" w:rsidRPr="00263CA6">
        <w:rPr>
          <w:color w:val="000000" w:themeColor="text1"/>
        </w:rPr>
        <w:t>s</w:t>
      </w:r>
      <w:r w:rsidR="005A5F75" w:rsidRPr="00263CA6">
        <w:rPr>
          <w:color w:val="000000" w:themeColor="text1"/>
        </w:rPr>
        <w:t xml:space="preserve"> to shaping health</w:t>
      </w:r>
      <w:r w:rsidR="00615F7B" w:rsidRPr="00263CA6">
        <w:rPr>
          <w:color w:val="000000" w:themeColor="text1"/>
        </w:rPr>
        <w:t xml:space="preserve"> and </w:t>
      </w:r>
      <w:r w:rsidR="00487E99" w:rsidRPr="00263CA6">
        <w:rPr>
          <w:color w:val="000000" w:themeColor="text1"/>
        </w:rPr>
        <w:t xml:space="preserve">challenging </w:t>
      </w:r>
      <w:r w:rsidR="00615F7B" w:rsidRPr="00263CA6">
        <w:rPr>
          <w:color w:val="000000" w:themeColor="text1"/>
        </w:rPr>
        <w:t xml:space="preserve">social </w:t>
      </w:r>
      <w:r w:rsidR="00557CD9" w:rsidRPr="00263CA6">
        <w:rPr>
          <w:color w:val="000000" w:themeColor="text1"/>
        </w:rPr>
        <w:t>in</w:t>
      </w:r>
      <w:r w:rsidR="00615F7B" w:rsidRPr="00263CA6">
        <w:rPr>
          <w:color w:val="000000" w:themeColor="text1"/>
        </w:rPr>
        <w:t>justice</w:t>
      </w:r>
      <w:r w:rsidR="005A5F75" w:rsidRPr="00263CA6">
        <w:rPr>
          <w:color w:val="000000" w:themeColor="text1"/>
        </w:rPr>
        <w:t xml:space="preserve">.  </w:t>
      </w:r>
      <w:r w:rsidR="00C401BD" w:rsidRPr="00263CA6">
        <w:rPr>
          <w:color w:val="000000" w:themeColor="text1"/>
        </w:rPr>
        <w:t>It is time for</w:t>
      </w:r>
      <w:r w:rsidR="00136621" w:rsidRPr="00263CA6">
        <w:rPr>
          <w:color w:val="000000" w:themeColor="text1"/>
        </w:rPr>
        <w:t xml:space="preserve"> nurse education </w:t>
      </w:r>
      <w:r w:rsidR="00E84DD2" w:rsidRPr="00263CA6">
        <w:rPr>
          <w:color w:val="000000" w:themeColor="text1"/>
        </w:rPr>
        <w:t xml:space="preserve">to </w:t>
      </w:r>
      <w:r w:rsidR="00136621" w:rsidRPr="00263CA6">
        <w:rPr>
          <w:color w:val="000000" w:themeColor="text1"/>
        </w:rPr>
        <w:t>take population health seriously</w:t>
      </w:r>
      <w:r w:rsidR="00E84DD2" w:rsidRPr="00263CA6">
        <w:rPr>
          <w:color w:val="000000" w:themeColor="text1"/>
        </w:rPr>
        <w:t xml:space="preserve"> –</w:t>
      </w:r>
      <w:r w:rsidR="00136621" w:rsidRPr="00263CA6">
        <w:rPr>
          <w:color w:val="000000" w:themeColor="text1"/>
        </w:rPr>
        <w:t xml:space="preserve"> </w:t>
      </w:r>
      <w:r w:rsidR="00557CD9" w:rsidRPr="00263CA6">
        <w:rPr>
          <w:color w:val="000000" w:themeColor="text1"/>
        </w:rPr>
        <w:t xml:space="preserve">and </w:t>
      </w:r>
      <w:r w:rsidR="00136621" w:rsidRPr="00263CA6">
        <w:rPr>
          <w:color w:val="000000" w:themeColor="text1"/>
        </w:rPr>
        <w:t xml:space="preserve">for nurse educators to step-up. </w:t>
      </w:r>
    </w:p>
    <w:p w14:paraId="138DC983" w14:textId="77777777" w:rsidR="008E2929" w:rsidRPr="00263CA6" w:rsidRDefault="008E2929" w:rsidP="00553A1C">
      <w:pPr>
        <w:spacing w:line="480" w:lineRule="auto"/>
        <w:rPr>
          <w:color w:val="000000" w:themeColor="text1"/>
        </w:rPr>
      </w:pPr>
    </w:p>
    <w:p w14:paraId="41785CD7" w14:textId="77777777" w:rsidR="008E2929" w:rsidRPr="00263CA6" w:rsidRDefault="008E2929" w:rsidP="00553A1C">
      <w:pPr>
        <w:spacing w:line="480" w:lineRule="auto"/>
        <w:rPr>
          <w:color w:val="000000" w:themeColor="text1"/>
        </w:rPr>
      </w:pPr>
    </w:p>
    <w:p w14:paraId="418E6B10" w14:textId="77777777" w:rsidR="008E2929" w:rsidRPr="00263CA6" w:rsidRDefault="008E2929" w:rsidP="00553A1C">
      <w:pPr>
        <w:spacing w:line="480" w:lineRule="auto"/>
        <w:rPr>
          <w:color w:val="000000" w:themeColor="text1"/>
        </w:rPr>
      </w:pPr>
    </w:p>
    <w:p w14:paraId="0FAE1F2E" w14:textId="25EEDD70" w:rsidR="008E2929" w:rsidRPr="00263CA6" w:rsidRDefault="008E2929" w:rsidP="00553A1C">
      <w:pPr>
        <w:spacing w:line="480" w:lineRule="auto"/>
        <w:rPr>
          <w:b/>
          <w:color w:val="000000" w:themeColor="text1"/>
        </w:rPr>
      </w:pPr>
      <w:r w:rsidRPr="00263CA6">
        <w:rPr>
          <w:b/>
          <w:color w:val="000000" w:themeColor="text1"/>
        </w:rPr>
        <w:t>References</w:t>
      </w:r>
    </w:p>
    <w:p w14:paraId="29EBD1A2" w14:textId="77777777" w:rsidR="008A5DC4" w:rsidRPr="00263CA6" w:rsidRDefault="008A5DC4" w:rsidP="008A5DC4">
      <w:pPr>
        <w:pStyle w:val="EndNoteBibliography"/>
        <w:spacing w:after="120"/>
        <w:rPr>
          <w:i/>
          <w:noProof/>
          <w:color w:val="000000" w:themeColor="text1"/>
        </w:rPr>
      </w:pPr>
      <w:r w:rsidRPr="00263CA6">
        <w:rPr>
          <w:color w:val="000000" w:themeColor="text1"/>
        </w:rPr>
        <w:fldChar w:fldCharType="begin"/>
      </w:r>
      <w:r w:rsidRPr="00263CA6">
        <w:rPr>
          <w:color w:val="000000" w:themeColor="text1"/>
        </w:rPr>
        <w:instrText xml:space="preserve"> ADDIN EN.REFLIST </w:instrText>
      </w:r>
      <w:r w:rsidRPr="00263CA6">
        <w:rPr>
          <w:color w:val="000000" w:themeColor="text1"/>
        </w:rPr>
        <w:fldChar w:fldCharType="separate"/>
      </w:r>
      <w:r w:rsidRPr="00263CA6">
        <w:rPr>
          <w:noProof/>
          <w:color w:val="000000" w:themeColor="text1"/>
        </w:rPr>
        <w:t xml:space="preserve">AHPRA (2015) </w:t>
      </w:r>
      <w:r w:rsidRPr="00263CA6">
        <w:rPr>
          <w:i/>
          <w:noProof/>
          <w:color w:val="000000" w:themeColor="text1"/>
        </w:rPr>
        <w:t>Nurse and Midwife Registrant Data: September 2015</w:t>
      </w:r>
      <w:r w:rsidRPr="00263CA6">
        <w:rPr>
          <w:noProof/>
          <w:color w:val="000000" w:themeColor="text1"/>
        </w:rPr>
        <w:t>. Melbo</w:t>
      </w:r>
      <w:r w:rsidRPr="00263CA6">
        <w:rPr>
          <w:rFonts w:asciiTheme="minorHAnsi" w:hAnsiTheme="minorHAnsi"/>
          <w:noProof/>
          <w:color w:val="000000" w:themeColor="text1"/>
        </w:rPr>
        <w:t xml:space="preserve">urne, </w:t>
      </w:r>
      <w:r w:rsidRPr="00263CA6">
        <w:rPr>
          <w:rFonts w:asciiTheme="minorHAnsi" w:hAnsiTheme="minorHAnsi" w:cs="Verdana"/>
          <w:color w:val="000000" w:themeColor="text1"/>
        </w:rPr>
        <w:t>Nursing and Midwifery Board of Australia</w:t>
      </w:r>
      <w:r w:rsidRPr="00263CA6">
        <w:rPr>
          <w:rFonts w:asciiTheme="minorHAnsi" w:hAnsiTheme="minorHAnsi"/>
          <w:noProof/>
          <w:color w:val="000000" w:themeColor="text1"/>
        </w:rPr>
        <w:t xml:space="preserve">. </w:t>
      </w:r>
    </w:p>
    <w:p w14:paraId="56D60A05"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American Association of Colleges of Nursing (2015) </w:t>
      </w:r>
      <w:r w:rsidRPr="00263CA6">
        <w:rPr>
          <w:i/>
          <w:noProof/>
          <w:color w:val="000000" w:themeColor="text1"/>
        </w:rPr>
        <w:t>Nursing fact sheet</w:t>
      </w:r>
      <w:r w:rsidRPr="00263CA6">
        <w:rPr>
          <w:noProof/>
          <w:color w:val="000000" w:themeColor="text1"/>
        </w:rPr>
        <w:t>. http://www.aacn.nche.edu/media-relations/fact-sheets/nursing-fact-sheet (last accessed 6</w:t>
      </w:r>
      <w:r w:rsidRPr="00263CA6">
        <w:rPr>
          <w:noProof/>
          <w:color w:val="000000" w:themeColor="text1"/>
          <w:vertAlign w:val="superscript"/>
        </w:rPr>
        <w:t>th</w:t>
      </w:r>
      <w:r w:rsidRPr="00263CA6">
        <w:rPr>
          <w:noProof/>
          <w:color w:val="000000" w:themeColor="text1"/>
        </w:rPr>
        <w:t xml:space="preserve"> January 2016).</w:t>
      </w:r>
    </w:p>
    <w:p w14:paraId="6C4B374F" w14:textId="77777777" w:rsidR="008A5DC4" w:rsidRPr="00263CA6" w:rsidRDefault="008A5DC4" w:rsidP="008A5DC4">
      <w:pPr>
        <w:pStyle w:val="EndNoteBibliography"/>
        <w:spacing w:after="120"/>
        <w:rPr>
          <w:noProof/>
          <w:color w:val="000000" w:themeColor="text1"/>
        </w:rPr>
      </w:pPr>
      <w:r w:rsidRPr="00263CA6">
        <w:rPr>
          <w:noProof/>
          <w:color w:val="000000" w:themeColor="text1"/>
        </w:rPr>
        <w:t>Ashton, J. (1994) The Epidemiological Imagination: a reader. Buckinghamshire: Open University Press.</w:t>
      </w:r>
    </w:p>
    <w:p w14:paraId="1C95B535" w14:textId="77777777" w:rsidR="008A5DC4" w:rsidRPr="00263CA6" w:rsidRDefault="008A5DC4" w:rsidP="008A5DC4">
      <w:pPr>
        <w:pStyle w:val="EndNoteBibliography"/>
        <w:spacing w:after="120"/>
        <w:rPr>
          <w:noProof/>
          <w:color w:val="000000" w:themeColor="text1"/>
        </w:rPr>
      </w:pPr>
      <w:r w:rsidRPr="00263CA6">
        <w:rPr>
          <w:noProof/>
          <w:color w:val="000000" w:themeColor="text1"/>
        </w:rPr>
        <w:t>Canadian Nurses Association (2012) 2010 Workforce Profile of Registered Nurses in Canada. Ottowa: Canadian Nurses Associat</w:t>
      </w:r>
      <w:r w:rsidRPr="00263CA6">
        <w:rPr>
          <w:rFonts w:asciiTheme="minorHAnsi" w:hAnsiTheme="minorHAnsi"/>
          <w:noProof/>
          <w:color w:val="000000" w:themeColor="text1"/>
        </w:rPr>
        <w:t xml:space="preserve">ion. </w:t>
      </w:r>
      <w:r w:rsidRPr="00263CA6">
        <w:rPr>
          <w:rFonts w:asciiTheme="minorHAnsi" w:hAnsiTheme="minorHAnsi" w:cs="Verdana"/>
          <w:color w:val="000000" w:themeColor="text1"/>
        </w:rPr>
        <w:t>https://www.cna-aiic.ca/~/media/cna/page-content/pdf-en/2010_rn_snapshot_e.pdf (last accessed 6</w:t>
      </w:r>
      <w:r w:rsidRPr="00263CA6">
        <w:rPr>
          <w:rFonts w:asciiTheme="minorHAnsi" w:hAnsiTheme="minorHAnsi" w:cs="Verdana"/>
          <w:color w:val="000000" w:themeColor="text1"/>
          <w:vertAlign w:val="superscript"/>
        </w:rPr>
        <w:t>th</w:t>
      </w:r>
      <w:r w:rsidRPr="00263CA6">
        <w:rPr>
          <w:rFonts w:asciiTheme="minorHAnsi" w:hAnsiTheme="minorHAnsi" w:cs="Verdana"/>
          <w:color w:val="000000" w:themeColor="text1"/>
        </w:rPr>
        <w:t xml:space="preserve"> January 2016).</w:t>
      </w:r>
    </w:p>
    <w:p w14:paraId="36556E1F"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Eley, D., Eley, R., Bertello, M. &amp; Rogers-Clark, C. (2012) Why did I become a nurse? Personality traits and the reasons for entering nursing. </w:t>
      </w:r>
      <w:r w:rsidRPr="00263CA6">
        <w:rPr>
          <w:i/>
          <w:noProof/>
          <w:color w:val="000000" w:themeColor="text1"/>
        </w:rPr>
        <w:t>Journal of Advanced Nursing</w:t>
      </w:r>
      <w:r w:rsidRPr="00263CA6">
        <w:rPr>
          <w:noProof/>
          <w:color w:val="000000" w:themeColor="text1"/>
        </w:rPr>
        <w:t>, 68(7), 1546-1555.</w:t>
      </w:r>
    </w:p>
    <w:p w14:paraId="066E7A20"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Institute of Health Equity (2013) </w:t>
      </w:r>
      <w:r w:rsidRPr="00263CA6">
        <w:rPr>
          <w:i/>
          <w:noProof/>
          <w:color w:val="000000" w:themeColor="text1"/>
        </w:rPr>
        <w:t>Working for health: the role of health professionals</w:t>
      </w:r>
      <w:r w:rsidRPr="00263CA6">
        <w:rPr>
          <w:noProof/>
          <w:color w:val="000000" w:themeColor="text1"/>
        </w:rPr>
        <w:t>. London, University College London.</w:t>
      </w:r>
    </w:p>
    <w:p w14:paraId="574FCF74"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Hart, J. T. (1971) The Inverse Care Law. </w:t>
      </w:r>
      <w:r w:rsidRPr="00263CA6">
        <w:rPr>
          <w:i/>
          <w:noProof/>
          <w:color w:val="000000" w:themeColor="text1"/>
        </w:rPr>
        <w:t>The Lancet</w:t>
      </w:r>
      <w:r w:rsidRPr="00263CA6">
        <w:rPr>
          <w:noProof/>
          <w:color w:val="000000" w:themeColor="text1"/>
        </w:rPr>
        <w:t>, 297(7696), 405-412.</w:t>
      </w:r>
    </w:p>
    <w:p w14:paraId="33B0FE99" w14:textId="716970C7" w:rsidR="008A5DC4" w:rsidRPr="00263CA6" w:rsidRDefault="008A5DC4" w:rsidP="008A5DC4">
      <w:pPr>
        <w:pStyle w:val="EndNoteBibliography"/>
        <w:spacing w:after="120"/>
        <w:rPr>
          <w:rFonts w:asciiTheme="minorHAnsi" w:hAnsiTheme="minorHAnsi" w:cs="Arial"/>
          <w:color w:val="000000" w:themeColor="text1"/>
        </w:rPr>
      </w:pPr>
      <w:r w:rsidRPr="00263CA6">
        <w:rPr>
          <w:rFonts w:asciiTheme="minorHAnsi" w:hAnsiTheme="minorHAnsi" w:cs="Arial"/>
          <w:bCs/>
          <w:color w:val="000000" w:themeColor="text1"/>
        </w:rPr>
        <w:lastRenderedPageBreak/>
        <w:t>Kyle R</w:t>
      </w:r>
      <w:r w:rsidR="00163FB6" w:rsidRPr="00263CA6">
        <w:rPr>
          <w:rFonts w:asciiTheme="minorHAnsi" w:hAnsiTheme="minorHAnsi" w:cs="Arial"/>
          <w:bCs/>
          <w:color w:val="000000" w:themeColor="text1"/>
        </w:rPr>
        <w:t>.</w:t>
      </w:r>
      <w:r w:rsidRPr="00263CA6">
        <w:rPr>
          <w:rFonts w:asciiTheme="minorHAnsi" w:hAnsiTheme="minorHAnsi" w:cs="Arial"/>
          <w:bCs/>
          <w:color w:val="000000" w:themeColor="text1"/>
        </w:rPr>
        <w:t>G</w:t>
      </w:r>
      <w:r w:rsidR="00163FB6" w:rsidRPr="00263CA6">
        <w:rPr>
          <w:rFonts w:asciiTheme="minorHAnsi" w:hAnsiTheme="minorHAnsi" w:cs="Arial"/>
          <w:bCs/>
          <w:color w:val="000000" w:themeColor="text1"/>
        </w:rPr>
        <w:t>.</w:t>
      </w:r>
      <w:r w:rsidRPr="00263CA6">
        <w:rPr>
          <w:rFonts w:asciiTheme="minorHAnsi" w:hAnsiTheme="minorHAnsi" w:cs="Arial"/>
          <w:color w:val="000000" w:themeColor="text1"/>
        </w:rPr>
        <w:t>, Neall</w:t>
      </w:r>
      <w:r w:rsidR="00163FB6" w:rsidRPr="00263CA6">
        <w:rPr>
          <w:rFonts w:asciiTheme="minorHAnsi" w:hAnsiTheme="minorHAnsi" w:cs="Arial"/>
          <w:color w:val="000000" w:themeColor="text1"/>
        </w:rPr>
        <w:t>,</w:t>
      </w:r>
      <w:r w:rsidRPr="00263CA6">
        <w:rPr>
          <w:rFonts w:asciiTheme="minorHAnsi" w:hAnsiTheme="minorHAnsi" w:cs="Arial"/>
          <w:color w:val="000000" w:themeColor="text1"/>
        </w:rPr>
        <w:t xml:space="preserve"> R</w:t>
      </w:r>
      <w:r w:rsidR="00163FB6" w:rsidRPr="00263CA6">
        <w:rPr>
          <w:rFonts w:asciiTheme="minorHAnsi" w:hAnsiTheme="minorHAnsi" w:cs="Arial"/>
          <w:color w:val="000000" w:themeColor="text1"/>
        </w:rPr>
        <w:t>.</w:t>
      </w:r>
      <w:r w:rsidRPr="00263CA6">
        <w:rPr>
          <w:rFonts w:asciiTheme="minorHAnsi" w:hAnsiTheme="minorHAnsi" w:cs="Arial"/>
          <w:color w:val="000000" w:themeColor="text1"/>
        </w:rPr>
        <w:t>A</w:t>
      </w:r>
      <w:r w:rsidR="00163FB6" w:rsidRPr="00263CA6">
        <w:rPr>
          <w:rFonts w:asciiTheme="minorHAnsi" w:hAnsiTheme="minorHAnsi" w:cs="Arial"/>
          <w:color w:val="000000" w:themeColor="text1"/>
        </w:rPr>
        <w:t>. and</w:t>
      </w:r>
      <w:r w:rsidRPr="00263CA6">
        <w:rPr>
          <w:rFonts w:asciiTheme="minorHAnsi" w:hAnsiTheme="minorHAnsi" w:cs="Arial"/>
          <w:color w:val="000000" w:themeColor="text1"/>
        </w:rPr>
        <w:t xml:space="preserve"> Atherton</w:t>
      </w:r>
      <w:r w:rsidR="00163FB6" w:rsidRPr="00263CA6">
        <w:rPr>
          <w:rFonts w:asciiTheme="minorHAnsi" w:hAnsiTheme="minorHAnsi" w:cs="Arial"/>
          <w:color w:val="000000" w:themeColor="text1"/>
        </w:rPr>
        <w:t>,</w:t>
      </w:r>
      <w:r w:rsidRPr="00263CA6">
        <w:rPr>
          <w:rFonts w:asciiTheme="minorHAnsi" w:hAnsiTheme="minorHAnsi" w:cs="Arial"/>
          <w:color w:val="000000" w:themeColor="text1"/>
        </w:rPr>
        <w:t xml:space="preserve"> I</w:t>
      </w:r>
      <w:r w:rsidR="00163FB6" w:rsidRPr="00263CA6">
        <w:rPr>
          <w:rFonts w:asciiTheme="minorHAnsi" w:hAnsiTheme="minorHAnsi" w:cs="Arial"/>
          <w:color w:val="000000" w:themeColor="text1"/>
        </w:rPr>
        <w:t>.</w:t>
      </w:r>
      <w:r w:rsidRPr="00263CA6">
        <w:rPr>
          <w:rFonts w:asciiTheme="minorHAnsi" w:hAnsiTheme="minorHAnsi" w:cs="Arial"/>
          <w:color w:val="000000" w:themeColor="text1"/>
        </w:rPr>
        <w:t>M</w:t>
      </w:r>
      <w:r w:rsidR="00163FB6" w:rsidRPr="00263CA6">
        <w:rPr>
          <w:rFonts w:asciiTheme="minorHAnsi" w:hAnsiTheme="minorHAnsi" w:cs="Arial"/>
          <w:color w:val="000000" w:themeColor="text1"/>
        </w:rPr>
        <w:t>.</w:t>
      </w:r>
      <w:r w:rsidRPr="00263CA6">
        <w:rPr>
          <w:rFonts w:asciiTheme="minorHAnsi" w:hAnsiTheme="minorHAnsi" w:cs="Arial"/>
          <w:color w:val="000000" w:themeColor="text1"/>
        </w:rPr>
        <w:t xml:space="preserve"> (2016) </w:t>
      </w:r>
      <w:hyperlink r:id="rId9" w:history="1">
        <w:r w:rsidRPr="00263CA6">
          <w:rPr>
            <w:rFonts w:asciiTheme="minorHAnsi" w:hAnsiTheme="minorHAnsi" w:cs="Arial"/>
            <w:bCs/>
            <w:color w:val="000000" w:themeColor="text1"/>
          </w:rPr>
          <w:t>Prevalence of overweight and obesity among nurses in Scotland: A cross-sectional study using the Scottish Health Survey</w:t>
        </w:r>
      </w:hyperlink>
      <w:r w:rsidRPr="00263CA6">
        <w:rPr>
          <w:rFonts w:asciiTheme="minorHAnsi" w:hAnsiTheme="minorHAnsi" w:cs="Arial"/>
          <w:color w:val="000000" w:themeColor="text1"/>
        </w:rPr>
        <w:t xml:space="preserve"> </w:t>
      </w:r>
      <w:r w:rsidRPr="00263CA6">
        <w:rPr>
          <w:rFonts w:asciiTheme="minorHAnsi" w:hAnsiTheme="minorHAnsi" w:cs="Arial"/>
          <w:i/>
          <w:iCs/>
          <w:color w:val="000000" w:themeColor="text1"/>
        </w:rPr>
        <w:t>International Journal of Nursing Studies</w:t>
      </w:r>
      <w:r w:rsidRPr="00263CA6">
        <w:rPr>
          <w:rFonts w:asciiTheme="minorHAnsi" w:hAnsiTheme="minorHAnsi" w:cs="Arial"/>
          <w:color w:val="000000" w:themeColor="text1"/>
        </w:rPr>
        <w:t>, 53: 126-133.</w:t>
      </w:r>
    </w:p>
    <w:p w14:paraId="5B38D2B1" w14:textId="2823F765" w:rsidR="008A5DC4" w:rsidRPr="00263CA6" w:rsidRDefault="008A5DC4" w:rsidP="008A5DC4">
      <w:pPr>
        <w:pStyle w:val="EndNoteBibliography"/>
        <w:spacing w:after="120"/>
        <w:rPr>
          <w:rFonts w:asciiTheme="minorHAnsi" w:hAnsiTheme="minorHAnsi"/>
          <w:noProof/>
          <w:color w:val="000000" w:themeColor="text1"/>
        </w:rPr>
      </w:pPr>
      <w:r w:rsidRPr="00263CA6">
        <w:rPr>
          <w:rFonts w:asciiTheme="minorHAnsi" w:hAnsiTheme="minorHAnsi"/>
          <w:noProof/>
          <w:color w:val="000000" w:themeColor="text1"/>
        </w:rPr>
        <w:t xml:space="preserve">Marmot, M., Stansfeld, S., Patel, C., North, F., Head, J., White, I., Brunner, E., Feeney, A., Marmot, M. &amp; Davey Smith, G. (1991) Health inequalities among British civil servants: the Whitehall II study. </w:t>
      </w:r>
      <w:r w:rsidRPr="00263CA6">
        <w:rPr>
          <w:rFonts w:asciiTheme="minorHAnsi" w:hAnsiTheme="minorHAnsi"/>
          <w:i/>
          <w:noProof/>
          <w:color w:val="000000" w:themeColor="text1"/>
        </w:rPr>
        <w:t>The Lancet</w:t>
      </w:r>
      <w:r w:rsidRPr="00263CA6">
        <w:rPr>
          <w:rFonts w:asciiTheme="minorHAnsi" w:hAnsiTheme="minorHAnsi"/>
          <w:noProof/>
          <w:color w:val="000000" w:themeColor="text1"/>
        </w:rPr>
        <w:t>, 337(8754), 1387-1393.</w:t>
      </w:r>
    </w:p>
    <w:p w14:paraId="42B4B474" w14:textId="059B7E89" w:rsidR="00936E13" w:rsidRPr="00263CA6" w:rsidRDefault="00936E13" w:rsidP="008A5DC4">
      <w:pPr>
        <w:pStyle w:val="EndNoteBibliography"/>
        <w:spacing w:after="120"/>
        <w:rPr>
          <w:noProof/>
          <w:color w:val="000000" w:themeColor="text1"/>
        </w:rPr>
      </w:pPr>
      <w:r w:rsidRPr="00263CA6">
        <w:rPr>
          <w:noProof/>
          <w:color w:val="000000" w:themeColor="text1"/>
        </w:rPr>
        <w:t xml:space="preserve">Mercer, S. W. &amp; Watt, G. C. (2007) 2007. The inverse care law: clinical primary care encounters in deprived and affluent areas of Scotland. </w:t>
      </w:r>
      <w:r w:rsidRPr="00263CA6">
        <w:rPr>
          <w:i/>
          <w:noProof/>
          <w:color w:val="000000" w:themeColor="text1"/>
        </w:rPr>
        <w:t>The Annals of Family Medicine</w:t>
      </w:r>
      <w:r w:rsidRPr="00263CA6">
        <w:rPr>
          <w:noProof/>
          <w:color w:val="000000" w:themeColor="text1"/>
        </w:rPr>
        <w:t>, 5(6), 503-510.</w:t>
      </w:r>
    </w:p>
    <w:p w14:paraId="2DF7BCA6"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McLean, G., Sutton, M. &amp; Guthrie, B. (2006) Deprivation and quality of primary care services: evidence for the persistence of the inverse care law from the UK. </w:t>
      </w:r>
      <w:r w:rsidRPr="00263CA6">
        <w:rPr>
          <w:i/>
          <w:noProof/>
          <w:color w:val="000000" w:themeColor="text1"/>
        </w:rPr>
        <w:t>Journal of Epidemiology and Community Health</w:t>
      </w:r>
      <w:r w:rsidRPr="00263CA6">
        <w:rPr>
          <w:noProof/>
          <w:color w:val="000000" w:themeColor="text1"/>
        </w:rPr>
        <w:t>, 60, 917-922.</w:t>
      </w:r>
    </w:p>
    <w:p w14:paraId="140CF8CF"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National Health Service Confederation (2015) </w:t>
      </w:r>
      <w:r w:rsidRPr="00263CA6">
        <w:rPr>
          <w:i/>
          <w:noProof/>
          <w:color w:val="000000" w:themeColor="text1"/>
        </w:rPr>
        <w:t>Key statistics on th</w:t>
      </w:r>
      <w:r w:rsidRPr="00263CA6">
        <w:rPr>
          <w:rFonts w:asciiTheme="minorHAnsi" w:hAnsiTheme="minorHAnsi"/>
          <w:i/>
          <w:noProof/>
          <w:color w:val="000000" w:themeColor="text1"/>
        </w:rPr>
        <w:t>e NHS</w:t>
      </w:r>
      <w:r w:rsidRPr="00263CA6">
        <w:rPr>
          <w:rFonts w:asciiTheme="minorHAnsi" w:hAnsiTheme="minorHAnsi"/>
          <w:noProof/>
          <w:color w:val="000000" w:themeColor="text1"/>
        </w:rPr>
        <w:t xml:space="preserve">. </w:t>
      </w:r>
      <w:r w:rsidRPr="00263CA6">
        <w:rPr>
          <w:rFonts w:asciiTheme="minorHAnsi" w:hAnsiTheme="minorHAnsi" w:cs="Verdana"/>
          <w:color w:val="000000" w:themeColor="text1"/>
        </w:rPr>
        <w:t>http://www.nhsconfed.org/resources/key-statistics-on-the-nhs (last accessed 5</w:t>
      </w:r>
      <w:r w:rsidRPr="00263CA6">
        <w:rPr>
          <w:rFonts w:asciiTheme="minorHAnsi" w:hAnsiTheme="minorHAnsi" w:cs="Verdana"/>
          <w:color w:val="000000" w:themeColor="text1"/>
          <w:vertAlign w:val="superscript"/>
        </w:rPr>
        <w:t>th</w:t>
      </w:r>
      <w:r w:rsidRPr="00263CA6">
        <w:rPr>
          <w:rFonts w:asciiTheme="minorHAnsi" w:hAnsiTheme="minorHAnsi" w:cs="Verdana"/>
          <w:color w:val="000000" w:themeColor="text1"/>
        </w:rPr>
        <w:t xml:space="preserve"> January 2016).</w:t>
      </w:r>
    </w:p>
    <w:p w14:paraId="50B1E222"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Ram, R. (2011) The “inverse care law” and infant mortality among Whites and Blacks in the United States. </w:t>
      </w:r>
      <w:r w:rsidRPr="00263CA6">
        <w:rPr>
          <w:i/>
          <w:noProof/>
          <w:color w:val="000000" w:themeColor="text1"/>
        </w:rPr>
        <w:t>International Journal of Social Economics</w:t>
      </w:r>
      <w:r w:rsidRPr="00263CA6">
        <w:rPr>
          <w:noProof/>
          <w:color w:val="000000" w:themeColor="text1"/>
        </w:rPr>
        <w:t>, 38(12), 973-982.</w:t>
      </w:r>
    </w:p>
    <w:p w14:paraId="533D1063"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Rose, G. (2001) Sick individuals and sick populatioins. </w:t>
      </w:r>
      <w:r w:rsidRPr="00263CA6">
        <w:rPr>
          <w:i/>
          <w:noProof/>
          <w:color w:val="000000" w:themeColor="text1"/>
        </w:rPr>
        <w:t>International journal of epidemiology</w:t>
      </w:r>
      <w:r w:rsidRPr="00263CA6">
        <w:rPr>
          <w:noProof/>
          <w:color w:val="000000" w:themeColor="text1"/>
        </w:rPr>
        <w:t>, 30(3), 427-432.</w:t>
      </w:r>
    </w:p>
    <w:p w14:paraId="68AA7E3A"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Simpson, V. &amp; Richards, E. (2015) Flipping the classroom to teach population health: increasing relevance. </w:t>
      </w:r>
      <w:r w:rsidRPr="00263CA6">
        <w:rPr>
          <w:i/>
          <w:noProof/>
          <w:color w:val="000000" w:themeColor="text1"/>
        </w:rPr>
        <w:t>Nurse education in practice</w:t>
      </w:r>
      <w:r w:rsidRPr="00263CA6">
        <w:rPr>
          <w:noProof/>
          <w:color w:val="000000" w:themeColor="text1"/>
        </w:rPr>
        <w:t>, 15, 162-167.</w:t>
      </w:r>
    </w:p>
    <w:p w14:paraId="6FB97639"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South African Nursing Council (2015) </w:t>
      </w:r>
      <w:r w:rsidRPr="00263CA6">
        <w:rPr>
          <w:i/>
          <w:noProof/>
          <w:color w:val="000000" w:themeColor="text1"/>
        </w:rPr>
        <w:t xml:space="preserve">Growth in the </w:t>
      </w:r>
      <w:r w:rsidRPr="00263CA6">
        <w:rPr>
          <w:rFonts w:asciiTheme="minorHAnsi" w:hAnsiTheme="minorHAnsi"/>
          <w:i/>
          <w:noProof/>
          <w:color w:val="000000" w:themeColor="text1"/>
        </w:rPr>
        <w:t>registers and rolls 2005-2014</w:t>
      </w:r>
      <w:r w:rsidRPr="00263CA6">
        <w:rPr>
          <w:rFonts w:asciiTheme="minorHAnsi" w:hAnsiTheme="minorHAnsi"/>
          <w:noProof/>
          <w:color w:val="000000" w:themeColor="text1"/>
        </w:rPr>
        <w:t xml:space="preserve">. </w:t>
      </w:r>
      <w:r w:rsidRPr="00263CA6">
        <w:rPr>
          <w:rFonts w:asciiTheme="minorHAnsi" w:hAnsiTheme="minorHAnsi" w:cs="Verdana"/>
          <w:color w:val="000000" w:themeColor="text1"/>
        </w:rPr>
        <w:t>http://www.sanc.co.za/stats/stat_ts/Growth/Growth%202005-2014.pdf (last accessed 6</w:t>
      </w:r>
      <w:r w:rsidRPr="00263CA6">
        <w:rPr>
          <w:rFonts w:asciiTheme="minorHAnsi" w:hAnsiTheme="minorHAnsi" w:cs="Verdana"/>
          <w:color w:val="000000" w:themeColor="text1"/>
          <w:vertAlign w:val="superscript"/>
        </w:rPr>
        <w:t>th</w:t>
      </w:r>
      <w:r w:rsidRPr="00263CA6">
        <w:rPr>
          <w:rFonts w:asciiTheme="minorHAnsi" w:hAnsiTheme="minorHAnsi" w:cs="Verdana"/>
          <w:color w:val="000000" w:themeColor="text1"/>
        </w:rPr>
        <w:t xml:space="preserve"> January 2016).</w:t>
      </w:r>
    </w:p>
    <w:p w14:paraId="38F94BEA" w14:textId="77777777" w:rsidR="008A5DC4" w:rsidRPr="00263CA6" w:rsidRDefault="008A5DC4" w:rsidP="008A5DC4">
      <w:pPr>
        <w:pStyle w:val="EndNoteBibliography"/>
        <w:spacing w:after="120"/>
        <w:rPr>
          <w:noProof/>
          <w:color w:val="000000" w:themeColor="text1"/>
        </w:rPr>
      </w:pPr>
      <w:r w:rsidRPr="00263CA6">
        <w:rPr>
          <w:noProof/>
          <w:color w:val="000000" w:themeColor="text1"/>
        </w:rPr>
        <w:t xml:space="preserve">Wros, P., Mathews, L., Voss, H. &amp; Bookman, N. (2015) An academic-practice model to improve the health of underserved neighbourhoods. </w:t>
      </w:r>
      <w:r w:rsidRPr="00263CA6">
        <w:rPr>
          <w:i/>
          <w:noProof/>
          <w:color w:val="000000" w:themeColor="text1"/>
        </w:rPr>
        <w:t>Family &amp; Community Health</w:t>
      </w:r>
      <w:r w:rsidRPr="00263CA6">
        <w:rPr>
          <w:noProof/>
          <w:color w:val="000000" w:themeColor="text1"/>
        </w:rPr>
        <w:t>, 38(2), 195-203.</w:t>
      </w:r>
    </w:p>
    <w:p w14:paraId="6F566EDD" w14:textId="4EE2165D" w:rsidR="00A63265" w:rsidRPr="00263CA6" w:rsidRDefault="008A5DC4" w:rsidP="008A5DC4">
      <w:pPr>
        <w:spacing w:line="480" w:lineRule="auto"/>
        <w:rPr>
          <w:color w:val="000000" w:themeColor="text1"/>
        </w:rPr>
      </w:pPr>
      <w:r w:rsidRPr="00263CA6">
        <w:rPr>
          <w:color w:val="000000" w:themeColor="text1"/>
        </w:rPr>
        <w:fldChar w:fldCharType="end"/>
      </w:r>
    </w:p>
    <w:p w14:paraId="47B41C2B" w14:textId="77777777" w:rsidR="00F452FD" w:rsidRPr="00263CA6" w:rsidRDefault="00F452FD" w:rsidP="00553A1C">
      <w:pPr>
        <w:spacing w:line="480" w:lineRule="auto"/>
        <w:rPr>
          <w:color w:val="000000" w:themeColor="text1"/>
        </w:rPr>
      </w:pPr>
    </w:p>
    <w:p w14:paraId="5AD7350C" w14:textId="3AFAD33A" w:rsidR="0097615C" w:rsidRPr="00263CA6" w:rsidRDefault="0097615C" w:rsidP="00D25E6B">
      <w:pPr>
        <w:spacing w:line="360" w:lineRule="auto"/>
        <w:rPr>
          <w:color w:val="000000" w:themeColor="text1"/>
        </w:rPr>
      </w:pPr>
    </w:p>
    <w:sectPr w:rsidR="0097615C" w:rsidRPr="00263CA6" w:rsidSect="009D2CA3">
      <w:headerReference w:type="even" r:id="rId10"/>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5700" w14:textId="77777777" w:rsidR="00A42081" w:rsidRDefault="00A42081" w:rsidP="00F55F27">
      <w:r>
        <w:separator/>
      </w:r>
    </w:p>
  </w:endnote>
  <w:endnote w:type="continuationSeparator" w:id="0">
    <w:p w14:paraId="6159D4BE" w14:textId="77777777" w:rsidR="00A42081" w:rsidRDefault="00A42081" w:rsidP="00F5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7E8A" w14:textId="77777777" w:rsidR="00A42081" w:rsidRDefault="00A42081" w:rsidP="00553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1BAC1" w14:textId="77777777" w:rsidR="00A42081" w:rsidRDefault="00A42081" w:rsidP="00553A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1BF92" w14:textId="1D72C160" w:rsidR="00A42081" w:rsidRDefault="00A42081" w:rsidP="00553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24">
      <w:rPr>
        <w:rStyle w:val="PageNumber"/>
        <w:noProof/>
      </w:rPr>
      <w:t>1</w:t>
    </w:r>
    <w:r>
      <w:rPr>
        <w:rStyle w:val="PageNumber"/>
      </w:rPr>
      <w:fldChar w:fldCharType="end"/>
    </w:r>
  </w:p>
  <w:p w14:paraId="42D784E3" w14:textId="77777777" w:rsidR="00A42081" w:rsidRDefault="00A42081" w:rsidP="00553A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30201" w14:textId="77777777" w:rsidR="00A42081" w:rsidRDefault="00A42081" w:rsidP="00F55F27">
      <w:r>
        <w:separator/>
      </w:r>
    </w:p>
  </w:footnote>
  <w:footnote w:type="continuationSeparator" w:id="0">
    <w:p w14:paraId="39966065" w14:textId="77777777" w:rsidR="00A42081" w:rsidRDefault="00A42081" w:rsidP="00F5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Title"/>
      <w:id w:val="77547040"/>
      <w:placeholder>
        <w:docPart w:val="A4AEED37052F924B90E4719139124A90"/>
      </w:placeholder>
      <w:dataBinding w:prefixMappings="xmlns:ns0='http://schemas.openxmlformats.org/package/2006/metadata/core-properties' xmlns:ns1='http://purl.org/dc/elements/1.1/'" w:xpath="/ns0:coreProperties[1]/ns1:title[1]" w:storeItemID="{6C3C8BC8-F283-45AE-878A-BAB7291924A1}"/>
      <w:text/>
    </w:sdtPr>
    <w:sdtEndPr/>
    <w:sdtContent>
      <w:p w14:paraId="1393EC2F" w14:textId="1503D09B" w:rsidR="00A42081" w:rsidRPr="005E04E9" w:rsidRDefault="00A42081">
        <w:pPr>
          <w:pStyle w:val="Header"/>
          <w:pBdr>
            <w:between w:val="single" w:sz="4" w:space="1" w:color="4F81BD" w:themeColor="accent1"/>
          </w:pBdr>
          <w:spacing w:line="276" w:lineRule="auto"/>
          <w:jc w:val="center"/>
          <w:rPr>
            <w:rFonts w:ascii="Cambria" w:hAnsi="Cambria"/>
          </w:rPr>
        </w:pPr>
        <w:r>
          <w:rPr>
            <w:rFonts w:ascii="Cambria" w:hAnsi="Cambria"/>
          </w:rPr>
          <w:t>Nurse Education Today Contemporary Issues Paper</w:t>
        </w:r>
      </w:p>
    </w:sdtContent>
  </w:sdt>
  <w:sdt>
    <w:sdtPr>
      <w:rPr>
        <w:rFonts w:ascii="Cambria" w:hAnsi="Cambria"/>
      </w:rPr>
      <w:alias w:val="Date"/>
      <w:id w:val="77547044"/>
      <w:placeholder>
        <w:docPart w:val="B9DF8730E91E754791749C08362B2F29"/>
      </w:placeholder>
      <w:showingPlcHdr/>
      <w:dataBinding w:prefixMappings="xmlns:ns0='http://schemas.microsoft.com/office/2006/coverPageProps'" w:xpath="/ns0:CoverPageProperties[1]/ns0:PublishDate[1]" w:storeItemID="{55AF091B-3C7A-41E3-B477-F2FDAA23CFDA}"/>
      <w:date w:fullDate="2016-01-08T00:00:00Z">
        <w:dateFormat w:val="MMMM d, yyyy"/>
        <w:lid w:val="en-US"/>
        <w:storeMappedDataAs w:val="dateTime"/>
        <w:calendar w:val="gregorian"/>
      </w:date>
    </w:sdtPr>
    <w:sdtEndPr/>
    <w:sdtContent>
      <w:p w14:paraId="2CD87DB3" w14:textId="42B4B977" w:rsidR="00A42081" w:rsidRPr="005E04E9" w:rsidRDefault="00A42081">
        <w:pPr>
          <w:pStyle w:val="Header"/>
          <w:pBdr>
            <w:between w:val="single" w:sz="4" w:space="1" w:color="4F81BD" w:themeColor="accent1"/>
          </w:pBdr>
          <w:spacing w:line="276" w:lineRule="auto"/>
          <w:jc w:val="center"/>
          <w:rPr>
            <w:rFonts w:ascii="Cambria" w:hAnsi="Cambria"/>
          </w:rPr>
        </w:pPr>
        <w:r>
          <w:t>[Pick the date]</w:t>
        </w:r>
      </w:p>
    </w:sdtContent>
  </w:sdt>
  <w:p w14:paraId="2981D6B4" w14:textId="77777777" w:rsidR="00A42081" w:rsidRDefault="00A42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36"/>
        <w:szCs w:val="36"/>
        <w:vertAlign w:val="superscript"/>
      </w:rPr>
      <w:alias w:val="Date"/>
      <w:id w:val="862719507"/>
      <w:showingPlcHdr/>
      <w:dataBinding w:prefixMappings="xmlns:ns0='http://schemas.microsoft.com/office/2006/coverPageProps'" w:xpath="/ns0:CoverPageProperties[1]/ns0:PublishDate[1]" w:storeItemID="{55AF091B-3C7A-41E3-B477-F2FDAA23CFDA}"/>
      <w:date w:fullDate="2016-01-08T00:00:00Z">
        <w:dateFormat w:val="MMMM d, yyyy"/>
        <w:lid w:val="en-US"/>
        <w:storeMappedDataAs w:val="dateTime"/>
        <w:calendar w:val="gregorian"/>
      </w:date>
    </w:sdtPr>
    <w:sdtEndPr/>
    <w:sdtContent>
      <w:p w14:paraId="74FBA80E" w14:textId="5DC962DC" w:rsidR="00A42081" w:rsidRPr="00EF18F8" w:rsidRDefault="00A42081">
        <w:pPr>
          <w:pStyle w:val="Header"/>
          <w:pBdr>
            <w:between w:val="single" w:sz="4" w:space="1" w:color="4F81BD" w:themeColor="accent1"/>
          </w:pBdr>
          <w:spacing w:line="276" w:lineRule="auto"/>
          <w:jc w:val="center"/>
          <w:rPr>
            <w:rFonts w:ascii="Cambria" w:hAnsi="Cambria"/>
            <w:sz w:val="36"/>
            <w:szCs w:val="36"/>
          </w:rPr>
        </w:pPr>
        <w:r>
          <w:rPr>
            <w:rFonts w:ascii="Cambria" w:hAnsi="Cambria"/>
            <w:sz w:val="36"/>
            <w:szCs w:val="36"/>
            <w:vertAlign w:val="superscript"/>
          </w:rPr>
          <w:t xml:space="preserve">     </w:t>
        </w:r>
      </w:p>
    </w:sdtContent>
  </w:sdt>
  <w:p w14:paraId="79E3233D" w14:textId="77777777" w:rsidR="00A42081" w:rsidRDefault="00A420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1326"/>
    <w:multiLevelType w:val="hybridMultilevel"/>
    <w:tmpl w:val="8CB6CB44"/>
    <w:lvl w:ilvl="0" w:tplc="8948036C">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00ABD"/>
    <w:multiLevelType w:val="hybridMultilevel"/>
    <w:tmpl w:val="9320CE1C"/>
    <w:lvl w:ilvl="0" w:tplc="74520FC6">
      <w:start w:val="2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32E3E"/>
    <w:multiLevelType w:val="hybridMultilevel"/>
    <w:tmpl w:val="2104EC52"/>
    <w:lvl w:ilvl="0" w:tplc="69509718">
      <w:start w:val="200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Author Year (Hul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742C0"/>
    <w:rsid w:val="000076E3"/>
    <w:rsid w:val="00013ED3"/>
    <w:rsid w:val="00021055"/>
    <w:rsid w:val="000263DB"/>
    <w:rsid w:val="00026EAF"/>
    <w:rsid w:val="00027EAC"/>
    <w:rsid w:val="00041B8A"/>
    <w:rsid w:val="00043F2B"/>
    <w:rsid w:val="00045FB5"/>
    <w:rsid w:val="0005292F"/>
    <w:rsid w:val="00057DD1"/>
    <w:rsid w:val="00057EEB"/>
    <w:rsid w:val="000711FE"/>
    <w:rsid w:val="00071CA6"/>
    <w:rsid w:val="00071DC3"/>
    <w:rsid w:val="0007639A"/>
    <w:rsid w:val="00085C6C"/>
    <w:rsid w:val="00086234"/>
    <w:rsid w:val="00093F7A"/>
    <w:rsid w:val="000A09E9"/>
    <w:rsid w:val="000A0AA5"/>
    <w:rsid w:val="000A695D"/>
    <w:rsid w:val="000A6B2D"/>
    <w:rsid w:val="000B18B4"/>
    <w:rsid w:val="000B44EB"/>
    <w:rsid w:val="000B58A4"/>
    <w:rsid w:val="000B5CA6"/>
    <w:rsid w:val="000B5CB9"/>
    <w:rsid w:val="000C05DE"/>
    <w:rsid w:val="000C09E5"/>
    <w:rsid w:val="000C2FED"/>
    <w:rsid w:val="000C38C4"/>
    <w:rsid w:val="000C4B7B"/>
    <w:rsid w:val="000C52FA"/>
    <w:rsid w:val="000C589D"/>
    <w:rsid w:val="000D613A"/>
    <w:rsid w:val="000D6447"/>
    <w:rsid w:val="000E06B3"/>
    <w:rsid w:val="000E2BA8"/>
    <w:rsid w:val="000E34AD"/>
    <w:rsid w:val="000E5EA5"/>
    <w:rsid w:val="000F656E"/>
    <w:rsid w:val="00107B8B"/>
    <w:rsid w:val="00107D1C"/>
    <w:rsid w:val="00110751"/>
    <w:rsid w:val="00111683"/>
    <w:rsid w:val="00112982"/>
    <w:rsid w:val="00113CC3"/>
    <w:rsid w:val="0011592D"/>
    <w:rsid w:val="00120B6C"/>
    <w:rsid w:val="001241A0"/>
    <w:rsid w:val="00124C92"/>
    <w:rsid w:val="00124FF1"/>
    <w:rsid w:val="00131D70"/>
    <w:rsid w:val="001341D3"/>
    <w:rsid w:val="00134B1F"/>
    <w:rsid w:val="00134D8E"/>
    <w:rsid w:val="0013602D"/>
    <w:rsid w:val="00136621"/>
    <w:rsid w:val="00136CF5"/>
    <w:rsid w:val="001372CC"/>
    <w:rsid w:val="00140F3D"/>
    <w:rsid w:val="00143F8F"/>
    <w:rsid w:val="0014660D"/>
    <w:rsid w:val="00147E2A"/>
    <w:rsid w:val="00150AF6"/>
    <w:rsid w:val="00151144"/>
    <w:rsid w:val="0015312E"/>
    <w:rsid w:val="0015386D"/>
    <w:rsid w:val="0015612E"/>
    <w:rsid w:val="001617DD"/>
    <w:rsid w:val="00163FB6"/>
    <w:rsid w:val="00167974"/>
    <w:rsid w:val="00171108"/>
    <w:rsid w:val="00181F20"/>
    <w:rsid w:val="00190599"/>
    <w:rsid w:val="00193517"/>
    <w:rsid w:val="001A4BC3"/>
    <w:rsid w:val="001B0838"/>
    <w:rsid w:val="001B0C5A"/>
    <w:rsid w:val="001B548D"/>
    <w:rsid w:val="001B7F0A"/>
    <w:rsid w:val="001C0358"/>
    <w:rsid w:val="001C12C0"/>
    <w:rsid w:val="001C3EE3"/>
    <w:rsid w:val="001C7350"/>
    <w:rsid w:val="001D0F95"/>
    <w:rsid w:val="001D267C"/>
    <w:rsid w:val="001D4500"/>
    <w:rsid w:val="001D524D"/>
    <w:rsid w:val="001D5DF5"/>
    <w:rsid w:val="001D7D2B"/>
    <w:rsid w:val="001E3F81"/>
    <w:rsid w:val="001E5C1B"/>
    <w:rsid w:val="001E7298"/>
    <w:rsid w:val="001F64F9"/>
    <w:rsid w:val="001F7A1F"/>
    <w:rsid w:val="001F7A8D"/>
    <w:rsid w:val="0020186D"/>
    <w:rsid w:val="00207E30"/>
    <w:rsid w:val="00216671"/>
    <w:rsid w:val="002210C7"/>
    <w:rsid w:val="0022144A"/>
    <w:rsid w:val="00221506"/>
    <w:rsid w:val="0022575D"/>
    <w:rsid w:val="002271D3"/>
    <w:rsid w:val="002310BE"/>
    <w:rsid w:val="00231914"/>
    <w:rsid w:val="00235943"/>
    <w:rsid w:val="0024507C"/>
    <w:rsid w:val="00246041"/>
    <w:rsid w:val="00246DC8"/>
    <w:rsid w:val="00251D33"/>
    <w:rsid w:val="0025262C"/>
    <w:rsid w:val="002609BA"/>
    <w:rsid w:val="00261128"/>
    <w:rsid w:val="00263CA6"/>
    <w:rsid w:val="00266814"/>
    <w:rsid w:val="00266903"/>
    <w:rsid w:val="00266C22"/>
    <w:rsid w:val="00270018"/>
    <w:rsid w:val="00271B1E"/>
    <w:rsid w:val="002725C3"/>
    <w:rsid w:val="002742C0"/>
    <w:rsid w:val="00275B0D"/>
    <w:rsid w:val="002771A6"/>
    <w:rsid w:val="0028195B"/>
    <w:rsid w:val="00285E1D"/>
    <w:rsid w:val="002914E8"/>
    <w:rsid w:val="00291AE0"/>
    <w:rsid w:val="002935AA"/>
    <w:rsid w:val="002938D8"/>
    <w:rsid w:val="002B2B6F"/>
    <w:rsid w:val="002B39D2"/>
    <w:rsid w:val="002C0C8C"/>
    <w:rsid w:val="002D0BB8"/>
    <w:rsid w:val="002D4F90"/>
    <w:rsid w:val="002D5D8B"/>
    <w:rsid w:val="002E2E8D"/>
    <w:rsid w:val="002E3E19"/>
    <w:rsid w:val="002E5087"/>
    <w:rsid w:val="002E711F"/>
    <w:rsid w:val="002F1D6A"/>
    <w:rsid w:val="002F1EC3"/>
    <w:rsid w:val="002F59AD"/>
    <w:rsid w:val="002F5C4D"/>
    <w:rsid w:val="00303FA7"/>
    <w:rsid w:val="00312897"/>
    <w:rsid w:val="00313C49"/>
    <w:rsid w:val="003277E2"/>
    <w:rsid w:val="003308F8"/>
    <w:rsid w:val="00334DD2"/>
    <w:rsid w:val="00335C0A"/>
    <w:rsid w:val="00345A92"/>
    <w:rsid w:val="0035411E"/>
    <w:rsid w:val="00354940"/>
    <w:rsid w:val="00355700"/>
    <w:rsid w:val="00357891"/>
    <w:rsid w:val="00365039"/>
    <w:rsid w:val="00374956"/>
    <w:rsid w:val="00375DEA"/>
    <w:rsid w:val="0037747A"/>
    <w:rsid w:val="00381542"/>
    <w:rsid w:val="00382E3B"/>
    <w:rsid w:val="00383F30"/>
    <w:rsid w:val="00390FF1"/>
    <w:rsid w:val="003965CC"/>
    <w:rsid w:val="00397510"/>
    <w:rsid w:val="003A3A11"/>
    <w:rsid w:val="003B0EB8"/>
    <w:rsid w:val="003B33F7"/>
    <w:rsid w:val="003B5053"/>
    <w:rsid w:val="003B73FF"/>
    <w:rsid w:val="003C101C"/>
    <w:rsid w:val="003C4015"/>
    <w:rsid w:val="003D242E"/>
    <w:rsid w:val="003D4073"/>
    <w:rsid w:val="003D57B8"/>
    <w:rsid w:val="003D675B"/>
    <w:rsid w:val="003E13FE"/>
    <w:rsid w:val="003E2B38"/>
    <w:rsid w:val="003F225C"/>
    <w:rsid w:val="003F298B"/>
    <w:rsid w:val="003F3B41"/>
    <w:rsid w:val="003F5443"/>
    <w:rsid w:val="003F6E16"/>
    <w:rsid w:val="004002AD"/>
    <w:rsid w:val="00400437"/>
    <w:rsid w:val="00406B11"/>
    <w:rsid w:val="004074E9"/>
    <w:rsid w:val="00413D9A"/>
    <w:rsid w:val="0041423C"/>
    <w:rsid w:val="00416B28"/>
    <w:rsid w:val="004221C6"/>
    <w:rsid w:val="00425C97"/>
    <w:rsid w:val="00427C20"/>
    <w:rsid w:val="00430A9F"/>
    <w:rsid w:val="00435EAB"/>
    <w:rsid w:val="00436492"/>
    <w:rsid w:val="00440B11"/>
    <w:rsid w:val="004432F4"/>
    <w:rsid w:val="00443AA0"/>
    <w:rsid w:val="004470A8"/>
    <w:rsid w:val="00454D05"/>
    <w:rsid w:val="00455BA0"/>
    <w:rsid w:val="00460F52"/>
    <w:rsid w:val="0046344D"/>
    <w:rsid w:val="00464BF9"/>
    <w:rsid w:val="00465348"/>
    <w:rsid w:val="004654A4"/>
    <w:rsid w:val="00467D86"/>
    <w:rsid w:val="004737D1"/>
    <w:rsid w:val="004768B4"/>
    <w:rsid w:val="004769B9"/>
    <w:rsid w:val="0047790D"/>
    <w:rsid w:val="00477974"/>
    <w:rsid w:val="00481318"/>
    <w:rsid w:val="004836EA"/>
    <w:rsid w:val="00487E99"/>
    <w:rsid w:val="00495A07"/>
    <w:rsid w:val="004A4C9E"/>
    <w:rsid w:val="004A62D3"/>
    <w:rsid w:val="004A7AEF"/>
    <w:rsid w:val="004B0DF9"/>
    <w:rsid w:val="004B1544"/>
    <w:rsid w:val="004B2D76"/>
    <w:rsid w:val="004B34A2"/>
    <w:rsid w:val="004B552F"/>
    <w:rsid w:val="004B5565"/>
    <w:rsid w:val="004C137B"/>
    <w:rsid w:val="004C3A2D"/>
    <w:rsid w:val="004C5811"/>
    <w:rsid w:val="004C700D"/>
    <w:rsid w:val="004C7043"/>
    <w:rsid w:val="004D1623"/>
    <w:rsid w:val="004D538A"/>
    <w:rsid w:val="004D5EFC"/>
    <w:rsid w:val="004D61DB"/>
    <w:rsid w:val="004D645E"/>
    <w:rsid w:val="004D778F"/>
    <w:rsid w:val="004E0CA3"/>
    <w:rsid w:val="004E3709"/>
    <w:rsid w:val="004F3F1C"/>
    <w:rsid w:val="004F6F79"/>
    <w:rsid w:val="00503572"/>
    <w:rsid w:val="00503FB3"/>
    <w:rsid w:val="00507606"/>
    <w:rsid w:val="00514A90"/>
    <w:rsid w:val="0051614B"/>
    <w:rsid w:val="00516D53"/>
    <w:rsid w:val="005174ED"/>
    <w:rsid w:val="00521B71"/>
    <w:rsid w:val="00522EBE"/>
    <w:rsid w:val="00523F5A"/>
    <w:rsid w:val="00525539"/>
    <w:rsid w:val="00530342"/>
    <w:rsid w:val="005312E6"/>
    <w:rsid w:val="005344F3"/>
    <w:rsid w:val="0054496E"/>
    <w:rsid w:val="00545C9D"/>
    <w:rsid w:val="005460B2"/>
    <w:rsid w:val="005466F5"/>
    <w:rsid w:val="00550FC8"/>
    <w:rsid w:val="00553A1C"/>
    <w:rsid w:val="0055432B"/>
    <w:rsid w:val="00556949"/>
    <w:rsid w:val="00557CD9"/>
    <w:rsid w:val="0056160D"/>
    <w:rsid w:val="00562723"/>
    <w:rsid w:val="00565BF1"/>
    <w:rsid w:val="00566092"/>
    <w:rsid w:val="005670F3"/>
    <w:rsid w:val="00567603"/>
    <w:rsid w:val="0057259A"/>
    <w:rsid w:val="00581195"/>
    <w:rsid w:val="00583B10"/>
    <w:rsid w:val="00590AD2"/>
    <w:rsid w:val="005926C8"/>
    <w:rsid w:val="00596477"/>
    <w:rsid w:val="005A027A"/>
    <w:rsid w:val="005A5B8C"/>
    <w:rsid w:val="005A5F75"/>
    <w:rsid w:val="005A7C00"/>
    <w:rsid w:val="005A7DF4"/>
    <w:rsid w:val="005B07B9"/>
    <w:rsid w:val="005B21F8"/>
    <w:rsid w:val="005B5204"/>
    <w:rsid w:val="005B5246"/>
    <w:rsid w:val="005C4264"/>
    <w:rsid w:val="005C5BFA"/>
    <w:rsid w:val="005C7BBE"/>
    <w:rsid w:val="005D0538"/>
    <w:rsid w:val="005D0BE3"/>
    <w:rsid w:val="005D654E"/>
    <w:rsid w:val="005E0FE0"/>
    <w:rsid w:val="0060606E"/>
    <w:rsid w:val="00613C07"/>
    <w:rsid w:val="00615F3A"/>
    <w:rsid w:val="00615F7B"/>
    <w:rsid w:val="006241BE"/>
    <w:rsid w:val="00625F08"/>
    <w:rsid w:val="00630E7E"/>
    <w:rsid w:val="006326CF"/>
    <w:rsid w:val="00634644"/>
    <w:rsid w:val="00637586"/>
    <w:rsid w:val="006465E7"/>
    <w:rsid w:val="00651CAF"/>
    <w:rsid w:val="006540E0"/>
    <w:rsid w:val="0065602E"/>
    <w:rsid w:val="006572E6"/>
    <w:rsid w:val="00661B6A"/>
    <w:rsid w:val="00681C45"/>
    <w:rsid w:val="00684798"/>
    <w:rsid w:val="006871B9"/>
    <w:rsid w:val="00687847"/>
    <w:rsid w:val="00694528"/>
    <w:rsid w:val="00697EDE"/>
    <w:rsid w:val="006B5541"/>
    <w:rsid w:val="006B79F2"/>
    <w:rsid w:val="006C01A6"/>
    <w:rsid w:val="006C57BB"/>
    <w:rsid w:val="006C7D9C"/>
    <w:rsid w:val="006D279F"/>
    <w:rsid w:val="006D5F80"/>
    <w:rsid w:val="006E2D7E"/>
    <w:rsid w:val="006E54B8"/>
    <w:rsid w:val="006E7C77"/>
    <w:rsid w:val="006E7C8F"/>
    <w:rsid w:val="006F1D62"/>
    <w:rsid w:val="006F4A4F"/>
    <w:rsid w:val="00701BC4"/>
    <w:rsid w:val="00702D04"/>
    <w:rsid w:val="00713F09"/>
    <w:rsid w:val="00723B40"/>
    <w:rsid w:val="00730D7E"/>
    <w:rsid w:val="00732546"/>
    <w:rsid w:val="0074293A"/>
    <w:rsid w:val="00747AE5"/>
    <w:rsid w:val="00763137"/>
    <w:rsid w:val="00773038"/>
    <w:rsid w:val="0077307B"/>
    <w:rsid w:val="007775B2"/>
    <w:rsid w:val="00783386"/>
    <w:rsid w:val="0078634D"/>
    <w:rsid w:val="00795ECB"/>
    <w:rsid w:val="007A07BC"/>
    <w:rsid w:val="007A0B13"/>
    <w:rsid w:val="007A371A"/>
    <w:rsid w:val="007A3797"/>
    <w:rsid w:val="007A4763"/>
    <w:rsid w:val="007C4832"/>
    <w:rsid w:val="007C6267"/>
    <w:rsid w:val="007D41B1"/>
    <w:rsid w:val="007D4682"/>
    <w:rsid w:val="007E43A6"/>
    <w:rsid w:val="007E6E4B"/>
    <w:rsid w:val="007F006B"/>
    <w:rsid w:val="007F03BE"/>
    <w:rsid w:val="007F0E49"/>
    <w:rsid w:val="007F587D"/>
    <w:rsid w:val="007F5D2E"/>
    <w:rsid w:val="007F7C12"/>
    <w:rsid w:val="00800D7E"/>
    <w:rsid w:val="0080414B"/>
    <w:rsid w:val="008051A4"/>
    <w:rsid w:val="00811CC7"/>
    <w:rsid w:val="00812F47"/>
    <w:rsid w:val="00820100"/>
    <w:rsid w:val="00822C2E"/>
    <w:rsid w:val="00824858"/>
    <w:rsid w:val="00826DA2"/>
    <w:rsid w:val="008339FD"/>
    <w:rsid w:val="00834894"/>
    <w:rsid w:val="008371B3"/>
    <w:rsid w:val="00842A5B"/>
    <w:rsid w:val="00842DFD"/>
    <w:rsid w:val="00844579"/>
    <w:rsid w:val="008447F1"/>
    <w:rsid w:val="00846206"/>
    <w:rsid w:val="0084798E"/>
    <w:rsid w:val="00863286"/>
    <w:rsid w:val="008645EF"/>
    <w:rsid w:val="00865409"/>
    <w:rsid w:val="00865EFE"/>
    <w:rsid w:val="0086707E"/>
    <w:rsid w:val="008722F9"/>
    <w:rsid w:val="008728B0"/>
    <w:rsid w:val="008730C1"/>
    <w:rsid w:val="008738A8"/>
    <w:rsid w:val="008858C6"/>
    <w:rsid w:val="00885F7D"/>
    <w:rsid w:val="0088701B"/>
    <w:rsid w:val="008909A9"/>
    <w:rsid w:val="00892373"/>
    <w:rsid w:val="00894979"/>
    <w:rsid w:val="00896007"/>
    <w:rsid w:val="008A22B0"/>
    <w:rsid w:val="008A4D3E"/>
    <w:rsid w:val="008A5DC4"/>
    <w:rsid w:val="008B0C9B"/>
    <w:rsid w:val="008B4680"/>
    <w:rsid w:val="008B748C"/>
    <w:rsid w:val="008C65B6"/>
    <w:rsid w:val="008C78C1"/>
    <w:rsid w:val="008D11DD"/>
    <w:rsid w:val="008E2929"/>
    <w:rsid w:val="008E5AB2"/>
    <w:rsid w:val="008E626A"/>
    <w:rsid w:val="008E6B3E"/>
    <w:rsid w:val="008F46DB"/>
    <w:rsid w:val="00912B81"/>
    <w:rsid w:val="00914EAB"/>
    <w:rsid w:val="00921410"/>
    <w:rsid w:val="0092530B"/>
    <w:rsid w:val="00926303"/>
    <w:rsid w:val="00931D33"/>
    <w:rsid w:val="00936E13"/>
    <w:rsid w:val="00937210"/>
    <w:rsid w:val="00941A5F"/>
    <w:rsid w:val="00941DF2"/>
    <w:rsid w:val="009429E2"/>
    <w:rsid w:val="00945BBA"/>
    <w:rsid w:val="0094743C"/>
    <w:rsid w:val="00947F92"/>
    <w:rsid w:val="00950108"/>
    <w:rsid w:val="009511D7"/>
    <w:rsid w:val="009534A4"/>
    <w:rsid w:val="009621A9"/>
    <w:rsid w:val="00964523"/>
    <w:rsid w:val="0096458F"/>
    <w:rsid w:val="009742E4"/>
    <w:rsid w:val="0097615C"/>
    <w:rsid w:val="00976FEE"/>
    <w:rsid w:val="00980F0B"/>
    <w:rsid w:val="00986D06"/>
    <w:rsid w:val="009913C1"/>
    <w:rsid w:val="009A2FAA"/>
    <w:rsid w:val="009A71F4"/>
    <w:rsid w:val="009A7C0B"/>
    <w:rsid w:val="009B20CE"/>
    <w:rsid w:val="009B5489"/>
    <w:rsid w:val="009B6212"/>
    <w:rsid w:val="009B6A84"/>
    <w:rsid w:val="009C627F"/>
    <w:rsid w:val="009D2815"/>
    <w:rsid w:val="009D2CA3"/>
    <w:rsid w:val="009D4839"/>
    <w:rsid w:val="009E04C0"/>
    <w:rsid w:val="009E11D7"/>
    <w:rsid w:val="009F3AB2"/>
    <w:rsid w:val="009F62A1"/>
    <w:rsid w:val="00A0064B"/>
    <w:rsid w:val="00A05CE7"/>
    <w:rsid w:val="00A17AF0"/>
    <w:rsid w:val="00A22E79"/>
    <w:rsid w:val="00A30944"/>
    <w:rsid w:val="00A3155B"/>
    <w:rsid w:val="00A33458"/>
    <w:rsid w:val="00A35750"/>
    <w:rsid w:val="00A37FDD"/>
    <w:rsid w:val="00A42081"/>
    <w:rsid w:val="00A5536E"/>
    <w:rsid w:val="00A56982"/>
    <w:rsid w:val="00A61F6E"/>
    <w:rsid w:val="00A63265"/>
    <w:rsid w:val="00A66546"/>
    <w:rsid w:val="00A66C73"/>
    <w:rsid w:val="00A75C90"/>
    <w:rsid w:val="00A779E3"/>
    <w:rsid w:val="00A77BEB"/>
    <w:rsid w:val="00A8125A"/>
    <w:rsid w:val="00A9160C"/>
    <w:rsid w:val="00AB002D"/>
    <w:rsid w:val="00AB7FB2"/>
    <w:rsid w:val="00AC0942"/>
    <w:rsid w:val="00AC1FC3"/>
    <w:rsid w:val="00AC3110"/>
    <w:rsid w:val="00AD1E06"/>
    <w:rsid w:val="00AD5191"/>
    <w:rsid w:val="00AD65C9"/>
    <w:rsid w:val="00AD6C11"/>
    <w:rsid w:val="00AD7C85"/>
    <w:rsid w:val="00AE0ED3"/>
    <w:rsid w:val="00AF17AE"/>
    <w:rsid w:val="00AF1BF6"/>
    <w:rsid w:val="00AF6EA9"/>
    <w:rsid w:val="00B07371"/>
    <w:rsid w:val="00B1258A"/>
    <w:rsid w:val="00B20D12"/>
    <w:rsid w:val="00B24F9F"/>
    <w:rsid w:val="00B27DCC"/>
    <w:rsid w:val="00B37004"/>
    <w:rsid w:val="00B43C8A"/>
    <w:rsid w:val="00B50310"/>
    <w:rsid w:val="00B50ED6"/>
    <w:rsid w:val="00B60AC8"/>
    <w:rsid w:val="00B63B9A"/>
    <w:rsid w:val="00B64D27"/>
    <w:rsid w:val="00B65C26"/>
    <w:rsid w:val="00B74F6D"/>
    <w:rsid w:val="00B82B9C"/>
    <w:rsid w:val="00B84EB5"/>
    <w:rsid w:val="00B85105"/>
    <w:rsid w:val="00B908E5"/>
    <w:rsid w:val="00B940C1"/>
    <w:rsid w:val="00B940DE"/>
    <w:rsid w:val="00BA0F48"/>
    <w:rsid w:val="00BA2795"/>
    <w:rsid w:val="00BB0C7E"/>
    <w:rsid w:val="00BB3EE3"/>
    <w:rsid w:val="00BB6E07"/>
    <w:rsid w:val="00BC5D3F"/>
    <w:rsid w:val="00BC75AF"/>
    <w:rsid w:val="00BD3324"/>
    <w:rsid w:val="00BD36DA"/>
    <w:rsid w:val="00BD39EB"/>
    <w:rsid w:val="00BD7703"/>
    <w:rsid w:val="00BE2348"/>
    <w:rsid w:val="00BE2ACF"/>
    <w:rsid w:val="00BE357D"/>
    <w:rsid w:val="00BE5BE7"/>
    <w:rsid w:val="00BE5DCA"/>
    <w:rsid w:val="00BF0572"/>
    <w:rsid w:val="00C009CB"/>
    <w:rsid w:val="00C00E12"/>
    <w:rsid w:val="00C025A1"/>
    <w:rsid w:val="00C04162"/>
    <w:rsid w:val="00C04E6C"/>
    <w:rsid w:val="00C11B1C"/>
    <w:rsid w:val="00C16A49"/>
    <w:rsid w:val="00C16C82"/>
    <w:rsid w:val="00C16ECE"/>
    <w:rsid w:val="00C2088F"/>
    <w:rsid w:val="00C277C4"/>
    <w:rsid w:val="00C32164"/>
    <w:rsid w:val="00C32337"/>
    <w:rsid w:val="00C324F5"/>
    <w:rsid w:val="00C3623D"/>
    <w:rsid w:val="00C36CED"/>
    <w:rsid w:val="00C401BD"/>
    <w:rsid w:val="00C43CB9"/>
    <w:rsid w:val="00C45452"/>
    <w:rsid w:val="00C53A80"/>
    <w:rsid w:val="00C62828"/>
    <w:rsid w:val="00C721E9"/>
    <w:rsid w:val="00C72457"/>
    <w:rsid w:val="00C74BBA"/>
    <w:rsid w:val="00C75138"/>
    <w:rsid w:val="00C824A1"/>
    <w:rsid w:val="00C83D20"/>
    <w:rsid w:val="00C91BDE"/>
    <w:rsid w:val="00C94F7B"/>
    <w:rsid w:val="00C95027"/>
    <w:rsid w:val="00CA191D"/>
    <w:rsid w:val="00CA4F00"/>
    <w:rsid w:val="00CB037B"/>
    <w:rsid w:val="00CC05C3"/>
    <w:rsid w:val="00CC40E5"/>
    <w:rsid w:val="00CC7DAB"/>
    <w:rsid w:val="00CD3806"/>
    <w:rsid w:val="00CD4631"/>
    <w:rsid w:val="00CE3C5F"/>
    <w:rsid w:val="00CF2046"/>
    <w:rsid w:val="00CF223B"/>
    <w:rsid w:val="00CF38E3"/>
    <w:rsid w:val="00D07D82"/>
    <w:rsid w:val="00D13105"/>
    <w:rsid w:val="00D15D37"/>
    <w:rsid w:val="00D2276E"/>
    <w:rsid w:val="00D25E6B"/>
    <w:rsid w:val="00D260D4"/>
    <w:rsid w:val="00D320FB"/>
    <w:rsid w:val="00D34625"/>
    <w:rsid w:val="00D3475A"/>
    <w:rsid w:val="00D374B9"/>
    <w:rsid w:val="00D40C4F"/>
    <w:rsid w:val="00D41862"/>
    <w:rsid w:val="00D47742"/>
    <w:rsid w:val="00D539E0"/>
    <w:rsid w:val="00D568A0"/>
    <w:rsid w:val="00D63786"/>
    <w:rsid w:val="00D76D7F"/>
    <w:rsid w:val="00D83D40"/>
    <w:rsid w:val="00D85402"/>
    <w:rsid w:val="00D8560F"/>
    <w:rsid w:val="00D86E71"/>
    <w:rsid w:val="00D8782E"/>
    <w:rsid w:val="00D9312A"/>
    <w:rsid w:val="00D948AB"/>
    <w:rsid w:val="00D96985"/>
    <w:rsid w:val="00D96B0D"/>
    <w:rsid w:val="00DA2383"/>
    <w:rsid w:val="00DA2E72"/>
    <w:rsid w:val="00DA68DA"/>
    <w:rsid w:val="00DA69D8"/>
    <w:rsid w:val="00DA6F74"/>
    <w:rsid w:val="00DB3F1C"/>
    <w:rsid w:val="00DB598B"/>
    <w:rsid w:val="00DB606F"/>
    <w:rsid w:val="00DC2690"/>
    <w:rsid w:val="00DC4A4A"/>
    <w:rsid w:val="00DC5580"/>
    <w:rsid w:val="00DC6686"/>
    <w:rsid w:val="00DC7CF3"/>
    <w:rsid w:val="00DD0D4D"/>
    <w:rsid w:val="00DD1B26"/>
    <w:rsid w:val="00DE05C0"/>
    <w:rsid w:val="00DF3176"/>
    <w:rsid w:val="00DF3F63"/>
    <w:rsid w:val="00DF45A9"/>
    <w:rsid w:val="00DF6C96"/>
    <w:rsid w:val="00DF7954"/>
    <w:rsid w:val="00E129B1"/>
    <w:rsid w:val="00E169EB"/>
    <w:rsid w:val="00E23A73"/>
    <w:rsid w:val="00E23FB7"/>
    <w:rsid w:val="00E305B8"/>
    <w:rsid w:val="00E30642"/>
    <w:rsid w:val="00E31A04"/>
    <w:rsid w:val="00E34BF6"/>
    <w:rsid w:val="00E4466F"/>
    <w:rsid w:val="00E53DC2"/>
    <w:rsid w:val="00E55B86"/>
    <w:rsid w:val="00E606F1"/>
    <w:rsid w:val="00E61386"/>
    <w:rsid w:val="00E62DCA"/>
    <w:rsid w:val="00E63C30"/>
    <w:rsid w:val="00E67330"/>
    <w:rsid w:val="00E7392E"/>
    <w:rsid w:val="00E74BD6"/>
    <w:rsid w:val="00E75BEF"/>
    <w:rsid w:val="00E84DD2"/>
    <w:rsid w:val="00E84F26"/>
    <w:rsid w:val="00E8522A"/>
    <w:rsid w:val="00E944B5"/>
    <w:rsid w:val="00E95609"/>
    <w:rsid w:val="00EB5084"/>
    <w:rsid w:val="00EB673C"/>
    <w:rsid w:val="00EB6AB0"/>
    <w:rsid w:val="00EC1854"/>
    <w:rsid w:val="00EC533C"/>
    <w:rsid w:val="00EC67E0"/>
    <w:rsid w:val="00ED1EF4"/>
    <w:rsid w:val="00ED423E"/>
    <w:rsid w:val="00ED4716"/>
    <w:rsid w:val="00ED6224"/>
    <w:rsid w:val="00EE03E8"/>
    <w:rsid w:val="00EE2047"/>
    <w:rsid w:val="00EF0F3D"/>
    <w:rsid w:val="00EF18F8"/>
    <w:rsid w:val="00EF6C97"/>
    <w:rsid w:val="00F03640"/>
    <w:rsid w:val="00F04653"/>
    <w:rsid w:val="00F11D30"/>
    <w:rsid w:val="00F12CD7"/>
    <w:rsid w:val="00F136B7"/>
    <w:rsid w:val="00F2202F"/>
    <w:rsid w:val="00F228B9"/>
    <w:rsid w:val="00F30675"/>
    <w:rsid w:val="00F309EE"/>
    <w:rsid w:val="00F418CC"/>
    <w:rsid w:val="00F452FD"/>
    <w:rsid w:val="00F46DB2"/>
    <w:rsid w:val="00F47960"/>
    <w:rsid w:val="00F53706"/>
    <w:rsid w:val="00F53E33"/>
    <w:rsid w:val="00F55F27"/>
    <w:rsid w:val="00F6183B"/>
    <w:rsid w:val="00F70D10"/>
    <w:rsid w:val="00F7585E"/>
    <w:rsid w:val="00F76C73"/>
    <w:rsid w:val="00F8748C"/>
    <w:rsid w:val="00F9093A"/>
    <w:rsid w:val="00F90F06"/>
    <w:rsid w:val="00F927AC"/>
    <w:rsid w:val="00F971AE"/>
    <w:rsid w:val="00FA0704"/>
    <w:rsid w:val="00FA195C"/>
    <w:rsid w:val="00FA5ED1"/>
    <w:rsid w:val="00FA690B"/>
    <w:rsid w:val="00FB01A2"/>
    <w:rsid w:val="00FB44FD"/>
    <w:rsid w:val="00FB654B"/>
    <w:rsid w:val="00FC3426"/>
    <w:rsid w:val="00FC67D1"/>
    <w:rsid w:val="00FC725C"/>
    <w:rsid w:val="00FD4228"/>
    <w:rsid w:val="00FD7444"/>
    <w:rsid w:val="00FE0B3F"/>
    <w:rsid w:val="00FE25FF"/>
    <w:rsid w:val="00FE4808"/>
    <w:rsid w:val="00FF07A7"/>
    <w:rsid w:val="00FF174A"/>
    <w:rsid w:val="00FF2A8D"/>
    <w:rsid w:val="00FF2EDE"/>
    <w:rsid w:val="00FF6E21"/>
    <w:rsid w:val="00FF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DA1C9"/>
  <w14:defaultImageDpi w14:val="300"/>
  <w15:docId w15:val="{C394BD1D-BA06-44D3-94D7-101A1C20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1F"/>
    <w:pPr>
      <w:ind w:left="720"/>
      <w:contextualSpacing/>
    </w:pPr>
  </w:style>
  <w:style w:type="paragraph" w:styleId="Header">
    <w:name w:val="header"/>
    <w:basedOn w:val="Normal"/>
    <w:link w:val="HeaderChar"/>
    <w:uiPriority w:val="99"/>
    <w:unhideWhenUsed/>
    <w:rsid w:val="00F55F27"/>
    <w:pPr>
      <w:tabs>
        <w:tab w:val="center" w:pos="4320"/>
        <w:tab w:val="right" w:pos="8640"/>
      </w:tabs>
    </w:pPr>
  </w:style>
  <w:style w:type="character" w:customStyle="1" w:styleId="HeaderChar">
    <w:name w:val="Header Char"/>
    <w:basedOn w:val="DefaultParagraphFont"/>
    <w:link w:val="Header"/>
    <w:uiPriority w:val="99"/>
    <w:rsid w:val="00F55F27"/>
  </w:style>
  <w:style w:type="paragraph" w:styleId="Footer">
    <w:name w:val="footer"/>
    <w:basedOn w:val="Normal"/>
    <w:link w:val="FooterChar"/>
    <w:uiPriority w:val="99"/>
    <w:unhideWhenUsed/>
    <w:rsid w:val="00F55F27"/>
    <w:pPr>
      <w:tabs>
        <w:tab w:val="center" w:pos="4320"/>
        <w:tab w:val="right" w:pos="8640"/>
      </w:tabs>
    </w:pPr>
  </w:style>
  <w:style w:type="character" w:customStyle="1" w:styleId="FooterChar">
    <w:name w:val="Footer Char"/>
    <w:basedOn w:val="DefaultParagraphFont"/>
    <w:link w:val="Footer"/>
    <w:uiPriority w:val="99"/>
    <w:rsid w:val="00F55F27"/>
  </w:style>
  <w:style w:type="character" w:styleId="Hyperlink">
    <w:name w:val="Hyperlink"/>
    <w:basedOn w:val="DefaultParagraphFont"/>
    <w:uiPriority w:val="99"/>
    <w:unhideWhenUsed/>
    <w:rsid w:val="00313C49"/>
    <w:rPr>
      <w:color w:val="0000FF" w:themeColor="hyperlink"/>
      <w:u w:val="single"/>
    </w:rPr>
  </w:style>
  <w:style w:type="table" w:styleId="TableGrid">
    <w:name w:val="Table Grid"/>
    <w:basedOn w:val="TableNormal"/>
    <w:uiPriority w:val="59"/>
    <w:rsid w:val="004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523"/>
    <w:rPr>
      <w:sz w:val="18"/>
      <w:szCs w:val="18"/>
    </w:rPr>
  </w:style>
  <w:style w:type="paragraph" w:styleId="CommentText">
    <w:name w:val="annotation text"/>
    <w:basedOn w:val="Normal"/>
    <w:link w:val="CommentTextChar"/>
    <w:uiPriority w:val="99"/>
    <w:unhideWhenUsed/>
    <w:rsid w:val="00964523"/>
  </w:style>
  <w:style w:type="character" w:customStyle="1" w:styleId="CommentTextChar">
    <w:name w:val="Comment Text Char"/>
    <w:basedOn w:val="DefaultParagraphFont"/>
    <w:link w:val="CommentText"/>
    <w:uiPriority w:val="99"/>
    <w:rsid w:val="00964523"/>
    <w:rPr>
      <w:lang w:val="en-GB"/>
    </w:rPr>
  </w:style>
  <w:style w:type="paragraph" w:styleId="BalloonText">
    <w:name w:val="Balloon Text"/>
    <w:basedOn w:val="Normal"/>
    <w:link w:val="BalloonTextChar"/>
    <w:uiPriority w:val="99"/>
    <w:semiHidden/>
    <w:unhideWhenUsed/>
    <w:rsid w:val="009645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523"/>
    <w:rPr>
      <w:rFonts w:ascii="Lucida Grande" w:hAnsi="Lucida Grande" w:cs="Lucida Grande"/>
      <w:sz w:val="18"/>
      <w:szCs w:val="18"/>
      <w:lang w:val="en-GB"/>
    </w:rPr>
  </w:style>
  <w:style w:type="character" w:styleId="PageNumber">
    <w:name w:val="page number"/>
    <w:basedOn w:val="DefaultParagraphFont"/>
    <w:uiPriority w:val="99"/>
    <w:semiHidden/>
    <w:unhideWhenUsed/>
    <w:rsid w:val="00553A1C"/>
  </w:style>
  <w:style w:type="paragraph" w:styleId="CommentSubject">
    <w:name w:val="annotation subject"/>
    <w:basedOn w:val="CommentText"/>
    <w:next w:val="CommentText"/>
    <w:link w:val="CommentSubjectChar"/>
    <w:uiPriority w:val="99"/>
    <w:semiHidden/>
    <w:unhideWhenUsed/>
    <w:rsid w:val="00553A1C"/>
    <w:rPr>
      <w:b/>
      <w:bCs/>
      <w:sz w:val="20"/>
      <w:szCs w:val="20"/>
    </w:rPr>
  </w:style>
  <w:style w:type="character" w:customStyle="1" w:styleId="CommentSubjectChar">
    <w:name w:val="Comment Subject Char"/>
    <w:basedOn w:val="CommentTextChar"/>
    <w:link w:val="CommentSubject"/>
    <w:uiPriority w:val="99"/>
    <w:semiHidden/>
    <w:rsid w:val="00553A1C"/>
    <w:rPr>
      <w:b/>
      <w:bCs/>
      <w:sz w:val="20"/>
      <w:szCs w:val="20"/>
      <w:lang w:val="en-GB"/>
    </w:rPr>
  </w:style>
  <w:style w:type="paragraph" w:styleId="Revision">
    <w:name w:val="Revision"/>
    <w:hidden/>
    <w:uiPriority w:val="99"/>
    <w:semiHidden/>
    <w:rsid w:val="00A30944"/>
    <w:rPr>
      <w:lang w:val="en-GB"/>
    </w:rPr>
  </w:style>
  <w:style w:type="character" w:styleId="FollowedHyperlink">
    <w:name w:val="FollowedHyperlink"/>
    <w:basedOn w:val="DefaultParagraphFont"/>
    <w:uiPriority w:val="99"/>
    <w:semiHidden/>
    <w:unhideWhenUsed/>
    <w:rsid w:val="007A4763"/>
    <w:rPr>
      <w:color w:val="800080" w:themeColor="followedHyperlink"/>
      <w:u w:val="single"/>
    </w:rPr>
  </w:style>
  <w:style w:type="paragraph" w:customStyle="1" w:styleId="EndNoteBibliographyTitle">
    <w:name w:val="EndNote Bibliography Title"/>
    <w:basedOn w:val="Normal"/>
    <w:rsid w:val="00CF223B"/>
    <w:pPr>
      <w:jc w:val="center"/>
    </w:pPr>
    <w:rPr>
      <w:rFonts w:ascii="Cambria" w:hAnsi="Cambria"/>
      <w:lang w:val="en-US"/>
    </w:rPr>
  </w:style>
  <w:style w:type="paragraph" w:customStyle="1" w:styleId="EndNoteBibliography">
    <w:name w:val="EndNote Bibliography"/>
    <w:basedOn w:val="Normal"/>
    <w:rsid w:val="00CF223B"/>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5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ournalofnursingstudies.com/article/S0020-7489(15)00332-6/abstrac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AEED37052F924B90E4719139124A90"/>
        <w:category>
          <w:name w:val="General"/>
          <w:gallery w:val="placeholder"/>
        </w:category>
        <w:types>
          <w:type w:val="bbPlcHdr"/>
        </w:types>
        <w:behaviors>
          <w:behavior w:val="content"/>
        </w:behaviors>
        <w:guid w:val="{F4EE88F8-8242-144A-B648-4ED801F0FC45}"/>
      </w:docPartPr>
      <w:docPartBody>
        <w:p w:rsidR="009F677A" w:rsidRDefault="00150351" w:rsidP="00150351">
          <w:pPr>
            <w:pStyle w:val="A4AEED37052F924B90E4719139124A90"/>
          </w:pPr>
          <w:r>
            <w:t>[Type the document title]</w:t>
          </w:r>
        </w:p>
      </w:docPartBody>
    </w:docPart>
    <w:docPart>
      <w:docPartPr>
        <w:name w:val="B9DF8730E91E754791749C08362B2F29"/>
        <w:category>
          <w:name w:val="General"/>
          <w:gallery w:val="placeholder"/>
        </w:category>
        <w:types>
          <w:type w:val="bbPlcHdr"/>
        </w:types>
        <w:behaviors>
          <w:behavior w:val="content"/>
        </w:behaviors>
        <w:guid w:val="{E1C7C92D-D60B-A544-B084-8D38D3E0A935}"/>
      </w:docPartPr>
      <w:docPartBody>
        <w:p w:rsidR="009F677A" w:rsidRDefault="00150351" w:rsidP="00150351">
          <w:pPr>
            <w:pStyle w:val="B9DF8730E91E754791749C08362B2F2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51"/>
    <w:rsid w:val="0010367E"/>
    <w:rsid w:val="00150351"/>
    <w:rsid w:val="00211B85"/>
    <w:rsid w:val="002506E2"/>
    <w:rsid w:val="00325E94"/>
    <w:rsid w:val="004039A3"/>
    <w:rsid w:val="00580B79"/>
    <w:rsid w:val="005B1EE8"/>
    <w:rsid w:val="006242DA"/>
    <w:rsid w:val="00651C88"/>
    <w:rsid w:val="007B5953"/>
    <w:rsid w:val="009F677A"/>
    <w:rsid w:val="00A36498"/>
    <w:rsid w:val="00A74745"/>
    <w:rsid w:val="00AF7CED"/>
    <w:rsid w:val="00B8122D"/>
    <w:rsid w:val="00BF00B9"/>
    <w:rsid w:val="00C379D6"/>
    <w:rsid w:val="00DC33D8"/>
    <w:rsid w:val="00E50F19"/>
    <w:rsid w:val="00EB2D36"/>
    <w:rsid w:val="00EE7CE4"/>
    <w:rsid w:val="00EF6928"/>
    <w:rsid w:val="00F150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AEED37052F924B90E4719139124A90">
    <w:name w:val="A4AEED37052F924B90E4719139124A90"/>
    <w:rsid w:val="00150351"/>
  </w:style>
  <w:style w:type="paragraph" w:customStyle="1" w:styleId="B9DF8730E91E754791749C08362B2F29">
    <w:name w:val="B9DF8730E91E754791749C08362B2F29"/>
    <w:rsid w:val="00150351"/>
  </w:style>
  <w:style w:type="paragraph" w:customStyle="1" w:styleId="5FFB561818FBAF4A8CCD321C808C58C6">
    <w:name w:val="5FFB561818FBAF4A8CCD321C808C58C6"/>
    <w:rsid w:val="00150351"/>
  </w:style>
  <w:style w:type="paragraph" w:customStyle="1" w:styleId="65C80810AA3E0946A0EF08F0DC2FA54E">
    <w:name w:val="65C80810AA3E0946A0EF08F0DC2FA54E"/>
    <w:rsid w:val="00150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3CA93-D757-4BA2-BA02-D2EDEC25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5321</Words>
  <Characters>30333</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Nurse Education Today Contemporary Issues Paper</vt:lpstr>
    </vt:vector>
  </TitlesOfParts>
  <Company>Edinburgh Napier University</Company>
  <LinksUpToDate>false</LinksUpToDate>
  <CharactersWithSpaces>35583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Education Today Contemporary Issues Paper</dc:title>
  <dc:creator>Iain Atherton</dc:creator>
  <cp:lastModifiedBy>Gibson, Lyn</cp:lastModifiedBy>
  <cp:revision>2</cp:revision>
  <dcterms:created xsi:type="dcterms:W3CDTF">2017-09-26T09:29:00Z</dcterms:created>
  <dcterms:modified xsi:type="dcterms:W3CDTF">2017-09-26T09:29:00Z</dcterms:modified>
</cp:coreProperties>
</file>