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D9AE8" w14:textId="07B660EF" w:rsidR="006771E0" w:rsidRDefault="0043776E" w:rsidP="0043776E">
      <w:pPr>
        <w:pStyle w:val="Author"/>
        <w:jc w:val="center"/>
      </w:pPr>
      <w:r>
        <w:t>Jason Monios</w:t>
      </w:r>
    </w:p>
    <w:p w14:paraId="255D4F42" w14:textId="711B05F8" w:rsidR="0043776E" w:rsidRPr="001D4E6E" w:rsidRDefault="0043776E" w:rsidP="0043776E">
      <w:pPr>
        <w:pStyle w:val="Author"/>
        <w:jc w:val="center"/>
      </w:pPr>
      <w:r>
        <w:t>Transport Research Institute, Edinburgh Napier University, UK</w:t>
      </w:r>
    </w:p>
    <w:p w14:paraId="779C7644" w14:textId="7394D999" w:rsidR="006771E0" w:rsidRDefault="00034E5D" w:rsidP="003074A8">
      <w:pPr>
        <w:pStyle w:val="Heading1"/>
      </w:pPr>
      <w:r>
        <w:t>Cascading Feeder Vessels and</w:t>
      </w:r>
      <w:r w:rsidR="0041751F" w:rsidRPr="0041751F">
        <w:t xml:space="preserve"> the Rationalisation of Small Container Ports</w:t>
      </w:r>
    </w:p>
    <w:p w14:paraId="4872138D" w14:textId="77777777" w:rsidR="006771E0" w:rsidRPr="001D4E6E" w:rsidRDefault="006771E0" w:rsidP="006771E0">
      <w:pPr>
        <w:pStyle w:val="Heading2"/>
      </w:pPr>
      <w:r w:rsidRPr="001D4E6E">
        <w:t>Abstract</w:t>
      </w:r>
      <w:bookmarkStart w:id="0" w:name="_GoBack"/>
      <w:bookmarkEnd w:id="0"/>
    </w:p>
    <w:p w14:paraId="6D99385D" w14:textId="666DC971" w:rsidR="003074A8" w:rsidRPr="003074A8" w:rsidRDefault="003074A8" w:rsidP="003074A8">
      <w:pPr>
        <w:rPr>
          <w:lang w:val="en-GB"/>
        </w:rPr>
      </w:pPr>
      <w:r w:rsidRPr="003074A8">
        <w:rPr>
          <w:lang w:val="en-GB"/>
        </w:rPr>
        <w:t xml:space="preserve">Small container ports rely on feeder services from hub ports to provide access to unitised trade flows for their hinterlands. They generally possess limited water depth and handling facilities, as investments required to handle larger vessels are not justified by their low container throughput. This paper questions the future of small ports due to larger vessels cascading down as a result of ever-larger vessels on the major trade lanes. </w:t>
      </w:r>
    </w:p>
    <w:p w14:paraId="6500FEC4" w14:textId="0FFDB61F" w:rsidR="003074A8" w:rsidRPr="003074A8" w:rsidRDefault="003074A8" w:rsidP="003074A8">
      <w:pPr>
        <w:rPr>
          <w:lang w:val="en-GB"/>
        </w:rPr>
      </w:pPr>
      <w:r w:rsidRPr="003074A8">
        <w:rPr>
          <w:lang w:val="en-GB"/>
        </w:rPr>
        <w:t xml:space="preserve">The paper uses vessel call data to identify all world ports currently served by sub-1,000 TEU vessels. Data on the dimensions of the vessel fleet and order book are analysed in conjunction with accessibility constraints at these small ports. Results show that with 15% of the sub-1,000 TEU fleet currently laid up and very few on order, larger feeders with deeper </w:t>
      </w:r>
      <w:r w:rsidR="00B93D43">
        <w:rPr>
          <w:lang w:val="en-GB"/>
        </w:rPr>
        <w:t>draft</w:t>
      </w:r>
      <w:r w:rsidRPr="003074A8">
        <w:rPr>
          <w:lang w:val="en-GB"/>
        </w:rPr>
        <w:t xml:space="preserve">s seem certain to serve at least some of these routes. But with 90 container ports (21%) having berth depth </w:t>
      </w:r>
      <w:r w:rsidR="002E3A90">
        <w:rPr>
          <w:lang w:val="en-GB"/>
        </w:rPr>
        <w:t>of less than</w:t>
      </w:r>
      <w:r w:rsidRPr="003074A8">
        <w:rPr>
          <w:lang w:val="en-GB"/>
        </w:rPr>
        <w:t xml:space="preserve"> 9.1m and the need to accommodate design </w:t>
      </w:r>
      <w:r w:rsidR="00B93D43">
        <w:rPr>
          <w:lang w:val="en-GB"/>
        </w:rPr>
        <w:t>draft</w:t>
      </w:r>
      <w:r w:rsidRPr="003074A8">
        <w:rPr>
          <w:lang w:val="en-GB"/>
        </w:rPr>
        <w:t>s of at least 8.7m, larger vessels will threaten the viability of these ports unless they commit significant investment.</w:t>
      </w:r>
    </w:p>
    <w:p w14:paraId="4998B5A0" w14:textId="77777777" w:rsidR="003074A8" w:rsidRPr="003074A8" w:rsidRDefault="003074A8" w:rsidP="003074A8">
      <w:pPr>
        <w:rPr>
          <w:lang w:val="en-GB"/>
        </w:rPr>
      </w:pPr>
      <w:r w:rsidRPr="003074A8">
        <w:rPr>
          <w:lang w:val="en-GB"/>
        </w:rPr>
        <w:t>Findings suggest that, just as container ports at the larger end of the scale were rationalised as flows concentrated at major hubs, several drivers exist for the same process to occur at small ports. Consequently, the paper asks how small ports and local shippers will cope, whether such ports lose their connections entirely, if local shippers must pay for an additional handling cost to tranship a second time from large feeder to small feeder, or whether they rely on overland transport links.</w:t>
      </w:r>
    </w:p>
    <w:p w14:paraId="40069C98" w14:textId="6DFF9123" w:rsidR="006771E0" w:rsidRDefault="006771E0" w:rsidP="006771E0">
      <w:r w:rsidRPr="006412B1">
        <w:rPr>
          <w:b/>
        </w:rPr>
        <w:t>Keywords:</w:t>
      </w:r>
      <w:r w:rsidR="003074A8">
        <w:t xml:space="preserve"> </w:t>
      </w:r>
      <w:r w:rsidR="003074A8" w:rsidRPr="003074A8">
        <w:rPr>
          <w:rFonts w:eastAsia="Calibri"/>
          <w:szCs w:val="24"/>
          <w:lang w:val="en-GB" w:bidi="ar-SA"/>
        </w:rPr>
        <w:t xml:space="preserve">container ports, shipping lines, vessels, feeders, short sea shipping (SSS), </w:t>
      </w:r>
      <w:r w:rsidR="00117384">
        <w:rPr>
          <w:rFonts w:eastAsia="Calibri"/>
          <w:szCs w:val="24"/>
          <w:lang w:val="en-GB" w:bidi="ar-SA"/>
        </w:rPr>
        <w:t>regional ports, competition</w:t>
      </w:r>
    </w:p>
    <w:p w14:paraId="58B24B2F" w14:textId="77777777" w:rsidR="006771E0" w:rsidRPr="006412B1" w:rsidRDefault="006771E0" w:rsidP="006771E0">
      <w:pPr>
        <w:pStyle w:val="Heading2"/>
        <w:rPr>
          <w:u w:val="single"/>
        </w:rPr>
      </w:pPr>
      <w:r w:rsidRPr="006412B1">
        <w:t>1. Introduction</w:t>
      </w:r>
    </w:p>
    <w:p w14:paraId="59FA3986" w14:textId="77777777" w:rsidR="003074A8" w:rsidRPr="003074A8" w:rsidRDefault="003074A8" w:rsidP="003074A8">
      <w:pPr>
        <w:rPr>
          <w:lang w:val="en-GB"/>
        </w:rPr>
      </w:pPr>
      <w:r w:rsidRPr="003074A8">
        <w:rPr>
          <w:lang w:val="en-GB"/>
        </w:rPr>
        <w:t xml:space="preserve">As container ships grow ever larger to achieve greater economies of scale and hence cost savings, ports expand to be able to handle them. This expansion occurs both in terms of physical size of berths and the speed and efficiency of handling the large drops of containers that must be moved in and out of the port gate and through the hinterland. Port systems evolve according to these trends, resulting in concentration of container movements at a handful of hub ports within each range, and flows are then </w:t>
      </w:r>
      <w:proofErr w:type="spellStart"/>
      <w:r w:rsidRPr="003074A8">
        <w:rPr>
          <w:lang w:val="en-GB"/>
        </w:rPr>
        <w:lastRenderedPageBreak/>
        <w:t>feedered</w:t>
      </w:r>
      <w:proofErr w:type="spellEnd"/>
      <w:r w:rsidRPr="003074A8">
        <w:rPr>
          <w:lang w:val="en-GB"/>
        </w:rPr>
        <w:t xml:space="preserve"> to other ports according to a variety of schedules devised by carriers to balance their vessels and containers.</w:t>
      </w:r>
    </w:p>
    <w:p w14:paraId="6F7DB4AD" w14:textId="6D3B4860" w:rsidR="003074A8" w:rsidRPr="003074A8" w:rsidRDefault="003074A8" w:rsidP="003074A8">
      <w:pPr>
        <w:rPr>
          <w:lang w:val="en-GB"/>
        </w:rPr>
      </w:pPr>
      <w:r w:rsidRPr="003074A8">
        <w:rPr>
          <w:lang w:val="en-GB"/>
        </w:rPr>
        <w:t xml:space="preserve">Feeder ports generate enough cargo to require shipping services, but not enough to require large vessels, and remain sufficiently distant from larger ports in the same range that under current market conditions the larger ports cannot serve this hinterland profitably overland. </w:t>
      </w:r>
      <w:proofErr w:type="gramStart"/>
      <w:r w:rsidRPr="003074A8">
        <w:rPr>
          <w:lang w:val="en-GB"/>
        </w:rPr>
        <w:t>So smaller ports continue to serve their local markets, connected to transhipment-only or hybrid ports by small feeder vessels.</w:t>
      </w:r>
      <w:proofErr w:type="gramEnd"/>
      <w:r w:rsidRPr="003074A8">
        <w:rPr>
          <w:lang w:val="en-GB"/>
        </w:rPr>
        <w:t xml:space="preserve"> They generally possess limited water depth and handling facilities, as large investments required to handle larger vessels are not justified by their low container throughput. The question asked in this paper is how long this situation will continue. Are current trends for larger vessels likely to threaten this model? Will smaller vessels disappear entirely, meaning that small ports will lose their connections unless they upgrade their facilities? Or will shipping lines continue to serve these ports via the insertion of second-tier hub ports where cargo is transhipped from large to small feeder? The aim of this paper is to ask questions and develop a research agenda on a somewhat neglected topic.</w:t>
      </w:r>
    </w:p>
    <w:p w14:paraId="4489395F" w14:textId="16548888" w:rsidR="003074A8" w:rsidRPr="003074A8" w:rsidRDefault="003074A8" w:rsidP="003074A8">
      <w:pPr>
        <w:rPr>
          <w:lang w:val="en-GB"/>
        </w:rPr>
      </w:pPr>
      <w:r w:rsidRPr="003074A8">
        <w:rPr>
          <w:lang w:val="en-GB"/>
        </w:rPr>
        <w:t>The methodology is based on analysis of secondary data. First, small container ports across the globe are identified, defined for the purposes of this paper as those ports currently served by sub-1,000 TEU vessels. Data on the sub-1,000 TEU vessel fleet and order book are then analysed in conjunction with accessibility constraints at small ports across the globe. Potential consequences are considered regarding the role of small ports in the evolution of port systems and a research agenda is established.</w:t>
      </w:r>
    </w:p>
    <w:p w14:paraId="5F6ADA56" w14:textId="44069469" w:rsidR="003074A8" w:rsidRDefault="003074A8" w:rsidP="003074A8">
      <w:pPr>
        <w:rPr>
          <w:lang w:val="en-GB"/>
        </w:rPr>
      </w:pPr>
      <w:r w:rsidRPr="003074A8">
        <w:rPr>
          <w:lang w:val="en-GB"/>
        </w:rPr>
        <w:t>Section 2 reviews the literature on the evolution of port systems, before a discussion of the role of small ports, feeder networks and capacity utilisation in the port sector in section 3. Section 4 outlines the methodology and data sources, while section 5 presents results. Section 6 discusses potential strategic responses by small ports and section 7 concludes by establishing a research agenda.</w:t>
      </w:r>
    </w:p>
    <w:p w14:paraId="611373D1" w14:textId="77777777" w:rsidR="003074A8" w:rsidRDefault="003074A8" w:rsidP="003074A8">
      <w:pPr>
        <w:pStyle w:val="Heading2"/>
      </w:pPr>
      <w:r>
        <w:t>2. The evolution of port systems</w:t>
      </w:r>
    </w:p>
    <w:p w14:paraId="424F0D11" w14:textId="77777777" w:rsidR="003074A8" w:rsidRDefault="003074A8" w:rsidP="003074A8">
      <w:r w:rsidRPr="00505ECE">
        <w:t xml:space="preserve">Over the last 30 years, several factors have caused a shift in </w:t>
      </w:r>
      <w:r>
        <w:t>world port traffic</w:t>
      </w:r>
      <w:r w:rsidRPr="00505ECE">
        <w:t xml:space="preserve"> from using </w:t>
      </w:r>
      <w:r>
        <w:t>a spread of ports in a range based primarily on proximity to sources of production or consumption</w:t>
      </w:r>
      <w:r w:rsidRPr="00505ECE">
        <w:t xml:space="preserve"> to </w:t>
      </w:r>
      <w:r>
        <w:t xml:space="preserve">a situation where a small number of large hub ports in a range dominate traffic in a region. </w:t>
      </w:r>
      <w:proofErr w:type="spellStart"/>
      <w:r>
        <w:t>Conceptualisations</w:t>
      </w:r>
      <w:proofErr w:type="spellEnd"/>
      <w:r>
        <w:t xml:space="preserve"> of</w:t>
      </w:r>
      <w:r w:rsidRPr="00153B00">
        <w:t xml:space="preserve"> port system </w:t>
      </w:r>
      <w:r>
        <w:t>evolution</w:t>
      </w:r>
      <w:r w:rsidRPr="00153B00">
        <w:t xml:space="preserve"> </w:t>
      </w:r>
      <w:r>
        <w:t>have developed from</w:t>
      </w:r>
      <w:r w:rsidRPr="00153B00">
        <w:t xml:space="preserve"> traditional spatial analyses of port expansion and upgrading of berthing and handling facilities (Bird, 1963; Taaffe et al., 1963; </w:t>
      </w:r>
      <w:proofErr w:type="spellStart"/>
      <w:r w:rsidRPr="00153B00">
        <w:t>Rimmer</w:t>
      </w:r>
      <w:proofErr w:type="spellEnd"/>
      <w:r w:rsidRPr="00153B00">
        <w:t xml:space="preserve">, 1967; Hoyle, 1968; </w:t>
      </w:r>
      <w:proofErr w:type="spellStart"/>
      <w:r w:rsidRPr="00153B00">
        <w:t>Hayuth</w:t>
      </w:r>
      <w:proofErr w:type="spellEnd"/>
      <w:r w:rsidRPr="00153B00">
        <w:t xml:space="preserve">, 1981; </w:t>
      </w:r>
      <w:proofErr w:type="spellStart"/>
      <w:r w:rsidRPr="00153B00">
        <w:t>Barke</w:t>
      </w:r>
      <w:proofErr w:type="spellEnd"/>
      <w:r w:rsidRPr="00153B00">
        <w:t>, 1986; Van Klink, 1998) to the more recent focus on port competition th</w:t>
      </w:r>
      <w:r>
        <w:t xml:space="preserve">rough hinterland accessibility </w:t>
      </w:r>
      <w:r w:rsidRPr="00153B00">
        <w:t xml:space="preserve">(Notteboom </w:t>
      </w:r>
      <w:r>
        <w:t>&amp;</w:t>
      </w:r>
      <w:r w:rsidRPr="00153B00">
        <w:t xml:space="preserve"> Rodrigue, 2005; Monios </w:t>
      </w:r>
      <w:r>
        <w:t>&amp;</w:t>
      </w:r>
      <w:r w:rsidRPr="00153B00">
        <w:t xml:space="preserve"> Wilmsmeier, 2012</w:t>
      </w:r>
      <w:r>
        <w:t>a</w:t>
      </w:r>
      <w:r w:rsidRPr="00153B00">
        <w:t xml:space="preserve">). Other influences on port system evolution include the competition in the maritime foreland, focusing on intermediate </w:t>
      </w:r>
      <w:proofErr w:type="spellStart"/>
      <w:r w:rsidRPr="00153B00">
        <w:t>transhipment</w:t>
      </w:r>
      <w:proofErr w:type="spellEnd"/>
      <w:r w:rsidRPr="00153B00">
        <w:t xml:space="preserve"> hubs and the structure of maritime services (Sanchez </w:t>
      </w:r>
      <w:r>
        <w:t>&amp;</w:t>
      </w:r>
      <w:r w:rsidRPr="00153B00">
        <w:t xml:space="preserve"> Wilmsmeier, 2006; Rodrigue </w:t>
      </w:r>
      <w:r>
        <w:t>&amp;</w:t>
      </w:r>
      <w:r w:rsidRPr="00153B00">
        <w:t xml:space="preserve"> Notteboom, 2010), and in particular the role of the concentration of liner services (e.g. Frémont &amp; </w:t>
      </w:r>
      <w:proofErr w:type="spellStart"/>
      <w:r w:rsidRPr="00153B00">
        <w:t>Soppé</w:t>
      </w:r>
      <w:proofErr w:type="spellEnd"/>
      <w:r w:rsidRPr="00153B00">
        <w:t>, 2007; Lee et al., 2008; Wang &amp; Ducruet, 2012).</w:t>
      </w:r>
      <w:r>
        <w:t xml:space="preserve"> </w:t>
      </w:r>
    </w:p>
    <w:p w14:paraId="6DB50D7B" w14:textId="77777777" w:rsidR="003074A8" w:rsidRDefault="003074A8" w:rsidP="003074A8">
      <w:r>
        <w:lastRenderedPageBreak/>
        <w:t>I</w:t>
      </w:r>
      <w:r w:rsidRPr="00505ECE">
        <w:t>ncreased economies of scale available from ever-increasing ship size</w:t>
      </w:r>
      <w:r>
        <w:t xml:space="preserve"> was a key driver for s</w:t>
      </w:r>
      <w:r w:rsidRPr="00505ECE">
        <w:t xml:space="preserve">hipping services </w:t>
      </w:r>
      <w:r>
        <w:t>to be</w:t>
      </w:r>
      <w:r w:rsidRPr="00505ECE">
        <w:t xml:space="preserve"> </w:t>
      </w:r>
      <w:proofErr w:type="spellStart"/>
      <w:r w:rsidRPr="00505ECE">
        <w:t>rationalised</w:t>
      </w:r>
      <w:proofErr w:type="spellEnd"/>
      <w:r w:rsidRPr="00505ECE">
        <w:t xml:space="preserve">, </w:t>
      </w:r>
      <w:r>
        <w:t>whereby large vessels traversed</w:t>
      </w:r>
      <w:r w:rsidRPr="00505ECE">
        <w:t xml:space="preserve"> major routes between a limited number of hub ports. Cargo was then sent inland or </w:t>
      </w:r>
      <w:proofErr w:type="spellStart"/>
      <w:r w:rsidRPr="00505ECE">
        <w:t>feedered</w:t>
      </w:r>
      <w:proofErr w:type="spellEnd"/>
      <w:r w:rsidRPr="00505ECE">
        <w:t xml:space="preserve"> to smaller ports.</w:t>
      </w:r>
      <w:r>
        <w:t xml:space="preserve"> </w:t>
      </w:r>
      <w:r w:rsidRPr="00505ECE">
        <w:t xml:space="preserve">The key factor for ports has been intermediacy, as ports changed from city-based </w:t>
      </w:r>
      <w:proofErr w:type="spellStart"/>
      <w:r w:rsidRPr="00505ECE">
        <w:t>centres</w:t>
      </w:r>
      <w:proofErr w:type="spellEnd"/>
      <w:r w:rsidRPr="00505ECE">
        <w:t xml:space="preserve"> of local trade to major hubs for cargo to pass through, with dist</w:t>
      </w:r>
      <w:r>
        <w:t>ant origins and destinations</w:t>
      </w:r>
      <w:r w:rsidRPr="00505ECE">
        <w:t xml:space="preserve">. This development has been driven to a large degree by the container revolution, as distribution </w:t>
      </w:r>
      <w:proofErr w:type="spellStart"/>
      <w:r w:rsidRPr="00505ECE">
        <w:t>centres</w:t>
      </w:r>
      <w:proofErr w:type="spellEnd"/>
      <w:r w:rsidRPr="00505ECE">
        <w:t xml:space="preserve"> </w:t>
      </w:r>
      <w:r>
        <w:t>based far inland</w:t>
      </w:r>
      <w:r w:rsidRPr="00505ECE">
        <w:t xml:space="preserve"> have become key cargo generators and attractors. </w:t>
      </w:r>
    </w:p>
    <w:p w14:paraId="55D30C63" w14:textId="6CF8282E" w:rsidR="003074A8" w:rsidRDefault="003074A8" w:rsidP="003074A8">
      <w:pPr>
        <w:rPr>
          <w:color w:val="FF0000"/>
        </w:rPr>
      </w:pPr>
      <w:r>
        <w:t>Several scholars have discussed the process of concentration in p</w:t>
      </w:r>
      <w:r w:rsidRPr="00505ECE">
        <w:t>ort system</w:t>
      </w:r>
      <w:r>
        <w:t>s, followed by</w:t>
      </w:r>
      <w:r w:rsidRPr="00505ECE">
        <w:t xml:space="preserve"> a </w:t>
      </w:r>
      <w:r>
        <w:t>trend towards deconcentration (</w:t>
      </w:r>
      <w:proofErr w:type="spellStart"/>
      <w:r>
        <w:t>Hayuth</w:t>
      </w:r>
      <w:proofErr w:type="spellEnd"/>
      <w:r>
        <w:t xml:space="preserve">, 1981; </w:t>
      </w:r>
      <w:proofErr w:type="spellStart"/>
      <w:r w:rsidRPr="00505ECE">
        <w:t>B</w:t>
      </w:r>
      <w:r>
        <w:t>arke</w:t>
      </w:r>
      <w:proofErr w:type="spellEnd"/>
      <w:r>
        <w:t>, 1986;</w:t>
      </w:r>
      <w:r w:rsidRPr="00505ECE">
        <w:t xml:space="preserve"> Slack </w:t>
      </w:r>
      <w:r>
        <w:t>&amp;</w:t>
      </w:r>
      <w:r w:rsidRPr="00505ECE">
        <w:t xml:space="preserve"> W</w:t>
      </w:r>
      <w:r>
        <w:t>ang, 2002; Notteboom, 2005;</w:t>
      </w:r>
      <w:r w:rsidRPr="00505ECE">
        <w:t xml:space="preserve"> Frémont </w:t>
      </w:r>
      <w:r>
        <w:t>&amp;</w:t>
      </w:r>
      <w:r w:rsidRPr="00505ECE">
        <w:t xml:space="preserve"> </w:t>
      </w:r>
      <w:proofErr w:type="spellStart"/>
      <w:r w:rsidRPr="00505ECE">
        <w:t>Soppé</w:t>
      </w:r>
      <w:proofErr w:type="spellEnd"/>
      <w:r>
        <w:t xml:space="preserve">, </w:t>
      </w:r>
      <w:r w:rsidRPr="00505ECE">
        <w:t>2007</w:t>
      </w:r>
      <w:r>
        <w:t>; Ducruet et al., 2009; Wilmsmeier &amp; Monios, 2013)</w:t>
      </w:r>
      <w:r w:rsidRPr="00505ECE">
        <w:t xml:space="preserve">. This </w:t>
      </w:r>
      <w:r>
        <w:t>process results in</w:t>
      </w:r>
      <w:r w:rsidRPr="00505ECE">
        <w:t xml:space="preserve"> significant challenges </w:t>
      </w:r>
      <w:r>
        <w:t>to port infrastructure and superstructure, and to connecting</w:t>
      </w:r>
      <w:r w:rsidRPr="00505ECE">
        <w:t xml:space="preserve"> hinterland infra</w:t>
      </w:r>
      <w:r>
        <w:t xml:space="preserve">structure. </w:t>
      </w:r>
      <w:r w:rsidRPr="006A1028">
        <w:t>The deconcentration observed in recent years by some authors (e.g. Wang and Ng, 2011, in China; Wilmsmeier and Monios, 2013, in the UK;</w:t>
      </w:r>
      <w:r>
        <w:t xml:space="preserve"> Wilmsmeier et al., 2014, in Latin America</w:t>
      </w:r>
      <w:r w:rsidRPr="006A1028">
        <w:t xml:space="preserve">) has </w:t>
      </w:r>
      <w:r>
        <w:t xml:space="preserve">in some cases </w:t>
      </w:r>
      <w:r w:rsidRPr="006A1028">
        <w:t>driven the emergence of secondary ports, able to insert themselves as second-tier regional hubs, between large hub ports and smaller local ports. This role becomes possible because, as container ships on the main routes get larger and container drops at each call increase, hub and spoke</w:t>
      </w:r>
      <w:r w:rsidR="000E5277">
        <w:t xml:space="preserve"> and interlining</w:t>
      </w:r>
      <w:r w:rsidRPr="006A1028">
        <w:t xml:space="preserve"> networks become more complex. This process of deconcentration in turn may be expected to lead to concentration at small ports because some will lose traffic to these new second-tier hubs. This paper examine</w:t>
      </w:r>
      <w:r>
        <w:t>s</w:t>
      </w:r>
      <w:r w:rsidRPr="006A1028">
        <w:t xml:space="preserve"> some influences on this process by analysis of container vessel sizes, the increases in which show no signs of stopping. Not long after 16,000 TEU and then 18,000 TEU ships became the accepted maximum, orders are now being placed for 20,000+ TEU vessels (</w:t>
      </w:r>
      <w:r>
        <w:t xml:space="preserve">e.g. </w:t>
      </w:r>
      <w:r w:rsidRPr="006A1028">
        <w:t xml:space="preserve">in March 2015, MOL placed orders for six 20,150 TEU vessels). Designs for at least </w:t>
      </w:r>
      <w:r>
        <w:t>22,500 TEU ships are actively being considered, as small profit margins force operators to pursue ever greater scale economies. The question has now become not the feasibility of the vessel itself but whether the supporting system can cope.</w:t>
      </w:r>
    </w:p>
    <w:p w14:paraId="1C8F109A" w14:textId="2CFADE7C" w:rsidR="003074A8" w:rsidRDefault="003074A8" w:rsidP="003074A8">
      <w:r>
        <w:t>While the majority of the literature analyses large ports, the complexities of modern liner shipping mean that the roles of small and medium ports are ever changing. The interest of this paper is how the cascading effe</w:t>
      </w:r>
      <w:r w:rsidRPr="003074A8">
        <w:t>c</w:t>
      </w:r>
      <w:r>
        <w:t xml:space="preserve">t of vessels down from the larger to the smaller trades will affect port choice and hence access to </w:t>
      </w:r>
      <w:proofErr w:type="spellStart"/>
      <w:r>
        <w:t>containerised</w:t>
      </w:r>
      <w:proofErr w:type="spellEnd"/>
      <w:r>
        <w:t xml:space="preserve"> flows for shippers currently served by small container ports. One of the early writers on this topic, </w:t>
      </w:r>
      <w:proofErr w:type="spellStart"/>
      <w:r w:rsidRPr="004315D9">
        <w:t>Hayuth</w:t>
      </w:r>
      <w:proofErr w:type="spellEnd"/>
      <w:r w:rsidRPr="004315D9">
        <w:t xml:space="preserve"> (1981</w:t>
      </w:r>
      <w:r>
        <w:t>; p.160</w:t>
      </w:r>
      <w:r w:rsidRPr="004315D9">
        <w:t>)</w:t>
      </w:r>
      <w:r>
        <w:t>,</w:t>
      </w:r>
      <w:r w:rsidRPr="004315D9">
        <w:t xml:space="preserve"> </w:t>
      </w:r>
      <w:r>
        <w:t>noted that</w:t>
      </w:r>
      <w:r w:rsidRPr="004315D9">
        <w:t xml:space="preserve"> </w:t>
      </w:r>
      <w:r>
        <w:t>“</w:t>
      </w:r>
      <w:r w:rsidRPr="004315D9">
        <w:t>it is difficult to weigh the</w:t>
      </w:r>
      <w:r>
        <w:t xml:space="preserve"> </w:t>
      </w:r>
      <w:r w:rsidRPr="004315D9">
        <w:t xml:space="preserve">importance of each factor in the development of a load </w:t>
      </w:r>
      <w:proofErr w:type="spellStart"/>
      <w:r w:rsidRPr="004315D9">
        <w:t>centre</w:t>
      </w:r>
      <w:proofErr w:type="spellEnd"/>
      <w:r w:rsidRPr="004315D9">
        <w:t xml:space="preserve"> port, but a large-scale local market, high accessibility to inland</w:t>
      </w:r>
      <w:r>
        <w:t xml:space="preserve"> </w:t>
      </w:r>
      <w:r w:rsidRPr="004315D9">
        <w:t>markets, advantageous site and location, early adoption of the new system, and aggressiveness of port management are major</w:t>
      </w:r>
      <w:r>
        <w:t xml:space="preserve"> f</w:t>
      </w:r>
      <w:r w:rsidR="0013199E">
        <w:t>actors to consider”. These factors</w:t>
      </w:r>
      <w:r>
        <w:t xml:space="preserve"> are generally applied to large ports but they can be reinterpreted in relation to small ports to form the framework for the research undertaken in this paper.</w:t>
      </w:r>
    </w:p>
    <w:p w14:paraId="4428609E" w14:textId="77777777" w:rsidR="003074A8" w:rsidRDefault="003074A8" w:rsidP="003074A8">
      <w:pPr>
        <w:pStyle w:val="Heading2"/>
      </w:pPr>
      <w:r>
        <w:lastRenderedPageBreak/>
        <w:t xml:space="preserve">3. Vessel </w:t>
      </w:r>
      <w:proofErr w:type="spellStart"/>
      <w:r>
        <w:t>utilisation</w:t>
      </w:r>
      <w:proofErr w:type="spellEnd"/>
      <w:r>
        <w:t>, feeder shipping and t</w:t>
      </w:r>
      <w:r w:rsidRPr="002C764C">
        <w:t xml:space="preserve">he role of small </w:t>
      </w:r>
      <w:r>
        <w:t xml:space="preserve">container </w:t>
      </w:r>
      <w:r w:rsidRPr="002C764C">
        <w:t xml:space="preserve">ports </w:t>
      </w:r>
    </w:p>
    <w:p w14:paraId="5C0F7399" w14:textId="13556D7B" w:rsidR="003074A8" w:rsidRDefault="003074A8" w:rsidP="003074A8">
      <w:r>
        <w:t xml:space="preserve">Capacity </w:t>
      </w:r>
      <w:proofErr w:type="spellStart"/>
      <w:r>
        <w:t>utilisation</w:t>
      </w:r>
      <w:proofErr w:type="spellEnd"/>
      <w:r>
        <w:t xml:space="preserve"> is an ongoing challenge for shipping lines, although a distinction should be drawn between a certain level of slack built into the system to accommodate peaks and troughs and genuine situations of overcapacity. After the onset of the global recession in 2008, demand shrank just as large amounts of vessel capacity entered the market, leading to over capacity and the resulting plunge in freight rates and charter rates. This was due to the cyclical nature of shipping and the time-lagged nature of large investments, meaning that vessels ordered at the peak of the market when rates were high and capacity was stretched came online as the market turned downwards. More slowly but just as noticeable was the arrival of additional port capacity. In regions where under capacity had led to a loss of traffic to competitor ports (e.g. UK ports losing traffic to continental European ports), major terminal expansions came online at a time of overcapacity, and some expansion plans were delayed or cancelled. Similarly, vessel orders slowed, older vessels were scrapped early for a fraction of their value, slow steaming was employed to absorb excess tonnage where possible and many vessels were laid up. </w:t>
      </w:r>
    </w:p>
    <w:p w14:paraId="57D2AB7E" w14:textId="77777777" w:rsidR="003074A8" w:rsidRDefault="003074A8" w:rsidP="003074A8">
      <w:r>
        <w:t xml:space="preserve">While mid-size vessels can be redeployed on other routes (as will be discussed shortly), the largest vessels cannot. These are limited not only to a single trade (Asia-Europe), but to a handful of specific ports, due to handling imitations either in the port or from the associated container distribution. </w:t>
      </w:r>
      <w:r w:rsidRPr="007E6981">
        <w:t xml:space="preserve">Ports invest large sums upgrading their facilities and competing to receive vessel calls, but handling such demand spikes is difficult. Large container drops can result in inefficient crane </w:t>
      </w:r>
      <w:proofErr w:type="spellStart"/>
      <w:r w:rsidRPr="007E6981">
        <w:t>utilisation</w:t>
      </w:r>
      <w:proofErr w:type="spellEnd"/>
      <w:r w:rsidRPr="007E6981">
        <w:t>, as the numerous large cranes required to service large ships are not all required between calls; furthermore, such numbers of containers cannot always be moved in and out of the port in a smooth manner.</w:t>
      </w:r>
      <w:r>
        <w:t xml:space="preserve"> It has been estimated that a 19,000 </w:t>
      </w:r>
      <w:r w:rsidRPr="00112766">
        <w:t>TEU vessel dropping 8,800 TEU in a single call will necessitate 14,000 container moves, six 800 TEU feeders, 53 trains (carrying 90 containers each), three 96 TEU barges and 2,640 trucks (</w:t>
      </w:r>
      <w:r>
        <w:t>Grey,</w:t>
      </w:r>
      <w:r w:rsidRPr="00112766">
        <w:t xml:space="preserve"> 2015).</w:t>
      </w:r>
    </w:p>
    <w:p w14:paraId="4809E4BA" w14:textId="77777777" w:rsidR="003074A8" w:rsidRDefault="003074A8" w:rsidP="003074A8">
      <w:r>
        <w:t>S</w:t>
      </w:r>
      <w:r w:rsidRPr="007E6981">
        <w:t xml:space="preserve">hipping lines already cannot meet their own schedules; current average reliability across the industry is below 70%. </w:t>
      </w:r>
      <w:proofErr w:type="gramStart"/>
      <w:r w:rsidRPr="007E6981">
        <w:t>The larger the vessel and the larger the drop of containers at each call,</w:t>
      </w:r>
      <w:r>
        <w:t xml:space="preserve"> </w:t>
      </w:r>
      <w:r w:rsidRPr="007E6981">
        <w:t>the larger the knock-on effect of such poor reliability on the rest of the container system.</w:t>
      </w:r>
      <w:proofErr w:type="gramEnd"/>
      <w:r w:rsidRPr="007E6981">
        <w:t xml:space="preserve"> </w:t>
      </w:r>
      <w:r>
        <w:t>Going back to Bird (1963; p.33): “</w:t>
      </w:r>
      <w:r w:rsidRPr="00964973">
        <w:t>The ship designer has always been the pacemaker in shipping transport innovations</w:t>
      </w:r>
      <w:r>
        <w:t xml:space="preserve"> </w:t>
      </w:r>
      <w:r w:rsidRPr="00964973">
        <w:t>since his creation has merely to float and sail economically per ton mile; whereas the</w:t>
      </w:r>
      <w:r>
        <w:t xml:space="preserve"> </w:t>
      </w:r>
      <w:r w:rsidRPr="00964973">
        <w:t>port engineer has to cope not only with the demands of ship designers, but also with the</w:t>
      </w:r>
      <w:r>
        <w:t xml:space="preserve"> </w:t>
      </w:r>
      <w:r w:rsidRPr="00964973">
        <w:t>physical difficulties of the port’s la</w:t>
      </w:r>
      <w:r>
        <w:t xml:space="preserve">nd and water sites.” It remains far from clear whether increasingly large container vessels are good for the industry and may in fact result in diseconomies rather than economies of scale. Yet pessimists have predicted a peak in vessel capacity for years and been proven wrong so quite possibly the industry will find a way as it always does. </w:t>
      </w:r>
    </w:p>
    <w:p w14:paraId="3E989940" w14:textId="77777777" w:rsidR="003074A8" w:rsidRDefault="003074A8" w:rsidP="003074A8">
      <w:r>
        <w:lastRenderedPageBreak/>
        <w:t xml:space="preserve">Due to these difficulties, the newest generation of container ships inherently represent a greater risk for the owner, be they a lessor or operator, as the cost of around $USD150+m for one vessel is a significant outlay that must be recouped. Vessel owner </w:t>
      </w:r>
      <w:proofErr w:type="spellStart"/>
      <w:r>
        <w:t>Seaspan</w:t>
      </w:r>
      <w:proofErr w:type="spellEnd"/>
      <w:r>
        <w:t xml:space="preserve"> is currently demanding 15-year charter contracts with prospective operators before they will order 18,000 TEU vessels from the shipyards, due to the risk of being left with such vessels after around 10 years and unable to find an interested operator to lease them (Porter, 2015).</w:t>
      </w:r>
    </w:p>
    <w:p w14:paraId="7F3BF261" w14:textId="77777777" w:rsidR="003074A8" w:rsidRPr="00757679" w:rsidRDefault="003074A8" w:rsidP="003074A8">
      <w:r>
        <w:t>The dominant Asia-</w:t>
      </w:r>
      <w:r w:rsidRPr="00757679">
        <w:t xml:space="preserve">Europe trade remains the driver for the largest class of container vessels, and while increased traffic on other trades induces expectations that they will be served by larger vessels in future </w:t>
      </w:r>
      <w:r>
        <w:t xml:space="preserve">(e.g. Sánchez &amp; </w:t>
      </w:r>
      <w:proofErr w:type="spellStart"/>
      <w:r w:rsidRPr="00757679">
        <w:t>Perrotti</w:t>
      </w:r>
      <w:proofErr w:type="spellEnd"/>
      <w:r w:rsidRPr="00757679">
        <w:t xml:space="preserve">, 2012), there is some concern that larger vessels are being cascaded too soon, simply because of the carriers’ need to soak up excess tonnage, leading to </w:t>
      </w:r>
      <w:r>
        <w:t>dramatic</w:t>
      </w:r>
      <w:r w:rsidRPr="00757679">
        <w:t xml:space="preserve"> </w:t>
      </w:r>
      <w:proofErr w:type="spellStart"/>
      <w:r w:rsidRPr="00757679">
        <w:t>underutilisation</w:t>
      </w:r>
      <w:proofErr w:type="spellEnd"/>
      <w:r>
        <w:t xml:space="preserve"> on some routes</w:t>
      </w:r>
      <w:r w:rsidRPr="00757679">
        <w:t xml:space="preserve"> (Wilmsmeier, 2013). </w:t>
      </w:r>
    </w:p>
    <w:p w14:paraId="39CE740A" w14:textId="77777777" w:rsidR="003074A8" w:rsidRDefault="003074A8" w:rsidP="003074A8">
      <w:r w:rsidRPr="00757679">
        <w:t xml:space="preserve">Other perhaps unexpected results of the cascading resulting from the introduction </w:t>
      </w:r>
      <w:r>
        <w:t>of ultra-large container ships are the introduction of entirely new routings. In March 2013, Maersk found it more economic to switch 9,000 TEU vessels from Asia-Europe to Asia-USEC via Suez, rather than their previous solution of using Panamax vessels to link Asia and USEC via the Panama Canal. The new routing is longer but the larger vessels recoup earnings through economies of scale, in addition to providing a solution to absorb the tonnage cascaded down from the Asia-Europe route (Porter, 2013).</w:t>
      </w:r>
    </w:p>
    <w:p w14:paraId="404686C3" w14:textId="0D8948D5" w:rsidR="003074A8" w:rsidRDefault="003074A8" w:rsidP="003074A8">
      <w:r>
        <w:t xml:space="preserve">Total capacity is, however, not the only issue as design specifications also exert significant influence. Due to past limitations of the Panama Canal, the Panamax design is long and thin, to </w:t>
      </w:r>
      <w:proofErr w:type="spellStart"/>
      <w:r>
        <w:t>maximise</w:t>
      </w:r>
      <w:proofErr w:type="spellEnd"/>
      <w:r>
        <w:t xml:space="preserve"> capacity within draft and width restrictions (capacity of up to 5,000 TEU, depending on design). </w:t>
      </w:r>
      <w:r w:rsidRPr="00695EA5">
        <w:t xml:space="preserve">Post </w:t>
      </w:r>
      <w:proofErr w:type="spellStart"/>
      <w:r w:rsidRPr="00695EA5">
        <w:t>panamax</w:t>
      </w:r>
      <w:proofErr w:type="spellEnd"/>
      <w:r w:rsidRPr="00695EA5">
        <w:t xml:space="preserve"> was the next generation, used exclusively for Asia-Europe or Asia-</w:t>
      </w:r>
      <w:r>
        <w:t>USEC</w:t>
      </w:r>
      <w:r w:rsidRPr="00695EA5">
        <w:t>. Wi</w:t>
      </w:r>
      <w:r>
        <w:t xml:space="preserve">dening of the canal will allow Post </w:t>
      </w:r>
      <w:proofErr w:type="spellStart"/>
      <w:r>
        <w:t>panamax</w:t>
      </w:r>
      <w:proofErr w:type="spellEnd"/>
      <w:r>
        <w:t xml:space="preserve"> and up to </w:t>
      </w:r>
      <w:proofErr w:type="gramStart"/>
      <w:r>
        <w:t>N</w:t>
      </w:r>
      <w:r w:rsidRPr="00695EA5">
        <w:t>ew</w:t>
      </w:r>
      <w:proofErr w:type="gramEnd"/>
      <w:r w:rsidRPr="00695EA5">
        <w:t xml:space="preserve"> </w:t>
      </w:r>
      <w:proofErr w:type="spellStart"/>
      <w:r w:rsidRPr="00695EA5">
        <w:t>panamax</w:t>
      </w:r>
      <w:proofErr w:type="spellEnd"/>
      <w:r>
        <w:t xml:space="preserve"> (around 13,000 TEU)</w:t>
      </w:r>
      <w:r w:rsidRPr="00695EA5">
        <w:t xml:space="preserve"> to traverse th</w:t>
      </w:r>
      <w:r>
        <w:t xml:space="preserve">is route, meaning that old </w:t>
      </w:r>
      <w:proofErr w:type="spellStart"/>
      <w:r>
        <w:t>Panamaxes</w:t>
      </w:r>
      <w:proofErr w:type="spellEnd"/>
      <w:r>
        <w:t xml:space="preserve"> are being cascaded down to other routes. The problem is that their longer design makes them less</w:t>
      </w:r>
      <w:r w:rsidRPr="00E00A8C">
        <w:t xml:space="preserve"> suited to cascade down to m</w:t>
      </w:r>
      <w:r>
        <w:t>edium ports with shorter berths. This is reflected in a sharp drop in charter rates, for example a recently renewed charter dropping from $23,250 per day to only $9,900 (Lowry, 2014). Such rates are unsustainable and likely to result in such vessels being taken out of service eventually</w:t>
      </w:r>
      <w:r w:rsidR="007B6C7B">
        <w:t>, except in cases where it proves economic to have them widened</w:t>
      </w:r>
      <w:r>
        <w:t>.</w:t>
      </w:r>
    </w:p>
    <w:p w14:paraId="6CACCC97" w14:textId="77777777" w:rsidR="003074A8" w:rsidRDefault="003074A8" w:rsidP="003074A8">
      <w:pPr>
        <w:rPr>
          <w:szCs w:val="24"/>
        </w:rPr>
      </w:pPr>
      <w:r>
        <w:rPr>
          <w:szCs w:val="24"/>
        </w:rPr>
        <w:t xml:space="preserve">In addition to simply using up excess tonnage, shipping lines obviously prefer the economies of scale to be gained from larger vessels where possible. Regulatory influences that lead to increased fuel price (e.g. SECA regulations requiring the use of more expensive low </w:t>
      </w:r>
      <w:proofErr w:type="spellStart"/>
      <w:r>
        <w:rPr>
          <w:szCs w:val="24"/>
        </w:rPr>
        <w:t>sulphur</w:t>
      </w:r>
      <w:proofErr w:type="spellEnd"/>
      <w:r>
        <w:rPr>
          <w:szCs w:val="24"/>
        </w:rPr>
        <w:t xml:space="preserve"> fuel or the use of scrubbers) will also encourage this decision, as such investments are better spread over more containers hence fewer, larger ships are desirable. </w:t>
      </w:r>
      <w:r w:rsidRPr="006C6766">
        <w:rPr>
          <w:szCs w:val="24"/>
        </w:rPr>
        <w:t xml:space="preserve">Also, owners of older smaller feeders </w:t>
      </w:r>
      <w:r>
        <w:rPr>
          <w:szCs w:val="24"/>
        </w:rPr>
        <w:t xml:space="preserve">will be </w:t>
      </w:r>
      <w:r>
        <w:rPr>
          <w:szCs w:val="24"/>
        </w:rPr>
        <w:lastRenderedPageBreak/>
        <w:t>reluctant</w:t>
      </w:r>
      <w:r w:rsidRPr="006C6766">
        <w:rPr>
          <w:szCs w:val="24"/>
        </w:rPr>
        <w:t xml:space="preserve"> to invest in upgrading them so they will be moved elsewhere and newer feeders </w:t>
      </w:r>
      <w:r>
        <w:rPr>
          <w:szCs w:val="24"/>
        </w:rPr>
        <w:t xml:space="preserve">introduced </w:t>
      </w:r>
      <w:r w:rsidRPr="006C6766">
        <w:rPr>
          <w:szCs w:val="24"/>
        </w:rPr>
        <w:t>are likely to be larger.</w:t>
      </w:r>
    </w:p>
    <w:p w14:paraId="3C31B052" w14:textId="77777777" w:rsidR="003074A8" w:rsidRDefault="003074A8" w:rsidP="003074A8">
      <w:pPr>
        <w:rPr>
          <w:szCs w:val="24"/>
        </w:rPr>
      </w:pPr>
      <w:r>
        <w:rPr>
          <w:szCs w:val="24"/>
        </w:rPr>
        <w:t xml:space="preserve">From the perspective of small ports, cascading of vessels presents a much more serious problem. If even medium traffic routes can expect to be served by vessels too large for their traffic, the case is even more acute for the trades below them, currently served by vessels around 4,000 TEU. Below that level are 2-4,000 TEU routes, and, finally, small feeder routes currently served by sub-1,000 TEU vessels, which are the focus of this paper. </w:t>
      </w:r>
    </w:p>
    <w:p w14:paraId="5946102E" w14:textId="77777777" w:rsidR="003074A8" w:rsidRDefault="003074A8" w:rsidP="003074A8">
      <w:pPr>
        <w:rPr>
          <w:szCs w:val="24"/>
        </w:rPr>
      </w:pPr>
      <w:r>
        <w:rPr>
          <w:szCs w:val="24"/>
        </w:rPr>
        <w:t>Some ports are so small that it is not worth developing container vessel handling infra- and superstructure, so they are served by geared container vessels or by general cargo vessels with some container capacity handled with mobile cranes. These ports represent a different segment that will no doubt continue with this model. This paper addresses ports that are large enough that they are fully functional container ports already but are small enough that increasing ship size will affect them.</w:t>
      </w:r>
    </w:p>
    <w:p w14:paraId="6FE79F1B" w14:textId="77777777" w:rsidR="003074A8" w:rsidRDefault="003074A8" w:rsidP="003074A8">
      <w:pPr>
        <w:rPr>
          <w:szCs w:val="24"/>
        </w:rPr>
      </w:pPr>
      <w:r>
        <w:rPr>
          <w:szCs w:val="24"/>
        </w:rPr>
        <w:t>As noted above, t</w:t>
      </w:r>
      <w:r w:rsidRPr="00505ECE">
        <w:rPr>
          <w:szCs w:val="24"/>
        </w:rPr>
        <w:t>he introduction of new vessels on mainline routes can be expected to initiate a process whereby vessels cascade down to other trades</w:t>
      </w:r>
      <w:r>
        <w:rPr>
          <w:szCs w:val="24"/>
        </w:rPr>
        <w:t>, which may continue down to the smallest feeder routes</w:t>
      </w:r>
      <w:r w:rsidRPr="00505ECE">
        <w:rPr>
          <w:szCs w:val="24"/>
        </w:rPr>
        <w:t xml:space="preserve">. In addition, busy ports handling large vessels may not occupy valuable berth space with small feeder vessels below 1,000 TEU. Thus feeder routes linking </w:t>
      </w:r>
      <w:r>
        <w:rPr>
          <w:szCs w:val="24"/>
        </w:rPr>
        <w:t xml:space="preserve">small container ports with </w:t>
      </w:r>
      <w:proofErr w:type="spellStart"/>
      <w:r>
        <w:rPr>
          <w:szCs w:val="24"/>
        </w:rPr>
        <w:t>transhipment</w:t>
      </w:r>
      <w:proofErr w:type="spellEnd"/>
      <w:r>
        <w:rPr>
          <w:szCs w:val="24"/>
        </w:rPr>
        <w:t xml:space="preserve"> hubs </w:t>
      </w:r>
      <w:r w:rsidRPr="00505ECE">
        <w:rPr>
          <w:szCs w:val="24"/>
        </w:rPr>
        <w:t xml:space="preserve">may in future be served by </w:t>
      </w:r>
      <w:r>
        <w:rPr>
          <w:szCs w:val="24"/>
        </w:rPr>
        <w:t>“super feeders”</w:t>
      </w:r>
      <w:r w:rsidRPr="00505ECE">
        <w:rPr>
          <w:szCs w:val="24"/>
        </w:rPr>
        <w:t xml:space="preserve"> in the range of 2,000-4,000 TEU, which would mean some </w:t>
      </w:r>
      <w:r>
        <w:rPr>
          <w:szCs w:val="24"/>
        </w:rPr>
        <w:t>small</w:t>
      </w:r>
      <w:r w:rsidRPr="00505ECE">
        <w:rPr>
          <w:szCs w:val="24"/>
        </w:rPr>
        <w:t xml:space="preserve"> ports have insufficient handling capacity to accommodate </w:t>
      </w:r>
      <w:r>
        <w:rPr>
          <w:szCs w:val="24"/>
        </w:rPr>
        <w:t>them. As noted in previous research, s</w:t>
      </w:r>
      <w:r w:rsidRPr="00505ECE">
        <w:rPr>
          <w:szCs w:val="24"/>
        </w:rPr>
        <w:t>uch a situation would support the growth of regional second-tier hubs</w:t>
      </w:r>
      <w:r>
        <w:rPr>
          <w:szCs w:val="24"/>
        </w:rPr>
        <w:t xml:space="preserve"> linked to main hubs</w:t>
      </w:r>
      <w:r w:rsidRPr="00505ECE">
        <w:rPr>
          <w:szCs w:val="24"/>
        </w:rPr>
        <w:t>, which can then serve the smaller ports either by smaller feeders or even land transport (thus raising issues relating to the quality and capacity of hinterland infrastructur</w:t>
      </w:r>
      <w:r>
        <w:rPr>
          <w:szCs w:val="24"/>
        </w:rPr>
        <w:t xml:space="preserve">e links). The likely reality is a combination of the above strategies at different ports across the globe. This paper will </w:t>
      </w:r>
      <w:proofErr w:type="spellStart"/>
      <w:r>
        <w:rPr>
          <w:szCs w:val="24"/>
        </w:rPr>
        <w:t>analyse</w:t>
      </w:r>
      <w:proofErr w:type="spellEnd"/>
      <w:r>
        <w:rPr>
          <w:szCs w:val="24"/>
        </w:rPr>
        <w:t xml:space="preserve"> the relevant data to explore these possibilities and consider the future for small container ports as a result of these decisions.</w:t>
      </w:r>
    </w:p>
    <w:p w14:paraId="75DDFC7D" w14:textId="77777777" w:rsidR="003074A8" w:rsidRDefault="003074A8" w:rsidP="003074A8">
      <w:pPr>
        <w:pStyle w:val="Heading2"/>
      </w:pPr>
      <w:r>
        <w:t>4. Methodology</w:t>
      </w:r>
    </w:p>
    <w:p w14:paraId="602C4909" w14:textId="38FFDF26" w:rsidR="003074A8" w:rsidRDefault="003074A8" w:rsidP="003074A8">
      <w:r>
        <w:t xml:space="preserve">The methodology is based on analysis of secondary data. The first step is to </w:t>
      </w:r>
      <w:proofErr w:type="spellStart"/>
      <w:r>
        <w:t>analyse</w:t>
      </w:r>
      <w:proofErr w:type="spellEnd"/>
      <w:r>
        <w:t xml:space="preserve"> port calls by small container vessels (sub-1,000 TEU</w:t>
      </w:r>
      <w:r w:rsidRPr="00BE7A2B">
        <w:t>), to identify which ports</w:t>
      </w:r>
      <w:r>
        <w:t xml:space="preserve"> around the globe</w:t>
      </w:r>
      <w:r w:rsidRPr="00BE7A2B">
        <w:t xml:space="preserve"> are </w:t>
      </w:r>
      <w:r>
        <w:t>handling</w:t>
      </w:r>
      <w:r w:rsidRPr="00BE7A2B">
        <w:t xml:space="preserve"> them.</w:t>
      </w:r>
      <w:r>
        <w:t xml:space="preserve"> This has been done using a monthly sample of data from Lloyd’s List for all world ports collected during November 2014. Berth and channel depth</w:t>
      </w:r>
      <w:r w:rsidRPr="006741BE">
        <w:t xml:space="preserve"> </w:t>
      </w:r>
      <w:r>
        <w:t xml:space="preserve">were obtained from a range of sources. The database was based first on the World Ports Index (which is why the segmentation in the depth analysis is based on the WPI format), and then every port was checked against Lloyd’s List and </w:t>
      </w:r>
      <w:proofErr w:type="spellStart"/>
      <w:r>
        <w:t>FindaPort</w:t>
      </w:r>
      <w:proofErr w:type="spellEnd"/>
      <w:r>
        <w:t xml:space="preserve">. This was done for two reasons: first, to check for inaccuracies and correct where necessary, and second, because, in addition to channel depth, the specific depth of the largest container berth was needed. </w:t>
      </w:r>
      <w:r w:rsidR="00FE2C49" w:rsidRPr="00FE2C49">
        <w:t xml:space="preserve">The maximum container terminal berth depth was taken for all of the </w:t>
      </w:r>
      <w:r w:rsidR="00FE2C49" w:rsidRPr="00FE2C49">
        <w:lastRenderedPageBreak/>
        <w:t>ports (e.g. if a port has three container terminal berths of varying depths then the deepest was taken).</w:t>
      </w:r>
      <w:r w:rsidR="00FE2C49">
        <w:t xml:space="preserve"> </w:t>
      </w:r>
      <w:r>
        <w:t xml:space="preserve">In cases where the </w:t>
      </w:r>
      <w:r w:rsidR="000C5219">
        <w:t>value could not be confirmed fro</w:t>
      </w:r>
      <w:r>
        <w:t>m two sources it was removed from the dataset, therefore the channel depth analysis is based on 368 ports a</w:t>
      </w:r>
      <w:r w:rsidR="000C5219">
        <w:t>nd the berth depth on 420 ports, out of a total of 436 ports</w:t>
      </w:r>
      <w:r w:rsidR="002B5D5C">
        <w:t xml:space="preserve"> served by sub-1,000 TEU vessels</w:t>
      </w:r>
      <w:r w:rsidR="000C5219">
        <w:t>.</w:t>
      </w:r>
    </w:p>
    <w:p w14:paraId="1DFAC141" w14:textId="77777777" w:rsidR="003074A8" w:rsidRDefault="003074A8" w:rsidP="003074A8">
      <w:r>
        <w:t xml:space="preserve">The second step is </w:t>
      </w:r>
      <w:r w:rsidRPr="00151D06">
        <w:t xml:space="preserve">to identify the </w:t>
      </w:r>
      <w:r>
        <w:t xml:space="preserve">dimensions of the sub-1,000 TEU vessels in the sample. Due to varying ship designs, the same TEU capacity vessels may have different drafts, which is especially true for smaller vessels. Vessel dimensions were primarily obtained from Lloyd’s List, with some gaps filled by other sources such as Marine Traffic, </w:t>
      </w:r>
      <w:proofErr w:type="spellStart"/>
      <w:r>
        <w:t>Vesselfinder</w:t>
      </w:r>
      <w:proofErr w:type="spellEnd"/>
      <w:r>
        <w:t xml:space="preserve"> and </w:t>
      </w:r>
      <w:proofErr w:type="spellStart"/>
      <w:r>
        <w:t>Alphaliner</w:t>
      </w:r>
      <w:proofErr w:type="spellEnd"/>
      <w:r>
        <w:t>.</w:t>
      </w:r>
    </w:p>
    <w:p w14:paraId="6D5AECE2" w14:textId="0E32F84A" w:rsidR="003074A8" w:rsidRDefault="003074A8" w:rsidP="00CB5E15">
      <w:pPr>
        <w:rPr>
          <w:szCs w:val="24"/>
        </w:rPr>
      </w:pPr>
      <w:r>
        <w:t xml:space="preserve">The third step is to </w:t>
      </w:r>
      <w:proofErr w:type="spellStart"/>
      <w:r>
        <w:t>analyse</w:t>
      </w:r>
      <w:proofErr w:type="spellEnd"/>
      <w:r>
        <w:t xml:space="preserve"> the world fleet and order book</w:t>
      </w:r>
      <w:r w:rsidRPr="00151D06">
        <w:t xml:space="preserve"> by vessel size, to identify trends in smaller vessels being laid up, scrapped and not replaced.</w:t>
      </w:r>
      <w:r>
        <w:t xml:space="preserve"> These data were obtained from </w:t>
      </w:r>
      <w:proofErr w:type="spellStart"/>
      <w:r>
        <w:t>Containerisation</w:t>
      </w:r>
      <w:proofErr w:type="spellEnd"/>
      <w:r>
        <w:t xml:space="preserve"> International.</w:t>
      </w:r>
      <w:r w:rsidR="000A7C2E">
        <w:t xml:space="preserve"> </w:t>
      </w:r>
      <w:r>
        <w:t xml:space="preserve">Finally, the above results can be combined in order to determine what would happen to the sample of “at risk” ports if minimum vessel size increased. This is done by comparing port dimensions against vessel dimensions for a range of TEU capacity. </w:t>
      </w:r>
    </w:p>
    <w:p w14:paraId="543E8493" w14:textId="77777777" w:rsidR="003074A8" w:rsidRDefault="003074A8" w:rsidP="003074A8">
      <w:pPr>
        <w:pStyle w:val="Heading2"/>
      </w:pPr>
      <w:r>
        <w:t>5. Results</w:t>
      </w:r>
    </w:p>
    <w:p w14:paraId="7D70D995" w14:textId="748D0D0E" w:rsidR="003074A8" w:rsidRDefault="003074A8" w:rsidP="003074A8">
      <w:pPr>
        <w:pStyle w:val="Heading3"/>
      </w:pPr>
      <w:r>
        <w:t xml:space="preserve">5.1 </w:t>
      </w:r>
      <w:r w:rsidR="001F01C6">
        <w:t>World</w:t>
      </w:r>
      <w:r>
        <w:t xml:space="preserve"> ports currently se</w:t>
      </w:r>
      <w:r w:rsidR="00B77023">
        <w:t>rved by</w:t>
      </w:r>
      <w:r w:rsidRPr="00BE7A2B">
        <w:rPr>
          <w:szCs w:val="24"/>
        </w:rPr>
        <w:t xml:space="preserve"> </w:t>
      </w:r>
      <w:r>
        <w:rPr>
          <w:szCs w:val="24"/>
        </w:rPr>
        <w:t>sub-1,000 TEU</w:t>
      </w:r>
      <w:r w:rsidRPr="00BE7A2B">
        <w:rPr>
          <w:szCs w:val="24"/>
        </w:rPr>
        <w:t xml:space="preserve"> vessels</w:t>
      </w:r>
    </w:p>
    <w:p w14:paraId="11C22B93" w14:textId="32D3C476" w:rsidR="003074A8" w:rsidRDefault="003074A8" w:rsidP="003074A8">
      <w:r>
        <w:t xml:space="preserve">The first step is to </w:t>
      </w:r>
      <w:proofErr w:type="spellStart"/>
      <w:r>
        <w:t>analyse</w:t>
      </w:r>
      <w:proofErr w:type="spellEnd"/>
      <w:r>
        <w:t xml:space="preserve"> port calls by small vessels (sub-1,000 TEU)</w:t>
      </w:r>
      <w:r w:rsidRPr="00BE7A2B">
        <w:t xml:space="preserve"> to identify which ports are receiving them.</w:t>
      </w:r>
      <w:r>
        <w:t xml:space="preserve"> These results can then be segmented</w:t>
      </w:r>
      <w:r w:rsidR="00F15F14">
        <w:t xml:space="preserve"> into 0-499 TEU and 500-999 TEU</w:t>
      </w:r>
      <w:r>
        <w:t xml:space="preserve"> and ports grouped by geographic region.</w:t>
      </w:r>
      <w:r w:rsidRPr="002D344E">
        <w:t xml:space="preserve"> </w:t>
      </w:r>
      <w:r>
        <w:t>The dataset shows that in November 2014, 436 ports</w:t>
      </w:r>
      <w:r w:rsidR="006B4701">
        <w:t xml:space="preserve"> in 120 countries</w:t>
      </w:r>
      <w:r>
        <w:t xml:space="preserve"> </w:t>
      </w:r>
      <w:r w:rsidR="00F15F14">
        <w:t xml:space="preserve">were </w:t>
      </w:r>
      <w:r>
        <w:t>served</w:t>
      </w:r>
      <w:r w:rsidR="00F15F14">
        <w:t xml:space="preserve"> by</w:t>
      </w:r>
      <w:r>
        <w:t xml:space="preserve"> sub-1,000 TEU vessels</w:t>
      </w:r>
      <w:r w:rsidR="006B4701">
        <w:t xml:space="preserve">. </w:t>
      </w:r>
      <w:r>
        <w:t>The majority of countries only have</w:t>
      </w:r>
      <w:r w:rsidR="006B4701">
        <w:t xml:space="preserve"> 1-2 ports serving such vessels</w:t>
      </w:r>
      <w:r w:rsidR="003D7199">
        <w:t xml:space="preserve"> but</w:t>
      </w:r>
      <w:r w:rsidR="006B4701">
        <w:t xml:space="preserve"> 20 countries had 5 or more,</w:t>
      </w:r>
      <w:r w:rsidR="003D7199">
        <w:t xml:space="preserve"> while those with more than 10 were</w:t>
      </w:r>
      <w:r w:rsidR="006B4701">
        <w:t xml:space="preserve"> Japan 43, China 37, Indonesia 22, Spain 20, UK 17, Italy 15, Russia 13, Norway 12 and South Korea 11.</w:t>
      </w:r>
      <w:r w:rsidR="00943E34">
        <w:t xml:space="preserve"> </w:t>
      </w:r>
      <w:r>
        <w:t>Most of these countries have many small islands that will always need to be served by small port</w:t>
      </w:r>
      <w:r w:rsidR="00943E34">
        <w:t>s</w:t>
      </w:r>
      <w:r>
        <w:t xml:space="preserve">, which indeed places them at more risk of the issues discussed in this paper as they do not </w:t>
      </w:r>
      <w:r w:rsidR="000C5219">
        <w:t xml:space="preserve">always </w:t>
      </w:r>
      <w:r>
        <w:t>have larger ports on the same island.</w:t>
      </w:r>
    </w:p>
    <w:p w14:paraId="00EB03C6" w14:textId="64FCE22E" w:rsidR="003074A8" w:rsidRDefault="003074A8" w:rsidP="002A56D6">
      <w:pPr>
        <w:rPr>
          <w:szCs w:val="24"/>
        </w:rPr>
      </w:pPr>
      <w:r>
        <w:t xml:space="preserve">Feeder vessels link hub ports with small ports, </w:t>
      </w:r>
      <w:r w:rsidR="003D7199">
        <w:t>so a full list of ports served by sub-1,000 TEU vessels shows both</w:t>
      </w:r>
      <w:r w:rsidRPr="00254832">
        <w:t xml:space="preserve">. Therefore, the next step is to look at port depth to </w:t>
      </w:r>
      <w:r>
        <w:t>identify the smaller port</w:t>
      </w:r>
      <w:r w:rsidRPr="00254832">
        <w:t>s</w:t>
      </w:r>
      <w:r>
        <w:t>. Berth depth</w:t>
      </w:r>
      <w:r>
        <w:rPr>
          <w:rStyle w:val="FootnoteReference"/>
          <w:szCs w:val="24"/>
        </w:rPr>
        <w:footnoteReference w:id="1"/>
      </w:r>
      <w:r>
        <w:t xml:space="preserve"> across the sample is shown in </w:t>
      </w:r>
      <w:fldSimple w:instr=" REF _Ref413676153  \* MERGEFORMAT ">
        <w:r w:rsidR="00A12B83">
          <w:t>Figure 1</w:t>
        </w:r>
      </w:fldSimple>
      <w:r w:rsidRPr="00254832">
        <w:t>.</w:t>
      </w:r>
    </w:p>
    <w:p w14:paraId="52FC7102" w14:textId="77777777" w:rsidR="003074A8" w:rsidRDefault="003074A8" w:rsidP="002A56D6">
      <w:pPr>
        <w:spacing w:line="360" w:lineRule="auto"/>
        <w:jc w:val="center"/>
        <w:rPr>
          <w:szCs w:val="24"/>
        </w:rPr>
      </w:pPr>
      <w:r>
        <w:rPr>
          <w:noProof/>
          <w:lang w:val="en-GB" w:eastAsia="en-GB" w:bidi="ar-SA"/>
        </w:rPr>
        <w:lastRenderedPageBreak/>
        <w:drawing>
          <wp:inline distT="0" distB="0" distL="0" distR="0" wp14:anchorId="0D466CD3" wp14:editId="3578FFDB">
            <wp:extent cx="5448300" cy="28956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9884EC4" w14:textId="1A8F1DBA" w:rsidR="003074A8" w:rsidRDefault="003074A8" w:rsidP="00A12B83">
      <w:pPr>
        <w:pStyle w:val="TableFigureHeading"/>
        <w:spacing w:after="120"/>
      </w:pPr>
      <w:bookmarkStart w:id="1" w:name="_Ref413676153"/>
      <w:r>
        <w:t xml:space="preserve">Figure </w:t>
      </w:r>
      <w:r>
        <w:fldChar w:fldCharType="begin"/>
      </w:r>
      <w:r>
        <w:instrText xml:space="preserve"> SEQ Figure \* ARABIC </w:instrText>
      </w:r>
      <w:r>
        <w:fldChar w:fldCharType="separate"/>
      </w:r>
      <w:r w:rsidR="00A12B83">
        <w:rPr>
          <w:noProof/>
        </w:rPr>
        <w:t>1</w:t>
      </w:r>
      <w:r>
        <w:rPr>
          <w:noProof/>
        </w:rPr>
        <w:fldChar w:fldCharType="end"/>
      </w:r>
      <w:bookmarkEnd w:id="1"/>
      <w:r w:rsidR="00C34DBF">
        <w:t xml:space="preserve"> -</w:t>
      </w:r>
      <w:r>
        <w:t xml:space="preserve"> Berth depth at container ports handling sub-1,000 TEU vessels</w:t>
      </w:r>
    </w:p>
    <w:p w14:paraId="3FED884F" w14:textId="3890A4AC" w:rsidR="003074A8" w:rsidRDefault="003074A8" w:rsidP="00A12B83">
      <w:pPr>
        <w:spacing w:after="120"/>
        <w:rPr>
          <w:szCs w:val="24"/>
        </w:rPr>
      </w:pPr>
      <w:r>
        <w:t xml:space="preserve">The figure reveals a range of maximum berth depths at the </w:t>
      </w:r>
      <w:proofErr w:type="gramStart"/>
      <w:r>
        <w:t>ports,</w:t>
      </w:r>
      <w:proofErr w:type="gramEnd"/>
      <w:r>
        <w:t xml:space="preserve"> from 29 world ports with berth depth </w:t>
      </w:r>
      <w:r w:rsidR="0058021D">
        <w:t>less than</w:t>
      </w:r>
      <w:r>
        <w:t xml:space="preserve"> 7.6 </w:t>
      </w:r>
      <w:proofErr w:type="spellStart"/>
      <w:r>
        <w:t>metres</w:t>
      </w:r>
      <w:proofErr w:type="spellEnd"/>
      <w:r>
        <w:t xml:space="preserve"> to the handful of world container ports with very large depth</w:t>
      </w:r>
      <w:r w:rsidR="00180AE7">
        <w:t xml:space="preserve"> (</w:t>
      </w:r>
      <w:r w:rsidR="00C038C4">
        <w:t xml:space="preserve">around </w:t>
      </w:r>
      <w:r w:rsidR="00180AE7">
        <w:t>16m is required for t</w:t>
      </w:r>
      <w:r>
        <w:t>he largest class of current container vessels</w:t>
      </w:r>
      <w:r w:rsidR="00C038C4">
        <w:t>)</w:t>
      </w:r>
      <w:r>
        <w:t>. Channel depth is more significant (</w:t>
      </w:r>
      <w:fldSimple w:instr=" REF _Ref413676205  \* MERGEFORMAT ">
        <w:r w:rsidR="00A12B83">
          <w:t>Figure 2</w:t>
        </w:r>
      </w:fldSimple>
      <w:r>
        <w:t>), as deepening a berth is a smaller task than dredging an entire access channel.</w:t>
      </w:r>
    </w:p>
    <w:p w14:paraId="1693110C" w14:textId="3A5878F8" w:rsidR="003074A8" w:rsidRDefault="003074A8" w:rsidP="00A12B83">
      <w:pPr>
        <w:spacing w:after="0" w:line="360" w:lineRule="auto"/>
        <w:jc w:val="center"/>
        <w:rPr>
          <w:szCs w:val="24"/>
        </w:rPr>
      </w:pPr>
      <w:r>
        <w:rPr>
          <w:noProof/>
          <w:lang w:val="en-GB" w:eastAsia="en-GB" w:bidi="ar-SA"/>
        </w:rPr>
        <w:drawing>
          <wp:inline distT="0" distB="0" distL="0" distR="0" wp14:anchorId="0CABF62C" wp14:editId="50B77F0C">
            <wp:extent cx="5381625" cy="2705100"/>
            <wp:effectExtent l="0" t="0" r="95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01C4BD" w14:textId="2478E921" w:rsidR="003074A8" w:rsidRDefault="003074A8" w:rsidP="00C34DBF">
      <w:pPr>
        <w:pStyle w:val="TableFigureHeading"/>
      </w:pPr>
      <w:bookmarkStart w:id="2" w:name="_Ref413676205"/>
      <w:r>
        <w:t xml:space="preserve">Figure </w:t>
      </w:r>
      <w:r>
        <w:fldChar w:fldCharType="begin"/>
      </w:r>
      <w:r>
        <w:instrText xml:space="preserve"> SEQ Figure \* ARABIC </w:instrText>
      </w:r>
      <w:r>
        <w:fldChar w:fldCharType="separate"/>
      </w:r>
      <w:r w:rsidR="00A12B83">
        <w:rPr>
          <w:noProof/>
        </w:rPr>
        <w:t>2</w:t>
      </w:r>
      <w:r>
        <w:rPr>
          <w:noProof/>
        </w:rPr>
        <w:fldChar w:fldCharType="end"/>
      </w:r>
      <w:bookmarkEnd w:id="2"/>
      <w:r w:rsidR="00C34DBF">
        <w:t xml:space="preserve"> -</w:t>
      </w:r>
      <w:r>
        <w:t xml:space="preserve"> Channel depth at container ports handling sub-1,000 TEU vessels</w:t>
      </w:r>
    </w:p>
    <w:p w14:paraId="1A273205" w14:textId="29C7FA37" w:rsidR="003074A8" w:rsidRPr="002D344E" w:rsidRDefault="003074A8" w:rsidP="00A12B83">
      <w:pPr>
        <w:spacing w:after="120"/>
      </w:pPr>
      <w:r>
        <w:t xml:space="preserve">Channel depth is a difficult dataset to </w:t>
      </w:r>
      <w:proofErr w:type="spellStart"/>
      <w:r>
        <w:t>analyse</w:t>
      </w:r>
      <w:proofErr w:type="spellEnd"/>
      <w:r>
        <w:t xml:space="preserve">, because the tidal variation may add a few </w:t>
      </w:r>
      <w:proofErr w:type="spellStart"/>
      <w:r>
        <w:t>metres</w:t>
      </w:r>
      <w:proofErr w:type="spellEnd"/>
      <w:r>
        <w:t xml:space="preserve"> to the actual </w:t>
      </w:r>
      <w:r w:rsidR="00B93D43">
        <w:t>draft</w:t>
      </w:r>
      <w:r>
        <w:t xml:space="preserve"> of vessels that may use the channel. An interesting result from the data is that, at the </w:t>
      </w:r>
      <w:r>
        <w:lastRenderedPageBreak/>
        <w:t xml:space="preserve">deeper end of the spectrum, more ports have deep access channels than have deep berths, due to naturally deep water locations as opposed to those that have been dredged. As regards the focus of this paper, the data show that a significant minority of ports have rather shallow access channels (36 container ports less than 7.6m). The next step is to </w:t>
      </w:r>
      <w:proofErr w:type="spellStart"/>
      <w:r>
        <w:t>analyse</w:t>
      </w:r>
      <w:proofErr w:type="spellEnd"/>
      <w:r>
        <w:t xml:space="preserve"> vessel size and a later section will cross reference vessel </w:t>
      </w:r>
      <w:r w:rsidR="00B93D43">
        <w:t>draft</w:t>
      </w:r>
      <w:r>
        <w:t>s with the port depths above to identify ports at risk.</w:t>
      </w:r>
    </w:p>
    <w:p w14:paraId="3968E21E" w14:textId="66D83943" w:rsidR="003074A8" w:rsidRPr="002D344E" w:rsidRDefault="001F01C6" w:rsidP="003074A8">
      <w:pPr>
        <w:pStyle w:val="Heading3"/>
      </w:pPr>
      <w:r>
        <w:t>5.2 V</w:t>
      </w:r>
      <w:r w:rsidR="003074A8">
        <w:t>essel dimensions in the sub-1,000 TEU fleet</w:t>
      </w:r>
    </w:p>
    <w:p w14:paraId="07B77E48" w14:textId="4765BA32" w:rsidR="003074A8" w:rsidRDefault="003074A8" w:rsidP="005B0BCE">
      <w:pPr>
        <w:spacing w:after="120"/>
      </w:pPr>
      <w:r>
        <w:t xml:space="preserve">The second step is </w:t>
      </w:r>
      <w:r w:rsidRPr="00151D06">
        <w:t xml:space="preserve">to identify the </w:t>
      </w:r>
      <w:r>
        <w:t>dimensions of the sub-1,000 TEU vessels in the sample. Due to varying ship designs, the same TEU capacity vessels may have different drafts, which is espec</w:t>
      </w:r>
      <w:r w:rsidR="00FE2C49">
        <w:t>ially true for smaller vessels.</w:t>
      </w:r>
    </w:p>
    <w:p w14:paraId="25743A6B" w14:textId="7D5C6AB5" w:rsidR="003074A8" w:rsidRPr="008769F7" w:rsidRDefault="003074A8" w:rsidP="00A12B83">
      <w:pPr>
        <w:spacing w:after="120"/>
      </w:pPr>
      <w:r>
        <w:t xml:space="preserve">Section 5.1 showed </w:t>
      </w:r>
      <w:proofErr w:type="gramStart"/>
      <w:r>
        <w:t>berth</w:t>
      </w:r>
      <w:proofErr w:type="gramEnd"/>
      <w:r>
        <w:t xml:space="preserve"> and channel depth at all container ports currently served by sub-1,000 TEU vessels, revealing an average maximum berth depth of 12.3m</w:t>
      </w:r>
      <w:r w:rsidR="00D82BE6">
        <w:t>, with 90 ports out of 436 less than 9.1m and 29 ports less than</w:t>
      </w:r>
      <w:r>
        <w:t xml:space="preserve"> 7.6m. The sample of sub-1,000 TEU vessels shows an average length and beam of 127m and 20m, and an average design </w:t>
      </w:r>
      <w:r w:rsidR="00B93D43">
        <w:t>draft</w:t>
      </w:r>
      <w:r>
        <w:t xml:space="preserve"> of 7m. Compared to the new generation of ultra-large container ships with dimensions of around 400</w:t>
      </w:r>
      <w:r w:rsidRPr="00556274">
        <w:t>m</w:t>
      </w:r>
      <w:r>
        <w:t xml:space="preserve"> long,</w:t>
      </w:r>
      <w:r w:rsidRPr="00556274">
        <w:t xml:space="preserve"> 58m wid</w:t>
      </w:r>
      <w:r>
        <w:t>e</w:t>
      </w:r>
      <w:r w:rsidRPr="00556274">
        <w:t xml:space="preserve"> </w:t>
      </w:r>
      <w:r>
        <w:t>and</w:t>
      </w:r>
      <w:r w:rsidRPr="00556274">
        <w:t xml:space="preserve"> a</w:t>
      </w:r>
      <w:r>
        <w:t xml:space="preserve"> </w:t>
      </w:r>
      <w:r w:rsidR="00B93D43">
        <w:t>draft</w:t>
      </w:r>
      <w:r>
        <w:t xml:space="preserve"> of 16m, such vessels are around one-third the size, but since they carry only 5% of the containers, the economies of scale from larger vessels are obvious. Data analysis shows that length increases significantly with capacity, from an average of 115m at 500 TEU to 149m at 1,000 TEU. This may be significant for a small port, whereas an increase of beam (from 19m at 500 TEU to 23m at 1,000 TEU) tends to be less of a difficulty.</w:t>
      </w:r>
    </w:p>
    <w:p w14:paraId="38156085" w14:textId="4C24DDE5" w:rsidR="003074A8" w:rsidRDefault="003074A8" w:rsidP="00114522">
      <w:pPr>
        <w:spacing w:after="120" w:line="240" w:lineRule="auto"/>
        <w:rPr>
          <w:szCs w:val="24"/>
        </w:rPr>
      </w:pPr>
      <w:r w:rsidRPr="008769F7">
        <w:t xml:space="preserve">The key statistic for the analysis is the number of vessels at each </w:t>
      </w:r>
      <w:r w:rsidR="00B93D43">
        <w:t>draft</w:t>
      </w:r>
      <w:r w:rsidRPr="008769F7">
        <w:t xml:space="preserve"> range (</w:t>
      </w:r>
      <w:fldSimple w:instr=" REF _Ref413677026  \* MERGEFORMAT ">
        <w:r w:rsidR="00A12B83">
          <w:t xml:space="preserve">Figure </w:t>
        </w:r>
        <w:r w:rsidR="00A12B83">
          <w:rPr>
            <w:noProof/>
          </w:rPr>
          <w:t>3</w:t>
        </w:r>
      </w:fldSimple>
      <w:r w:rsidRPr="008769F7">
        <w:t>).</w:t>
      </w:r>
    </w:p>
    <w:p w14:paraId="272494D3" w14:textId="77777777" w:rsidR="003074A8" w:rsidRDefault="003074A8" w:rsidP="00A12B83">
      <w:pPr>
        <w:spacing w:after="0" w:line="360" w:lineRule="auto"/>
        <w:jc w:val="center"/>
        <w:rPr>
          <w:szCs w:val="24"/>
        </w:rPr>
      </w:pPr>
      <w:r>
        <w:rPr>
          <w:noProof/>
          <w:lang w:val="en-GB" w:eastAsia="en-GB" w:bidi="ar-SA"/>
        </w:rPr>
        <w:drawing>
          <wp:inline distT="0" distB="0" distL="0" distR="0" wp14:anchorId="40663FB8" wp14:editId="0AFAF9F4">
            <wp:extent cx="4857750" cy="22860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6E3992" w14:textId="7F6FE598" w:rsidR="003074A8" w:rsidRDefault="003074A8" w:rsidP="00A12B83">
      <w:pPr>
        <w:pStyle w:val="TableFigureHeading"/>
        <w:spacing w:line="240" w:lineRule="auto"/>
      </w:pPr>
      <w:bookmarkStart w:id="3" w:name="_Ref413677026"/>
      <w:r>
        <w:t xml:space="preserve">Figure </w:t>
      </w:r>
      <w:r>
        <w:fldChar w:fldCharType="begin"/>
      </w:r>
      <w:r>
        <w:instrText xml:space="preserve"> SEQ Figure \* ARABIC </w:instrText>
      </w:r>
      <w:r>
        <w:fldChar w:fldCharType="separate"/>
      </w:r>
      <w:r w:rsidR="00A12B83">
        <w:rPr>
          <w:noProof/>
        </w:rPr>
        <w:t>3</w:t>
      </w:r>
      <w:r>
        <w:rPr>
          <w:noProof/>
        </w:rPr>
        <w:fldChar w:fldCharType="end"/>
      </w:r>
      <w:bookmarkEnd w:id="3"/>
      <w:r w:rsidR="00C34DBF">
        <w:rPr>
          <w:noProof/>
        </w:rPr>
        <w:t xml:space="preserve"> -</w:t>
      </w:r>
      <w:r>
        <w:t xml:space="preserve"> Number of sub-1,000 TEU vessels at each </w:t>
      </w:r>
      <w:r w:rsidR="00B93D43">
        <w:t>draft</w:t>
      </w:r>
      <w:r>
        <w:t xml:space="preserve"> range</w:t>
      </w:r>
    </w:p>
    <w:p w14:paraId="7FD0A226" w14:textId="15A43DA0" w:rsidR="003074A8" w:rsidRDefault="003074A8" w:rsidP="00AE5478">
      <w:pPr>
        <w:spacing w:after="0"/>
        <w:rPr>
          <w:szCs w:val="24"/>
        </w:rPr>
      </w:pPr>
      <w:r>
        <w:t xml:space="preserve">The figure reveals that the range of </w:t>
      </w:r>
      <w:r w:rsidR="00B93D43">
        <w:t>draft</w:t>
      </w:r>
      <w:r>
        <w:t xml:space="preserve">s for the majority of sub-1,000 TEU vessels is around 6-9 </w:t>
      </w:r>
      <w:proofErr w:type="spellStart"/>
      <w:r>
        <w:t>metres</w:t>
      </w:r>
      <w:proofErr w:type="spellEnd"/>
      <w:r>
        <w:t xml:space="preserve">. This is the design </w:t>
      </w:r>
      <w:r w:rsidR="00B93D43">
        <w:t>draft</w:t>
      </w:r>
      <w:r>
        <w:t xml:space="preserve">, so the actual depth required in the port channel and berth is larger, but this will depend on other factors such as how heavily laden the vessel is, the use of the tide to get </w:t>
      </w:r>
      <w:r>
        <w:lastRenderedPageBreak/>
        <w:t xml:space="preserve">the vessels to and from the berth and whether suitable anchorage is available if the tide is missed. Looking at average design </w:t>
      </w:r>
      <w:r w:rsidR="00B93D43">
        <w:t>draft</w:t>
      </w:r>
      <w:r>
        <w:t xml:space="preserve"> over time (</w:t>
      </w:r>
      <w:fldSimple w:instr=" REF _Ref413677048  \* MERGEFORMAT ">
        <w:r w:rsidR="00A12B83">
          <w:t>Figure 4</w:t>
        </w:r>
      </w:fldSimple>
      <w:r>
        <w:t>), a large variation is in evidence, though with a downward trend for</w:t>
      </w:r>
      <w:r w:rsidR="00483077">
        <w:t xml:space="preserve"> more recent</w:t>
      </w:r>
      <w:r>
        <w:t xml:space="preserve"> 0-499 TEU vessels.</w:t>
      </w:r>
    </w:p>
    <w:p w14:paraId="01E9942E" w14:textId="77777777" w:rsidR="003074A8" w:rsidRDefault="003074A8" w:rsidP="00AE5478">
      <w:pPr>
        <w:spacing w:after="0" w:line="240" w:lineRule="auto"/>
        <w:jc w:val="center"/>
        <w:rPr>
          <w:szCs w:val="24"/>
        </w:rPr>
      </w:pPr>
      <w:r>
        <w:rPr>
          <w:noProof/>
          <w:lang w:val="en-GB" w:eastAsia="en-GB" w:bidi="ar-SA"/>
        </w:rPr>
        <w:drawing>
          <wp:inline distT="0" distB="0" distL="0" distR="0" wp14:anchorId="078BD408" wp14:editId="729D5D8D">
            <wp:extent cx="5715000" cy="26003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E64C4C" w14:textId="2E85D391" w:rsidR="003074A8" w:rsidRDefault="003074A8" w:rsidP="00AE5478">
      <w:pPr>
        <w:pStyle w:val="TableFigureHeading"/>
        <w:spacing w:after="120" w:line="240" w:lineRule="auto"/>
      </w:pPr>
      <w:bookmarkStart w:id="4" w:name="_Ref413677048"/>
      <w:r>
        <w:t xml:space="preserve">Figure </w:t>
      </w:r>
      <w:r>
        <w:fldChar w:fldCharType="begin"/>
      </w:r>
      <w:r>
        <w:instrText xml:space="preserve"> SEQ Figure \* ARABIC </w:instrText>
      </w:r>
      <w:r>
        <w:fldChar w:fldCharType="separate"/>
      </w:r>
      <w:r w:rsidR="00A12B83">
        <w:rPr>
          <w:noProof/>
        </w:rPr>
        <w:t>4</w:t>
      </w:r>
      <w:r>
        <w:rPr>
          <w:noProof/>
        </w:rPr>
        <w:fldChar w:fldCharType="end"/>
      </w:r>
      <w:bookmarkEnd w:id="4"/>
      <w:r w:rsidR="00C34DBF">
        <w:t xml:space="preserve"> -</w:t>
      </w:r>
      <w:r>
        <w:t xml:space="preserve"> Average design </w:t>
      </w:r>
      <w:r w:rsidR="00B93D43">
        <w:t>draft</w:t>
      </w:r>
      <w:r>
        <w:t xml:space="preserve"> over time for sub-1,000 TEU vessels</w:t>
      </w:r>
    </w:p>
    <w:p w14:paraId="6F66B336" w14:textId="77777777" w:rsidR="0041751F" w:rsidRDefault="0041751F" w:rsidP="00AE5478">
      <w:pPr>
        <w:spacing w:after="0"/>
      </w:pPr>
    </w:p>
    <w:p w14:paraId="2E7FB5FB" w14:textId="2198ED9B" w:rsidR="003074A8" w:rsidRDefault="003074A8" w:rsidP="00AE5478">
      <w:pPr>
        <w:spacing w:after="0"/>
        <w:rPr>
          <w:szCs w:val="24"/>
        </w:rPr>
      </w:pPr>
      <w:r>
        <w:t xml:space="preserve">Given, however, that there are far more vessels in the 500-999 TEU range, the overall average </w:t>
      </w:r>
      <w:r w:rsidR="00B93D43">
        <w:t>draft</w:t>
      </w:r>
      <w:r>
        <w:t xml:space="preserve"> of </w:t>
      </w:r>
      <w:proofErr w:type="spellStart"/>
      <w:r>
        <w:t>newbuilds</w:t>
      </w:r>
      <w:proofErr w:type="spellEnd"/>
      <w:r>
        <w:t xml:space="preserve"> in the entire sub-1,000 TEU sample has increased slightly over time. What is more relevant is the fact that </w:t>
      </w:r>
      <w:r w:rsidR="00B93D43">
        <w:t>draft</w:t>
      </w:r>
      <w:r>
        <w:t xml:space="preserve"> increases with capacity (</w:t>
      </w:r>
      <w:fldSimple w:instr=" REF _Ref413677073  \* MERGEFORMAT ">
        <w:r w:rsidR="00A12B83">
          <w:t>Figure 5</w:t>
        </w:r>
      </w:fldSimple>
      <w:r>
        <w:t>).</w:t>
      </w:r>
    </w:p>
    <w:p w14:paraId="74751A33" w14:textId="77777777" w:rsidR="003074A8" w:rsidRDefault="003074A8" w:rsidP="002A56D6">
      <w:pPr>
        <w:spacing w:line="360" w:lineRule="auto"/>
        <w:jc w:val="center"/>
        <w:rPr>
          <w:szCs w:val="24"/>
        </w:rPr>
      </w:pPr>
      <w:r>
        <w:rPr>
          <w:noProof/>
          <w:lang w:val="en-GB" w:eastAsia="en-GB" w:bidi="ar-SA"/>
        </w:rPr>
        <w:drawing>
          <wp:inline distT="0" distB="0" distL="0" distR="0" wp14:anchorId="567C4209" wp14:editId="11E6A8DF">
            <wp:extent cx="5629275" cy="27717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7B0353" w14:textId="67A7BC3B" w:rsidR="003074A8" w:rsidRDefault="003074A8" w:rsidP="00AE5478">
      <w:pPr>
        <w:pStyle w:val="TableFigureHeading"/>
        <w:spacing w:after="0" w:line="240" w:lineRule="auto"/>
      </w:pPr>
      <w:bookmarkStart w:id="5" w:name="_Ref413677073"/>
      <w:r>
        <w:t xml:space="preserve">Figure </w:t>
      </w:r>
      <w:r>
        <w:fldChar w:fldCharType="begin"/>
      </w:r>
      <w:r>
        <w:instrText xml:space="preserve"> SEQ Figure \* ARABIC </w:instrText>
      </w:r>
      <w:r>
        <w:fldChar w:fldCharType="separate"/>
      </w:r>
      <w:r w:rsidR="00A12B83">
        <w:rPr>
          <w:noProof/>
        </w:rPr>
        <w:t>5</w:t>
      </w:r>
      <w:r>
        <w:rPr>
          <w:noProof/>
        </w:rPr>
        <w:fldChar w:fldCharType="end"/>
      </w:r>
      <w:bookmarkEnd w:id="5"/>
      <w:r w:rsidR="00C34DBF">
        <w:t xml:space="preserve"> - </w:t>
      </w:r>
      <w:r>
        <w:t xml:space="preserve">Relation between design </w:t>
      </w:r>
      <w:r w:rsidR="00B93D43">
        <w:t>draft</w:t>
      </w:r>
      <w:r>
        <w:t xml:space="preserve"> and TEU capacity</w:t>
      </w:r>
    </w:p>
    <w:p w14:paraId="06A4BB3A" w14:textId="77777777" w:rsidR="007E2DFD" w:rsidRDefault="007E2DFD" w:rsidP="003074A8"/>
    <w:p w14:paraId="04895305" w14:textId="2C2F7062" w:rsidR="003074A8" w:rsidRDefault="003074A8" w:rsidP="003074A8">
      <w:r>
        <w:lastRenderedPageBreak/>
        <w:t>According to the line of best fit, an average</w:t>
      </w:r>
      <w:r w:rsidR="00866929">
        <w:t xml:space="preserve"> design</w:t>
      </w:r>
      <w:r>
        <w:t xml:space="preserve"> </w:t>
      </w:r>
      <w:r w:rsidR="00B93D43">
        <w:t>draft</w:t>
      </w:r>
      <w:r>
        <w:t xml:space="preserve"> of 8.7m is </w:t>
      </w:r>
      <w:r w:rsidR="00866929">
        <w:t>expected of</w:t>
      </w:r>
      <w:r>
        <w:t xml:space="preserve"> 1,000 TEU vessels</w:t>
      </w:r>
      <w:r w:rsidR="00866929">
        <w:t>, and that is not taking into account the maximum depth required by a fully laden vessel</w:t>
      </w:r>
      <w:r>
        <w:t>. Port analysis in a previous section indicated that around 90 of the sample ports did not meet this criteria, thus if vessels of this size and larger become the norm on feeder routes, such ports will face a challenge.</w:t>
      </w:r>
    </w:p>
    <w:p w14:paraId="4E1D35CC" w14:textId="6CDC5EFD" w:rsidR="003074A8" w:rsidRPr="002D344E" w:rsidRDefault="003074A8" w:rsidP="003074A8">
      <w:pPr>
        <w:pStyle w:val="Heading3"/>
      </w:pPr>
      <w:r w:rsidRPr="002D344E">
        <w:t xml:space="preserve">5.3 </w:t>
      </w:r>
      <w:r w:rsidR="001F01C6">
        <w:t>S</w:t>
      </w:r>
      <w:r>
        <w:t xml:space="preserve">tatus of the </w:t>
      </w:r>
      <w:r w:rsidRPr="002D344E">
        <w:t>sub-1,000 TEU world fleet</w:t>
      </w:r>
    </w:p>
    <w:p w14:paraId="51A5A35B" w14:textId="0124B525" w:rsidR="003074A8" w:rsidRDefault="003074A8" w:rsidP="003074A8">
      <w:r>
        <w:t xml:space="preserve">The third step is to </w:t>
      </w:r>
      <w:proofErr w:type="spellStart"/>
      <w:r>
        <w:t>analyse</w:t>
      </w:r>
      <w:proofErr w:type="spellEnd"/>
      <w:r>
        <w:t xml:space="preserve"> the w</w:t>
      </w:r>
      <w:r w:rsidRPr="00151D06">
        <w:t>orld fleet and order book by vessel size, to identify trends in smaller vessels being laid up, scrapped and not replaced.</w:t>
      </w:r>
      <w:r>
        <w:t xml:space="preserve"> </w:t>
      </w:r>
      <w:fldSimple w:instr=" REF _Ref413140497  \* MERGEFORMAT ">
        <w:r w:rsidR="00A12B83">
          <w:t>Table 1</w:t>
        </w:r>
      </w:fldSimple>
      <w:r>
        <w:t xml:space="preserve"> shows the current world fleet of cellular container vessels.</w:t>
      </w:r>
    </w:p>
    <w:p w14:paraId="66B0CCA9" w14:textId="4B2AD671" w:rsidR="003074A8" w:rsidRPr="009952EB" w:rsidRDefault="003074A8" w:rsidP="005372B1">
      <w:pPr>
        <w:pStyle w:val="TableFigureHeading"/>
        <w:rPr>
          <w:sz w:val="22"/>
        </w:rPr>
      </w:pPr>
      <w:bookmarkStart w:id="6" w:name="_Ref413140497"/>
      <w:r>
        <w:t xml:space="preserve">Table </w:t>
      </w:r>
      <w:r>
        <w:fldChar w:fldCharType="begin"/>
      </w:r>
      <w:r>
        <w:instrText xml:space="preserve"> SEQ Table \* ARABIC </w:instrText>
      </w:r>
      <w:r>
        <w:fldChar w:fldCharType="separate"/>
      </w:r>
      <w:r w:rsidR="00A12B83">
        <w:rPr>
          <w:noProof/>
        </w:rPr>
        <w:t>1</w:t>
      </w:r>
      <w:r>
        <w:rPr>
          <w:noProof/>
        </w:rPr>
        <w:fldChar w:fldCharType="end"/>
      </w:r>
      <w:bookmarkEnd w:id="6"/>
      <w:r w:rsidR="005372B1">
        <w:t xml:space="preserve"> -</w:t>
      </w:r>
      <w:r>
        <w:t xml:space="preserve"> World cellular fleet November 2014</w:t>
      </w:r>
    </w:p>
    <w:tbl>
      <w:tblPr>
        <w:tblStyle w:val="TableGrid1"/>
        <w:tblW w:w="9937" w:type="dxa"/>
        <w:jc w:val="center"/>
        <w:tblInd w:w="-459" w:type="dxa"/>
        <w:tblLook w:val="04A0" w:firstRow="1" w:lastRow="0" w:firstColumn="1" w:lastColumn="0" w:noHBand="0" w:noVBand="1"/>
      </w:tblPr>
      <w:tblGrid>
        <w:gridCol w:w="1504"/>
        <w:gridCol w:w="670"/>
        <w:gridCol w:w="1116"/>
        <w:gridCol w:w="661"/>
        <w:gridCol w:w="800"/>
        <w:gridCol w:w="664"/>
        <w:gridCol w:w="1016"/>
        <w:gridCol w:w="664"/>
        <w:gridCol w:w="1016"/>
        <w:gridCol w:w="810"/>
        <w:gridCol w:w="1016"/>
      </w:tblGrid>
      <w:tr w:rsidR="005372B1" w:rsidRPr="005372B1" w14:paraId="670DF8E8" w14:textId="77777777" w:rsidTr="002A56D6">
        <w:trPr>
          <w:jc w:val="center"/>
        </w:trPr>
        <w:tc>
          <w:tcPr>
            <w:tcW w:w="1504" w:type="dxa"/>
            <w:vMerge w:val="restart"/>
          </w:tcPr>
          <w:p w14:paraId="2980D3C3" w14:textId="77777777" w:rsidR="005372B1" w:rsidRPr="005372B1" w:rsidRDefault="005372B1" w:rsidP="005372B1">
            <w:pPr>
              <w:spacing w:after="0" w:line="360" w:lineRule="auto"/>
              <w:jc w:val="both"/>
              <w:rPr>
                <w:sz w:val="20"/>
                <w:szCs w:val="20"/>
                <w:lang w:bidi="ar-SA"/>
              </w:rPr>
            </w:pPr>
            <w:r w:rsidRPr="005372B1">
              <w:rPr>
                <w:sz w:val="20"/>
                <w:szCs w:val="20"/>
                <w:lang w:bidi="ar-SA"/>
              </w:rPr>
              <w:t>TEU range</w:t>
            </w:r>
          </w:p>
        </w:tc>
        <w:tc>
          <w:tcPr>
            <w:tcW w:w="1786" w:type="dxa"/>
            <w:gridSpan w:val="2"/>
          </w:tcPr>
          <w:p w14:paraId="4E48ADB1" w14:textId="77777777" w:rsidR="005372B1" w:rsidRPr="005372B1" w:rsidRDefault="005372B1" w:rsidP="005372B1">
            <w:pPr>
              <w:spacing w:after="0" w:line="360" w:lineRule="auto"/>
              <w:jc w:val="both"/>
              <w:rPr>
                <w:sz w:val="20"/>
                <w:szCs w:val="20"/>
                <w:lang w:bidi="ar-SA"/>
              </w:rPr>
            </w:pPr>
            <w:r w:rsidRPr="005372B1">
              <w:rPr>
                <w:sz w:val="20"/>
                <w:szCs w:val="20"/>
                <w:lang w:bidi="ar-SA"/>
              </w:rPr>
              <w:t>In service</w:t>
            </w:r>
          </w:p>
          <w:p w14:paraId="553C2E93" w14:textId="77777777" w:rsidR="005372B1" w:rsidRPr="005372B1" w:rsidRDefault="005372B1" w:rsidP="005372B1">
            <w:pPr>
              <w:spacing w:after="0" w:line="360" w:lineRule="auto"/>
              <w:jc w:val="both"/>
              <w:rPr>
                <w:sz w:val="20"/>
                <w:szCs w:val="20"/>
                <w:lang w:bidi="ar-SA"/>
              </w:rPr>
            </w:pPr>
            <w:r w:rsidRPr="005372B1">
              <w:rPr>
                <w:sz w:val="20"/>
                <w:szCs w:val="20"/>
                <w:lang w:bidi="ar-SA"/>
              </w:rPr>
              <w:t>Nov 2014</w:t>
            </w:r>
          </w:p>
        </w:tc>
        <w:tc>
          <w:tcPr>
            <w:tcW w:w="1461" w:type="dxa"/>
            <w:gridSpan w:val="2"/>
          </w:tcPr>
          <w:p w14:paraId="00D39DFD" w14:textId="77777777" w:rsidR="005372B1" w:rsidRPr="005372B1" w:rsidRDefault="005372B1" w:rsidP="005372B1">
            <w:pPr>
              <w:spacing w:after="0" w:line="360" w:lineRule="auto"/>
              <w:jc w:val="both"/>
              <w:rPr>
                <w:sz w:val="20"/>
                <w:szCs w:val="20"/>
                <w:lang w:bidi="ar-SA"/>
              </w:rPr>
            </w:pPr>
            <w:r w:rsidRPr="005372B1">
              <w:rPr>
                <w:sz w:val="20"/>
                <w:szCs w:val="20"/>
                <w:lang w:bidi="ar-SA"/>
              </w:rPr>
              <w:t>On order</w:t>
            </w:r>
          </w:p>
          <w:p w14:paraId="5160AB8E" w14:textId="77777777" w:rsidR="005372B1" w:rsidRPr="005372B1" w:rsidRDefault="005372B1" w:rsidP="005372B1">
            <w:pPr>
              <w:spacing w:after="0" w:line="360" w:lineRule="auto"/>
              <w:jc w:val="both"/>
              <w:rPr>
                <w:sz w:val="20"/>
                <w:szCs w:val="20"/>
                <w:lang w:bidi="ar-SA"/>
              </w:rPr>
            </w:pPr>
            <w:r w:rsidRPr="005372B1">
              <w:rPr>
                <w:sz w:val="20"/>
                <w:szCs w:val="20"/>
                <w:lang w:bidi="ar-SA"/>
              </w:rPr>
              <w:t>2014</w:t>
            </w:r>
          </w:p>
        </w:tc>
        <w:tc>
          <w:tcPr>
            <w:tcW w:w="1680" w:type="dxa"/>
            <w:gridSpan w:val="2"/>
          </w:tcPr>
          <w:p w14:paraId="04A24CB8" w14:textId="77777777" w:rsidR="005372B1" w:rsidRPr="005372B1" w:rsidRDefault="005372B1" w:rsidP="005372B1">
            <w:pPr>
              <w:spacing w:after="0" w:line="360" w:lineRule="auto"/>
              <w:jc w:val="both"/>
              <w:rPr>
                <w:sz w:val="20"/>
                <w:szCs w:val="20"/>
                <w:lang w:bidi="ar-SA"/>
              </w:rPr>
            </w:pPr>
            <w:r w:rsidRPr="005372B1">
              <w:rPr>
                <w:sz w:val="20"/>
                <w:szCs w:val="20"/>
                <w:lang w:bidi="ar-SA"/>
              </w:rPr>
              <w:t>On order</w:t>
            </w:r>
          </w:p>
          <w:p w14:paraId="6165DD86" w14:textId="77777777" w:rsidR="005372B1" w:rsidRPr="005372B1" w:rsidRDefault="005372B1" w:rsidP="005372B1">
            <w:pPr>
              <w:spacing w:after="0" w:line="360" w:lineRule="auto"/>
              <w:jc w:val="both"/>
              <w:rPr>
                <w:sz w:val="20"/>
                <w:szCs w:val="20"/>
                <w:lang w:bidi="ar-SA"/>
              </w:rPr>
            </w:pPr>
            <w:r w:rsidRPr="005372B1">
              <w:rPr>
                <w:sz w:val="20"/>
                <w:szCs w:val="20"/>
                <w:lang w:bidi="ar-SA"/>
              </w:rPr>
              <w:t>2015</w:t>
            </w:r>
          </w:p>
        </w:tc>
        <w:tc>
          <w:tcPr>
            <w:tcW w:w="1680" w:type="dxa"/>
            <w:gridSpan w:val="2"/>
          </w:tcPr>
          <w:p w14:paraId="1BF03DBE" w14:textId="77777777" w:rsidR="005372B1" w:rsidRPr="005372B1" w:rsidRDefault="005372B1" w:rsidP="005372B1">
            <w:pPr>
              <w:spacing w:after="0" w:line="360" w:lineRule="auto"/>
              <w:jc w:val="both"/>
              <w:rPr>
                <w:sz w:val="20"/>
                <w:szCs w:val="20"/>
                <w:lang w:bidi="ar-SA"/>
              </w:rPr>
            </w:pPr>
            <w:r w:rsidRPr="005372B1">
              <w:rPr>
                <w:sz w:val="20"/>
                <w:szCs w:val="20"/>
                <w:lang w:bidi="ar-SA"/>
              </w:rPr>
              <w:t>On order</w:t>
            </w:r>
          </w:p>
          <w:p w14:paraId="6A7D5040" w14:textId="77777777" w:rsidR="005372B1" w:rsidRPr="005372B1" w:rsidRDefault="005372B1" w:rsidP="005372B1">
            <w:pPr>
              <w:spacing w:after="0" w:line="360" w:lineRule="auto"/>
              <w:jc w:val="both"/>
              <w:rPr>
                <w:sz w:val="20"/>
                <w:szCs w:val="20"/>
                <w:lang w:bidi="ar-SA"/>
              </w:rPr>
            </w:pPr>
            <w:r w:rsidRPr="005372B1">
              <w:rPr>
                <w:sz w:val="20"/>
                <w:szCs w:val="20"/>
                <w:lang w:bidi="ar-SA"/>
              </w:rPr>
              <w:t>2016+</w:t>
            </w:r>
          </w:p>
        </w:tc>
        <w:tc>
          <w:tcPr>
            <w:tcW w:w="810" w:type="dxa"/>
            <w:vMerge w:val="restart"/>
          </w:tcPr>
          <w:p w14:paraId="647CAA39" w14:textId="77777777" w:rsidR="005372B1" w:rsidRPr="005372B1" w:rsidRDefault="005372B1" w:rsidP="005372B1">
            <w:pPr>
              <w:spacing w:after="0" w:line="360" w:lineRule="auto"/>
              <w:jc w:val="both"/>
              <w:rPr>
                <w:sz w:val="20"/>
                <w:szCs w:val="20"/>
                <w:lang w:bidi="ar-SA"/>
              </w:rPr>
            </w:pPr>
            <w:r w:rsidRPr="005372B1">
              <w:rPr>
                <w:sz w:val="20"/>
                <w:szCs w:val="20"/>
                <w:lang w:bidi="ar-SA"/>
              </w:rPr>
              <w:t>Total vessels on order</w:t>
            </w:r>
          </w:p>
        </w:tc>
        <w:tc>
          <w:tcPr>
            <w:tcW w:w="1016" w:type="dxa"/>
            <w:vMerge w:val="restart"/>
          </w:tcPr>
          <w:p w14:paraId="1D9B3A08" w14:textId="77777777" w:rsidR="005372B1" w:rsidRPr="005372B1" w:rsidRDefault="005372B1" w:rsidP="005372B1">
            <w:pPr>
              <w:spacing w:after="0" w:line="360" w:lineRule="auto"/>
              <w:jc w:val="both"/>
              <w:rPr>
                <w:sz w:val="20"/>
                <w:szCs w:val="20"/>
                <w:lang w:bidi="ar-SA"/>
              </w:rPr>
            </w:pPr>
            <w:r w:rsidRPr="005372B1">
              <w:rPr>
                <w:sz w:val="20"/>
                <w:szCs w:val="20"/>
                <w:lang w:bidi="ar-SA"/>
              </w:rPr>
              <w:t>Total TEU on order</w:t>
            </w:r>
          </w:p>
        </w:tc>
      </w:tr>
      <w:tr w:rsidR="005372B1" w:rsidRPr="005372B1" w14:paraId="68EB4A80" w14:textId="77777777" w:rsidTr="002A56D6">
        <w:trPr>
          <w:jc w:val="center"/>
        </w:trPr>
        <w:tc>
          <w:tcPr>
            <w:tcW w:w="1504" w:type="dxa"/>
            <w:vMerge/>
          </w:tcPr>
          <w:p w14:paraId="1E12B85F" w14:textId="77777777" w:rsidR="005372B1" w:rsidRPr="005372B1" w:rsidRDefault="005372B1" w:rsidP="005372B1">
            <w:pPr>
              <w:spacing w:after="0" w:line="360" w:lineRule="auto"/>
              <w:jc w:val="both"/>
              <w:rPr>
                <w:sz w:val="20"/>
                <w:szCs w:val="20"/>
                <w:lang w:bidi="ar-SA"/>
              </w:rPr>
            </w:pPr>
          </w:p>
        </w:tc>
        <w:tc>
          <w:tcPr>
            <w:tcW w:w="670" w:type="dxa"/>
          </w:tcPr>
          <w:p w14:paraId="4F37D10E" w14:textId="77777777" w:rsidR="005372B1" w:rsidRPr="005372B1" w:rsidRDefault="005372B1" w:rsidP="005372B1">
            <w:pPr>
              <w:spacing w:after="0" w:line="360" w:lineRule="auto"/>
              <w:jc w:val="both"/>
              <w:rPr>
                <w:sz w:val="20"/>
                <w:szCs w:val="20"/>
                <w:lang w:bidi="ar-SA"/>
              </w:rPr>
            </w:pPr>
            <w:r w:rsidRPr="005372B1">
              <w:rPr>
                <w:sz w:val="20"/>
                <w:szCs w:val="20"/>
                <w:lang w:bidi="ar-SA"/>
              </w:rPr>
              <w:t>No.</w:t>
            </w:r>
          </w:p>
        </w:tc>
        <w:tc>
          <w:tcPr>
            <w:tcW w:w="1116" w:type="dxa"/>
          </w:tcPr>
          <w:p w14:paraId="2B5BD6EF" w14:textId="77777777" w:rsidR="005372B1" w:rsidRPr="005372B1" w:rsidRDefault="005372B1" w:rsidP="005372B1">
            <w:pPr>
              <w:spacing w:after="0" w:line="360" w:lineRule="auto"/>
              <w:jc w:val="both"/>
              <w:rPr>
                <w:sz w:val="20"/>
                <w:szCs w:val="20"/>
                <w:lang w:bidi="ar-SA"/>
              </w:rPr>
            </w:pPr>
            <w:r w:rsidRPr="005372B1">
              <w:rPr>
                <w:sz w:val="20"/>
                <w:szCs w:val="20"/>
                <w:lang w:bidi="ar-SA"/>
              </w:rPr>
              <w:t>TEU</w:t>
            </w:r>
          </w:p>
        </w:tc>
        <w:tc>
          <w:tcPr>
            <w:tcW w:w="661" w:type="dxa"/>
          </w:tcPr>
          <w:p w14:paraId="7D516849" w14:textId="77777777" w:rsidR="005372B1" w:rsidRPr="005372B1" w:rsidRDefault="005372B1" w:rsidP="005372B1">
            <w:pPr>
              <w:spacing w:after="0" w:line="360" w:lineRule="auto"/>
              <w:jc w:val="both"/>
              <w:rPr>
                <w:sz w:val="20"/>
                <w:szCs w:val="20"/>
                <w:lang w:bidi="ar-SA"/>
              </w:rPr>
            </w:pPr>
            <w:r w:rsidRPr="005372B1">
              <w:rPr>
                <w:sz w:val="20"/>
                <w:szCs w:val="20"/>
                <w:lang w:bidi="ar-SA"/>
              </w:rPr>
              <w:t>No.</w:t>
            </w:r>
          </w:p>
        </w:tc>
        <w:tc>
          <w:tcPr>
            <w:tcW w:w="800" w:type="dxa"/>
          </w:tcPr>
          <w:p w14:paraId="371AB414" w14:textId="77777777" w:rsidR="005372B1" w:rsidRPr="005372B1" w:rsidRDefault="005372B1" w:rsidP="005372B1">
            <w:pPr>
              <w:spacing w:after="0" w:line="360" w:lineRule="auto"/>
              <w:jc w:val="both"/>
              <w:rPr>
                <w:sz w:val="20"/>
                <w:szCs w:val="20"/>
                <w:lang w:bidi="ar-SA"/>
              </w:rPr>
            </w:pPr>
            <w:r w:rsidRPr="005372B1">
              <w:rPr>
                <w:sz w:val="20"/>
                <w:szCs w:val="20"/>
                <w:lang w:bidi="ar-SA"/>
              </w:rPr>
              <w:t>TEU</w:t>
            </w:r>
          </w:p>
        </w:tc>
        <w:tc>
          <w:tcPr>
            <w:tcW w:w="664" w:type="dxa"/>
          </w:tcPr>
          <w:p w14:paraId="167B2AFA" w14:textId="77777777" w:rsidR="005372B1" w:rsidRPr="005372B1" w:rsidRDefault="005372B1" w:rsidP="005372B1">
            <w:pPr>
              <w:spacing w:after="0" w:line="360" w:lineRule="auto"/>
              <w:jc w:val="both"/>
              <w:rPr>
                <w:sz w:val="20"/>
                <w:szCs w:val="20"/>
                <w:lang w:bidi="ar-SA"/>
              </w:rPr>
            </w:pPr>
            <w:r w:rsidRPr="005372B1">
              <w:rPr>
                <w:sz w:val="20"/>
                <w:szCs w:val="20"/>
                <w:lang w:bidi="ar-SA"/>
              </w:rPr>
              <w:t>No.</w:t>
            </w:r>
          </w:p>
        </w:tc>
        <w:tc>
          <w:tcPr>
            <w:tcW w:w="1016" w:type="dxa"/>
          </w:tcPr>
          <w:p w14:paraId="0E2C65C8" w14:textId="77777777" w:rsidR="005372B1" w:rsidRPr="005372B1" w:rsidRDefault="005372B1" w:rsidP="005372B1">
            <w:pPr>
              <w:spacing w:after="0" w:line="360" w:lineRule="auto"/>
              <w:jc w:val="both"/>
              <w:rPr>
                <w:sz w:val="20"/>
                <w:szCs w:val="20"/>
                <w:lang w:bidi="ar-SA"/>
              </w:rPr>
            </w:pPr>
            <w:r w:rsidRPr="005372B1">
              <w:rPr>
                <w:sz w:val="20"/>
                <w:szCs w:val="20"/>
                <w:lang w:bidi="ar-SA"/>
              </w:rPr>
              <w:t>TEU</w:t>
            </w:r>
          </w:p>
        </w:tc>
        <w:tc>
          <w:tcPr>
            <w:tcW w:w="664" w:type="dxa"/>
          </w:tcPr>
          <w:p w14:paraId="58495C88" w14:textId="77777777" w:rsidR="005372B1" w:rsidRPr="005372B1" w:rsidRDefault="005372B1" w:rsidP="005372B1">
            <w:pPr>
              <w:spacing w:after="0" w:line="360" w:lineRule="auto"/>
              <w:jc w:val="both"/>
              <w:rPr>
                <w:sz w:val="20"/>
                <w:szCs w:val="20"/>
                <w:lang w:bidi="ar-SA"/>
              </w:rPr>
            </w:pPr>
            <w:r w:rsidRPr="005372B1">
              <w:rPr>
                <w:sz w:val="20"/>
                <w:szCs w:val="20"/>
                <w:lang w:bidi="ar-SA"/>
              </w:rPr>
              <w:t>No.</w:t>
            </w:r>
          </w:p>
        </w:tc>
        <w:tc>
          <w:tcPr>
            <w:tcW w:w="1016" w:type="dxa"/>
          </w:tcPr>
          <w:p w14:paraId="116FB410" w14:textId="77777777" w:rsidR="005372B1" w:rsidRPr="005372B1" w:rsidRDefault="005372B1" w:rsidP="005372B1">
            <w:pPr>
              <w:spacing w:after="0" w:line="360" w:lineRule="auto"/>
              <w:jc w:val="both"/>
              <w:rPr>
                <w:sz w:val="20"/>
                <w:szCs w:val="20"/>
                <w:lang w:bidi="ar-SA"/>
              </w:rPr>
            </w:pPr>
            <w:r w:rsidRPr="005372B1">
              <w:rPr>
                <w:sz w:val="20"/>
                <w:szCs w:val="20"/>
                <w:lang w:bidi="ar-SA"/>
              </w:rPr>
              <w:t>TEU</w:t>
            </w:r>
          </w:p>
        </w:tc>
        <w:tc>
          <w:tcPr>
            <w:tcW w:w="810" w:type="dxa"/>
            <w:vMerge/>
          </w:tcPr>
          <w:p w14:paraId="055B7773" w14:textId="77777777" w:rsidR="005372B1" w:rsidRPr="005372B1" w:rsidRDefault="005372B1" w:rsidP="005372B1">
            <w:pPr>
              <w:spacing w:after="0" w:line="360" w:lineRule="auto"/>
              <w:jc w:val="both"/>
              <w:rPr>
                <w:sz w:val="20"/>
                <w:szCs w:val="20"/>
                <w:lang w:bidi="ar-SA"/>
              </w:rPr>
            </w:pPr>
          </w:p>
        </w:tc>
        <w:tc>
          <w:tcPr>
            <w:tcW w:w="1016" w:type="dxa"/>
            <w:vMerge/>
          </w:tcPr>
          <w:p w14:paraId="21021BA5" w14:textId="77777777" w:rsidR="005372B1" w:rsidRPr="005372B1" w:rsidRDefault="005372B1" w:rsidP="005372B1">
            <w:pPr>
              <w:spacing w:after="0" w:line="360" w:lineRule="auto"/>
              <w:jc w:val="both"/>
              <w:rPr>
                <w:sz w:val="20"/>
                <w:szCs w:val="20"/>
                <w:lang w:bidi="ar-SA"/>
              </w:rPr>
            </w:pPr>
          </w:p>
        </w:tc>
      </w:tr>
      <w:tr w:rsidR="005372B1" w:rsidRPr="005372B1" w14:paraId="0CF59DE6" w14:textId="77777777" w:rsidTr="002A56D6">
        <w:trPr>
          <w:jc w:val="center"/>
        </w:trPr>
        <w:tc>
          <w:tcPr>
            <w:tcW w:w="1504" w:type="dxa"/>
          </w:tcPr>
          <w:p w14:paraId="25960E3B" w14:textId="77777777" w:rsidR="005372B1" w:rsidRPr="005372B1" w:rsidRDefault="005372B1" w:rsidP="005372B1">
            <w:pPr>
              <w:spacing w:after="0" w:line="360" w:lineRule="auto"/>
              <w:jc w:val="both"/>
              <w:rPr>
                <w:sz w:val="20"/>
                <w:szCs w:val="20"/>
                <w:lang w:bidi="ar-SA"/>
              </w:rPr>
            </w:pPr>
            <w:r w:rsidRPr="005372B1">
              <w:rPr>
                <w:sz w:val="20"/>
                <w:szCs w:val="20"/>
                <w:lang w:bidi="ar-SA"/>
              </w:rPr>
              <w:t>0-499</w:t>
            </w:r>
          </w:p>
        </w:tc>
        <w:tc>
          <w:tcPr>
            <w:tcW w:w="670" w:type="dxa"/>
          </w:tcPr>
          <w:p w14:paraId="08ACBF55" w14:textId="77777777" w:rsidR="005372B1" w:rsidRPr="005372B1" w:rsidRDefault="005372B1" w:rsidP="005372B1">
            <w:pPr>
              <w:spacing w:after="0" w:line="360" w:lineRule="auto"/>
              <w:jc w:val="both"/>
              <w:rPr>
                <w:sz w:val="20"/>
                <w:szCs w:val="20"/>
                <w:lang w:bidi="ar-SA"/>
              </w:rPr>
            </w:pPr>
            <w:r w:rsidRPr="005372B1">
              <w:rPr>
                <w:sz w:val="20"/>
                <w:szCs w:val="20"/>
                <w:lang w:bidi="ar-SA"/>
              </w:rPr>
              <w:t>322</w:t>
            </w:r>
          </w:p>
        </w:tc>
        <w:tc>
          <w:tcPr>
            <w:tcW w:w="1116" w:type="dxa"/>
          </w:tcPr>
          <w:p w14:paraId="6634E7CF" w14:textId="77777777" w:rsidR="005372B1" w:rsidRPr="005372B1" w:rsidRDefault="005372B1" w:rsidP="005372B1">
            <w:pPr>
              <w:spacing w:after="0" w:line="360" w:lineRule="auto"/>
              <w:jc w:val="both"/>
              <w:rPr>
                <w:sz w:val="20"/>
                <w:szCs w:val="20"/>
                <w:lang w:bidi="ar-SA"/>
              </w:rPr>
            </w:pPr>
            <w:r w:rsidRPr="005372B1">
              <w:rPr>
                <w:sz w:val="20"/>
                <w:szCs w:val="20"/>
                <w:lang w:bidi="ar-SA"/>
              </w:rPr>
              <w:t>87,839</w:t>
            </w:r>
          </w:p>
        </w:tc>
        <w:tc>
          <w:tcPr>
            <w:tcW w:w="661" w:type="dxa"/>
          </w:tcPr>
          <w:p w14:paraId="16ADD86D"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800" w:type="dxa"/>
          </w:tcPr>
          <w:p w14:paraId="26549A7A"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664" w:type="dxa"/>
          </w:tcPr>
          <w:p w14:paraId="16B6FBBC" w14:textId="77777777" w:rsidR="005372B1" w:rsidRPr="005372B1" w:rsidRDefault="005372B1" w:rsidP="005372B1">
            <w:pPr>
              <w:spacing w:after="0" w:line="360" w:lineRule="auto"/>
              <w:jc w:val="both"/>
              <w:rPr>
                <w:sz w:val="20"/>
                <w:szCs w:val="20"/>
                <w:lang w:bidi="ar-SA"/>
              </w:rPr>
            </w:pPr>
            <w:r w:rsidRPr="005372B1">
              <w:rPr>
                <w:sz w:val="20"/>
                <w:szCs w:val="20"/>
                <w:lang w:bidi="ar-SA"/>
              </w:rPr>
              <w:t>3</w:t>
            </w:r>
          </w:p>
        </w:tc>
        <w:tc>
          <w:tcPr>
            <w:tcW w:w="1016" w:type="dxa"/>
          </w:tcPr>
          <w:p w14:paraId="04E424BB" w14:textId="77777777" w:rsidR="005372B1" w:rsidRPr="005372B1" w:rsidRDefault="005372B1" w:rsidP="005372B1">
            <w:pPr>
              <w:spacing w:after="0" w:line="360" w:lineRule="auto"/>
              <w:jc w:val="both"/>
              <w:rPr>
                <w:sz w:val="20"/>
                <w:szCs w:val="20"/>
                <w:lang w:bidi="ar-SA"/>
              </w:rPr>
            </w:pPr>
            <w:r w:rsidRPr="005372B1">
              <w:rPr>
                <w:sz w:val="20"/>
                <w:szCs w:val="20"/>
                <w:lang w:bidi="ar-SA"/>
              </w:rPr>
              <w:t>350</w:t>
            </w:r>
          </w:p>
        </w:tc>
        <w:tc>
          <w:tcPr>
            <w:tcW w:w="664" w:type="dxa"/>
          </w:tcPr>
          <w:p w14:paraId="3F61CDB6"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1016" w:type="dxa"/>
          </w:tcPr>
          <w:p w14:paraId="261D864D"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810" w:type="dxa"/>
          </w:tcPr>
          <w:p w14:paraId="55B600E0" w14:textId="77777777" w:rsidR="005372B1" w:rsidRPr="005372B1" w:rsidRDefault="005372B1" w:rsidP="005372B1">
            <w:pPr>
              <w:spacing w:after="0" w:line="360" w:lineRule="auto"/>
              <w:jc w:val="both"/>
              <w:rPr>
                <w:sz w:val="20"/>
                <w:szCs w:val="20"/>
                <w:lang w:bidi="ar-SA"/>
              </w:rPr>
            </w:pPr>
            <w:r w:rsidRPr="005372B1">
              <w:rPr>
                <w:sz w:val="20"/>
                <w:szCs w:val="20"/>
                <w:lang w:bidi="ar-SA"/>
              </w:rPr>
              <w:t>3</w:t>
            </w:r>
          </w:p>
        </w:tc>
        <w:tc>
          <w:tcPr>
            <w:tcW w:w="1016" w:type="dxa"/>
          </w:tcPr>
          <w:p w14:paraId="424C8776" w14:textId="77777777" w:rsidR="005372B1" w:rsidRPr="005372B1" w:rsidRDefault="005372B1" w:rsidP="005372B1">
            <w:pPr>
              <w:spacing w:after="0" w:line="360" w:lineRule="auto"/>
              <w:jc w:val="both"/>
              <w:rPr>
                <w:sz w:val="20"/>
                <w:szCs w:val="20"/>
                <w:lang w:bidi="ar-SA"/>
              </w:rPr>
            </w:pPr>
            <w:r w:rsidRPr="005372B1">
              <w:rPr>
                <w:sz w:val="20"/>
                <w:szCs w:val="20"/>
                <w:lang w:bidi="ar-SA"/>
              </w:rPr>
              <w:t>350</w:t>
            </w:r>
          </w:p>
        </w:tc>
      </w:tr>
      <w:tr w:rsidR="005372B1" w:rsidRPr="005372B1" w14:paraId="71E1105C" w14:textId="77777777" w:rsidTr="002A56D6">
        <w:trPr>
          <w:jc w:val="center"/>
        </w:trPr>
        <w:tc>
          <w:tcPr>
            <w:tcW w:w="1504" w:type="dxa"/>
          </w:tcPr>
          <w:p w14:paraId="45B746D6" w14:textId="77777777" w:rsidR="005372B1" w:rsidRPr="005372B1" w:rsidRDefault="005372B1" w:rsidP="005372B1">
            <w:pPr>
              <w:spacing w:after="0" w:line="360" w:lineRule="auto"/>
              <w:jc w:val="both"/>
              <w:rPr>
                <w:sz w:val="20"/>
                <w:szCs w:val="20"/>
                <w:lang w:bidi="ar-SA"/>
              </w:rPr>
            </w:pPr>
            <w:r w:rsidRPr="005372B1">
              <w:rPr>
                <w:sz w:val="20"/>
                <w:szCs w:val="20"/>
                <w:lang w:bidi="ar-SA"/>
              </w:rPr>
              <w:t>500-999</w:t>
            </w:r>
          </w:p>
        </w:tc>
        <w:tc>
          <w:tcPr>
            <w:tcW w:w="670" w:type="dxa"/>
          </w:tcPr>
          <w:p w14:paraId="2325681F" w14:textId="77777777" w:rsidR="005372B1" w:rsidRPr="005372B1" w:rsidRDefault="005372B1" w:rsidP="005372B1">
            <w:pPr>
              <w:spacing w:after="0" w:line="360" w:lineRule="auto"/>
              <w:jc w:val="both"/>
              <w:rPr>
                <w:sz w:val="20"/>
                <w:szCs w:val="20"/>
                <w:lang w:bidi="ar-SA"/>
              </w:rPr>
            </w:pPr>
            <w:r w:rsidRPr="005372B1">
              <w:rPr>
                <w:sz w:val="20"/>
                <w:szCs w:val="20"/>
                <w:lang w:bidi="ar-SA"/>
              </w:rPr>
              <w:t>717</w:t>
            </w:r>
          </w:p>
        </w:tc>
        <w:tc>
          <w:tcPr>
            <w:tcW w:w="1116" w:type="dxa"/>
          </w:tcPr>
          <w:p w14:paraId="6D1821B6" w14:textId="77777777" w:rsidR="005372B1" w:rsidRPr="005372B1" w:rsidRDefault="005372B1" w:rsidP="005372B1">
            <w:pPr>
              <w:spacing w:after="0" w:line="360" w:lineRule="auto"/>
              <w:jc w:val="both"/>
              <w:rPr>
                <w:sz w:val="20"/>
                <w:szCs w:val="20"/>
                <w:lang w:bidi="ar-SA"/>
              </w:rPr>
            </w:pPr>
            <w:r w:rsidRPr="005372B1">
              <w:rPr>
                <w:sz w:val="20"/>
                <w:szCs w:val="20"/>
                <w:lang w:bidi="ar-SA"/>
              </w:rPr>
              <w:t>542,760</w:t>
            </w:r>
          </w:p>
        </w:tc>
        <w:tc>
          <w:tcPr>
            <w:tcW w:w="661" w:type="dxa"/>
          </w:tcPr>
          <w:p w14:paraId="51D222A6"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800" w:type="dxa"/>
          </w:tcPr>
          <w:p w14:paraId="05882AED"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664" w:type="dxa"/>
          </w:tcPr>
          <w:p w14:paraId="53E379CC" w14:textId="77777777" w:rsidR="005372B1" w:rsidRPr="005372B1" w:rsidRDefault="005372B1" w:rsidP="005372B1">
            <w:pPr>
              <w:spacing w:after="0" w:line="360" w:lineRule="auto"/>
              <w:jc w:val="both"/>
              <w:rPr>
                <w:sz w:val="20"/>
                <w:szCs w:val="20"/>
                <w:lang w:bidi="ar-SA"/>
              </w:rPr>
            </w:pPr>
            <w:r w:rsidRPr="005372B1">
              <w:rPr>
                <w:sz w:val="20"/>
                <w:szCs w:val="20"/>
                <w:lang w:bidi="ar-SA"/>
              </w:rPr>
              <w:t>5</w:t>
            </w:r>
          </w:p>
        </w:tc>
        <w:tc>
          <w:tcPr>
            <w:tcW w:w="1016" w:type="dxa"/>
          </w:tcPr>
          <w:p w14:paraId="58C46DAF" w14:textId="77777777" w:rsidR="005372B1" w:rsidRPr="005372B1" w:rsidRDefault="005372B1" w:rsidP="005372B1">
            <w:pPr>
              <w:spacing w:after="0" w:line="360" w:lineRule="auto"/>
              <w:jc w:val="both"/>
              <w:rPr>
                <w:sz w:val="20"/>
                <w:szCs w:val="20"/>
                <w:lang w:bidi="ar-SA"/>
              </w:rPr>
            </w:pPr>
            <w:r w:rsidRPr="005372B1">
              <w:rPr>
                <w:sz w:val="20"/>
                <w:szCs w:val="20"/>
                <w:lang w:bidi="ar-SA"/>
              </w:rPr>
              <w:t>3,806</w:t>
            </w:r>
          </w:p>
        </w:tc>
        <w:tc>
          <w:tcPr>
            <w:tcW w:w="664" w:type="dxa"/>
          </w:tcPr>
          <w:p w14:paraId="02B0C5F8" w14:textId="77777777" w:rsidR="005372B1" w:rsidRPr="005372B1" w:rsidRDefault="005372B1" w:rsidP="005372B1">
            <w:pPr>
              <w:spacing w:after="0" w:line="360" w:lineRule="auto"/>
              <w:jc w:val="both"/>
              <w:rPr>
                <w:sz w:val="20"/>
                <w:szCs w:val="20"/>
                <w:lang w:bidi="ar-SA"/>
              </w:rPr>
            </w:pPr>
            <w:r w:rsidRPr="005372B1">
              <w:rPr>
                <w:sz w:val="20"/>
                <w:szCs w:val="20"/>
                <w:lang w:bidi="ar-SA"/>
              </w:rPr>
              <w:t>2</w:t>
            </w:r>
          </w:p>
        </w:tc>
        <w:tc>
          <w:tcPr>
            <w:tcW w:w="1016" w:type="dxa"/>
          </w:tcPr>
          <w:p w14:paraId="52A76414" w14:textId="77777777" w:rsidR="005372B1" w:rsidRPr="005372B1" w:rsidRDefault="005372B1" w:rsidP="005372B1">
            <w:pPr>
              <w:spacing w:after="0" w:line="360" w:lineRule="auto"/>
              <w:jc w:val="both"/>
              <w:rPr>
                <w:sz w:val="20"/>
                <w:szCs w:val="20"/>
                <w:lang w:bidi="ar-SA"/>
              </w:rPr>
            </w:pPr>
            <w:r w:rsidRPr="005372B1">
              <w:rPr>
                <w:sz w:val="20"/>
                <w:szCs w:val="20"/>
                <w:lang w:bidi="ar-SA"/>
              </w:rPr>
              <w:t>1,247</w:t>
            </w:r>
          </w:p>
        </w:tc>
        <w:tc>
          <w:tcPr>
            <w:tcW w:w="810" w:type="dxa"/>
          </w:tcPr>
          <w:p w14:paraId="7AB73AD1" w14:textId="77777777" w:rsidR="005372B1" w:rsidRPr="005372B1" w:rsidRDefault="005372B1" w:rsidP="005372B1">
            <w:pPr>
              <w:spacing w:after="0" w:line="360" w:lineRule="auto"/>
              <w:jc w:val="both"/>
              <w:rPr>
                <w:sz w:val="20"/>
                <w:szCs w:val="20"/>
                <w:lang w:bidi="ar-SA"/>
              </w:rPr>
            </w:pPr>
            <w:r w:rsidRPr="005372B1">
              <w:rPr>
                <w:sz w:val="20"/>
                <w:szCs w:val="20"/>
                <w:lang w:bidi="ar-SA"/>
              </w:rPr>
              <w:t>7</w:t>
            </w:r>
          </w:p>
        </w:tc>
        <w:tc>
          <w:tcPr>
            <w:tcW w:w="1016" w:type="dxa"/>
          </w:tcPr>
          <w:p w14:paraId="625855D1" w14:textId="77777777" w:rsidR="005372B1" w:rsidRPr="005372B1" w:rsidRDefault="005372B1" w:rsidP="005372B1">
            <w:pPr>
              <w:spacing w:after="0" w:line="360" w:lineRule="auto"/>
              <w:jc w:val="both"/>
              <w:rPr>
                <w:sz w:val="20"/>
                <w:szCs w:val="20"/>
                <w:lang w:bidi="ar-SA"/>
              </w:rPr>
            </w:pPr>
            <w:r w:rsidRPr="005372B1">
              <w:rPr>
                <w:sz w:val="20"/>
                <w:szCs w:val="20"/>
                <w:lang w:bidi="ar-SA"/>
              </w:rPr>
              <w:t>5,053</w:t>
            </w:r>
          </w:p>
        </w:tc>
      </w:tr>
      <w:tr w:rsidR="005372B1" w:rsidRPr="005372B1" w14:paraId="38C29A69" w14:textId="77777777" w:rsidTr="002A56D6">
        <w:trPr>
          <w:jc w:val="center"/>
        </w:trPr>
        <w:tc>
          <w:tcPr>
            <w:tcW w:w="1504" w:type="dxa"/>
          </w:tcPr>
          <w:p w14:paraId="623D86AA" w14:textId="77777777" w:rsidR="005372B1" w:rsidRPr="005372B1" w:rsidRDefault="005372B1" w:rsidP="005372B1">
            <w:pPr>
              <w:spacing w:after="0" w:line="360" w:lineRule="auto"/>
              <w:jc w:val="both"/>
              <w:rPr>
                <w:sz w:val="20"/>
                <w:szCs w:val="20"/>
                <w:lang w:bidi="ar-SA"/>
              </w:rPr>
            </w:pPr>
            <w:r w:rsidRPr="005372B1">
              <w:rPr>
                <w:sz w:val="20"/>
                <w:szCs w:val="20"/>
                <w:lang w:bidi="ar-SA"/>
              </w:rPr>
              <w:t>1,000-2,999</w:t>
            </w:r>
          </w:p>
        </w:tc>
        <w:tc>
          <w:tcPr>
            <w:tcW w:w="670" w:type="dxa"/>
          </w:tcPr>
          <w:p w14:paraId="6D642184" w14:textId="77777777" w:rsidR="005372B1" w:rsidRPr="005372B1" w:rsidRDefault="005372B1" w:rsidP="005372B1">
            <w:pPr>
              <w:spacing w:after="0" w:line="360" w:lineRule="auto"/>
              <w:jc w:val="both"/>
              <w:rPr>
                <w:sz w:val="20"/>
                <w:szCs w:val="20"/>
                <w:lang w:bidi="ar-SA"/>
              </w:rPr>
            </w:pPr>
            <w:r w:rsidRPr="005372B1">
              <w:rPr>
                <w:sz w:val="20"/>
                <w:szCs w:val="20"/>
                <w:lang w:bidi="ar-SA"/>
              </w:rPr>
              <w:t>1,853</w:t>
            </w:r>
          </w:p>
        </w:tc>
        <w:tc>
          <w:tcPr>
            <w:tcW w:w="1116" w:type="dxa"/>
          </w:tcPr>
          <w:p w14:paraId="3566A529" w14:textId="77777777" w:rsidR="005372B1" w:rsidRPr="005372B1" w:rsidRDefault="005372B1" w:rsidP="005372B1">
            <w:pPr>
              <w:spacing w:after="0" w:line="360" w:lineRule="auto"/>
              <w:jc w:val="both"/>
              <w:rPr>
                <w:sz w:val="20"/>
                <w:szCs w:val="20"/>
                <w:lang w:bidi="ar-SA"/>
              </w:rPr>
            </w:pPr>
            <w:r w:rsidRPr="005372B1">
              <w:rPr>
                <w:sz w:val="20"/>
                <w:szCs w:val="20"/>
                <w:lang w:bidi="ar-SA"/>
              </w:rPr>
              <w:t>3,351,086</w:t>
            </w:r>
          </w:p>
        </w:tc>
        <w:tc>
          <w:tcPr>
            <w:tcW w:w="661" w:type="dxa"/>
          </w:tcPr>
          <w:p w14:paraId="3DDAF86D" w14:textId="77777777" w:rsidR="005372B1" w:rsidRPr="005372B1" w:rsidRDefault="005372B1" w:rsidP="005372B1">
            <w:pPr>
              <w:spacing w:after="0" w:line="360" w:lineRule="auto"/>
              <w:jc w:val="both"/>
              <w:rPr>
                <w:sz w:val="20"/>
                <w:szCs w:val="20"/>
                <w:lang w:bidi="ar-SA"/>
              </w:rPr>
            </w:pPr>
            <w:r w:rsidRPr="005372B1">
              <w:rPr>
                <w:sz w:val="20"/>
                <w:szCs w:val="20"/>
                <w:lang w:bidi="ar-SA"/>
              </w:rPr>
              <w:t>15</w:t>
            </w:r>
          </w:p>
        </w:tc>
        <w:tc>
          <w:tcPr>
            <w:tcW w:w="800" w:type="dxa"/>
          </w:tcPr>
          <w:p w14:paraId="147941F8" w14:textId="77777777" w:rsidR="005372B1" w:rsidRPr="005372B1" w:rsidRDefault="005372B1" w:rsidP="005372B1">
            <w:pPr>
              <w:spacing w:after="0" w:line="360" w:lineRule="auto"/>
              <w:jc w:val="both"/>
              <w:rPr>
                <w:sz w:val="20"/>
                <w:szCs w:val="20"/>
                <w:lang w:bidi="ar-SA"/>
              </w:rPr>
            </w:pPr>
            <w:r w:rsidRPr="005372B1">
              <w:rPr>
                <w:sz w:val="20"/>
                <w:szCs w:val="20"/>
                <w:lang w:bidi="ar-SA"/>
              </w:rPr>
              <w:t>25,649</w:t>
            </w:r>
          </w:p>
        </w:tc>
        <w:tc>
          <w:tcPr>
            <w:tcW w:w="664" w:type="dxa"/>
          </w:tcPr>
          <w:p w14:paraId="0AE48ECE" w14:textId="77777777" w:rsidR="005372B1" w:rsidRPr="005372B1" w:rsidRDefault="005372B1" w:rsidP="005372B1">
            <w:pPr>
              <w:spacing w:after="0" w:line="360" w:lineRule="auto"/>
              <w:jc w:val="both"/>
              <w:rPr>
                <w:sz w:val="20"/>
                <w:szCs w:val="20"/>
                <w:lang w:bidi="ar-SA"/>
              </w:rPr>
            </w:pPr>
            <w:r w:rsidRPr="005372B1">
              <w:rPr>
                <w:sz w:val="20"/>
                <w:szCs w:val="20"/>
                <w:lang w:bidi="ar-SA"/>
              </w:rPr>
              <w:t>78</w:t>
            </w:r>
          </w:p>
        </w:tc>
        <w:tc>
          <w:tcPr>
            <w:tcW w:w="1016" w:type="dxa"/>
          </w:tcPr>
          <w:p w14:paraId="7D4721CA" w14:textId="77777777" w:rsidR="005372B1" w:rsidRPr="005372B1" w:rsidRDefault="005372B1" w:rsidP="005372B1">
            <w:pPr>
              <w:spacing w:after="0" w:line="360" w:lineRule="auto"/>
              <w:jc w:val="both"/>
              <w:rPr>
                <w:sz w:val="20"/>
                <w:szCs w:val="20"/>
                <w:lang w:bidi="ar-SA"/>
              </w:rPr>
            </w:pPr>
            <w:r w:rsidRPr="005372B1">
              <w:rPr>
                <w:sz w:val="20"/>
                <w:szCs w:val="20"/>
                <w:lang w:bidi="ar-SA"/>
              </w:rPr>
              <w:t>148,070</w:t>
            </w:r>
          </w:p>
        </w:tc>
        <w:tc>
          <w:tcPr>
            <w:tcW w:w="664" w:type="dxa"/>
          </w:tcPr>
          <w:p w14:paraId="2CE841FD" w14:textId="77777777" w:rsidR="005372B1" w:rsidRPr="005372B1" w:rsidRDefault="005372B1" w:rsidP="005372B1">
            <w:pPr>
              <w:spacing w:after="0" w:line="360" w:lineRule="auto"/>
              <w:jc w:val="both"/>
              <w:rPr>
                <w:sz w:val="20"/>
                <w:szCs w:val="20"/>
                <w:lang w:bidi="ar-SA"/>
              </w:rPr>
            </w:pPr>
            <w:r w:rsidRPr="005372B1">
              <w:rPr>
                <w:sz w:val="20"/>
                <w:szCs w:val="20"/>
                <w:lang w:bidi="ar-SA"/>
              </w:rPr>
              <w:t>67</w:t>
            </w:r>
          </w:p>
        </w:tc>
        <w:tc>
          <w:tcPr>
            <w:tcW w:w="1016" w:type="dxa"/>
          </w:tcPr>
          <w:p w14:paraId="65384746" w14:textId="77777777" w:rsidR="005372B1" w:rsidRPr="005372B1" w:rsidRDefault="005372B1" w:rsidP="005372B1">
            <w:pPr>
              <w:spacing w:after="0" w:line="360" w:lineRule="auto"/>
              <w:jc w:val="both"/>
              <w:rPr>
                <w:sz w:val="20"/>
                <w:szCs w:val="20"/>
                <w:lang w:bidi="ar-SA"/>
              </w:rPr>
            </w:pPr>
            <w:r w:rsidRPr="005372B1">
              <w:rPr>
                <w:sz w:val="20"/>
                <w:szCs w:val="20"/>
                <w:lang w:bidi="ar-SA"/>
              </w:rPr>
              <w:t>125,888</w:t>
            </w:r>
          </w:p>
        </w:tc>
        <w:tc>
          <w:tcPr>
            <w:tcW w:w="810" w:type="dxa"/>
          </w:tcPr>
          <w:p w14:paraId="3B132365" w14:textId="77777777" w:rsidR="005372B1" w:rsidRPr="005372B1" w:rsidRDefault="005372B1" w:rsidP="005372B1">
            <w:pPr>
              <w:spacing w:after="0" w:line="360" w:lineRule="auto"/>
              <w:jc w:val="both"/>
              <w:rPr>
                <w:sz w:val="20"/>
                <w:szCs w:val="20"/>
                <w:lang w:bidi="ar-SA"/>
              </w:rPr>
            </w:pPr>
            <w:r w:rsidRPr="005372B1">
              <w:rPr>
                <w:sz w:val="20"/>
                <w:szCs w:val="20"/>
                <w:lang w:bidi="ar-SA"/>
              </w:rPr>
              <w:t>160</w:t>
            </w:r>
          </w:p>
        </w:tc>
        <w:tc>
          <w:tcPr>
            <w:tcW w:w="1016" w:type="dxa"/>
          </w:tcPr>
          <w:p w14:paraId="6841A0CC" w14:textId="77777777" w:rsidR="005372B1" w:rsidRPr="005372B1" w:rsidRDefault="005372B1" w:rsidP="005372B1">
            <w:pPr>
              <w:spacing w:after="0" w:line="360" w:lineRule="auto"/>
              <w:jc w:val="both"/>
              <w:rPr>
                <w:sz w:val="20"/>
                <w:szCs w:val="20"/>
                <w:lang w:bidi="ar-SA"/>
              </w:rPr>
            </w:pPr>
            <w:r w:rsidRPr="005372B1">
              <w:rPr>
                <w:sz w:val="20"/>
                <w:szCs w:val="20"/>
                <w:lang w:bidi="ar-SA"/>
              </w:rPr>
              <w:t>299,607</w:t>
            </w:r>
          </w:p>
        </w:tc>
      </w:tr>
      <w:tr w:rsidR="005372B1" w:rsidRPr="005372B1" w14:paraId="0EC7C58D" w14:textId="77777777" w:rsidTr="002A56D6">
        <w:trPr>
          <w:jc w:val="center"/>
        </w:trPr>
        <w:tc>
          <w:tcPr>
            <w:tcW w:w="1504" w:type="dxa"/>
          </w:tcPr>
          <w:p w14:paraId="1CAA81FE" w14:textId="77777777" w:rsidR="005372B1" w:rsidRPr="005372B1" w:rsidRDefault="005372B1" w:rsidP="005372B1">
            <w:pPr>
              <w:spacing w:after="0" w:line="360" w:lineRule="auto"/>
              <w:jc w:val="both"/>
              <w:rPr>
                <w:sz w:val="20"/>
                <w:szCs w:val="20"/>
                <w:lang w:bidi="ar-SA"/>
              </w:rPr>
            </w:pPr>
            <w:r w:rsidRPr="005372B1">
              <w:rPr>
                <w:sz w:val="20"/>
                <w:szCs w:val="20"/>
                <w:lang w:bidi="ar-SA"/>
              </w:rPr>
              <w:t>3,000-4,999</w:t>
            </w:r>
          </w:p>
        </w:tc>
        <w:tc>
          <w:tcPr>
            <w:tcW w:w="670" w:type="dxa"/>
          </w:tcPr>
          <w:p w14:paraId="5449AA90" w14:textId="77777777" w:rsidR="005372B1" w:rsidRPr="005372B1" w:rsidRDefault="005372B1" w:rsidP="005372B1">
            <w:pPr>
              <w:spacing w:after="0" w:line="360" w:lineRule="auto"/>
              <w:jc w:val="both"/>
              <w:rPr>
                <w:sz w:val="20"/>
                <w:szCs w:val="20"/>
                <w:lang w:bidi="ar-SA"/>
              </w:rPr>
            </w:pPr>
            <w:r w:rsidRPr="005372B1">
              <w:rPr>
                <w:sz w:val="20"/>
                <w:szCs w:val="20"/>
                <w:lang w:bidi="ar-SA"/>
              </w:rPr>
              <w:t>924</w:t>
            </w:r>
          </w:p>
        </w:tc>
        <w:tc>
          <w:tcPr>
            <w:tcW w:w="1116" w:type="dxa"/>
          </w:tcPr>
          <w:p w14:paraId="2921467B" w14:textId="77777777" w:rsidR="005372B1" w:rsidRPr="005372B1" w:rsidRDefault="005372B1" w:rsidP="005372B1">
            <w:pPr>
              <w:spacing w:after="0" w:line="360" w:lineRule="auto"/>
              <w:jc w:val="both"/>
              <w:rPr>
                <w:sz w:val="20"/>
                <w:szCs w:val="20"/>
                <w:lang w:bidi="ar-SA"/>
              </w:rPr>
            </w:pPr>
            <w:r w:rsidRPr="005372B1">
              <w:rPr>
                <w:sz w:val="20"/>
                <w:szCs w:val="20"/>
                <w:lang w:bidi="ar-SA"/>
              </w:rPr>
              <w:t>3,819,588</w:t>
            </w:r>
          </w:p>
        </w:tc>
        <w:tc>
          <w:tcPr>
            <w:tcW w:w="661" w:type="dxa"/>
          </w:tcPr>
          <w:p w14:paraId="7C99B34C" w14:textId="77777777" w:rsidR="005372B1" w:rsidRPr="005372B1" w:rsidRDefault="005372B1" w:rsidP="005372B1">
            <w:pPr>
              <w:spacing w:after="0" w:line="360" w:lineRule="auto"/>
              <w:jc w:val="both"/>
              <w:rPr>
                <w:sz w:val="20"/>
                <w:szCs w:val="20"/>
                <w:lang w:bidi="ar-SA"/>
              </w:rPr>
            </w:pPr>
            <w:r w:rsidRPr="005372B1">
              <w:rPr>
                <w:sz w:val="20"/>
                <w:szCs w:val="20"/>
                <w:lang w:bidi="ar-SA"/>
              </w:rPr>
              <w:t>4</w:t>
            </w:r>
          </w:p>
        </w:tc>
        <w:tc>
          <w:tcPr>
            <w:tcW w:w="800" w:type="dxa"/>
          </w:tcPr>
          <w:p w14:paraId="2F8069EA" w14:textId="77777777" w:rsidR="005372B1" w:rsidRPr="005372B1" w:rsidRDefault="005372B1" w:rsidP="005372B1">
            <w:pPr>
              <w:spacing w:after="0" w:line="360" w:lineRule="auto"/>
              <w:jc w:val="both"/>
              <w:rPr>
                <w:sz w:val="20"/>
                <w:szCs w:val="20"/>
                <w:lang w:bidi="ar-SA"/>
              </w:rPr>
            </w:pPr>
            <w:r w:rsidRPr="005372B1">
              <w:rPr>
                <w:sz w:val="20"/>
                <w:szCs w:val="20"/>
                <w:lang w:bidi="ar-SA"/>
              </w:rPr>
              <w:t>16,505</w:t>
            </w:r>
          </w:p>
        </w:tc>
        <w:tc>
          <w:tcPr>
            <w:tcW w:w="664" w:type="dxa"/>
          </w:tcPr>
          <w:p w14:paraId="6C6C00DC" w14:textId="77777777" w:rsidR="005372B1" w:rsidRPr="005372B1" w:rsidRDefault="005372B1" w:rsidP="005372B1">
            <w:pPr>
              <w:spacing w:after="0" w:line="360" w:lineRule="auto"/>
              <w:jc w:val="both"/>
              <w:rPr>
                <w:sz w:val="20"/>
                <w:szCs w:val="20"/>
                <w:lang w:bidi="ar-SA"/>
              </w:rPr>
            </w:pPr>
            <w:r w:rsidRPr="005372B1">
              <w:rPr>
                <w:sz w:val="20"/>
                <w:szCs w:val="20"/>
                <w:lang w:bidi="ar-SA"/>
              </w:rPr>
              <w:t>13</w:t>
            </w:r>
          </w:p>
        </w:tc>
        <w:tc>
          <w:tcPr>
            <w:tcW w:w="1016" w:type="dxa"/>
          </w:tcPr>
          <w:p w14:paraId="0669E35F" w14:textId="77777777" w:rsidR="005372B1" w:rsidRPr="005372B1" w:rsidRDefault="005372B1" w:rsidP="005372B1">
            <w:pPr>
              <w:spacing w:after="0" w:line="360" w:lineRule="auto"/>
              <w:jc w:val="both"/>
              <w:rPr>
                <w:sz w:val="20"/>
                <w:szCs w:val="20"/>
                <w:lang w:bidi="ar-SA"/>
              </w:rPr>
            </w:pPr>
            <w:r w:rsidRPr="005372B1">
              <w:rPr>
                <w:sz w:val="20"/>
                <w:szCs w:val="20"/>
                <w:lang w:bidi="ar-SA"/>
              </w:rPr>
              <w:t>50,710</w:t>
            </w:r>
          </w:p>
        </w:tc>
        <w:tc>
          <w:tcPr>
            <w:tcW w:w="664" w:type="dxa"/>
          </w:tcPr>
          <w:p w14:paraId="2744791F" w14:textId="77777777" w:rsidR="005372B1" w:rsidRPr="005372B1" w:rsidRDefault="005372B1" w:rsidP="005372B1">
            <w:pPr>
              <w:spacing w:after="0" w:line="360" w:lineRule="auto"/>
              <w:jc w:val="both"/>
              <w:rPr>
                <w:sz w:val="20"/>
                <w:szCs w:val="20"/>
                <w:lang w:bidi="ar-SA"/>
              </w:rPr>
            </w:pPr>
            <w:r w:rsidRPr="005372B1">
              <w:rPr>
                <w:sz w:val="20"/>
                <w:szCs w:val="20"/>
                <w:lang w:bidi="ar-SA"/>
              </w:rPr>
              <w:t>9</w:t>
            </w:r>
          </w:p>
        </w:tc>
        <w:tc>
          <w:tcPr>
            <w:tcW w:w="1016" w:type="dxa"/>
          </w:tcPr>
          <w:p w14:paraId="08E76A4A" w14:textId="77777777" w:rsidR="005372B1" w:rsidRPr="005372B1" w:rsidRDefault="005372B1" w:rsidP="005372B1">
            <w:pPr>
              <w:spacing w:after="0" w:line="360" w:lineRule="auto"/>
              <w:jc w:val="both"/>
              <w:rPr>
                <w:sz w:val="20"/>
                <w:szCs w:val="20"/>
                <w:lang w:bidi="ar-SA"/>
              </w:rPr>
            </w:pPr>
            <w:r w:rsidRPr="005372B1">
              <w:rPr>
                <w:sz w:val="20"/>
                <w:szCs w:val="20"/>
                <w:lang w:bidi="ar-SA"/>
              </w:rPr>
              <w:t>34,600</w:t>
            </w:r>
          </w:p>
        </w:tc>
        <w:tc>
          <w:tcPr>
            <w:tcW w:w="810" w:type="dxa"/>
          </w:tcPr>
          <w:p w14:paraId="30E54C0F" w14:textId="77777777" w:rsidR="005372B1" w:rsidRPr="005372B1" w:rsidRDefault="005372B1" w:rsidP="005372B1">
            <w:pPr>
              <w:spacing w:after="0" w:line="360" w:lineRule="auto"/>
              <w:jc w:val="both"/>
              <w:rPr>
                <w:sz w:val="20"/>
                <w:szCs w:val="20"/>
                <w:lang w:bidi="ar-SA"/>
              </w:rPr>
            </w:pPr>
            <w:r w:rsidRPr="005372B1">
              <w:rPr>
                <w:sz w:val="20"/>
                <w:szCs w:val="20"/>
                <w:lang w:bidi="ar-SA"/>
              </w:rPr>
              <w:t>26</w:t>
            </w:r>
          </w:p>
        </w:tc>
        <w:tc>
          <w:tcPr>
            <w:tcW w:w="1016" w:type="dxa"/>
          </w:tcPr>
          <w:p w14:paraId="67A3B79C" w14:textId="77777777" w:rsidR="005372B1" w:rsidRPr="005372B1" w:rsidRDefault="005372B1" w:rsidP="005372B1">
            <w:pPr>
              <w:spacing w:after="0" w:line="360" w:lineRule="auto"/>
              <w:jc w:val="both"/>
              <w:rPr>
                <w:sz w:val="20"/>
                <w:szCs w:val="20"/>
                <w:lang w:bidi="ar-SA"/>
              </w:rPr>
            </w:pPr>
            <w:r w:rsidRPr="005372B1">
              <w:rPr>
                <w:sz w:val="20"/>
                <w:szCs w:val="20"/>
                <w:lang w:bidi="ar-SA"/>
              </w:rPr>
              <w:t>101,815</w:t>
            </w:r>
          </w:p>
        </w:tc>
      </w:tr>
      <w:tr w:rsidR="005372B1" w:rsidRPr="005372B1" w14:paraId="26B448B4" w14:textId="77777777" w:rsidTr="002A56D6">
        <w:trPr>
          <w:jc w:val="center"/>
        </w:trPr>
        <w:tc>
          <w:tcPr>
            <w:tcW w:w="1504" w:type="dxa"/>
          </w:tcPr>
          <w:p w14:paraId="20F25897" w14:textId="77777777" w:rsidR="005372B1" w:rsidRPr="005372B1" w:rsidRDefault="005372B1" w:rsidP="005372B1">
            <w:pPr>
              <w:spacing w:after="0" w:line="360" w:lineRule="auto"/>
              <w:jc w:val="both"/>
              <w:rPr>
                <w:sz w:val="20"/>
                <w:szCs w:val="20"/>
                <w:lang w:bidi="ar-SA"/>
              </w:rPr>
            </w:pPr>
            <w:r w:rsidRPr="005372B1">
              <w:rPr>
                <w:sz w:val="20"/>
                <w:szCs w:val="20"/>
                <w:lang w:bidi="ar-SA"/>
              </w:rPr>
              <w:t>5,000-7,499</w:t>
            </w:r>
          </w:p>
        </w:tc>
        <w:tc>
          <w:tcPr>
            <w:tcW w:w="670" w:type="dxa"/>
          </w:tcPr>
          <w:p w14:paraId="0C3D4C56" w14:textId="77777777" w:rsidR="005372B1" w:rsidRPr="005372B1" w:rsidRDefault="005372B1" w:rsidP="005372B1">
            <w:pPr>
              <w:spacing w:after="0" w:line="360" w:lineRule="auto"/>
              <w:jc w:val="both"/>
              <w:rPr>
                <w:sz w:val="20"/>
                <w:szCs w:val="20"/>
                <w:lang w:bidi="ar-SA"/>
              </w:rPr>
            </w:pPr>
            <w:r w:rsidRPr="005372B1">
              <w:rPr>
                <w:sz w:val="20"/>
                <w:szCs w:val="20"/>
                <w:lang w:bidi="ar-SA"/>
              </w:rPr>
              <w:t>618</w:t>
            </w:r>
          </w:p>
        </w:tc>
        <w:tc>
          <w:tcPr>
            <w:tcW w:w="1116" w:type="dxa"/>
          </w:tcPr>
          <w:p w14:paraId="26A62A8D" w14:textId="77777777" w:rsidR="005372B1" w:rsidRPr="005372B1" w:rsidRDefault="005372B1" w:rsidP="005372B1">
            <w:pPr>
              <w:spacing w:after="0" w:line="360" w:lineRule="auto"/>
              <w:jc w:val="both"/>
              <w:rPr>
                <w:sz w:val="20"/>
                <w:szCs w:val="20"/>
                <w:lang w:bidi="ar-SA"/>
              </w:rPr>
            </w:pPr>
            <w:r w:rsidRPr="005372B1">
              <w:rPr>
                <w:sz w:val="20"/>
                <w:szCs w:val="20"/>
                <w:lang w:bidi="ar-SA"/>
              </w:rPr>
              <w:t>3,727,315</w:t>
            </w:r>
          </w:p>
        </w:tc>
        <w:tc>
          <w:tcPr>
            <w:tcW w:w="661" w:type="dxa"/>
          </w:tcPr>
          <w:p w14:paraId="4FBB3C9D" w14:textId="77777777" w:rsidR="005372B1" w:rsidRPr="005372B1" w:rsidRDefault="005372B1" w:rsidP="005372B1">
            <w:pPr>
              <w:spacing w:after="0" w:line="360" w:lineRule="auto"/>
              <w:jc w:val="both"/>
              <w:rPr>
                <w:sz w:val="20"/>
                <w:szCs w:val="20"/>
                <w:lang w:bidi="ar-SA"/>
              </w:rPr>
            </w:pPr>
            <w:r w:rsidRPr="005372B1">
              <w:rPr>
                <w:sz w:val="20"/>
                <w:szCs w:val="20"/>
                <w:lang w:bidi="ar-SA"/>
              </w:rPr>
              <w:t>2</w:t>
            </w:r>
          </w:p>
        </w:tc>
        <w:tc>
          <w:tcPr>
            <w:tcW w:w="800" w:type="dxa"/>
          </w:tcPr>
          <w:p w14:paraId="5D112142" w14:textId="77777777" w:rsidR="005372B1" w:rsidRPr="005372B1" w:rsidRDefault="005372B1" w:rsidP="005372B1">
            <w:pPr>
              <w:spacing w:after="0" w:line="360" w:lineRule="auto"/>
              <w:jc w:val="both"/>
              <w:rPr>
                <w:sz w:val="20"/>
                <w:szCs w:val="20"/>
                <w:lang w:bidi="ar-SA"/>
              </w:rPr>
            </w:pPr>
            <w:r w:rsidRPr="005372B1">
              <w:rPr>
                <w:sz w:val="20"/>
                <w:szCs w:val="20"/>
                <w:lang w:bidi="ar-SA"/>
              </w:rPr>
              <w:t>11,900</w:t>
            </w:r>
          </w:p>
        </w:tc>
        <w:tc>
          <w:tcPr>
            <w:tcW w:w="664" w:type="dxa"/>
          </w:tcPr>
          <w:p w14:paraId="7535D317" w14:textId="77777777" w:rsidR="005372B1" w:rsidRPr="005372B1" w:rsidRDefault="005372B1" w:rsidP="005372B1">
            <w:pPr>
              <w:spacing w:after="0" w:line="360" w:lineRule="auto"/>
              <w:jc w:val="both"/>
              <w:rPr>
                <w:sz w:val="20"/>
                <w:szCs w:val="20"/>
                <w:lang w:bidi="ar-SA"/>
              </w:rPr>
            </w:pPr>
            <w:r w:rsidRPr="005372B1">
              <w:rPr>
                <w:sz w:val="20"/>
                <w:szCs w:val="20"/>
                <w:lang w:bidi="ar-SA"/>
              </w:rPr>
              <w:t>9</w:t>
            </w:r>
          </w:p>
        </w:tc>
        <w:tc>
          <w:tcPr>
            <w:tcW w:w="1016" w:type="dxa"/>
          </w:tcPr>
          <w:p w14:paraId="2CF00BB3" w14:textId="77777777" w:rsidR="005372B1" w:rsidRPr="005372B1" w:rsidRDefault="005372B1" w:rsidP="005372B1">
            <w:pPr>
              <w:spacing w:after="0" w:line="360" w:lineRule="auto"/>
              <w:jc w:val="both"/>
              <w:rPr>
                <w:sz w:val="20"/>
                <w:szCs w:val="20"/>
                <w:lang w:bidi="ar-SA"/>
              </w:rPr>
            </w:pPr>
            <w:r w:rsidRPr="005372B1">
              <w:rPr>
                <w:sz w:val="20"/>
                <w:szCs w:val="20"/>
                <w:lang w:bidi="ar-SA"/>
              </w:rPr>
              <w:t>54,201</w:t>
            </w:r>
          </w:p>
        </w:tc>
        <w:tc>
          <w:tcPr>
            <w:tcW w:w="664" w:type="dxa"/>
          </w:tcPr>
          <w:p w14:paraId="0FFD8C8D"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1016" w:type="dxa"/>
          </w:tcPr>
          <w:p w14:paraId="0D05AB62"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810" w:type="dxa"/>
          </w:tcPr>
          <w:p w14:paraId="2D8C7DE2" w14:textId="77777777" w:rsidR="005372B1" w:rsidRPr="005372B1" w:rsidRDefault="005372B1" w:rsidP="005372B1">
            <w:pPr>
              <w:spacing w:after="0" w:line="360" w:lineRule="auto"/>
              <w:jc w:val="both"/>
              <w:rPr>
                <w:sz w:val="20"/>
                <w:szCs w:val="20"/>
                <w:lang w:bidi="ar-SA"/>
              </w:rPr>
            </w:pPr>
            <w:r w:rsidRPr="005372B1">
              <w:rPr>
                <w:sz w:val="20"/>
                <w:szCs w:val="20"/>
                <w:lang w:bidi="ar-SA"/>
              </w:rPr>
              <w:t>11</w:t>
            </w:r>
          </w:p>
        </w:tc>
        <w:tc>
          <w:tcPr>
            <w:tcW w:w="1016" w:type="dxa"/>
          </w:tcPr>
          <w:p w14:paraId="01C6122F" w14:textId="77777777" w:rsidR="005372B1" w:rsidRPr="005372B1" w:rsidRDefault="005372B1" w:rsidP="005372B1">
            <w:pPr>
              <w:spacing w:after="0" w:line="360" w:lineRule="auto"/>
              <w:jc w:val="both"/>
              <w:rPr>
                <w:sz w:val="20"/>
                <w:szCs w:val="20"/>
                <w:lang w:bidi="ar-SA"/>
              </w:rPr>
            </w:pPr>
            <w:r w:rsidRPr="005372B1">
              <w:rPr>
                <w:sz w:val="20"/>
                <w:szCs w:val="20"/>
                <w:lang w:bidi="ar-SA"/>
              </w:rPr>
              <w:t>66,101</w:t>
            </w:r>
          </w:p>
        </w:tc>
      </w:tr>
      <w:tr w:rsidR="005372B1" w:rsidRPr="005372B1" w14:paraId="243C0DA5" w14:textId="77777777" w:rsidTr="002A56D6">
        <w:trPr>
          <w:jc w:val="center"/>
        </w:trPr>
        <w:tc>
          <w:tcPr>
            <w:tcW w:w="1504" w:type="dxa"/>
          </w:tcPr>
          <w:p w14:paraId="6D55DAA3" w14:textId="77777777" w:rsidR="005372B1" w:rsidRPr="005372B1" w:rsidRDefault="005372B1" w:rsidP="005372B1">
            <w:pPr>
              <w:spacing w:after="0" w:line="360" w:lineRule="auto"/>
              <w:jc w:val="both"/>
              <w:rPr>
                <w:sz w:val="20"/>
                <w:szCs w:val="20"/>
                <w:lang w:bidi="ar-SA"/>
              </w:rPr>
            </w:pPr>
            <w:r w:rsidRPr="005372B1">
              <w:rPr>
                <w:sz w:val="20"/>
                <w:szCs w:val="20"/>
                <w:lang w:bidi="ar-SA"/>
              </w:rPr>
              <w:t>7,500-9,999</w:t>
            </w:r>
          </w:p>
        </w:tc>
        <w:tc>
          <w:tcPr>
            <w:tcW w:w="670" w:type="dxa"/>
          </w:tcPr>
          <w:p w14:paraId="11B1875E" w14:textId="77777777" w:rsidR="005372B1" w:rsidRPr="005372B1" w:rsidRDefault="005372B1" w:rsidP="005372B1">
            <w:pPr>
              <w:spacing w:after="0" w:line="360" w:lineRule="auto"/>
              <w:jc w:val="both"/>
              <w:rPr>
                <w:sz w:val="20"/>
                <w:szCs w:val="20"/>
                <w:lang w:bidi="ar-SA"/>
              </w:rPr>
            </w:pPr>
            <w:r w:rsidRPr="005372B1">
              <w:rPr>
                <w:sz w:val="20"/>
                <w:szCs w:val="20"/>
                <w:lang w:bidi="ar-SA"/>
              </w:rPr>
              <w:t>371</w:t>
            </w:r>
          </w:p>
        </w:tc>
        <w:tc>
          <w:tcPr>
            <w:tcW w:w="1116" w:type="dxa"/>
          </w:tcPr>
          <w:p w14:paraId="62A2E70E" w14:textId="77777777" w:rsidR="005372B1" w:rsidRPr="005372B1" w:rsidRDefault="005372B1" w:rsidP="005372B1">
            <w:pPr>
              <w:spacing w:after="0" w:line="360" w:lineRule="auto"/>
              <w:jc w:val="both"/>
              <w:rPr>
                <w:sz w:val="20"/>
                <w:szCs w:val="20"/>
                <w:lang w:bidi="ar-SA"/>
              </w:rPr>
            </w:pPr>
            <w:r w:rsidRPr="005372B1">
              <w:rPr>
                <w:sz w:val="20"/>
                <w:szCs w:val="20"/>
                <w:lang w:bidi="ar-SA"/>
              </w:rPr>
              <w:t>3,198,982</w:t>
            </w:r>
          </w:p>
        </w:tc>
        <w:tc>
          <w:tcPr>
            <w:tcW w:w="661" w:type="dxa"/>
          </w:tcPr>
          <w:p w14:paraId="1E86EFFC" w14:textId="77777777" w:rsidR="005372B1" w:rsidRPr="005372B1" w:rsidRDefault="005372B1" w:rsidP="005372B1">
            <w:pPr>
              <w:spacing w:after="0" w:line="360" w:lineRule="auto"/>
              <w:jc w:val="both"/>
              <w:rPr>
                <w:sz w:val="20"/>
                <w:szCs w:val="20"/>
                <w:lang w:bidi="ar-SA"/>
              </w:rPr>
            </w:pPr>
            <w:r w:rsidRPr="005372B1">
              <w:rPr>
                <w:sz w:val="20"/>
                <w:szCs w:val="20"/>
                <w:lang w:bidi="ar-SA"/>
              </w:rPr>
              <w:t>3</w:t>
            </w:r>
          </w:p>
        </w:tc>
        <w:tc>
          <w:tcPr>
            <w:tcW w:w="800" w:type="dxa"/>
          </w:tcPr>
          <w:p w14:paraId="39B15F9A" w14:textId="77777777" w:rsidR="005372B1" w:rsidRPr="005372B1" w:rsidRDefault="005372B1" w:rsidP="005372B1">
            <w:pPr>
              <w:spacing w:after="0" w:line="360" w:lineRule="auto"/>
              <w:jc w:val="both"/>
              <w:rPr>
                <w:sz w:val="20"/>
                <w:szCs w:val="20"/>
                <w:lang w:bidi="ar-SA"/>
              </w:rPr>
            </w:pPr>
            <w:r w:rsidRPr="005372B1">
              <w:rPr>
                <w:sz w:val="20"/>
                <w:szCs w:val="20"/>
                <w:lang w:bidi="ar-SA"/>
              </w:rPr>
              <w:t>26,200</w:t>
            </w:r>
          </w:p>
        </w:tc>
        <w:tc>
          <w:tcPr>
            <w:tcW w:w="664" w:type="dxa"/>
          </w:tcPr>
          <w:p w14:paraId="64AD749B" w14:textId="77777777" w:rsidR="005372B1" w:rsidRPr="005372B1" w:rsidRDefault="005372B1" w:rsidP="005372B1">
            <w:pPr>
              <w:spacing w:after="0" w:line="360" w:lineRule="auto"/>
              <w:jc w:val="both"/>
              <w:rPr>
                <w:sz w:val="20"/>
                <w:szCs w:val="20"/>
                <w:lang w:bidi="ar-SA"/>
              </w:rPr>
            </w:pPr>
            <w:r w:rsidRPr="005372B1">
              <w:rPr>
                <w:sz w:val="20"/>
                <w:szCs w:val="20"/>
                <w:lang w:bidi="ar-SA"/>
              </w:rPr>
              <w:t>69</w:t>
            </w:r>
          </w:p>
        </w:tc>
        <w:tc>
          <w:tcPr>
            <w:tcW w:w="1016" w:type="dxa"/>
          </w:tcPr>
          <w:p w14:paraId="6D5F3A18" w14:textId="77777777" w:rsidR="005372B1" w:rsidRPr="005372B1" w:rsidRDefault="005372B1" w:rsidP="005372B1">
            <w:pPr>
              <w:spacing w:after="0" w:line="360" w:lineRule="auto"/>
              <w:jc w:val="both"/>
              <w:rPr>
                <w:sz w:val="20"/>
                <w:szCs w:val="20"/>
                <w:lang w:bidi="ar-SA"/>
              </w:rPr>
            </w:pPr>
            <w:r w:rsidRPr="005372B1">
              <w:rPr>
                <w:sz w:val="20"/>
                <w:szCs w:val="20"/>
                <w:lang w:bidi="ar-SA"/>
              </w:rPr>
              <w:t>620,786</w:t>
            </w:r>
          </w:p>
        </w:tc>
        <w:tc>
          <w:tcPr>
            <w:tcW w:w="664" w:type="dxa"/>
          </w:tcPr>
          <w:p w14:paraId="7944981C" w14:textId="77777777" w:rsidR="005372B1" w:rsidRPr="005372B1" w:rsidRDefault="005372B1" w:rsidP="005372B1">
            <w:pPr>
              <w:spacing w:after="0" w:line="360" w:lineRule="auto"/>
              <w:jc w:val="both"/>
              <w:rPr>
                <w:sz w:val="20"/>
                <w:szCs w:val="20"/>
                <w:lang w:bidi="ar-SA"/>
              </w:rPr>
            </w:pPr>
            <w:r w:rsidRPr="005372B1">
              <w:rPr>
                <w:sz w:val="20"/>
                <w:szCs w:val="20"/>
                <w:lang w:bidi="ar-SA"/>
              </w:rPr>
              <w:t>26</w:t>
            </w:r>
          </w:p>
        </w:tc>
        <w:tc>
          <w:tcPr>
            <w:tcW w:w="1016" w:type="dxa"/>
          </w:tcPr>
          <w:p w14:paraId="578C71DE" w14:textId="77777777" w:rsidR="005372B1" w:rsidRPr="005372B1" w:rsidRDefault="005372B1" w:rsidP="005372B1">
            <w:pPr>
              <w:spacing w:after="0" w:line="360" w:lineRule="auto"/>
              <w:jc w:val="both"/>
              <w:rPr>
                <w:sz w:val="20"/>
                <w:szCs w:val="20"/>
                <w:lang w:bidi="ar-SA"/>
              </w:rPr>
            </w:pPr>
            <w:r w:rsidRPr="005372B1">
              <w:rPr>
                <w:sz w:val="20"/>
                <w:szCs w:val="20"/>
                <w:lang w:bidi="ar-SA"/>
              </w:rPr>
              <w:t>240,448</w:t>
            </w:r>
          </w:p>
        </w:tc>
        <w:tc>
          <w:tcPr>
            <w:tcW w:w="810" w:type="dxa"/>
          </w:tcPr>
          <w:p w14:paraId="41F929B0" w14:textId="77777777" w:rsidR="005372B1" w:rsidRPr="005372B1" w:rsidRDefault="005372B1" w:rsidP="005372B1">
            <w:pPr>
              <w:spacing w:after="0" w:line="360" w:lineRule="auto"/>
              <w:jc w:val="both"/>
              <w:rPr>
                <w:sz w:val="20"/>
                <w:szCs w:val="20"/>
                <w:lang w:bidi="ar-SA"/>
              </w:rPr>
            </w:pPr>
            <w:r w:rsidRPr="005372B1">
              <w:rPr>
                <w:sz w:val="20"/>
                <w:szCs w:val="20"/>
                <w:lang w:bidi="ar-SA"/>
              </w:rPr>
              <w:t>98</w:t>
            </w:r>
          </w:p>
        </w:tc>
        <w:tc>
          <w:tcPr>
            <w:tcW w:w="1016" w:type="dxa"/>
          </w:tcPr>
          <w:p w14:paraId="0EC12F30" w14:textId="77777777" w:rsidR="005372B1" w:rsidRPr="005372B1" w:rsidRDefault="005372B1" w:rsidP="005372B1">
            <w:pPr>
              <w:spacing w:after="0" w:line="360" w:lineRule="auto"/>
              <w:jc w:val="both"/>
              <w:rPr>
                <w:sz w:val="20"/>
                <w:szCs w:val="20"/>
                <w:lang w:bidi="ar-SA"/>
              </w:rPr>
            </w:pPr>
            <w:r w:rsidRPr="005372B1">
              <w:rPr>
                <w:sz w:val="20"/>
                <w:szCs w:val="20"/>
                <w:lang w:bidi="ar-SA"/>
              </w:rPr>
              <w:t>887,434</w:t>
            </w:r>
          </w:p>
        </w:tc>
      </w:tr>
      <w:tr w:rsidR="005372B1" w:rsidRPr="005372B1" w14:paraId="7DC340D2" w14:textId="77777777" w:rsidTr="002A56D6">
        <w:trPr>
          <w:jc w:val="center"/>
        </w:trPr>
        <w:tc>
          <w:tcPr>
            <w:tcW w:w="1504" w:type="dxa"/>
          </w:tcPr>
          <w:p w14:paraId="2EE4382D" w14:textId="77777777" w:rsidR="005372B1" w:rsidRPr="005372B1" w:rsidRDefault="005372B1" w:rsidP="005372B1">
            <w:pPr>
              <w:spacing w:after="0" w:line="360" w:lineRule="auto"/>
              <w:jc w:val="both"/>
              <w:rPr>
                <w:sz w:val="20"/>
                <w:szCs w:val="20"/>
                <w:lang w:bidi="ar-SA"/>
              </w:rPr>
            </w:pPr>
            <w:r w:rsidRPr="005372B1">
              <w:rPr>
                <w:sz w:val="20"/>
                <w:szCs w:val="20"/>
                <w:lang w:bidi="ar-SA"/>
              </w:rPr>
              <w:t>10,000-12,999</w:t>
            </w:r>
          </w:p>
        </w:tc>
        <w:tc>
          <w:tcPr>
            <w:tcW w:w="670" w:type="dxa"/>
          </w:tcPr>
          <w:p w14:paraId="044BE9E6" w14:textId="77777777" w:rsidR="005372B1" w:rsidRPr="005372B1" w:rsidRDefault="005372B1" w:rsidP="005372B1">
            <w:pPr>
              <w:spacing w:after="0" w:line="360" w:lineRule="auto"/>
              <w:jc w:val="both"/>
              <w:rPr>
                <w:sz w:val="20"/>
                <w:szCs w:val="20"/>
                <w:lang w:bidi="ar-SA"/>
              </w:rPr>
            </w:pPr>
            <w:r w:rsidRPr="005372B1">
              <w:rPr>
                <w:sz w:val="20"/>
                <w:szCs w:val="20"/>
                <w:lang w:bidi="ar-SA"/>
              </w:rPr>
              <w:t>83</w:t>
            </w:r>
          </w:p>
        </w:tc>
        <w:tc>
          <w:tcPr>
            <w:tcW w:w="1116" w:type="dxa"/>
          </w:tcPr>
          <w:p w14:paraId="6F58BDF8" w14:textId="77777777" w:rsidR="005372B1" w:rsidRPr="005372B1" w:rsidRDefault="005372B1" w:rsidP="005372B1">
            <w:pPr>
              <w:spacing w:after="0" w:line="360" w:lineRule="auto"/>
              <w:jc w:val="both"/>
              <w:rPr>
                <w:sz w:val="20"/>
                <w:szCs w:val="20"/>
                <w:lang w:bidi="ar-SA"/>
              </w:rPr>
            </w:pPr>
            <w:r w:rsidRPr="005372B1">
              <w:rPr>
                <w:sz w:val="20"/>
                <w:szCs w:val="20"/>
                <w:lang w:bidi="ar-SA"/>
              </w:rPr>
              <w:t>904,846</w:t>
            </w:r>
          </w:p>
        </w:tc>
        <w:tc>
          <w:tcPr>
            <w:tcW w:w="661" w:type="dxa"/>
          </w:tcPr>
          <w:p w14:paraId="3A7CD3BF"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800" w:type="dxa"/>
          </w:tcPr>
          <w:p w14:paraId="61D41B94"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664" w:type="dxa"/>
          </w:tcPr>
          <w:p w14:paraId="2132EAC3" w14:textId="77777777" w:rsidR="005372B1" w:rsidRPr="005372B1" w:rsidRDefault="005372B1" w:rsidP="005372B1">
            <w:pPr>
              <w:spacing w:after="0" w:line="360" w:lineRule="auto"/>
              <w:jc w:val="both"/>
              <w:rPr>
                <w:sz w:val="20"/>
                <w:szCs w:val="20"/>
                <w:lang w:bidi="ar-SA"/>
              </w:rPr>
            </w:pPr>
            <w:r w:rsidRPr="005372B1">
              <w:rPr>
                <w:sz w:val="20"/>
                <w:szCs w:val="20"/>
                <w:lang w:bidi="ar-SA"/>
              </w:rPr>
              <w:t>16</w:t>
            </w:r>
          </w:p>
        </w:tc>
        <w:tc>
          <w:tcPr>
            <w:tcW w:w="1016" w:type="dxa"/>
          </w:tcPr>
          <w:p w14:paraId="39650731" w14:textId="77777777" w:rsidR="005372B1" w:rsidRPr="005372B1" w:rsidRDefault="005372B1" w:rsidP="005372B1">
            <w:pPr>
              <w:spacing w:after="0" w:line="360" w:lineRule="auto"/>
              <w:jc w:val="both"/>
              <w:rPr>
                <w:sz w:val="20"/>
                <w:szCs w:val="20"/>
                <w:lang w:bidi="ar-SA"/>
              </w:rPr>
            </w:pPr>
            <w:r w:rsidRPr="005372B1">
              <w:rPr>
                <w:sz w:val="20"/>
                <w:szCs w:val="20"/>
                <w:lang w:bidi="ar-SA"/>
              </w:rPr>
              <w:t>165,800</w:t>
            </w:r>
          </w:p>
        </w:tc>
        <w:tc>
          <w:tcPr>
            <w:tcW w:w="664" w:type="dxa"/>
          </w:tcPr>
          <w:p w14:paraId="73D1C029" w14:textId="77777777" w:rsidR="005372B1" w:rsidRPr="005372B1" w:rsidRDefault="005372B1" w:rsidP="005372B1">
            <w:pPr>
              <w:spacing w:after="0" w:line="360" w:lineRule="auto"/>
              <w:jc w:val="both"/>
              <w:rPr>
                <w:sz w:val="20"/>
                <w:szCs w:val="20"/>
                <w:lang w:bidi="ar-SA"/>
              </w:rPr>
            </w:pPr>
            <w:r w:rsidRPr="005372B1">
              <w:rPr>
                <w:sz w:val="20"/>
                <w:szCs w:val="20"/>
                <w:lang w:bidi="ar-SA"/>
              </w:rPr>
              <w:t>11</w:t>
            </w:r>
          </w:p>
        </w:tc>
        <w:tc>
          <w:tcPr>
            <w:tcW w:w="1016" w:type="dxa"/>
          </w:tcPr>
          <w:p w14:paraId="50C5CB2C" w14:textId="77777777" w:rsidR="005372B1" w:rsidRPr="005372B1" w:rsidRDefault="005372B1" w:rsidP="005372B1">
            <w:pPr>
              <w:spacing w:after="0" w:line="360" w:lineRule="auto"/>
              <w:jc w:val="both"/>
              <w:rPr>
                <w:sz w:val="20"/>
                <w:szCs w:val="20"/>
                <w:lang w:bidi="ar-SA"/>
              </w:rPr>
            </w:pPr>
            <w:r w:rsidRPr="005372B1">
              <w:rPr>
                <w:sz w:val="20"/>
                <w:szCs w:val="20"/>
                <w:lang w:bidi="ar-SA"/>
              </w:rPr>
              <w:t>112,020</w:t>
            </w:r>
          </w:p>
        </w:tc>
        <w:tc>
          <w:tcPr>
            <w:tcW w:w="810" w:type="dxa"/>
          </w:tcPr>
          <w:p w14:paraId="4F102E93" w14:textId="77777777" w:rsidR="005372B1" w:rsidRPr="005372B1" w:rsidRDefault="005372B1" w:rsidP="005372B1">
            <w:pPr>
              <w:spacing w:after="0" w:line="360" w:lineRule="auto"/>
              <w:jc w:val="both"/>
              <w:rPr>
                <w:sz w:val="20"/>
                <w:szCs w:val="20"/>
                <w:lang w:bidi="ar-SA"/>
              </w:rPr>
            </w:pPr>
            <w:r w:rsidRPr="005372B1">
              <w:rPr>
                <w:sz w:val="20"/>
                <w:szCs w:val="20"/>
                <w:lang w:bidi="ar-SA"/>
              </w:rPr>
              <w:t>27</w:t>
            </w:r>
          </w:p>
        </w:tc>
        <w:tc>
          <w:tcPr>
            <w:tcW w:w="1016" w:type="dxa"/>
          </w:tcPr>
          <w:p w14:paraId="3AD7A434" w14:textId="77777777" w:rsidR="005372B1" w:rsidRPr="005372B1" w:rsidRDefault="005372B1" w:rsidP="005372B1">
            <w:pPr>
              <w:spacing w:after="0" w:line="360" w:lineRule="auto"/>
              <w:jc w:val="both"/>
              <w:rPr>
                <w:sz w:val="20"/>
                <w:szCs w:val="20"/>
                <w:lang w:bidi="ar-SA"/>
              </w:rPr>
            </w:pPr>
            <w:r w:rsidRPr="005372B1">
              <w:rPr>
                <w:sz w:val="20"/>
                <w:szCs w:val="20"/>
                <w:lang w:bidi="ar-SA"/>
              </w:rPr>
              <w:t>277,820</w:t>
            </w:r>
          </w:p>
        </w:tc>
      </w:tr>
      <w:tr w:rsidR="005372B1" w:rsidRPr="005372B1" w14:paraId="5BA2D5CB" w14:textId="77777777" w:rsidTr="002A56D6">
        <w:trPr>
          <w:jc w:val="center"/>
        </w:trPr>
        <w:tc>
          <w:tcPr>
            <w:tcW w:w="1504" w:type="dxa"/>
          </w:tcPr>
          <w:p w14:paraId="469AA1A3" w14:textId="77777777" w:rsidR="005372B1" w:rsidRPr="005372B1" w:rsidRDefault="005372B1" w:rsidP="005372B1">
            <w:pPr>
              <w:spacing w:after="0" w:line="360" w:lineRule="auto"/>
              <w:jc w:val="both"/>
              <w:rPr>
                <w:sz w:val="20"/>
                <w:szCs w:val="20"/>
                <w:lang w:bidi="ar-SA"/>
              </w:rPr>
            </w:pPr>
            <w:r w:rsidRPr="005372B1">
              <w:rPr>
                <w:sz w:val="20"/>
                <w:szCs w:val="20"/>
                <w:lang w:bidi="ar-SA"/>
              </w:rPr>
              <w:t>13,000-15,999</w:t>
            </w:r>
          </w:p>
        </w:tc>
        <w:tc>
          <w:tcPr>
            <w:tcW w:w="670" w:type="dxa"/>
          </w:tcPr>
          <w:p w14:paraId="3537D2E4" w14:textId="77777777" w:rsidR="005372B1" w:rsidRPr="005372B1" w:rsidRDefault="005372B1" w:rsidP="005372B1">
            <w:pPr>
              <w:spacing w:after="0" w:line="360" w:lineRule="auto"/>
              <w:jc w:val="both"/>
              <w:rPr>
                <w:sz w:val="20"/>
                <w:szCs w:val="20"/>
                <w:lang w:bidi="ar-SA"/>
              </w:rPr>
            </w:pPr>
            <w:r w:rsidRPr="005372B1">
              <w:rPr>
                <w:sz w:val="20"/>
                <w:szCs w:val="20"/>
                <w:lang w:bidi="ar-SA"/>
              </w:rPr>
              <w:t>148</w:t>
            </w:r>
          </w:p>
        </w:tc>
        <w:tc>
          <w:tcPr>
            <w:tcW w:w="1116" w:type="dxa"/>
          </w:tcPr>
          <w:p w14:paraId="39A24527" w14:textId="77777777" w:rsidR="005372B1" w:rsidRPr="005372B1" w:rsidRDefault="005372B1" w:rsidP="005372B1">
            <w:pPr>
              <w:spacing w:after="0" w:line="360" w:lineRule="auto"/>
              <w:jc w:val="both"/>
              <w:rPr>
                <w:sz w:val="20"/>
                <w:szCs w:val="20"/>
                <w:lang w:bidi="ar-SA"/>
              </w:rPr>
            </w:pPr>
            <w:r w:rsidRPr="005372B1">
              <w:rPr>
                <w:sz w:val="20"/>
                <w:szCs w:val="20"/>
                <w:lang w:bidi="ar-SA"/>
              </w:rPr>
              <w:t>2,006,158</w:t>
            </w:r>
          </w:p>
        </w:tc>
        <w:tc>
          <w:tcPr>
            <w:tcW w:w="661" w:type="dxa"/>
          </w:tcPr>
          <w:p w14:paraId="2143B838"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800" w:type="dxa"/>
          </w:tcPr>
          <w:p w14:paraId="3DFF0806"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664" w:type="dxa"/>
          </w:tcPr>
          <w:p w14:paraId="7BE3932F" w14:textId="77777777" w:rsidR="005372B1" w:rsidRPr="005372B1" w:rsidRDefault="005372B1" w:rsidP="005372B1">
            <w:pPr>
              <w:spacing w:after="0" w:line="360" w:lineRule="auto"/>
              <w:jc w:val="both"/>
              <w:rPr>
                <w:sz w:val="20"/>
                <w:szCs w:val="20"/>
                <w:lang w:bidi="ar-SA"/>
              </w:rPr>
            </w:pPr>
            <w:r w:rsidRPr="005372B1">
              <w:rPr>
                <w:sz w:val="20"/>
                <w:szCs w:val="20"/>
                <w:lang w:bidi="ar-SA"/>
              </w:rPr>
              <w:t>24</w:t>
            </w:r>
          </w:p>
        </w:tc>
        <w:tc>
          <w:tcPr>
            <w:tcW w:w="1016" w:type="dxa"/>
          </w:tcPr>
          <w:p w14:paraId="64927D70" w14:textId="77777777" w:rsidR="005372B1" w:rsidRPr="005372B1" w:rsidRDefault="005372B1" w:rsidP="005372B1">
            <w:pPr>
              <w:spacing w:after="0" w:line="360" w:lineRule="auto"/>
              <w:jc w:val="both"/>
              <w:rPr>
                <w:sz w:val="20"/>
                <w:szCs w:val="20"/>
                <w:lang w:bidi="ar-SA"/>
              </w:rPr>
            </w:pPr>
            <w:r w:rsidRPr="005372B1">
              <w:rPr>
                <w:sz w:val="20"/>
                <w:szCs w:val="20"/>
                <w:lang w:bidi="ar-SA"/>
              </w:rPr>
              <w:t>338,350</w:t>
            </w:r>
          </w:p>
        </w:tc>
        <w:tc>
          <w:tcPr>
            <w:tcW w:w="664" w:type="dxa"/>
          </w:tcPr>
          <w:p w14:paraId="62E32C32" w14:textId="77777777" w:rsidR="005372B1" w:rsidRPr="005372B1" w:rsidRDefault="005372B1" w:rsidP="005372B1">
            <w:pPr>
              <w:spacing w:after="0" w:line="360" w:lineRule="auto"/>
              <w:jc w:val="both"/>
              <w:rPr>
                <w:sz w:val="20"/>
                <w:szCs w:val="20"/>
                <w:lang w:bidi="ar-SA"/>
              </w:rPr>
            </w:pPr>
            <w:r w:rsidRPr="005372B1">
              <w:rPr>
                <w:sz w:val="20"/>
                <w:szCs w:val="20"/>
                <w:lang w:bidi="ar-SA"/>
              </w:rPr>
              <w:t>35</w:t>
            </w:r>
          </w:p>
        </w:tc>
        <w:tc>
          <w:tcPr>
            <w:tcW w:w="1016" w:type="dxa"/>
          </w:tcPr>
          <w:p w14:paraId="40235354" w14:textId="77777777" w:rsidR="005372B1" w:rsidRPr="005372B1" w:rsidRDefault="005372B1" w:rsidP="005372B1">
            <w:pPr>
              <w:spacing w:after="0" w:line="360" w:lineRule="auto"/>
              <w:jc w:val="both"/>
              <w:rPr>
                <w:sz w:val="20"/>
                <w:szCs w:val="20"/>
                <w:lang w:bidi="ar-SA"/>
              </w:rPr>
            </w:pPr>
            <w:r w:rsidRPr="005372B1">
              <w:rPr>
                <w:sz w:val="20"/>
                <w:szCs w:val="20"/>
                <w:lang w:bidi="ar-SA"/>
              </w:rPr>
              <w:t>494,350</w:t>
            </w:r>
          </w:p>
        </w:tc>
        <w:tc>
          <w:tcPr>
            <w:tcW w:w="810" w:type="dxa"/>
          </w:tcPr>
          <w:p w14:paraId="26409D33" w14:textId="77777777" w:rsidR="005372B1" w:rsidRPr="005372B1" w:rsidRDefault="005372B1" w:rsidP="005372B1">
            <w:pPr>
              <w:spacing w:after="0" w:line="360" w:lineRule="auto"/>
              <w:jc w:val="both"/>
              <w:rPr>
                <w:sz w:val="20"/>
                <w:szCs w:val="20"/>
                <w:lang w:bidi="ar-SA"/>
              </w:rPr>
            </w:pPr>
            <w:r w:rsidRPr="005372B1">
              <w:rPr>
                <w:sz w:val="20"/>
                <w:szCs w:val="20"/>
                <w:lang w:bidi="ar-SA"/>
              </w:rPr>
              <w:t>59</w:t>
            </w:r>
          </w:p>
        </w:tc>
        <w:tc>
          <w:tcPr>
            <w:tcW w:w="1016" w:type="dxa"/>
          </w:tcPr>
          <w:p w14:paraId="17DB85A5" w14:textId="77777777" w:rsidR="005372B1" w:rsidRPr="005372B1" w:rsidRDefault="005372B1" w:rsidP="005372B1">
            <w:pPr>
              <w:spacing w:after="0" w:line="360" w:lineRule="auto"/>
              <w:jc w:val="both"/>
              <w:rPr>
                <w:sz w:val="20"/>
                <w:szCs w:val="20"/>
                <w:lang w:bidi="ar-SA"/>
              </w:rPr>
            </w:pPr>
            <w:r w:rsidRPr="005372B1">
              <w:rPr>
                <w:sz w:val="20"/>
                <w:szCs w:val="20"/>
                <w:lang w:bidi="ar-SA"/>
              </w:rPr>
              <w:t>832,700</w:t>
            </w:r>
          </w:p>
        </w:tc>
      </w:tr>
      <w:tr w:rsidR="005372B1" w:rsidRPr="005372B1" w14:paraId="1BE70E97" w14:textId="77777777" w:rsidTr="002A56D6">
        <w:trPr>
          <w:jc w:val="center"/>
        </w:trPr>
        <w:tc>
          <w:tcPr>
            <w:tcW w:w="1504" w:type="dxa"/>
          </w:tcPr>
          <w:p w14:paraId="10F0B832" w14:textId="77777777" w:rsidR="005372B1" w:rsidRPr="005372B1" w:rsidRDefault="005372B1" w:rsidP="005372B1">
            <w:pPr>
              <w:spacing w:after="0" w:line="360" w:lineRule="auto"/>
              <w:jc w:val="both"/>
              <w:rPr>
                <w:sz w:val="20"/>
                <w:szCs w:val="20"/>
                <w:lang w:bidi="ar-SA"/>
              </w:rPr>
            </w:pPr>
            <w:r w:rsidRPr="005372B1">
              <w:rPr>
                <w:sz w:val="20"/>
                <w:szCs w:val="20"/>
                <w:lang w:bidi="ar-SA"/>
              </w:rPr>
              <w:t>16,000+</w:t>
            </w:r>
          </w:p>
        </w:tc>
        <w:tc>
          <w:tcPr>
            <w:tcW w:w="670" w:type="dxa"/>
          </w:tcPr>
          <w:p w14:paraId="7DD71BC5" w14:textId="77777777" w:rsidR="005372B1" w:rsidRPr="005372B1" w:rsidRDefault="005372B1" w:rsidP="005372B1">
            <w:pPr>
              <w:spacing w:after="0" w:line="360" w:lineRule="auto"/>
              <w:jc w:val="both"/>
              <w:rPr>
                <w:sz w:val="20"/>
                <w:szCs w:val="20"/>
                <w:lang w:bidi="ar-SA"/>
              </w:rPr>
            </w:pPr>
            <w:r w:rsidRPr="005372B1">
              <w:rPr>
                <w:sz w:val="20"/>
                <w:szCs w:val="20"/>
                <w:lang w:bidi="ar-SA"/>
              </w:rPr>
              <w:t>20</w:t>
            </w:r>
          </w:p>
        </w:tc>
        <w:tc>
          <w:tcPr>
            <w:tcW w:w="1116" w:type="dxa"/>
          </w:tcPr>
          <w:p w14:paraId="40514AF4" w14:textId="77777777" w:rsidR="005372B1" w:rsidRPr="005372B1" w:rsidRDefault="005372B1" w:rsidP="005372B1">
            <w:pPr>
              <w:spacing w:after="0" w:line="360" w:lineRule="auto"/>
              <w:jc w:val="both"/>
              <w:rPr>
                <w:sz w:val="20"/>
                <w:szCs w:val="20"/>
                <w:lang w:bidi="ar-SA"/>
              </w:rPr>
            </w:pPr>
            <w:r w:rsidRPr="005372B1">
              <w:rPr>
                <w:sz w:val="20"/>
                <w:szCs w:val="20"/>
                <w:lang w:bidi="ar-SA"/>
              </w:rPr>
              <w:t>336,670</w:t>
            </w:r>
          </w:p>
        </w:tc>
        <w:tc>
          <w:tcPr>
            <w:tcW w:w="661" w:type="dxa"/>
          </w:tcPr>
          <w:p w14:paraId="09B54C2F" w14:textId="77777777" w:rsidR="005372B1" w:rsidRPr="005372B1" w:rsidRDefault="005372B1" w:rsidP="005372B1">
            <w:pPr>
              <w:spacing w:after="0" w:line="360" w:lineRule="auto"/>
              <w:jc w:val="both"/>
              <w:rPr>
                <w:sz w:val="20"/>
                <w:szCs w:val="20"/>
                <w:lang w:bidi="ar-SA"/>
              </w:rPr>
            </w:pPr>
            <w:r w:rsidRPr="005372B1">
              <w:rPr>
                <w:sz w:val="20"/>
                <w:szCs w:val="20"/>
                <w:lang w:bidi="ar-SA"/>
              </w:rPr>
              <w:t>1</w:t>
            </w:r>
          </w:p>
        </w:tc>
        <w:tc>
          <w:tcPr>
            <w:tcW w:w="800" w:type="dxa"/>
          </w:tcPr>
          <w:p w14:paraId="0B385CE0" w14:textId="77777777" w:rsidR="005372B1" w:rsidRPr="005372B1" w:rsidRDefault="005372B1" w:rsidP="005372B1">
            <w:pPr>
              <w:spacing w:after="0" w:line="360" w:lineRule="auto"/>
              <w:jc w:val="both"/>
              <w:rPr>
                <w:sz w:val="20"/>
                <w:szCs w:val="20"/>
                <w:lang w:bidi="ar-SA"/>
              </w:rPr>
            </w:pPr>
            <w:r w:rsidRPr="005372B1">
              <w:rPr>
                <w:sz w:val="20"/>
                <w:szCs w:val="20"/>
                <w:lang w:bidi="ar-SA"/>
              </w:rPr>
              <w:t>18,400</w:t>
            </w:r>
          </w:p>
        </w:tc>
        <w:tc>
          <w:tcPr>
            <w:tcW w:w="664" w:type="dxa"/>
          </w:tcPr>
          <w:p w14:paraId="0C4FC0E4" w14:textId="77777777" w:rsidR="005372B1" w:rsidRPr="005372B1" w:rsidRDefault="005372B1" w:rsidP="005372B1">
            <w:pPr>
              <w:spacing w:after="0" w:line="360" w:lineRule="auto"/>
              <w:jc w:val="both"/>
              <w:rPr>
                <w:sz w:val="20"/>
                <w:szCs w:val="20"/>
                <w:lang w:bidi="ar-SA"/>
              </w:rPr>
            </w:pPr>
            <w:r w:rsidRPr="005372B1">
              <w:rPr>
                <w:sz w:val="20"/>
                <w:szCs w:val="20"/>
                <w:lang w:bidi="ar-SA"/>
              </w:rPr>
              <w:t>30</w:t>
            </w:r>
          </w:p>
        </w:tc>
        <w:tc>
          <w:tcPr>
            <w:tcW w:w="1016" w:type="dxa"/>
          </w:tcPr>
          <w:p w14:paraId="6AA79130" w14:textId="77777777" w:rsidR="005372B1" w:rsidRPr="005372B1" w:rsidRDefault="005372B1" w:rsidP="005372B1">
            <w:pPr>
              <w:spacing w:after="0" w:line="360" w:lineRule="auto"/>
              <w:jc w:val="both"/>
              <w:rPr>
                <w:sz w:val="20"/>
                <w:szCs w:val="20"/>
                <w:lang w:bidi="ar-SA"/>
              </w:rPr>
            </w:pPr>
            <w:r w:rsidRPr="005372B1">
              <w:rPr>
                <w:sz w:val="20"/>
                <w:szCs w:val="20"/>
                <w:lang w:bidi="ar-SA"/>
              </w:rPr>
              <w:t>538,110</w:t>
            </w:r>
          </w:p>
        </w:tc>
        <w:tc>
          <w:tcPr>
            <w:tcW w:w="664" w:type="dxa"/>
          </w:tcPr>
          <w:p w14:paraId="3979DEA4" w14:textId="77777777" w:rsidR="005372B1" w:rsidRPr="005372B1" w:rsidRDefault="005372B1" w:rsidP="005372B1">
            <w:pPr>
              <w:spacing w:after="0" w:line="360" w:lineRule="auto"/>
              <w:jc w:val="both"/>
              <w:rPr>
                <w:sz w:val="20"/>
                <w:szCs w:val="20"/>
                <w:lang w:bidi="ar-SA"/>
              </w:rPr>
            </w:pPr>
            <w:r w:rsidRPr="005372B1">
              <w:rPr>
                <w:sz w:val="20"/>
                <w:szCs w:val="20"/>
                <w:lang w:bidi="ar-SA"/>
              </w:rPr>
              <w:t>10</w:t>
            </w:r>
          </w:p>
        </w:tc>
        <w:tc>
          <w:tcPr>
            <w:tcW w:w="1016" w:type="dxa"/>
          </w:tcPr>
          <w:p w14:paraId="135F0B41" w14:textId="77777777" w:rsidR="005372B1" w:rsidRPr="005372B1" w:rsidRDefault="005372B1" w:rsidP="005372B1">
            <w:pPr>
              <w:spacing w:after="0" w:line="360" w:lineRule="auto"/>
              <w:jc w:val="both"/>
              <w:rPr>
                <w:sz w:val="20"/>
                <w:szCs w:val="20"/>
                <w:lang w:bidi="ar-SA"/>
              </w:rPr>
            </w:pPr>
            <w:r w:rsidRPr="005372B1">
              <w:rPr>
                <w:sz w:val="20"/>
                <w:szCs w:val="20"/>
                <w:lang w:bidi="ar-SA"/>
              </w:rPr>
              <w:t>191,000</w:t>
            </w:r>
          </w:p>
        </w:tc>
        <w:tc>
          <w:tcPr>
            <w:tcW w:w="810" w:type="dxa"/>
          </w:tcPr>
          <w:p w14:paraId="403F6FA4" w14:textId="77777777" w:rsidR="005372B1" w:rsidRPr="005372B1" w:rsidRDefault="005372B1" w:rsidP="005372B1">
            <w:pPr>
              <w:spacing w:after="0" w:line="360" w:lineRule="auto"/>
              <w:jc w:val="both"/>
              <w:rPr>
                <w:sz w:val="20"/>
                <w:szCs w:val="20"/>
                <w:lang w:bidi="ar-SA"/>
              </w:rPr>
            </w:pPr>
            <w:r w:rsidRPr="005372B1">
              <w:rPr>
                <w:sz w:val="20"/>
                <w:szCs w:val="20"/>
                <w:lang w:bidi="ar-SA"/>
              </w:rPr>
              <w:t>41</w:t>
            </w:r>
          </w:p>
        </w:tc>
        <w:tc>
          <w:tcPr>
            <w:tcW w:w="1016" w:type="dxa"/>
          </w:tcPr>
          <w:p w14:paraId="5CAAB4CD" w14:textId="77777777" w:rsidR="005372B1" w:rsidRPr="005372B1" w:rsidRDefault="005372B1" w:rsidP="005372B1">
            <w:pPr>
              <w:spacing w:after="0" w:line="360" w:lineRule="auto"/>
              <w:jc w:val="both"/>
              <w:rPr>
                <w:sz w:val="20"/>
                <w:szCs w:val="20"/>
                <w:lang w:bidi="ar-SA"/>
              </w:rPr>
            </w:pPr>
            <w:r w:rsidRPr="005372B1">
              <w:rPr>
                <w:sz w:val="20"/>
                <w:szCs w:val="20"/>
                <w:lang w:bidi="ar-SA"/>
              </w:rPr>
              <w:t>747,510</w:t>
            </w:r>
          </w:p>
        </w:tc>
      </w:tr>
      <w:tr w:rsidR="005372B1" w:rsidRPr="005372B1" w14:paraId="5B429B98" w14:textId="77777777" w:rsidTr="002A56D6">
        <w:trPr>
          <w:jc w:val="center"/>
        </w:trPr>
        <w:tc>
          <w:tcPr>
            <w:tcW w:w="1504" w:type="dxa"/>
          </w:tcPr>
          <w:p w14:paraId="0A2782D6" w14:textId="77777777" w:rsidR="005372B1" w:rsidRPr="005372B1" w:rsidRDefault="005372B1" w:rsidP="005372B1">
            <w:pPr>
              <w:spacing w:after="0" w:line="360" w:lineRule="auto"/>
              <w:jc w:val="both"/>
              <w:rPr>
                <w:b/>
                <w:sz w:val="20"/>
                <w:szCs w:val="20"/>
                <w:lang w:bidi="ar-SA"/>
              </w:rPr>
            </w:pPr>
            <w:r w:rsidRPr="005372B1">
              <w:rPr>
                <w:b/>
                <w:sz w:val="20"/>
                <w:szCs w:val="20"/>
                <w:lang w:bidi="ar-SA"/>
              </w:rPr>
              <w:t>Total</w:t>
            </w:r>
          </w:p>
        </w:tc>
        <w:tc>
          <w:tcPr>
            <w:tcW w:w="670" w:type="dxa"/>
          </w:tcPr>
          <w:p w14:paraId="28D30643" w14:textId="77777777" w:rsidR="005372B1" w:rsidRPr="005372B1" w:rsidRDefault="005372B1" w:rsidP="005372B1">
            <w:pPr>
              <w:spacing w:after="0" w:line="360" w:lineRule="auto"/>
              <w:jc w:val="both"/>
              <w:rPr>
                <w:b/>
                <w:sz w:val="20"/>
                <w:szCs w:val="20"/>
                <w:lang w:bidi="ar-SA"/>
              </w:rPr>
            </w:pPr>
            <w:r w:rsidRPr="005372B1">
              <w:rPr>
                <w:b/>
                <w:sz w:val="20"/>
                <w:szCs w:val="20"/>
                <w:lang w:bidi="ar-SA"/>
              </w:rPr>
              <w:t>5,056</w:t>
            </w:r>
          </w:p>
        </w:tc>
        <w:tc>
          <w:tcPr>
            <w:tcW w:w="1116" w:type="dxa"/>
          </w:tcPr>
          <w:p w14:paraId="42A40CDC" w14:textId="77777777" w:rsidR="005372B1" w:rsidRPr="005372B1" w:rsidRDefault="005372B1" w:rsidP="005372B1">
            <w:pPr>
              <w:spacing w:after="0" w:line="360" w:lineRule="auto"/>
              <w:jc w:val="both"/>
              <w:rPr>
                <w:b/>
                <w:sz w:val="20"/>
                <w:szCs w:val="20"/>
                <w:lang w:bidi="ar-SA"/>
              </w:rPr>
            </w:pPr>
            <w:r w:rsidRPr="005372B1">
              <w:rPr>
                <w:b/>
                <w:sz w:val="20"/>
                <w:szCs w:val="20"/>
                <w:lang w:bidi="ar-SA"/>
              </w:rPr>
              <w:t>17,978,594</w:t>
            </w:r>
          </w:p>
        </w:tc>
        <w:tc>
          <w:tcPr>
            <w:tcW w:w="661" w:type="dxa"/>
          </w:tcPr>
          <w:p w14:paraId="2A8E2991" w14:textId="77777777" w:rsidR="005372B1" w:rsidRPr="005372B1" w:rsidRDefault="005372B1" w:rsidP="005372B1">
            <w:pPr>
              <w:spacing w:after="0" w:line="360" w:lineRule="auto"/>
              <w:jc w:val="both"/>
              <w:rPr>
                <w:b/>
                <w:sz w:val="20"/>
                <w:szCs w:val="20"/>
                <w:lang w:bidi="ar-SA"/>
              </w:rPr>
            </w:pPr>
            <w:r w:rsidRPr="005372B1">
              <w:rPr>
                <w:b/>
                <w:sz w:val="20"/>
                <w:szCs w:val="20"/>
                <w:lang w:bidi="ar-SA"/>
              </w:rPr>
              <w:t>25</w:t>
            </w:r>
          </w:p>
        </w:tc>
        <w:tc>
          <w:tcPr>
            <w:tcW w:w="800" w:type="dxa"/>
          </w:tcPr>
          <w:p w14:paraId="2ADD6AC1" w14:textId="77777777" w:rsidR="005372B1" w:rsidRPr="005372B1" w:rsidRDefault="005372B1" w:rsidP="005372B1">
            <w:pPr>
              <w:spacing w:after="0" w:line="360" w:lineRule="auto"/>
              <w:jc w:val="both"/>
              <w:rPr>
                <w:b/>
                <w:sz w:val="20"/>
                <w:szCs w:val="20"/>
                <w:lang w:bidi="ar-SA"/>
              </w:rPr>
            </w:pPr>
            <w:r w:rsidRPr="005372B1">
              <w:rPr>
                <w:b/>
                <w:sz w:val="20"/>
                <w:szCs w:val="20"/>
                <w:lang w:bidi="ar-SA"/>
              </w:rPr>
              <w:t>98,654</w:t>
            </w:r>
          </w:p>
        </w:tc>
        <w:tc>
          <w:tcPr>
            <w:tcW w:w="664" w:type="dxa"/>
          </w:tcPr>
          <w:p w14:paraId="0B55481B" w14:textId="77777777" w:rsidR="005372B1" w:rsidRPr="005372B1" w:rsidRDefault="005372B1" w:rsidP="005372B1">
            <w:pPr>
              <w:spacing w:after="0" w:line="360" w:lineRule="auto"/>
              <w:jc w:val="both"/>
              <w:rPr>
                <w:b/>
                <w:sz w:val="20"/>
                <w:szCs w:val="20"/>
                <w:lang w:bidi="ar-SA"/>
              </w:rPr>
            </w:pPr>
            <w:r w:rsidRPr="005372B1">
              <w:rPr>
                <w:b/>
                <w:sz w:val="20"/>
                <w:szCs w:val="20"/>
                <w:lang w:bidi="ar-SA"/>
              </w:rPr>
              <w:t>247</w:t>
            </w:r>
          </w:p>
        </w:tc>
        <w:tc>
          <w:tcPr>
            <w:tcW w:w="1016" w:type="dxa"/>
          </w:tcPr>
          <w:p w14:paraId="61BBED0D" w14:textId="77777777" w:rsidR="005372B1" w:rsidRPr="005372B1" w:rsidRDefault="005372B1" w:rsidP="005372B1">
            <w:pPr>
              <w:spacing w:after="0" w:line="360" w:lineRule="auto"/>
              <w:jc w:val="both"/>
              <w:rPr>
                <w:b/>
                <w:sz w:val="20"/>
                <w:szCs w:val="20"/>
                <w:lang w:bidi="ar-SA"/>
              </w:rPr>
            </w:pPr>
            <w:r w:rsidRPr="005372B1">
              <w:rPr>
                <w:b/>
                <w:sz w:val="20"/>
                <w:szCs w:val="20"/>
                <w:lang w:bidi="ar-SA"/>
              </w:rPr>
              <w:t>1,920,183</w:t>
            </w:r>
          </w:p>
        </w:tc>
        <w:tc>
          <w:tcPr>
            <w:tcW w:w="664" w:type="dxa"/>
          </w:tcPr>
          <w:p w14:paraId="0182033D" w14:textId="77777777" w:rsidR="005372B1" w:rsidRPr="005372B1" w:rsidRDefault="005372B1" w:rsidP="005372B1">
            <w:pPr>
              <w:spacing w:after="0" w:line="360" w:lineRule="auto"/>
              <w:jc w:val="both"/>
              <w:rPr>
                <w:b/>
                <w:sz w:val="20"/>
                <w:szCs w:val="20"/>
                <w:lang w:bidi="ar-SA"/>
              </w:rPr>
            </w:pPr>
            <w:r w:rsidRPr="005372B1">
              <w:rPr>
                <w:b/>
                <w:sz w:val="20"/>
                <w:szCs w:val="20"/>
                <w:lang w:bidi="ar-SA"/>
              </w:rPr>
              <w:t>160</w:t>
            </w:r>
          </w:p>
        </w:tc>
        <w:tc>
          <w:tcPr>
            <w:tcW w:w="1016" w:type="dxa"/>
          </w:tcPr>
          <w:p w14:paraId="73C2E3C5" w14:textId="77777777" w:rsidR="005372B1" w:rsidRPr="005372B1" w:rsidRDefault="005372B1" w:rsidP="005372B1">
            <w:pPr>
              <w:spacing w:after="0" w:line="360" w:lineRule="auto"/>
              <w:jc w:val="both"/>
              <w:rPr>
                <w:b/>
                <w:sz w:val="20"/>
                <w:szCs w:val="20"/>
                <w:lang w:bidi="ar-SA"/>
              </w:rPr>
            </w:pPr>
            <w:r w:rsidRPr="005372B1">
              <w:rPr>
                <w:b/>
                <w:sz w:val="20"/>
                <w:szCs w:val="20"/>
                <w:lang w:bidi="ar-SA"/>
              </w:rPr>
              <w:t>1,199,553</w:t>
            </w:r>
          </w:p>
        </w:tc>
        <w:tc>
          <w:tcPr>
            <w:tcW w:w="810" w:type="dxa"/>
          </w:tcPr>
          <w:p w14:paraId="16A8E7A5" w14:textId="77777777" w:rsidR="005372B1" w:rsidRPr="005372B1" w:rsidRDefault="005372B1" w:rsidP="005372B1">
            <w:pPr>
              <w:spacing w:after="0" w:line="360" w:lineRule="auto"/>
              <w:jc w:val="both"/>
              <w:rPr>
                <w:b/>
                <w:sz w:val="20"/>
                <w:szCs w:val="20"/>
                <w:lang w:bidi="ar-SA"/>
              </w:rPr>
            </w:pPr>
            <w:r w:rsidRPr="005372B1">
              <w:rPr>
                <w:b/>
                <w:sz w:val="20"/>
                <w:szCs w:val="20"/>
                <w:lang w:bidi="ar-SA"/>
              </w:rPr>
              <w:t>432</w:t>
            </w:r>
          </w:p>
        </w:tc>
        <w:tc>
          <w:tcPr>
            <w:tcW w:w="1016" w:type="dxa"/>
          </w:tcPr>
          <w:p w14:paraId="68CB532C" w14:textId="77777777" w:rsidR="005372B1" w:rsidRPr="005372B1" w:rsidRDefault="005372B1" w:rsidP="005372B1">
            <w:pPr>
              <w:spacing w:after="0" w:line="360" w:lineRule="auto"/>
              <w:jc w:val="both"/>
              <w:rPr>
                <w:b/>
                <w:sz w:val="20"/>
                <w:szCs w:val="20"/>
                <w:lang w:bidi="ar-SA"/>
              </w:rPr>
            </w:pPr>
            <w:r w:rsidRPr="005372B1">
              <w:rPr>
                <w:b/>
                <w:sz w:val="20"/>
                <w:szCs w:val="20"/>
                <w:lang w:bidi="ar-SA"/>
              </w:rPr>
              <w:t>3,218,390</w:t>
            </w:r>
          </w:p>
        </w:tc>
      </w:tr>
    </w:tbl>
    <w:p w14:paraId="0F32848F" w14:textId="77777777" w:rsidR="003074A8" w:rsidRDefault="003074A8" w:rsidP="00AD7AA5">
      <w:pPr>
        <w:spacing w:line="360" w:lineRule="auto"/>
        <w:jc w:val="center"/>
        <w:rPr>
          <w:szCs w:val="24"/>
        </w:rPr>
      </w:pPr>
      <w:r>
        <w:rPr>
          <w:szCs w:val="24"/>
        </w:rPr>
        <w:t xml:space="preserve">Source: </w:t>
      </w:r>
      <w:proofErr w:type="spellStart"/>
      <w:r>
        <w:rPr>
          <w:szCs w:val="24"/>
        </w:rPr>
        <w:t>Containerisation</w:t>
      </w:r>
      <w:proofErr w:type="spellEnd"/>
      <w:r>
        <w:rPr>
          <w:szCs w:val="24"/>
        </w:rPr>
        <w:t xml:space="preserve"> International</w:t>
      </w:r>
    </w:p>
    <w:p w14:paraId="1C754010" w14:textId="1CC088EF" w:rsidR="003074A8" w:rsidRDefault="003074A8" w:rsidP="005372B1">
      <w:pPr>
        <w:rPr>
          <w:szCs w:val="24"/>
        </w:rPr>
      </w:pPr>
      <w:r>
        <w:t>The table reveals that sub-1,000 TEU vessels account for 3.5% of the world fleet by TEU but 20.5% by number of vessels. What is particularly interesting is the order book, which shows very few small vessels on order. Only 10 out of 432 vessels or 5,403</w:t>
      </w:r>
      <w:r w:rsidRPr="002D344E">
        <w:t xml:space="preserve"> TEU out of </w:t>
      </w:r>
      <w:r>
        <w:t>3,218,390 TEU (0.17%)</w:t>
      </w:r>
      <w:r w:rsidRPr="002D344E">
        <w:t xml:space="preserve"> currently on order will be sub-1,000 TEU.</w:t>
      </w:r>
      <w:r>
        <w:t xml:space="preserve"> The majority of the orders are in the range of the largest vessels, which will exert significant pressure to cascade vessels downwards. Significantly, the 1,000-2,999 TEU range continues to be popular, and using them on smaller routes will grant increased flexibility to operators. The obvious conclusion to be drawn from the data is that s</w:t>
      </w:r>
      <w:r w:rsidRPr="002D344E">
        <w:t xml:space="preserve">hipping lines do not appear to require new smaller vessels. This is explained by </w:t>
      </w:r>
      <w:r>
        <w:t>analysis of current tonnage laid up during November 2014 (</w:t>
      </w:r>
      <w:fldSimple w:instr=" REF _Ref413142636  \* MERGEFORMAT ">
        <w:r w:rsidR="00A12B83">
          <w:t>Table 2</w:t>
        </w:r>
      </w:fldSimple>
      <w:r>
        <w:t>).</w:t>
      </w:r>
    </w:p>
    <w:p w14:paraId="59275E15" w14:textId="3C8C9F7F" w:rsidR="003074A8" w:rsidRDefault="003074A8" w:rsidP="005372B1">
      <w:pPr>
        <w:pStyle w:val="TableFigureHeading"/>
      </w:pPr>
      <w:bookmarkStart w:id="7" w:name="_Ref413142636"/>
      <w:r>
        <w:lastRenderedPageBreak/>
        <w:t xml:space="preserve">Table </w:t>
      </w:r>
      <w:r>
        <w:fldChar w:fldCharType="begin"/>
      </w:r>
      <w:r>
        <w:instrText xml:space="preserve"> SEQ Table \* ARABIC </w:instrText>
      </w:r>
      <w:r>
        <w:fldChar w:fldCharType="separate"/>
      </w:r>
      <w:r w:rsidR="00A12B83">
        <w:rPr>
          <w:noProof/>
        </w:rPr>
        <w:t>2</w:t>
      </w:r>
      <w:r>
        <w:rPr>
          <w:noProof/>
        </w:rPr>
        <w:fldChar w:fldCharType="end"/>
      </w:r>
      <w:bookmarkEnd w:id="7"/>
      <w:r w:rsidR="005372B1">
        <w:t xml:space="preserve"> -</w:t>
      </w:r>
      <w:r>
        <w:t xml:space="preserve"> Vessels laid up November 2014</w:t>
      </w:r>
    </w:p>
    <w:tbl>
      <w:tblPr>
        <w:tblStyle w:val="TableGrid2"/>
        <w:tblW w:w="7173" w:type="dxa"/>
        <w:jc w:val="center"/>
        <w:tblLook w:val="04A0" w:firstRow="1" w:lastRow="0" w:firstColumn="1" w:lastColumn="0" w:noHBand="0" w:noVBand="1"/>
      </w:tblPr>
      <w:tblGrid>
        <w:gridCol w:w="1461"/>
        <w:gridCol w:w="664"/>
        <w:gridCol w:w="1006"/>
        <w:gridCol w:w="678"/>
        <w:gridCol w:w="866"/>
        <w:gridCol w:w="680"/>
        <w:gridCol w:w="1010"/>
        <w:gridCol w:w="808"/>
      </w:tblGrid>
      <w:tr w:rsidR="005372B1" w:rsidRPr="005372B1" w14:paraId="2D3C821E" w14:textId="77777777" w:rsidTr="00675806">
        <w:trPr>
          <w:jc w:val="center"/>
        </w:trPr>
        <w:tc>
          <w:tcPr>
            <w:tcW w:w="1479" w:type="dxa"/>
            <w:vMerge w:val="restart"/>
          </w:tcPr>
          <w:p w14:paraId="4ACB1C5A" w14:textId="77777777" w:rsidR="005372B1" w:rsidRPr="005372B1" w:rsidRDefault="005372B1" w:rsidP="005372B1">
            <w:pPr>
              <w:spacing w:after="0" w:line="360" w:lineRule="auto"/>
              <w:jc w:val="both"/>
              <w:rPr>
                <w:sz w:val="20"/>
                <w:szCs w:val="20"/>
                <w:lang w:bidi="ar-SA"/>
              </w:rPr>
            </w:pPr>
            <w:r w:rsidRPr="005372B1">
              <w:rPr>
                <w:sz w:val="20"/>
                <w:szCs w:val="20"/>
                <w:lang w:bidi="ar-SA"/>
              </w:rPr>
              <w:t>TEU range</w:t>
            </w:r>
          </w:p>
        </w:tc>
        <w:tc>
          <w:tcPr>
            <w:tcW w:w="1683" w:type="dxa"/>
            <w:gridSpan w:val="2"/>
          </w:tcPr>
          <w:p w14:paraId="6D0B8707" w14:textId="77777777" w:rsidR="005372B1" w:rsidRPr="005372B1" w:rsidRDefault="005372B1" w:rsidP="005372B1">
            <w:pPr>
              <w:spacing w:after="0" w:line="360" w:lineRule="auto"/>
              <w:jc w:val="both"/>
              <w:rPr>
                <w:sz w:val="20"/>
                <w:szCs w:val="20"/>
                <w:lang w:bidi="ar-SA"/>
              </w:rPr>
            </w:pPr>
            <w:r w:rsidRPr="005372B1">
              <w:rPr>
                <w:sz w:val="20"/>
                <w:szCs w:val="20"/>
                <w:lang w:bidi="ar-SA"/>
              </w:rPr>
              <w:t>Owner operator</w:t>
            </w:r>
          </w:p>
        </w:tc>
        <w:tc>
          <w:tcPr>
            <w:tcW w:w="1499" w:type="dxa"/>
            <w:gridSpan w:val="2"/>
          </w:tcPr>
          <w:p w14:paraId="6E480BAE" w14:textId="77777777" w:rsidR="005372B1" w:rsidRPr="005372B1" w:rsidRDefault="005372B1" w:rsidP="005372B1">
            <w:pPr>
              <w:spacing w:after="0" w:line="360" w:lineRule="auto"/>
              <w:jc w:val="both"/>
              <w:rPr>
                <w:sz w:val="20"/>
                <w:szCs w:val="20"/>
                <w:lang w:bidi="ar-SA"/>
              </w:rPr>
            </w:pPr>
            <w:r w:rsidRPr="005372B1">
              <w:rPr>
                <w:sz w:val="20"/>
                <w:szCs w:val="20"/>
                <w:lang w:bidi="ar-SA"/>
              </w:rPr>
              <w:t>Chartered/</w:t>
            </w:r>
          </w:p>
          <w:p w14:paraId="5CF500E1" w14:textId="77777777" w:rsidR="005372B1" w:rsidRPr="005372B1" w:rsidRDefault="005372B1" w:rsidP="005372B1">
            <w:pPr>
              <w:spacing w:after="0" w:line="360" w:lineRule="auto"/>
              <w:jc w:val="both"/>
              <w:rPr>
                <w:sz w:val="20"/>
                <w:szCs w:val="20"/>
                <w:lang w:bidi="ar-SA"/>
              </w:rPr>
            </w:pPr>
            <w:r w:rsidRPr="005372B1">
              <w:rPr>
                <w:sz w:val="20"/>
                <w:szCs w:val="20"/>
                <w:lang w:bidi="ar-SA"/>
              </w:rPr>
              <w:t>unknown</w:t>
            </w:r>
          </w:p>
        </w:tc>
        <w:tc>
          <w:tcPr>
            <w:tcW w:w="1700" w:type="dxa"/>
            <w:gridSpan w:val="2"/>
          </w:tcPr>
          <w:p w14:paraId="3E2F9C84" w14:textId="77777777" w:rsidR="005372B1" w:rsidRPr="005372B1" w:rsidRDefault="005372B1" w:rsidP="005372B1">
            <w:pPr>
              <w:spacing w:after="0" w:line="360" w:lineRule="auto"/>
              <w:jc w:val="both"/>
              <w:rPr>
                <w:sz w:val="20"/>
                <w:szCs w:val="20"/>
                <w:lang w:bidi="ar-SA"/>
              </w:rPr>
            </w:pPr>
            <w:r w:rsidRPr="005372B1">
              <w:rPr>
                <w:sz w:val="20"/>
                <w:szCs w:val="20"/>
                <w:lang w:bidi="ar-SA"/>
              </w:rPr>
              <w:t>Total</w:t>
            </w:r>
          </w:p>
        </w:tc>
        <w:tc>
          <w:tcPr>
            <w:tcW w:w="812" w:type="dxa"/>
            <w:vMerge w:val="restart"/>
          </w:tcPr>
          <w:p w14:paraId="4394598E" w14:textId="77777777" w:rsidR="005372B1" w:rsidRPr="005372B1" w:rsidRDefault="005372B1" w:rsidP="005372B1">
            <w:pPr>
              <w:spacing w:after="0" w:line="360" w:lineRule="auto"/>
              <w:jc w:val="both"/>
              <w:rPr>
                <w:sz w:val="20"/>
                <w:szCs w:val="20"/>
                <w:lang w:bidi="ar-SA"/>
              </w:rPr>
            </w:pPr>
            <w:r w:rsidRPr="005372B1">
              <w:rPr>
                <w:sz w:val="20"/>
                <w:szCs w:val="20"/>
                <w:lang w:bidi="ar-SA"/>
              </w:rPr>
              <w:t>% of total fleet</w:t>
            </w:r>
          </w:p>
        </w:tc>
      </w:tr>
      <w:tr w:rsidR="005372B1" w:rsidRPr="005372B1" w14:paraId="209AE3F5" w14:textId="77777777" w:rsidTr="00675806">
        <w:trPr>
          <w:jc w:val="center"/>
        </w:trPr>
        <w:tc>
          <w:tcPr>
            <w:tcW w:w="1479" w:type="dxa"/>
            <w:vMerge/>
          </w:tcPr>
          <w:p w14:paraId="05587119" w14:textId="77777777" w:rsidR="005372B1" w:rsidRPr="005372B1" w:rsidRDefault="005372B1" w:rsidP="005372B1">
            <w:pPr>
              <w:spacing w:after="0" w:line="360" w:lineRule="auto"/>
              <w:jc w:val="both"/>
              <w:rPr>
                <w:sz w:val="20"/>
                <w:szCs w:val="20"/>
                <w:lang w:bidi="ar-SA"/>
              </w:rPr>
            </w:pPr>
          </w:p>
        </w:tc>
        <w:tc>
          <w:tcPr>
            <w:tcW w:w="669" w:type="dxa"/>
          </w:tcPr>
          <w:p w14:paraId="2CF78867" w14:textId="77777777" w:rsidR="005372B1" w:rsidRPr="005372B1" w:rsidRDefault="005372B1" w:rsidP="005372B1">
            <w:pPr>
              <w:spacing w:after="0" w:line="360" w:lineRule="auto"/>
              <w:jc w:val="both"/>
              <w:rPr>
                <w:sz w:val="20"/>
                <w:szCs w:val="20"/>
                <w:lang w:bidi="ar-SA"/>
              </w:rPr>
            </w:pPr>
            <w:r w:rsidRPr="005372B1">
              <w:rPr>
                <w:sz w:val="20"/>
                <w:szCs w:val="20"/>
                <w:lang w:bidi="ar-SA"/>
              </w:rPr>
              <w:t>No.</w:t>
            </w:r>
          </w:p>
        </w:tc>
        <w:tc>
          <w:tcPr>
            <w:tcW w:w="1014" w:type="dxa"/>
          </w:tcPr>
          <w:p w14:paraId="2F38935D" w14:textId="77777777" w:rsidR="005372B1" w:rsidRPr="005372B1" w:rsidRDefault="005372B1" w:rsidP="005372B1">
            <w:pPr>
              <w:spacing w:after="0" w:line="360" w:lineRule="auto"/>
              <w:jc w:val="both"/>
              <w:rPr>
                <w:sz w:val="20"/>
                <w:szCs w:val="20"/>
                <w:lang w:bidi="ar-SA"/>
              </w:rPr>
            </w:pPr>
            <w:r w:rsidRPr="005372B1">
              <w:rPr>
                <w:sz w:val="20"/>
                <w:szCs w:val="20"/>
                <w:lang w:bidi="ar-SA"/>
              </w:rPr>
              <w:t>TEU</w:t>
            </w:r>
          </w:p>
        </w:tc>
        <w:tc>
          <w:tcPr>
            <w:tcW w:w="683" w:type="dxa"/>
          </w:tcPr>
          <w:p w14:paraId="287A1640" w14:textId="77777777" w:rsidR="005372B1" w:rsidRPr="005372B1" w:rsidRDefault="005372B1" w:rsidP="005372B1">
            <w:pPr>
              <w:spacing w:after="0" w:line="360" w:lineRule="auto"/>
              <w:jc w:val="both"/>
              <w:rPr>
                <w:sz w:val="20"/>
                <w:szCs w:val="20"/>
                <w:lang w:bidi="ar-SA"/>
              </w:rPr>
            </w:pPr>
            <w:r w:rsidRPr="005372B1">
              <w:rPr>
                <w:sz w:val="20"/>
                <w:szCs w:val="20"/>
                <w:lang w:bidi="ar-SA"/>
              </w:rPr>
              <w:t>No.</w:t>
            </w:r>
          </w:p>
        </w:tc>
        <w:tc>
          <w:tcPr>
            <w:tcW w:w="816" w:type="dxa"/>
          </w:tcPr>
          <w:p w14:paraId="6EB46951" w14:textId="77777777" w:rsidR="005372B1" w:rsidRPr="005372B1" w:rsidRDefault="005372B1" w:rsidP="005372B1">
            <w:pPr>
              <w:spacing w:after="0" w:line="360" w:lineRule="auto"/>
              <w:jc w:val="both"/>
              <w:rPr>
                <w:sz w:val="20"/>
                <w:szCs w:val="20"/>
                <w:lang w:bidi="ar-SA"/>
              </w:rPr>
            </w:pPr>
            <w:r w:rsidRPr="005372B1">
              <w:rPr>
                <w:sz w:val="20"/>
                <w:szCs w:val="20"/>
                <w:lang w:bidi="ar-SA"/>
              </w:rPr>
              <w:t>TEU</w:t>
            </w:r>
          </w:p>
        </w:tc>
        <w:tc>
          <w:tcPr>
            <w:tcW w:w="685" w:type="dxa"/>
          </w:tcPr>
          <w:p w14:paraId="1A3940FD" w14:textId="77777777" w:rsidR="005372B1" w:rsidRPr="005372B1" w:rsidRDefault="005372B1" w:rsidP="005372B1">
            <w:pPr>
              <w:spacing w:after="0" w:line="360" w:lineRule="auto"/>
              <w:jc w:val="both"/>
              <w:rPr>
                <w:sz w:val="20"/>
                <w:szCs w:val="20"/>
                <w:lang w:bidi="ar-SA"/>
              </w:rPr>
            </w:pPr>
            <w:r w:rsidRPr="005372B1">
              <w:rPr>
                <w:sz w:val="20"/>
                <w:szCs w:val="20"/>
                <w:lang w:bidi="ar-SA"/>
              </w:rPr>
              <w:t>No.</w:t>
            </w:r>
          </w:p>
        </w:tc>
        <w:tc>
          <w:tcPr>
            <w:tcW w:w="1015" w:type="dxa"/>
          </w:tcPr>
          <w:p w14:paraId="217EE76E" w14:textId="77777777" w:rsidR="005372B1" w:rsidRPr="005372B1" w:rsidRDefault="005372B1" w:rsidP="005372B1">
            <w:pPr>
              <w:spacing w:after="0" w:line="360" w:lineRule="auto"/>
              <w:jc w:val="both"/>
              <w:rPr>
                <w:sz w:val="20"/>
                <w:szCs w:val="20"/>
                <w:lang w:bidi="ar-SA"/>
              </w:rPr>
            </w:pPr>
            <w:r w:rsidRPr="005372B1">
              <w:rPr>
                <w:sz w:val="20"/>
                <w:szCs w:val="20"/>
                <w:lang w:bidi="ar-SA"/>
              </w:rPr>
              <w:t>TEU</w:t>
            </w:r>
          </w:p>
        </w:tc>
        <w:tc>
          <w:tcPr>
            <w:tcW w:w="812" w:type="dxa"/>
            <w:vMerge/>
          </w:tcPr>
          <w:p w14:paraId="1C811F4F" w14:textId="77777777" w:rsidR="005372B1" w:rsidRPr="005372B1" w:rsidRDefault="005372B1" w:rsidP="005372B1">
            <w:pPr>
              <w:spacing w:after="0" w:line="360" w:lineRule="auto"/>
              <w:jc w:val="both"/>
              <w:rPr>
                <w:sz w:val="20"/>
                <w:szCs w:val="20"/>
                <w:lang w:bidi="ar-SA"/>
              </w:rPr>
            </w:pPr>
          </w:p>
        </w:tc>
      </w:tr>
      <w:tr w:rsidR="005372B1" w:rsidRPr="005372B1" w14:paraId="4B4DCC54" w14:textId="77777777" w:rsidTr="00675806">
        <w:trPr>
          <w:jc w:val="center"/>
        </w:trPr>
        <w:tc>
          <w:tcPr>
            <w:tcW w:w="1479" w:type="dxa"/>
          </w:tcPr>
          <w:p w14:paraId="7127E1B4" w14:textId="77777777" w:rsidR="005372B1" w:rsidRPr="005372B1" w:rsidRDefault="005372B1" w:rsidP="005372B1">
            <w:pPr>
              <w:spacing w:after="0" w:line="360" w:lineRule="auto"/>
              <w:jc w:val="both"/>
              <w:rPr>
                <w:sz w:val="20"/>
                <w:szCs w:val="20"/>
                <w:lang w:bidi="ar-SA"/>
              </w:rPr>
            </w:pPr>
            <w:r w:rsidRPr="005372B1">
              <w:rPr>
                <w:sz w:val="20"/>
                <w:szCs w:val="20"/>
                <w:lang w:bidi="ar-SA"/>
              </w:rPr>
              <w:t>0-499</w:t>
            </w:r>
          </w:p>
        </w:tc>
        <w:tc>
          <w:tcPr>
            <w:tcW w:w="669" w:type="dxa"/>
          </w:tcPr>
          <w:p w14:paraId="220A9CF8" w14:textId="77777777" w:rsidR="005372B1" w:rsidRPr="005372B1" w:rsidRDefault="005372B1" w:rsidP="005372B1">
            <w:pPr>
              <w:spacing w:after="0" w:line="360" w:lineRule="auto"/>
              <w:jc w:val="both"/>
              <w:rPr>
                <w:sz w:val="20"/>
                <w:szCs w:val="20"/>
                <w:lang w:bidi="ar-SA"/>
              </w:rPr>
            </w:pPr>
            <w:r w:rsidRPr="005372B1">
              <w:rPr>
                <w:sz w:val="20"/>
                <w:szCs w:val="20"/>
                <w:lang w:bidi="ar-SA"/>
              </w:rPr>
              <w:t>19</w:t>
            </w:r>
          </w:p>
        </w:tc>
        <w:tc>
          <w:tcPr>
            <w:tcW w:w="1014" w:type="dxa"/>
          </w:tcPr>
          <w:p w14:paraId="0C34A333" w14:textId="77777777" w:rsidR="005372B1" w:rsidRPr="005372B1" w:rsidRDefault="005372B1" w:rsidP="005372B1">
            <w:pPr>
              <w:spacing w:after="0" w:line="360" w:lineRule="auto"/>
              <w:jc w:val="both"/>
              <w:rPr>
                <w:sz w:val="20"/>
                <w:szCs w:val="20"/>
                <w:lang w:bidi="ar-SA"/>
              </w:rPr>
            </w:pPr>
            <w:r w:rsidRPr="005372B1">
              <w:rPr>
                <w:sz w:val="20"/>
                <w:szCs w:val="20"/>
                <w:lang w:bidi="ar-SA"/>
              </w:rPr>
              <w:t>6,702</w:t>
            </w:r>
          </w:p>
        </w:tc>
        <w:tc>
          <w:tcPr>
            <w:tcW w:w="683" w:type="dxa"/>
          </w:tcPr>
          <w:p w14:paraId="5A658B7B" w14:textId="77777777" w:rsidR="005372B1" w:rsidRPr="005372B1" w:rsidRDefault="005372B1" w:rsidP="005372B1">
            <w:pPr>
              <w:spacing w:after="0" w:line="360" w:lineRule="auto"/>
              <w:jc w:val="both"/>
              <w:rPr>
                <w:sz w:val="20"/>
                <w:szCs w:val="20"/>
                <w:lang w:bidi="ar-SA"/>
              </w:rPr>
            </w:pPr>
            <w:r w:rsidRPr="005372B1">
              <w:rPr>
                <w:sz w:val="20"/>
                <w:szCs w:val="20"/>
                <w:lang w:bidi="ar-SA"/>
              </w:rPr>
              <w:t>73</w:t>
            </w:r>
          </w:p>
        </w:tc>
        <w:tc>
          <w:tcPr>
            <w:tcW w:w="816" w:type="dxa"/>
          </w:tcPr>
          <w:p w14:paraId="04A4D11E" w14:textId="77777777" w:rsidR="005372B1" w:rsidRPr="005372B1" w:rsidRDefault="005372B1" w:rsidP="005372B1">
            <w:pPr>
              <w:spacing w:after="0" w:line="360" w:lineRule="auto"/>
              <w:jc w:val="both"/>
              <w:rPr>
                <w:sz w:val="20"/>
                <w:szCs w:val="20"/>
                <w:lang w:bidi="ar-SA"/>
              </w:rPr>
            </w:pPr>
            <w:r w:rsidRPr="005372B1">
              <w:rPr>
                <w:sz w:val="20"/>
                <w:szCs w:val="20"/>
                <w:lang w:bidi="ar-SA"/>
              </w:rPr>
              <w:t>16,399</w:t>
            </w:r>
          </w:p>
        </w:tc>
        <w:tc>
          <w:tcPr>
            <w:tcW w:w="685" w:type="dxa"/>
          </w:tcPr>
          <w:p w14:paraId="41F720CC" w14:textId="77777777" w:rsidR="005372B1" w:rsidRPr="005372B1" w:rsidRDefault="005372B1" w:rsidP="005372B1">
            <w:pPr>
              <w:spacing w:after="0" w:line="360" w:lineRule="auto"/>
              <w:jc w:val="both"/>
              <w:rPr>
                <w:sz w:val="20"/>
                <w:szCs w:val="20"/>
                <w:lang w:bidi="ar-SA"/>
              </w:rPr>
            </w:pPr>
            <w:r w:rsidRPr="005372B1">
              <w:rPr>
                <w:sz w:val="20"/>
                <w:szCs w:val="20"/>
                <w:lang w:bidi="ar-SA"/>
              </w:rPr>
              <w:t>92</w:t>
            </w:r>
          </w:p>
        </w:tc>
        <w:tc>
          <w:tcPr>
            <w:tcW w:w="1015" w:type="dxa"/>
          </w:tcPr>
          <w:p w14:paraId="40B21517" w14:textId="77777777" w:rsidR="005372B1" w:rsidRPr="005372B1" w:rsidRDefault="005372B1" w:rsidP="005372B1">
            <w:pPr>
              <w:spacing w:after="0" w:line="360" w:lineRule="auto"/>
              <w:jc w:val="both"/>
              <w:rPr>
                <w:sz w:val="20"/>
                <w:szCs w:val="20"/>
                <w:lang w:bidi="ar-SA"/>
              </w:rPr>
            </w:pPr>
            <w:r w:rsidRPr="005372B1">
              <w:rPr>
                <w:sz w:val="20"/>
                <w:szCs w:val="20"/>
                <w:lang w:bidi="ar-SA"/>
              </w:rPr>
              <w:t>23,101</w:t>
            </w:r>
          </w:p>
        </w:tc>
        <w:tc>
          <w:tcPr>
            <w:tcW w:w="812" w:type="dxa"/>
          </w:tcPr>
          <w:p w14:paraId="0ADFEB2D" w14:textId="77777777" w:rsidR="005372B1" w:rsidRPr="005372B1" w:rsidRDefault="005372B1" w:rsidP="005372B1">
            <w:pPr>
              <w:spacing w:after="0" w:line="360" w:lineRule="auto"/>
              <w:jc w:val="both"/>
              <w:rPr>
                <w:sz w:val="20"/>
                <w:szCs w:val="20"/>
                <w:lang w:bidi="ar-SA"/>
              </w:rPr>
            </w:pPr>
            <w:r w:rsidRPr="005372B1">
              <w:rPr>
                <w:sz w:val="20"/>
                <w:szCs w:val="20"/>
                <w:lang w:bidi="ar-SA"/>
              </w:rPr>
              <w:t>26.43</w:t>
            </w:r>
          </w:p>
        </w:tc>
      </w:tr>
      <w:tr w:rsidR="005372B1" w:rsidRPr="005372B1" w14:paraId="5C23A08C" w14:textId="77777777" w:rsidTr="00675806">
        <w:trPr>
          <w:jc w:val="center"/>
        </w:trPr>
        <w:tc>
          <w:tcPr>
            <w:tcW w:w="1479" w:type="dxa"/>
          </w:tcPr>
          <w:p w14:paraId="02A48816" w14:textId="77777777" w:rsidR="005372B1" w:rsidRPr="005372B1" w:rsidRDefault="005372B1" w:rsidP="005372B1">
            <w:pPr>
              <w:spacing w:after="0" w:line="360" w:lineRule="auto"/>
              <w:jc w:val="both"/>
              <w:rPr>
                <w:sz w:val="20"/>
                <w:szCs w:val="20"/>
                <w:lang w:bidi="ar-SA"/>
              </w:rPr>
            </w:pPr>
            <w:r w:rsidRPr="005372B1">
              <w:rPr>
                <w:sz w:val="20"/>
                <w:szCs w:val="20"/>
                <w:lang w:bidi="ar-SA"/>
              </w:rPr>
              <w:t>500-999</w:t>
            </w:r>
          </w:p>
        </w:tc>
        <w:tc>
          <w:tcPr>
            <w:tcW w:w="669" w:type="dxa"/>
          </w:tcPr>
          <w:p w14:paraId="7D057819" w14:textId="77777777" w:rsidR="005372B1" w:rsidRPr="005372B1" w:rsidRDefault="005372B1" w:rsidP="005372B1">
            <w:pPr>
              <w:spacing w:after="0" w:line="360" w:lineRule="auto"/>
              <w:jc w:val="both"/>
              <w:rPr>
                <w:sz w:val="20"/>
                <w:szCs w:val="20"/>
                <w:lang w:bidi="ar-SA"/>
              </w:rPr>
            </w:pPr>
            <w:r w:rsidRPr="005372B1">
              <w:rPr>
                <w:sz w:val="20"/>
                <w:szCs w:val="20"/>
                <w:lang w:bidi="ar-SA"/>
              </w:rPr>
              <w:t>9</w:t>
            </w:r>
          </w:p>
        </w:tc>
        <w:tc>
          <w:tcPr>
            <w:tcW w:w="1014" w:type="dxa"/>
          </w:tcPr>
          <w:p w14:paraId="55DD5B8E" w14:textId="77777777" w:rsidR="005372B1" w:rsidRPr="005372B1" w:rsidRDefault="005372B1" w:rsidP="005372B1">
            <w:pPr>
              <w:spacing w:after="0" w:line="360" w:lineRule="auto"/>
              <w:jc w:val="both"/>
              <w:rPr>
                <w:sz w:val="20"/>
                <w:szCs w:val="20"/>
                <w:lang w:bidi="ar-SA"/>
              </w:rPr>
            </w:pPr>
            <w:r w:rsidRPr="005372B1">
              <w:rPr>
                <w:sz w:val="20"/>
                <w:szCs w:val="20"/>
                <w:lang w:bidi="ar-SA"/>
              </w:rPr>
              <w:t>6,128</w:t>
            </w:r>
          </w:p>
        </w:tc>
        <w:tc>
          <w:tcPr>
            <w:tcW w:w="683" w:type="dxa"/>
          </w:tcPr>
          <w:p w14:paraId="280E4CC0" w14:textId="77777777" w:rsidR="005372B1" w:rsidRPr="005372B1" w:rsidRDefault="005372B1" w:rsidP="005372B1">
            <w:pPr>
              <w:spacing w:after="0" w:line="360" w:lineRule="auto"/>
              <w:jc w:val="both"/>
              <w:rPr>
                <w:sz w:val="20"/>
                <w:szCs w:val="20"/>
                <w:lang w:bidi="ar-SA"/>
              </w:rPr>
            </w:pPr>
            <w:r w:rsidRPr="005372B1">
              <w:rPr>
                <w:sz w:val="20"/>
                <w:szCs w:val="20"/>
                <w:lang w:bidi="ar-SA"/>
              </w:rPr>
              <w:t>54</w:t>
            </w:r>
          </w:p>
        </w:tc>
        <w:tc>
          <w:tcPr>
            <w:tcW w:w="816" w:type="dxa"/>
          </w:tcPr>
          <w:p w14:paraId="47A32662" w14:textId="77777777" w:rsidR="005372B1" w:rsidRPr="005372B1" w:rsidRDefault="005372B1" w:rsidP="005372B1">
            <w:pPr>
              <w:spacing w:after="0" w:line="360" w:lineRule="auto"/>
              <w:jc w:val="both"/>
              <w:rPr>
                <w:sz w:val="20"/>
                <w:szCs w:val="20"/>
                <w:lang w:bidi="ar-SA"/>
              </w:rPr>
            </w:pPr>
            <w:r w:rsidRPr="005372B1">
              <w:rPr>
                <w:sz w:val="20"/>
                <w:szCs w:val="20"/>
                <w:lang w:bidi="ar-SA"/>
              </w:rPr>
              <w:t>38,349</w:t>
            </w:r>
          </w:p>
        </w:tc>
        <w:tc>
          <w:tcPr>
            <w:tcW w:w="685" w:type="dxa"/>
          </w:tcPr>
          <w:p w14:paraId="59046620" w14:textId="77777777" w:rsidR="005372B1" w:rsidRPr="005372B1" w:rsidRDefault="005372B1" w:rsidP="005372B1">
            <w:pPr>
              <w:spacing w:after="0" w:line="360" w:lineRule="auto"/>
              <w:jc w:val="both"/>
              <w:rPr>
                <w:sz w:val="20"/>
                <w:szCs w:val="20"/>
                <w:lang w:bidi="ar-SA"/>
              </w:rPr>
            </w:pPr>
            <w:r w:rsidRPr="005372B1">
              <w:rPr>
                <w:sz w:val="20"/>
                <w:szCs w:val="20"/>
                <w:lang w:bidi="ar-SA"/>
              </w:rPr>
              <w:t>63</w:t>
            </w:r>
          </w:p>
        </w:tc>
        <w:tc>
          <w:tcPr>
            <w:tcW w:w="1015" w:type="dxa"/>
          </w:tcPr>
          <w:p w14:paraId="18CEC261" w14:textId="77777777" w:rsidR="005372B1" w:rsidRPr="005372B1" w:rsidRDefault="005372B1" w:rsidP="005372B1">
            <w:pPr>
              <w:spacing w:after="0" w:line="360" w:lineRule="auto"/>
              <w:jc w:val="both"/>
              <w:rPr>
                <w:sz w:val="20"/>
                <w:szCs w:val="20"/>
                <w:lang w:bidi="ar-SA"/>
              </w:rPr>
            </w:pPr>
            <w:r w:rsidRPr="005372B1">
              <w:rPr>
                <w:sz w:val="20"/>
                <w:szCs w:val="20"/>
                <w:lang w:bidi="ar-SA"/>
              </w:rPr>
              <w:t>44,477</w:t>
            </w:r>
          </w:p>
        </w:tc>
        <w:tc>
          <w:tcPr>
            <w:tcW w:w="812" w:type="dxa"/>
          </w:tcPr>
          <w:p w14:paraId="4F03B42A" w14:textId="77777777" w:rsidR="005372B1" w:rsidRPr="005372B1" w:rsidRDefault="005372B1" w:rsidP="005372B1">
            <w:pPr>
              <w:spacing w:after="0" w:line="360" w:lineRule="auto"/>
              <w:jc w:val="both"/>
              <w:rPr>
                <w:sz w:val="20"/>
                <w:szCs w:val="20"/>
                <w:lang w:bidi="ar-SA"/>
              </w:rPr>
            </w:pPr>
            <w:r w:rsidRPr="005372B1">
              <w:rPr>
                <w:sz w:val="20"/>
                <w:szCs w:val="20"/>
                <w:lang w:bidi="ar-SA"/>
              </w:rPr>
              <w:t>8.19</w:t>
            </w:r>
          </w:p>
        </w:tc>
      </w:tr>
      <w:tr w:rsidR="005372B1" w:rsidRPr="005372B1" w14:paraId="646F1EAF" w14:textId="77777777" w:rsidTr="00675806">
        <w:trPr>
          <w:jc w:val="center"/>
        </w:trPr>
        <w:tc>
          <w:tcPr>
            <w:tcW w:w="1479" w:type="dxa"/>
          </w:tcPr>
          <w:p w14:paraId="5DD30D46" w14:textId="77777777" w:rsidR="005372B1" w:rsidRPr="005372B1" w:rsidRDefault="005372B1" w:rsidP="005372B1">
            <w:pPr>
              <w:spacing w:after="0" w:line="360" w:lineRule="auto"/>
              <w:jc w:val="both"/>
              <w:rPr>
                <w:sz w:val="20"/>
                <w:szCs w:val="20"/>
                <w:lang w:bidi="ar-SA"/>
              </w:rPr>
            </w:pPr>
            <w:r w:rsidRPr="005372B1">
              <w:rPr>
                <w:sz w:val="20"/>
                <w:szCs w:val="20"/>
                <w:lang w:bidi="ar-SA"/>
              </w:rPr>
              <w:t>1,000-2,999</w:t>
            </w:r>
          </w:p>
        </w:tc>
        <w:tc>
          <w:tcPr>
            <w:tcW w:w="669" w:type="dxa"/>
          </w:tcPr>
          <w:p w14:paraId="04B11E49" w14:textId="77777777" w:rsidR="005372B1" w:rsidRPr="005372B1" w:rsidRDefault="005372B1" w:rsidP="005372B1">
            <w:pPr>
              <w:spacing w:after="0" w:line="360" w:lineRule="auto"/>
              <w:jc w:val="both"/>
              <w:rPr>
                <w:sz w:val="20"/>
                <w:szCs w:val="20"/>
                <w:lang w:bidi="ar-SA"/>
              </w:rPr>
            </w:pPr>
            <w:r w:rsidRPr="005372B1">
              <w:rPr>
                <w:sz w:val="20"/>
                <w:szCs w:val="20"/>
                <w:lang w:bidi="ar-SA"/>
              </w:rPr>
              <w:t>16</w:t>
            </w:r>
          </w:p>
        </w:tc>
        <w:tc>
          <w:tcPr>
            <w:tcW w:w="1014" w:type="dxa"/>
          </w:tcPr>
          <w:p w14:paraId="19E3808F" w14:textId="77777777" w:rsidR="005372B1" w:rsidRPr="005372B1" w:rsidRDefault="005372B1" w:rsidP="005372B1">
            <w:pPr>
              <w:spacing w:after="0" w:line="360" w:lineRule="auto"/>
              <w:jc w:val="both"/>
              <w:rPr>
                <w:sz w:val="20"/>
                <w:szCs w:val="20"/>
                <w:lang w:bidi="ar-SA"/>
              </w:rPr>
            </w:pPr>
            <w:r w:rsidRPr="005372B1">
              <w:rPr>
                <w:sz w:val="20"/>
                <w:szCs w:val="20"/>
                <w:lang w:bidi="ar-SA"/>
              </w:rPr>
              <w:t>26,329</w:t>
            </w:r>
          </w:p>
        </w:tc>
        <w:tc>
          <w:tcPr>
            <w:tcW w:w="683" w:type="dxa"/>
          </w:tcPr>
          <w:p w14:paraId="47C79D9A" w14:textId="77777777" w:rsidR="005372B1" w:rsidRPr="005372B1" w:rsidRDefault="005372B1" w:rsidP="005372B1">
            <w:pPr>
              <w:spacing w:after="0" w:line="360" w:lineRule="auto"/>
              <w:jc w:val="both"/>
              <w:rPr>
                <w:sz w:val="20"/>
                <w:szCs w:val="20"/>
                <w:lang w:bidi="ar-SA"/>
              </w:rPr>
            </w:pPr>
            <w:r w:rsidRPr="005372B1">
              <w:rPr>
                <w:sz w:val="20"/>
                <w:szCs w:val="20"/>
                <w:lang w:bidi="ar-SA"/>
              </w:rPr>
              <w:t>34</w:t>
            </w:r>
          </w:p>
        </w:tc>
        <w:tc>
          <w:tcPr>
            <w:tcW w:w="816" w:type="dxa"/>
          </w:tcPr>
          <w:p w14:paraId="4FF60ADD" w14:textId="77777777" w:rsidR="005372B1" w:rsidRPr="005372B1" w:rsidRDefault="005372B1" w:rsidP="005372B1">
            <w:pPr>
              <w:spacing w:after="0" w:line="360" w:lineRule="auto"/>
              <w:jc w:val="both"/>
              <w:rPr>
                <w:sz w:val="20"/>
                <w:szCs w:val="20"/>
                <w:lang w:bidi="ar-SA"/>
              </w:rPr>
            </w:pPr>
            <w:r w:rsidRPr="005372B1">
              <w:rPr>
                <w:sz w:val="20"/>
                <w:szCs w:val="20"/>
                <w:lang w:bidi="ar-SA"/>
              </w:rPr>
              <w:t>50,823</w:t>
            </w:r>
          </w:p>
        </w:tc>
        <w:tc>
          <w:tcPr>
            <w:tcW w:w="685" w:type="dxa"/>
          </w:tcPr>
          <w:p w14:paraId="2D0BAC09" w14:textId="77777777" w:rsidR="005372B1" w:rsidRPr="005372B1" w:rsidRDefault="005372B1" w:rsidP="005372B1">
            <w:pPr>
              <w:spacing w:after="0" w:line="360" w:lineRule="auto"/>
              <w:jc w:val="both"/>
              <w:rPr>
                <w:sz w:val="20"/>
                <w:szCs w:val="20"/>
                <w:lang w:bidi="ar-SA"/>
              </w:rPr>
            </w:pPr>
            <w:r w:rsidRPr="005372B1">
              <w:rPr>
                <w:sz w:val="20"/>
                <w:szCs w:val="20"/>
                <w:lang w:bidi="ar-SA"/>
              </w:rPr>
              <w:t>50</w:t>
            </w:r>
          </w:p>
        </w:tc>
        <w:tc>
          <w:tcPr>
            <w:tcW w:w="1015" w:type="dxa"/>
          </w:tcPr>
          <w:p w14:paraId="33D39064" w14:textId="77777777" w:rsidR="005372B1" w:rsidRPr="005372B1" w:rsidRDefault="005372B1" w:rsidP="005372B1">
            <w:pPr>
              <w:spacing w:after="0" w:line="360" w:lineRule="auto"/>
              <w:jc w:val="both"/>
              <w:rPr>
                <w:sz w:val="20"/>
                <w:szCs w:val="20"/>
                <w:lang w:bidi="ar-SA"/>
              </w:rPr>
            </w:pPr>
            <w:r w:rsidRPr="005372B1">
              <w:rPr>
                <w:sz w:val="20"/>
                <w:szCs w:val="20"/>
                <w:lang w:bidi="ar-SA"/>
              </w:rPr>
              <w:t>77,152</w:t>
            </w:r>
          </w:p>
        </w:tc>
        <w:tc>
          <w:tcPr>
            <w:tcW w:w="812" w:type="dxa"/>
          </w:tcPr>
          <w:p w14:paraId="56570BDE" w14:textId="77777777" w:rsidR="005372B1" w:rsidRPr="005372B1" w:rsidRDefault="005372B1" w:rsidP="005372B1">
            <w:pPr>
              <w:spacing w:after="0" w:line="360" w:lineRule="auto"/>
              <w:jc w:val="both"/>
              <w:rPr>
                <w:sz w:val="20"/>
                <w:szCs w:val="20"/>
                <w:lang w:bidi="ar-SA"/>
              </w:rPr>
            </w:pPr>
            <w:r w:rsidRPr="005372B1">
              <w:rPr>
                <w:sz w:val="20"/>
                <w:szCs w:val="20"/>
                <w:lang w:bidi="ar-SA"/>
              </w:rPr>
              <w:t>2.30</w:t>
            </w:r>
          </w:p>
        </w:tc>
      </w:tr>
      <w:tr w:rsidR="005372B1" w:rsidRPr="005372B1" w14:paraId="2D5E91B0" w14:textId="77777777" w:rsidTr="00675806">
        <w:trPr>
          <w:jc w:val="center"/>
        </w:trPr>
        <w:tc>
          <w:tcPr>
            <w:tcW w:w="1479" w:type="dxa"/>
          </w:tcPr>
          <w:p w14:paraId="15F91404" w14:textId="77777777" w:rsidR="005372B1" w:rsidRPr="005372B1" w:rsidRDefault="005372B1" w:rsidP="005372B1">
            <w:pPr>
              <w:spacing w:after="0" w:line="360" w:lineRule="auto"/>
              <w:jc w:val="both"/>
              <w:rPr>
                <w:sz w:val="20"/>
                <w:szCs w:val="20"/>
                <w:lang w:bidi="ar-SA"/>
              </w:rPr>
            </w:pPr>
            <w:r w:rsidRPr="005372B1">
              <w:rPr>
                <w:sz w:val="20"/>
                <w:szCs w:val="20"/>
                <w:lang w:bidi="ar-SA"/>
              </w:rPr>
              <w:t>3,000-4,999</w:t>
            </w:r>
          </w:p>
        </w:tc>
        <w:tc>
          <w:tcPr>
            <w:tcW w:w="669" w:type="dxa"/>
          </w:tcPr>
          <w:p w14:paraId="0F819B46" w14:textId="77777777" w:rsidR="005372B1" w:rsidRPr="005372B1" w:rsidRDefault="005372B1" w:rsidP="005372B1">
            <w:pPr>
              <w:spacing w:after="0" w:line="360" w:lineRule="auto"/>
              <w:jc w:val="both"/>
              <w:rPr>
                <w:sz w:val="20"/>
                <w:szCs w:val="20"/>
                <w:lang w:bidi="ar-SA"/>
              </w:rPr>
            </w:pPr>
            <w:r w:rsidRPr="005372B1">
              <w:rPr>
                <w:sz w:val="20"/>
                <w:szCs w:val="20"/>
                <w:lang w:bidi="ar-SA"/>
              </w:rPr>
              <w:t>3</w:t>
            </w:r>
          </w:p>
        </w:tc>
        <w:tc>
          <w:tcPr>
            <w:tcW w:w="1014" w:type="dxa"/>
          </w:tcPr>
          <w:p w14:paraId="7A2E7A48" w14:textId="77777777" w:rsidR="005372B1" w:rsidRPr="005372B1" w:rsidRDefault="005372B1" w:rsidP="005372B1">
            <w:pPr>
              <w:spacing w:after="0" w:line="360" w:lineRule="auto"/>
              <w:jc w:val="both"/>
              <w:rPr>
                <w:sz w:val="20"/>
                <w:szCs w:val="20"/>
                <w:lang w:bidi="ar-SA"/>
              </w:rPr>
            </w:pPr>
            <w:r w:rsidRPr="005372B1">
              <w:rPr>
                <w:sz w:val="20"/>
                <w:szCs w:val="20"/>
                <w:lang w:bidi="ar-SA"/>
              </w:rPr>
              <w:t>13,678</w:t>
            </w:r>
          </w:p>
        </w:tc>
        <w:tc>
          <w:tcPr>
            <w:tcW w:w="683" w:type="dxa"/>
          </w:tcPr>
          <w:p w14:paraId="641622A7" w14:textId="77777777" w:rsidR="005372B1" w:rsidRPr="005372B1" w:rsidRDefault="005372B1" w:rsidP="005372B1">
            <w:pPr>
              <w:spacing w:after="0" w:line="360" w:lineRule="auto"/>
              <w:jc w:val="both"/>
              <w:rPr>
                <w:sz w:val="20"/>
                <w:szCs w:val="20"/>
                <w:lang w:bidi="ar-SA"/>
              </w:rPr>
            </w:pPr>
            <w:r w:rsidRPr="005372B1">
              <w:rPr>
                <w:sz w:val="20"/>
                <w:szCs w:val="20"/>
                <w:lang w:bidi="ar-SA"/>
              </w:rPr>
              <w:t>3</w:t>
            </w:r>
          </w:p>
        </w:tc>
        <w:tc>
          <w:tcPr>
            <w:tcW w:w="816" w:type="dxa"/>
          </w:tcPr>
          <w:p w14:paraId="403C3C4E" w14:textId="77777777" w:rsidR="005372B1" w:rsidRPr="005372B1" w:rsidRDefault="005372B1" w:rsidP="005372B1">
            <w:pPr>
              <w:spacing w:after="0" w:line="360" w:lineRule="auto"/>
              <w:jc w:val="both"/>
              <w:rPr>
                <w:sz w:val="20"/>
                <w:szCs w:val="20"/>
                <w:lang w:bidi="ar-SA"/>
              </w:rPr>
            </w:pPr>
            <w:r w:rsidRPr="005372B1">
              <w:rPr>
                <w:sz w:val="20"/>
                <w:szCs w:val="20"/>
                <w:lang w:bidi="ar-SA"/>
              </w:rPr>
              <w:t>12,811</w:t>
            </w:r>
          </w:p>
        </w:tc>
        <w:tc>
          <w:tcPr>
            <w:tcW w:w="685" w:type="dxa"/>
          </w:tcPr>
          <w:p w14:paraId="61E25BCB" w14:textId="77777777" w:rsidR="005372B1" w:rsidRPr="005372B1" w:rsidRDefault="005372B1" w:rsidP="005372B1">
            <w:pPr>
              <w:spacing w:after="0" w:line="360" w:lineRule="auto"/>
              <w:jc w:val="both"/>
              <w:rPr>
                <w:sz w:val="20"/>
                <w:szCs w:val="20"/>
                <w:lang w:bidi="ar-SA"/>
              </w:rPr>
            </w:pPr>
            <w:r w:rsidRPr="005372B1">
              <w:rPr>
                <w:sz w:val="20"/>
                <w:szCs w:val="20"/>
                <w:lang w:bidi="ar-SA"/>
              </w:rPr>
              <w:t>6</w:t>
            </w:r>
          </w:p>
        </w:tc>
        <w:tc>
          <w:tcPr>
            <w:tcW w:w="1015" w:type="dxa"/>
          </w:tcPr>
          <w:p w14:paraId="43E86452" w14:textId="77777777" w:rsidR="005372B1" w:rsidRPr="005372B1" w:rsidRDefault="005372B1" w:rsidP="005372B1">
            <w:pPr>
              <w:spacing w:after="0" w:line="360" w:lineRule="auto"/>
              <w:jc w:val="both"/>
              <w:rPr>
                <w:sz w:val="20"/>
                <w:szCs w:val="20"/>
                <w:lang w:bidi="ar-SA"/>
              </w:rPr>
            </w:pPr>
            <w:r w:rsidRPr="005372B1">
              <w:rPr>
                <w:sz w:val="20"/>
                <w:szCs w:val="20"/>
                <w:lang w:bidi="ar-SA"/>
              </w:rPr>
              <w:t>26,489</w:t>
            </w:r>
          </w:p>
        </w:tc>
        <w:tc>
          <w:tcPr>
            <w:tcW w:w="812" w:type="dxa"/>
          </w:tcPr>
          <w:p w14:paraId="455D7501" w14:textId="77777777" w:rsidR="005372B1" w:rsidRPr="005372B1" w:rsidRDefault="005372B1" w:rsidP="005372B1">
            <w:pPr>
              <w:spacing w:after="0" w:line="360" w:lineRule="auto"/>
              <w:jc w:val="both"/>
              <w:rPr>
                <w:sz w:val="20"/>
                <w:szCs w:val="20"/>
                <w:lang w:bidi="ar-SA"/>
              </w:rPr>
            </w:pPr>
            <w:r w:rsidRPr="005372B1">
              <w:rPr>
                <w:sz w:val="20"/>
                <w:szCs w:val="20"/>
                <w:lang w:bidi="ar-SA"/>
              </w:rPr>
              <w:t>0.69</w:t>
            </w:r>
          </w:p>
        </w:tc>
      </w:tr>
      <w:tr w:rsidR="005372B1" w:rsidRPr="005372B1" w14:paraId="02A60F80" w14:textId="77777777" w:rsidTr="00675806">
        <w:trPr>
          <w:jc w:val="center"/>
        </w:trPr>
        <w:tc>
          <w:tcPr>
            <w:tcW w:w="1479" w:type="dxa"/>
          </w:tcPr>
          <w:p w14:paraId="2007DD1D" w14:textId="77777777" w:rsidR="005372B1" w:rsidRPr="005372B1" w:rsidRDefault="005372B1" w:rsidP="005372B1">
            <w:pPr>
              <w:spacing w:after="0" w:line="360" w:lineRule="auto"/>
              <w:jc w:val="both"/>
              <w:rPr>
                <w:sz w:val="20"/>
                <w:szCs w:val="20"/>
                <w:lang w:bidi="ar-SA"/>
              </w:rPr>
            </w:pPr>
            <w:r w:rsidRPr="005372B1">
              <w:rPr>
                <w:sz w:val="20"/>
                <w:szCs w:val="20"/>
                <w:lang w:bidi="ar-SA"/>
              </w:rPr>
              <w:t>5,000-7,499</w:t>
            </w:r>
          </w:p>
        </w:tc>
        <w:tc>
          <w:tcPr>
            <w:tcW w:w="669" w:type="dxa"/>
          </w:tcPr>
          <w:p w14:paraId="68BA62A5" w14:textId="77777777" w:rsidR="005372B1" w:rsidRPr="005372B1" w:rsidRDefault="005372B1" w:rsidP="005372B1">
            <w:pPr>
              <w:spacing w:after="0" w:line="360" w:lineRule="auto"/>
              <w:jc w:val="both"/>
              <w:rPr>
                <w:sz w:val="20"/>
                <w:szCs w:val="20"/>
                <w:lang w:bidi="ar-SA"/>
              </w:rPr>
            </w:pPr>
            <w:r w:rsidRPr="005372B1">
              <w:rPr>
                <w:sz w:val="20"/>
                <w:szCs w:val="20"/>
                <w:lang w:bidi="ar-SA"/>
              </w:rPr>
              <w:t>1</w:t>
            </w:r>
          </w:p>
        </w:tc>
        <w:tc>
          <w:tcPr>
            <w:tcW w:w="1014" w:type="dxa"/>
          </w:tcPr>
          <w:p w14:paraId="51674E39" w14:textId="77777777" w:rsidR="005372B1" w:rsidRPr="005372B1" w:rsidRDefault="005372B1" w:rsidP="005372B1">
            <w:pPr>
              <w:spacing w:after="0" w:line="360" w:lineRule="auto"/>
              <w:jc w:val="both"/>
              <w:rPr>
                <w:sz w:val="20"/>
                <w:szCs w:val="20"/>
                <w:lang w:bidi="ar-SA"/>
              </w:rPr>
            </w:pPr>
            <w:r w:rsidRPr="005372B1">
              <w:rPr>
                <w:sz w:val="20"/>
                <w:szCs w:val="20"/>
                <w:lang w:bidi="ar-SA"/>
              </w:rPr>
              <w:t>6,435</w:t>
            </w:r>
          </w:p>
        </w:tc>
        <w:tc>
          <w:tcPr>
            <w:tcW w:w="683" w:type="dxa"/>
          </w:tcPr>
          <w:p w14:paraId="0330CB56" w14:textId="77777777" w:rsidR="005372B1" w:rsidRPr="005372B1" w:rsidRDefault="005372B1" w:rsidP="005372B1">
            <w:pPr>
              <w:spacing w:after="0" w:line="360" w:lineRule="auto"/>
              <w:jc w:val="both"/>
              <w:rPr>
                <w:sz w:val="20"/>
                <w:szCs w:val="20"/>
                <w:lang w:bidi="ar-SA"/>
              </w:rPr>
            </w:pPr>
            <w:r w:rsidRPr="005372B1">
              <w:rPr>
                <w:sz w:val="20"/>
                <w:szCs w:val="20"/>
                <w:lang w:bidi="ar-SA"/>
              </w:rPr>
              <w:t>4</w:t>
            </w:r>
          </w:p>
        </w:tc>
        <w:tc>
          <w:tcPr>
            <w:tcW w:w="816" w:type="dxa"/>
          </w:tcPr>
          <w:p w14:paraId="01F54191" w14:textId="77777777" w:rsidR="005372B1" w:rsidRPr="005372B1" w:rsidRDefault="005372B1" w:rsidP="005372B1">
            <w:pPr>
              <w:spacing w:after="0" w:line="360" w:lineRule="auto"/>
              <w:jc w:val="both"/>
              <w:rPr>
                <w:sz w:val="20"/>
                <w:szCs w:val="20"/>
                <w:lang w:bidi="ar-SA"/>
              </w:rPr>
            </w:pPr>
            <w:r w:rsidRPr="005372B1">
              <w:rPr>
                <w:sz w:val="20"/>
                <w:szCs w:val="20"/>
                <w:lang w:bidi="ar-SA"/>
              </w:rPr>
              <w:t>23,610</w:t>
            </w:r>
          </w:p>
        </w:tc>
        <w:tc>
          <w:tcPr>
            <w:tcW w:w="685" w:type="dxa"/>
          </w:tcPr>
          <w:p w14:paraId="38E1084F" w14:textId="77777777" w:rsidR="005372B1" w:rsidRPr="005372B1" w:rsidRDefault="005372B1" w:rsidP="005372B1">
            <w:pPr>
              <w:spacing w:after="0" w:line="360" w:lineRule="auto"/>
              <w:jc w:val="both"/>
              <w:rPr>
                <w:sz w:val="20"/>
                <w:szCs w:val="20"/>
                <w:lang w:bidi="ar-SA"/>
              </w:rPr>
            </w:pPr>
            <w:r w:rsidRPr="005372B1">
              <w:rPr>
                <w:sz w:val="20"/>
                <w:szCs w:val="20"/>
                <w:lang w:bidi="ar-SA"/>
              </w:rPr>
              <w:t>5</w:t>
            </w:r>
          </w:p>
        </w:tc>
        <w:tc>
          <w:tcPr>
            <w:tcW w:w="1015" w:type="dxa"/>
          </w:tcPr>
          <w:p w14:paraId="2C0884C1" w14:textId="77777777" w:rsidR="005372B1" w:rsidRPr="005372B1" w:rsidRDefault="005372B1" w:rsidP="005372B1">
            <w:pPr>
              <w:spacing w:after="0" w:line="360" w:lineRule="auto"/>
              <w:jc w:val="both"/>
              <w:rPr>
                <w:sz w:val="20"/>
                <w:szCs w:val="20"/>
                <w:lang w:bidi="ar-SA"/>
              </w:rPr>
            </w:pPr>
            <w:r w:rsidRPr="005372B1">
              <w:rPr>
                <w:sz w:val="20"/>
                <w:szCs w:val="20"/>
                <w:lang w:bidi="ar-SA"/>
              </w:rPr>
              <w:t>30,045</w:t>
            </w:r>
          </w:p>
        </w:tc>
        <w:tc>
          <w:tcPr>
            <w:tcW w:w="812" w:type="dxa"/>
          </w:tcPr>
          <w:p w14:paraId="5DD9ABF0" w14:textId="77777777" w:rsidR="005372B1" w:rsidRPr="005372B1" w:rsidRDefault="005372B1" w:rsidP="005372B1">
            <w:pPr>
              <w:spacing w:after="0" w:line="360" w:lineRule="auto"/>
              <w:jc w:val="both"/>
              <w:rPr>
                <w:sz w:val="20"/>
                <w:szCs w:val="20"/>
                <w:lang w:bidi="ar-SA"/>
              </w:rPr>
            </w:pPr>
            <w:r w:rsidRPr="005372B1">
              <w:rPr>
                <w:sz w:val="20"/>
                <w:szCs w:val="20"/>
                <w:lang w:bidi="ar-SA"/>
              </w:rPr>
              <w:t>0.81</w:t>
            </w:r>
          </w:p>
        </w:tc>
      </w:tr>
      <w:tr w:rsidR="005372B1" w:rsidRPr="005372B1" w14:paraId="52B6770F" w14:textId="77777777" w:rsidTr="00675806">
        <w:trPr>
          <w:jc w:val="center"/>
        </w:trPr>
        <w:tc>
          <w:tcPr>
            <w:tcW w:w="1479" w:type="dxa"/>
          </w:tcPr>
          <w:p w14:paraId="37AD57E6" w14:textId="77777777" w:rsidR="005372B1" w:rsidRPr="005372B1" w:rsidRDefault="005372B1" w:rsidP="005372B1">
            <w:pPr>
              <w:spacing w:after="0" w:line="360" w:lineRule="auto"/>
              <w:jc w:val="both"/>
              <w:rPr>
                <w:sz w:val="20"/>
                <w:szCs w:val="20"/>
                <w:lang w:bidi="ar-SA"/>
              </w:rPr>
            </w:pPr>
            <w:r w:rsidRPr="005372B1">
              <w:rPr>
                <w:sz w:val="20"/>
                <w:szCs w:val="20"/>
                <w:lang w:bidi="ar-SA"/>
              </w:rPr>
              <w:t>7,500-9,999</w:t>
            </w:r>
          </w:p>
        </w:tc>
        <w:tc>
          <w:tcPr>
            <w:tcW w:w="669" w:type="dxa"/>
          </w:tcPr>
          <w:p w14:paraId="1011E774" w14:textId="77777777" w:rsidR="005372B1" w:rsidRPr="005372B1" w:rsidRDefault="005372B1" w:rsidP="005372B1">
            <w:pPr>
              <w:spacing w:after="0" w:line="360" w:lineRule="auto"/>
              <w:jc w:val="both"/>
              <w:rPr>
                <w:sz w:val="20"/>
                <w:szCs w:val="20"/>
                <w:lang w:bidi="ar-SA"/>
              </w:rPr>
            </w:pPr>
            <w:r w:rsidRPr="005372B1">
              <w:rPr>
                <w:sz w:val="20"/>
                <w:szCs w:val="20"/>
                <w:lang w:bidi="ar-SA"/>
              </w:rPr>
              <w:t>2</w:t>
            </w:r>
          </w:p>
        </w:tc>
        <w:tc>
          <w:tcPr>
            <w:tcW w:w="1014" w:type="dxa"/>
          </w:tcPr>
          <w:p w14:paraId="19E90FE8" w14:textId="77777777" w:rsidR="005372B1" w:rsidRPr="005372B1" w:rsidRDefault="005372B1" w:rsidP="005372B1">
            <w:pPr>
              <w:spacing w:after="0" w:line="360" w:lineRule="auto"/>
              <w:jc w:val="both"/>
              <w:rPr>
                <w:sz w:val="20"/>
                <w:szCs w:val="20"/>
                <w:lang w:bidi="ar-SA"/>
              </w:rPr>
            </w:pPr>
            <w:r w:rsidRPr="005372B1">
              <w:rPr>
                <w:sz w:val="20"/>
                <w:szCs w:val="20"/>
                <w:lang w:bidi="ar-SA"/>
              </w:rPr>
              <w:t>18,000</w:t>
            </w:r>
          </w:p>
        </w:tc>
        <w:tc>
          <w:tcPr>
            <w:tcW w:w="683" w:type="dxa"/>
          </w:tcPr>
          <w:p w14:paraId="1D13E4B1" w14:textId="77777777" w:rsidR="005372B1" w:rsidRPr="005372B1" w:rsidRDefault="005372B1" w:rsidP="005372B1">
            <w:pPr>
              <w:spacing w:after="0" w:line="360" w:lineRule="auto"/>
              <w:jc w:val="both"/>
              <w:rPr>
                <w:sz w:val="20"/>
                <w:szCs w:val="20"/>
                <w:lang w:bidi="ar-SA"/>
              </w:rPr>
            </w:pPr>
            <w:r w:rsidRPr="005372B1">
              <w:rPr>
                <w:sz w:val="20"/>
                <w:szCs w:val="20"/>
                <w:lang w:bidi="ar-SA"/>
              </w:rPr>
              <w:t>7</w:t>
            </w:r>
          </w:p>
        </w:tc>
        <w:tc>
          <w:tcPr>
            <w:tcW w:w="816" w:type="dxa"/>
          </w:tcPr>
          <w:p w14:paraId="1F3910A0" w14:textId="77777777" w:rsidR="005372B1" w:rsidRPr="005372B1" w:rsidRDefault="005372B1" w:rsidP="005372B1">
            <w:pPr>
              <w:spacing w:after="0" w:line="360" w:lineRule="auto"/>
              <w:jc w:val="both"/>
              <w:rPr>
                <w:sz w:val="20"/>
                <w:szCs w:val="20"/>
                <w:lang w:bidi="ar-SA"/>
              </w:rPr>
            </w:pPr>
            <w:r w:rsidRPr="005372B1">
              <w:rPr>
                <w:sz w:val="20"/>
                <w:szCs w:val="20"/>
                <w:lang w:bidi="ar-SA"/>
              </w:rPr>
              <w:t>60,442</w:t>
            </w:r>
          </w:p>
        </w:tc>
        <w:tc>
          <w:tcPr>
            <w:tcW w:w="685" w:type="dxa"/>
          </w:tcPr>
          <w:p w14:paraId="6B3F980C" w14:textId="77777777" w:rsidR="005372B1" w:rsidRPr="005372B1" w:rsidRDefault="005372B1" w:rsidP="005372B1">
            <w:pPr>
              <w:spacing w:after="0" w:line="360" w:lineRule="auto"/>
              <w:jc w:val="both"/>
              <w:rPr>
                <w:sz w:val="20"/>
                <w:szCs w:val="20"/>
                <w:lang w:bidi="ar-SA"/>
              </w:rPr>
            </w:pPr>
            <w:r w:rsidRPr="005372B1">
              <w:rPr>
                <w:sz w:val="20"/>
                <w:szCs w:val="20"/>
                <w:lang w:bidi="ar-SA"/>
              </w:rPr>
              <w:t>9</w:t>
            </w:r>
          </w:p>
        </w:tc>
        <w:tc>
          <w:tcPr>
            <w:tcW w:w="1015" w:type="dxa"/>
          </w:tcPr>
          <w:p w14:paraId="01B900F8" w14:textId="77777777" w:rsidR="005372B1" w:rsidRPr="005372B1" w:rsidRDefault="005372B1" w:rsidP="005372B1">
            <w:pPr>
              <w:spacing w:after="0" w:line="360" w:lineRule="auto"/>
              <w:jc w:val="both"/>
              <w:rPr>
                <w:sz w:val="20"/>
                <w:szCs w:val="20"/>
                <w:lang w:bidi="ar-SA"/>
              </w:rPr>
            </w:pPr>
            <w:r w:rsidRPr="005372B1">
              <w:rPr>
                <w:sz w:val="20"/>
                <w:szCs w:val="20"/>
                <w:lang w:bidi="ar-SA"/>
              </w:rPr>
              <w:t>78,442</w:t>
            </w:r>
          </w:p>
        </w:tc>
        <w:tc>
          <w:tcPr>
            <w:tcW w:w="812" w:type="dxa"/>
          </w:tcPr>
          <w:p w14:paraId="3166E045" w14:textId="77777777" w:rsidR="005372B1" w:rsidRPr="005372B1" w:rsidRDefault="005372B1" w:rsidP="005372B1">
            <w:pPr>
              <w:spacing w:after="0" w:line="360" w:lineRule="auto"/>
              <w:jc w:val="both"/>
              <w:rPr>
                <w:sz w:val="20"/>
                <w:szCs w:val="20"/>
                <w:lang w:bidi="ar-SA"/>
              </w:rPr>
            </w:pPr>
            <w:r w:rsidRPr="005372B1">
              <w:rPr>
                <w:sz w:val="20"/>
                <w:szCs w:val="20"/>
                <w:lang w:bidi="ar-SA"/>
              </w:rPr>
              <w:t>2.45</w:t>
            </w:r>
          </w:p>
        </w:tc>
      </w:tr>
      <w:tr w:rsidR="005372B1" w:rsidRPr="005372B1" w14:paraId="6B75D9DF" w14:textId="77777777" w:rsidTr="00675806">
        <w:trPr>
          <w:jc w:val="center"/>
        </w:trPr>
        <w:tc>
          <w:tcPr>
            <w:tcW w:w="1479" w:type="dxa"/>
          </w:tcPr>
          <w:p w14:paraId="3D024993" w14:textId="77777777" w:rsidR="005372B1" w:rsidRPr="005372B1" w:rsidRDefault="005372B1" w:rsidP="005372B1">
            <w:pPr>
              <w:spacing w:after="0" w:line="360" w:lineRule="auto"/>
              <w:jc w:val="both"/>
              <w:rPr>
                <w:sz w:val="20"/>
                <w:szCs w:val="20"/>
                <w:lang w:bidi="ar-SA"/>
              </w:rPr>
            </w:pPr>
            <w:r w:rsidRPr="005372B1">
              <w:rPr>
                <w:sz w:val="20"/>
                <w:szCs w:val="20"/>
                <w:lang w:bidi="ar-SA"/>
              </w:rPr>
              <w:t>10,000-12,999</w:t>
            </w:r>
          </w:p>
        </w:tc>
        <w:tc>
          <w:tcPr>
            <w:tcW w:w="669" w:type="dxa"/>
          </w:tcPr>
          <w:p w14:paraId="1BCD5F0D"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1014" w:type="dxa"/>
          </w:tcPr>
          <w:p w14:paraId="30C4369D"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683" w:type="dxa"/>
          </w:tcPr>
          <w:p w14:paraId="726FE40C"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816" w:type="dxa"/>
          </w:tcPr>
          <w:p w14:paraId="498C9758"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685" w:type="dxa"/>
          </w:tcPr>
          <w:p w14:paraId="3196F5E5"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1015" w:type="dxa"/>
          </w:tcPr>
          <w:p w14:paraId="07640D63"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812" w:type="dxa"/>
          </w:tcPr>
          <w:p w14:paraId="24625579"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r>
      <w:tr w:rsidR="005372B1" w:rsidRPr="005372B1" w14:paraId="781BCABD" w14:textId="77777777" w:rsidTr="00675806">
        <w:trPr>
          <w:jc w:val="center"/>
        </w:trPr>
        <w:tc>
          <w:tcPr>
            <w:tcW w:w="1479" w:type="dxa"/>
          </w:tcPr>
          <w:p w14:paraId="233434D4" w14:textId="77777777" w:rsidR="005372B1" w:rsidRPr="005372B1" w:rsidRDefault="005372B1" w:rsidP="005372B1">
            <w:pPr>
              <w:spacing w:after="0" w:line="360" w:lineRule="auto"/>
              <w:jc w:val="both"/>
              <w:rPr>
                <w:sz w:val="20"/>
                <w:szCs w:val="20"/>
                <w:lang w:bidi="ar-SA"/>
              </w:rPr>
            </w:pPr>
            <w:r w:rsidRPr="005372B1">
              <w:rPr>
                <w:sz w:val="20"/>
                <w:szCs w:val="20"/>
                <w:lang w:bidi="ar-SA"/>
              </w:rPr>
              <w:t>13,000+</w:t>
            </w:r>
          </w:p>
        </w:tc>
        <w:tc>
          <w:tcPr>
            <w:tcW w:w="669" w:type="dxa"/>
          </w:tcPr>
          <w:p w14:paraId="24DB6363"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1014" w:type="dxa"/>
          </w:tcPr>
          <w:p w14:paraId="0F80938D" w14:textId="77777777" w:rsidR="005372B1" w:rsidRPr="005372B1" w:rsidRDefault="005372B1" w:rsidP="005372B1">
            <w:pPr>
              <w:spacing w:after="0" w:line="360" w:lineRule="auto"/>
              <w:jc w:val="both"/>
              <w:rPr>
                <w:sz w:val="20"/>
                <w:szCs w:val="20"/>
                <w:lang w:bidi="ar-SA"/>
              </w:rPr>
            </w:pPr>
            <w:r w:rsidRPr="005372B1">
              <w:rPr>
                <w:sz w:val="20"/>
                <w:szCs w:val="20"/>
                <w:lang w:bidi="ar-SA"/>
              </w:rPr>
              <w:t>0</w:t>
            </w:r>
          </w:p>
        </w:tc>
        <w:tc>
          <w:tcPr>
            <w:tcW w:w="683" w:type="dxa"/>
          </w:tcPr>
          <w:p w14:paraId="52A93FBE" w14:textId="77777777" w:rsidR="005372B1" w:rsidRPr="005372B1" w:rsidRDefault="005372B1" w:rsidP="005372B1">
            <w:pPr>
              <w:spacing w:after="0" w:line="360" w:lineRule="auto"/>
              <w:jc w:val="both"/>
              <w:rPr>
                <w:sz w:val="20"/>
                <w:szCs w:val="20"/>
                <w:lang w:bidi="ar-SA"/>
              </w:rPr>
            </w:pPr>
            <w:r w:rsidRPr="005372B1">
              <w:rPr>
                <w:sz w:val="20"/>
                <w:szCs w:val="20"/>
                <w:lang w:bidi="ar-SA"/>
              </w:rPr>
              <w:t>1</w:t>
            </w:r>
          </w:p>
        </w:tc>
        <w:tc>
          <w:tcPr>
            <w:tcW w:w="816" w:type="dxa"/>
          </w:tcPr>
          <w:p w14:paraId="41FF4CB7" w14:textId="77777777" w:rsidR="005372B1" w:rsidRPr="005372B1" w:rsidRDefault="005372B1" w:rsidP="005372B1">
            <w:pPr>
              <w:spacing w:after="0" w:line="360" w:lineRule="auto"/>
              <w:jc w:val="both"/>
              <w:rPr>
                <w:sz w:val="20"/>
                <w:szCs w:val="20"/>
                <w:lang w:bidi="ar-SA"/>
              </w:rPr>
            </w:pPr>
            <w:r w:rsidRPr="005372B1">
              <w:rPr>
                <w:sz w:val="20"/>
                <w:szCs w:val="20"/>
                <w:lang w:bidi="ar-SA"/>
              </w:rPr>
              <w:t>14,000</w:t>
            </w:r>
          </w:p>
        </w:tc>
        <w:tc>
          <w:tcPr>
            <w:tcW w:w="685" w:type="dxa"/>
          </w:tcPr>
          <w:p w14:paraId="7A2EE982" w14:textId="77777777" w:rsidR="005372B1" w:rsidRPr="005372B1" w:rsidRDefault="005372B1" w:rsidP="005372B1">
            <w:pPr>
              <w:spacing w:after="0" w:line="360" w:lineRule="auto"/>
              <w:jc w:val="both"/>
              <w:rPr>
                <w:sz w:val="20"/>
                <w:szCs w:val="20"/>
                <w:lang w:bidi="ar-SA"/>
              </w:rPr>
            </w:pPr>
            <w:r w:rsidRPr="005372B1">
              <w:rPr>
                <w:sz w:val="20"/>
                <w:szCs w:val="20"/>
                <w:lang w:bidi="ar-SA"/>
              </w:rPr>
              <w:t>1</w:t>
            </w:r>
          </w:p>
        </w:tc>
        <w:tc>
          <w:tcPr>
            <w:tcW w:w="1015" w:type="dxa"/>
          </w:tcPr>
          <w:p w14:paraId="74C1290B" w14:textId="77777777" w:rsidR="005372B1" w:rsidRPr="005372B1" w:rsidRDefault="005372B1" w:rsidP="005372B1">
            <w:pPr>
              <w:spacing w:after="0" w:line="360" w:lineRule="auto"/>
              <w:jc w:val="both"/>
              <w:rPr>
                <w:sz w:val="20"/>
                <w:szCs w:val="20"/>
                <w:lang w:bidi="ar-SA"/>
              </w:rPr>
            </w:pPr>
            <w:r w:rsidRPr="005372B1">
              <w:rPr>
                <w:sz w:val="20"/>
                <w:szCs w:val="20"/>
                <w:lang w:bidi="ar-SA"/>
              </w:rPr>
              <w:t>14,000</w:t>
            </w:r>
          </w:p>
        </w:tc>
        <w:tc>
          <w:tcPr>
            <w:tcW w:w="812" w:type="dxa"/>
          </w:tcPr>
          <w:p w14:paraId="31507EC3" w14:textId="77777777" w:rsidR="005372B1" w:rsidRPr="005372B1" w:rsidRDefault="005372B1" w:rsidP="005372B1">
            <w:pPr>
              <w:spacing w:after="0" w:line="360" w:lineRule="auto"/>
              <w:jc w:val="both"/>
              <w:rPr>
                <w:sz w:val="20"/>
                <w:szCs w:val="20"/>
                <w:lang w:bidi="ar-SA"/>
              </w:rPr>
            </w:pPr>
            <w:r w:rsidRPr="005372B1">
              <w:rPr>
                <w:sz w:val="20"/>
                <w:szCs w:val="20"/>
                <w:lang w:bidi="ar-SA"/>
              </w:rPr>
              <w:t>0.60</w:t>
            </w:r>
          </w:p>
        </w:tc>
      </w:tr>
      <w:tr w:rsidR="005372B1" w:rsidRPr="005372B1" w14:paraId="5EA5E149" w14:textId="77777777" w:rsidTr="00675806">
        <w:trPr>
          <w:jc w:val="center"/>
        </w:trPr>
        <w:tc>
          <w:tcPr>
            <w:tcW w:w="1479" w:type="dxa"/>
          </w:tcPr>
          <w:p w14:paraId="5D3DB4F0" w14:textId="77777777" w:rsidR="005372B1" w:rsidRPr="005372B1" w:rsidRDefault="005372B1" w:rsidP="005372B1">
            <w:pPr>
              <w:spacing w:after="0" w:line="360" w:lineRule="auto"/>
              <w:jc w:val="both"/>
              <w:rPr>
                <w:b/>
                <w:sz w:val="20"/>
                <w:szCs w:val="20"/>
                <w:lang w:bidi="ar-SA"/>
              </w:rPr>
            </w:pPr>
            <w:r w:rsidRPr="005372B1">
              <w:rPr>
                <w:b/>
                <w:sz w:val="20"/>
                <w:szCs w:val="20"/>
                <w:lang w:bidi="ar-SA"/>
              </w:rPr>
              <w:t>Total</w:t>
            </w:r>
          </w:p>
        </w:tc>
        <w:tc>
          <w:tcPr>
            <w:tcW w:w="669" w:type="dxa"/>
          </w:tcPr>
          <w:p w14:paraId="235333D4" w14:textId="77777777" w:rsidR="005372B1" w:rsidRPr="005372B1" w:rsidRDefault="005372B1" w:rsidP="005372B1">
            <w:pPr>
              <w:spacing w:after="0" w:line="360" w:lineRule="auto"/>
              <w:jc w:val="both"/>
              <w:rPr>
                <w:b/>
                <w:sz w:val="20"/>
                <w:szCs w:val="20"/>
                <w:lang w:bidi="ar-SA"/>
              </w:rPr>
            </w:pPr>
            <w:r w:rsidRPr="005372B1">
              <w:rPr>
                <w:b/>
                <w:sz w:val="20"/>
                <w:szCs w:val="20"/>
                <w:lang w:bidi="ar-SA"/>
              </w:rPr>
              <w:t>50</w:t>
            </w:r>
          </w:p>
        </w:tc>
        <w:tc>
          <w:tcPr>
            <w:tcW w:w="1014" w:type="dxa"/>
          </w:tcPr>
          <w:p w14:paraId="49F82149" w14:textId="77777777" w:rsidR="005372B1" w:rsidRPr="005372B1" w:rsidRDefault="005372B1" w:rsidP="005372B1">
            <w:pPr>
              <w:spacing w:after="0" w:line="360" w:lineRule="auto"/>
              <w:jc w:val="both"/>
              <w:rPr>
                <w:b/>
                <w:sz w:val="20"/>
                <w:szCs w:val="20"/>
                <w:lang w:bidi="ar-SA"/>
              </w:rPr>
            </w:pPr>
            <w:r w:rsidRPr="005372B1">
              <w:rPr>
                <w:b/>
                <w:sz w:val="20"/>
                <w:szCs w:val="20"/>
                <w:lang w:bidi="ar-SA"/>
              </w:rPr>
              <w:t>77,272</w:t>
            </w:r>
          </w:p>
        </w:tc>
        <w:tc>
          <w:tcPr>
            <w:tcW w:w="683" w:type="dxa"/>
          </w:tcPr>
          <w:p w14:paraId="4F21BC1E" w14:textId="77777777" w:rsidR="005372B1" w:rsidRPr="005372B1" w:rsidRDefault="005372B1" w:rsidP="005372B1">
            <w:pPr>
              <w:spacing w:after="0" w:line="360" w:lineRule="auto"/>
              <w:jc w:val="both"/>
              <w:rPr>
                <w:b/>
                <w:sz w:val="20"/>
                <w:szCs w:val="20"/>
                <w:lang w:bidi="ar-SA"/>
              </w:rPr>
            </w:pPr>
            <w:r w:rsidRPr="005372B1">
              <w:rPr>
                <w:b/>
                <w:sz w:val="20"/>
                <w:szCs w:val="20"/>
                <w:lang w:bidi="ar-SA"/>
              </w:rPr>
              <w:t>176</w:t>
            </w:r>
          </w:p>
        </w:tc>
        <w:tc>
          <w:tcPr>
            <w:tcW w:w="816" w:type="dxa"/>
          </w:tcPr>
          <w:p w14:paraId="5C3AB97E" w14:textId="77777777" w:rsidR="005372B1" w:rsidRPr="005372B1" w:rsidRDefault="005372B1" w:rsidP="005372B1">
            <w:pPr>
              <w:spacing w:after="0" w:line="360" w:lineRule="auto"/>
              <w:jc w:val="both"/>
              <w:rPr>
                <w:b/>
                <w:sz w:val="20"/>
                <w:szCs w:val="20"/>
                <w:lang w:bidi="ar-SA"/>
              </w:rPr>
            </w:pPr>
            <w:r w:rsidRPr="005372B1">
              <w:rPr>
                <w:b/>
                <w:sz w:val="20"/>
                <w:szCs w:val="20"/>
                <w:lang w:bidi="ar-SA"/>
              </w:rPr>
              <w:t>216,434</w:t>
            </w:r>
          </w:p>
        </w:tc>
        <w:tc>
          <w:tcPr>
            <w:tcW w:w="685" w:type="dxa"/>
          </w:tcPr>
          <w:p w14:paraId="53EAF482" w14:textId="77777777" w:rsidR="005372B1" w:rsidRPr="005372B1" w:rsidRDefault="005372B1" w:rsidP="005372B1">
            <w:pPr>
              <w:spacing w:after="0" w:line="360" w:lineRule="auto"/>
              <w:jc w:val="both"/>
              <w:rPr>
                <w:b/>
                <w:sz w:val="20"/>
                <w:szCs w:val="20"/>
                <w:lang w:bidi="ar-SA"/>
              </w:rPr>
            </w:pPr>
            <w:r w:rsidRPr="005372B1">
              <w:rPr>
                <w:b/>
                <w:sz w:val="20"/>
                <w:szCs w:val="20"/>
                <w:lang w:bidi="ar-SA"/>
              </w:rPr>
              <w:t>226</w:t>
            </w:r>
          </w:p>
        </w:tc>
        <w:tc>
          <w:tcPr>
            <w:tcW w:w="1015" w:type="dxa"/>
          </w:tcPr>
          <w:p w14:paraId="77B301FB" w14:textId="77777777" w:rsidR="005372B1" w:rsidRPr="005372B1" w:rsidRDefault="005372B1" w:rsidP="005372B1">
            <w:pPr>
              <w:spacing w:after="0" w:line="360" w:lineRule="auto"/>
              <w:jc w:val="both"/>
              <w:rPr>
                <w:b/>
                <w:sz w:val="20"/>
                <w:szCs w:val="20"/>
                <w:lang w:bidi="ar-SA"/>
              </w:rPr>
            </w:pPr>
            <w:r w:rsidRPr="005372B1">
              <w:rPr>
                <w:b/>
                <w:sz w:val="20"/>
                <w:szCs w:val="20"/>
                <w:lang w:bidi="ar-SA"/>
              </w:rPr>
              <w:t>293,706</w:t>
            </w:r>
          </w:p>
        </w:tc>
        <w:tc>
          <w:tcPr>
            <w:tcW w:w="812" w:type="dxa"/>
          </w:tcPr>
          <w:p w14:paraId="295FE376" w14:textId="77777777" w:rsidR="005372B1" w:rsidRPr="005372B1" w:rsidRDefault="005372B1" w:rsidP="005372B1">
            <w:pPr>
              <w:spacing w:after="0" w:line="360" w:lineRule="auto"/>
              <w:jc w:val="both"/>
              <w:rPr>
                <w:b/>
                <w:sz w:val="20"/>
                <w:szCs w:val="20"/>
                <w:lang w:bidi="ar-SA"/>
              </w:rPr>
            </w:pPr>
            <w:r w:rsidRPr="005372B1">
              <w:rPr>
                <w:b/>
                <w:sz w:val="20"/>
                <w:szCs w:val="20"/>
                <w:lang w:bidi="ar-SA"/>
              </w:rPr>
              <w:t>1.63</w:t>
            </w:r>
          </w:p>
        </w:tc>
      </w:tr>
    </w:tbl>
    <w:p w14:paraId="3374E6BB" w14:textId="77777777" w:rsidR="003074A8" w:rsidRDefault="003074A8" w:rsidP="00AD7AA5">
      <w:pPr>
        <w:spacing w:line="360" w:lineRule="auto"/>
        <w:jc w:val="center"/>
        <w:rPr>
          <w:szCs w:val="24"/>
        </w:rPr>
      </w:pPr>
      <w:r>
        <w:rPr>
          <w:szCs w:val="24"/>
        </w:rPr>
        <w:t xml:space="preserve">Source: </w:t>
      </w:r>
      <w:proofErr w:type="spellStart"/>
      <w:r>
        <w:rPr>
          <w:szCs w:val="24"/>
        </w:rPr>
        <w:t>Containerisation</w:t>
      </w:r>
      <w:proofErr w:type="spellEnd"/>
      <w:r>
        <w:rPr>
          <w:szCs w:val="24"/>
        </w:rPr>
        <w:t xml:space="preserve"> International</w:t>
      </w:r>
    </w:p>
    <w:p w14:paraId="5710697B" w14:textId="77777777" w:rsidR="003074A8" w:rsidRPr="00247921" w:rsidRDefault="003074A8" w:rsidP="003074A8">
      <w:r>
        <w:t xml:space="preserve">Slow steaming is one way to absorb excess tonnage, but when no use can be found and it is not worth selling </w:t>
      </w:r>
      <w:r w:rsidRPr="00D27EC1">
        <w:t xml:space="preserve">or scrapping them, vessels are simply </w:t>
      </w:r>
      <w:proofErr w:type="gramStart"/>
      <w:r w:rsidRPr="00D27EC1">
        <w:t>laid</w:t>
      </w:r>
      <w:proofErr w:type="gramEnd"/>
      <w:r w:rsidRPr="00D27EC1">
        <w:t xml:space="preserve"> up in safe anchorages. </w:t>
      </w:r>
      <w:fldSimple w:instr=" REF _Ref413142636  \* MERGEFORMAT ">
        <w:r w:rsidR="00A12B83">
          <w:t xml:space="preserve">Table </w:t>
        </w:r>
        <w:r w:rsidR="00A12B83">
          <w:rPr>
            <w:noProof/>
          </w:rPr>
          <w:t>2</w:t>
        </w:r>
      </w:fldSimple>
      <w:r w:rsidRPr="00D27EC1">
        <w:t xml:space="preserve"> shows that the situation has improved markedly from recent years, with a total of 226 vessels or 1.63% of the total fleet</w:t>
      </w:r>
      <w:r>
        <w:t xml:space="preserve"> laid up. By comparison, in 2009 around 600 container vessels were laid up, and by early 2013 that number had almost halved to 333 ships or 6.6% of the container fleet (</w:t>
      </w:r>
      <w:proofErr w:type="spellStart"/>
      <w:r>
        <w:t>Wackett</w:t>
      </w:r>
      <w:proofErr w:type="spellEnd"/>
      <w:r>
        <w:t>, 2013). Much of this reduction was due to scrapping of vessels rather than them re-entering service, and this was particularly so in the case of sub-1,000 TEU vessels; in 2012, 39 of these were scrapped against 8 delivered (</w:t>
      </w:r>
      <w:proofErr w:type="spellStart"/>
      <w:r>
        <w:t>Wackett</w:t>
      </w:r>
      <w:proofErr w:type="spellEnd"/>
      <w:r>
        <w:t xml:space="preserve">, 2013). What is particularly interesting in terms of the current analysis is that in January 2013, 164 of 333 idle ships (49.8%) </w:t>
      </w:r>
      <w:r w:rsidRPr="00247921">
        <w:t>were sub-1,000 TEU, compared with 155 out of 226</w:t>
      </w:r>
      <w:r>
        <w:t xml:space="preserve"> (68.6%)</w:t>
      </w:r>
      <w:r w:rsidRPr="00247921">
        <w:t xml:space="preserve"> in November 2014. This shows that sub-1,000 TEU vessels remain the most difficult to </w:t>
      </w:r>
      <w:proofErr w:type="spellStart"/>
      <w:r w:rsidRPr="00247921">
        <w:t>utilise</w:t>
      </w:r>
      <w:proofErr w:type="spellEnd"/>
      <w:r w:rsidRPr="00247921">
        <w:t>.</w:t>
      </w:r>
    </w:p>
    <w:p w14:paraId="2BAB874D" w14:textId="528011EA" w:rsidR="003074A8" w:rsidRDefault="003074A8" w:rsidP="003074A8">
      <w:r w:rsidRPr="00247921">
        <w:t xml:space="preserve">Another interesting point is that non-operating owners account for the majority of idle vessels, with 78% of vessels and 74% of TEU capacity. Thus shipping lines relying mostly on chartered vessels were able to end charters and cut losses rather than being </w:t>
      </w:r>
      <w:r>
        <w:t>caught</w:t>
      </w:r>
      <w:r w:rsidRPr="00247921">
        <w:t xml:space="preserve"> with expensive investments.</w:t>
      </w:r>
    </w:p>
    <w:p w14:paraId="6E7252DC" w14:textId="77777777" w:rsidR="003074A8" w:rsidRPr="002D344E" w:rsidRDefault="0067026F" w:rsidP="003074A8">
      <w:fldSimple w:instr=" REF _Ref413142636  \* MERGEFORMAT ">
        <w:r w:rsidR="00A12B83">
          <w:t xml:space="preserve">Table </w:t>
        </w:r>
        <w:r w:rsidR="00A12B83">
          <w:rPr>
            <w:noProof/>
          </w:rPr>
          <w:t>2</w:t>
        </w:r>
      </w:fldSimple>
      <w:r w:rsidR="003074A8" w:rsidRPr="00B5134A">
        <w:t xml:space="preserve"> </w:t>
      </w:r>
      <w:r w:rsidR="003074A8">
        <w:t xml:space="preserve">shows </w:t>
      </w:r>
      <w:r w:rsidR="003074A8" w:rsidRPr="00B5134A">
        <w:t>that 26% of sub-500 TEU vessels are laid up</w:t>
      </w:r>
      <w:r w:rsidR="003074A8">
        <w:t>. Carriers understandably prefer</w:t>
      </w:r>
      <w:r w:rsidR="003074A8" w:rsidRPr="002D344E">
        <w:t xml:space="preserve"> to make the most use of larger vessels</w:t>
      </w:r>
      <w:r w:rsidR="003074A8">
        <w:t>;</w:t>
      </w:r>
      <w:r w:rsidR="003074A8" w:rsidRPr="002D344E">
        <w:t xml:space="preserve"> perhaps in future if these vessels are sold or scrapped or simply find more employment due to a buoyant market then smaller vessels m</w:t>
      </w:r>
      <w:r w:rsidR="003074A8">
        <w:t>ay be used again. B</w:t>
      </w:r>
      <w:r w:rsidR="003074A8" w:rsidRPr="002D344E">
        <w:t xml:space="preserve">y </w:t>
      </w:r>
      <w:r w:rsidR="003074A8">
        <w:t>that time it may be too late to alter</w:t>
      </w:r>
      <w:r w:rsidR="003074A8" w:rsidRPr="002D344E">
        <w:t xml:space="preserve"> the new port geog</w:t>
      </w:r>
      <w:r w:rsidR="003074A8">
        <w:t xml:space="preserve">raphy that has developed from an extended period during </w:t>
      </w:r>
      <w:r w:rsidR="003074A8">
        <w:lastRenderedPageBreak/>
        <w:t>which</w:t>
      </w:r>
      <w:r w:rsidR="003074A8" w:rsidRPr="002D344E">
        <w:t xml:space="preserve"> small vessels</w:t>
      </w:r>
      <w:r w:rsidR="003074A8">
        <w:t xml:space="preserve"> are laid up or scrapped</w:t>
      </w:r>
      <w:r w:rsidR="003074A8" w:rsidRPr="002D344E">
        <w:t>. Second-tier regional hubs may already have inserted themselves in these flows</w:t>
      </w:r>
      <w:r w:rsidR="003074A8">
        <w:t>.</w:t>
      </w:r>
    </w:p>
    <w:p w14:paraId="1A14D50C" w14:textId="271A1DD9" w:rsidR="003074A8" w:rsidRDefault="0067026F" w:rsidP="0098389D">
      <w:pPr>
        <w:rPr>
          <w:szCs w:val="24"/>
        </w:rPr>
      </w:pPr>
      <w:fldSimple w:instr=" REF _Ref413680075  \* MERGEFORMAT ">
        <w:r w:rsidR="00A12B83">
          <w:t>Figure 6</w:t>
        </w:r>
      </w:fldSimple>
      <w:r w:rsidR="003074A8">
        <w:t xml:space="preserve"> shows the year of entering service for the vessels in the sample. </w:t>
      </w:r>
    </w:p>
    <w:p w14:paraId="2C3DE9E7" w14:textId="77777777" w:rsidR="003074A8" w:rsidRDefault="003074A8" w:rsidP="003074A8">
      <w:pPr>
        <w:spacing w:line="360" w:lineRule="auto"/>
        <w:jc w:val="both"/>
        <w:rPr>
          <w:szCs w:val="24"/>
        </w:rPr>
      </w:pPr>
      <w:r>
        <w:rPr>
          <w:noProof/>
          <w:lang w:val="en-GB" w:eastAsia="en-GB" w:bidi="ar-SA"/>
        </w:rPr>
        <w:drawing>
          <wp:inline distT="0" distB="0" distL="0" distR="0" wp14:anchorId="6F45E39F" wp14:editId="03715994">
            <wp:extent cx="6505575" cy="31908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4313C4" w14:textId="0D0CDA39" w:rsidR="003074A8" w:rsidRDefault="003074A8" w:rsidP="00665F65">
      <w:pPr>
        <w:pStyle w:val="TableFigureHeading"/>
      </w:pPr>
      <w:bookmarkStart w:id="8" w:name="_Ref413680075"/>
      <w:r>
        <w:t xml:space="preserve">Figure </w:t>
      </w:r>
      <w:r>
        <w:fldChar w:fldCharType="begin"/>
      </w:r>
      <w:r>
        <w:instrText xml:space="preserve"> SEQ Figure \* ARABIC </w:instrText>
      </w:r>
      <w:r>
        <w:fldChar w:fldCharType="separate"/>
      </w:r>
      <w:r w:rsidR="00A12B83">
        <w:rPr>
          <w:noProof/>
        </w:rPr>
        <w:t>6</w:t>
      </w:r>
      <w:r>
        <w:rPr>
          <w:noProof/>
        </w:rPr>
        <w:fldChar w:fldCharType="end"/>
      </w:r>
      <w:bookmarkEnd w:id="8"/>
      <w:r w:rsidR="00665F65">
        <w:t xml:space="preserve"> -</w:t>
      </w:r>
      <w:r>
        <w:t xml:space="preserve"> Year of build for sub-1,000 TEU fleet</w:t>
      </w:r>
    </w:p>
    <w:p w14:paraId="5C14C30E" w14:textId="163C203E" w:rsidR="003074A8" w:rsidRPr="002D344E" w:rsidRDefault="003074A8" w:rsidP="003074A8">
      <w:pPr>
        <w:rPr>
          <w:szCs w:val="24"/>
        </w:rPr>
      </w:pPr>
      <w:r>
        <w:t xml:space="preserve">The figure shows that by far the majority of sub-1,000 TEU vessels in service are in the larger category, even more so when considering those recently built, as all vessels still in operation that were built prior to 1982 are 0-499 TEU. Therefore, the average age of 0-499 TEU vessels is 20 years and for 500-999 TEU vessels it is 14 years, with a combined average of 15 years. Many of these vessels, particularly in the sub-500 TEU range, are nearing the end of their lives, </w:t>
      </w:r>
      <w:r w:rsidRPr="002D344E">
        <w:t>meaning th</w:t>
      </w:r>
      <w:r>
        <w:t>at they will be phased out soon. As so many are also laid up and almost none being ordered,</w:t>
      </w:r>
      <w:r w:rsidRPr="002D344E">
        <w:t xml:space="preserve"> </w:t>
      </w:r>
      <w:r>
        <w:t>this suggests that in a few years’ time such vessels will be rare indeed, raising questions for the future of those container ports currently relying on them.</w:t>
      </w:r>
    </w:p>
    <w:p w14:paraId="238BE2CE" w14:textId="77777777" w:rsidR="003074A8" w:rsidRPr="002D344E" w:rsidRDefault="003074A8" w:rsidP="003074A8">
      <w:pPr>
        <w:pStyle w:val="Heading3"/>
      </w:pPr>
      <w:r w:rsidRPr="002D344E">
        <w:t xml:space="preserve">5.4 </w:t>
      </w:r>
      <w:r>
        <w:t xml:space="preserve">Identifying “at risk” ports </w:t>
      </w:r>
    </w:p>
    <w:p w14:paraId="4888AFD5" w14:textId="10CF7152" w:rsidR="003074A8" w:rsidRDefault="003074A8" w:rsidP="003074A8">
      <w:r>
        <w:t>Section 5.1 revealed that there are 436 ports being served by sub-1,000 TEU container ves</w:t>
      </w:r>
      <w:r w:rsidR="00A2196C">
        <w:t>sels. Of these 436 ports, 90 (or 21%</w:t>
      </w:r>
      <w:r>
        <w:t xml:space="preserve"> of 420 confirmed dat</w:t>
      </w:r>
      <w:r w:rsidR="00A2196C">
        <w:t>a points) have berth depth less than 9.1m</w:t>
      </w:r>
      <w:r>
        <w:t xml:space="preserve">. Section 5.2 showed that berth depth of 8.7m is the average cut-off for vessels of 1,000 TEU, and this is using the design </w:t>
      </w:r>
      <w:r w:rsidR="00B93D43">
        <w:t>draft</w:t>
      </w:r>
      <w:r>
        <w:t xml:space="preserve"> rather than the full depth required for a heavily laden vessel. Section 5.3 showed that the existing sub-1,000 TEU vessel supply is under threat, with many already laid up, many operating </w:t>
      </w:r>
      <w:r>
        <w:lastRenderedPageBreak/>
        <w:t>vessels approaching the scrapyard and very few new ones on order. This suggests that, as already inferred from the cascading on larger routes, sub-1,000 TEU vessels are likely to be replaced, at least to some degree, by larger vesse</w:t>
      </w:r>
      <w:r w:rsidR="00F93BD0">
        <w:t xml:space="preserve">ls. This section </w:t>
      </w:r>
      <w:r>
        <w:t xml:space="preserve">will combine the above results in order to consider what would happen to the sample of “at risk” ports if minimum vessel size increased. </w:t>
      </w:r>
    </w:p>
    <w:p w14:paraId="0EF8588D" w14:textId="411C828B" w:rsidR="003074A8" w:rsidRDefault="003074A8" w:rsidP="00665F65">
      <w:pPr>
        <w:rPr>
          <w:szCs w:val="24"/>
        </w:rPr>
      </w:pPr>
      <w:r>
        <w:t>The data reveal the countries with the largest number of ports with shallow depth in the berths (</w:t>
      </w:r>
      <w:fldSimple w:instr=" REF _Ref413677264  \* MERGEFORMAT ">
        <w:r w:rsidR="00A12B83">
          <w:t>Figure 7</w:t>
        </w:r>
      </w:fldSimple>
      <w:r>
        <w:t>) or access channels (</w:t>
      </w:r>
      <w:fldSimple w:instr=" REF _Ref413676702  \* MERGEFORMAT ">
        <w:r w:rsidR="00A12B83">
          <w:t>Figure 8</w:t>
        </w:r>
      </w:fldSimple>
      <w:r>
        <w:t>).</w:t>
      </w:r>
    </w:p>
    <w:p w14:paraId="1175ACF9" w14:textId="77777777" w:rsidR="0007080D" w:rsidRDefault="0007080D" w:rsidP="0007080D">
      <w:pPr>
        <w:spacing w:after="0" w:line="360" w:lineRule="auto"/>
        <w:rPr>
          <w:szCs w:val="24"/>
        </w:rPr>
        <w:sectPr w:rsidR="0007080D" w:rsidSect="00AE5478">
          <w:headerReference w:type="default" r:id="rId14"/>
          <w:footerReference w:type="default" r:id="rId15"/>
          <w:headerReference w:type="first" r:id="rId16"/>
          <w:pgSz w:w="12240" w:h="15840"/>
          <w:pgMar w:top="1077" w:right="1077" w:bottom="794" w:left="1361" w:header="567" w:footer="567" w:gutter="0"/>
          <w:cols w:space="708"/>
          <w:titlePg/>
          <w:docGrid w:linePitch="360"/>
        </w:sectPr>
      </w:pPr>
    </w:p>
    <w:p w14:paraId="709322A6" w14:textId="3806F817" w:rsidR="0007080D" w:rsidRDefault="0007080D" w:rsidP="0007080D">
      <w:pPr>
        <w:spacing w:after="0" w:line="360" w:lineRule="auto"/>
        <w:rPr>
          <w:szCs w:val="24"/>
        </w:rPr>
      </w:pPr>
      <w:r>
        <w:rPr>
          <w:noProof/>
          <w:lang w:val="en-GB" w:eastAsia="en-GB" w:bidi="ar-SA"/>
        </w:rPr>
        <w:lastRenderedPageBreak/>
        <w:drawing>
          <wp:inline distT="0" distB="0" distL="0" distR="0" wp14:anchorId="7E68508F" wp14:editId="1B6674B2">
            <wp:extent cx="9298379" cy="2731325"/>
            <wp:effectExtent l="0" t="0" r="17145"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C4B65A" w14:textId="59BAF520" w:rsidR="003074A8" w:rsidRDefault="003074A8" w:rsidP="00665F65">
      <w:pPr>
        <w:pStyle w:val="TableFigureHeading"/>
      </w:pPr>
      <w:bookmarkStart w:id="9" w:name="_Ref413677264"/>
      <w:r>
        <w:t xml:space="preserve">Figure </w:t>
      </w:r>
      <w:r>
        <w:fldChar w:fldCharType="begin"/>
      </w:r>
      <w:r>
        <w:instrText xml:space="preserve"> SEQ Figure \* ARABIC </w:instrText>
      </w:r>
      <w:r>
        <w:fldChar w:fldCharType="separate"/>
      </w:r>
      <w:r w:rsidR="00A12B83">
        <w:rPr>
          <w:noProof/>
        </w:rPr>
        <w:t>7</w:t>
      </w:r>
      <w:r>
        <w:rPr>
          <w:noProof/>
        </w:rPr>
        <w:fldChar w:fldCharType="end"/>
      </w:r>
      <w:bookmarkEnd w:id="9"/>
      <w:r w:rsidR="00665F65">
        <w:t xml:space="preserve"> - </w:t>
      </w:r>
      <w:r>
        <w:t>Numb</w:t>
      </w:r>
      <w:r w:rsidR="00937481">
        <w:t>er of ports per country with limited</w:t>
      </w:r>
      <w:r>
        <w:t xml:space="preserve"> berth depth</w:t>
      </w:r>
    </w:p>
    <w:p w14:paraId="2B8C2352" w14:textId="4F5FA740" w:rsidR="003074A8" w:rsidRDefault="0007080D" w:rsidP="0007080D">
      <w:pPr>
        <w:spacing w:line="360" w:lineRule="auto"/>
        <w:jc w:val="both"/>
        <w:rPr>
          <w:szCs w:val="24"/>
        </w:rPr>
      </w:pPr>
      <w:r>
        <w:rPr>
          <w:noProof/>
          <w:lang w:val="en-GB" w:eastAsia="en-GB" w:bidi="ar-SA"/>
        </w:rPr>
        <w:drawing>
          <wp:inline distT="0" distB="0" distL="0" distR="0" wp14:anchorId="23A01D11" wp14:editId="3B78912E">
            <wp:extent cx="9298379" cy="2470068"/>
            <wp:effectExtent l="0" t="0" r="17145" b="260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33BF5B" w14:textId="26ECA96B" w:rsidR="003074A8" w:rsidRPr="00E20FD0" w:rsidRDefault="003074A8" w:rsidP="00C217EE">
      <w:pPr>
        <w:pStyle w:val="TableFigureHeading"/>
        <w:spacing w:after="120"/>
      </w:pPr>
      <w:bookmarkStart w:id="10" w:name="_Ref413676702"/>
      <w:r>
        <w:t xml:space="preserve">Figure </w:t>
      </w:r>
      <w:r>
        <w:fldChar w:fldCharType="begin"/>
      </w:r>
      <w:r>
        <w:instrText xml:space="preserve"> SEQ Figure \* ARABIC </w:instrText>
      </w:r>
      <w:r>
        <w:fldChar w:fldCharType="separate"/>
      </w:r>
      <w:r w:rsidR="00A12B83">
        <w:rPr>
          <w:noProof/>
        </w:rPr>
        <w:t>8</w:t>
      </w:r>
      <w:r>
        <w:rPr>
          <w:noProof/>
        </w:rPr>
        <w:fldChar w:fldCharType="end"/>
      </w:r>
      <w:bookmarkEnd w:id="10"/>
      <w:r w:rsidR="00665F65">
        <w:t xml:space="preserve"> -</w:t>
      </w:r>
      <w:r>
        <w:t xml:space="preserve"> </w:t>
      </w:r>
      <w:r w:rsidRPr="00E20FD0">
        <w:t xml:space="preserve">Number of </w:t>
      </w:r>
      <w:r w:rsidR="00937481">
        <w:t>ports per country with limited</w:t>
      </w:r>
      <w:r>
        <w:t xml:space="preserve"> channel</w:t>
      </w:r>
      <w:r w:rsidRPr="00E20FD0">
        <w:t xml:space="preserve"> depth</w:t>
      </w:r>
    </w:p>
    <w:p w14:paraId="79AB346B" w14:textId="77777777" w:rsidR="0007080D" w:rsidRDefault="0007080D" w:rsidP="00C217EE">
      <w:pPr>
        <w:spacing w:after="120"/>
        <w:sectPr w:rsidR="0007080D" w:rsidSect="0007080D">
          <w:pgSz w:w="15840" w:h="12240" w:orient="landscape"/>
          <w:pgMar w:top="57" w:right="567" w:bottom="57" w:left="737" w:header="567" w:footer="567" w:gutter="0"/>
          <w:cols w:space="708"/>
          <w:titlePg/>
          <w:docGrid w:linePitch="360"/>
        </w:sectPr>
      </w:pPr>
    </w:p>
    <w:p w14:paraId="0A2F3F04" w14:textId="52F4DEB7" w:rsidR="003074A8" w:rsidRPr="002D344E" w:rsidRDefault="003074A8" w:rsidP="00C217EE">
      <w:pPr>
        <w:spacing w:after="120"/>
        <w:rPr>
          <w:szCs w:val="24"/>
        </w:rPr>
      </w:pPr>
      <w:r>
        <w:lastRenderedPageBreak/>
        <w:t xml:space="preserve">The figures reveal that a handful of countries have a significant number of ports with depth restrictions that will be severely challenged as vessel </w:t>
      </w:r>
      <w:r w:rsidR="00B93D43">
        <w:t>draft</w:t>
      </w:r>
      <w:r>
        <w:t xml:space="preserve"> increases. Taking the perspective of the individual ports, countries with only one port with depth challenges may mean that such ports will lose their traffic to </w:t>
      </w:r>
      <w:proofErr w:type="spellStart"/>
      <w:r>
        <w:t>neighbouring</w:t>
      </w:r>
      <w:proofErr w:type="spellEnd"/>
      <w:r>
        <w:t xml:space="preserve"> ports in the range. Some will indeed be islands with captive markets therefore lines will have to serve them, but inevitably prices will rise if carriers need to put on a special service by smaller vessel, or if the ports need to invest in berth and channel dredging. These strategies will be considered in the discussion section.</w:t>
      </w:r>
    </w:p>
    <w:p w14:paraId="519138B2" w14:textId="77777777" w:rsidR="003074A8" w:rsidRPr="002D344E" w:rsidRDefault="003074A8" w:rsidP="009F5CDD">
      <w:pPr>
        <w:pStyle w:val="Heading2"/>
        <w:spacing w:before="120"/>
      </w:pPr>
      <w:r w:rsidRPr="002D344E">
        <w:t xml:space="preserve">6. </w:t>
      </w:r>
      <w:r>
        <w:t>Strategic responses by ports at risk</w:t>
      </w:r>
    </w:p>
    <w:p w14:paraId="4B38E000" w14:textId="77777777" w:rsidR="003074A8" w:rsidRPr="002D344E" w:rsidRDefault="003074A8" w:rsidP="003A4BA9">
      <w:pPr>
        <w:spacing w:after="120"/>
      </w:pPr>
      <w:r>
        <w:t xml:space="preserve">The question for discussion is what strategies will result from the situation identified in the preceding analysis. If a small port is currently served by 1,000 TEU vessels from </w:t>
      </w:r>
      <w:proofErr w:type="spellStart"/>
      <w:r>
        <w:t>transhipment</w:t>
      </w:r>
      <w:proofErr w:type="spellEnd"/>
      <w:r>
        <w:t xml:space="preserve"> hubs and shipping lines decide to scrap such vessels and replace them with larger ones, a few potential scenarios may result. The first and most obvious strategy is that the small ports may upgrade to handle larger vessels. This may require large investments to dredge berths and access channels, as well as lengthening berths if necessary, in addition to upgrading the handling capacity through larger cranes, yard redesign and improved processes at the gate and access infrastructure. There are several impediments to this course of action, besides the simple fact of the cost. Many of these ports (although by no means all, as shown in section 5.4) will be from countries with less effective governance regimes in place to develop the ports, especially as they will in most cases be publicly owned and therefore may find it difficult to justify large expenses for port expansion. Large international operators may take them on (or may already run them) if the price of expansion work is factored into their concession arrangement. But they could just as easily operate a different port where such constraints do not exist.</w:t>
      </w:r>
    </w:p>
    <w:p w14:paraId="5FF649F2" w14:textId="77777777" w:rsidR="003074A8" w:rsidRPr="006160ED" w:rsidRDefault="003074A8" w:rsidP="003A4BA9">
      <w:pPr>
        <w:spacing w:after="120"/>
      </w:pPr>
      <w:r>
        <w:t>E</w:t>
      </w:r>
      <w:r w:rsidRPr="006160ED">
        <w:t>ven if the port upgrades, there will be fewer calls. Ceteris paribu</w:t>
      </w:r>
      <w:r>
        <w:t>s, doubling the vessel size would</w:t>
      </w:r>
      <w:r w:rsidRPr="006160ED">
        <w:t xml:space="preserve"> halve the number of calls</w:t>
      </w:r>
      <w:r>
        <w:t>, although in reality the reduction would probably not go as far as that</w:t>
      </w:r>
      <w:r w:rsidRPr="006160ED">
        <w:t>.</w:t>
      </w:r>
      <w:r>
        <w:t xml:space="preserve"> Recent research has identified cases where larger vessels have been cascaded down to routes where their capacity remains </w:t>
      </w:r>
      <w:proofErr w:type="spellStart"/>
      <w:r>
        <w:t>underutilised</w:t>
      </w:r>
      <w:proofErr w:type="spellEnd"/>
      <w:r>
        <w:t>.</w:t>
      </w:r>
      <w:r w:rsidRPr="006160ED">
        <w:t xml:space="preserve"> This may lead to two main problems. First, many smaller ports only have a handful of container vessel calls per week. Is it viable to remain open for fewer calls? Second, less frequent calls will place limitations on the supply chains of local shippers, leading to increased costs for example through the need to increase inventories, depending on individual requirements. They will either have to absorb this cost or find an alternative route, through a different port and then overland.</w:t>
      </w:r>
    </w:p>
    <w:p w14:paraId="067FC2FA" w14:textId="77777777" w:rsidR="003074A8" w:rsidRPr="006160ED" w:rsidRDefault="003074A8" w:rsidP="003A4BA9">
      <w:pPr>
        <w:spacing w:after="120"/>
      </w:pPr>
      <w:r w:rsidRPr="006160ED">
        <w:t>If the port does not upgrade and consequently cannot accommodate the new vessels, it will lose traffic to the nearest port in the area large enough, who will then serve the market by overland links. This will result in increased costs for local shippers.</w:t>
      </w:r>
    </w:p>
    <w:p w14:paraId="6E67A02C" w14:textId="77777777" w:rsidR="003074A8" w:rsidRPr="006160ED" w:rsidRDefault="003074A8" w:rsidP="003A4BA9">
      <w:pPr>
        <w:spacing w:after="120"/>
      </w:pPr>
      <w:r>
        <w:lastRenderedPageBreak/>
        <w:t>Finally, i</w:t>
      </w:r>
      <w:r w:rsidRPr="006160ED">
        <w:t xml:space="preserve">f no sufficiently large ports exist in the area or overland links are not available or sufficient, </w:t>
      </w:r>
      <w:proofErr w:type="gramStart"/>
      <w:r w:rsidRPr="006160ED">
        <w:t>then</w:t>
      </w:r>
      <w:proofErr w:type="gramEnd"/>
      <w:r w:rsidRPr="006160ED">
        <w:t xml:space="preserve"> traffic must continue to use this port. In this case it will go via a second-tier hub and be </w:t>
      </w:r>
      <w:proofErr w:type="spellStart"/>
      <w:r w:rsidRPr="006160ED">
        <w:t>feedered</w:t>
      </w:r>
      <w:proofErr w:type="spellEnd"/>
      <w:r w:rsidRPr="006160ED">
        <w:t xml:space="preserve"> there on small vessels. There is even the possibility that such small vessels will disappear entirely so this option may not even exist.</w:t>
      </w:r>
      <w:r>
        <w:t xml:space="preserve"> Increased costs caused by rising oil prices (until recently) and the increased price of low-</w:t>
      </w:r>
      <w:proofErr w:type="spellStart"/>
      <w:r>
        <w:t>sulphur</w:t>
      </w:r>
      <w:proofErr w:type="spellEnd"/>
      <w:r>
        <w:t xml:space="preserve"> fuel (needed for</w:t>
      </w:r>
      <w:r w:rsidRPr="009B71A8">
        <w:t xml:space="preserve"> SECA</w:t>
      </w:r>
      <w:r>
        <w:t xml:space="preserve"> regulations – research suggests that</w:t>
      </w:r>
      <w:r w:rsidRPr="009B71A8">
        <w:t xml:space="preserve"> owners are not going to make investments in these old vessels and will either scrap</w:t>
      </w:r>
      <w:r>
        <w:t xml:space="preserve"> them</w:t>
      </w:r>
      <w:r w:rsidRPr="009B71A8">
        <w:t xml:space="preserve"> or use low </w:t>
      </w:r>
      <w:proofErr w:type="spellStart"/>
      <w:r w:rsidRPr="009B71A8">
        <w:t>sulphur</w:t>
      </w:r>
      <w:proofErr w:type="spellEnd"/>
      <w:r w:rsidRPr="009B71A8">
        <w:t xml:space="preserve"> fuel</w:t>
      </w:r>
      <w:r>
        <w:t>) are strong drivers for shipping lines to operate larger vessels, in order to spread any cost increases across more containers. Any of these strategies will result in a large cost</w:t>
      </w:r>
      <w:r w:rsidRPr="006160ED">
        <w:t xml:space="preserve"> increase</w:t>
      </w:r>
      <w:r>
        <w:t xml:space="preserve"> for users of maritime transport.</w:t>
      </w:r>
    </w:p>
    <w:p w14:paraId="1878B066" w14:textId="269A3E76" w:rsidR="003074A8" w:rsidRPr="00036356" w:rsidRDefault="003074A8" w:rsidP="003A4BA9">
      <w:pPr>
        <w:spacing w:after="120"/>
        <w:rPr>
          <w:color w:val="FF0000"/>
        </w:rPr>
      </w:pPr>
      <w:r>
        <w:t xml:space="preserve">The likely reality is a combination of the above strategies at different ports across the globe. In order to </w:t>
      </w:r>
      <w:proofErr w:type="spellStart"/>
      <w:r>
        <w:t>systematise</w:t>
      </w:r>
      <w:proofErr w:type="spellEnd"/>
      <w:r>
        <w:t xml:space="preserve"> the findings from the preceding analysis, </w:t>
      </w:r>
      <w:proofErr w:type="spellStart"/>
      <w:r w:rsidRPr="004315D9">
        <w:t>Hayuth</w:t>
      </w:r>
      <w:r>
        <w:t>’s</w:t>
      </w:r>
      <w:proofErr w:type="spellEnd"/>
      <w:r w:rsidRPr="004315D9">
        <w:t xml:space="preserve"> (1981</w:t>
      </w:r>
      <w:r>
        <w:t>) list of factors for the dev</w:t>
      </w:r>
      <w:r w:rsidR="00CE122B">
        <w:t xml:space="preserve">elopment of a load </w:t>
      </w:r>
      <w:proofErr w:type="spellStart"/>
      <w:r w:rsidR="00CE122B">
        <w:t>centre</w:t>
      </w:r>
      <w:proofErr w:type="spellEnd"/>
      <w:r w:rsidR="00CE122B">
        <w:t xml:space="preserve"> port</w:t>
      </w:r>
      <w:r>
        <w:t xml:space="preserve"> can now be applied. These factors are generally applied to large ports but they can be reinterpreted in relation to small ports, based on the findings in this paper. </w:t>
      </w:r>
      <w:proofErr w:type="spellStart"/>
      <w:r>
        <w:t>Hayuth</w:t>
      </w:r>
      <w:proofErr w:type="spellEnd"/>
      <w:r>
        <w:t xml:space="preserve"> identified five major influences: </w:t>
      </w:r>
    </w:p>
    <w:p w14:paraId="6913E8A2" w14:textId="77777777" w:rsidR="003074A8" w:rsidRPr="00547C78" w:rsidRDefault="003074A8" w:rsidP="003A4BA9">
      <w:pPr>
        <w:spacing w:after="120"/>
      </w:pPr>
      <w:r w:rsidRPr="00547C78">
        <w:rPr>
          <w:u w:val="single"/>
        </w:rPr>
        <w:t>A large-scale local market:</w:t>
      </w:r>
      <w:r w:rsidRPr="00547C78">
        <w:t xml:space="preserve"> Even if the scale of local markets is sufficient in totality, it may require regular small container drops rather than large ones</w:t>
      </w:r>
      <w:r>
        <w:t>. Given the rise of just-in-time logistics and lean and agile supply chains, many firms are no longer able to store large inventories and rely on regular small deliveries.</w:t>
      </w:r>
    </w:p>
    <w:p w14:paraId="3BD075CE" w14:textId="77777777" w:rsidR="003074A8" w:rsidRPr="00547C78" w:rsidRDefault="003074A8" w:rsidP="003A4BA9">
      <w:pPr>
        <w:spacing w:after="120"/>
      </w:pPr>
      <w:r w:rsidRPr="00547C78">
        <w:rPr>
          <w:u w:val="single"/>
        </w:rPr>
        <w:t>High accessibility to inland markets:</w:t>
      </w:r>
      <w:r w:rsidRPr="00547C78">
        <w:t xml:space="preserve"> large container drops may also challenge the connecting infrastructure if the region is used to lower port traffic</w:t>
      </w:r>
      <w:r>
        <w:t>. Road congestion may result, and rail lines (if available) may not have capacity for longer or more frequent trains, and rail operators may have difficulty balancing flows, depending on the import/export balance of the region.</w:t>
      </w:r>
    </w:p>
    <w:p w14:paraId="47442957" w14:textId="59F3C52B" w:rsidR="003074A8" w:rsidRPr="00547C78" w:rsidRDefault="003074A8" w:rsidP="003A4BA9">
      <w:pPr>
        <w:spacing w:after="120"/>
      </w:pPr>
      <w:r w:rsidRPr="00547C78">
        <w:rPr>
          <w:u w:val="single"/>
        </w:rPr>
        <w:t>Advantageous site and location:</w:t>
      </w:r>
      <w:r w:rsidRPr="00547C78">
        <w:t xml:space="preserve"> a once-advantageous site becomes less so due to physical limitations as greater </w:t>
      </w:r>
      <w:r w:rsidR="00B93D43">
        <w:t>draft</w:t>
      </w:r>
      <w:r w:rsidRPr="00547C78">
        <w:t xml:space="preserve"> is required than once was.</w:t>
      </w:r>
      <w:r>
        <w:t xml:space="preserve"> Also relating back to the first point about the scale of the market, a more intermediate location may be required in order to consolidate and store goods as modern supply chains are built around regular small deliveries rather than fewer large goods movements. So an intermediate port location with land available for logisti</w:t>
      </w:r>
      <w:r w:rsidR="00CE122B">
        <w:t>cs may be suitable. This may</w:t>
      </w:r>
      <w:r>
        <w:t xml:space="preserve"> explain to some degree why some ports advocating their market offer of port-centric logistics tend to be second-tier ports with available brownfield land from departing industrial activity (Monios &amp; Wilmsmeier, 2012b).</w:t>
      </w:r>
    </w:p>
    <w:p w14:paraId="1CF2CFB7" w14:textId="77777777" w:rsidR="003074A8" w:rsidRPr="00547C78" w:rsidRDefault="003074A8" w:rsidP="003A4BA9">
      <w:pPr>
        <w:spacing w:after="120"/>
      </w:pPr>
      <w:r w:rsidRPr="00547C78">
        <w:rPr>
          <w:u w:val="single"/>
        </w:rPr>
        <w:t>Early adoption of the new system:</w:t>
      </w:r>
      <w:r>
        <w:rPr>
          <w:u w:val="single"/>
        </w:rPr>
        <w:t xml:space="preserve"> </w:t>
      </w:r>
      <w:r w:rsidRPr="005D7E5E">
        <w:t xml:space="preserve">due to </w:t>
      </w:r>
      <w:r>
        <w:t>the time-lagged nature of large infra- and superstructure investments,</w:t>
      </w:r>
      <w:r w:rsidRPr="005D7E5E">
        <w:t xml:space="preserve"> if</w:t>
      </w:r>
      <w:r w:rsidRPr="00547C78">
        <w:t xml:space="preserve"> one smaller port takes the first mover advantage and expands port capacity, it may succeed at the expense of others</w:t>
      </w:r>
      <w:r>
        <w:t xml:space="preserve">. This factor applies even more so if the port develops logistics initiatives to store cargo, or offers increased facilities such as container freight stations and empty </w:t>
      </w:r>
      <w:r>
        <w:lastRenderedPageBreak/>
        <w:t>depots to provide shippers with increased flexibility and choice with regard to cargo storage, sorting and postponement.</w:t>
      </w:r>
    </w:p>
    <w:p w14:paraId="2A17628B" w14:textId="5E7021C7" w:rsidR="003074A8" w:rsidRDefault="003074A8" w:rsidP="003A4BA9">
      <w:pPr>
        <w:spacing w:after="120"/>
      </w:pPr>
      <w:r w:rsidRPr="00547C78">
        <w:rPr>
          <w:u w:val="single"/>
        </w:rPr>
        <w:t>Aggressiveness of port management:</w:t>
      </w:r>
      <w:r w:rsidRPr="00547C78">
        <w:t xml:space="preserve"> small ports tend to be less aggressive as they rely on the captive local market rather than fierce port competition that is the norm for larger ports competing for overlapping hinterlands. </w:t>
      </w:r>
      <w:r>
        <w:t>Small ports may find it difficult</w:t>
      </w:r>
      <w:r w:rsidRPr="00547C78">
        <w:t xml:space="preserve"> to obtain investment from public sector sources who may view expansion as speculative or unnecessary, while private investors are less interested in such a small port. </w:t>
      </w:r>
      <w:r>
        <w:t>If they are interested in such ports</w:t>
      </w:r>
      <w:r w:rsidRPr="00547C78">
        <w:t xml:space="preserve">, it is </w:t>
      </w:r>
      <w:r>
        <w:t>more likely because</w:t>
      </w:r>
      <w:r w:rsidRPr="00547C78">
        <w:t xml:space="preserve"> </w:t>
      </w:r>
      <w:r>
        <w:t>they are attracted by</w:t>
      </w:r>
      <w:r w:rsidRPr="00547C78">
        <w:t xml:space="preserve"> the regular returns from that captive ma</w:t>
      </w:r>
      <w:r>
        <w:t>rket (Baird, 2013), in which case they are</w:t>
      </w:r>
      <w:r w:rsidRPr="00547C78">
        <w:t xml:space="preserve"> even less likely to invest in expansion.</w:t>
      </w:r>
      <w:r>
        <w:t xml:space="preserve"> Looking from the other end of the spectrum, large ports with congestion problems are less interested to handle small vessels as they </w:t>
      </w:r>
      <w:r w:rsidR="00CE122B">
        <w:t>attract less revenue</w:t>
      </w:r>
      <w:r>
        <w:t>, so aggressive management from large ports will reduce the likelihood of small feeders calling there, further driving the adoption of larger feeders.</w:t>
      </w:r>
    </w:p>
    <w:p w14:paraId="5E2C37C6" w14:textId="77777777" w:rsidR="003074A8" w:rsidRPr="002D344E" w:rsidRDefault="003074A8" w:rsidP="003A4BA9">
      <w:pPr>
        <w:spacing w:after="120"/>
      </w:pPr>
      <w:r>
        <w:t xml:space="preserve">In the past, as long as a port was able to handle container vessels up to around 500-1,000 TEU then it made sense for the vessel to visit each port of this type rather than concentrate flows in a local hub. However, a consideration of </w:t>
      </w:r>
      <w:proofErr w:type="spellStart"/>
      <w:r>
        <w:t>Hayuth’s</w:t>
      </w:r>
      <w:proofErr w:type="spellEnd"/>
      <w:r>
        <w:t xml:space="preserve"> five drivers for a load </w:t>
      </w:r>
      <w:proofErr w:type="spellStart"/>
      <w:r>
        <w:t>centre</w:t>
      </w:r>
      <w:proofErr w:type="spellEnd"/>
      <w:r>
        <w:t xml:space="preserve"> port indicates that, just as container ports at the larger end of the scale were </w:t>
      </w:r>
      <w:proofErr w:type="spellStart"/>
      <w:r>
        <w:t>rationalised</w:t>
      </w:r>
      <w:proofErr w:type="spellEnd"/>
      <w:r>
        <w:t xml:space="preserve"> as flows concentrated at a handful of major hubs, several drivers exist for the same process to be observed at small ports. </w:t>
      </w:r>
      <w:proofErr w:type="spellStart"/>
      <w:r>
        <w:t>R</w:t>
      </w:r>
      <w:r w:rsidRPr="00096644">
        <w:t>ationalisation</w:t>
      </w:r>
      <w:proofErr w:type="spellEnd"/>
      <w:r w:rsidRPr="00096644">
        <w:t xml:space="preserve"> of</w:t>
      </w:r>
      <w:r>
        <w:t xml:space="preserve"> vessel calls at</w:t>
      </w:r>
      <w:r w:rsidRPr="00096644">
        <w:t xml:space="preserve"> smaller ports can be expected</w:t>
      </w:r>
      <w:r>
        <w:t>; in response,</w:t>
      </w:r>
      <w:r w:rsidRPr="00096644">
        <w:t xml:space="preserve"> some</w:t>
      </w:r>
      <w:r>
        <w:t xml:space="preserve"> ports will expand</w:t>
      </w:r>
      <w:r w:rsidRPr="00096644">
        <w:t xml:space="preserve"> to handle larger vessels and some </w:t>
      </w:r>
      <w:r>
        <w:t xml:space="preserve">will inevitably </w:t>
      </w:r>
      <w:r w:rsidRPr="00096644">
        <w:t>disappear from feeder schedules.</w:t>
      </w:r>
    </w:p>
    <w:p w14:paraId="6B616C8F" w14:textId="77777777" w:rsidR="003074A8" w:rsidRPr="002D344E" w:rsidRDefault="003074A8" w:rsidP="009F5CDD">
      <w:pPr>
        <w:pStyle w:val="Heading2"/>
        <w:spacing w:before="120"/>
      </w:pPr>
      <w:r w:rsidRPr="002D344E">
        <w:t>7. Conclusion</w:t>
      </w:r>
      <w:r>
        <w:t xml:space="preserve"> and research agenda</w:t>
      </w:r>
    </w:p>
    <w:p w14:paraId="138E9879" w14:textId="38D3D3DA" w:rsidR="003074A8" w:rsidRPr="002D344E" w:rsidRDefault="003074A8" w:rsidP="003A4BA9">
      <w:pPr>
        <w:spacing w:after="120"/>
      </w:pPr>
      <w:r w:rsidRPr="002D344E">
        <w:t xml:space="preserve">The goal of this paper is to raise questions and </w:t>
      </w:r>
      <w:r>
        <w:t>establish</w:t>
      </w:r>
      <w:r w:rsidRPr="002D344E">
        <w:t xml:space="preserve"> a research ag</w:t>
      </w:r>
      <w:r w:rsidR="00485A31">
        <w:t>enda. More comprehensive data are</w:t>
      </w:r>
      <w:r w:rsidRPr="002D344E">
        <w:t xml:space="preserve"> required, from both a longitudinal quantitative perspective as well as a qualitative approa</w:t>
      </w:r>
      <w:r w:rsidR="00485A31">
        <w:t>ch involving</w:t>
      </w:r>
      <w:r>
        <w:t xml:space="preserve"> case studies of individual</w:t>
      </w:r>
      <w:r w:rsidR="00485A31">
        <w:t xml:space="preserve"> ports to understand</w:t>
      </w:r>
      <w:r w:rsidRPr="002D344E">
        <w:t xml:space="preserve"> how they are facing this challenge</w:t>
      </w:r>
      <w:r>
        <w:t>, which will relate in some cases to issues of governance and stakeholder management</w:t>
      </w:r>
      <w:r w:rsidRPr="002D344E">
        <w:t>. In many cases the decision on infrastructure expansion will rest with public bodies such as cities</w:t>
      </w:r>
      <w:r w:rsidR="000C5219">
        <w:t xml:space="preserve">, often </w:t>
      </w:r>
      <w:r w:rsidRPr="002D344E">
        <w:t xml:space="preserve">the </w:t>
      </w:r>
      <w:r w:rsidR="000C5219">
        <w:t>major or sole shareholder of such</w:t>
      </w:r>
      <w:r w:rsidRPr="002D344E">
        <w:t xml:space="preserve"> port authorities</w:t>
      </w:r>
      <w:r>
        <w:t>, but investment commitment is not easy to achieve in the current economic climate</w:t>
      </w:r>
      <w:r w:rsidRPr="002D344E">
        <w:t xml:space="preserve">. </w:t>
      </w:r>
      <w:r w:rsidR="0043776E">
        <w:t xml:space="preserve">Future research could cross-reference location and distance to generate </w:t>
      </w:r>
      <w:r w:rsidR="0043776E" w:rsidRPr="0043776E">
        <w:t>clusters of</w:t>
      </w:r>
      <w:r w:rsidR="0043776E">
        <w:t xml:space="preserve"> draft-restricted</w:t>
      </w:r>
      <w:r w:rsidR="0043776E" w:rsidRPr="0043776E">
        <w:t xml:space="preserve"> feeder ports</w:t>
      </w:r>
      <w:r w:rsidR="0043776E">
        <w:t xml:space="preserve"> within specific</w:t>
      </w:r>
      <w:r w:rsidR="0043776E" w:rsidRPr="0043776E">
        <w:t xml:space="preserve"> port</w:t>
      </w:r>
      <w:r w:rsidR="0043776E">
        <w:t xml:space="preserve"> ranges or</w:t>
      </w:r>
      <w:r w:rsidR="0043776E" w:rsidRPr="0043776E">
        <w:t xml:space="preserve"> systems</w:t>
      </w:r>
      <w:r w:rsidR="0043776E">
        <w:t xml:space="preserve"> in order to explore whether</w:t>
      </w:r>
      <w:r w:rsidR="0043776E" w:rsidRPr="0043776E">
        <w:t xml:space="preserve"> ports in the </w:t>
      </w:r>
      <w:r w:rsidR="0043776E">
        <w:t>same system</w:t>
      </w:r>
      <w:r w:rsidR="0043776E" w:rsidRPr="0043776E">
        <w:t xml:space="preserve"> </w:t>
      </w:r>
      <w:r w:rsidR="0043776E">
        <w:t xml:space="preserve">would be able to accommodate these vessels, and </w:t>
      </w:r>
      <w:r w:rsidR="00485A31">
        <w:t>then</w:t>
      </w:r>
      <w:r w:rsidR="0043776E">
        <w:t xml:space="preserve"> to consider the impact on the port range or system in particular geographical locations</w:t>
      </w:r>
      <w:r w:rsidR="0043776E" w:rsidRPr="0043776E">
        <w:t>.</w:t>
      </w:r>
    </w:p>
    <w:p w14:paraId="607C0A6F" w14:textId="1AFA4F30" w:rsidR="003074A8" w:rsidRDefault="003074A8" w:rsidP="003A4BA9">
      <w:pPr>
        <w:spacing w:after="120"/>
      </w:pPr>
      <w:r>
        <w:t xml:space="preserve">Other factors not considered in this paper will influence the demand for container shipping and therefore to some degree the supply, not only in total capacity but the structure of services and the kinds of vessels required. For example, access to energy (e.g. oil prices, LNG infrastructure), new technologies like 3D printing that may reduce the need for shipping or changing supply chains as a result of some reshoring of production back to developed countries. Any or all of these factors may </w:t>
      </w:r>
      <w:r>
        <w:lastRenderedPageBreak/>
        <w:t xml:space="preserve">drive greater </w:t>
      </w:r>
      <w:proofErr w:type="spellStart"/>
      <w:r>
        <w:t>rationalisation</w:t>
      </w:r>
      <w:proofErr w:type="spellEnd"/>
      <w:r>
        <w:t xml:space="preserve"> of services and further pursuit of economies of scale through ever-larger vessels. Alternatively, they may encourage greater </w:t>
      </w:r>
      <w:proofErr w:type="spellStart"/>
      <w:r>
        <w:t>atomisation</w:t>
      </w:r>
      <w:proofErr w:type="spellEnd"/>
      <w:r>
        <w:t xml:space="preserve"> and less demand for such ultra-large vessels on the major trade lanes. </w:t>
      </w:r>
    </w:p>
    <w:p w14:paraId="11A9322C" w14:textId="77777777" w:rsidR="003074A8" w:rsidRPr="002D344E" w:rsidRDefault="003074A8" w:rsidP="003A4BA9">
      <w:pPr>
        <w:spacing w:after="120"/>
      </w:pPr>
      <w:r>
        <w:t>The final results of such trends cannot be predicted in advance. Yet the findings from this paper suggest that</w:t>
      </w:r>
      <w:r w:rsidRPr="00096644">
        <w:t xml:space="preserve"> a greater </w:t>
      </w:r>
      <w:proofErr w:type="spellStart"/>
      <w:r w:rsidRPr="00096644">
        <w:t>rationalisation</w:t>
      </w:r>
      <w:proofErr w:type="spellEnd"/>
      <w:r w:rsidRPr="00096644">
        <w:t xml:space="preserve"> of smaller ports can be expected, with some expanding to handle larger vessels and some disappearing from feeder schedules. Whether shippers currently </w:t>
      </w:r>
      <w:proofErr w:type="spellStart"/>
      <w:r w:rsidRPr="00096644">
        <w:t>utilising</w:t>
      </w:r>
      <w:proofErr w:type="spellEnd"/>
      <w:r w:rsidRPr="00096644">
        <w:t xml:space="preserve"> </w:t>
      </w:r>
      <w:r>
        <w:t>such</w:t>
      </w:r>
      <w:r w:rsidRPr="00096644">
        <w:t xml:space="preserve"> ports will then be served overland or by smaller feeders or not at all will be the next question. Policy makers and planners supporting such shippers will need to consider how they can best serve them, by upgrading ports, upgrading connecting infrastructure to </w:t>
      </w:r>
      <w:proofErr w:type="spellStart"/>
      <w:r w:rsidRPr="00096644">
        <w:t>neighbouring</w:t>
      </w:r>
      <w:proofErr w:type="spellEnd"/>
      <w:r w:rsidRPr="00096644">
        <w:t xml:space="preserve"> ports</w:t>
      </w:r>
      <w:r>
        <w:t>,</w:t>
      </w:r>
      <w:r w:rsidRPr="00096644">
        <w:t xml:space="preserve"> being prepared to </w:t>
      </w:r>
      <w:proofErr w:type="spellStart"/>
      <w:r w:rsidRPr="00096644">
        <w:t>subsidise</w:t>
      </w:r>
      <w:proofErr w:type="spellEnd"/>
      <w:r w:rsidRPr="00096644">
        <w:t xml:space="preserve"> their increasing transport </w:t>
      </w:r>
      <w:r>
        <w:t>costs</w:t>
      </w:r>
      <w:r w:rsidRPr="00096644">
        <w:t xml:space="preserve"> or lose </w:t>
      </w:r>
      <w:r>
        <w:t>competitiveness</w:t>
      </w:r>
      <w:r w:rsidRPr="00096644">
        <w:t xml:space="preserve"> to other shippers. The penalty of peripherality, already suffered by many producers and consumers not located on the main trade </w:t>
      </w:r>
      <w:proofErr w:type="gramStart"/>
      <w:r w:rsidRPr="00096644">
        <w:t>lanes,</w:t>
      </w:r>
      <w:proofErr w:type="gramEnd"/>
      <w:r w:rsidRPr="00096644">
        <w:t xml:space="preserve"> may soon grow worse.</w:t>
      </w:r>
    </w:p>
    <w:p w14:paraId="65A8AEA8" w14:textId="77777777" w:rsidR="003074A8" w:rsidRPr="002D344E" w:rsidRDefault="003074A8" w:rsidP="000C5219">
      <w:pPr>
        <w:pStyle w:val="Heading2"/>
        <w:spacing w:before="120"/>
      </w:pPr>
      <w:r w:rsidRPr="002D344E">
        <w:t>References</w:t>
      </w:r>
    </w:p>
    <w:p w14:paraId="4A897482" w14:textId="76A68879" w:rsidR="003074A8" w:rsidRPr="0007080D" w:rsidRDefault="005F7788" w:rsidP="000C5219">
      <w:pPr>
        <w:spacing w:after="0" w:line="288" w:lineRule="auto"/>
        <w:rPr>
          <w:lang w:eastAsia="es-CL"/>
        </w:rPr>
      </w:pPr>
      <w:r w:rsidRPr="0007080D">
        <w:rPr>
          <w:lang w:eastAsia="es-CL"/>
        </w:rPr>
        <w:t>BAIRD</w:t>
      </w:r>
      <w:r w:rsidR="003074A8" w:rsidRPr="0007080D">
        <w:rPr>
          <w:lang w:eastAsia="es-CL"/>
        </w:rPr>
        <w:t xml:space="preserve">, A. J., 2013. Acquisition of UK ports by private equity funds, </w:t>
      </w:r>
      <w:r w:rsidR="003074A8" w:rsidRPr="0007080D">
        <w:rPr>
          <w:i/>
          <w:lang w:eastAsia="es-CL"/>
        </w:rPr>
        <w:t>Research in Transportation Business &amp; Management</w:t>
      </w:r>
      <w:r w:rsidR="003074A8" w:rsidRPr="0007080D">
        <w:rPr>
          <w:lang w:eastAsia="es-CL"/>
        </w:rPr>
        <w:t>, Volume 8, 158-165.</w:t>
      </w:r>
    </w:p>
    <w:p w14:paraId="164781E9" w14:textId="2864BDE0" w:rsidR="003074A8" w:rsidRPr="0007080D" w:rsidRDefault="005F7788" w:rsidP="000C5219">
      <w:pPr>
        <w:spacing w:after="0" w:line="288" w:lineRule="auto"/>
      </w:pPr>
      <w:proofErr w:type="gramStart"/>
      <w:r w:rsidRPr="0007080D">
        <w:t xml:space="preserve">BARKE, </w:t>
      </w:r>
      <w:r w:rsidR="003074A8" w:rsidRPr="0007080D">
        <w:t>M., 1986.</w:t>
      </w:r>
      <w:r w:rsidR="003074A8" w:rsidRPr="0007080D">
        <w:rPr>
          <w:i/>
        </w:rPr>
        <w:t>Transport and Trade; conceptual frameworks in geography.</w:t>
      </w:r>
      <w:proofErr w:type="gramEnd"/>
      <w:r w:rsidR="003074A8" w:rsidRPr="0007080D">
        <w:rPr>
          <w:i/>
        </w:rPr>
        <w:t xml:space="preserve"> </w:t>
      </w:r>
      <w:r w:rsidR="003074A8" w:rsidRPr="0007080D">
        <w:t>Edinburgh: Oliver &amp; Boyd.</w:t>
      </w:r>
    </w:p>
    <w:p w14:paraId="504F8396" w14:textId="47B1BE41" w:rsidR="003074A8" w:rsidRPr="0007080D" w:rsidRDefault="005F7788" w:rsidP="000C5219">
      <w:pPr>
        <w:spacing w:after="0" w:line="288" w:lineRule="auto"/>
      </w:pPr>
      <w:r w:rsidRPr="0007080D">
        <w:t xml:space="preserve">BIRD, </w:t>
      </w:r>
      <w:r w:rsidR="003074A8" w:rsidRPr="0007080D">
        <w:t>J., 1963.</w:t>
      </w:r>
      <w:r w:rsidR="003074A8" w:rsidRPr="0007080D">
        <w:rPr>
          <w:i/>
        </w:rPr>
        <w:t xml:space="preserve">The Major Seaports of the United </w:t>
      </w:r>
      <w:proofErr w:type="spellStart"/>
      <w:r w:rsidR="003074A8" w:rsidRPr="0007080D">
        <w:rPr>
          <w:i/>
        </w:rPr>
        <w:t>Kingdom</w:t>
      </w:r>
      <w:proofErr w:type="gramStart"/>
      <w:r w:rsidR="003074A8" w:rsidRPr="0007080D">
        <w:rPr>
          <w:i/>
        </w:rPr>
        <w:t>,London</w:t>
      </w:r>
      <w:proofErr w:type="spellEnd"/>
      <w:proofErr w:type="gramEnd"/>
      <w:r w:rsidR="003074A8" w:rsidRPr="0007080D">
        <w:rPr>
          <w:i/>
        </w:rPr>
        <w:t xml:space="preserve">: </w:t>
      </w:r>
      <w:r w:rsidR="003074A8" w:rsidRPr="0007080D">
        <w:t>Hutchinson &amp; Co.</w:t>
      </w:r>
    </w:p>
    <w:p w14:paraId="1577F753" w14:textId="1215A260" w:rsidR="003074A8" w:rsidRPr="0007080D" w:rsidRDefault="005F7788" w:rsidP="000C5219">
      <w:pPr>
        <w:spacing w:after="0" w:line="288" w:lineRule="auto"/>
      </w:pPr>
      <w:proofErr w:type="gramStart"/>
      <w:r w:rsidRPr="0007080D">
        <w:t>DUCRUET, C., ROUSSIN, S., JO, J</w:t>
      </w:r>
      <w:r w:rsidR="003074A8" w:rsidRPr="0007080D">
        <w:t>-C.</w:t>
      </w:r>
      <w:proofErr w:type="gramEnd"/>
      <w:r w:rsidR="003074A8" w:rsidRPr="0007080D">
        <w:t xml:space="preserve"> 2009. Going west? </w:t>
      </w:r>
      <w:proofErr w:type="gramStart"/>
      <w:r w:rsidR="003074A8" w:rsidRPr="0007080D">
        <w:t>Spatial polarization of the North Korean port system.</w:t>
      </w:r>
      <w:proofErr w:type="gramEnd"/>
      <w:r w:rsidR="003074A8" w:rsidRPr="0007080D">
        <w:t xml:space="preserve"> </w:t>
      </w:r>
      <w:proofErr w:type="gramStart"/>
      <w:r w:rsidR="003074A8" w:rsidRPr="0007080D">
        <w:rPr>
          <w:i/>
        </w:rPr>
        <w:t>Journal of Transport Geography.</w:t>
      </w:r>
      <w:proofErr w:type="gramEnd"/>
      <w:r w:rsidR="003074A8" w:rsidRPr="0007080D">
        <w:rPr>
          <w:i/>
        </w:rPr>
        <w:t xml:space="preserve"> </w:t>
      </w:r>
      <w:r w:rsidR="003074A8" w:rsidRPr="0007080D">
        <w:t>17 (5): 357-368.</w:t>
      </w:r>
    </w:p>
    <w:p w14:paraId="3657D8DC" w14:textId="06497627" w:rsidR="003074A8" w:rsidRPr="0007080D" w:rsidRDefault="005F7788" w:rsidP="000C5219">
      <w:pPr>
        <w:spacing w:after="0" w:line="288" w:lineRule="auto"/>
      </w:pPr>
      <w:proofErr w:type="gramStart"/>
      <w:r w:rsidRPr="0007080D">
        <w:t>FRÉMONT, A., SOPPÉ</w:t>
      </w:r>
      <w:r w:rsidR="003074A8" w:rsidRPr="0007080D">
        <w:t>, M., 2007.</w:t>
      </w:r>
      <w:proofErr w:type="gramEnd"/>
      <w:r w:rsidR="003074A8" w:rsidRPr="0007080D">
        <w:t xml:space="preserve"> Northern European range: Shipping line concentration and port hierarchy. In: </w:t>
      </w:r>
      <w:r w:rsidR="003074A8" w:rsidRPr="0007080D">
        <w:rPr>
          <w:i/>
        </w:rPr>
        <w:t>Ports, Cities and Global Supply Chains</w:t>
      </w:r>
      <w:r w:rsidR="003074A8" w:rsidRPr="0007080D">
        <w:t xml:space="preserve">, Edited by: Wang, J, Olivier, D, Notteboom, T and Slack, B. 105–120. </w:t>
      </w:r>
      <w:proofErr w:type="spellStart"/>
      <w:r w:rsidR="003074A8" w:rsidRPr="0007080D">
        <w:t>Aldershot</w:t>
      </w:r>
      <w:proofErr w:type="spellEnd"/>
      <w:r w:rsidR="003074A8" w:rsidRPr="0007080D">
        <w:t xml:space="preserve">: </w:t>
      </w:r>
      <w:proofErr w:type="spellStart"/>
      <w:r w:rsidR="003074A8" w:rsidRPr="0007080D">
        <w:t>Ashgate</w:t>
      </w:r>
      <w:proofErr w:type="spellEnd"/>
      <w:r w:rsidR="003074A8" w:rsidRPr="0007080D">
        <w:t>.</w:t>
      </w:r>
    </w:p>
    <w:p w14:paraId="6327421E" w14:textId="64E5AC6B" w:rsidR="003074A8" w:rsidRPr="0007080D" w:rsidRDefault="005F7788" w:rsidP="000C5219">
      <w:pPr>
        <w:spacing w:after="0" w:line="288" w:lineRule="auto"/>
      </w:pPr>
      <w:proofErr w:type="gramStart"/>
      <w:r w:rsidRPr="0007080D">
        <w:t>GREY</w:t>
      </w:r>
      <w:r w:rsidR="003074A8" w:rsidRPr="0007080D">
        <w:t>, M., 2015.</w:t>
      </w:r>
      <w:proofErr w:type="gramEnd"/>
      <w:r w:rsidR="003074A8" w:rsidRPr="0007080D">
        <w:t xml:space="preserve"> </w:t>
      </w:r>
      <w:proofErr w:type="gramStart"/>
      <w:r w:rsidR="003074A8" w:rsidRPr="0007080D">
        <w:t>“Age of the giants.”</w:t>
      </w:r>
      <w:proofErr w:type="gramEnd"/>
      <w:r w:rsidR="003074A8" w:rsidRPr="0007080D">
        <w:t xml:space="preserve"> </w:t>
      </w:r>
      <w:proofErr w:type="gramStart"/>
      <w:r w:rsidR="003074A8" w:rsidRPr="0007080D">
        <w:t>Lloyd’s List, 2</w:t>
      </w:r>
      <w:r w:rsidR="003074A8" w:rsidRPr="0007080D">
        <w:rPr>
          <w:vertAlign w:val="superscript"/>
        </w:rPr>
        <w:t>nd</w:t>
      </w:r>
      <w:r w:rsidR="003074A8" w:rsidRPr="0007080D">
        <w:t xml:space="preserve"> Feb 2015.</w:t>
      </w:r>
      <w:proofErr w:type="gramEnd"/>
      <w:r w:rsidR="003074A8" w:rsidRPr="0007080D">
        <w:t xml:space="preserve"> Available at: </w:t>
      </w:r>
      <w:hyperlink r:id="rId19" w:history="1">
        <w:r w:rsidR="003074A8" w:rsidRPr="0007080D">
          <w:rPr>
            <w:rStyle w:val="Hyperlink"/>
          </w:rPr>
          <w:t>http://www.lloydslist.com/ll/sector/containers/article456093.ece</w:t>
        </w:r>
      </w:hyperlink>
      <w:r w:rsidR="003074A8" w:rsidRPr="0007080D">
        <w:t xml:space="preserve">. </w:t>
      </w:r>
      <w:proofErr w:type="gramStart"/>
      <w:r w:rsidR="003074A8" w:rsidRPr="0007080D">
        <w:t>Accessed 16</w:t>
      </w:r>
      <w:r w:rsidR="003074A8" w:rsidRPr="0007080D">
        <w:rPr>
          <w:vertAlign w:val="superscript"/>
        </w:rPr>
        <w:t>th</w:t>
      </w:r>
      <w:r w:rsidR="003074A8" w:rsidRPr="0007080D">
        <w:t xml:space="preserve"> March 2015.</w:t>
      </w:r>
      <w:proofErr w:type="gramEnd"/>
    </w:p>
    <w:p w14:paraId="74205CB3" w14:textId="5AFDD83A" w:rsidR="003074A8" w:rsidRPr="0007080D" w:rsidRDefault="005F7788" w:rsidP="000C5219">
      <w:pPr>
        <w:spacing w:after="0" w:line="288" w:lineRule="auto"/>
      </w:pPr>
      <w:r w:rsidRPr="0007080D">
        <w:t xml:space="preserve">HAYUTH, </w:t>
      </w:r>
      <w:r w:rsidR="003074A8" w:rsidRPr="0007080D">
        <w:t xml:space="preserve">Y., 1981. Containerization and the load center concept. </w:t>
      </w:r>
      <w:r w:rsidR="003074A8" w:rsidRPr="0007080D">
        <w:rPr>
          <w:i/>
        </w:rPr>
        <w:t xml:space="preserve">Economic Geography, </w:t>
      </w:r>
      <w:r w:rsidR="003074A8" w:rsidRPr="0007080D">
        <w:t>57, 160-176.</w:t>
      </w:r>
    </w:p>
    <w:p w14:paraId="18913D22" w14:textId="0F33BDFD" w:rsidR="003074A8" w:rsidRPr="0007080D" w:rsidRDefault="005F7788" w:rsidP="000C5219">
      <w:pPr>
        <w:spacing w:after="0" w:line="288" w:lineRule="auto"/>
      </w:pPr>
      <w:r w:rsidRPr="0007080D">
        <w:t xml:space="preserve">HOYLE, </w:t>
      </w:r>
      <w:r w:rsidR="003074A8" w:rsidRPr="0007080D">
        <w:t>B. S., 1968. East African seaports: an application of the concept of ‘</w:t>
      </w:r>
      <w:proofErr w:type="spellStart"/>
      <w:r w:rsidR="003074A8" w:rsidRPr="0007080D">
        <w:t>anyport</w:t>
      </w:r>
      <w:proofErr w:type="spellEnd"/>
      <w:r w:rsidR="003074A8" w:rsidRPr="0007080D">
        <w:t xml:space="preserve">’. </w:t>
      </w:r>
      <w:r w:rsidR="003074A8" w:rsidRPr="0007080D">
        <w:rPr>
          <w:i/>
        </w:rPr>
        <w:t xml:space="preserve">Transactions &amp; Papers of the Institute of British Geographers, </w:t>
      </w:r>
      <w:r w:rsidR="003074A8" w:rsidRPr="0007080D">
        <w:t>44, 163-183.</w:t>
      </w:r>
    </w:p>
    <w:p w14:paraId="16E30FCE" w14:textId="5179A693" w:rsidR="003074A8" w:rsidRPr="0007080D" w:rsidRDefault="005F7788" w:rsidP="000C5219">
      <w:pPr>
        <w:spacing w:after="0" w:line="288" w:lineRule="auto"/>
      </w:pPr>
      <w:r w:rsidRPr="0007080D">
        <w:t>LEE, S.W., SONG, D.W., DUCRUET</w:t>
      </w:r>
      <w:r w:rsidR="003074A8" w:rsidRPr="0007080D">
        <w:t xml:space="preserve">, C., 2008. A tale of Asia’s world ports: the spatial evolution in global hub port cities. </w:t>
      </w:r>
      <w:proofErr w:type="spellStart"/>
      <w:r w:rsidR="003074A8" w:rsidRPr="0007080D">
        <w:rPr>
          <w:i/>
        </w:rPr>
        <w:t>Geoforum</w:t>
      </w:r>
      <w:proofErr w:type="spellEnd"/>
      <w:r w:rsidR="003074A8" w:rsidRPr="0007080D">
        <w:t xml:space="preserve"> 39 (1): 372–395.</w:t>
      </w:r>
    </w:p>
    <w:p w14:paraId="3DF833F7" w14:textId="252033B3" w:rsidR="003074A8" w:rsidRPr="0007080D" w:rsidRDefault="005F7788" w:rsidP="000C5219">
      <w:pPr>
        <w:spacing w:after="0" w:line="288" w:lineRule="auto"/>
      </w:pPr>
      <w:r w:rsidRPr="0007080D">
        <w:t xml:space="preserve">LOWRY, </w:t>
      </w:r>
      <w:r w:rsidR="003074A8" w:rsidRPr="0007080D">
        <w:t xml:space="preserve">N., 2014. “Diana Containerships signs longer deals for two </w:t>
      </w:r>
      <w:proofErr w:type="spellStart"/>
      <w:r w:rsidR="003074A8" w:rsidRPr="0007080D">
        <w:t>panamaxes</w:t>
      </w:r>
      <w:proofErr w:type="spellEnd"/>
      <w:r w:rsidR="003074A8" w:rsidRPr="0007080D">
        <w:t xml:space="preserve">.” </w:t>
      </w:r>
      <w:proofErr w:type="gramStart"/>
      <w:r w:rsidR="003074A8" w:rsidRPr="0007080D">
        <w:t>Lloyd’s List, 27</w:t>
      </w:r>
      <w:r w:rsidR="003074A8" w:rsidRPr="0007080D">
        <w:rPr>
          <w:vertAlign w:val="superscript"/>
        </w:rPr>
        <w:t>th</w:t>
      </w:r>
      <w:r w:rsidR="003074A8" w:rsidRPr="0007080D">
        <w:t xml:space="preserve"> Nov 2014.</w:t>
      </w:r>
      <w:proofErr w:type="gramEnd"/>
      <w:r w:rsidR="003074A8" w:rsidRPr="0007080D">
        <w:t xml:space="preserve"> Available at:</w:t>
      </w:r>
      <w:r w:rsidRPr="0007080D">
        <w:t xml:space="preserve"> </w:t>
      </w:r>
      <w:r w:rsidR="003074A8" w:rsidRPr="0007080D">
        <w:t xml:space="preserve"> </w:t>
      </w:r>
      <w:hyperlink r:id="rId20" w:history="1">
        <w:r w:rsidR="003074A8" w:rsidRPr="0007080D">
          <w:rPr>
            <w:rStyle w:val="Hyperlink"/>
          </w:rPr>
          <w:t>http://www.lloydslist.com/ll/sector/containers/article453031.ece</w:t>
        </w:r>
      </w:hyperlink>
      <w:r w:rsidR="003074A8" w:rsidRPr="0007080D">
        <w:t xml:space="preserve">. </w:t>
      </w:r>
      <w:proofErr w:type="gramStart"/>
      <w:r w:rsidR="003074A8" w:rsidRPr="0007080D">
        <w:t>Accessed 16</w:t>
      </w:r>
      <w:r w:rsidR="003074A8" w:rsidRPr="0007080D">
        <w:rPr>
          <w:vertAlign w:val="superscript"/>
        </w:rPr>
        <w:t>th</w:t>
      </w:r>
      <w:r w:rsidR="003074A8" w:rsidRPr="0007080D">
        <w:t xml:space="preserve"> March 2015.</w:t>
      </w:r>
      <w:proofErr w:type="gramEnd"/>
    </w:p>
    <w:p w14:paraId="75EE6CBC" w14:textId="5237F6C0" w:rsidR="003074A8" w:rsidRPr="0007080D" w:rsidRDefault="005F7788" w:rsidP="000C5219">
      <w:pPr>
        <w:spacing w:after="0" w:line="288" w:lineRule="auto"/>
      </w:pPr>
      <w:r w:rsidRPr="0007080D">
        <w:t>MONIOS, J., WILMSMEIER</w:t>
      </w:r>
      <w:r w:rsidR="003074A8" w:rsidRPr="0007080D">
        <w:t xml:space="preserve">, G. (2012a). </w:t>
      </w:r>
      <w:proofErr w:type="gramStart"/>
      <w:r w:rsidR="003074A8" w:rsidRPr="0007080D">
        <w:t xml:space="preserve">Giving a direction to port </w:t>
      </w:r>
      <w:proofErr w:type="spellStart"/>
      <w:r w:rsidR="003074A8" w:rsidRPr="0007080D">
        <w:t>regionalisation</w:t>
      </w:r>
      <w:proofErr w:type="spellEnd"/>
      <w:r w:rsidR="003074A8" w:rsidRPr="0007080D">
        <w:t>.</w:t>
      </w:r>
      <w:proofErr w:type="gramEnd"/>
      <w:r w:rsidR="003074A8" w:rsidRPr="0007080D">
        <w:t xml:space="preserve"> </w:t>
      </w:r>
      <w:r w:rsidR="003074A8" w:rsidRPr="0007080D">
        <w:rPr>
          <w:i/>
        </w:rPr>
        <w:t xml:space="preserve">Transportation Research Part A: Policy &amp; Practice. </w:t>
      </w:r>
      <w:r w:rsidR="003074A8" w:rsidRPr="0007080D">
        <w:t>46 (10): 1551-1561.</w:t>
      </w:r>
    </w:p>
    <w:p w14:paraId="3FD4C62A" w14:textId="77777777" w:rsidR="00CA4866" w:rsidRDefault="005F7788" w:rsidP="000C5219">
      <w:pPr>
        <w:spacing w:after="0" w:line="288" w:lineRule="auto"/>
        <w:rPr>
          <w:lang w:eastAsia="es-CL"/>
        </w:rPr>
        <w:sectPr w:rsidR="00CA4866" w:rsidSect="00AE5478">
          <w:pgSz w:w="12240" w:h="15840"/>
          <w:pgMar w:top="1077" w:right="1077" w:bottom="794" w:left="1361" w:header="567" w:footer="567" w:gutter="0"/>
          <w:cols w:space="708"/>
          <w:titlePg/>
          <w:docGrid w:linePitch="360"/>
        </w:sectPr>
      </w:pPr>
      <w:r w:rsidRPr="0007080D">
        <w:rPr>
          <w:lang w:eastAsia="es-CL"/>
        </w:rPr>
        <w:lastRenderedPageBreak/>
        <w:t>MONIOS, J., WILMSMEIER</w:t>
      </w:r>
      <w:r w:rsidR="003074A8" w:rsidRPr="0007080D">
        <w:rPr>
          <w:lang w:eastAsia="es-CL"/>
        </w:rPr>
        <w:t xml:space="preserve">, G. 2012b. Port-centric logistics, dry ports and offshore logistics hubs: strategies to overcome double peripherality? </w:t>
      </w:r>
      <w:proofErr w:type="gramStart"/>
      <w:r w:rsidR="003074A8" w:rsidRPr="0007080D">
        <w:rPr>
          <w:i/>
          <w:lang w:eastAsia="es-CL"/>
        </w:rPr>
        <w:t>Maritime Policy and Management</w:t>
      </w:r>
      <w:r w:rsidR="003074A8" w:rsidRPr="0007080D">
        <w:rPr>
          <w:lang w:eastAsia="es-CL"/>
        </w:rPr>
        <w:t>.</w:t>
      </w:r>
      <w:proofErr w:type="gramEnd"/>
      <w:r w:rsidR="003074A8" w:rsidRPr="0007080D">
        <w:rPr>
          <w:lang w:eastAsia="es-CL"/>
        </w:rPr>
        <w:t xml:space="preserve"> 39 (2): 207-226.</w:t>
      </w:r>
    </w:p>
    <w:p w14:paraId="452A63AA" w14:textId="753A5ACF" w:rsidR="003074A8" w:rsidRPr="0007080D" w:rsidRDefault="005F7788" w:rsidP="000C5219">
      <w:pPr>
        <w:spacing w:after="0" w:line="288" w:lineRule="auto"/>
      </w:pPr>
      <w:r w:rsidRPr="0007080D">
        <w:lastRenderedPageBreak/>
        <w:t xml:space="preserve">NOTTEBOOM, </w:t>
      </w:r>
      <w:r w:rsidR="003074A8" w:rsidRPr="0007080D">
        <w:t xml:space="preserve">T. E., 2005. </w:t>
      </w:r>
      <w:proofErr w:type="gramStart"/>
      <w:r w:rsidR="003074A8" w:rsidRPr="0007080D">
        <w:t>The peripheral port challenge in container port systems.</w:t>
      </w:r>
      <w:proofErr w:type="gramEnd"/>
      <w:r w:rsidR="003074A8" w:rsidRPr="0007080D">
        <w:t xml:space="preserve"> In: </w:t>
      </w:r>
      <w:r w:rsidR="003074A8" w:rsidRPr="0007080D">
        <w:rPr>
          <w:i/>
        </w:rPr>
        <w:t>International Maritime Transport: Perspectives</w:t>
      </w:r>
      <w:r w:rsidR="003074A8" w:rsidRPr="0007080D">
        <w:t xml:space="preserve">, Edited by: </w:t>
      </w:r>
      <w:proofErr w:type="spellStart"/>
      <w:r w:rsidR="003074A8" w:rsidRPr="0007080D">
        <w:t>Leggate</w:t>
      </w:r>
      <w:proofErr w:type="spellEnd"/>
      <w:r w:rsidR="003074A8" w:rsidRPr="0007080D">
        <w:t xml:space="preserve">, H, </w:t>
      </w:r>
      <w:proofErr w:type="spellStart"/>
      <w:r w:rsidR="003074A8" w:rsidRPr="0007080D">
        <w:t>McConville</w:t>
      </w:r>
      <w:proofErr w:type="spellEnd"/>
      <w:r w:rsidR="003074A8" w:rsidRPr="0007080D">
        <w:t xml:space="preserve">, J and </w:t>
      </w:r>
      <w:proofErr w:type="spellStart"/>
      <w:r w:rsidR="003074A8" w:rsidRPr="0007080D">
        <w:t>Morvillo</w:t>
      </w:r>
      <w:proofErr w:type="spellEnd"/>
      <w:r w:rsidR="003074A8" w:rsidRPr="0007080D">
        <w:t>, A. 173–188. London: Routledge.</w:t>
      </w:r>
    </w:p>
    <w:p w14:paraId="063E486E" w14:textId="06ACF4E6" w:rsidR="003074A8" w:rsidRPr="0007080D" w:rsidRDefault="005F7788" w:rsidP="000C5219">
      <w:pPr>
        <w:spacing w:after="0" w:line="288" w:lineRule="auto"/>
        <w:rPr>
          <w:lang w:eastAsia="es-CL"/>
        </w:rPr>
      </w:pPr>
      <w:proofErr w:type="gramStart"/>
      <w:r w:rsidRPr="0007080D">
        <w:rPr>
          <w:lang w:eastAsia="es-CL"/>
        </w:rPr>
        <w:t>NOTTEBOOM, T. E., RODRIGUE</w:t>
      </w:r>
      <w:r w:rsidR="003074A8" w:rsidRPr="0007080D">
        <w:rPr>
          <w:lang w:eastAsia="es-CL"/>
        </w:rPr>
        <w:t>, J-P., 2005.</w:t>
      </w:r>
      <w:proofErr w:type="gramEnd"/>
      <w:r w:rsidR="003074A8" w:rsidRPr="0007080D">
        <w:rPr>
          <w:lang w:eastAsia="es-CL"/>
        </w:rPr>
        <w:t xml:space="preserve"> Port regionalization: towards a new phase in port development. </w:t>
      </w:r>
      <w:proofErr w:type="gramStart"/>
      <w:r w:rsidR="003074A8" w:rsidRPr="0007080D">
        <w:rPr>
          <w:i/>
          <w:lang w:eastAsia="es-CL"/>
        </w:rPr>
        <w:t>Maritime Policy &amp; Management</w:t>
      </w:r>
      <w:r w:rsidR="003074A8" w:rsidRPr="0007080D">
        <w:rPr>
          <w:lang w:eastAsia="es-CL"/>
        </w:rPr>
        <w:t>.</w:t>
      </w:r>
      <w:proofErr w:type="gramEnd"/>
      <w:r w:rsidR="003074A8" w:rsidRPr="0007080D">
        <w:rPr>
          <w:lang w:eastAsia="es-CL"/>
        </w:rPr>
        <w:t xml:space="preserve"> 32 (3): 297-313. </w:t>
      </w:r>
    </w:p>
    <w:p w14:paraId="1E6D4502" w14:textId="6C3D9C67" w:rsidR="003074A8" w:rsidRPr="0007080D" w:rsidRDefault="005F7788" w:rsidP="000C5219">
      <w:pPr>
        <w:spacing w:after="0" w:line="288" w:lineRule="auto"/>
      </w:pPr>
      <w:r w:rsidRPr="0007080D">
        <w:t xml:space="preserve">PORTER, J., </w:t>
      </w:r>
      <w:r w:rsidR="003074A8" w:rsidRPr="0007080D">
        <w:t xml:space="preserve">2013 “Maersk snubs Panama Canal with shift to Suez.” </w:t>
      </w:r>
      <w:proofErr w:type="gramStart"/>
      <w:r w:rsidR="003074A8" w:rsidRPr="0007080D">
        <w:t>Lloyd’s List, 4</w:t>
      </w:r>
      <w:r w:rsidR="003074A8" w:rsidRPr="0007080D">
        <w:rPr>
          <w:vertAlign w:val="superscript"/>
        </w:rPr>
        <w:t>th</w:t>
      </w:r>
      <w:r w:rsidR="003074A8" w:rsidRPr="0007080D">
        <w:t xml:space="preserve"> March 2013.</w:t>
      </w:r>
      <w:proofErr w:type="gramEnd"/>
      <w:r w:rsidR="003074A8" w:rsidRPr="0007080D">
        <w:t xml:space="preserve"> Available at: </w:t>
      </w:r>
      <w:hyperlink r:id="rId21" w:history="1">
        <w:r w:rsidR="003074A8" w:rsidRPr="0007080D">
          <w:rPr>
            <w:rStyle w:val="Hyperlink"/>
          </w:rPr>
          <w:t>http://www.lloydslist.com/ll/sector/containers/article417648.ece</w:t>
        </w:r>
      </w:hyperlink>
      <w:r w:rsidR="003074A8" w:rsidRPr="0007080D">
        <w:t xml:space="preserve">. </w:t>
      </w:r>
      <w:proofErr w:type="gramStart"/>
      <w:r w:rsidR="003074A8" w:rsidRPr="0007080D">
        <w:t>Accessed 16</w:t>
      </w:r>
      <w:r w:rsidR="003074A8" w:rsidRPr="0007080D">
        <w:rPr>
          <w:vertAlign w:val="superscript"/>
        </w:rPr>
        <w:t>th</w:t>
      </w:r>
      <w:r w:rsidR="003074A8" w:rsidRPr="0007080D">
        <w:t xml:space="preserve"> March 2015.</w:t>
      </w:r>
      <w:proofErr w:type="gramEnd"/>
    </w:p>
    <w:p w14:paraId="60FD152C" w14:textId="7E3BB72D" w:rsidR="003074A8" w:rsidRPr="0007080D" w:rsidRDefault="005F7788" w:rsidP="000C5219">
      <w:pPr>
        <w:spacing w:after="0" w:line="288" w:lineRule="auto"/>
      </w:pPr>
      <w:r w:rsidRPr="0007080D">
        <w:t xml:space="preserve">PORTER, </w:t>
      </w:r>
      <w:r w:rsidR="003074A8" w:rsidRPr="0007080D">
        <w:t>J., 2015. “</w:t>
      </w:r>
      <w:proofErr w:type="spellStart"/>
      <w:r w:rsidR="003074A8" w:rsidRPr="0007080D">
        <w:t>Seaspan</w:t>
      </w:r>
      <w:proofErr w:type="spellEnd"/>
      <w:r w:rsidR="003074A8" w:rsidRPr="0007080D">
        <w:t xml:space="preserve"> sets terms for 18,000 TEU charters.” </w:t>
      </w:r>
      <w:proofErr w:type="gramStart"/>
      <w:r w:rsidR="003074A8" w:rsidRPr="0007080D">
        <w:t>Lloyd’s List, 25</w:t>
      </w:r>
      <w:r w:rsidR="003074A8" w:rsidRPr="0007080D">
        <w:rPr>
          <w:vertAlign w:val="superscript"/>
        </w:rPr>
        <w:t>th</w:t>
      </w:r>
      <w:r w:rsidR="003074A8" w:rsidRPr="0007080D">
        <w:t xml:space="preserve"> Feb 2015.</w:t>
      </w:r>
      <w:proofErr w:type="gramEnd"/>
      <w:r w:rsidR="003074A8" w:rsidRPr="0007080D">
        <w:t xml:space="preserve"> Available at: </w:t>
      </w:r>
      <w:hyperlink r:id="rId22" w:history="1">
        <w:r w:rsidR="003074A8" w:rsidRPr="0007080D">
          <w:rPr>
            <w:rStyle w:val="Hyperlink"/>
          </w:rPr>
          <w:t>http://www.lloydslist.com/ll/sector/containers/article457672.ece</w:t>
        </w:r>
      </w:hyperlink>
      <w:r w:rsidR="003074A8" w:rsidRPr="0007080D">
        <w:t xml:space="preserve">. </w:t>
      </w:r>
      <w:proofErr w:type="gramStart"/>
      <w:r w:rsidR="003074A8" w:rsidRPr="0007080D">
        <w:t>Accessed 16</w:t>
      </w:r>
      <w:r w:rsidR="003074A8" w:rsidRPr="0007080D">
        <w:rPr>
          <w:vertAlign w:val="superscript"/>
        </w:rPr>
        <w:t>th</w:t>
      </w:r>
      <w:r w:rsidR="003074A8" w:rsidRPr="0007080D">
        <w:t xml:space="preserve"> March 2015.</w:t>
      </w:r>
      <w:proofErr w:type="gramEnd"/>
    </w:p>
    <w:p w14:paraId="682222B5" w14:textId="011341A1" w:rsidR="003074A8" w:rsidRPr="0007080D" w:rsidRDefault="005F7788" w:rsidP="000C5219">
      <w:pPr>
        <w:spacing w:after="0" w:line="288" w:lineRule="auto"/>
      </w:pPr>
      <w:proofErr w:type="gramStart"/>
      <w:r w:rsidRPr="0007080D">
        <w:t>RIMMER, P</w:t>
      </w:r>
      <w:r w:rsidR="003074A8" w:rsidRPr="0007080D">
        <w:t>. J., 1967.</w:t>
      </w:r>
      <w:proofErr w:type="gramEnd"/>
      <w:r w:rsidR="003074A8" w:rsidRPr="0007080D">
        <w:t xml:space="preserve"> </w:t>
      </w:r>
      <w:proofErr w:type="gramStart"/>
      <w:r w:rsidR="003074A8" w:rsidRPr="0007080D">
        <w:t>The search for spatial regularities in the development of Australian seaports 1861 – 1961/2.</w:t>
      </w:r>
      <w:proofErr w:type="gramEnd"/>
      <w:r w:rsidR="003074A8" w:rsidRPr="0007080D">
        <w:t xml:space="preserve"> </w:t>
      </w:r>
      <w:proofErr w:type="spellStart"/>
      <w:r w:rsidR="003074A8" w:rsidRPr="0007080D">
        <w:rPr>
          <w:i/>
        </w:rPr>
        <w:t>Geograkiska</w:t>
      </w:r>
      <w:proofErr w:type="spellEnd"/>
      <w:r w:rsidR="003074A8" w:rsidRPr="0007080D">
        <w:rPr>
          <w:i/>
        </w:rPr>
        <w:t xml:space="preserve"> </w:t>
      </w:r>
      <w:proofErr w:type="spellStart"/>
      <w:r w:rsidR="003074A8" w:rsidRPr="0007080D">
        <w:rPr>
          <w:i/>
        </w:rPr>
        <w:t>Annaler</w:t>
      </w:r>
      <w:proofErr w:type="spellEnd"/>
      <w:r w:rsidR="003074A8" w:rsidRPr="0007080D">
        <w:rPr>
          <w:i/>
        </w:rPr>
        <w:t xml:space="preserve">, </w:t>
      </w:r>
      <w:r w:rsidR="003074A8" w:rsidRPr="0007080D">
        <w:t>49, 42-54.</w:t>
      </w:r>
    </w:p>
    <w:p w14:paraId="009A5EE9" w14:textId="19D1DE25" w:rsidR="003074A8" w:rsidRPr="0007080D" w:rsidRDefault="005F7788" w:rsidP="000C5219">
      <w:pPr>
        <w:spacing w:after="0" w:line="288" w:lineRule="auto"/>
      </w:pPr>
      <w:proofErr w:type="gramStart"/>
      <w:r w:rsidRPr="0007080D">
        <w:t xml:space="preserve">RODRIGUE, J-P., NOTTEBOOM, </w:t>
      </w:r>
      <w:r w:rsidR="003074A8" w:rsidRPr="0007080D">
        <w:t>T. E, 2010.</w:t>
      </w:r>
      <w:proofErr w:type="gramEnd"/>
      <w:r w:rsidR="003074A8" w:rsidRPr="0007080D">
        <w:t xml:space="preserve"> Foreland-based regionalization: Integrating intermediate hubs with port hinterlands. </w:t>
      </w:r>
      <w:r w:rsidR="003074A8" w:rsidRPr="0007080D">
        <w:rPr>
          <w:i/>
        </w:rPr>
        <w:t>Research in Transportation Economics</w:t>
      </w:r>
      <w:r w:rsidR="003074A8" w:rsidRPr="0007080D">
        <w:t>, 27: 19–29.</w:t>
      </w:r>
    </w:p>
    <w:p w14:paraId="3D37CC5D" w14:textId="3D45E5A5" w:rsidR="003074A8" w:rsidRPr="0007080D" w:rsidRDefault="005F7788" w:rsidP="000C5219">
      <w:pPr>
        <w:spacing w:after="0" w:line="288" w:lineRule="auto"/>
      </w:pPr>
      <w:r w:rsidRPr="0007080D">
        <w:t>SÁNCHEZ, R. J., PERROTTI</w:t>
      </w:r>
      <w:r w:rsidR="003074A8" w:rsidRPr="0007080D">
        <w:t xml:space="preserve">, D., 2012. </w:t>
      </w:r>
      <w:proofErr w:type="gramStart"/>
      <w:r w:rsidR="003074A8" w:rsidRPr="0007080D">
        <w:t>Looking into the future: big full containerships and their arrival to South American ports.</w:t>
      </w:r>
      <w:proofErr w:type="gramEnd"/>
      <w:r w:rsidR="003074A8" w:rsidRPr="0007080D">
        <w:t xml:space="preserve"> </w:t>
      </w:r>
      <w:proofErr w:type="gramStart"/>
      <w:r w:rsidR="003074A8" w:rsidRPr="0007080D">
        <w:rPr>
          <w:i/>
        </w:rPr>
        <w:t>Maritime policy and Management</w:t>
      </w:r>
      <w:r w:rsidR="003074A8" w:rsidRPr="0007080D">
        <w:t>.</w:t>
      </w:r>
      <w:proofErr w:type="gramEnd"/>
      <w:r w:rsidR="003074A8" w:rsidRPr="0007080D">
        <w:t xml:space="preserve"> 39 (6): 571-88.</w:t>
      </w:r>
    </w:p>
    <w:p w14:paraId="20A7DCB6" w14:textId="57379125" w:rsidR="003074A8" w:rsidRPr="0007080D" w:rsidRDefault="005F7788" w:rsidP="000C5219">
      <w:pPr>
        <w:spacing w:after="0" w:line="288" w:lineRule="auto"/>
      </w:pPr>
      <w:r w:rsidRPr="0007080D">
        <w:rPr>
          <w:lang w:eastAsia="es-CL"/>
        </w:rPr>
        <w:t xml:space="preserve">SÁNCHEZ R. J., WILMSMEIER </w:t>
      </w:r>
      <w:r w:rsidR="003074A8" w:rsidRPr="0007080D">
        <w:rPr>
          <w:lang w:eastAsia="es-CL"/>
        </w:rPr>
        <w:t xml:space="preserve">G., </w:t>
      </w:r>
      <w:r w:rsidR="003074A8" w:rsidRPr="0007080D">
        <w:t xml:space="preserve">2006. </w:t>
      </w:r>
      <w:proofErr w:type="gramStart"/>
      <w:r w:rsidR="003074A8" w:rsidRPr="0007080D">
        <w:t>The river plate basin – A comparison of port devolution processes on the East Coast of South America.</w:t>
      </w:r>
      <w:proofErr w:type="gramEnd"/>
      <w:r w:rsidR="003074A8" w:rsidRPr="0007080D">
        <w:t xml:space="preserve"> </w:t>
      </w:r>
      <w:r w:rsidR="003074A8" w:rsidRPr="0007080D">
        <w:rPr>
          <w:i/>
        </w:rPr>
        <w:t>Research in Transportation Economics,</w:t>
      </w:r>
      <w:r w:rsidR="003074A8" w:rsidRPr="0007080D">
        <w:t xml:space="preserve"> 17: 185–205. </w:t>
      </w:r>
    </w:p>
    <w:p w14:paraId="62CAF7A6" w14:textId="072DFA22" w:rsidR="003074A8" w:rsidRPr="0007080D" w:rsidRDefault="005F7788" w:rsidP="000C5219">
      <w:pPr>
        <w:spacing w:after="0" w:line="288" w:lineRule="auto"/>
      </w:pPr>
      <w:proofErr w:type="gramStart"/>
      <w:r w:rsidRPr="0007080D">
        <w:t>SLACK, B., WANG</w:t>
      </w:r>
      <w:r w:rsidR="003074A8" w:rsidRPr="0007080D">
        <w:t>, J. J., 2002.</w:t>
      </w:r>
      <w:proofErr w:type="gramEnd"/>
      <w:r w:rsidR="003074A8" w:rsidRPr="0007080D">
        <w:t xml:space="preserve"> The challenge of peripheral ports: An Asian perspective. </w:t>
      </w:r>
      <w:proofErr w:type="spellStart"/>
      <w:r w:rsidR="003074A8" w:rsidRPr="0007080D">
        <w:rPr>
          <w:i/>
        </w:rPr>
        <w:t>Geojournal</w:t>
      </w:r>
      <w:proofErr w:type="spellEnd"/>
      <w:r w:rsidR="003074A8" w:rsidRPr="0007080D">
        <w:t>, 56: 159–166.</w:t>
      </w:r>
    </w:p>
    <w:p w14:paraId="1F8B8ABA" w14:textId="320961EB" w:rsidR="003074A8" w:rsidRPr="0007080D" w:rsidRDefault="005F7788" w:rsidP="000C5219">
      <w:pPr>
        <w:spacing w:after="0" w:line="288" w:lineRule="auto"/>
        <w:rPr>
          <w:lang w:val="es-CL"/>
        </w:rPr>
      </w:pPr>
      <w:r w:rsidRPr="0007080D">
        <w:t xml:space="preserve">TAAFFE, E. J., MORRILL, R. L., GOULD, </w:t>
      </w:r>
      <w:r w:rsidR="003074A8" w:rsidRPr="0007080D">
        <w:t xml:space="preserve">P. R., 1963. Transport expansion in underdeveloped countries: a comparative analysis. </w:t>
      </w:r>
      <w:proofErr w:type="spellStart"/>
      <w:r w:rsidR="003074A8" w:rsidRPr="0007080D">
        <w:rPr>
          <w:i/>
          <w:lang w:val="es-CL"/>
        </w:rPr>
        <w:t>Geographical</w:t>
      </w:r>
      <w:proofErr w:type="spellEnd"/>
      <w:r w:rsidR="003074A8" w:rsidRPr="0007080D">
        <w:rPr>
          <w:i/>
          <w:lang w:val="es-CL"/>
        </w:rPr>
        <w:t xml:space="preserve"> Review, </w:t>
      </w:r>
      <w:r w:rsidR="003074A8" w:rsidRPr="0007080D">
        <w:rPr>
          <w:lang w:val="es-CL"/>
        </w:rPr>
        <w:t>53, 503-529.</w:t>
      </w:r>
    </w:p>
    <w:p w14:paraId="4755B8DE" w14:textId="323688DC" w:rsidR="003074A8" w:rsidRPr="0007080D" w:rsidRDefault="005F7788" w:rsidP="000C5219">
      <w:pPr>
        <w:spacing w:after="0" w:line="288" w:lineRule="auto"/>
      </w:pPr>
      <w:r w:rsidRPr="0007080D">
        <w:rPr>
          <w:lang w:val="es-CL"/>
        </w:rPr>
        <w:t xml:space="preserve">VAN KLINK, </w:t>
      </w:r>
      <w:r w:rsidR="003074A8" w:rsidRPr="0007080D">
        <w:rPr>
          <w:lang w:val="es-CL"/>
        </w:rPr>
        <w:t xml:space="preserve">H. A., 1998. </w:t>
      </w:r>
      <w:r w:rsidR="003074A8" w:rsidRPr="0007080D">
        <w:t xml:space="preserve">The port network as a new stage in port development: the case of Rotterdam. </w:t>
      </w:r>
      <w:proofErr w:type="gramStart"/>
      <w:r w:rsidR="003074A8" w:rsidRPr="0007080D">
        <w:rPr>
          <w:i/>
        </w:rPr>
        <w:t xml:space="preserve">Environment and Planning A. </w:t>
      </w:r>
      <w:r w:rsidR="003074A8" w:rsidRPr="0007080D">
        <w:t>30 (1), 143-160.</w:t>
      </w:r>
      <w:proofErr w:type="gramEnd"/>
    </w:p>
    <w:p w14:paraId="3EA1F870" w14:textId="5973253B" w:rsidR="003074A8" w:rsidRPr="0007080D" w:rsidRDefault="005F7788" w:rsidP="000C5219">
      <w:pPr>
        <w:spacing w:after="0" w:line="288" w:lineRule="auto"/>
      </w:pPr>
      <w:proofErr w:type="gramStart"/>
      <w:r w:rsidRPr="0007080D">
        <w:t>WACKET</w:t>
      </w:r>
      <w:r w:rsidR="00ED5FB4" w:rsidRPr="0007080D">
        <w:t>T</w:t>
      </w:r>
      <w:r w:rsidR="003074A8" w:rsidRPr="0007080D">
        <w:t>, M., 2013.</w:t>
      </w:r>
      <w:proofErr w:type="gramEnd"/>
      <w:r w:rsidR="003074A8" w:rsidRPr="0007080D">
        <w:t xml:space="preserve"> “Small </w:t>
      </w:r>
      <w:proofErr w:type="spellStart"/>
      <w:r w:rsidR="003074A8" w:rsidRPr="0007080D">
        <w:t>boxships</w:t>
      </w:r>
      <w:proofErr w:type="spellEnd"/>
      <w:r w:rsidR="003074A8" w:rsidRPr="0007080D">
        <w:t xml:space="preserve"> bear the brunt of lay-ups.” </w:t>
      </w:r>
      <w:proofErr w:type="gramStart"/>
      <w:r w:rsidR="003074A8" w:rsidRPr="0007080D">
        <w:t>Lloyd’s List, 24</w:t>
      </w:r>
      <w:r w:rsidR="003074A8" w:rsidRPr="0007080D">
        <w:rPr>
          <w:vertAlign w:val="superscript"/>
        </w:rPr>
        <w:t>th</w:t>
      </w:r>
      <w:r w:rsidR="003074A8" w:rsidRPr="0007080D">
        <w:t xml:space="preserve"> Jan 2013.</w:t>
      </w:r>
      <w:proofErr w:type="gramEnd"/>
      <w:r w:rsidR="003074A8" w:rsidRPr="0007080D">
        <w:t xml:space="preserve"> Available at: </w:t>
      </w:r>
      <w:hyperlink r:id="rId23" w:history="1">
        <w:r w:rsidR="003074A8" w:rsidRPr="0007080D">
          <w:rPr>
            <w:rStyle w:val="Hyperlink"/>
          </w:rPr>
          <w:t>http://www.lloydslist.com/ll/sector/containers/article415596.ece</w:t>
        </w:r>
      </w:hyperlink>
      <w:r w:rsidR="003074A8" w:rsidRPr="0007080D">
        <w:t xml:space="preserve">. </w:t>
      </w:r>
      <w:proofErr w:type="gramStart"/>
      <w:r w:rsidR="003074A8" w:rsidRPr="0007080D">
        <w:t>Accessed 16</w:t>
      </w:r>
      <w:r w:rsidR="003074A8" w:rsidRPr="0007080D">
        <w:rPr>
          <w:vertAlign w:val="superscript"/>
        </w:rPr>
        <w:t>th</w:t>
      </w:r>
      <w:r w:rsidR="003074A8" w:rsidRPr="0007080D">
        <w:t xml:space="preserve"> March 2015.</w:t>
      </w:r>
      <w:proofErr w:type="gramEnd"/>
    </w:p>
    <w:p w14:paraId="66C4A7B8" w14:textId="375EADFF" w:rsidR="003074A8" w:rsidRPr="0007080D" w:rsidRDefault="005F7788" w:rsidP="000C5219">
      <w:pPr>
        <w:spacing w:after="0" w:line="288" w:lineRule="auto"/>
      </w:pPr>
      <w:r w:rsidRPr="0007080D">
        <w:t>WANG, C., DUCRUET</w:t>
      </w:r>
      <w:r w:rsidR="003074A8" w:rsidRPr="0007080D">
        <w:t>, C. 2012. New port development and global city making: emergence of the Shanghai-</w:t>
      </w:r>
      <w:proofErr w:type="spellStart"/>
      <w:r w:rsidR="003074A8" w:rsidRPr="0007080D">
        <w:t>Yangshan</w:t>
      </w:r>
      <w:proofErr w:type="spellEnd"/>
      <w:r w:rsidR="003074A8" w:rsidRPr="0007080D">
        <w:t xml:space="preserve"> multi-layered gateway hub. </w:t>
      </w:r>
      <w:proofErr w:type="gramStart"/>
      <w:r w:rsidR="003074A8" w:rsidRPr="0007080D">
        <w:rPr>
          <w:i/>
        </w:rPr>
        <w:t>Journal of Transport Geography.</w:t>
      </w:r>
      <w:proofErr w:type="gramEnd"/>
      <w:r w:rsidR="003074A8" w:rsidRPr="0007080D">
        <w:rPr>
          <w:i/>
        </w:rPr>
        <w:t xml:space="preserve"> </w:t>
      </w:r>
      <w:r w:rsidR="003074A8" w:rsidRPr="0007080D">
        <w:t>25: 58-69.</w:t>
      </w:r>
    </w:p>
    <w:p w14:paraId="21631F2E" w14:textId="01ADAF6C" w:rsidR="003074A8" w:rsidRPr="0007080D" w:rsidRDefault="005F7788" w:rsidP="000C5219">
      <w:pPr>
        <w:spacing w:after="0" w:line="288" w:lineRule="auto"/>
      </w:pPr>
      <w:r w:rsidRPr="0007080D">
        <w:t>WANG, J. J., NG, A. K. Y</w:t>
      </w:r>
      <w:r w:rsidR="003074A8" w:rsidRPr="0007080D">
        <w:t xml:space="preserve">. 2011. The geographical connectedness of Chinese seaports with foreland markets: a new trend? </w:t>
      </w:r>
      <w:proofErr w:type="spellStart"/>
      <w:proofErr w:type="gramStart"/>
      <w:r w:rsidR="003074A8" w:rsidRPr="0007080D">
        <w:rPr>
          <w:i/>
        </w:rPr>
        <w:t>Tijdschrift</w:t>
      </w:r>
      <w:proofErr w:type="spellEnd"/>
      <w:r w:rsidR="003074A8" w:rsidRPr="0007080D">
        <w:rPr>
          <w:i/>
        </w:rPr>
        <w:t xml:space="preserve"> </w:t>
      </w:r>
      <w:proofErr w:type="spellStart"/>
      <w:r w:rsidR="003074A8" w:rsidRPr="0007080D">
        <w:rPr>
          <w:i/>
        </w:rPr>
        <w:t>voor</w:t>
      </w:r>
      <w:proofErr w:type="spellEnd"/>
      <w:r w:rsidR="003074A8" w:rsidRPr="0007080D">
        <w:rPr>
          <w:i/>
        </w:rPr>
        <w:t xml:space="preserve"> </w:t>
      </w:r>
      <w:proofErr w:type="spellStart"/>
      <w:r w:rsidR="003074A8" w:rsidRPr="0007080D">
        <w:rPr>
          <w:i/>
        </w:rPr>
        <w:t>Economische</w:t>
      </w:r>
      <w:proofErr w:type="spellEnd"/>
      <w:r w:rsidR="003074A8" w:rsidRPr="0007080D">
        <w:rPr>
          <w:i/>
        </w:rPr>
        <w:t xml:space="preserve"> </w:t>
      </w:r>
      <w:proofErr w:type="spellStart"/>
      <w:r w:rsidR="003074A8" w:rsidRPr="0007080D">
        <w:rPr>
          <w:i/>
        </w:rPr>
        <w:t>en</w:t>
      </w:r>
      <w:proofErr w:type="spellEnd"/>
      <w:r w:rsidR="003074A8" w:rsidRPr="0007080D">
        <w:rPr>
          <w:i/>
        </w:rPr>
        <w:t xml:space="preserve"> </w:t>
      </w:r>
      <w:proofErr w:type="spellStart"/>
      <w:r w:rsidR="003074A8" w:rsidRPr="0007080D">
        <w:rPr>
          <w:i/>
        </w:rPr>
        <w:t>Sociale</w:t>
      </w:r>
      <w:proofErr w:type="spellEnd"/>
      <w:r w:rsidR="003074A8" w:rsidRPr="0007080D">
        <w:rPr>
          <w:i/>
        </w:rPr>
        <w:t xml:space="preserve"> </w:t>
      </w:r>
      <w:proofErr w:type="spellStart"/>
      <w:r w:rsidR="003074A8" w:rsidRPr="0007080D">
        <w:rPr>
          <w:i/>
        </w:rPr>
        <w:t>Geografie</w:t>
      </w:r>
      <w:proofErr w:type="spellEnd"/>
      <w:r w:rsidR="003074A8" w:rsidRPr="0007080D">
        <w:rPr>
          <w:i/>
        </w:rPr>
        <w:t>.</w:t>
      </w:r>
      <w:proofErr w:type="gramEnd"/>
      <w:r w:rsidR="003074A8" w:rsidRPr="0007080D">
        <w:rPr>
          <w:i/>
        </w:rPr>
        <w:t xml:space="preserve"> </w:t>
      </w:r>
      <w:r w:rsidR="003074A8" w:rsidRPr="0007080D">
        <w:t>102 (2): 188-204.</w:t>
      </w:r>
    </w:p>
    <w:p w14:paraId="72AFD950" w14:textId="2C1D9DD2" w:rsidR="003074A8" w:rsidRPr="0007080D" w:rsidRDefault="005F7788" w:rsidP="000C5219">
      <w:pPr>
        <w:spacing w:after="0" w:line="288" w:lineRule="auto"/>
      </w:pPr>
      <w:r w:rsidRPr="0007080D">
        <w:t xml:space="preserve">WILMSMEIER, </w:t>
      </w:r>
      <w:r w:rsidR="003074A8" w:rsidRPr="0007080D">
        <w:t xml:space="preserve">G., 2013. </w:t>
      </w:r>
      <w:proofErr w:type="gramStart"/>
      <w:r w:rsidR="003074A8" w:rsidRPr="0007080D">
        <w:rPr>
          <w:i/>
        </w:rPr>
        <w:t>Liner Shipping Markets, Networks and Strategies.</w:t>
      </w:r>
      <w:proofErr w:type="gramEnd"/>
      <w:r w:rsidR="003074A8" w:rsidRPr="0007080D">
        <w:rPr>
          <w:i/>
        </w:rPr>
        <w:t xml:space="preserve"> </w:t>
      </w:r>
      <w:proofErr w:type="gramStart"/>
      <w:r w:rsidR="003074A8" w:rsidRPr="0007080D">
        <w:rPr>
          <w:i/>
        </w:rPr>
        <w:t>The implications for port development on the West Coast of South America.</w:t>
      </w:r>
      <w:proofErr w:type="gramEnd"/>
      <w:r w:rsidR="003074A8" w:rsidRPr="0007080D">
        <w:rPr>
          <w:i/>
        </w:rPr>
        <w:t xml:space="preserve"> </w:t>
      </w:r>
      <w:proofErr w:type="gramStart"/>
      <w:r w:rsidR="003074A8" w:rsidRPr="0007080D">
        <w:rPr>
          <w:i/>
        </w:rPr>
        <w:t>The case of Chile</w:t>
      </w:r>
      <w:r w:rsidR="003074A8" w:rsidRPr="0007080D">
        <w:t>.</w:t>
      </w:r>
      <w:proofErr w:type="gramEnd"/>
      <w:r w:rsidR="003074A8" w:rsidRPr="0007080D">
        <w:t xml:space="preserve"> ITF, Discussion Paper No 2013-22, November 2013 </w:t>
      </w:r>
    </w:p>
    <w:p w14:paraId="5F30B557" w14:textId="5D1F55B9" w:rsidR="003074A8" w:rsidRPr="0007080D" w:rsidRDefault="005F7788" w:rsidP="000C5219">
      <w:pPr>
        <w:spacing w:after="0" w:line="288" w:lineRule="auto"/>
      </w:pPr>
      <w:r w:rsidRPr="0007080D">
        <w:t xml:space="preserve">WILMSMEIER, G., MONIOS, </w:t>
      </w:r>
      <w:r w:rsidR="003074A8" w:rsidRPr="0007080D">
        <w:t xml:space="preserve">J. 2013. Counterbalancing peripherality and concentration: an analysis of the UK container port system, </w:t>
      </w:r>
      <w:r w:rsidR="003074A8" w:rsidRPr="0007080D">
        <w:rPr>
          <w:i/>
        </w:rPr>
        <w:t>Maritime Policy &amp; Management</w:t>
      </w:r>
      <w:r w:rsidR="003074A8" w:rsidRPr="0007080D">
        <w:t>, 40(2): 116-132.</w:t>
      </w:r>
    </w:p>
    <w:p w14:paraId="4B78532A" w14:textId="1092C164" w:rsidR="003074A8" w:rsidRPr="0007080D" w:rsidRDefault="005F7788" w:rsidP="000C5219">
      <w:pPr>
        <w:spacing w:after="0" w:line="288" w:lineRule="auto"/>
      </w:pPr>
      <w:proofErr w:type="gramStart"/>
      <w:r w:rsidRPr="0007080D">
        <w:t xml:space="preserve">WILMSMEIER, G, MONIOS, J, PÉREZ-SALAS, G., </w:t>
      </w:r>
      <w:r w:rsidR="003074A8" w:rsidRPr="0007080D">
        <w:t>2014.</w:t>
      </w:r>
      <w:proofErr w:type="gramEnd"/>
      <w:r w:rsidR="003074A8" w:rsidRPr="0007080D">
        <w:t xml:space="preserve"> Port system evolution: the case of Latin America and the Caribbean. </w:t>
      </w:r>
      <w:proofErr w:type="gramStart"/>
      <w:r w:rsidR="003074A8" w:rsidRPr="0007080D">
        <w:rPr>
          <w:i/>
        </w:rPr>
        <w:t>Journal of Transport Geography.</w:t>
      </w:r>
      <w:proofErr w:type="gramEnd"/>
      <w:r w:rsidR="003074A8" w:rsidRPr="0007080D">
        <w:rPr>
          <w:i/>
        </w:rPr>
        <w:t xml:space="preserve"> </w:t>
      </w:r>
      <w:r w:rsidR="003074A8" w:rsidRPr="0007080D">
        <w:t>39: 208-221.</w:t>
      </w:r>
    </w:p>
    <w:sectPr w:rsidR="003074A8" w:rsidRPr="0007080D" w:rsidSect="00CA4866">
      <w:type w:val="continuous"/>
      <w:pgSz w:w="12240" w:h="15840"/>
      <w:pgMar w:top="567" w:right="737" w:bottom="510" w:left="130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76CF0F" w14:textId="77777777" w:rsidR="002018BA" w:rsidRDefault="002018BA" w:rsidP="006771E0">
      <w:pPr>
        <w:spacing w:after="0" w:line="240" w:lineRule="auto"/>
      </w:pPr>
      <w:r>
        <w:separator/>
      </w:r>
    </w:p>
  </w:endnote>
  <w:endnote w:type="continuationSeparator" w:id="0">
    <w:p w14:paraId="28D77A66" w14:textId="77777777" w:rsidR="002018BA" w:rsidRDefault="002018BA" w:rsidP="00677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A0195" w14:textId="77777777" w:rsidR="006771E0" w:rsidRPr="005F375C" w:rsidRDefault="006771E0" w:rsidP="006771E0">
    <w:pPr>
      <w:tabs>
        <w:tab w:val="right" w:pos="8910"/>
      </w:tabs>
    </w:pPr>
    <w:r w:rsidRPr="005F375C">
      <w:t>IAME 201</w:t>
    </w:r>
    <w:r w:rsidR="00CC01B8">
      <w:t>5 Conference, August</w:t>
    </w:r>
    <w:r w:rsidRPr="005F375C">
      <w:t xml:space="preserve"> </w:t>
    </w:r>
    <w:r w:rsidR="00CC01B8">
      <w:t>24-26,</w:t>
    </w:r>
    <w:r w:rsidRPr="005F375C">
      <w:t xml:space="preserve"> </w:t>
    </w:r>
    <w:r w:rsidR="00CC01B8">
      <w:t>Kuala Lumpur, Malaysia</w:t>
    </w:r>
    <w:r w:rsidRPr="005F375C">
      <w:tab/>
      <w:t xml:space="preserve"> </w:t>
    </w:r>
    <w:r>
      <w:fldChar w:fldCharType="begin"/>
    </w:r>
    <w:r>
      <w:instrText xml:space="preserve"> PAGE </w:instrText>
    </w:r>
    <w:r>
      <w:fldChar w:fldCharType="separate"/>
    </w:r>
    <w:r w:rsidR="00034E5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4C1878" w14:textId="77777777" w:rsidR="002018BA" w:rsidRDefault="002018BA" w:rsidP="006771E0">
      <w:pPr>
        <w:spacing w:after="0" w:line="240" w:lineRule="auto"/>
      </w:pPr>
      <w:r>
        <w:separator/>
      </w:r>
    </w:p>
  </w:footnote>
  <w:footnote w:type="continuationSeparator" w:id="0">
    <w:p w14:paraId="60F871E9" w14:textId="77777777" w:rsidR="002018BA" w:rsidRDefault="002018BA" w:rsidP="006771E0">
      <w:pPr>
        <w:spacing w:after="0" w:line="240" w:lineRule="auto"/>
      </w:pPr>
      <w:r>
        <w:continuationSeparator/>
      </w:r>
    </w:p>
  </w:footnote>
  <w:footnote w:id="1">
    <w:p w14:paraId="27AD56FC" w14:textId="77777777" w:rsidR="003074A8" w:rsidRPr="007A6423" w:rsidRDefault="003074A8" w:rsidP="003074A8">
      <w:pPr>
        <w:pStyle w:val="FootnoteText"/>
        <w:jc w:val="both"/>
        <w:rPr>
          <w:rFonts w:ascii="Times New Roman" w:hAnsi="Times New Roman" w:cs="Times New Roman"/>
        </w:rPr>
      </w:pPr>
      <w:r w:rsidRPr="007A6423">
        <w:rPr>
          <w:rStyle w:val="FootnoteReference"/>
          <w:rFonts w:ascii="Times New Roman" w:hAnsi="Times New Roman" w:cs="Times New Roman"/>
        </w:rPr>
        <w:footnoteRef/>
      </w:r>
      <w:r w:rsidRPr="007A6423">
        <w:rPr>
          <w:rFonts w:ascii="Times New Roman" w:hAnsi="Times New Roman" w:cs="Times New Roman"/>
        </w:rPr>
        <w:t xml:space="preserve"> All berth and channel depth analysis is based on the segmentations used by the World Port Index, one of the key data sources. Any ports with unknown berth or channel depth were excluded from the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7" w:type="dxa"/>
      <w:tblLook w:val="00A0" w:firstRow="1" w:lastRow="0" w:firstColumn="1" w:lastColumn="0" w:noHBand="0" w:noVBand="0"/>
    </w:tblPr>
    <w:tblGrid>
      <w:gridCol w:w="2560"/>
      <w:gridCol w:w="6627"/>
    </w:tblGrid>
    <w:tr w:rsidR="006771E0" w:rsidRPr="00F740AA" w14:paraId="5456CA13" w14:textId="77777777" w:rsidTr="00BD60BB">
      <w:trPr>
        <w:trHeight w:val="680"/>
      </w:trPr>
      <w:tc>
        <w:tcPr>
          <w:tcW w:w="2560" w:type="dxa"/>
          <w:vMerge w:val="restart"/>
        </w:tcPr>
        <w:p w14:paraId="4DFBF28E" w14:textId="55A57DA8" w:rsidR="006771E0" w:rsidRPr="00F740AA" w:rsidRDefault="000F6AF4" w:rsidP="006771E0">
          <w:pPr>
            <w:spacing w:after="0" w:line="240" w:lineRule="auto"/>
          </w:pPr>
          <w:r>
            <w:rPr>
              <w:noProof/>
              <w:lang w:val="en-GB" w:eastAsia="en-GB" w:bidi="ar-SA"/>
            </w:rPr>
            <w:drawing>
              <wp:inline distT="0" distB="0" distL="0" distR="0" wp14:anchorId="48D27052" wp14:editId="1011E39F">
                <wp:extent cx="1187450" cy="837857"/>
                <wp:effectExtent l="0" t="0" r="6350" b="635"/>
                <wp:docPr id="2" name="Picture 2" descr="Macintosh HD:Users:ioannislagoudis:Deskto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oannislagoudis:Desktop: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450" cy="837857"/>
                        </a:xfrm>
                        <a:prstGeom prst="rect">
                          <a:avLst/>
                        </a:prstGeom>
                        <a:noFill/>
                        <a:ln>
                          <a:noFill/>
                        </a:ln>
                      </pic:spPr>
                    </pic:pic>
                  </a:graphicData>
                </a:graphic>
              </wp:inline>
            </w:drawing>
          </w:r>
        </w:p>
      </w:tc>
      <w:tc>
        <w:tcPr>
          <w:tcW w:w="6627" w:type="dxa"/>
        </w:tcPr>
        <w:p w14:paraId="55951BC2" w14:textId="3BCF5F8D" w:rsidR="006771E0" w:rsidRPr="003074A8" w:rsidRDefault="003074A8" w:rsidP="002A56D6">
          <w:pPr>
            <w:spacing w:after="0" w:line="240" w:lineRule="auto"/>
            <w:jc w:val="right"/>
            <w:rPr>
              <w:highlight w:val="yellow"/>
              <w:lang w:val="en-GB"/>
            </w:rPr>
          </w:pPr>
          <w:r w:rsidRPr="003074A8">
            <w:rPr>
              <w:lang w:val="en-GB"/>
            </w:rPr>
            <w:t>A Look Into The Future For Small Container Ports</w:t>
          </w:r>
        </w:p>
      </w:tc>
    </w:tr>
    <w:tr w:rsidR="006771E0" w:rsidRPr="00366CF3" w14:paraId="77B2E420" w14:textId="77777777" w:rsidTr="00BD60BB">
      <w:trPr>
        <w:trHeight w:val="680"/>
      </w:trPr>
      <w:tc>
        <w:tcPr>
          <w:tcW w:w="2560" w:type="dxa"/>
          <w:vMerge/>
        </w:tcPr>
        <w:p w14:paraId="20932A9F" w14:textId="77777777" w:rsidR="006771E0" w:rsidRPr="00F740AA" w:rsidRDefault="006771E0" w:rsidP="006771E0">
          <w:pPr>
            <w:spacing w:after="0" w:line="240" w:lineRule="auto"/>
          </w:pPr>
        </w:p>
      </w:tc>
      <w:tc>
        <w:tcPr>
          <w:tcW w:w="6627" w:type="dxa"/>
        </w:tcPr>
        <w:p w14:paraId="48D6E8EF" w14:textId="129BE10A" w:rsidR="006771E0" w:rsidRPr="00B52B85" w:rsidRDefault="003074A8" w:rsidP="002A56D6">
          <w:pPr>
            <w:spacing w:after="0" w:line="240" w:lineRule="auto"/>
            <w:jc w:val="right"/>
            <w:rPr>
              <w:highlight w:val="yellow"/>
            </w:rPr>
          </w:pPr>
          <w:r w:rsidRPr="00541B6F">
            <w:t xml:space="preserve">Paper </w:t>
          </w:r>
          <w:r>
            <w:t>ID</w:t>
          </w:r>
          <w:r w:rsidRPr="00541B6F">
            <w:t xml:space="preserve"> </w:t>
          </w:r>
          <w:r>
            <w:t>112</w:t>
          </w:r>
        </w:p>
      </w:tc>
    </w:tr>
  </w:tbl>
  <w:p w14:paraId="24E68E85" w14:textId="77777777" w:rsidR="006771E0" w:rsidRPr="00BD60BB" w:rsidRDefault="006771E0" w:rsidP="00BD60BB">
    <w:pPr>
      <w:tabs>
        <w:tab w:val="right" w:pos="8910"/>
      </w:tabs>
      <w:spacing w:after="0"/>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08" w:type="dxa"/>
      <w:tblLook w:val="00A0" w:firstRow="1" w:lastRow="0" w:firstColumn="1" w:lastColumn="0" w:noHBand="0" w:noVBand="0"/>
    </w:tblPr>
    <w:tblGrid>
      <w:gridCol w:w="2538"/>
      <w:gridCol w:w="6570"/>
    </w:tblGrid>
    <w:tr w:rsidR="006771E0" w:rsidRPr="00F740AA" w14:paraId="7FE8CA07" w14:textId="77777777">
      <w:trPr>
        <w:trHeight w:val="720"/>
      </w:trPr>
      <w:tc>
        <w:tcPr>
          <w:tcW w:w="2538" w:type="dxa"/>
          <w:vMerge w:val="restart"/>
        </w:tcPr>
        <w:p w14:paraId="5448C09D" w14:textId="79773504" w:rsidR="006771E0" w:rsidRPr="00F740AA" w:rsidRDefault="000F6AF4" w:rsidP="006771E0">
          <w:pPr>
            <w:spacing w:after="0" w:line="240" w:lineRule="auto"/>
          </w:pPr>
          <w:r>
            <w:rPr>
              <w:noProof/>
              <w:lang w:val="en-GB" w:eastAsia="en-GB" w:bidi="ar-SA"/>
            </w:rPr>
            <w:drawing>
              <wp:inline distT="0" distB="0" distL="0" distR="0" wp14:anchorId="6D39CE11" wp14:editId="5DA34681">
                <wp:extent cx="1187450" cy="837857"/>
                <wp:effectExtent l="0" t="0" r="6350" b="635"/>
                <wp:docPr id="3" name="Picture 3" descr="Macintosh HD:Users:ioannislagoudis:Deskto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oannislagoudis:Desktop: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561" cy="838641"/>
                        </a:xfrm>
                        <a:prstGeom prst="rect">
                          <a:avLst/>
                        </a:prstGeom>
                        <a:noFill/>
                        <a:ln>
                          <a:noFill/>
                        </a:ln>
                      </pic:spPr>
                    </pic:pic>
                  </a:graphicData>
                </a:graphic>
              </wp:inline>
            </w:drawing>
          </w:r>
        </w:p>
      </w:tc>
      <w:tc>
        <w:tcPr>
          <w:tcW w:w="6570" w:type="dxa"/>
        </w:tcPr>
        <w:p w14:paraId="06121CD5" w14:textId="77777777" w:rsidR="006771E0" w:rsidRPr="00F740AA" w:rsidRDefault="006771E0" w:rsidP="00CC01B8">
          <w:pPr>
            <w:spacing w:before="120" w:after="0" w:line="240" w:lineRule="auto"/>
            <w:jc w:val="right"/>
          </w:pPr>
          <w:r w:rsidRPr="00541B6F">
            <w:t xml:space="preserve">IAME </w:t>
          </w:r>
          <w:r w:rsidR="00CC01B8">
            <w:t>2015</w:t>
          </w:r>
          <w:r>
            <w:t xml:space="preserve"> </w:t>
          </w:r>
          <w:r w:rsidRPr="00541B6F">
            <w:t>Conference</w:t>
          </w:r>
          <w:r>
            <w:t xml:space="preserve"> </w:t>
          </w:r>
          <w:r w:rsidR="00CC01B8">
            <w:t>Kuala Lumpur, Malaysia</w:t>
          </w:r>
        </w:p>
      </w:tc>
    </w:tr>
    <w:tr w:rsidR="006771E0" w:rsidRPr="00127EF4" w14:paraId="0670B786" w14:textId="77777777">
      <w:tc>
        <w:tcPr>
          <w:tcW w:w="2538" w:type="dxa"/>
          <w:vMerge/>
        </w:tcPr>
        <w:p w14:paraId="209B66A8" w14:textId="77777777" w:rsidR="006771E0" w:rsidRPr="00F740AA" w:rsidRDefault="006771E0" w:rsidP="006771E0">
          <w:pPr>
            <w:spacing w:after="0" w:line="240" w:lineRule="auto"/>
          </w:pPr>
        </w:p>
      </w:tc>
      <w:tc>
        <w:tcPr>
          <w:tcW w:w="6570" w:type="dxa"/>
        </w:tcPr>
        <w:p w14:paraId="04BDF51B" w14:textId="71E8BA35" w:rsidR="006771E0" w:rsidRPr="00127EF4" w:rsidRDefault="006771E0" w:rsidP="00F15F14">
          <w:pPr>
            <w:spacing w:before="120" w:after="0" w:line="240" w:lineRule="auto"/>
            <w:jc w:val="right"/>
          </w:pPr>
          <w:r w:rsidRPr="00541B6F">
            <w:t xml:space="preserve">Paper </w:t>
          </w:r>
          <w:r>
            <w:t>ID</w:t>
          </w:r>
          <w:r w:rsidRPr="00541B6F">
            <w:t xml:space="preserve"> </w:t>
          </w:r>
          <w:r w:rsidR="003074A8">
            <w:t>112</w:t>
          </w:r>
        </w:p>
      </w:tc>
    </w:tr>
  </w:tbl>
  <w:p w14:paraId="2D3D3153" w14:textId="77777777" w:rsidR="006771E0" w:rsidRPr="00541B6F" w:rsidRDefault="006771E0" w:rsidP="006771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26D200"/>
    <w:lvl w:ilvl="0">
      <w:start w:val="1"/>
      <w:numFmt w:val="decimal"/>
      <w:lvlText w:val="%1."/>
      <w:lvlJc w:val="left"/>
      <w:pPr>
        <w:tabs>
          <w:tab w:val="num" w:pos="1492"/>
        </w:tabs>
        <w:ind w:left="1492" w:hanging="360"/>
      </w:pPr>
    </w:lvl>
  </w:abstractNum>
  <w:abstractNum w:abstractNumId="1">
    <w:nsid w:val="FFFFFF7D"/>
    <w:multiLevelType w:val="singleLevel"/>
    <w:tmpl w:val="BABA13B0"/>
    <w:lvl w:ilvl="0">
      <w:start w:val="1"/>
      <w:numFmt w:val="decimal"/>
      <w:lvlText w:val="%1."/>
      <w:lvlJc w:val="left"/>
      <w:pPr>
        <w:tabs>
          <w:tab w:val="num" w:pos="1209"/>
        </w:tabs>
        <w:ind w:left="1209" w:hanging="360"/>
      </w:pPr>
    </w:lvl>
  </w:abstractNum>
  <w:abstractNum w:abstractNumId="2">
    <w:nsid w:val="FFFFFF7E"/>
    <w:multiLevelType w:val="singleLevel"/>
    <w:tmpl w:val="DB7C9E58"/>
    <w:lvl w:ilvl="0">
      <w:start w:val="1"/>
      <w:numFmt w:val="decimal"/>
      <w:lvlText w:val="%1."/>
      <w:lvlJc w:val="left"/>
      <w:pPr>
        <w:tabs>
          <w:tab w:val="num" w:pos="926"/>
        </w:tabs>
        <w:ind w:left="926" w:hanging="360"/>
      </w:pPr>
    </w:lvl>
  </w:abstractNum>
  <w:abstractNum w:abstractNumId="3">
    <w:nsid w:val="FFFFFF7F"/>
    <w:multiLevelType w:val="singleLevel"/>
    <w:tmpl w:val="D39C7EE0"/>
    <w:lvl w:ilvl="0">
      <w:start w:val="1"/>
      <w:numFmt w:val="decimal"/>
      <w:lvlText w:val="%1."/>
      <w:lvlJc w:val="left"/>
      <w:pPr>
        <w:tabs>
          <w:tab w:val="num" w:pos="643"/>
        </w:tabs>
        <w:ind w:left="643" w:hanging="360"/>
      </w:pPr>
    </w:lvl>
  </w:abstractNum>
  <w:abstractNum w:abstractNumId="4">
    <w:nsid w:val="FFFFFF80"/>
    <w:multiLevelType w:val="singleLevel"/>
    <w:tmpl w:val="B6C434B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5C75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01E2E0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7010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62470DE"/>
    <w:lvl w:ilvl="0">
      <w:start w:val="1"/>
      <w:numFmt w:val="decimal"/>
      <w:lvlText w:val="%1."/>
      <w:lvlJc w:val="left"/>
      <w:pPr>
        <w:tabs>
          <w:tab w:val="num" w:pos="360"/>
        </w:tabs>
        <w:ind w:left="360" w:hanging="360"/>
      </w:pPr>
    </w:lvl>
  </w:abstractNum>
  <w:abstractNum w:abstractNumId="9">
    <w:nsid w:val="FFFFFF89"/>
    <w:multiLevelType w:val="singleLevel"/>
    <w:tmpl w:val="4134B4E8"/>
    <w:lvl w:ilvl="0">
      <w:start w:val="1"/>
      <w:numFmt w:val="bullet"/>
      <w:lvlText w:val=""/>
      <w:lvlJc w:val="left"/>
      <w:pPr>
        <w:tabs>
          <w:tab w:val="num" w:pos="360"/>
        </w:tabs>
        <w:ind w:left="360" w:hanging="360"/>
      </w:pPr>
      <w:rPr>
        <w:rFonts w:ascii="Symbol" w:hAnsi="Symbol" w:hint="default"/>
      </w:rPr>
    </w:lvl>
  </w:abstractNum>
  <w:abstractNum w:abstractNumId="10">
    <w:nsid w:val="05DE543E"/>
    <w:multiLevelType w:val="hybridMultilevel"/>
    <w:tmpl w:val="F75AFD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22E2980"/>
    <w:multiLevelType w:val="multilevel"/>
    <w:tmpl w:val="6284C4B8"/>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B564257"/>
    <w:multiLevelType w:val="hybridMultilevel"/>
    <w:tmpl w:val="996C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283CEB"/>
    <w:multiLevelType w:val="hybridMultilevel"/>
    <w:tmpl w:val="C87494FC"/>
    <w:lvl w:ilvl="0" w:tplc="1048E406">
      <w:start w:val="1"/>
      <w:numFmt w:val="decimal"/>
      <w:lvlText w:val="%1."/>
      <w:lvlJc w:val="left"/>
      <w:pPr>
        <w:ind w:left="720" w:hanging="360"/>
      </w:pPr>
      <w:rPr>
        <w:rFont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A31262"/>
    <w:multiLevelType w:val="hybridMultilevel"/>
    <w:tmpl w:val="F75AFD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2061A41"/>
    <w:multiLevelType w:val="hybridMultilevel"/>
    <w:tmpl w:val="F1841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4B87DDF"/>
    <w:multiLevelType w:val="hybridMultilevel"/>
    <w:tmpl w:val="39BEA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52449B0"/>
    <w:multiLevelType w:val="hybridMultilevel"/>
    <w:tmpl w:val="513E3B8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BC4521E"/>
    <w:multiLevelType w:val="hybridMultilevel"/>
    <w:tmpl w:val="2E106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5E1FFA"/>
    <w:multiLevelType w:val="hybridMultilevel"/>
    <w:tmpl w:val="E320BE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F1440B5"/>
    <w:multiLevelType w:val="hybridMultilevel"/>
    <w:tmpl w:val="444ED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C46753"/>
    <w:multiLevelType w:val="hybridMultilevel"/>
    <w:tmpl w:val="60CAA03E"/>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2">
    <w:nsid w:val="65595297"/>
    <w:multiLevelType w:val="hybridMultilevel"/>
    <w:tmpl w:val="532062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5762016"/>
    <w:multiLevelType w:val="hybridMultilevel"/>
    <w:tmpl w:val="D71E292A"/>
    <w:lvl w:ilvl="0" w:tplc="5F8ACE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9F76DB5"/>
    <w:multiLevelType w:val="hybridMultilevel"/>
    <w:tmpl w:val="BDAC2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EAE57D7"/>
    <w:multiLevelType w:val="hybridMultilevel"/>
    <w:tmpl w:val="09E85A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4BA5960"/>
    <w:multiLevelType w:val="hybridMultilevel"/>
    <w:tmpl w:val="A8C87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55B66FD"/>
    <w:multiLevelType w:val="hybridMultilevel"/>
    <w:tmpl w:val="85EEA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5B7FD6"/>
    <w:multiLevelType w:val="hybridMultilevel"/>
    <w:tmpl w:val="FB94E63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3"/>
  </w:num>
  <w:num w:numId="12">
    <w:abstractNumId w:val="20"/>
  </w:num>
  <w:num w:numId="13">
    <w:abstractNumId w:val="22"/>
  </w:num>
  <w:num w:numId="14">
    <w:abstractNumId w:val="25"/>
  </w:num>
  <w:num w:numId="15">
    <w:abstractNumId w:val="19"/>
  </w:num>
  <w:num w:numId="16">
    <w:abstractNumId w:val="27"/>
  </w:num>
  <w:num w:numId="17">
    <w:abstractNumId w:val="28"/>
  </w:num>
  <w:num w:numId="18">
    <w:abstractNumId w:val="18"/>
  </w:num>
  <w:num w:numId="19">
    <w:abstractNumId w:val="16"/>
  </w:num>
  <w:num w:numId="20">
    <w:abstractNumId w:val="21"/>
  </w:num>
  <w:num w:numId="21">
    <w:abstractNumId w:val="15"/>
  </w:num>
  <w:num w:numId="22">
    <w:abstractNumId w:val="26"/>
  </w:num>
  <w:num w:numId="23">
    <w:abstractNumId w:val="17"/>
  </w:num>
  <w:num w:numId="24">
    <w:abstractNumId w:val="14"/>
  </w:num>
  <w:num w:numId="25">
    <w:abstractNumId w:val="11"/>
  </w:num>
  <w:num w:numId="26">
    <w:abstractNumId w:val="24"/>
  </w:num>
  <w:num w:numId="27">
    <w:abstractNumId w:val="12"/>
  </w:num>
  <w:num w:numId="28">
    <w:abstractNumId w:val="1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1A0"/>
    <w:rsid w:val="00034E5D"/>
    <w:rsid w:val="0007080D"/>
    <w:rsid w:val="000734F8"/>
    <w:rsid w:val="000746CB"/>
    <w:rsid w:val="000A7C2E"/>
    <w:rsid w:val="000C5219"/>
    <w:rsid w:val="000E5277"/>
    <w:rsid w:val="000F6AF4"/>
    <w:rsid w:val="00107CAF"/>
    <w:rsid w:val="00114522"/>
    <w:rsid w:val="00117384"/>
    <w:rsid w:val="0013199E"/>
    <w:rsid w:val="001740A4"/>
    <w:rsid w:val="00180AE7"/>
    <w:rsid w:val="00191B71"/>
    <w:rsid w:val="001C7A99"/>
    <w:rsid w:val="001F01C6"/>
    <w:rsid w:val="001F1DC8"/>
    <w:rsid w:val="002018BA"/>
    <w:rsid w:val="002A56D6"/>
    <w:rsid w:val="002B5D5C"/>
    <w:rsid w:val="002E3A90"/>
    <w:rsid w:val="002F7E4E"/>
    <w:rsid w:val="003074A8"/>
    <w:rsid w:val="0036368C"/>
    <w:rsid w:val="003866B4"/>
    <w:rsid w:val="003A4BA9"/>
    <w:rsid w:val="003D7199"/>
    <w:rsid w:val="0041751F"/>
    <w:rsid w:val="0043776E"/>
    <w:rsid w:val="00483077"/>
    <w:rsid w:val="00485A31"/>
    <w:rsid w:val="005372B1"/>
    <w:rsid w:val="00546008"/>
    <w:rsid w:val="0058021D"/>
    <w:rsid w:val="005B0BCE"/>
    <w:rsid w:val="005F7788"/>
    <w:rsid w:val="00665F65"/>
    <w:rsid w:val="0067026F"/>
    <w:rsid w:val="006771E0"/>
    <w:rsid w:val="006B3847"/>
    <w:rsid w:val="006B4701"/>
    <w:rsid w:val="006F7303"/>
    <w:rsid w:val="00710CAC"/>
    <w:rsid w:val="007B6C7B"/>
    <w:rsid w:val="007C0541"/>
    <w:rsid w:val="007E2DFD"/>
    <w:rsid w:val="0082786B"/>
    <w:rsid w:val="00840E85"/>
    <w:rsid w:val="00866929"/>
    <w:rsid w:val="008A29D1"/>
    <w:rsid w:val="008B72D4"/>
    <w:rsid w:val="008C7FD0"/>
    <w:rsid w:val="008D00A0"/>
    <w:rsid w:val="00937481"/>
    <w:rsid w:val="00943E34"/>
    <w:rsid w:val="0098389D"/>
    <w:rsid w:val="009945D2"/>
    <w:rsid w:val="009C7FF4"/>
    <w:rsid w:val="009F5CDD"/>
    <w:rsid w:val="00A12B83"/>
    <w:rsid w:val="00A2196C"/>
    <w:rsid w:val="00A26C4F"/>
    <w:rsid w:val="00AD7AA5"/>
    <w:rsid w:val="00AE5478"/>
    <w:rsid w:val="00B506A6"/>
    <w:rsid w:val="00B77023"/>
    <w:rsid w:val="00B93D43"/>
    <w:rsid w:val="00BA155C"/>
    <w:rsid w:val="00BB01A0"/>
    <w:rsid w:val="00BD60BB"/>
    <w:rsid w:val="00BF37F1"/>
    <w:rsid w:val="00C038C4"/>
    <w:rsid w:val="00C14088"/>
    <w:rsid w:val="00C217EE"/>
    <w:rsid w:val="00C34DBF"/>
    <w:rsid w:val="00C83E24"/>
    <w:rsid w:val="00CA4866"/>
    <w:rsid w:val="00CB4A41"/>
    <w:rsid w:val="00CB5E15"/>
    <w:rsid w:val="00CC01B8"/>
    <w:rsid w:val="00CE122B"/>
    <w:rsid w:val="00D82BE6"/>
    <w:rsid w:val="00EA65DE"/>
    <w:rsid w:val="00ED5FB4"/>
    <w:rsid w:val="00F15F14"/>
    <w:rsid w:val="00F22D76"/>
    <w:rsid w:val="00F93BD0"/>
    <w:rsid w:val="00FE2C49"/>
    <w:rsid w:val="00FE41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07CB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footnote text" w:uiPriority="99"/>
    <w:lsdException w:name="header" w:uiPriority="99"/>
    <w:lsdException w:name="footer" w:uiPriority="99"/>
    <w:lsdException w:name="caption" w:uiPriority="35" w:qFormat="1"/>
    <w:lsdException w:name="Hyperlink" w:uiPriority="99"/>
    <w:lsdException w:name="No List" w:uiPriority="99"/>
    <w:lsdException w:name="Balloon Text" w:uiPriority="99"/>
    <w:lsdException w:name="Table Grid" w:uiPriority="59"/>
    <w:lsdException w:name="List Paragraph" w:uiPriority="34" w:qFormat="1"/>
  </w:latentStyles>
  <w:style w:type="paragraph" w:default="1" w:styleId="Normal">
    <w:name w:val="Normal"/>
    <w:qFormat/>
    <w:rsid w:val="009859D4"/>
    <w:pPr>
      <w:spacing w:after="200" w:line="300" w:lineRule="auto"/>
    </w:pPr>
    <w:rPr>
      <w:rFonts w:ascii="Times New Roman" w:hAnsi="Times New Roman"/>
      <w:sz w:val="24"/>
      <w:szCs w:val="22"/>
      <w:lang w:bidi="en-US"/>
    </w:rPr>
  </w:style>
  <w:style w:type="paragraph" w:styleId="Heading1">
    <w:name w:val="heading 1"/>
    <w:basedOn w:val="Normal"/>
    <w:next w:val="Heading2"/>
    <w:link w:val="Heading1Char"/>
    <w:uiPriority w:val="9"/>
    <w:qFormat/>
    <w:rsid w:val="009859D4"/>
    <w:pPr>
      <w:spacing w:before="240" w:after="600" w:line="240" w:lineRule="auto"/>
      <w:contextualSpacing/>
      <w:jc w:val="center"/>
      <w:outlineLvl w:val="0"/>
    </w:pPr>
    <w:rPr>
      <w:rFonts w:ascii="Arial" w:hAnsi="Arial"/>
      <w:b/>
      <w:spacing w:val="5"/>
      <w:sz w:val="32"/>
      <w:szCs w:val="36"/>
      <w:lang w:val="en-GB"/>
    </w:rPr>
  </w:style>
  <w:style w:type="paragraph" w:styleId="Heading2">
    <w:name w:val="heading 2"/>
    <w:basedOn w:val="Normal"/>
    <w:next w:val="Normal"/>
    <w:link w:val="Heading2Char"/>
    <w:uiPriority w:val="9"/>
    <w:qFormat/>
    <w:rsid w:val="001D4E6E"/>
    <w:pPr>
      <w:spacing w:before="200" w:after="120" w:line="240" w:lineRule="auto"/>
      <w:outlineLvl w:val="1"/>
    </w:pPr>
    <w:rPr>
      <w:rFonts w:ascii="Arial" w:hAnsi="Arial"/>
      <w:b/>
      <w:szCs w:val="28"/>
    </w:rPr>
  </w:style>
  <w:style w:type="paragraph" w:styleId="Heading3">
    <w:name w:val="heading 3"/>
    <w:basedOn w:val="Normal"/>
    <w:next w:val="Normal"/>
    <w:link w:val="Heading3Char"/>
    <w:uiPriority w:val="9"/>
    <w:qFormat/>
    <w:rsid w:val="00C42B4D"/>
    <w:pPr>
      <w:spacing w:before="200" w:after="0" w:line="271" w:lineRule="auto"/>
      <w:outlineLvl w:val="2"/>
    </w:pPr>
    <w:rPr>
      <w:i/>
      <w:iCs/>
      <w:spacing w:val="5"/>
      <w:szCs w:val="26"/>
    </w:rPr>
  </w:style>
  <w:style w:type="paragraph" w:styleId="Heading4">
    <w:name w:val="heading 4"/>
    <w:basedOn w:val="Normal"/>
    <w:next w:val="Normal"/>
    <w:link w:val="Heading4Char"/>
    <w:uiPriority w:val="9"/>
    <w:qFormat/>
    <w:rsid w:val="007E5B6A"/>
    <w:pPr>
      <w:spacing w:after="0" w:line="271" w:lineRule="auto"/>
      <w:outlineLvl w:val="3"/>
    </w:pPr>
    <w:rPr>
      <w:b/>
      <w:bCs/>
      <w:spacing w:val="5"/>
      <w:szCs w:val="24"/>
    </w:rPr>
  </w:style>
  <w:style w:type="paragraph" w:styleId="Heading5">
    <w:name w:val="heading 5"/>
    <w:basedOn w:val="Normal"/>
    <w:next w:val="Normal"/>
    <w:link w:val="Heading5Char"/>
    <w:uiPriority w:val="9"/>
    <w:qFormat/>
    <w:rsid w:val="007E5B6A"/>
    <w:pPr>
      <w:spacing w:after="0" w:line="271" w:lineRule="auto"/>
      <w:outlineLvl w:val="4"/>
    </w:pPr>
    <w:rPr>
      <w:i/>
      <w:iCs/>
      <w:szCs w:val="24"/>
    </w:rPr>
  </w:style>
  <w:style w:type="paragraph" w:styleId="Heading6">
    <w:name w:val="heading 6"/>
    <w:basedOn w:val="Normal"/>
    <w:next w:val="Normal"/>
    <w:link w:val="Heading6Char"/>
    <w:uiPriority w:val="9"/>
    <w:qFormat/>
    <w:rsid w:val="007E5B6A"/>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qFormat/>
    <w:rsid w:val="007E5B6A"/>
    <w:pPr>
      <w:spacing w:after="0"/>
      <w:outlineLvl w:val="6"/>
    </w:pPr>
    <w:rPr>
      <w:b/>
      <w:bCs/>
      <w:i/>
      <w:iCs/>
      <w:color w:val="5A5A5A"/>
      <w:sz w:val="20"/>
      <w:szCs w:val="20"/>
    </w:rPr>
  </w:style>
  <w:style w:type="paragraph" w:styleId="Heading8">
    <w:name w:val="heading 8"/>
    <w:basedOn w:val="Normal"/>
    <w:next w:val="Normal"/>
    <w:link w:val="Heading8Char"/>
    <w:uiPriority w:val="9"/>
    <w:qFormat/>
    <w:rsid w:val="007E5B6A"/>
    <w:pPr>
      <w:spacing w:after="0"/>
      <w:outlineLvl w:val="7"/>
    </w:pPr>
    <w:rPr>
      <w:b/>
      <w:bCs/>
      <w:color w:val="7F7F7F"/>
      <w:sz w:val="20"/>
      <w:szCs w:val="20"/>
    </w:rPr>
  </w:style>
  <w:style w:type="paragraph" w:styleId="Heading9">
    <w:name w:val="heading 9"/>
    <w:basedOn w:val="Normal"/>
    <w:next w:val="Normal"/>
    <w:link w:val="Heading9Char"/>
    <w:uiPriority w:val="9"/>
    <w:qFormat/>
    <w:rsid w:val="007E5B6A"/>
    <w:pPr>
      <w:spacing w:after="0" w:line="271" w:lineRule="auto"/>
      <w:outlineLvl w:val="8"/>
    </w:pPr>
    <w:rPr>
      <w:b/>
      <w:bCs/>
      <w:i/>
      <w:iCs/>
      <w:color w:val="7F7F7F"/>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4E6E"/>
    <w:rPr>
      <w:rFonts w:ascii="Arial" w:hAnsi="Arial"/>
      <w:b/>
      <w:sz w:val="24"/>
      <w:szCs w:val="28"/>
      <w:lang w:val="en-US" w:eastAsia="en-US" w:bidi="en-US"/>
    </w:rPr>
  </w:style>
  <w:style w:type="character" w:customStyle="1" w:styleId="Heading1Char">
    <w:name w:val="Heading 1 Char"/>
    <w:basedOn w:val="DefaultParagraphFont"/>
    <w:link w:val="Heading1"/>
    <w:uiPriority w:val="9"/>
    <w:rsid w:val="009859D4"/>
    <w:rPr>
      <w:rFonts w:ascii="Arial" w:hAnsi="Arial"/>
      <w:b/>
      <w:spacing w:val="5"/>
      <w:sz w:val="32"/>
      <w:szCs w:val="36"/>
      <w:lang w:eastAsia="en-US" w:bidi="en-US"/>
    </w:rPr>
  </w:style>
  <w:style w:type="character" w:customStyle="1" w:styleId="Heading3Char">
    <w:name w:val="Heading 3 Char"/>
    <w:basedOn w:val="DefaultParagraphFont"/>
    <w:link w:val="Heading3"/>
    <w:uiPriority w:val="9"/>
    <w:rsid w:val="00C42B4D"/>
    <w:rPr>
      <w:rFonts w:ascii="Times New Roman" w:hAnsi="Times New Roman"/>
      <w:i/>
      <w:iCs/>
      <w:spacing w:val="5"/>
      <w:sz w:val="24"/>
      <w:szCs w:val="26"/>
      <w:lang w:val="en-US" w:eastAsia="en-US" w:bidi="en-US"/>
    </w:rPr>
  </w:style>
  <w:style w:type="character" w:customStyle="1" w:styleId="Heading4Char">
    <w:name w:val="Heading 4 Char"/>
    <w:basedOn w:val="DefaultParagraphFont"/>
    <w:link w:val="Heading4"/>
    <w:uiPriority w:val="9"/>
    <w:semiHidden/>
    <w:rsid w:val="007E5B6A"/>
    <w:rPr>
      <w:b/>
      <w:bCs/>
      <w:spacing w:val="5"/>
      <w:sz w:val="24"/>
      <w:szCs w:val="24"/>
    </w:rPr>
  </w:style>
  <w:style w:type="character" w:customStyle="1" w:styleId="Heading5Char">
    <w:name w:val="Heading 5 Char"/>
    <w:basedOn w:val="DefaultParagraphFont"/>
    <w:link w:val="Heading5"/>
    <w:uiPriority w:val="9"/>
    <w:semiHidden/>
    <w:rsid w:val="007E5B6A"/>
    <w:rPr>
      <w:i/>
      <w:iCs/>
      <w:sz w:val="24"/>
      <w:szCs w:val="24"/>
    </w:rPr>
  </w:style>
  <w:style w:type="character" w:customStyle="1" w:styleId="Heading6Char">
    <w:name w:val="Heading 6 Char"/>
    <w:basedOn w:val="DefaultParagraphFont"/>
    <w:link w:val="Heading6"/>
    <w:uiPriority w:val="9"/>
    <w:semiHidden/>
    <w:rsid w:val="007E5B6A"/>
    <w:rPr>
      <w:b/>
      <w:bCs/>
      <w:color w:val="595959"/>
      <w:spacing w:val="5"/>
      <w:shd w:val="clear" w:color="auto" w:fill="FFFFFF"/>
    </w:rPr>
  </w:style>
  <w:style w:type="character" w:customStyle="1" w:styleId="Heading7Char">
    <w:name w:val="Heading 7 Char"/>
    <w:basedOn w:val="DefaultParagraphFont"/>
    <w:link w:val="Heading7"/>
    <w:uiPriority w:val="9"/>
    <w:semiHidden/>
    <w:rsid w:val="007E5B6A"/>
    <w:rPr>
      <w:b/>
      <w:bCs/>
      <w:i/>
      <w:iCs/>
      <w:color w:val="5A5A5A"/>
      <w:sz w:val="20"/>
      <w:szCs w:val="20"/>
    </w:rPr>
  </w:style>
  <w:style w:type="character" w:customStyle="1" w:styleId="Heading8Char">
    <w:name w:val="Heading 8 Char"/>
    <w:basedOn w:val="DefaultParagraphFont"/>
    <w:link w:val="Heading8"/>
    <w:uiPriority w:val="9"/>
    <w:semiHidden/>
    <w:rsid w:val="007E5B6A"/>
    <w:rPr>
      <w:b/>
      <w:bCs/>
      <w:color w:val="7F7F7F"/>
      <w:sz w:val="20"/>
      <w:szCs w:val="20"/>
    </w:rPr>
  </w:style>
  <w:style w:type="character" w:customStyle="1" w:styleId="Heading9Char">
    <w:name w:val="Heading 9 Char"/>
    <w:basedOn w:val="DefaultParagraphFont"/>
    <w:link w:val="Heading9"/>
    <w:uiPriority w:val="9"/>
    <w:semiHidden/>
    <w:rsid w:val="007E5B6A"/>
    <w:rPr>
      <w:b/>
      <w:bCs/>
      <w:i/>
      <w:iCs/>
      <w:color w:val="7F7F7F"/>
      <w:sz w:val="18"/>
      <w:szCs w:val="18"/>
    </w:rPr>
  </w:style>
  <w:style w:type="paragraph" w:styleId="Quote">
    <w:name w:val="Quote"/>
    <w:basedOn w:val="Normal"/>
    <w:next w:val="Normal"/>
    <w:link w:val="QuoteChar"/>
    <w:uiPriority w:val="29"/>
    <w:qFormat/>
    <w:rsid w:val="007E5B6A"/>
    <w:rPr>
      <w:i/>
      <w:iCs/>
    </w:rPr>
  </w:style>
  <w:style w:type="character" w:customStyle="1" w:styleId="QuoteChar">
    <w:name w:val="Quote Char"/>
    <w:basedOn w:val="DefaultParagraphFont"/>
    <w:link w:val="Quote"/>
    <w:uiPriority w:val="29"/>
    <w:rsid w:val="007E5B6A"/>
    <w:rPr>
      <w:i/>
      <w:iCs/>
    </w:rPr>
  </w:style>
  <w:style w:type="paragraph" w:styleId="TOCHeading">
    <w:name w:val="TOC Heading"/>
    <w:basedOn w:val="Heading1"/>
    <w:next w:val="Normal"/>
    <w:uiPriority w:val="39"/>
    <w:qFormat/>
    <w:rsid w:val="007E5B6A"/>
    <w:pPr>
      <w:outlineLvl w:val="9"/>
    </w:pPr>
  </w:style>
  <w:style w:type="paragraph" w:styleId="Header">
    <w:name w:val="header"/>
    <w:basedOn w:val="Normal"/>
    <w:link w:val="HeaderChar"/>
    <w:uiPriority w:val="99"/>
    <w:unhideWhenUsed/>
    <w:rsid w:val="00F67A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7A39"/>
  </w:style>
  <w:style w:type="paragraph" w:styleId="Footer">
    <w:name w:val="footer"/>
    <w:basedOn w:val="Normal"/>
    <w:link w:val="FooterChar"/>
    <w:uiPriority w:val="99"/>
    <w:unhideWhenUsed/>
    <w:rsid w:val="00F67A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7A39"/>
  </w:style>
  <w:style w:type="paragraph" w:customStyle="1" w:styleId="References">
    <w:name w:val="References"/>
    <w:basedOn w:val="Normal"/>
    <w:link w:val="ReferencesChar"/>
    <w:qFormat/>
    <w:rsid w:val="007041BD"/>
    <w:pPr>
      <w:jc w:val="both"/>
    </w:pPr>
    <w:rPr>
      <w:lang w:val="en-GB"/>
    </w:rPr>
  </w:style>
  <w:style w:type="character" w:customStyle="1" w:styleId="ReferencesChar">
    <w:name w:val="References Char"/>
    <w:basedOn w:val="DefaultParagraphFont"/>
    <w:link w:val="References"/>
    <w:rsid w:val="007041BD"/>
    <w:rPr>
      <w:sz w:val="24"/>
      <w:szCs w:val="22"/>
      <w:lang w:val="en-GB" w:eastAsia="en-US" w:bidi="en-US"/>
    </w:rPr>
  </w:style>
  <w:style w:type="character" w:styleId="Hyperlink">
    <w:name w:val="Hyperlink"/>
    <w:basedOn w:val="DefaultParagraphFont"/>
    <w:uiPriority w:val="99"/>
    <w:rsid w:val="007041BD"/>
    <w:rPr>
      <w:color w:val="0000FF"/>
      <w:u w:val="single"/>
    </w:rPr>
  </w:style>
  <w:style w:type="character" w:styleId="FollowedHyperlink">
    <w:name w:val="FollowedHyperlink"/>
    <w:basedOn w:val="DefaultParagraphFont"/>
    <w:rsid w:val="009859D4"/>
    <w:rPr>
      <w:rFonts w:ascii="Times New Roman" w:hAnsi="Times New Roman"/>
      <w:color w:val="800080"/>
      <w:u w:val="single"/>
    </w:rPr>
  </w:style>
  <w:style w:type="table" w:styleId="TableGrid">
    <w:name w:val="Table Grid"/>
    <w:basedOn w:val="TableNormal"/>
    <w:uiPriority w:val="59"/>
    <w:rsid w:val="00F740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
    <w:name w:val="Author"/>
    <w:basedOn w:val="Normal"/>
    <w:qFormat/>
    <w:rsid w:val="001D4E6E"/>
    <w:rPr>
      <w:rFonts w:ascii="Arial" w:hAnsi="Arial"/>
      <w:i/>
      <w:sz w:val="28"/>
      <w:szCs w:val="24"/>
      <w:lang w:val="en-GB"/>
    </w:rPr>
  </w:style>
  <w:style w:type="paragraph" w:customStyle="1" w:styleId="TableFigureHeading">
    <w:name w:val="Table Figure Heading"/>
    <w:basedOn w:val="Normal"/>
    <w:qFormat/>
    <w:rsid w:val="004B3F81"/>
    <w:pPr>
      <w:keepNext/>
      <w:jc w:val="center"/>
    </w:pPr>
    <w:rPr>
      <w:b/>
      <w:lang w:val="en-GB"/>
    </w:rPr>
  </w:style>
  <w:style w:type="paragraph" w:customStyle="1" w:styleId="Source">
    <w:name w:val="Source"/>
    <w:basedOn w:val="Normal"/>
    <w:qFormat/>
    <w:rsid w:val="001D4E6E"/>
    <w:pPr>
      <w:tabs>
        <w:tab w:val="left" w:pos="720"/>
      </w:tabs>
      <w:spacing w:before="120" w:line="240" w:lineRule="auto"/>
      <w:ind w:left="1080" w:hanging="1080"/>
    </w:pPr>
  </w:style>
  <w:style w:type="paragraph" w:styleId="BalloonText">
    <w:name w:val="Balloon Text"/>
    <w:basedOn w:val="Normal"/>
    <w:link w:val="BalloonTextChar"/>
    <w:uiPriority w:val="99"/>
    <w:rsid w:val="00CC01B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rsid w:val="00CC01B8"/>
    <w:rPr>
      <w:rFonts w:ascii="Lucida Grande" w:hAnsi="Lucida Grande"/>
      <w:sz w:val="18"/>
      <w:szCs w:val="18"/>
      <w:lang w:bidi="en-US"/>
    </w:rPr>
  </w:style>
  <w:style w:type="table" w:customStyle="1" w:styleId="TableGrid7">
    <w:name w:val="Table Grid7"/>
    <w:basedOn w:val="TableNormal"/>
    <w:next w:val="TableGrid"/>
    <w:uiPriority w:val="59"/>
    <w:rsid w:val="003074A8"/>
    <w:pPr>
      <w:jc w:val="both"/>
    </w:pPr>
    <w:rPr>
      <w:rFonts w:ascii="Calibri" w:eastAsiaTheme="minorHAnsi" w:hAnsi="Calibri" w:cstheme="minorBidi"/>
      <w:sz w:val="24"/>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3074A8"/>
    <w:pPr>
      <w:spacing w:line="240" w:lineRule="auto"/>
      <w:jc w:val="center"/>
    </w:pPr>
    <w:rPr>
      <w:rFonts w:eastAsiaTheme="minorHAnsi"/>
      <w:bCs/>
      <w:szCs w:val="24"/>
      <w:lang w:val="en-GB" w:bidi="ar-SA"/>
    </w:rPr>
  </w:style>
  <w:style w:type="paragraph" w:styleId="FootnoteText">
    <w:name w:val="footnote text"/>
    <w:basedOn w:val="Normal"/>
    <w:link w:val="FootnoteTextChar"/>
    <w:uiPriority w:val="99"/>
    <w:unhideWhenUsed/>
    <w:rsid w:val="003074A8"/>
    <w:pPr>
      <w:spacing w:after="0" w:line="240" w:lineRule="auto"/>
    </w:pPr>
    <w:rPr>
      <w:rFonts w:asciiTheme="minorHAnsi" w:eastAsiaTheme="minorHAnsi" w:hAnsiTheme="minorHAnsi" w:cstheme="minorBidi"/>
      <w:sz w:val="20"/>
      <w:szCs w:val="20"/>
      <w:lang w:val="en-GB" w:bidi="ar-SA"/>
    </w:rPr>
  </w:style>
  <w:style w:type="character" w:customStyle="1" w:styleId="FootnoteTextChar">
    <w:name w:val="Footnote Text Char"/>
    <w:basedOn w:val="DefaultParagraphFont"/>
    <w:link w:val="FootnoteText"/>
    <w:uiPriority w:val="99"/>
    <w:rsid w:val="003074A8"/>
    <w:rPr>
      <w:rFonts w:asciiTheme="minorHAnsi" w:eastAsiaTheme="minorHAnsi" w:hAnsiTheme="minorHAnsi" w:cstheme="minorBidi"/>
      <w:lang w:val="en-GB"/>
    </w:rPr>
  </w:style>
  <w:style w:type="character" w:styleId="FootnoteReference">
    <w:name w:val="footnote reference"/>
    <w:basedOn w:val="DefaultParagraphFont"/>
    <w:unhideWhenUsed/>
    <w:rsid w:val="003074A8"/>
    <w:rPr>
      <w:vertAlign w:val="superscript"/>
    </w:rPr>
  </w:style>
  <w:style w:type="paragraph" w:styleId="ListParagraph">
    <w:name w:val="List Paragraph"/>
    <w:basedOn w:val="Normal"/>
    <w:uiPriority w:val="34"/>
    <w:qFormat/>
    <w:rsid w:val="003074A8"/>
    <w:pPr>
      <w:spacing w:after="0" w:line="240" w:lineRule="auto"/>
      <w:ind w:left="720"/>
      <w:contextualSpacing/>
    </w:pPr>
    <w:rPr>
      <w:rFonts w:asciiTheme="minorHAnsi" w:eastAsiaTheme="minorHAnsi" w:hAnsiTheme="minorHAnsi" w:cstheme="minorBidi"/>
      <w:sz w:val="22"/>
      <w:lang w:val="en-GB" w:bidi="ar-SA"/>
    </w:rPr>
  </w:style>
  <w:style w:type="table" w:customStyle="1" w:styleId="TableGrid1">
    <w:name w:val="Table Grid1"/>
    <w:basedOn w:val="TableNormal"/>
    <w:next w:val="TableGrid"/>
    <w:uiPriority w:val="59"/>
    <w:rsid w:val="005372B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72B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footnote text" w:uiPriority="99"/>
    <w:lsdException w:name="header" w:uiPriority="99"/>
    <w:lsdException w:name="footer" w:uiPriority="99"/>
    <w:lsdException w:name="caption" w:uiPriority="35" w:qFormat="1"/>
    <w:lsdException w:name="Hyperlink" w:uiPriority="99"/>
    <w:lsdException w:name="No List" w:uiPriority="99"/>
    <w:lsdException w:name="Balloon Text" w:uiPriority="99"/>
    <w:lsdException w:name="Table Grid" w:uiPriority="59"/>
    <w:lsdException w:name="List Paragraph" w:uiPriority="34" w:qFormat="1"/>
  </w:latentStyles>
  <w:style w:type="paragraph" w:default="1" w:styleId="Normal">
    <w:name w:val="Normal"/>
    <w:qFormat/>
    <w:rsid w:val="009859D4"/>
    <w:pPr>
      <w:spacing w:after="200" w:line="300" w:lineRule="auto"/>
    </w:pPr>
    <w:rPr>
      <w:rFonts w:ascii="Times New Roman" w:hAnsi="Times New Roman"/>
      <w:sz w:val="24"/>
      <w:szCs w:val="22"/>
      <w:lang w:bidi="en-US"/>
    </w:rPr>
  </w:style>
  <w:style w:type="paragraph" w:styleId="Heading1">
    <w:name w:val="heading 1"/>
    <w:basedOn w:val="Normal"/>
    <w:next w:val="Heading2"/>
    <w:link w:val="Heading1Char"/>
    <w:uiPriority w:val="9"/>
    <w:qFormat/>
    <w:rsid w:val="009859D4"/>
    <w:pPr>
      <w:spacing w:before="240" w:after="600" w:line="240" w:lineRule="auto"/>
      <w:contextualSpacing/>
      <w:jc w:val="center"/>
      <w:outlineLvl w:val="0"/>
    </w:pPr>
    <w:rPr>
      <w:rFonts w:ascii="Arial" w:hAnsi="Arial"/>
      <w:b/>
      <w:spacing w:val="5"/>
      <w:sz w:val="32"/>
      <w:szCs w:val="36"/>
      <w:lang w:val="en-GB"/>
    </w:rPr>
  </w:style>
  <w:style w:type="paragraph" w:styleId="Heading2">
    <w:name w:val="heading 2"/>
    <w:basedOn w:val="Normal"/>
    <w:next w:val="Normal"/>
    <w:link w:val="Heading2Char"/>
    <w:uiPriority w:val="9"/>
    <w:qFormat/>
    <w:rsid w:val="001D4E6E"/>
    <w:pPr>
      <w:spacing w:before="200" w:after="120" w:line="240" w:lineRule="auto"/>
      <w:outlineLvl w:val="1"/>
    </w:pPr>
    <w:rPr>
      <w:rFonts w:ascii="Arial" w:hAnsi="Arial"/>
      <w:b/>
      <w:szCs w:val="28"/>
    </w:rPr>
  </w:style>
  <w:style w:type="paragraph" w:styleId="Heading3">
    <w:name w:val="heading 3"/>
    <w:basedOn w:val="Normal"/>
    <w:next w:val="Normal"/>
    <w:link w:val="Heading3Char"/>
    <w:uiPriority w:val="9"/>
    <w:qFormat/>
    <w:rsid w:val="00C42B4D"/>
    <w:pPr>
      <w:spacing w:before="200" w:after="0" w:line="271" w:lineRule="auto"/>
      <w:outlineLvl w:val="2"/>
    </w:pPr>
    <w:rPr>
      <w:i/>
      <w:iCs/>
      <w:spacing w:val="5"/>
      <w:szCs w:val="26"/>
    </w:rPr>
  </w:style>
  <w:style w:type="paragraph" w:styleId="Heading4">
    <w:name w:val="heading 4"/>
    <w:basedOn w:val="Normal"/>
    <w:next w:val="Normal"/>
    <w:link w:val="Heading4Char"/>
    <w:uiPriority w:val="9"/>
    <w:qFormat/>
    <w:rsid w:val="007E5B6A"/>
    <w:pPr>
      <w:spacing w:after="0" w:line="271" w:lineRule="auto"/>
      <w:outlineLvl w:val="3"/>
    </w:pPr>
    <w:rPr>
      <w:b/>
      <w:bCs/>
      <w:spacing w:val="5"/>
      <w:szCs w:val="24"/>
    </w:rPr>
  </w:style>
  <w:style w:type="paragraph" w:styleId="Heading5">
    <w:name w:val="heading 5"/>
    <w:basedOn w:val="Normal"/>
    <w:next w:val="Normal"/>
    <w:link w:val="Heading5Char"/>
    <w:uiPriority w:val="9"/>
    <w:qFormat/>
    <w:rsid w:val="007E5B6A"/>
    <w:pPr>
      <w:spacing w:after="0" w:line="271" w:lineRule="auto"/>
      <w:outlineLvl w:val="4"/>
    </w:pPr>
    <w:rPr>
      <w:i/>
      <w:iCs/>
      <w:szCs w:val="24"/>
    </w:rPr>
  </w:style>
  <w:style w:type="paragraph" w:styleId="Heading6">
    <w:name w:val="heading 6"/>
    <w:basedOn w:val="Normal"/>
    <w:next w:val="Normal"/>
    <w:link w:val="Heading6Char"/>
    <w:uiPriority w:val="9"/>
    <w:qFormat/>
    <w:rsid w:val="007E5B6A"/>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qFormat/>
    <w:rsid w:val="007E5B6A"/>
    <w:pPr>
      <w:spacing w:after="0"/>
      <w:outlineLvl w:val="6"/>
    </w:pPr>
    <w:rPr>
      <w:b/>
      <w:bCs/>
      <w:i/>
      <w:iCs/>
      <w:color w:val="5A5A5A"/>
      <w:sz w:val="20"/>
      <w:szCs w:val="20"/>
    </w:rPr>
  </w:style>
  <w:style w:type="paragraph" w:styleId="Heading8">
    <w:name w:val="heading 8"/>
    <w:basedOn w:val="Normal"/>
    <w:next w:val="Normal"/>
    <w:link w:val="Heading8Char"/>
    <w:uiPriority w:val="9"/>
    <w:qFormat/>
    <w:rsid w:val="007E5B6A"/>
    <w:pPr>
      <w:spacing w:after="0"/>
      <w:outlineLvl w:val="7"/>
    </w:pPr>
    <w:rPr>
      <w:b/>
      <w:bCs/>
      <w:color w:val="7F7F7F"/>
      <w:sz w:val="20"/>
      <w:szCs w:val="20"/>
    </w:rPr>
  </w:style>
  <w:style w:type="paragraph" w:styleId="Heading9">
    <w:name w:val="heading 9"/>
    <w:basedOn w:val="Normal"/>
    <w:next w:val="Normal"/>
    <w:link w:val="Heading9Char"/>
    <w:uiPriority w:val="9"/>
    <w:qFormat/>
    <w:rsid w:val="007E5B6A"/>
    <w:pPr>
      <w:spacing w:after="0" w:line="271" w:lineRule="auto"/>
      <w:outlineLvl w:val="8"/>
    </w:pPr>
    <w:rPr>
      <w:b/>
      <w:bCs/>
      <w:i/>
      <w:iCs/>
      <w:color w:val="7F7F7F"/>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4E6E"/>
    <w:rPr>
      <w:rFonts w:ascii="Arial" w:hAnsi="Arial"/>
      <w:b/>
      <w:sz w:val="24"/>
      <w:szCs w:val="28"/>
      <w:lang w:val="en-US" w:eastAsia="en-US" w:bidi="en-US"/>
    </w:rPr>
  </w:style>
  <w:style w:type="character" w:customStyle="1" w:styleId="Heading1Char">
    <w:name w:val="Heading 1 Char"/>
    <w:basedOn w:val="DefaultParagraphFont"/>
    <w:link w:val="Heading1"/>
    <w:uiPriority w:val="9"/>
    <w:rsid w:val="009859D4"/>
    <w:rPr>
      <w:rFonts w:ascii="Arial" w:hAnsi="Arial"/>
      <w:b/>
      <w:spacing w:val="5"/>
      <w:sz w:val="32"/>
      <w:szCs w:val="36"/>
      <w:lang w:eastAsia="en-US" w:bidi="en-US"/>
    </w:rPr>
  </w:style>
  <w:style w:type="character" w:customStyle="1" w:styleId="Heading3Char">
    <w:name w:val="Heading 3 Char"/>
    <w:basedOn w:val="DefaultParagraphFont"/>
    <w:link w:val="Heading3"/>
    <w:uiPriority w:val="9"/>
    <w:rsid w:val="00C42B4D"/>
    <w:rPr>
      <w:rFonts w:ascii="Times New Roman" w:hAnsi="Times New Roman"/>
      <w:i/>
      <w:iCs/>
      <w:spacing w:val="5"/>
      <w:sz w:val="24"/>
      <w:szCs w:val="26"/>
      <w:lang w:val="en-US" w:eastAsia="en-US" w:bidi="en-US"/>
    </w:rPr>
  </w:style>
  <w:style w:type="character" w:customStyle="1" w:styleId="Heading4Char">
    <w:name w:val="Heading 4 Char"/>
    <w:basedOn w:val="DefaultParagraphFont"/>
    <w:link w:val="Heading4"/>
    <w:uiPriority w:val="9"/>
    <w:semiHidden/>
    <w:rsid w:val="007E5B6A"/>
    <w:rPr>
      <w:b/>
      <w:bCs/>
      <w:spacing w:val="5"/>
      <w:sz w:val="24"/>
      <w:szCs w:val="24"/>
    </w:rPr>
  </w:style>
  <w:style w:type="character" w:customStyle="1" w:styleId="Heading5Char">
    <w:name w:val="Heading 5 Char"/>
    <w:basedOn w:val="DefaultParagraphFont"/>
    <w:link w:val="Heading5"/>
    <w:uiPriority w:val="9"/>
    <w:semiHidden/>
    <w:rsid w:val="007E5B6A"/>
    <w:rPr>
      <w:i/>
      <w:iCs/>
      <w:sz w:val="24"/>
      <w:szCs w:val="24"/>
    </w:rPr>
  </w:style>
  <w:style w:type="character" w:customStyle="1" w:styleId="Heading6Char">
    <w:name w:val="Heading 6 Char"/>
    <w:basedOn w:val="DefaultParagraphFont"/>
    <w:link w:val="Heading6"/>
    <w:uiPriority w:val="9"/>
    <w:semiHidden/>
    <w:rsid w:val="007E5B6A"/>
    <w:rPr>
      <w:b/>
      <w:bCs/>
      <w:color w:val="595959"/>
      <w:spacing w:val="5"/>
      <w:shd w:val="clear" w:color="auto" w:fill="FFFFFF"/>
    </w:rPr>
  </w:style>
  <w:style w:type="character" w:customStyle="1" w:styleId="Heading7Char">
    <w:name w:val="Heading 7 Char"/>
    <w:basedOn w:val="DefaultParagraphFont"/>
    <w:link w:val="Heading7"/>
    <w:uiPriority w:val="9"/>
    <w:semiHidden/>
    <w:rsid w:val="007E5B6A"/>
    <w:rPr>
      <w:b/>
      <w:bCs/>
      <w:i/>
      <w:iCs/>
      <w:color w:val="5A5A5A"/>
      <w:sz w:val="20"/>
      <w:szCs w:val="20"/>
    </w:rPr>
  </w:style>
  <w:style w:type="character" w:customStyle="1" w:styleId="Heading8Char">
    <w:name w:val="Heading 8 Char"/>
    <w:basedOn w:val="DefaultParagraphFont"/>
    <w:link w:val="Heading8"/>
    <w:uiPriority w:val="9"/>
    <w:semiHidden/>
    <w:rsid w:val="007E5B6A"/>
    <w:rPr>
      <w:b/>
      <w:bCs/>
      <w:color w:val="7F7F7F"/>
      <w:sz w:val="20"/>
      <w:szCs w:val="20"/>
    </w:rPr>
  </w:style>
  <w:style w:type="character" w:customStyle="1" w:styleId="Heading9Char">
    <w:name w:val="Heading 9 Char"/>
    <w:basedOn w:val="DefaultParagraphFont"/>
    <w:link w:val="Heading9"/>
    <w:uiPriority w:val="9"/>
    <w:semiHidden/>
    <w:rsid w:val="007E5B6A"/>
    <w:rPr>
      <w:b/>
      <w:bCs/>
      <w:i/>
      <w:iCs/>
      <w:color w:val="7F7F7F"/>
      <w:sz w:val="18"/>
      <w:szCs w:val="18"/>
    </w:rPr>
  </w:style>
  <w:style w:type="paragraph" w:styleId="Quote">
    <w:name w:val="Quote"/>
    <w:basedOn w:val="Normal"/>
    <w:next w:val="Normal"/>
    <w:link w:val="QuoteChar"/>
    <w:uiPriority w:val="29"/>
    <w:qFormat/>
    <w:rsid w:val="007E5B6A"/>
    <w:rPr>
      <w:i/>
      <w:iCs/>
    </w:rPr>
  </w:style>
  <w:style w:type="character" w:customStyle="1" w:styleId="QuoteChar">
    <w:name w:val="Quote Char"/>
    <w:basedOn w:val="DefaultParagraphFont"/>
    <w:link w:val="Quote"/>
    <w:uiPriority w:val="29"/>
    <w:rsid w:val="007E5B6A"/>
    <w:rPr>
      <w:i/>
      <w:iCs/>
    </w:rPr>
  </w:style>
  <w:style w:type="paragraph" w:styleId="TOCHeading">
    <w:name w:val="TOC Heading"/>
    <w:basedOn w:val="Heading1"/>
    <w:next w:val="Normal"/>
    <w:uiPriority w:val="39"/>
    <w:qFormat/>
    <w:rsid w:val="007E5B6A"/>
    <w:pPr>
      <w:outlineLvl w:val="9"/>
    </w:pPr>
  </w:style>
  <w:style w:type="paragraph" w:styleId="Header">
    <w:name w:val="header"/>
    <w:basedOn w:val="Normal"/>
    <w:link w:val="HeaderChar"/>
    <w:uiPriority w:val="99"/>
    <w:unhideWhenUsed/>
    <w:rsid w:val="00F67A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67A39"/>
  </w:style>
  <w:style w:type="paragraph" w:styleId="Footer">
    <w:name w:val="footer"/>
    <w:basedOn w:val="Normal"/>
    <w:link w:val="FooterChar"/>
    <w:uiPriority w:val="99"/>
    <w:unhideWhenUsed/>
    <w:rsid w:val="00F67A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7A39"/>
  </w:style>
  <w:style w:type="paragraph" w:customStyle="1" w:styleId="References">
    <w:name w:val="References"/>
    <w:basedOn w:val="Normal"/>
    <w:link w:val="ReferencesChar"/>
    <w:qFormat/>
    <w:rsid w:val="007041BD"/>
    <w:pPr>
      <w:jc w:val="both"/>
    </w:pPr>
    <w:rPr>
      <w:lang w:val="en-GB"/>
    </w:rPr>
  </w:style>
  <w:style w:type="character" w:customStyle="1" w:styleId="ReferencesChar">
    <w:name w:val="References Char"/>
    <w:basedOn w:val="DefaultParagraphFont"/>
    <w:link w:val="References"/>
    <w:rsid w:val="007041BD"/>
    <w:rPr>
      <w:sz w:val="24"/>
      <w:szCs w:val="22"/>
      <w:lang w:val="en-GB" w:eastAsia="en-US" w:bidi="en-US"/>
    </w:rPr>
  </w:style>
  <w:style w:type="character" w:styleId="Hyperlink">
    <w:name w:val="Hyperlink"/>
    <w:basedOn w:val="DefaultParagraphFont"/>
    <w:uiPriority w:val="99"/>
    <w:rsid w:val="007041BD"/>
    <w:rPr>
      <w:color w:val="0000FF"/>
      <w:u w:val="single"/>
    </w:rPr>
  </w:style>
  <w:style w:type="character" w:styleId="FollowedHyperlink">
    <w:name w:val="FollowedHyperlink"/>
    <w:basedOn w:val="DefaultParagraphFont"/>
    <w:rsid w:val="009859D4"/>
    <w:rPr>
      <w:rFonts w:ascii="Times New Roman" w:hAnsi="Times New Roman"/>
      <w:color w:val="800080"/>
      <w:u w:val="single"/>
    </w:rPr>
  </w:style>
  <w:style w:type="table" w:styleId="TableGrid">
    <w:name w:val="Table Grid"/>
    <w:basedOn w:val="TableNormal"/>
    <w:uiPriority w:val="59"/>
    <w:rsid w:val="00F740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
    <w:name w:val="Author"/>
    <w:basedOn w:val="Normal"/>
    <w:qFormat/>
    <w:rsid w:val="001D4E6E"/>
    <w:rPr>
      <w:rFonts w:ascii="Arial" w:hAnsi="Arial"/>
      <w:i/>
      <w:sz w:val="28"/>
      <w:szCs w:val="24"/>
      <w:lang w:val="en-GB"/>
    </w:rPr>
  </w:style>
  <w:style w:type="paragraph" w:customStyle="1" w:styleId="TableFigureHeading">
    <w:name w:val="Table Figure Heading"/>
    <w:basedOn w:val="Normal"/>
    <w:qFormat/>
    <w:rsid w:val="004B3F81"/>
    <w:pPr>
      <w:keepNext/>
      <w:jc w:val="center"/>
    </w:pPr>
    <w:rPr>
      <w:b/>
      <w:lang w:val="en-GB"/>
    </w:rPr>
  </w:style>
  <w:style w:type="paragraph" w:customStyle="1" w:styleId="Source">
    <w:name w:val="Source"/>
    <w:basedOn w:val="Normal"/>
    <w:qFormat/>
    <w:rsid w:val="001D4E6E"/>
    <w:pPr>
      <w:tabs>
        <w:tab w:val="left" w:pos="720"/>
      </w:tabs>
      <w:spacing w:before="120" w:line="240" w:lineRule="auto"/>
      <w:ind w:left="1080" w:hanging="1080"/>
    </w:pPr>
  </w:style>
  <w:style w:type="paragraph" w:styleId="BalloonText">
    <w:name w:val="Balloon Text"/>
    <w:basedOn w:val="Normal"/>
    <w:link w:val="BalloonTextChar"/>
    <w:uiPriority w:val="99"/>
    <w:rsid w:val="00CC01B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rsid w:val="00CC01B8"/>
    <w:rPr>
      <w:rFonts w:ascii="Lucida Grande" w:hAnsi="Lucida Grande"/>
      <w:sz w:val="18"/>
      <w:szCs w:val="18"/>
      <w:lang w:bidi="en-US"/>
    </w:rPr>
  </w:style>
  <w:style w:type="table" w:customStyle="1" w:styleId="TableGrid7">
    <w:name w:val="Table Grid7"/>
    <w:basedOn w:val="TableNormal"/>
    <w:next w:val="TableGrid"/>
    <w:uiPriority w:val="59"/>
    <w:rsid w:val="003074A8"/>
    <w:pPr>
      <w:jc w:val="both"/>
    </w:pPr>
    <w:rPr>
      <w:rFonts w:ascii="Calibri" w:eastAsiaTheme="minorHAnsi" w:hAnsi="Calibri" w:cstheme="minorBidi"/>
      <w:sz w:val="24"/>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3074A8"/>
    <w:pPr>
      <w:spacing w:line="240" w:lineRule="auto"/>
      <w:jc w:val="center"/>
    </w:pPr>
    <w:rPr>
      <w:rFonts w:eastAsiaTheme="minorHAnsi"/>
      <w:bCs/>
      <w:szCs w:val="24"/>
      <w:lang w:val="en-GB" w:bidi="ar-SA"/>
    </w:rPr>
  </w:style>
  <w:style w:type="paragraph" w:styleId="FootnoteText">
    <w:name w:val="footnote text"/>
    <w:basedOn w:val="Normal"/>
    <w:link w:val="FootnoteTextChar"/>
    <w:uiPriority w:val="99"/>
    <w:unhideWhenUsed/>
    <w:rsid w:val="003074A8"/>
    <w:pPr>
      <w:spacing w:after="0" w:line="240" w:lineRule="auto"/>
    </w:pPr>
    <w:rPr>
      <w:rFonts w:asciiTheme="minorHAnsi" w:eastAsiaTheme="minorHAnsi" w:hAnsiTheme="minorHAnsi" w:cstheme="minorBidi"/>
      <w:sz w:val="20"/>
      <w:szCs w:val="20"/>
      <w:lang w:val="en-GB" w:bidi="ar-SA"/>
    </w:rPr>
  </w:style>
  <w:style w:type="character" w:customStyle="1" w:styleId="FootnoteTextChar">
    <w:name w:val="Footnote Text Char"/>
    <w:basedOn w:val="DefaultParagraphFont"/>
    <w:link w:val="FootnoteText"/>
    <w:uiPriority w:val="99"/>
    <w:rsid w:val="003074A8"/>
    <w:rPr>
      <w:rFonts w:asciiTheme="minorHAnsi" w:eastAsiaTheme="minorHAnsi" w:hAnsiTheme="minorHAnsi" w:cstheme="minorBidi"/>
      <w:lang w:val="en-GB"/>
    </w:rPr>
  </w:style>
  <w:style w:type="character" w:styleId="FootnoteReference">
    <w:name w:val="footnote reference"/>
    <w:basedOn w:val="DefaultParagraphFont"/>
    <w:unhideWhenUsed/>
    <w:rsid w:val="003074A8"/>
    <w:rPr>
      <w:vertAlign w:val="superscript"/>
    </w:rPr>
  </w:style>
  <w:style w:type="paragraph" w:styleId="ListParagraph">
    <w:name w:val="List Paragraph"/>
    <w:basedOn w:val="Normal"/>
    <w:uiPriority w:val="34"/>
    <w:qFormat/>
    <w:rsid w:val="003074A8"/>
    <w:pPr>
      <w:spacing w:after="0" w:line="240" w:lineRule="auto"/>
      <w:ind w:left="720"/>
      <w:contextualSpacing/>
    </w:pPr>
    <w:rPr>
      <w:rFonts w:asciiTheme="minorHAnsi" w:eastAsiaTheme="minorHAnsi" w:hAnsiTheme="minorHAnsi" w:cstheme="minorBidi"/>
      <w:sz w:val="22"/>
      <w:lang w:val="en-GB" w:bidi="ar-SA"/>
    </w:rPr>
  </w:style>
  <w:style w:type="table" w:customStyle="1" w:styleId="TableGrid1">
    <w:name w:val="Table Grid1"/>
    <w:basedOn w:val="TableNormal"/>
    <w:next w:val="TableGrid"/>
    <w:uiPriority w:val="59"/>
    <w:rsid w:val="005372B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72B1"/>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8.xml"/><Relationship Id="rId3" Type="http://schemas.microsoft.com/office/2007/relationships/stylesWithEffects" Target="stylesWithEffects.xml"/><Relationship Id="rId21" Type="http://schemas.openxmlformats.org/officeDocument/2006/relationships/hyperlink" Target="http://www.lloydslist.com/ll/sector/containers/article417648.ece"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www.lloydslist.com/ll/sector/containers/article453031.ec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lloydslist.com/ll/sector/containers/article415596.ece" TargetMode="External"/><Relationship Id="rId10" Type="http://schemas.openxmlformats.org/officeDocument/2006/relationships/chart" Target="charts/chart3.xml"/><Relationship Id="rId19" Type="http://schemas.openxmlformats.org/officeDocument/2006/relationships/hyperlink" Target="http://www.lloydslist.com/ll/sector/containers/article456093.ece"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 Id="rId22" Type="http://schemas.openxmlformats.org/officeDocument/2006/relationships/hyperlink" Target="http://www.lloydslist.com/ll/sector/containers/article457672.e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[Port analysis.xlsx]Pivot!PivotTable1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s>
    <c:plotArea>
      <c:layout/>
      <c:barChart>
        <c:barDir val="col"/>
        <c:grouping val="stacked"/>
        <c:varyColors val="0"/>
        <c:ser>
          <c:idx val="0"/>
          <c:order val="0"/>
          <c:tx>
            <c:strRef>
              <c:f>Pivot!$B$3</c:f>
              <c:strCache>
                <c:ptCount val="1"/>
                <c:pt idx="0">
                  <c:v>Total</c:v>
                </c:pt>
              </c:strCache>
            </c:strRef>
          </c:tx>
          <c:invertIfNegative val="0"/>
          <c:cat>
            <c:strRef>
              <c:f>Pivot!$A$4:$A$17</c:f>
              <c:strCache>
                <c:ptCount val="13"/>
                <c:pt idx="0">
                  <c:v>1.8-3.0</c:v>
                </c:pt>
                <c:pt idx="1">
                  <c:v>3.4-4.6</c:v>
                </c:pt>
                <c:pt idx="2">
                  <c:v>4.9-6.1</c:v>
                </c:pt>
                <c:pt idx="3">
                  <c:v>6.4-7.6</c:v>
                </c:pt>
                <c:pt idx="4">
                  <c:v>7.9-9.1</c:v>
                </c:pt>
                <c:pt idx="5">
                  <c:v>9.4-10.7</c:v>
                </c:pt>
                <c:pt idx="6">
                  <c:v>11.0-12.2</c:v>
                </c:pt>
                <c:pt idx="7">
                  <c:v>12.5-13.7</c:v>
                </c:pt>
                <c:pt idx="8">
                  <c:v>14.0-15.2</c:v>
                </c:pt>
                <c:pt idx="9">
                  <c:v>15.5-16.8</c:v>
                </c:pt>
                <c:pt idx="10">
                  <c:v>17.1-18.2</c:v>
                </c:pt>
                <c:pt idx="11">
                  <c:v>20.1-21.3</c:v>
                </c:pt>
                <c:pt idx="12">
                  <c:v>21.6-22.9</c:v>
                </c:pt>
              </c:strCache>
            </c:strRef>
          </c:cat>
          <c:val>
            <c:numRef>
              <c:f>Pivot!$B$4:$B$17</c:f>
              <c:numCache>
                <c:formatCode>General</c:formatCode>
                <c:ptCount val="13"/>
                <c:pt idx="0">
                  <c:v>1</c:v>
                </c:pt>
                <c:pt idx="1">
                  <c:v>4</c:v>
                </c:pt>
                <c:pt idx="2">
                  <c:v>9</c:v>
                </c:pt>
                <c:pt idx="3">
                  <c:v>15</c:v>
                </c:pt>
                <c:pt idx="4">
                  <c:v>61</c:v>
                </c:pt>
                <c:pt idx="5">
                  <c:v>79</c:v>
                </c:pt>
                <c:pt idx="6">
                  <c:v>92</c:v>
                </c:pt>
                <c:pt idx="7">
                  <c:v>46</c:v>
                </c:pt>
                <c:pt idx="8">
                  <c:v>64</c:v>
                </c:pt>
                <c:pt idx="9">
                  <c:v>32</c:v>
                </c:pt>
                <c:pt idx="10">
                  <c:v>15</c:v>
                </c:pt>
                <c:pt idx="11">
                  <c:v>1</c:v>
                </c:pt>
                <c:pt idx="12">
                  <c:v>1</c:v>
                </c:pt>
              </c:numCache>
            </c:numRef>
          </c:val>
        </c:ser>
        <c:dLbls>
          <c:showLegendKey val="0"/>
          <c:showVal val="0"/>
          <c:showCatName val="0"/>
          <c:showSerName val="0"/>
          <c:showPercent val="0"/>
          <c:showBubbleSize val="0"/>
        </c:dLbls>
        <c:gapWidth val="54"/>
        <c:overlap val="100"/>
        <c:axId val="190148608"/>
        <c:axId val="193252352"/>
      </c:barChart>
      <c:catAx>
        <c:axId val="190148608"/>
        <c:scaling>
          <c:orientation val="minMax"/>
        </c:scaling>
        <c:delete val="0"/>
        <c:axPos val="b"/>
        <c:title>
          <c:tx>
            <c:rich>
              <a:bodyPr/>
              <a:lstStyle/>
              <a:p>
                <a:pPr>
                  <a:defRPr/>
                </a:pPr>
                <a:r>
                  <a:rPr lang="en-GB" b="0"/>
                  <a:t>Berth depth (m)</a:t>
                </a:r>
              </a:p>
            </c:rich>
          </c:tx>
          <c:overlay val="0"/>
        </c:title>
        <c:majorTickMark val="out"/>
        <c:minorTickMark val="none"/>
        <c:tickLblPos val="nextTo"/>
        <c:crossAx val="193252352"/>
        <c:crosses val="autoZero"/>
        <c:auto val="1"/>
        <c:lblAlgn val="ctr"/>
        <c:lblOffset val="100"/>
        <c:noMultiLvlLbl val="0"/>
      </c:catAx>
      <c:valAx>
        <c:axId val="193252352"/>
        <c:scaling>
          <c:orientation val="minMax"/>
        </c:scaling>
        <c:delete val="0"/>
        <c:axPos val="l"/>
        <c:majorGridlines/>
        <c:title>
          <c:tx>
            <c:rich>
              <a:bodyPr rot="-5400000" vert="horz"/>
              <a:lstStyle/>
              <a:p>
                <a:pPr>
                  <a:defRPr/>
                </a:pPr>
                <a:r>
                  <a:rPr lang="en-GB" b="0"/>
                  <a:t>Number of ports</a:t>
                </a:r>
              </a:p>
            </c:rich>
          </c:tx>
          <c:overlay val="0"/>
        </c:title>
        <c:numFmt formatCode="General" sourceLinked="1"/>
        <c:majorTickMark val="out"/>
        <c:minorTickMark val="none"/>
        <c:tickLblPos val="nextTo"/>
        <c:crossAx val="190148608"/>
        <c:crosses val="autoZero"/>
        <c:crossBetween val="between"/>
      </c:valAx>
    </c:plotArea>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[Port analysis.xlsx]Pivot!PivotTable1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s>
    <c:plotArea>
      <c:layout/>
      <c:barChart>
        <c:barDir val="col"/>
        <c:grouping val="clustered"/>
        <c:varyColors val="0"/>
        <c:ser>
          <c:idx val="0"/>
          <c:order val="0"/>
          <c:tx>
            <c:strRef>
              <c:f>Pivot!$B$3</c:f>
              <c:strCache>
                <c:ptCount val="1"/>
                <c:pt idx="0">
                  <c:v>Total</c:v>
                </c:pt>
              </c:strCache>
            </c:strRef>
          </c:tx>
          <c:invertIfNegative val="0"/>
          <c:cat>
            <c:strRef>
              <c:f>Pivot!$A$4:$A$19</c:f>
              <c:strCache>
                <c:ptCount val="15"/>
                <c:pt idx="0">
                  <c:v>1.8-3.0</c:v>
                </c:pt>
                <c:pt idx="1">
                  <c:v>3.4-4.6</c:v>
                </c:pt>
                <c:pt idx="2">
                  <c:v>4.9-6.1</c:v>
                </c:pt>
                <c:pt idx="3">
                  <c:v>6.4-7.6</c:v>
                </c:pt>
                <c:pt idx="4">
                  <c:v>7.9-9.1</c:v>
                </c:pt>
                <c:pt idx="5">
                  <c:v>9.4-10.7</c:v>
                </c:pt>
                <c:pt idx="6">
                  <c:v>11.0-12.2</c:v>
                </c:pt>
                <c:pt idx="7">
                  <c:v>12.5-13.7</c:v>
                </c:pt>
                <c:pt idx="8">
                  <c:v>14.0-15.2</c:v>
                </c:pt>
                <c:pt idx="9">
                  <c:v>15.5-16.8</c:v>
                </c:pt>
                <c:pt idx="10">
                  <c:v>17.1-18.2</c:v>
                </c:pt>
                <c:pt idx="11">
                  <c:v>18.6-19.8</c:v>
                </c:pt>
                <c:pt idx="12">
                  <c:v>20.1-21.3</c:v>
                </c:pt>
                <c:pt idx="13">
                  <c:v>21.6-22.9</c:v>
                </c:pt>
                <c:pt idx="14">
                  <c:v>23.2+</c:v>
                </c:pt>
              </c:strCache>
            </c:strRef>
          </c:cat>
          <c:val>
            <c:numRef>
              <c:f>Pivot!$B$4:$B$19</c:f>
              <c:numCache>
                <c:formatCode>General</c:formatCode>
                <c:ptCount val="15"/>
                <c:pt idx="0">
                  <c:v>1</c:v>
                </c:pt>
                <c:pt idx="1">
                  <c:v>5</c:v>
                </c:pt>
                <c:pt idx="2">
                  <c:v>11</c:v>
                </c:pt>
                <c:pt idx="3">
                  <c:v>19</c:v>
                </c:pt>
                <c:pt idx="4">
                  <c:v>45</c:v>
                </c:pt>
                <c:pt idx="5">
                  <c:v>59</c:v>
                </c:pt>
                <c:pt idx="6">
                  <c:v>64</c:v>
                </c:pt>
                <c:pt idx="7">
                  <c:v>52</c:v>
                </c:pt>
                <c:pt idx="8">
                  <c:v>44</c:v>
                </c:pt>
                <c:pt idx="9">
                  <c:v>21</c:v>
                </c:pt>
                <c:pt idx="10">
                  <c:v>12</c:v>
                </c:pt>
                <c:pt idx="11">
                  <c:v>4</c:v>
                </c:pt>
                <c:pt idx="12">
                  <c:v>4</c:v>
                </c:pt>
                <c:pt idx="13">
                  <c:v>8</c:v>
                </c:pt>
                <c:pt idx="14">
                  <c:v>19</c:v>
                </c:pt>
              </c:numCache>
            </c:numRef>
          </c:val>
        </c:ser>
        <c:dLbls>
          <c:showLegendKey val="0"/>
          <c:showVal val="0"/>
          <c:showCatName val="0"/>
          <c:showSerName val="0"/>
          <c:showPercent val="0"/>
          <c:showBubbleSize val="0"/>
        </c:dLbls>
        <c:gapWidth val="54"/>
        <c:axId val="193217664"/>
        <c:axId val="193219584"/>
      </c:barChart>
      <c:catAx>
        <c:axId val="193217664"/>
        <c:scaling>
          <c:orientation val="minMax"/>
        </c:scaling>
        <c:delete val="0"/>
        <c:axPos val="b"/>
        <c:title>
          <c:tx>
            <c:rich>
              <a:bodyPr/>
              <a:lstStyle/>
              <a:p>
                <a:pPr>
                  <a:defRPr/>
                </a:pPr>
                <a:r>
                  <a:rPr lang="en-GB" b="0"/>
                  <a:t>Channel</a:t>
                </a:r>
                <a:r>
                  <a:rPr lang="en-GB" b="0" baseline="0"/>
                  <a:t> depth (m)</a:t>
                </a:r>
                <a:endParaRPr lang="en-GB" b="0"/>
              </a:p>
            </c:rich>
          </c:tx>
          <c:overlay val="0"/>
        </c:title>
        <c:majorTickMark val="out"/>
        <c:minorTickMark val="none"/>
        <c:tickLblPos val="nextTo"/>
        <c:crossAx val="193219584"/>
        <c:crosses val="autoZero"/>
        <c:auto val="1"/>
        <c:lblAlgn val="ctr"/>
        <c:lblOffset val="100"/>
        <c:noMultiLvlLbl val="0"/>
      </c:catAx>
      <c:valAx>
        <c:axId val="193219584"/>
        <c:scaling>
          <c:orientation val="minMax"/>
        </c:scaling>
        <c:delete val="0"/>
        <c:axPos val="l"/>
        <c:majorGridlines/>
        <c:title>
          <c:tx>
            <c:rich>
              <a:bodyPr rot="-5400000" vert="horz"/>
              <a:lstStyle/>
              <a:p>
                <a:pPr>
                  <a:defRPr/>
                </a:pPr>
                <a:r>
                  <a:rPr lang="en-GB" b="0"/>
                  <a:t>Number of ports</a:t>
                </a:r>
              </a:p>
            </c:rich>
          </c:tx>
          <c:overlay val="0"/>
        </c:title>
        <c:numFmt formatCode="General" sourceLinked="1"/>
        <c:majorTickMark val="out"/>
        <c:minorTickMark val="none"/>
        <c:tickLblPos val="nextTo"/>
        <c:crossAx val="193217664"/>
        <c:crosses val="autoZero"/>
        <c:crossBetween val="between"/>
      </c:valAx>
    </c:plotArea>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[Vessel analysis.xlsx]Sheet6!PivotTable4</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barChart>
        <c:barDir val="col"/>
        <c:grouping val="stacked"/>
        <c:varyColors val="0"/>
        <c:ser>
          <c:idx val="0"/>
          <c:order val="0"/>
          <c:tx>
            <c:strRef>
              <c:f>Sheet6!$B$3:$B$4</c:f>
              <c:strCache>
                <c:ptCount val="1"/>
                <c:pt idx="0">
                  <c:v>0-499</c:v>
                </c:pt>
              </c:strCache>
            </c:strRef>
          </c:tx>
          <c:invertIfNegative val="0"/>
          <c:cat>
            <c:strRef>
              <c:f>Sheet6!$A$5:$A$14</c:f>
              <c:strCache>
                <c:ptCount val="9"/>
                <c:pt idx="0">
                  <c:v>2-3</c:v>
                </c:pt>
                <c:pt idx="1">
                  <c:v>3-4</c:v>
                </c:pt>
                <c:pt idx="2">
                  <c:v>4-5</c:v>
                </c:pt>
                <c:pt idx="3">
                  <c:v>5-6</c:v>
                </c:pt>
                <c:pt idx="4">
                  <c:v>6-7</c:v>
                </c:pt>
                <c:pt idx="5">
                  <c:v>7-8</c:v>
                </c:pt>
                <c:pt idx="6">
                  <c:v>8-9</c:v>
                </c:pt>
                <c:pt idx="7">
                  <c:v>9-10</c:v>
                </c:pt>
                <c:pt idx="8">
                  <c:v>11-12</c:v>
                </c:pt>
              </c:strCache>
            </c:strRef>
          </c:cat>
          <c:val>
            <c:numRef>
              <c:f>Sheet6!$B$5:$B$14</c:f>
              <c:numCache>
                <c:formatCode>General</c:formatCode>
                <c:ptCount val="9"/>
                <c:pt idx="0">
                  <c:v>1</c:v>
                </c:pt>
                <c:pt idx="1">
                  <c:v>10</c:v>
                </c:pt>
                <c:pt idx="2">
                  <c:v>36</c:v>
                </c:pt>
                <c:pt idx="3">
                  <c:v>28</c:v>
                </c:pt>
                <c:pt idx="4">
                  <c:v>92</c:v>
                </c:pt>
                <c:pt idx="5">
                  <c:v>4</c:v>
                </c:pt>
                <c:pt idx="6">
                  <c:v>5</c:v>
                </c:pt>
              </c:numCache>
            </c:numRef>
          </c:val>
        </c:ser>
        <c:ser>
          <c:idx val="1"/>
          <c:order val="1"/>
          <c:tx>
            <c:strRef>
              <c:f>Sheet6!$C$3:$C$4</c:f>
              <c:strCache>
                <c:ptCount val="1"/>
                <c:pt idx="0">
                  <c:v>500-999</c:v>
                </c:pt>
              </c:strCache>
            </c:strRef>
          </c:tx>
          <c:invertIfNegative val="0"/>
          <c:cat>
            <c:strRef>
              <c:f>Sheet6!$A$5:$A$14</c:f>
              <c:strCache>
                <c:ptCount val="9"/>
                <c:pt idx="0">
                  <c:v>2-3</c:v>
                </c:pt>
                <c:pt idx="1">
                  <c:v>3-4</c:v>
                </c:pt>
                <c:pt idx="2">
                  <c:v>4-5</c:v>
                </c:pt>
                <c:pt idx="3">
                  <c:v>5-6</c:v>
                </c:pt>
                <c:pt idx="4">
                  <c:v>6-7</c:v>
                </c:pt>
                <c:pt idx="5">
                  <c:v>7-8</c:v>
                </c:pt>
                <c:pt idx="6">
                  <c:v>8-9</c:v>
                </c:pt>
                <c:pt idx="7">
                  <c:v>9-10</c:v>
                </c:pt>
                <c:pt idx="8">
                  <c:v>11-12</c:v>
                </c:pt>
              </c:strCache>
            </c:strRef>
          </c:cat>
          <c:val>
            <c:numRef>
              <c:f>Sheet6!$C$5:$C$14</c:f>
              <c:numCache>
                <c:formatCode>General</c:formatCode>
                <c:ptCount val="9"/>
                <c:pt idx="2">
                  <c:v>1</c:v>
                </c:pt>
                <c:pt idx="3">
                  <c:v>11</c:v>
                </c:pt>
                <c:pt idx="4">
                  <c:v>76</c:v>
                </c:pt>
                <c:pt idx="5">
                  <c:v>279</c:v>
                </c:pt>
                <c:pt idx="6">
                  <c:v>231</c:v>
                </c:pt>
                <c:pt idx="7">
                  <c:v>10</c:v>
                </c:pt>
                <c:pt idx="8">
                  <c:v>1</c:v>
                </c:pt>
              </c:numCache>
            </c:numRef>
          </c:val>
        </c:ser>
        <c:dLbls>
          <c:showLegendKey val="0"/>
          <c:showVal val="0"/>
          <c:showCatName val="0"/>
          <c:showSerName val="0"/>
          <c:showPercent val="0"/>
          <c:showBubbleSize val="0"/>
        </c:dLbls>
        <c:gapWidth val="41"/>
        <c:overlap val="100"/>
        <c:axId val="193977728"/>
        <c:axId val="197215744"/>
      </c:barChart>
      <c:catAx>
        <c:axId val="193977728"/>
        <c:scaling>
          <c:orientation val="minMax"/>
        </c:scaling>
        <c:delete val="0"/>
        <c:axPos val="b"/>
        <c:title>
          <c:tx>
            <c:rich>
              <a:bodyPr/>
              <a:lstStyle/>
              <a:p>
                <a:pPr>
                  <a:defRPr/>
                </a:pPr>
                <a:r>
                  <a:rPr lang="en-GB" b="0"/>
                  <a:t>Design draught (m)</a:t>
                </a:r>
              </a:p>
            </c:rich>
          </c:tx>
          <c:overlay val="0"/>
        </c:title>
        <c:majorTickMark val="out"/>
        <c:minorTickMark val="none"/>
        <c:tickLblPos val="nextTo"/>
        <c:crossAx val="197215744"/>
        <c:crosses val="autoZero"/>
        <c:auto val="1"/>
        <c:lblAlgn val="ctr"/>
        <c:lblOffset val="100"/>
        <c:noMultiLvlLbl val="0"/>
      </c:catAx>
      <c:valAx>
        <c:axId val="197215744"/>
        <c:scaling>
          <c:orientation val="minMax"/>
        </c:scaling>
        <c:delete val="0"/>
        <c:axPos val="l"/>
        <c:majorGridlines/>
        <c:title>
          <c:tx>
            <c:rich>
              <a:bodyPr rot="-5400000" vert="horz"/>
              <a:lstStyle/>
              <a:p>
                <a:pPr>
                  <a:defRPr/>
                </a:pPr>
                <a:r>
                  <a:rPr lang="en-GB" b="0"/>
                  <a:t>Number of vessels</a:t>
                </a:r>
              </a:p>
            </c:rich>
          </c:tx>
          <c:overlay val="0"/>
        </c:title>
        <c:numFmt formatCode="General" sourceLinked="1"/>
        <c:majorTickMark val="out"/>
        <c:minorTickMark val="none"/>
        <c:tickLblPos val="nextTo"/>
        <c:crossAx val="193977728"/>
        <c:crosses val="autoZero"/>
        <c:crossBetween val="between"/>
      </c:valAx>
    </c:plotArea>
    <c:legend>
      <c:legendPos val="r"/>
      <c:overlay val="0"/>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[Vessel analysis.xlsx]Pivot!PivotTable1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s>
    <c:plotArea>
      <c:layout>
        <c:manualLayout>
          <c:layoutTarget val="inner"/>
          <c:xMode val="edge"/>
          <c:yMode val="edge"/>
          <c:x val="0.10471303587051618"/>
          <c:y val="5.2869141357330333E-2"/>
          <c:w val="0.85422029746281714"/>
          <c:h val="0.74078965129358831"/>
        </c:manualLayout>
      </c:layout>
      <c:lineChart>
        <c:grouping val="standard"/>
        <c:varyColors val="0"/>
        <c:ser>
          <c:idx val="0"/>
          <c:order val="0"/>
          <c:tx>
            <c:strRef>
              <c:f>Pivot!$B$3:$B$4</c:f>
              <c:strCache>
                <c:ptCount val="1"/>
                <c:pt idx="0">
                  <c:v>0-499</c:v>
                </c:pt>
              </c:strCache>
            </c:strRef>
          </c:tx>
          <c:marker>
            <c:symbol val="none"/>
          </c:marker>
          <c:cat>
            <c:strRef>
              <c:f>Pivot!$A$5:$A$47</c:f>
              <c:strCache>
                <c:ptCount val="42"/>
                <c:pt idx="0">
                  <c:v>1970</c:v>
                </c:pt>
                <c:pt idx="1">
                  <c:v>1972</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pt idx="41">
                  <c:v>2014</c:v>
                </c:pt>
              </c:strCache>
            </c:strRef>
          </c:cat>
          <c:val>
            <c:numRef>
              <c:f>Pivot!$B$5:$B$47</c:f>
              <c:numCache>
                <c:formatCode>General</c:formatCode>
                <c:ptCount val="42"/>
                <c:pt idx="0">
                  <c:v>4.4950000000000001</c:v>
                </c:pt>
                <c:pt idx="1">
                  <c:v>5.8</c:v>
                </c:pt>
                <c:pt idx="2">
                  <c:v>6.6</c:v>
                </c:pt>
                <c:pt idx="3">
                  <c:v>6.5</c:v>
                </c:pt>
                <c:pt idx="4">
                  <c:v>5.7</c:v>
                </c:pt>
                <c:pt idx="5">
                  <c:v>5.5</c:v>
                </c:pt>
                <c:pt idx="6">
                  <c:v>6.5</c:v>
                </c:pt>
                <c:pt idx="7">
                  <c:v>7.1</c:v>
                </c:pt>
                <c:pt idx="8">
                  <c:v>6.9</c:v>
                </c:pt>
                <c:pt idx="9">
                  <c:v>7.3</c:v>
                </c:pt>
                <c:pt idx="10">
                  <c:v>4.4000000000000004</c:v>
                </c:pt>
                <c:pt idx="11">
                  <c:v>6.7</c:v>
                </c:pt>
                <c:pt idx="13">
                  <c:v>4.4000000000000004</c:v>
                </c:pt>
                <c:pt idx="15">
                  <c:v>5.2</c:v>
                </c:pt>
                <c:pt idx="16">
                  <c:v>6.25</c:v>
                </c:pt>
                <c:pt idx="17">
                  <c:v>6.9333333333333327</c:v>
                </c:pt>
                <c:pt idx="18">
                  <c:v>6.0538461538461528</c:v>
                </c:pt>
                <c:pt idx="19">
                  <c:v>6.1000000000000005</c:v>
                </c:pt>
                <c:pt idx="20">
                  <c:v>6.4777777777777779</c:v>
                </c:pt>
                <c:pt idx="21">
                  <c:v>6.3166666666666664</c:v>
                </c:pt>
                <c:pt idx="22">
                  <c:v>5.9722222222222232</c:v>
                </c:pt>
                <c:pt idx="23">
                  <c:v>6.2559999999999993</c:v>
                </c:pt>
                <c:pt idx="24">
                  <c:v>5.7</c:v>
                </c:pt>
                <c:pt idx="25">
                  <c:v>5.0999999999999996</c:v>
                </c:pt>
                <c:pt idx="26">
                  <c:v>6.0333333333333323</c:v>
                </c:pt>
                <c:pt idx="27">
                  <c:v>6.6</c:v>
                </c:pt>
                <c:pt idx="28">
                  <c:v>4.7666666666666666</c:v>
                </c:pt>
                <c:pt idx="29">
                  <c:v>6.7</c:v>
                </c:pt>
                <c:pt idx="30">
                  <c:v>6.7</c:v>
                </c:pt>
                <c:pt idx="31">
                  <c:v>4.7666666666666666</c:v>
                </c:pt>
                <c:pt idx="32">
                  <c:v>5.3000000000000007</c:v>
                </c:pt>
                <c:pt idx="33">
                  <c:v>4.8999999999999995</c:v>
                </c:pt>
                <c:pt idx="34">
                  <c:v>4.0999999999999996</c:v>
                </c:pt>
                <c:pt idx="35">
                  <c:v>5.4333333333333336</c:v>
                </c:pt>
                <c:pt idx="36">
                  <c:v>3.8599999999999994</c:v>
                </c:pt>
                <c:pt idx="37">
                  <c:v>4.166666666666667</c:v>
                </c:pt>
                <c:pt idx="38">
                  <c:v>5.7666666666666666</c:v>
                </c:pt>
                <c:pt idx="39">
                  <c:v>4.666666666666667</c:v>
                </c:pt>
                <c:pt idx="40">
                  <c:v>4.6999999999999993</c:v>
                </c:pt>
                <c:pt idx="41">
                  <c:v>3.2</c:v>
                </c:pt>
              </c:numCache>
            </c:numRef>
          </c:val>
          <c:smooth val="0"/>
        </c:ser>
        <c:ser>
          <c:idx val="1"/>
          <c:order val="1"/>
          <c:tx>
            <c:strRef>
              <c:f>Pivot!$C$3:$C$4</c:f>
              <c:strCache>
                <c:ptCount val="1"/>
                <c:pt idx="0">
                  <c:v>500-999</c:v>
                </c:pt>
              </c:strCache>
            </c:strRef>
          </c:tx>
          <c:marker>
            <c:symbol val="none"/>
          </c:marker>
          <c:cat>
            <c:strRef>
              <c:f>Pivot!$A$5:$A$47</c:f>
              <c:strCache>
                <c:ptCount val="42"/>
                <c:pt idx="0">
                  <c:v>1970</c:v>
                </c:pt>
                <c:pt idx="1">
                  <c:v>1972</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pt idx="41">
                  <c:v>2014</c:v>
                </c:pt>
              </c:strCache>
            </c:strRef>
          </c:cat>
          <c:val>
            <c:numRef>
              <c:f>Pivot!$C$5:$C$47</c:f>
              <c:numCache>
                <c:formatCode>General</c:formatCode>
                <c:ptCount val="42"/>
                <c:pt idx="9">
                  <c:v>7.9</c:v>
                </c:pt>
                <c:pt idx="10">
                  <c:v>8.1</c:v>
                </c:pt>
                <c:pt idx="11">
                  <c:v>7.3780000000000001</c:v>
                </c:pt>
                <c:pt idx="12">
                  <c:v>8.1</c:v>
                </c:pt>
                <c:pt idx="13">
                  <c:v>8.4499999999999993</c:v>
                </c:pt>
                <c:pt idx="14">
                  <c:v>8.6999999999999993</c:v>
                </c:pt>
                <c:pt idx="15">
                  <c:v>9.1</c:v>
                </c:pt>
                <c:pt idx="16">
                  <c:v>8.1750000000000007</c:v>
                </c:pt>
                <c:pt idx="17">
                  <c:v>7.9250000000000007</c:v>
                </c:pt>
                <c:pt idx="18">
                  <c:v>7.9749999999999996</c:v>
                </c:pt>
                <c:pt idx="19">
                  <c:v>7.6090909090909093</c:v>
                </c:pt>
                <c:pt idx="20">
                  <c:v>7.1285714285714272</c:v>
                </c:pt>
                <c:pt idx="21">
                  <c:v>7.9597142857142851</c:v>
                </c:pt>
                <c:pt idx="22">
                  <c:v>7.3333333333333348</c:v>
                </c:pt>
                <c:pt idx="23">
                  <c:v>7.6576923076923071</c:v>
                </c:pt>
                <c:pt idx="24">
                  <c:v>7.5883720930232545</c:v>
                </c:pt>
                <c:pt idx="25">
                  <c:v>7.6080000000000005</c:v>
                </c:pt>
                <c:pt idx="26">
                  <c:v>8.0187499999999989</c:v>
                </c:pt>
                <c:pt idx="27">
                  <c:v>7.6894736842105242</c:v>
                </c:pt>
                <c:pt idx="28">
                  <c:v>8.0583333333333336</c:v>
                </c:pt>
                <c:pt idx="29">
                  <c:v>7.6160000000000014</c:v>
                </c:pt>
                <c:pt idx="30">
                  <c:v>7.4569677419354825</c:v>
                </c:pt>
                <c:pt idx="31">
                  <c:v>7.678666666666663</c:v>
                </c:pt>
                <c:pt idx="32">
                  <c:v>7.8491794871794855</c:v>
                </c:pt>
                <c:pt idx="33">
                  <c:v>7.9510638297872349</c:v>
                </c:pt>
                <c:pt idx="34">
                  <c:v>7.7600000000000016</c:v>
                </c:pt>
                <c:pt idx="35">
                  <c:v>7.732758620689653</c:v>
                </c:pt>
                <c:pt idx="36">
                  <c:v>7.666666666666667</c:v>
                </c:pt>
                <c:pt idx="37">
                  <c:v>7.7777777777777795</c:v>
                </c:pt>
                <c:pt idx="38">
                  <c:v>7.82</c:v>
                </c:pt>
                <c:pt idx="39">
                  <c:v>6.5909090909090908</c:v>
                </c:pt>
                <c:pt idx="40">
                  <c:v>8.0500000000000007</c:v>
                </c:pt>
                <c:pt idx="41">
                  <c:v>8.6</c:v>
                </c:pt>
              </c:numCache>
            </c:numRef>
          </c:val>
          <c:smooth val="0"/>
        </c:ser>
        <c:dLbls>
          <c:showLegendKey val="0"/>
          <c:showVal val="0"/>
          <c:showCatName val="0"/>
          <c:showSerName val="0"/>
          <c:showPercent val="0"/>
          <c:showBubbleSize val="0"/>
        </c:dLbls>
        <c:marker val="1"/>
        <c:smooth val="0"/>
        <c:axId val="195816448"/>
        <c:axId val="197792896"/>
      </c:lineChart>
      <c:catAx>
        <c:axId val="195816448"/>
        <c:scaling>
          <c:orientation val="minMax"/>
        </c:scaling>
        <c:delete val="0"/>
        <c:axPos val="b"/>
        <c:title>
          <c:tx>
            <c:rich>
              <a:bodyPr/>
              <a:lstStyle/>
              <a:p>
                <a:pPr>
                  <a:defRPr/>
                </a:pPr>
                <a:r>
                  <a:rPr lang="en-GB" b="0"/>
                  <a:t>Year built</a:t>
                </a:r>
              </a:p>
            </c:rich>
          </c:tx>
          <c:overlay val="0"/>
        </c:title>
        <c:majorTickMark val="out"/>
        <c:minorTickMark val="none"/>
        <c:tickLblPos val="nextTo"/>
        <c:crossAx val="197792896"/>
        <c:crosses val="autoZero"/>
        <c:auto val="1"/>
        <c:lblAlgn val="ctr"/>
        <c:lblOffset val="100"/>
        <c:noMultiLvlLbl val="0"/>
      </c:catAx>
      <c:valAx>
        <c:axId val="197792896"/>
        <c:scaling>
          <c:orientation val="minMax"/>
        </c:scaling>
        <c:delete val="0"/>
        <c:axPos val="l"/>
        <c:majorGridlines/>
        <c:title>
          <c:tx>
            <c:rich>
              <a:bodyPr rot="-5400000" vert="horz"/>
              <a:lstStyle/>
              <a:p>
                <a:pPr>
                  <a:defRPr/>
                </a:pPr>
                <a:r>
                  <a:rPr lang="en-GB" b="0"/>
                  <a:t>Average design draught (m)</a:t>
                </a:r>
              </a:p>
            </c:rich>
          </c:tx>
          <c:overlay val="0"/>
        </c:title>
        <c:numFmt formatCode="General" sourceLinked="1"/>
        <c:majorTickMark val="out"/>
        <c:minorTickMark val="none"/>
        <c:tickLblPos val="nextTo"/>
        <c:crossAx val="195816448"/>
        <c:crosses val="autoZero"/>
        <c:crossBetween val="between"/>
      </c:valAx>
    </c:plotArea>
    <c:legend>
      <c:legendPos val="r"/>
      <c:layout>
        <c:manualLayout>
          <c:xMode val="edge"/>
          <c:yMode val="edge"/>
          <c:x val="0.7878222222222222"/>
          <c:y val="0.59484326959130107"/>
          <c:w val="0.14106666666666667"/>
          <c:h val="0.17221822272215973"/>
        </c:manualLayout>
      </c:layout>
      <c:overlay val="0"/>
      <c:spPr>
        <a:solidFill>
          <a:sysClr val="window" lastClr="FFFFFF"/>
        </a:solidFill>
        <a:ln>
          <a:solidFill>
            <a:sysClr val="windowText" lastClr="000000"/>
          </a:solidFill>
        </a:ln>
      </c:spPr>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30765062996567"/>
          <c:y val="4.9842961548998296E-2"/>
          <c:w val="0.85051130030066036"/>
          <c:h val="0.79636717127530776"/>
        </c:manualLayout>
      </c:layout>
      <c:scatterChart>
        <c:scatterStyle val="lineMarker"/>
        <c:varyColors val="0"/>
        <c:ser>
          <c:idx val="0"/>
          <c:order val="0"/>
          <c:tx>
            <c:strRef>
              <c:f>'Plot TEU by draught'!$B$1</c:f>
              <c:strCache>
                <c:ptCount val="1"/>
                <c:pt idx="0">
                  <c:v>Draught</c:v>
                </c:pt>
              </c:strCache>
            </c:strRef>
          </c:tx>
          <c:spPr>
            <a:ln w="28575">
              <a:noFill/>
            </a:ln>
          </c:spPr>
          <c:trendline>
            <c:trendlineType val="linear"/>
            <c:dispRSqr val="1"/>
            <c:dispEq val="1"/>
            <c:trendlineLbl>
              <c:layout>
                <c:manualLayout>
                  <c:x val="-0.60192878850669984"/>
                  <c:y val="-0.12850702485718696"/>
                </c:manualLayout>
              </c:layout>
              <c:numFmt formatCode="General" sourceLinked="0"/>
            </c:trendlineLbl>
          </c:trendline>
          <c:xVal>
            <c:numRef>
              <c:f>'Plot TEU by draught'!$A$2:$A$786</c:f>
              <c:numCache>
                <c:formatCode>General</c:formatCode>
                <c:ptCount val="785"/>
                <c:pt idx="0">
                  <c:v>90</c:v>
                </c:pt>
                <c:pt idx="1">
                  <c:v>106</c:v>
                </c:pt>
                <c:pt idx="2">
                  <c:v>200</c:v>
                </c:pt>
                <c:pt idx="3">
                  <c:v>150</c:v>
                </c:pt>
                <c:pt idx="4">
                  <c:v>370</c:v>
                </c:pt>
                <c:pt idx="5">
                  <c:v>182</c:v>
                </c:pt>
                <c:pt idx="6">
                  <c:v>182</c:v>
                </c:pt>
                <c:pt idx="7">
                  <c:v>251</c:v>
                </c:pt>
                <c:pt idx="8">
                  <c:v>239</c:v>
                </c:pt>
                <c:pt idx="9">
                  <c:v>210</c:v>
                </c:pt>
                <c:pt idx="10">
                  <c:v>80</c:v>
                </c:pt>
                <c:pt idx="11">
                  <c:v>241</c:v>
                </c:pt>
                <c:pt idx="12">
                  <c:v>251</c:v>
                </c:pt>
                <c:pt idx="13">
                  <c:v>368</c:v>
                </c:pt>
                <c:pt idx="14">
                  <c:v>142</c:v>
                </c:pt>
                <c:pt idx="15">
                  <c:v>150</c:v>
                </c:pt>
                <c:pt idx="16">
                  <c:v>170</c:v>
                </c:pt>
                <c:pt idx="17">
                  <c:v>368</c:v>
                </c:pt>
                <c:pt idx="18">
                  <c:v>368</c:v>
                </c:pt>
                <c:pt idx="19">
                  <c:v>368</c:v>
                </c:pt>
                <c:pt idx="20">
                  <c:v>368</c:v>
                </c:pt>
                <c:pt idx="21">
                  <c:v>368</c:v>
                </c:pt>
                <c:pt idx="22">
                  <c:v>120</c:v>
                </c:pt>
                <c:pt idx="23">
                  <c:v>205</c:v>
                </c:pt>
                <c:pt idx="24">
                  <c:v>236</c:v>
                </c:pt>
                <c:pt idx="25">
                  <c:v>300</c:v>
                </c:pt>
                <c:pt idx="26">
                  <c:v>403</c:v>
                </c:pt>
                <c:pt idx="27">
                  <c:v>558</c:v>
                </c:pt>
                <c:pt idx="28">
                  <c:v>100</c:v>
                </c:pt>
                <c:pt idx="29">
                  <c:v>298</c:v>
                </c:pt>
                <c:pt idx="30">
                  <c:v>107</c:v>
                </c:pt>
                <c:pt idx="31">
                  <c:v>150</c:v>
                </c:pt>
                <c:pt idx="32">
                  <c:v>230</c:v>
                </c:pt>
                <c:pt idx="33">
                  <c:v>301</c:v>
                </c:pt>
                <c:pt idx="34">
                  <c:v>124</c:v>
                </c:pt>
                <c:pt idx="35">
                  <c:v>100</c:v>
                </c:pt>
                <c:pt idx="36">
                  <c:v>144</c:v>
                </c:pt>
                <c:pt idx="37">
                  <c:v>200</c:v>
                </c:pt>
                <c:pt idx="38">
                  <c:v>295</c:v>
                </c:pt>
                <c:pt idx="39">
                  <c:v>128</c:v>
                </c:pt>
                <c:pt idx="40">
                  <c:v>340</c:v>
                </c:pt>
                <c:pt idx="41">
                  <c:v>340</c:v>
                </c:pt>
                <c:pt idx="42">
                  <c:v>340</c:v>
                </c:pt>
                <c:pt idx="43">
                  <c:v>340</c:v>
                </c:pt>
                <c:pt idx="44">
                  <c:v>340</c:v>
                </c:pt>
                <c:pt idx="45">
                  <c:v>340</c:v>
                </c:pt>
                <c:pt idx="46">
                  <c:v>340</c:v>
                </c:pt>
                <c:pt idx="47">
                  <c:v>340</c:v>
                </c:pt>
                <c:pt idx="48">
                  <c:v>104</c:v>
                </c:pt>
                <c:pt idx="49">
                  <c:v>262</c:v>
                </c:pt>
                <c:pt idx="50">
                  <c:v>510</c:v>
                </c:pt>
                <c:pt idx="51">
                  <c:v>104</c:v>
                </c:pt>
                <c:pt idx="52">
                  <c:v>382</c:v>
                </c:pt>
                <c:pt idx="53">
                  <c:v>537</c:v>
                </c:pt>
                <c:pt idx="54">
                  <c:v>537</c:v>
                </c:pt>
                <c:pt idx="55">
                  <c:v>537</c:v>
                </c:pt>
                <c:pt idx="56">
                  <c:v>558</c:v>
                </c:pt>
                <c:pt idx="57">
                  <c:v>558</c:v>
                </c:pt>
                <c:pt idx="58">
                  <c:v>558</c:v>
                </c:pt>
                <c:pt idx="59">
                  <c:v>558</c:v>
                </c:pt>
                <c:pt idx="60">
                  <c:v>558</c:v>
                </c:pt>
                <c:pt idx="61">
                  <c:v>400</c:v>
                </c:pt>
                <c:pt idx="62">
                  <c:v>400</c:v>
                </c:pt>
                <c:pt idx="63">
                  <c:v>614</c:v>
                </c:pt>
                <c:pt idx="64">
                  <c:v>153</c:v>
                </c:pt>
                <c:pt idx="65">
                  <c:v>279</c:v>
                </c:pt>
                <c:pt idx="66">
                  <c:v>170</c:v>
                </c:pt>
                <c:pt idx="67">
                  <c:v>208</c:v>
                </c:pt>
                <c:pt idx="68">
                  <c:v>208</c:v>
                </c:pt>
                <c:pt idx="69">
                  <c:v>208</c:v>
                </c:pt>
                <c:pt idx="70">
                  <c:v>210</c:v>
                </c:pt>
                <c:pt idx="71">
                  <c:v>230</c:v>
                </c:pt>
                <c:pt idx="72">
                  <c:v>334</c:v>
                </c:pt>
                <c:pt idx="73">
                  <c:v>260</c:v>
                </c:pt>
                <c:pt idx="74">
                  <c:v>304</c:v>
                </c:pt>
                <c:pt idx="75">
                  <c:v>310</c:v>
                </c:pt>
                <c:pt idx="76">
                  <c:v>327</c:v>
                </c:pt>
                <c:pt idx="77">
                  <c:v>352</c:v>
                </c:pt>
                <c:pt idx="78">
                  <c:v>400</c:v>
                </c:pt>
                <c:pt idx="79">
                  <c:v>900</c:v>
                </c:pt>
                <c:pt idx="80">
                  <c:v>122</c:v>
                </c:pt>
                <c:pt idx="81">
                  <c:v>204</c:v>
                </c:pt>
                <c:pt idx="82">
                  <c:v>230</c:v>
                </c:pt>
                <c:pt idx="83">
                  <c:v>270</c:v>
                </c:pt>
                <c:pt idx="84">
                  <c:v>303</c:v>
                </c:pt>
                <c:pt idx="85">
                  <c:v>215</c:v>
                </c:pt>
                <c:pt idx="86">
                  <c:v>296</c:v>
                </c:pt>
                <c:pt idx="87">
                  <c:v>143</c:v>
                </c:pt>
                <c:pt idx="88">
                  <c:v>247</c:v>
                </c:pt>
                <c:pt idx="89">
                  <c:v>252</c:v>
                </c:pt>
                <c:pt idx="90">
                  <c:v>320</c:v>
                </c:pt>
                <c:pt idx="91">
                  <c:v>326</c:v>
                </c:pt>
                <c:pt idx="92">
                  <c:v>332</c:v>
                </c:pt>
                <c:pt idx="93">
                  <c:v>400</c:v>
                </c:pt>
                <c:pt idx="94">
                  <c:v>407</c:v>
                </c:pt>
                <c:pt idx="95">
                  <c:v>410</c:v>
                </c:pt>
                <c:pt idx="96">
                  <c:v>448</c:v>
                </c:pt>
                <c:pt idx="97">
                  <c:v>543</c:v>
                </c:pt>
                <c:pt idx="98">
                  <c:v>592</c:v>
                </c:pt>
                <c:pt idx="99">
                  <c:v>215</c:v>
                </c:pt>
                <c:pt idx="100">
                  <c:v>215</c:v>
                </c:pt>
                <c:pt idx="101">
                  <c:v>373</c:v>
                </c:pt>
                <c:pt idx="102">
                  <c:v>448</c:v>
                </c:pt>
                <c:pt idx="103">
                  <c:v>500</c:v>
                </c:pt>
                <c:pt idx="104">
                  <c:v>512</c:v>
                </c:pt>
                <c:pt idx="105">
                  <c:v>360</c:v>
                </c:pt>
                <c:pt idx="106">
                  <c:v>368</c:v>
                </c:pt>
                <c:pt idx="107">
                  <c:v>411</c:v>
                </c:pt>
                <c:pt idx="108">
                  <c:v>450</c:v>
                </c:pt>
                <c:pt idx="109">
                  <c:v>599</c:v>
                </c:pt>
                <c:pt idx="110">
                  <c:v>330</c:v>
                </c:pt>
                <c:pt idx="111">
                  <c:v>400</c:v>
                </c:pt>
                <c:pt idx="112">
                  <c:v>406</c:v>
                </c:pt>
                <c:pt idx="113">
                  <c:v>450</c:v>
                </c:pt>
                <c:pt idx="114">
                  <c:v>514</c:v>
                </c:pt>
                <c:pt idx="115">
                  <c:v>736</c:v>
                </c:pt>
                <c:pt idx="116">
                  <c:v>357</c:v>
                </c:pt>
                <c:pt idx="117">
                  <c:v>374</c:v>
                </c:pt>
                <c:pt idx="118">
                  <c:v>374</c:v>
                </c:pt>
                <c:pt idx="119">
                  <c:v>374</c:v>
                </c:pt>
                <c:pt idx="120">
                  <c:v>411</c:v>
                </c:pt>
                <c:pt idx="121">
                  <c:v>412</c:v>
                </c:pt>
                <c:pt idx="122">
                  <c:v>422</c:v>
                </c:pt>
                <c:pt idx="123">
                  <c:v>500</c:v>
                </c:pt>
                <c:pt idx="124">
                  <c:v>740</c:v>
                </c:pt>
                <c:pt idx="125">
                  <c:v>308</c:v>
                </c:pt>
                <c:pt idx="126">
                  <c:v>316</c:v>
                </c:pt>
                <c:pt idx="127">
                  <c:v>319</c:v>
                </c:pt>
                <c:pt idx="128">
                  <c:v>319</c:v>
                </c:pt>
                <c:pt idx="129">
                  <c:v>330</c:v>
                </c:pt>
                <c:pt idx="130">
                  <c:v>334</c:v>
                </c:pt>
                <c:pt idx="131">
                  <c:v>338</c:v>
                </c:pt>
                <c:pt idx="132">
                  <c:v>338</c:v>
                </c:pt>
                <c:pt idx="133">
                  <c:v>338</c:v>
                </c:pt>
                <c:pt idx="134">
                  <c:v>342</c:v>
                </c:pt>
                <c:pt idx="135">
                  <c:v>342</c:v>
                </c:pt>
                <c:pt idx="136">
                  <c:v>342</c:v>
                </c:pt>
                <c:pt idx="137">
                  <c:v>342</c:v>
                </c:pt>
                <c:pt idx="138">
                  <c:v>342</c:v>
                </c:pt>
                <c:pt idx="139">
                  <c:v>342</c:v>
                </c:pt>
                <c:pt idx="140">
                  <c:v>342</c:v>
                </c:pt>
                <c:pt idx="141">
                  <c:v>342</c:v>
                </c:pt>
                <c:pt idx="142">
                  <c:v>342</c:v>
                </c:pt>
                <c:pt idx="143">
                  <c:v>342</c:v>
                </c:pt>
                <c:pt idx="144">
                  <c:v>342</c:v>
                </c:pt>
                <c:pt idx="145">
                  <c:v>342</c:v>
                </c:pt>
                <c:pt idx="146">
                  <c:v>342</c:v>
                </c:pt>
                <c:pt idx="147">
                  <c:v>342</c:v>
                </c:pt>
                <c:pt idx="148">
                  <c:v>357</c:v>
                </c:pt>
                <c:pt idx="149">
                  <c:v>357</c:v>
                </c:pt>
                <c:pt idx="150">
                  <c:v>357</c:v>
                </c:pt>
                <c:pt idx="151">
                  <c:v>357</c:v>
                </c:pt>
                <c:pt idx="152">
                  <c:v>358</c:v>
                </c:pt>
                <c:pt idx="153">
                  <c:v>378</c:v>
                </c:pt>
                <c:pt idx="154">
                  <c:v>385</c:v>
                </c:pt>
                <c:pt idx="155">
                  <c:v>385</c:v>
                </c:pt>
                <c:pt idx="156">
                  <c:v>385</c:v>
                </c:pt>
                <c:pt idx="157">
                  <c:v>385</c:v>
                </c:pt>
                <c:pt idx="158">
                  <c:v>404</c:v>
                </c:pt>
                <c:pt idx="159">
                  <c:v>404</c:v>
                </c:pt>
                <c:pt idx="160">
                  <c:v>445</c:v>
                </c:pt>
                <c:pt idx="161">
                  <c:v>453</c:v>
                </c:pt>
                <c:pt idx="162">
                  <c:v>519</c:v>
                </c:pt>
                <c:pt idx="163">
                  <c:v>525</c:v>
                </c:pt>
                <c:pt idx="164">
                  <c:v>525</c:v>
                </c:pt>
                <c:pt idx="165">
                  <c:v>550</c:v>
                </c:pt>
                <c:pt idx="166">
                  <c:v>584</c:v>
                </c:pt>
                <c:pt idx="167">
                  <c:v>606</c:v>
                </c:pt>
                <c:pt idx="168">
                  <c:v>650</c:v>
                </c:pt>
                <c:pt idx="169">
                  <c:v>660</c:v>
                </c:pt>
                <c:pt idx="170">
                  <c:v>660</c:v>
                </c:pt>
                <c:pt idx="171">
                  <c:v>660</c:v>
                </c:pt>
                <c:pt idx="172">
                  <c:v>700</c:v>
                </c:pt>
                <c:pt idx="173">
                  <c:v>262</c:v>
                </c:pt>
                <c:pt idx="174">
                  <c:v>316</c:v>
                </c:pt>
                <c:pt idx="175">
                  <c:v>316</c:v>
                </c:pt>
                <c:pt idx="176">
                  <c:v>335</c:v>
                </c:pt>
                <c:pt idx="177">
                  <c:v>414</c:v>
                </c:pt>
                <c:pt idx="178">
                  <c:v>443</c:v>
                </c:pt>
                <c:pt idx="179">
                  <c:v>453</c:v>
                </c:pt>
                <c:pt idx="180">
                  <c:v>508</c:v>
                </c:pt>
                <c:pt idx="181">
                  <c:v>508</c:v>
                </c:pt>
                <c:pt idx="182">
                  <c:v>508</c:v>
                </c:pt>
                <c:pt idx="183">
                  <c:v>508</c:v>
                </c:pt>
                <c:pt idx="184">
                  <c:v>508</c:v>
                </c:pt>
                <c:pt idx="185">
                  <c:v>508</c:v>
                </c:pt>
                <c:pt idx="186">
                  <c:v>508</c:v>
                </c:pt>
                <c:pt idx="187">
                  <c:v>508</c:v>
                </c:pt>
                <c:pt idx="188">
                  <c:v>508</c:v>
                </c:pt>
                <c:pt idx="189">
                  <c:v>509</c:v>
                </c:pt>
                <c:pt idx="190">
                  <c:v>509</c:v>
                </c:pt>
                <c:pt idx="191">
                  <c:v>510</c:v>
                </c:pt>
                <c:pt idx="192">
                  <c:v>523</c:v>
                </c:pt>
                <c:pt idx="193">
                  <c:v>523</c:v>
                </c:pt>
                <c:pt idx="194">
                  <c:v>600</c:v>
                </c:pt>
                <c:pt idx="195">
                  <c:v>628</c:v>
                </c:pt>
                <c:pt idx="196">
                  <c:v>628</c:v>
                </c:pt>
                <c:pt idx="197">
                  <c:v>628</c:v>
                </c:pt>
                <c:pt idx="198">
                  <c:v>628</c:v>
                </c:pt>
                <c:pt idx="199">
                  <c:v>327</c:v>
                </c:pt>
                <c:pt idx="200">
                  <c:v>333</c:v>
                </c:pt>
                <c:pt idx="201">
                  <c:v>392</c:v>
                </c:pt>
                <c:pt idx="202">
                  <c:v>392</c:v>
                </c:pt>
                <c:pt idx="203">
                  <c:v>420</c:v>
                </c:pt>
                <c:pt idx="204">
                  <c:v>420</c:v>
                </c:pt>
                <c:pt idx="205">
                  <c:v>420</c:v>
                </c:pt>
                <c:pt idx="206">
                  <c:v>450</c:v>
                </c:pt>
                <c:pt idx="207">
                  <c:v>450</c:v>
                </c:pt>
                <c:pt idx="208">
                  <c:v>450</c:v>
                </c:pt>
                <c:pt idx="209">
                  <c:v>450</c:v>
                </c:pt>
                <c:pt idx="210">
                  <c:v>450</c:v>
                </c:pt>
                <c:pt idx="211">
                  <c:v>450</c:v>
                </c:pt>
                <c:pt idx="212">
                  <c:v>502</c:v>
                </c:pt>
                <c:pt idx="213">
                  <c:v>502</c:v>
                </c:pt>
                <c:pt idx="214">
                  <c:v>502</c:v>
                </c:pt>
                <c:pt idx="215">
                  <c:v>520</c:v>
                </c:pt>
                <c:pt idx="216">
                  <c:v>556</c:v>
                </c:pt>
                <c:pt idx="217">
                  <c:v>556</c:v>
                </c:pt>
                <c:pt idx="218">
                  <c:v>556</c:v>
                </c:pt>
                <c:pt idx="219">
                  <c:v>602</c:v>
                </c:pt>
                <c:pt idx="220">
                  <c:v>628</c:v>
                </c:pt>
                <c:pt idx="221">
                  <c:v>632</c:v>
                </c:pt>
                <c:pt idx="222">
                  <c:v>650</c:v>
                </c:pt>
                <c:pt idx="223">
                  <c:v>700</c:v>
                </c:pt>
                <c:pt idx="224">
                  <c:v>700</c:v>
                </c:pt>
                <c:pt idx="225">
                  <c:v>700</c:v>
                </c:pt>
                <c:pt idx="226">
                  <c:v>700</c:v>
                </c:pt>
                <c:pt idx="227">
                  <c:v>700</c:v>
                </c:pt>
                <c:pt idx="228">
                  <c:v>700</c:v>
                </c:pt>
                <c:pt idx="229">
                  <c:v>700</c:v>
                </c:pt>
                <c:pt idx="230">
                  <c:v>700</c:v>
                </c:pt>
                <c:pt idx="231">
                  <c:v>700</c:v>
                </c:pt>
                <c:pt idx="232">
                  <c:v>700</c:v>
                </c:pt>
                <c:pt idx="233">
                  <c:v>700</c:v>
                </c:pt>
                <c:pt idx="234">
                  <c:v>831</c:v>
                </c:pt>
                <c:pt idx="235">
                  <c:v>831</c:v>
                </c:pt>
                <c:pt idx="236">
                  <c:v>907</c:v>
                </c:pt>
                <c:pt idx="237">
                  <c:v>907</c:v>
                </c:pt>
                <c:pt idx="238">
                  <c:v>907</c:v>
                </c:pt>
                <c:pt idx="239">
                  <c:v>907</c:v>
                </c:pt>
                <c:pt idx="240">
                  <c:v>349</c:v>
                </c:pt>
                <c:pt idx="241">
                  <c:v>350</c:v>
                </c:pt>
                <c:pt idx="242">
                  <c:v>446</c:v>
                </c:pt>
                <c:pt idx="243">
                  <c:v>525</c:v>
                </c:pt>
                <c:pt idx="244">
                  <c:v>844</c:v>
                </c:pt>
                <c:pt idx="245">
                  <c:v>320</c:v>
                </c:pt>
                <c:pt idx="246">
                  <c:v>320</c:v>
                </c:pt>
                <c:pt idx="247">
                  <c:v>320</c:v>
                </c:pt>
                <c:pt idx="248">
                  <c:v>510</c:v>
                </c:pt>
                <c:pt idx="249">
                  <c:v>550</c:v>
                </c:pt>
                <c:pt idx="250">
                  <c:v>591</c:v>
                </c:pt>
                <c:pt idx="251">
                  <c:v>624</c:v>
                </c:pt>
                <c:pt idx="252">
                  <c:v>677</c:v>
                </c:pt>
                <c:pt idx="253">
                  <c:v>677</c:v>
                </c:pt>
                <c:pt idx="254">
                  <c:v>677</c:v>
                </c:pt>
                <c:pt idx="255">
                  <c:v>462</c:v>
                </c:pt>
                <c:pt idx="256">
                  <c:v>470</c:v>
                </c:pt>
                <c:pt idx="257">
                  <c:v>600</c:v>
                </c:pt>
                <c:pt idx="258">
                  <c:v>600</c:v>
                </c:pt>
                <c:pt idx="259">
                  <c:v>606</c:v>
                </c:pt>
                <c:pt idx="260">
                  <c:v>606</c:v>
                </c:pt>
                <c:pt idx="261">
                  <c:v>606</c:v>
                </c:pt>
                <c:pt idx="262">
                  <c:v>608</c:v>
                </c:pt>
                <c:pt idx="263">
                  <c:v>608</c:v>
                </c:pt>
                <c:pt idx="264">
                  <c:v>672</c:v>
                </c:pt>
                <c:pt idx="265">
                  <c:v>681</c:v>
                </c:pt>
                <c:pt idx="266">
                  <c:v>705</c:v>
                </c:pt>
                <c:pt idx="267">
                  <c:v>705</c:v>
                </c:pt>
                <c:pt idx="268">
                  <c:v>755</c:v>
                </c:pt>
                <c:pt idx="269">
                  <c:v>917</c:v>
                </c:pt>
                <c:pt idx="270">
                  <c:v>917</c:v>
                </c:pt>
                <c:pt idx="271">
                  <c:v>917</c:v>
                </c:pt>
                <c:pt idx="272">
                  <c:v>917</c:v>
                </c:pt>
                <c:pt idx="273">
                  <c:v>917</c:v>
                </c:pt>
                <c:pt idx="274">
                  <c:v>917</c:v>
                </c:pt>
                <c:pt idx="275">
                  <c:v>917</c:v>
                </c:pt>
                <c:pt idx="276">
                  <c:v>917</c:v>
                </c:pt>
                <c:pt idx="277">
                  <c:v>506</c:v>
                </c:pt>
                <c:pt idx="278">
                  <c:v>515</c:v>
                </c:pt>
                <c:pt idx="279">
                  <c:v>547</c:v>
                </c:pt>
                <c:pt idx="280">
                  <c:v>549</c:v>
                </c:pt>
                <c:pt idx="281">
                  <c:v>658</c:v>
                </c:pt>
                <c:pt idx="282">
                  <c:v>658</c:v>
                </c:pt>
                <c:pt idx="283">
                  <c:v>658</c:v>
                </c:pt>
                <c:pt idx="284">
                  <c:v>658</c:v>
                </c:pt>
                <c:pt idx="285">
                  <c:v>658</c:v>
                </c:pt>
                <c:pt idx="286">
                  <c:v>703</c:v>
                </c:pt>
                <c:pt idx="287">
                  <c:v>715</c:v>
                </c:pt>
                <c:pt idx="288">
                  <c:v>724</c:v>
                </c:pt>
                <c:pt idx="289">
                  <c:v>750</c:v>
                </c:pt>
                <c:pt idx="290">
                  <c:v>750</c:v>
                </c:pt>
                <c:pt idx="291">
                  <c:v>750</c:v>
                </c:pt>
                <c:pt idx="292">
                  <c:v>750</c:v>
                </c:pt>
                <c:pt idx="293">
                  <c:v>750</c:v>
                </c:pt>
                <c:pt idx="294">
                  <c:v>750</c:v>
                </c:pt>
                <c:pt idx="295">
                  <c:v>750</c:v>
                </c:pt>
                <c:pt idx="296">
                  <c:v>750</c:v>
                </c:pt>
                <c:pt idx="297">
                  <c:v>860</c:v>
                </c:pt>
                <c:pt idx="298">
                  <c:v>660</c:v>
                </c:pt>
                <c:pt idx="299">
                  <c:v>660</c:v>
                </c:pt>
                <c:pt idx="300">
                  <c:v>660</c:v>
                </c:pt>
                <c:pt idx="301">
                  <c:v>660</c:v>
                </c:pt>
                <c:pt idx="302">
                  <c:v>660</c:v>
                </c:pt>
                <c:pt idx="303">
                  <c:v>660</c:v>
                </c:pt>
                <c:pt idx="304">
                  <c:v>660</c:v>
                </c:pt>
                <c:pt idx="305">
                  <c:v>660</c:v>
                </c:pt>
                <c:pt idx="306">
                  <c:v>660</c:v>
                </c:pt>
                <c:pt idx="307">
                  <c:v>672</c:v>
                </c:pt>
                <c:pt idx="308">
                  <c:v>672</c:v>
                </c:pt>
                <c:pt idx="309">
                  <c:v>672</c:v>
                </c:pt>
                <c:pt idx="310">
                  <c:v>672</c:v>
                </c:pt>
                <c:pt idx="311">
                  <c:v>672</c:v>
                </c:pt>
                <c:pt idx="312">
                  <c:v>672</c:v>
                </c:pt>
                <c:pt idx="313">
                  <c:v>679</c:v>
                </c:pt>
                <c:pt idx="314">
                  <c:v>735</c:v>
                </c:pt>
                <c:pt idx="315">
                  <c:v>735</c:v>
                </c:pt>
                <c:pt idx="316">
                  <c:v>735</c:v>
                </c:pt>
                <c:pt idx="317">
                  <c:v>735</c:v>
                </c:pt>
                <c:pt idx="318">
                  <c:v>735</c:v>
                </c:pt>
                <c:pt idx="319">
                  <c:v>672</c:v>
                </c:pt>
                <c:pt idx="320">
                  <c:v>550</c:v>
                </c:pt>
                <c:pt idx="321">
                  <c:v>576</c:v>
                </c:pt>
                <c:pt idx="322">
                  <c:v>582</c:v>
                </c:pt>
                <c:pt idx="323">
                  <c:v>620</c:v>
                </c:pt>
                <c:pt idx="324">
                  <c:v>620</c:v>
                </c:pt>
                <c:pt idx="325">
                  <c:v>620</c:v>
                </c:pt>
                <c:pt idx="326">
                  <c:v>646</c:v>
                </c:pt>
                <c:pt idx="327">
                  <c:v>660</c:v>
                </c:pt>
                <c:pt idx="328">
                  <c:v>660</c:v>
                </c:pt>
                <c:pt idx="329">
                  <c:v>660</c:v>
                </c:pt>
                <c:pt idx="330">
                  <c:v>660</c:v>
                </c:pt>
                <c:pt idx="331">
                  <c:v>698</c:v>
                </c:pt>
                <c:pt idx="332">
                  <c:v>698</c:v>
                </c:pt>
                <c:pt idx="333">
                  <c:v>698</c:v>
                </c:pt>
                <c:pt idx="334">
                  <c:v>698</c:v>
                </c:pt>
                <c:pt idx="335">
                  <c:v>705</c:v>
                </c:pt>
                <c:pt idx="336">
                  <c:v>707</c:v>
                </c:pt>
                <c:pt idx="337">
                  <c:v>750</c:v>
                </c:pt>
                <c:pt idx="338">
                  <c:v>750</c:v>
                </c:pt>
                <c:pt idx="339">
                  <c:v>750</c:v>
                </c:pt>
                <c:pt idx="340">
                  <c:v>767</c:v>
                </c:pt>
                <c:pt idx="341">
                  <c:v>803</c:v>
                </c:pt>
                <c:pt idx="342">
                  <c:v>803</c:v>
                </c:pt>
                <c:pt idx="343">
                  <c:v>803</c:v>
                </c:pt>
                <c:pt idx="344">
                  <c:v>803</c:v>
                </c:pt>
                <c:pt idx="345">
                  <c:v>803</c:v>
                </c:pt>
                <c:pt idx="346">
                  <c:v>803</c:v>
                </c:pt>
                <c:pt idx="347">
                  <c:v>803</c:v>
                </c:pt>
                <c:pt idx="348">
                  <c:v>803</c:v>
                </c:pt>
                <c:pt idx="349">
                  <c:v>803</c:v>
                </c:pt>
                <c:pt idx="350">
                  <c:v>803</c:v>
                </c:pt>
                <c:pt idx="351">
                  <c:v>804</c:v>
                </c:pt>
                <c:pt idx="352">
                  <c:v>809</c:v>
                </c:pt>
                <c:pt idx="353">
                  <c:v>809</c:v>
                </c:pt>
                <c:pt idx="354">
                  <c:v>812</c:v>
                </c:pt>
                <c:pt idx="355">
                  <c:v>812</c:v>
                </c:pt>
                <c:pt idx="356">
                  <c:v>812</c:v>
                </c:pt>
                <c:pt idx="357">
                  <c:v>812</c:v>
                </c:pt>
                <c:pt idx="358">
                  <c:v>812</c:v>
                </c:pt>
                <c:pt idx="359">
                  <c:v>812</c:v>
                </c:pt>
                <c:pt idx="360">
                  <c:v>812</c:v>
                </c:pt>
                <c:pt idx="361">
                  <c:v>707</c:v>
                </c:pt>
                <c:pt idx="362">
                  <c:v>560</c:v>
                </c:pt>
                <c:pt idx="363">
                  <c:v>600</c:v>
                </c:pt>
                <c:pt idx="364">
                  <c:v>621</c:v>
                </c:pt>
                <c:pt idx="365">
                  <c:v>642</c:v>
                </c:pt>
                <c:pt idx="366">
                  <c:v>650</c:v>
                </c:pt>
                <c:pt idx="367">
                  <c:v>650</c:v>
                </c:pt>
                <c:pt idx="368">
                  <c:v>650</c:v>
                </c:pt>
                <c:pt idx="369">
                  <c:v>650</c:v>
                </c:pt>
                <c:pt idx="370">
                  <c:v>650</c:v>
                </c:pt>
                <c:pt idx="371">
                  <c:v>690</c:v>
                </c:pt>
                <c:pt idx="372">
                  <c:v>694</c:v>
                </c:pt>
                <c:pt idx="373">
                  <c:v>698</c:v>
                </c:pt>
                <c:pt idx="374">
                  <c:v>698</c:v>
                </c:pt>
                <c:pt idx="375">
                  <c:v>698</c:v>
                </c:pt>
                <c:pt idx="376">
                  <c:v>698</c:v>
                </c:pt>
                <c:pt idx="377">
                  <c:v>698</c:v>
                </c:pt>
                <c:pt idx="378">
                  <c:v>698</c:v>
                </c:pt>
                <c:pt idx="379">
                  <c:v>698</c:v>
                </c:pt>
                <c:pt idx="380">
                  <c:v>698</c:v>
                </c:pt>
                <c:pt idx="381">
                  <c:v>698</c:v>
                </c:pt>
                <c:pt idx="382">
                  <c:v>698</c:v>
                </c:pt>
                <c:pt idx="383">
                  <c:v>698</c:v>
                </c:pt>
                <c:pt idx="384">
                  <c:v>698</c:v>
                </c:pt>
                <c:pt idx="385">
                  <c:v>698</c:v>
                </c:pt>
                <c:pt idx="386">
                  <c:v>698</c:v>
                </c:pt>
                <c:pt idx="387">
                  <c:v>698</c:v>
                </c:pt>
                <c:pt idx="388">
                  <c:v>698</c:v>
                </c:pt>
                <c:pt idx="389">
                  <c:v>698</c:v>
                </c:pt>
                <c:pt idx="390">
                  <c:v>698</c:v>
                </c:pt>
                <c:pt idx="391">
                  <c:v>698</c:v>
                </c:pt>
                <c:pt idx="392">
                  <c:v>698</c:v>
                </c:pt>
                <c:pt idx="393">
                  <c:v>698</c:v>
                </c:pt>
                <c:pt idx="394">
                  <c:v>698</c:v>
                </c:pt>
                <c:pt idx="395">
                  <c:v>698</c:v>
                </c:pt>
                <c:pt idx="396">
                  <c:v>698</c:v>
                </c:pt>
                <c:pt idx="397">
                  <c:v>698</c:v>
                </c:pt>
                <c:pt idx="398">
                  <c:v>698</c:v>
                </c:pt>
                <c:pt idx="399">
                  <c:v>698</c:v>
                </c:pt>
                <c:pt idx="400">
                  <c:v>698</c:v>
                </c:pt>
                <c:pt idx="401">
                  <c:v>698</c:v>
                </c:pt>
                <c:pt idx="402">
                  <c:v>698</c:v>
                </c:pt>
                <c:pt idx="403">
                  <c:v>700</c:v>
                </c:pt>
                <c:pt idx="404">
                  <c:v>700</c:v>
                </c:pt>
                <c:pt idx="405">
                  <c:v>700</c:v>
                </c:pt>
                <c:pt idx="406">
                  <c:v>700</c:v>
                </c:pt>
                <c:pt idx="407">
                  <c:v>700</c:v>
                </c:pt>
                <c:pt idx="408">
                  <c:v>700</c:v>
                </c:pt>
                <c:pt idx="409">
                  <c:v>700</c:v>
                </c:pt>
                <c:pt idx="410">
                  <c:v>700</c:v>
                </c:pt>
                <c:pt idx="411">
                  <c:v>700</c:v>
                </c:pt>
                <c:pt idx="412">
                  <c:v>700</c:v>
                </c:pt>
                <c:pt idx="413">
                  <c:v>700</c:v>
                </c:pt>
                <c:pt idx="414">
                  <c:v>700</c:v>
                </c:pt>
                <c:pt idx="415">
                  <c:v>702</c:v>
                </c:pt>
                <c:pt idx="416">
                  <c:v>702</c:v>
                </c:pt>
                <c:pt idx="417">
                  <c:v>705</c:v>
                </c:pt>
                <c:pt idx="418">
                  <c:v>706</c:v>
                </c:pt>
                <c:pt idx="419">
                  <c:v>706</c:v>
                </c:pt>
                <c:pt idx="420">
                  <c:v>707</c:v>
                </c:pt>
                <c:pt idx="421">
                  <c:v>707</c:v>
                </c:pt>
                <c:pt idx="422">
                  <c:v>707</c:v>
                </c:pt>
                <c:pt idx="423">
                  <c:v>707</c:v>
                </c:pt>
                <c:pt idx="424">
                  <c:v>707</c:v>
                </c:pt>
                <c:pt idx="425">
                  <c:v>707</c:v>
                </c:pt>
                <c:pt idx="426">
                  <c:v>749</c:v>
                </c:pt>
                <c:pt idx="427">
                  <c:v>850</c:v>
                </c:pt>
                <c:pt idx="428">
                  <c:v>850</c:v>
                </c:pt>
                <c:pt idx="429">
                  <c:v>850</c:v>
                </c:pt>
                <c:pt idx="430">
                  <c:v>900</c:v>
                </c:pt>
                <c:pt idx="431">
                  <c:v>900</c:v>
                </c:pt>
                <c:pt idx="432">
                  <c:v>953</c:v>
                </c:pt>
                <c:pt idx="433">
                  <c:v>962</c:v>
                </c:pt>
                <c:pt idx="434">
                  <c:v>962</c:v>
                </c:pt>
                <c:pt idx="435">
                  <c:v>972</c:v>
                </c:pt>
                <c:pt idx="436">
                  <c:v>974</c:v>
                </c:pt>
                <c:pt idx="437">
                  <c:v>974</c:v>
                </c:pt>
                <c:pt idx="438">
                  <c:v>974</c:v>
                </c:pt>
                <c:pt idx="439">
                  <c:v>974</c:v>
                </c:pt>
                <c:pt idx="440">
                  <c:v>974</c:v>
                </c:pt>
                <c:pt idx="441">
                  <c:v>974</c:v>
                </c:pt>
                <c:pt idx="442">
                  <c:v>974</c:v>
                </c:pt>
                <c:pt idx="443">
                  <c:v>974</c:v>
                </c:pt>
                <c:pt idx="444">
                  <c:v>974</c:v>
                </c:pt>
                <c:pt idx="445">
                  <c:v>822</c:v>
                </c:pt>
                <c:pt idx="446">
                  <c:v>378</c:v>
                </c:pt>
                <c:pt idx="447">
                  <c:v>543</c:v>
                </c:pt>
                <c:pt idx="448">
                  <c:v>543</c:v>
                </c:pt>
                <c:pt idx="449">
                  <c:v>588</c:v>
                </c:pt>
                <c:pt idx="450">
                  <c:v>588</c:v>
                </c:pt>
                <c:pt idx="451">
                  <c:v>592</c:v>
                </c:pt>
                <c:pt idx="452">
                  <c:v>596</c:v>
                </c:pt>
                <c:pt idx="453">
                  <c:v>601</c:v>
                </c:pt>
                <c:pt idx="454">
                  <c:v>610</c:v>
                </c:pt>
                <c:pt idx="455">
                  <c:v>688</c:v>
                </c:pt>
                <c:pt idx="456">
                  <c:v>700</c:v>
                </c:pt>
                <c:pt idx="457">
                  <c:v>707</c:v>
                </c:pt>
                <c:pt idx="458">
                  <c:v>710</c:v>
                </c:pt>
                <c:pt idx="459">
                  <c:v>724</c:v>
                </c:pt>
                <c:pt idx="460">
                  <c:v>724</c:v>
                </c:pt>
                <c:pt idx="461">
                  <c:v>822</c:v>
                </c:pt>
                <c:pt idx="462">
                  <c:v>822</c:v>
                </c:pt>
                <c:pt idx="463">
                  <c:v>822</c:v>
                </c:pt>
                <c:pt idx="464">
                  <c:v>822</c:v>
                </c:pt>
                <c:pt idx="465">
                  <c:v>822</c:v>
                </c:pt>
                <c:pt idx="466">
                  <c:v>822</c:v>
                </c:pt>
                <c:pt idx="467">
                  <c:v>868</c:v>
                </c:pt>
                <c:pt idx="468">
                  <c:v>875</c:v>
                </c:pt>
                <c:pt idx="469">
                  <c:v>495</c:v>
                </c:pt>
                <c:pt idx="470">
                  <c:v>569</c:v>
                </c:pt>
                <c:pt idx="471">
                  <c:v>699</c:v>
                </c:pt>
                <c:pt idx="472">
                  <c:v>708</c:v>
                </c:pt>
                <c:pt idx="473">
                  <c:v>708</c:v>
                </c:pt>
                <c:pt idx="474">
                  <c:v>737</c:v>
                </c:pt>
                <c:pt idx="475">
                  <c:v>972</c:v>
                </c:pt>
                <c:pt idx="476">
                  <c:v>976</c:v>
                </c:pt>
                <c:pt idx="477">
                  <c:v>646</c:v>
                </c:pt>
                <c:pt idx="478">
                  <c:v>662</c:v>
                </c:pt>
                <c:pt idx="479">
                  <c:v>662</c:v>
                </c:pt>
                <c:pt idx="480">
                  <c:v>668</c:v>
                </c:pt>
                <c:pt idx="481">
                  <c:v>668</c:v>
                </c:pt>
                <c:pt idx="482">
                  <c:v>668</c:v>
                </c:pt>
                <c:pt idx="483">
                  <c:v>668</c:v>
                </c:pt>
                <c:pt idx="484">
                  <c:v>672</c:v>
                </c:pt>
                <c:pt idx="485">
                  <c:v>672</c:v>
                </c:pt>
                <c:pt idx="486">
                  <c:v>700</c:v>
                </c:pt>
                <c:pt idx="487">
                  <c:v>704</c:v>
                </c:pt>
                <c:pt idx="488">
                  <c:v>704</c:v>
                </c:pt>
                <c:pt idx="489">
                  <c:v>704</c:v>
                </c:pt>
                <c:pt idx="490">
                  <c:v>704</c:v>
                </c:pt>
                <c:pt idx="491">
                  <c:v>704</c:v>
                </c:pt>
                <c:pt idx="492">
                  <c:v>704</c:v>
                </c:pt>
                <c:pt idx="493">
                  <c:v>706</c:v>
                </c:pt>
                <c:pt idx="494">
                  <c:v>706</c:v>
                </c:pt>
                <c:pt idx="495">
                  <c:v>706</c:v>
                </c:pt>
                <c:pt idx="496">
                  <c:v>706</c:v>
                </c:pt>
                <c:pt idx="497">
                  <c:v>767</c:v>
                </c:pt>
                <c:pt idx="498">
                  <c:v>767</c:v>
                </c:pt>
                <c:pt idx="499">
                  <c:v>767</c:v>
                </c:pt>
                <c:pt idx="500">
                  <c:v>907</c:v>
                </c:pt>
                <c:pt idx="501">
                  <c:v>907</c:v>
                </c:pt>
                <c:pt idx="502">
                  <c:v>907</c:v>
                </c:pt>
                <c:pt idx="503">
                  <c:v>907</c:v>
                </c:pt>
                <c:pt idx="504">
                  <c:v>928</c:v>
                </c:pt>
                <c:pt idx="505">
                  <c:v>928</c:v>
                </c:pt>
                <c:pt idx="506">
                  <c:v>951</c:v>
                </c:pt>
                <c:pt idx="507">
                  <c:v>542</c:v>
                </c:pt>
                <c:pt idx="508">
                  <c:v>542</c:v>
                </c:pt>
                <c:pt idx="509">
                  <c:v>542</c:v>
                </c:pt>
                <c:pt idx="510">
                  <c:v>639</c:v>
                </c:pt>
                <c:pt idx="511">
                  <c:v>716</c:v>
                </c:pt>
                <c:pt idx="512">
                  <c:v>797</c:v>
                </c:pt>
                <c:pt idx="513">
                  <c:v>801</c:v>
                </c:pt>
                <c:pt idx="514">
                  <c:v>802</c:v>
                </c:pt>
                <c:pt idx="515">
                  <c:v>802</c:v>
                </c:pt>
                <c:pt idx="516">
                  <c:v>802</c:v>
                </c:pt>
                <c:pt idx="517">
                  <c:v>812</c:v>
                </c:pt>
                <c:pt idx="518">
                  <c:v>855</c:v>
                </c:pt>
                <c:pt idx="519">
                  <c:v>855</c:v>
                </c:pt>
                <c:pt idx="520">
                  <c:v>905</c:v>
                </c:pt>
                <c:pt idx="521">
                  <c:v>550</c:v>
                </c:pt>
                <c:pt idx="522">
                  <c:v>561</c:v>
                </c:pt>
                <c:pt idx="523">
                  <c:v>566</c:v>
                </c:pt>
                <c:pt idx="524">
                  <c:v>566</c:v>
                </c:pt>
                <c:pt idx="525">
                  <c:v>566</c:v>
                </c:pt>
                <c:pt idx="526">
                  <c:v>598</c:v>
                </c:pt>
                <c:pt idx="527">
                  <c:v>630</c:v>
                </c:pt>
                <c:pt idx="528">
                  <c:v>646</c:v>
                </c:pt>
                <c:pt idx="529">
                  <c:v>650</c:v>
                </c:pt>
                <c:pt idx="530">
                  <c:v>650</c:v>
                </c:pt>
                <c:pt idx="531">
                  <c:v>650</c:v>
                </c:pt>
                <c:pt idx="532">
                  <c:v>737</c:v>
                </c:pt>
                <c:pt idx="533">
                  <c:v>756</c:v>
                </c:pt>
                <c:pt idx="534">
                  <c:v>779</c:v>
                </c:pt>
                <c:pt idx="535">
                  <c:v>779</c:v>
                </c:pt>
                <c:pt idx="536">
                  <c:v>846</c:v>
                </c:pt>
                <c:pt idx="537">
                  <c:v>882</c:v>
                </c:pt>
                <c:pt idx="538">
                  <c:v>400</c:v>
                </c:pt>
                <c:pt idx="539">
                  <c:v>443</c:v>
                </c:pt>
                <c:pt idx="540">
                  <c:v>495</c:v>
                </c:pt>
                <c:pt idx="541">
                  <c:v>495</c:v>
                </c:pt>
                <c:pt idx="542">
                  <c:v>500</c:v>
                </c:pt>
                <c:pt idx="543">
                  <c:v>500</c:v>
                </c:pt>
                <c:pt idx="544">
                  <c:v>513</c:v>
                </c:pt>
                <c:pt idx="545">
                  <c:v>560</c:v>
                </c:pt>
                <c:pt idx="546">
                  <c:v>560</c:v>
                </c:pt>
                <c:pt idx="547">
                  <c:v>560</c:v>
                </c:pt>
                <c:pt idx="548">
                  <c:v>585</c:v>
                </c:pt>
                <c:pt idx="549">
                  <c:v>585</c:v>
                </c:pt>
                <c:pt idx="550">
                  <c:v>585</c:v>
                </c:pt>
                <c:pt idx="551">
                  <c:v>614</c:v>
                </c:pt>
                <c:pt idx="552">
                  <c:v>665</c:v>
                </c:pt>
                <c:pt idx="553">
                  <c:v>714</c:v>
                </c:pt>
                <c:pt idx="554">
                  <c:v>732</c:v>
                </c:pt>
                <c:pt idx="555">
                  <c:v>746</c:v>
                </c:pt>
                <c:pt idx="556">
                  <c:v>752</c:v>
                </c:pt>
                <c:pt idx="557">
                  <c:v>752</c:v>
                </c:pt>
                <c:pt idx="558">
                  <c:v>777</c:v>
                </c:pt>
                <c:pt idx="559">
                  <c:v>818</c:v>
                </c:pt>
                <c:pt idx="560">
                  <c:v>889</c:v>
                </c:pt>
                <c:pt idx="561">
                  <c:v>889</c:v>
                </c:pt>
                <c:pt idx="562">
                  <c:v>900</c:v>
                </c:pt>
                <c:pt idx="563">
                  <c:v>900</c:v>
                </c:pt>
                <c:pt idx="564">
                  <c:v>908</c:v>
                </c:pt>
                <c:pt idx="565">
                  <c:v>915</c:v>
                </c:pt>
                <c:pt idx="566">
                  <c:v>920</c:v>
                </c:pt>
                <c:pt idx="567">
                  <c:v>957</c:v>
                </c:pt>
                <c:pt idx="568">
                  <c:v>585</c:v>
                </c:pt>
                <c:pt idx="569">
                  <c:v>413</c:v>
                </c:pt>
                <c:pt idx="570">
                  <c:v>700</c:v>
                </c:pt>
                <c:pt idx="571">
                  <c:v>700</c:v>
                </c:pt>
                <c:pt idx="572">
                  <c:v>777</c:v>
                </c:pt>
                <c:pt idx="573">
                  <c:v>777</c:v>
                </c:pt>
                <c:pt idx="574">
                  <c:v>777</c:v>
                </c:pt>
                <c:pt idx="575">
                  <c:v>846</c:v>
                </c:pt>
                <c:pt idx="576">
                  <c:v>846</c:v>
                </c:pt>
                <c:pt idx="577">
                  <c:v>846</c:v>
                </c:pt>
                <c:pt idx="578">
                  <c:v>907</c:v>
                </c:pt>
                <c:pt idx="579">
                  <c:v>907</c:v>
                </c:pt>
                <c:pt idx="580">
                  <c:v>915</c:v>
                </c:pt>
                <c:pt idx="581">
                  <c:v>932</c:v>
                </c:pt>
                <c:pt idx="582">
                  <c:v>938</c:v>
                </c:pt>
                <c:pt idx="583">
                  <c:v>938</c:v>
                </c:pt>
                <c:pt idx="584">
                  <c:v>938</c:v>
                </c:pt>
                <c:pt idx="585">
                  <c:v>938</c:v>
                </c:pt>
                <c:pt idx="586">
                  <c:v>938</c:v>
                </c:pt>
                <c:pt idx="587">
                  <c:v>568</c:v>
                </c:pt>
                <c:pt idx="588">
                  <c:v>700</c:v>
                </c:pt>
                <c:pt idx="589">
                  <c:v>714</c:v>
                </c:pt>
                <c:pt idx="590">
                  <c:v>714</c:v>
                </c:pt>
                <c:pt idx="591">
                  <c:v>736</c:v>
                </c:pt>
                <c:pt idx="592">
                  <c:v>750</c:v>
                </c:pt>
                <c:pt idx="593">
                  <c:v>787</c:v>
                </c:pt>
                <c:pt idx="594">
                  <c:v>787</c:v>
                </c:pt>
                <c:pt idx="595">
                  <c:v>816</c:v>
                </c:pt>
                <c:pt idx="596">
                  <c:v>816</c:v>
                </c:pt>
                <c:pt idx="597">
                  <c:v>831</c:v>
                </c:pt>
                <c:pt idx="598">
                  <c:v>831</c:v>
                </c:pt>
                <c:pt idx="599">
                  <c:v>831</c:v>
                </c:pt>
                <c:pt idx="600">
                  <c:v>831</c:v>
                </c:pt>
                <c:pt idx="601">
                  <c:v>831</c:v>
                </c:pt>
                <c:pt idx="602">
                  <c:v>831</c:v>
                </c:pt>
                <c:pt idx="603">
                  <c:v>831</c:v>
                </c:pt>
                <c:pt idx="604">
                  <c:v>831</c:v>
                </c:pt>
                <c:pt idx="605">
                  <c:v>836</c:v>
                </c:pt>
                <c:pt idx="606">
                  <c:v>847</c:v>
                </c:pt>
                <c:pt idx="607">
                  <c:v>848</c:v>
                </c:pt>
                <c:pt idx="608">
                  <c:v>858</c:v>
                </c:pt>
                <c:pt idx="609">
                  <c:v>900</c:v>
                </c:pt>
                <c:pt idx="610">
                  <c:v>900</c:v>
                </c:pt>
                <c:pt idx="611">
                  <c:v>900</c:v>
                </c:pt>
                <c:pt idx="612">
                  <c:v>907</c:v>
                </c:pt>
                <c:pt idx="613">
                  <c:v>907</c:v>
                </c:pt>
                <c:pt idx="614">
                  <c:v>907</c:v>
                </c:pt>
                <c:pt idx="615">
                  <c:v>908</c:v>
                </c:pt>
                <c:pt idx="616">
                  <c:v>908</c:v>
                </c:pt>
                <c:pt idx="617">
                  <c:v>908</c:v>
                </c:pt>
                <c:pt idx="618">
                  <c:v>925</c:v>
                </c:pt>
                <c:pt idx="619">
                  <c:v>930</c:v>
                </c:pt>
                <c:pt idx="620">
                  <c:v>953</c:v>
                </c:pt>
                <c:pt idx="621">
                  <c:v>958</c:v>
                </c:pt>
                <c:pt idx="622">
                  <c:v>958</c:v>
                </c:pt>
                <c:pt idx="623">
                  <c:v>962</c:v>
                </c:pt>
                <c:pt idx="624">
                  <c:v>962</c:v>
                </c:pt>
                <c:pt idx="625">
                  <c:v>962</c:v>
                </c:pt>
                <c:pt idx="626">
                  <c:v>962</c:v>
                </c:pt>
                <c:pt idx="627">
                  <c:v>962</c:v>
                </c:pt>
                <c:pt idx="628">
                  <c:v>962</c:v>
                </c:pt>
                <c:pt idx="629">
                  <c:v>962</c:v>
                </c:pt>
                <c:pt idx="630">
                  <c:v>975</c:v>
                </c:pt>
                <c:pt idx="631">
                  <c:v>975</c:v>
                </c:pt>
                <c:pt idx="632">
                  <c:v>600</c:v>
                </c:pt>
                <c:pt idx="633">
                  <c:v>726</c:v>
                </c:pt>
                <c:pt idx="634">
                  <c:v>841</c:v>
                </c:pt>
                <c:pt idx="635">
                  <c:v>841</c:v>
                </c:pt>
                <c:pt idx="636">
                  <c:v>844</c:v>
                </c:pt>
                <c:pt idx="637">
                  <c:v>858</c:v>
                </c:pt>
                <c:pt idx="638">
                  <c:v>860</c:v>
                </c:pt>
                <c:pt idx="639">
                  <c:v>870</c:v>
                </c:pt>
                <c:pt idx="640">
                  <c:v>646</c:v>
                </c:pt>
                <c:pt idx="641">
                  <c:v>725</c:v>
                </c:pt>
                <c:pt idx="642">
                  <c:v>725</c:v>
                </c:pt>
                <c:pt idx="643">
                  <c:v>734</c:v>
                </c:pt>
                <c:pt idx="644">
                  <c:v>864</c:v>
                </c:pt>
                <c:pt idx="645">
                  <c:v>977</c:v>
                </c:pt>
                <c:pt idx="646">
                  <c:v>977</c:v>
                </c:pt>
                <c:pt idx="647">
                  <c:v>980</c:v>
                </c:pt>
                <c:pt idx="648">
                  <c:v>866</c:v>
                </c:pt>
                <c:pt idx="649">
                  <c:v>908</c:v>
                </c:pt>
                <c:pt idx="650">
                  <c:v>908</c:v>
                </c:pt>
                <c:pt idx="651">
                  <c:v>951</c:v>
                </c:pt>
                <c:pt idx="652">
                  <c:v>972</c:v>
                </c:pt>
                <c:pt idx="653">
                  <c:v>834</c:v>
                </c:pt>
                <c:pt idx="654">
                  <c:v>834</c:v>
                </c:pt>
                <c:pt idx="655">
                  <c:v>834</c:v>
                </c:pt>
                <c:pt idx="656">
                  <c:v>834</c:v>
                </c:pt>
                <c:pt idx="657">
                  <c:v>834</c:v>
                </c:pt>
                <c:pt idx="658">
                  <c:v>836</c:v>
                </c:pt>
                <c:pt idx="659">
                  <c:v>856</c:v>
                </c:pt>
                <c:pt idx="660">
                  <c:v>860</c:v>
                </c:pt>
                <c:pt idx="661">
                  <c:v>877</c:v>
                </c:pt>
                <c:pt idx="662">
                  <c:v>880</c:v>
                </c:pt>
                <c:pt idx="663">
                  <c:v>908</c:v>
                </c:pt>
                <c:pt idx="664">
                  <c:v>908</c:v>
                </c:pt>
                <c:pt idx="665">
                  <c:v>972</c:v>
                </c:pt>
                <c:pt idx="666">
                  <c:v>671</c:v>
                </c:pt>
                <c:pt idx="667">
                  <c:v>732</c:v>
                </c:pt>
                <c:pt idx="668">
                  <c:v>736</c:v>
                </c:pt>
                <c:pt idx="669">
                  <c:v>744</c:v>
                </c:pt>
                <c:pt idx="670">
                  <c:v>830</c:v>
                </c:pt>
                <c:pt idx="671">
                  <c:v>830</c:v>
                </c:pt>
                <c:pt idx="672">
                  <c:v>834</c:v>
                </c:pt>
                <c:pt idx="673">
                  <c:v>834</c:v>
                </c:pt>
                <c:pt idx="674">
                  <c:v>834</c:v>
                </c:pt>
                <c:pt idx="675">
                  <c:v>834</c:v>
                </c:pt>
                <c:pt idx="676">
                  <c:v>847</c:v>
                </c:pt>
                <c:pt idx="677">
                  <c:v>847</c:v>
                </c:pt>
                <c:pt idx="678">
                  <c:v>862</c:v>
                </c:pt>
                <c:pt idx="679">
                  <c:v>862</c:v>
                </c:pt>
                <c:pt idx="680">
                  <c:v>862</c:v>
                </c:pt>
                <c:pt idx="681">
                  <c:v>862</c:v>
                </c:pt>
                <c:pt idx="682">
                  <c:v>862</c:v>
                </c:pt>
                <c:pt idx="683">
                  <c:v>862</c:v>
                </c:pt>
                <c:pt idx="684">
                  <c:v>862</c:v>
                </c:pt>
                <c:pt idx="685">
                  <c:v>862</c:v>
                </c:pt>
                <c:pt idx="686">
                  <c:v>862</c:v>
                </c:pt>
                <c:pt idx="687">
                  <c:v>862</c:v>
                </c:pt>
                <c:pt idx="688">
                  <c:v>862</c:v>
                </c:pt>
                <c:pt idx="689">
                  <c:v>862</c:v>
                </c:pt>
                <c:pt idx="690">
                  <c:v>868</c:v>
                </c:pt>
                <c:pt idx="691">
                  <c:v>868</c:v>
                </c:pt>
                <c:pt idx="692">
                  <c:v>868</c:v>
                </c:pt>
                <c:pt idx="693">
                  <c:v>868</c:v>
                </c:pt>
                <c:pt idx="694">
                  <c:v>868</c:v>
                </c:pt>
                <c:pt idx="695">
                  <c:v>868</c:v>
                </c:pt>
                <c:pt idx="696">
                  <c:v>868</c:v>
                </c:pt>
                <c:pt idx="697">
                  <c:v>868</c:v>
                </c:pt>
                <c:pt idx="698">
                  <c:v>868</c:v>
                </c:pt>
                <c:pt idx="699">
                  <c:v>868</c:v>
                </c:pt>
                <c:pt idx="700">
                  <c:v>868</c:v>
                </c:pt>
                <c:pt idx="701">
                  <c:v>868</c:v>
                </c:pt>
                <c:pt idx="702">
                  <c:v>868</c:v>
                </c:pt>
                <c:pt idx="703">
                  <c:v>868</c:v>
                </c:pt>
                <c:pt idx="704">
                  <c:v>868</c:v>
                </c:pt>
                <c:pt idx="705">
                  <c:v>868</c:v>
                </c:pt>
                <c:pt idx="706">
                  <c:v>868</c:v>
                </c:pt>
                <c:pt idx="707">
                  <c:v>868</c:v>
                </c:pt>
                <c:pt idx="708">
                  <c:v>868</c:v>
                </c:pt>
                <c:pt idx="709">
                  <c:v>868</c:v>
                </c:pt>
                <c:pt idx="710">
                  <c:v>868</c:v>
                </c:pt>
                <c:pt idx="711">
                  <c:v>868</c:v>
                </c:pt>
                <c:pt idx="712">
                  <c:v>868</c:v>
                </c:pt>
                <c:pt idx="713">
                  <c:v>868</c:v>
                </c:pt>
                <c:pt idx="714">
                  <c:v>868</c:v>
                </c:pt>
                <c:pt idx="715">
                  <c:v>868</c:v>
                </c:pt>
                <c:pt idx="716">
                  <c:v>868</c:v>
                </c:pt>
                <c:pt idx="717">
                  <c:v>868</c:v>
                </c:pt>
                <c:pt idx="718">
                  <c:v>868</c:v>
                </c:pt>
                <c:pt idx="719">
                  <c:v>874</c:v>
                </c:pt>
                <c:pt idx="720">
                  <c:v>875</c:v>
                </c:pt>
                <c:pt idx="721">
                  <c:v>877</c:v>
                </c:pt>
                <c:pt idx="722">
                  <c:v>877</c:v>
                </c:pt>
                <c:pt idx="723">
                  <c:v>880</c:v>
                </c:pt>
                <c:pt idx="724">
                  <c:v>880</c:v>
                </c:pt>
                <c:pt idx="725">
                  <c:v>880</c:v>
                </c:pt>
                <c:pt idx="726">
                  <c:v>880</c:v>
                </c:pt>
                <c:pt idx="727">
                  <c:v>880</c:v>
                </c:pt>
                <c:pt idx="728">
                  <c:v>880</c:v>
                </c:pt>
                <c:pt idx="729">
                  <c:v>880</c:v>
                </c:pt>
                <c:pt idx="730">
                  <c:v>887</c:v>
                </c:pt>
                <c:pt idx="731">
                  <c:v>923</c:v>
                </c:pt>
                <c:pt idx="732">
                  <c:v>923</c:v>
                </c:pt>
                <c:pt idx="733">
                  <c:v>925</c:v>
                </c:pt>
                <c:pt idx="734">
                  <c:v>925</c:v>
                </c:pt>
                <c:pt idx="735">
                  <c:v>754</c:v>
                </c:pt>
                <c:pt idx="736">
                  <c:v>525</c:v>
                </c:pt>
                <c:pt idx="737">
                  <c:v>818</c:v>
                </c:pt>
                <c:pt idx="738">
                  <c:v>818</c:v>
                </c:pt>
                <c:pt idx="739">
                  <c:v>818</c:v>
                </c:pt>
                <c:pt idx="740">
                  <c:v>902</c:v>
                </c:pt>
                <c:pt idx="741">
                  <c:v>908</c:v>
                </c:pt>
                <c:pt idx="742">
                  <c:v>908</c:v>
                </c:pt>
                <c:pt idx="743">
                  <c:v>916</c:v>
                </c:pt>
                <c:pt idx="744">
                  <c:v>916</c:v>
                </c:pt>
                <c:pt idx="745">
                  <c:v>954</c:v>
                </c:pt>
                <c:pt idx="746">
                  <c:v>957</c:v>
                </c:pt>
                <c:pt idx="747">
                  <c:v>957</c:v>
                </c:pt>
                <c:pt idx="748">
                  <c:v>957</c:v>
                </c:pt>
                <c:pt idx="749">
                  <c:v>957</c:v>
                </c:pt>
                <c:pt idx="750">
                  <c:v>957</c:v>
                </c:pt>
                <c:pt idx="751">
                  <c:v>957</c:v>
                </c:pt>
                <c:pt idx="752">
                  <c:v>957</c:v>
                </c:pt>
                <c:pt idx="753">
                  <c:v>957</c:v>
                </c:pt>
                <c:pt idx="754">
                  <c:v>957</c:v>
                </c:pt>
                <c:pt idx="755">
                  <c:v>957</c:v>
                </c:pt>
                <c:pt idx="756">
                  <c:v>957</c:v>
                </c:pt>
                <c:pt idx="757">
                  <c:v>966</c:v>
                </c:pt>
                <c:pt idx="758">
                  <c:v>966</c:v>
                </c:pt>
                <c:pt idx="759">
                  <c:v>966</c:v>
                </c:pt>
                <c:pt idx="760">
                  <c:v>966</c:v>
                </c:pt>
                <c:pt idx="761">
                  <c:v>966</c:v>
                </c:pt>
                <c:pt idx="762">
                  <c:v>966</c:v>
                </c:pt>
                <c:pt idx="763">
                  <c:v>970</c:v>
                </c:pt>
                <c:pt idx="764">
                  <c:v>972</c:v>
                </c:pt>
                <c:pt idx="765">
                  <c:v>980</c:v>
                </c:pt>
                <c:pt idx="766">
                  <c:v>980</c:v>
                </c:pt>
                <c:pt idx="767">
                  <c:v>980</c:v>
                </c:pt>
                <c:pt idx="768">
                  <c:v>990</c:v>
                </c:pt>
                <c:pt idx="769">
                  <c:v>998</c:v>
                </c:pt>
                <c:pt idx="770">
                  <c:v>933</c:v>
                </c:pt>
                <c:pt idx="771">
                  <c:v>956</c:v>
                </c:pt>
                <c:pt idx="772">
                  <c:v>960</c:v>
                </c:pt>
                <c:pt idx="773">
                  <c:v>966</c:v>
                </c:pt>
                <c:pt idx="774">
                  <c:v>724</c:v>
                </c:pt>
                <c:pt idx="775">
                  <c:v>750</c:v>
                </c:pt>
                <c:pt idx="776">
                  <c:v>862</c:v>
                </c:pt>
                <c:pt idx="777">
                  <c:v>570</c:v>
                </c:pt>
                <c:pt idx="778">
                  <c:v>710</c:v>
                </c:pt>
                <c:pt idx="779">
                  <c:v>910</c:v>
                </c:pt>
                <c:pt idx="780">
                  <c:v>942</c:v>
                </c:pt>
                <c:pt idx="781">
                  <c:v>977</c:v>
                </c:pt>
                <c:pt idx="782">
                  <c:v>980</c:v>
                </c:pt>
                <c:pt idx="783">
                  <c:v>903</c:v>
                </c:pt>
                <c:pt idx="784">
                  <c:v>957</c:v>
                </c:pt>
              </c:numCache>
            </c:numRef>
          </c:xVal>
          <c:yVal>
            <c:numRef>
              <c:f>'Plot TEU by draught'!$B$2:$B$786</c:f>
              <c:numCache>
                <c:formatCode>General</c:formatCode>
                <c:ptCount val="785"/>
                <c:pt idx="0">
                  <c:v>2.2999999999999998</c:v>
                </c:pt>
                <c:pt idx="1">
                  <c:v>3.2</c:v>
                </c:pt>
                <c:pt idx="2">
                  <c:v>3.2</c:v>
                </c:pt>
                <c:pt idx="3">
                  <c:v>3.5</c:v>
                </c:pt>
                <c:pt idx="4">
                  <c:v>3.5</c:v>
                </c:pt>
                <c:pt idx="5">
                  <c:v>3.6</c:v>
                </c:pt>
                <c:pt idx="6">
                  <c:v>3.6</c:v>
                </c:pt>
                <c:pt idx="7">
                  <c:v>3.6</c:v>
                </c:pt>
                <c:pt idx="8">
                  <c:v>3.7</c:v>
                </c:pt>
                <c:pt idx="9">
                  <c:v>3.8</c:v>
                </c:pt>
                <c:pt idx="10">
                  <c:v>3.9</c:v>
                </c:pt>
                <c:pt idx="11">
                  <c:v>4</c:v>
                </c:pt>
                <c:pt idx="12">
                  <c:v>4</c:v>
                </c:pt>
                <c:pt idx="13">
                  <c:v>4.0999999999999996</c:v>
                </c:pt>
                <c:pt idx="14">
                  <c:v>4.2</c:v>
                </c:pt>
                <c:pt idx="15">
                  <c:v>4.2</c:v>
                </c:pt>
                <c:pt idx="16">
                  <c:v>4.2</c:v>
                </c:pt>
                <c:pt idx="17">
                  <c:v>4.2</c:v>
                </c:pt>
                <c:pt idx="18">
                  <c:v>4.2</c:v>
                </c:pt>
                <c:pt idx="19">
                  <c:v>4.2</c:v>
                </c:pt>
                <c:pt idx="20">
                  <c:v>4.2</c:v>
                </c:pt>
                <c:pt idx="21">
                  <c:v>4.2</c:v>
                </c:pt>
                <c:pt idx="22">
                  <c:v>4.3</c:v>
                </c:pt>
                <c:pt idx="23">
                  <c:v>4.3</c:v>
                </c:pt>
                <c:pt idx="24">
                  <c:v>4.3</c:v>
                </c:pt>
                <c:pt idx="25">
                  <c:v>4.3</c:v>
                </c:pt>
                <c:pt idx="26">
                  <c:v>4.3</c:v>
                </c:pt>
                <c:pt idx="27">
                  <c:v>4.3</c:v>
                </c:pt>
                <c:pt idx="28">
                  <c:v>4.4000000000000004</c:v>
                </c:pt>
                <c:pt idx="29">
                  <c:v>4.4000000000000004</c:v>
                </c:pt>
                <c:pt idx="30">
                  <c:v>4.5</c:v>
                </c:pt>
                <c:pt idx="31">
                  <c:v>4.5</c:v>
                </c:pt>
                <c:pt idx="32">
                  <c:v>4.5</c:v>
                </c:pt>
                <c:pt idx="33">
                  <c:v>4.5</c:v>
                </c:pt>
                <c:pt idx="34">
                  <c:v>4.6900000000000004</c:v>
                </c:pt>
                <c:pt idx="35">
                  <c:v>4.8</c:v>
                </c:pt>
                <c:pt idx="36">
                  <c:v>4.8</c:v>
                </c:pt>
                <c:pt idx="37">
                  <c:v>4.8</c:v>
                </c:pt>
                <c:pt idx="38">
                  <c:v>4.8</c:v>
                </c:pt>
                <c:pt idx="39">
                  <c:v>4.9000000000000004</c:v>
                </c:pt>
                <c:pt idx="40">
                  <c:v>4.9000000000000004</c:v>
                </c:pt>
                <c:pt idx="41">
                  <c:v>4.9000000000000004</c:v>
                </c:pt>
                <c:pt idx="42">
                  <c:v>4.9000000000000004</c:v>
                </c:pt>
                <c:pt idx="43">
                  <c:v>4.9000000000000004</c:v>
                </c:pt>
                <c:pt idx="44">
                  <c:v>4.9000000000000004</c:v>
                </c:pt>
                <c:pt idx="45">
                  <c:v>4.9000000000000004</c:v>
                </c:pt>
                <c:pt idx="46">
                  <c:v>4.9000000000000004</c:v>
                </c:pt>
                <c:pt idx="47">
                  <c:v>4.9000000000000004</c:v>
                </c:pt>
                <c:pt idx="48">
                  <c:v>5</c:v>
                </c:pt>
                <c:pt idx="49">
                  <c:v>5</c:v>
                </c:pt>
                <c:pt idx="50">
                  <c:v>5</c:v>
                </c:pt>
                <c:pt idx="51">
                  <c:v>5.0999999999999996</c:v>
                </c:pt>
                <c:pt idx="52">
                  <c:v>5.0999999999999996</c:v>
                </c:pt>
                <c:pt idx="53">
                  <c:v>5.2</c:v>
                </c:pt>
                <c:pt idx="54">
                  <c:v>5.2</c:v>
                </c:pt>
                <c:pt idx="55">
                  <c:v>5.2</c:v>
                </c:pt>
                <c:pt idx="56">
                  <c:v>5.2</c:v>
                </c:pt>
                <c:pt idx="57">
                  <c:v>5.2</c:v>
                </c:pt>
                <c:pt idx="58">
                  <c:v>5.2</c:v>
                </c:pt>
                <c:pt idx="59">
                  <c:v>5.2</c:v>
                </c:pt>
                <c:pt idx="60">
                  <c:v>5.2</c:v>
                </c:pt>
                <c:pt idx="61">
                  <c:v>5.3</c:v>
                </c:pt>
                <c:pt idx="62">
                  <c:v>5.3</c:v>
                </c:pt>
                <c:pt idx="63">
                  <c:v>5.3</c:v>
                </c:pt>
                <c:pt idx="64">
                  <c:v>5.4</c:v>
                </c:pt>
                <c:pt idx="65">
                  <c:v>5.4</c:v>
                </c:pt>
                <c:pt idx="66">
                  <c:v>5.5</c:v>
                </c:pt>
                <c:pt idx="67">
                  <c:v>5.5</c:v>
                </c:pt>
                <c:pt idx="68">
                  <c:v>5.5</c:v>
                </c:pt>
                <c:pt idx="69">
                  <c:v>5.5</c:v>
                </c:pt>
                <c:pt idx="70">
                  <c:v>5.5</c:v>
                </c:pt>
                <c:pt idx="71">
                  <c:v>5.6</c:v>
                </c:pt>
                <c:pt idx="72">
                  <c:v>5.6</c:v>
                </c:pt>
                <c:pt idx="73">
                  <c:v>5.7</c:v>
                </c:pt>
                <c:pt idx="74">
                  <c:v>5.7</c:v>
                </c:pt>
                <c:pt idx="75">
                  <c:v>5.7</c:v>
                </c:pt>
                <c:pt idx="76">
                  <c:v>5.7</c:v>
                </c:pt>
                <c:pt idx="77">
                  <c:v>5.7</c:v>
                </c:pt>
                <c:pt idx="78">
                  <c:v>5.7</c:v>
                </c:pt>
                <c:pt idx="79">
                  <c:v>5.7</c:v>
                </c:pt>
                <c:pt idx="80">
                  <c:v>5.8</c:v>
                </c:pt>
                <c:pt idx="81">
                  <c:v>5.8</c:v>
                </c:pt>
                <c:pt idx="82">
                  <c:v>5.8</c:v>
                </c:pt>
                <c:pt idx="83">
                  <c:v>5.8</c:v>
                </c:pt>
                <c:pt idx="84">
                  <c:v>5.8</c:v>
                </c:pt>
                <c:pt idx="85">
                  <c:v>5.9</c:v>
                </c:pt>
                <c:pt idx="86">
                  <c:v>5.9</c:v>
                </c:pt>
                <c:pt idx="87">
                  <c:v>6</c:v>
                </c:pt>
                <c:pt idx="88">
                  <c:v>6</c:v>
                </c:pt>
                <c:pt idx="89">
                  <c:v>6</c:v>
                </c:pt>
                <c:pt idx="90">
                  <c:v>6</c:v>
                </c:pt>
                <c:pt idx="91">
                  <c:v>6</c:v>
                </c:pt>
                <c:pt idx="92">
                  <c:v>6</c:v>
                </c:pt>
                <c:pt idx="93">
                  <c:v>6</c:v>
                </c:pt>
                <c:pt idx="94">
                  <c:v>6</c:v>
                </c:pt>
                <c:pt idx="95">
                  <c:v>6</c:v>
                </c:pt>
                <c:pt idx="96">
                  <c:v>6</c:v>
                </c:pt>
                <c:pt idx="97">
                  <c:v>6</c:v>
                </c:pt>
                <c:pt idx="98">
                  <c:v>6</c:v>
                </c:pt>
                <c:pt idx="99">
                  <c:v>6.1</c:v>
                </c:pt>
                <c:pt idx="100">
                  <c:v>6.1</c:v>
                </c:pt>
                <c:pt idx="101">
                  <c:v>6.1</c:v>
                </c:pt>
                <c:pt idx="102">
                  <c:v>6.1</c:v>
                </c:pt>
                <c:pt idx="103">
                  <c:v>6.1</c:v>
                </c:pt>
                <c:pt idx="104">
                  <c:v>6.1</c:v>
                </c:pt>
                <c:pt idx="105">
                  <c:v>6.2</c:v>
                </c:pt>
                <c:pt idx="106">
                  <c:v>6.2</c:v>
                </c:pt>
                <c:pt idx="107">
                  <c:v>6.2</c:v>
                </c:pt>
                <c:pt idx="108">
                  <c:v>6.2</c:v>
                </c:pt>
                <c:pt idx="109">
                  <c:v>6.2</c:v>
                </c:pt>
                <c:pt idx="110">
                  <c:v>6.3</c:v>
                </c:pt>
                <c:pt idx="111">
                  <c:v>6.3</c:v>
                </c:pt>
                <c:pt idx="112">
                  <c:v>6.3</c:v>
                </c:pt>
                <c:pt idx="113">
                  <c:v>6.3</c:v>
                </c:pt>
                <c:pt idx="114">
                  <c:v>6.3</c:v>
                </c:pt>
                <c:pt idx="115">
                  <c:v>6.3</c:v>
                </c:pt>
                <c:pt idx="116">
                  <c:v>6.4</c:v>
                </c:pt>
                <c:pt idx="117">
                  <c:v>6.4</c:v>
                </c:pt>
                <c:pt idx="118">
                  <c:v>6.4</c:v>
                </c:pt>
                <c:pt idx="119">
                  <c:v>6.4</c:v>
                </c:pt>
                <c:pt idx="120">
                  <c:v>6.4</c:v>
                </c:pt>
                <c:pt idx="121">
                  <c:v>6.4</c:v>
                </c:pt>
                <c:pt idx="122">
                  <c:v>6.4</c:v>
                </c:pt>
                <c:pt idx="123">
                  <c:v>6.4</c:v>
                </c:pt>
                <c:pt idx="124">
                  <c:v>6.4</c:v>
                </c:pt>
                <c:pt idx="125">
                  <c:v>6.5</c:v>
                </c:pt>
                <c:pt idx="126">
                  <c:v>6.5</c:v>
                </c:pt>
                <c:pt idx="127">
                  <c:v>6.5</c:v>
                </c:pt>
                <c:pt idx="128">
                  <c:v>6.5</c:v>
                </c:pt>
                <c:pt idx="129">
                  <c:v>6.5</c:v>
                </c:pt>
                <c:pt idx="130">
                  <c:v>6.5</c:v>
                </c:pt>
                <c:pt idx="131">
                  <c:v>6.5</c:v>
                </c:pt>
                <c:pt idx="132">
                  <c:v>6.5</c:v>
                </c:pt>
                <c:pt idx="133">
                  <c:v>6.5</c:v>
                </c:pt>
                <c:pt idx="134">
                  <c:v>6.5</c:v>
                </c:pt>
                <c:pt idx="135">
                  <c:v>6.5</c:v>
                </c:pt>
                <c:pt idx="136">
                  <c:v>6.5</c:v>
                </c:pt>
                <c:pt idx="137">
                  <c:v>6.5</c:v>
                </c:pt>
                <c:pt idx="138">
                  <c:v>6.5</c:v>
                </c:pt>
                <c:pt idx="139">
                  <c:v>6.5</c:v>
                </c:pt>
                <c:pt idx="140">
                  <c:v>6.5</c:v>
                </c:pt>
                <c:pt idx="141">
                  <c:v>6.5</c:v>
                </c:pt>
                <c:pt idx="142">
                  <c:v>6.5</c:v>
                </c:pt>
                <c:pt idx="143">
                  <c:v>6.5</c:v>
                </c:pt>
                <c:pt idx="144">
                  <c:v>6.5</c:v>
                </c:pt>
                <c:pt idx="145">
                  <c:v>6.5</c:v>
                </c:pt>
                <c:pt idx="146">
                  <c:v>6.5</c:v>
                </c:pt>
                <c:pt idx="147">
                  <c:v>6.5</c:v>
                </c:pt>
                <c:pt idx="148">
                  <c:v>6.5</c:v>
                </c:pt>
                <c:pt idx="149">
                  <c:v>6.5</c:v>
                </c:pt>
                <c:pt idx="150">
                  <c:v>6.5</c:v>
                </c:pt>
                <c:pt idx="151">
                  <c:v>6.5</c:v>
                </c:pt>
                <c:pt idx="152">
                  <c:v>6.5</c:v>
                </c:pt>
                <c:pt idx="153">
                  <c:v>6.5</c:v>
                </c:pt>
                <c:pt idx="154">
                  <c:v>6.5</c:v>
                </c:pt>
                <c:pt idx="155">
                  <c:v>6.5</c:v>
                </c:pt>
                <c:pt idx="156">
                  <c:v>6.5</c:v>
                </c:pt>
                <c:pt idx="157">
                  <c:v>6.5</c:v>
                </c:pt>
                <c:pt idx="158">
                  <c:v>6.5</c:v>
                </c:pt>
                <c:pt idx="159">
                  <c:v>6.5</c:v>
                </c:pt>
                <c:pt idx="160">
                  <c:v>6.5</c:v>
                </c:pt>
                <c:pt idx="161">
                  <c:v>6.5</c:v>
                </c:pt>
                <c:pt idx="162">
                  <c:v>6.5</c:v>
                </c:pt>
                <c:pt idx="163">
                  <c:v>6.5</c:v>
                </c:pt>
                <c:pt idx="164">
                  <c:v>6.5</c:v>
                </c:pt>
                <c:pt idx="165">
                  <c:v>6.5</c:v>
                </c:pt>
                <c:pt idx="166">
                  <c:v>6.5</c:v>
                </c:pt>
                <c:pt idx="167">
                  <c:v>6.5</c:v>
                </c:pt>
                <c:pt idx="168">
                  <c:v>6.5</c:v>
                </c:pt>
                <c:pt idx="169">
                  <c:v>6.5</c:v>
                </c:pt>
                <c:pt idx="170">
                  <c:v>6.5</c:v>
                </c:pt>
                <c:pt idx="171">
                  <c:v>6.5</c:v>
                </c:pt>
                <c:pt idx="172">
                  <c:v>6.5</c:v>
                </c:pt>
                <c:pt idx="173">
                  <c:v>6.6</c:v>
                </c:pt>
                <c:pt idx="174">
                  <c:v>6.6</c:v>
                </c:pt>
                <c:pt idx="175">
                  <c:v>6.6</c:v>
                </c:pt>
                <c:pt idx="176">
                  <c:v>6.6</c:v>
                </c:pt>
                <c:pt idx="177">
                  <c:v>6.6</c:v>
                </c:pt>
                <c:pt idx="178">
                  <c:v>6.6</c:v>
                </c:pt>
                <c:pt idx="179">
                  <c:v>6.6</c:v>
                </c:pt>
                <c:pt idx="180">
                  <c:v>6.6</c:v>
                </c:pt>
                <c:pt idx="181">
                  <c:v>6.6</c:v>
                </c:pt>
                <c:pt idx="182">
                  <c:v>6.6</c:v>
                </c:pt>
                <c:pt idx="183">
                  <c:v>6.6</c:v>
                </c:pt>
                <c:pt idx="184">
                  <c:v>6.6</c:v>
                </c:pt>
                <c:pt idx="185">
                  <c:v>6.6</c:v>
                </c:pt>
                <c:pt idx="186">
                  <c:v>6.6</c:v>
                </c:pt>
                <c:pt idx="187">
                  <c:v>6.6</c:v>
                </c:pt>
                <c:pt idx="188">
                  <c:v>6.6</c:v>
                </c:pt>
                <c:pt idx="189">
                  <c:v>6.6</c:v>
                </c:pt>
                <c:pt idx="190">
                  <c:v>6.6</c:v>
                </c:pt>
                <c:pt idx="191">
                  <c:v>6.6</c:v>
                </c:pt>
                <c:pt idx="192">
                  <c:v>6.6</c:v>
                </c:pt>
                <c:pt idx="193">
                  <c:v>6.6</c:v>
                </c:pt>
                <c:pt idx="194">
                  <c:v>6.6</c:v>
                </c:pt>
                <c:pt idx="195">
                  <c:v>6.6</c:v>
                </c:pt>
                <c:pt idx="196">
                  <c:v>6.6</c:v>
                </c:pt>
                <c:pt idx="197">
                  <c:v>6.6</c:v>
                </c:pt>
                <c:pt idx="198">
                  <c:v>6.6</c:v>
                </c:pt>
                <c:pt idx="199">
                  <c:v>6.7</c:v>
                </c:pt>
                <c:pt idx="200">
                  <c:v>6.7</c:v>
                </c:pt>
                <c:pt idx="201">
                  <c:v>6.7</c:v>
                </c:pt>
                <c:pt idx="202">
                  <c:v>6.7</c:v>
                </c:pt>
                <c:pt idx="203">
                  <c:v>6.7</c:v>
                </c:pt>
                <c:pt idx="204">
                  <c:v>6.7</c:v>
                </c:pt>
                <c:pt idx="205">
                  <c:v>6.7</c:v>
                </c:pt>
                <c:pt idx="206">
                  <c:v>6.7</c:v>
                </c:pt>
                <c:pt idx="207">
                  <c:v>6.7</c:v>
                </c:pt>
                <c:pt idx="208">
                  <c:v>6.7</c:v>
                </c:pt>
                <c:pt idx="209">
                  <c:v>6.7</c:v>
                </c:pt>
                <c:pt idx="210">
                  <c:v>6.7</c:v>
                </c:pt>
                <c:pt idx="211">
                  <c:v>6.7</c:v>
                </c:pt>
                <c:pt idx="212">
                  <c:v>6.7</c:v>
                </c:pt>
                <c:pt idx="213">
                  <c:v>6.7</c:v>
                </c:pt>
                <c:pt idx="214">
                  <c:v>6.7</c:v>
                </c:pt>
                <c:pt idx="215">
                  <c:v>6.7</c:v>
                </c:pt>
                <c:pt idx="216">
                  <c:v>6.7</c:v>
                </c:pt>
                <c:pt idx="217">
                  <c:v>6.7</c:v>
                </c:pt>
                <c:pt idx="218">
                  <c:v>6.7</c:v>
                </c:pt>
                <c:pt idx="219">
                  <c:v>6.7</c:v>
                </c:pt>
                <c:pt idx="220">
                  <c:v>6.7</c:v>
                </c:pt>
                <c:pt idx="221">
                  <c:v>6.7</c:v>
                </c:pt>
                <c:pt idx="222">
                  <c:v>6.7</c:v>
                </c:pt>
                <c:pt idx="223">
                  <c:v>6.7</c:v>
                </c:pt>
                <c:pt idx="224">
                  <c:v>6.7</c:v>
                </c:pt>
                <c:pt idx="225">
                  <c:v>6.7</c:v>
                </c:pt>
                <c:pt idx="226">
                  <c:v>6.7</c:v>
                </c:pt>
                <c:pt idx="227">
                  <c:v>6.7</c:v>
                </c:pt>
                <c:pt idx="228">
                  <c:v>6.7</c:v>
                </c:pt>
                <c:pt idx="229">
                  <c:v>6.7</c:v>
                </c:pt>
                <c:pt idx="230">
                  <c:v>6.7</c:v>
                </c:pt>
                <c:pt idx="231">
                  <c:v>6.7</c:v>
                </c:pt>
                <c:pt idx="232">
                  <c:v>6.7</c:v>
                </c:pt>
                <c:pt idx="233">
                  <c:v>6.7</c:v>
                </c:pt>
                <c:pt idx="234">
                  <c:v>6.7</c:v>
                </c:pt>
                <c:pt idx="235">
                  <c:v>6.7</c:v>
                </c:pt>
                <c:pt idx="236">
                  <c:v>6.7</c:v>
                </c:pt>
                <c:pt idx="237">
                  <c:v>6.7</c:v>
                </c:pt>
                <c:pt idx="238">
                  <c:v>6.7</c:v>
                </c:pt>
                <c:pt idx="239">
                  <c:v>6.7</c:v>
                </c:pt>
                <c:pt idx="240">
                  <c:v>6.8</c:v>
                </c:pt>
                <c:pt idx="241">
                  <c:v>6.8</c:v>
                </c:pt>
                <c:pt idx="242">
                  <c:v>6.8</c:v>
                </c:pt>
                <c:pt idx="243">
                  <c:v>6.8</c:v>
                </c:pt>
                <c:pt idx="244">
                  <c:v>6.8</c:v>
                </c:pt>
                <c:pt idx="245">
                  <c:v>6.9</c:v>
                </c:pt>
                <c:pt idx="246">
                  <c:v>6.9</c:v>
                </c:pt>
                <c:pt idx="247">
                  <c:v>6.9</c:v>
                </c:pt>
                <c:pt idx="248">
                  <c:v>6.9</c:v>
                </c:pt>
                <c:pt idx="249">
                  <c:v>6.9</c:v>
                </c:pt>
                <c:pt idx="250">
                  <c:v>6.9</c:v>
                </c:pt>
                <c:pt idx="251">
                  <c:v>6.9</c:v>
                </c:pt>
                <c:pt idx="252">
                  <c:v>6.9</c:v>
                </c:pt>
                <c:pt idx="253">
                  <c:v>6.9</c:v>
                </c:pt>
                <c:pt idx="254">
                  <c:v>6.9</c:v>
                </c:pt>
                <c:pt idx="255">
                  <c:v>7</c:v>
                </c:pt>
                <c:pt idx="256">
                  <c:v>7</c:v>
                </c:pt>
                <c:pt idx="257">
                  <c:v>7</c:v>
                </c:pt>
                <c:pt idx="258">
                  <c:v>7</c:v>
                </c:pt>
                <c:pt idx="259">
                  <c:v>7</c:v>
                </c:pt>
                <c:pt idx="260">
                  <c:v>7</c:v>
                </c:pt>
                <c:pt idx="261">
                  <c:v>7</c:v>
                </c:pt>
                <c:pt idx="262">
                  <c:v>7</c:v>
                </c:pt>
                <c:pt idx="263">
                  <c:v>7</c:v>
                </c:pt>
                <c:pt idx="264">
                  <c:v>7</c:v>
                </c:pt>
                <c:pt idx="265">
                  <c:v>7</c:v>
                </c:pt>
                <c:pt idx="266">
                  <c:v>7</c:v>
                </c:pt>
                <c:pt idx="267">
                  <c:v>7</c:v>
                </c:pt>
                <c:pt idx="268">
                  <c:v>7</c:v>
                </c:pt>
                <c:pt idx="269">
                  <c:v>7</c:v>
                </c:pt>
                <c:pt idx="270">
                  <c:v>7</c:v>
                </c:pt>
                <c:pt idx="271">
                  <c:v>7</c:v>
                </c:pt>
                <c:pt idx="272">
                  <c:v>7</c:v>
                </c:pt>
                <c:pt idx="273">
                  <c:v>7</c:v>
                </c:pt>
                <c:pt idx="274">
                  <c:v>7</c:v>
                </c:pt>
                <c:pt idx="275">
                  <c:v>7</c:v>
                </c:pt>
                <c:pt idx="276">
                  <c:v>7</c:v>
                </c:pt>
                <c:pt idx="277">
                  <c:v>7.1</c:v>
                </c:pt>
                <c:pt idx="278">
                  <c:v>7.1</c:v>
                </c:pt>
                <c:pt idx="279">
                  <c:v>7.1</c:v>
                </c:pt>
                <c:pt idx="280">
                  <c:v>7.1</c:v>
                </c:pt>
                <c:pt idx="281">
                  <c:v>7.1</c:v>
                </c:pt>
                <c:pt idx="282">
                  <c:v>7.1</c:v>
                </c:pt>
                <c:pt idx="283">
                  <c:v>7.1</c:v>
                </c:pt>
                <c:pt idx="284">
                  <c:v>7.1</c:v>
                </c:pt>
                <c:pt idx="285">
                  <c:v>7.1</c:v>
                </c:pt>
                <c:pt idx="286">
                  <c:v>7.1</c:v>
                </c:pt>
                <c:pt idx="287">
                  <c:v>7.1</c:v>
                </c:pt>
                <c:pt idx="288">
                  <c:v>7.1</c:v>
                </c:pt>
                <c:pt idx="289">
                  <c:v>7.1</c:v>
                </c:pt>
                <c:pt idx="290">
                  <c:v>7.1</c:v>
                </c:pt>
                <c:pt idx="291">
                  <c:v>7.1</c:v>
                </c:pt>
                <c:pt idx="292">
                  <c:v>7.1</c:v>
                </c:pt>
                <c:pt idx="293">
                  <c:v>7.1</c:v>
                </c:pt>
                <c:pt idx="294">
                  <c:v>7.1</c:v>
                </c:pt>
                <c:pt idx="295">
                  <c:v>7.1</c:v>
                </c:pt>
                <c:pt idx="296">
                  <c:v>7.1</c:v>
                </c:pt>
                <c:pt idx="297">
                  <c:v>7.1</c:v>
                </c:pt>
                <c:pt idx="298">
                  <c:v>7.2</c:v>
                </c:pt>
                <c:pt idx="299">
                  <c:v>7.2</c:v>
                </c:pt>
                <c:pt idx="300">
                  <c:v>7.2</c:v>
                </c:pt>
                <c:pt idx="301">
                  <c:v>7.2</c:v>
                </c:pt>
                <c:pt idx="302">
                  <c:v>7.2</c:v>
                </c:pt>
                <c:pt idx="303">
                  <c:v>7.2</c:v>
                </c:pt>
                <c:pt idx="304">
                  <c:v>7.2</c:v>
                </c:pt>
                <c:pt idx="305">
                  <c:v>7.2</c:v>
                </c:pt>
                <c:pt idx="306">
                  <c:v>7.2</c:v>
                </c:pt>
                <c:pt idx="307">
                  <c:v>7.2</c:v>
                </c:pt>
                <c:pt idx="308">
                  <c:v>7.2</c:v>
                </c:pt>
                <c:pt idx="309">
                  <c:v>7.2</c:v>
                </c:pt>
                <c:pt idx="310">
                  <c:v>7.2</c:v>
                </c:pt>
                <c:pt idx="311">
                  <c:v>7.2</c:v>
                </c:pt>
                <c:pt idx="312">
                  <c:v>7.2</c:v>
                </c:pt>
                <c:pt idx="313">
                  <c:v>7.2</c:v>
                </c:pt>
                <c:pt idx="314">
                  <c:v>7.2</c:v>
                </c:pt>
                <c:pt idx="315">
                  <c:v>7.2</c:v>
                </c:pt>
                <c:pt idx="316">
                  <c:v>7.2</c:v>
                </c:pt>
                <c:pt idx="317">
                  <c:v>7.2</c:v>
                </c:pt>
                <c:pt idx="318">
                  <c:v>7.2</c:v>
                </c:pt>
                <c:pt idx="319">
                  <c:v>7.218</c:v>
                </c:pt>
                <c:pt idx="320">
                  <c:v>7.3</c:v>
                </c:pt>
                <c:pt idx="321">
                  <c:v>7.3</c:v>
                </c:pt>
                <c:pt idx="322">
                  <c:v>7.3</c:v>
                </c:pt>
                <c:pt idx="323">
                  <c:v>7.3</c:v>
                </c:pt>
                <c:pt idx="324">
                  <c:v>7.3</c:v>
                </c:pt>
                <c:pt idx="325">
                  <c:v>7.3</c:v>
                </c:pt>
                <c:pt idx="326">
                  <c:v>7.3</c:v>
                </c:pt>
                <c:pt idx="327">
                  <c:v>7.3</c:v>
                </c:pt>
                <c:pt idx="328">
                  <c:v>7.3</c:v>
                </c:pt>
                <c:pt idx="329">
                  <c:v>7.3</c:v>
                </c:pt>
                <c:pt idx="330">
                  <c:v>7.3</c:v>
                </c:pt>
                <c:pt idx="331">
                  <c:v>7.3</c:v>
                </c:pt>
                <c:pt idx="332">
                  <c:v>7.3</c:v>
                </c:pt>
                <c:pt idx="333">
                  <c:v>7.3</c:v>
                </c:pt>
                <c:pt idx="334">
                  <c:v>7.3</c:v>
                </c:pt>
                <c:pt idx="335">
                  <c:v>7.3</c:v>
                </c:pt>
                <c:pt idx="336">
                  <c:v>7.3</c:v>
                </c:pt>
                <c:pt idx="337">
                  <c:v>7.3</c:v>
                </c:pt>
                <c:pt idx="338">
                  <c:v>7.3</c:v>
                </c:pt>
                <c:pt idx="339">
                  <c:v>7.3</c:v>
                </c:pt>
                <c:pt idx="340">
                  <c:v>7.3</c:v>
                </c:pt>
                <c:pt idx="341">
                  <c:v>7.3</c:v>
                </c:pt>
                <c:pt idx="342">
                  <c:v>7.3</c:v>
                </c:pt>
                <c:pt idx="343">
                  <c:v>7.3</c:v>
                </c:pt>
                <c:pt idx="344">
                  <c:v>7.3</c:v>
                </c:pt>
                <c:pt idx="345">
                  <c:v>7.3</c:v>
                </c:pt>
                <c:pt idx="346">
                  <c:v>7.3</c:v>
                </c:pt>
                <c:pt idx="347">
                  <c:v>7.3</c:v>
                </c:pt>
                <c:pt idx="348">
                  <c:v>7.3</c:v>
                </c:pt>
                <c:pt idx="349">
                  <c:v>7.3</c:v>
                </c:pt>
                <c:pt idx="350">
                  <c:v>7.3</c:v>
                </c:pt>
                <c:pt idx="351">
                  <c:v>7.3</c:v>
                </c:pt>
                <c:pt idx="352">
                  <c:v>7.3</c:v>
                </c:pt>
                <c:pt idx="353">
                  <c:v>7.3</c:v>
                </c:pt>
                <c:pt idx="354">
                  <c:v>7.3</c:v>
                </c:pt>
                <c:pt idx="355">
                  <c:v>7.3</c:v>
                </c:pt>
                <c:pt idx="356">
                  <c:v>7.3</c:v>
                </c:pt>
                <c:pt idx="357">
                  <c:v>7.3</c:v>
                </c:pt>
                <c:pt idx="358">
                  <c:v>7.3</c:v>
                </c:pt>
                <c:pt idx="359">
                  <c:v>7.3</c:v>
                </c:pt>
                <c:pt idx="360">
                  <c:v>7.3</c:v>
                </c:pt>
                <c:pt idx="361">
                  <c:v>7.36</c:v>
                </c:pt>
                <c:pt idx="362">
                  <c:v>7.4</c:v>
                </c:pt>
                <c:pt idx="363">
                  <c:v>7.4</c:v>
                </c:pt>
                <c:pt idx="364">
                  <c:v>7.4</c:v>
                </c:pt>
                <c:pt idx="365">
                  <c:v>7.4</c:v>
                </c:pt>
                <c:pt idx="366">
                  <c:v>7.4</c:v>
                </c:pt>
                <c:pt idx="367">
                  <c:v>7.4</c:v>
                </c:pt>
                <c:pt idx="368">
                  <c:v>7.4</c:v>
                </c:pt>
                <c:pt idx="369">
                  <c:v>7.4</c:v>
                </c:pt>
                <c:pt idx="370">
                  <c:v>7.4</c:v>
                </c:pt>
                <c:pt idx="371">
                  <c:v>7.4</c:v>
                </c:pt>
                <c:pt idx="372">
                  <c:v>7.4</c:v>
                </c:pt>
                <c:pt idx="373">
                  <c:v>7.4</c:v>
                </c:pt>
                <c:pt idx="374">
                  <c:v>7.4</c:v>
                </c:pt>
                <c:pt idx="375">
                  <c:v>7.4</c:v>
                </c:pt>
                <c:pt idx="376">
                  <c:v>7.4</c:v>
                </c:pt>
                <c:pt idx="377">
                  <c:v>7.4</c:v>
                </c:pt>
                <c:pt idx="378">
                  <c:v>7.4</c:v>
                </c:pt>
                <c:pt idx="379">
                  <c:v>7.4</c:v>
                </c:pt>
                <c:pt idx="380">
                  <c:v>7.4</c:v>
                </c:pt>
                <c:pt idx="381">
                  <c:v>7.4</c:v>
                </c:pt>
                <c:pt idx="382">
                  <c:v>7.4</c:v>
                </c:pt>
                <c:pt idx="383">
                  <c:v>7.4</c:v>
                </c:pt>
                <c:pt idx="384">
                  <c:v>7.4</c:v>
                </c:pt>
                <c:pt idx="385">
                  <c:v>7.4</c:v>
                </c:pt>
                <c:pt idx="386">
                  <c:v>7.4</c:v>
                </c:pt>
                <c:pt idx="387">
                  <c:v>7.4</c:v>
                </c:pt>
                <c:pt idx="388">
                  <c:v>7.4</c:v>
                </c:pt>
                <c:pt idx="389">
                  <c:v>7.4</c:v>
                </c:pt>
                <c:pt idx="390">
                  <c:v>7.4</c:v>
                </c:pt>
                <c:pt idx="391">
                  <c:v>7.4</c:v>
                </c:pt>
                <c:pt idx="392">
                  <c:v>7.4</c:v>
                </c:pt>
                <c:pt idx="393">
                  <c:v>7.4</c:v>
                </c:pt>
                <c:pt idx="394">
                  <c:v>7.4</c:v>
                </c:pt>
                <c:pt idx="395">
                  <c:v>7.4</c:v>
                </c:pt>
                <c:pt idx="396">
                  <c:v>7.4</c:v>
                </c:pt>
                <c:pt idx="397">
                  <c:v>7.4</c:v>
                </c:pt>
                <c:pt idx="398">
                  <c:v>7.4</c:v>
                </c:pt>
                <c:pt idx="399">
                  <c:v>7.4</c:v>
                </c:pt>
                <c:pt idx="400">
                  <c:v>7.4</c:v>
                </c:pt>
                <c:pt idx="401">
                  <c:v>7.4</c:v>
                </c:pt>
                <c:pt idx="402">
                  <c:v>7.4</c:v>
                </c:pt>
                <c:pt idx="403">
                  <c:v>7.4</c:v>
                </c:pt>
                <c:pt idx="404">
                  <c:v>7.4</c:v>
                </c:pt>
                <c:pt idx="405">
                  <c:v>7.4</c:v>
                </c:pt>
                <c:pt idx="406">
                  <c:v>7.4</c:v>
                </c:pt>
                <c:pt idx="407">
                  <c:v>7.4</c:v>
                </c:pt>
                <c:pt idx="408">
                  <c:v>7.4</c:v>
                </c:pt>
                <c:pt idx="409">
                  <c:v>7.4</c:v>
                </c:pt>
                <c:pt idx="410">
                  <c:v>7.4</c:v>
                </c:pt>
                <c:pt idx="411">
                  <c:v>7.4</c:v>
                </c:pt>
                <c:pt idx="412">
                  <c:v>7.4</c:v>
                </c:pt>
                <c:pt idx="413">
                  <c:v>7.4</c:v>
                </c:pt>
                <c:pt idx="414">
                  <c:v>7.4</c:v>
                </c:pt>
                <c:pt idx="415">
                  <c:v>7.4</c:v>
                </c:pt>
                <c:pt idx="416">
                  <c:v>7.4</c:v>
                </c:pt>
                <c:pt idx="417">
                  <c:v>7.4</c:v>
                </c:pt>
                <c:pt idx="418">
                  <c:v>7.4</c:v>
                </c:pt>
                <c:pt idx="419">
                  <c:v>7.4</c:v>
                </c:pt>
                <c:pt idx="420">
                  <c:v>7.4</c:v>
                </c:pt>
                <c:pt idx="421">
                  <c:v>7.4</c:v>
                </c:pt>
                <c:pt idx="422">
                  <c:v>7.4</c:v>
                </c:pt>
                <c:pt idx="423">
                  <c:v>7.4</c:v>
                </c:pt>
                <c:pt idx="424">
                  <c:v>7.4</c:v>
                </c:pt>
                <c:pt idx="425">
                  <c:v>7.4</c:v>
                </c:pt>
                <c:pt idx="426">
                  <c:v>7.4</c:v>
                </c:pt>
                <c:pt idx="427">
                  <c:v>7.4</c:v>
                </c:pt>
                <c:pt idx="428">
                  <c:v>7.4</c:v>
                </c:pt>
                <c:pt idx="429">
                  <c:v>7.4</c:v>
                </c:pt>
                <c:pt idx="430">
                  <c:v>7.4</c:v>
                </c:pt>
                <c:pt idx="431">
                  <c:v>7.4</c:v>
                </c:pt>
                <c:pt idx="432">
                  <c:v>7.4</c:v>
                </c:pt>
                <c:pt idx="433">
                  <c:v>7.4</c:v>
                </c:pt>
                <c:pt idx="434">
                  <c:v>7.4</c:v>
                </c:pt>
                <c:pt idx="435">
                  <c:v>7.4</c:v>
                </c:pt>
                <c:pt idx="436">
                  <c:v>7.4</c:v>
                </c:pt>
                <c:pt idx="437">
                  <c:v>7.4</c:v>
                </c:pt>
                <c:pt idx="438">
                  <c:v>7.4</c:v>
                </c:pt>
                <c:pt idx="439">
                  <c:v>7.4</c:v>
                </c:pt>
                <c:pt idx="440">
                  <c:v>7.4</c:v>
                </c:pt>
                <c:pt idx="441">
                  <c:v>7.4</c:v>
                </c:pt>
                <c:pt idx="442">
                  <c:v>7.4</c:v>
                </c:pt>
                <c:pt idx="443">
                  <c:v>7.4</c:v>
                </c:pt>
                <c:pt idx="444">
                  <c:v>7.4</c:v>
                </c:pt>
                <c:pt idx="445">
                  <c:v>7.4660000000000002</c:v>
                </c:pt>
                <c:pt idx="446">
                  <c:v>7.5</c:v>
                </c:pt>
                <c:pt idx="447">
                  <c:v>7.5</c:v>
                </c:pt>
                <c:pt idx="448">
                  <c:v>7.5</c:v>
                </c:pt>
                <c:pt idx="449">
                  <c:v>7.5</c:v>
                </c:pt>
                <c:pt idx="450">
                  <c:v>7.5</c:v>
                </c:pt>
                <c:pt idx="451">
                  <c:v>7.5</c:v>
                </c:pt>
                <c:pt idx="452">
                  <c:v>7.5</c:v>
                </c:pt>
                <c:pt idx="453">
                  <c:v>7.5</c:v>
                </c:pt>
                <c:pt idx="454">
                  <c:v>7.5</c:v>
                </c:pt>
                <c:pt idx="455">
                  <c:v>7.5</c:v>
                </c:pt>
                <c:pt idx="456">
                  <c:v>7.5</c:v>
                </c:pt>
                <c:pt idx="457">
                  <c:v>7.5</c:v>
                </c:pt>
                <c:pt idx="458">
                  <c:v>7.5</c:v>
                </c:pt>
                <c:pt idx="459">
                  <c:v>7.5</c:v>
                </c:pt>
                <c:pt idx="460">
                  <c:v>7.5</c:v>
                </c:pt>
                <c:pt idx="461">
                  <c:v>7.5</c:v>
                </c:pt>
                <c:pt idx="462">
                  <c:v>7.5</c:v>
                </c:pt>
                <c:pt idx="463">
                  <c:v>7.5</c:v>
                </c:pt>
                <c:pt idx="464">
                  <c:v>7.5</c:v>
                </c:pt>
                <c:pt idx="465">
                  <c:v>7.5</c:v>
                </c:pt>
                <c:pt idx="466">
                  <c:v>7.5</c:v>
                </c:pt>
                <c:pt idx="467">
                  <c:v>7.5</c:v>
                </c:pt>
                <c:pt idx="468">
                  <c:v>7.5</c:v>
                </c:pt>
                <c:pt idx="469">
                  <c:v>7.6</c:v>
                </c:pt>
                <c:pt idx="470">
                  <c:v>7.6</c:v>
                </c:pt>
                <c:pt idx="471">
                  <c:v>7.6</c:v>
                </c:pt>
                <c:pt idx="472">
                  <c:v>7.6</c:v>
                </c:pt>
                <c:pt idx="473">
                  <c:v>7.6</c:v>
                </c:pt>
                <c:pt idx="474">
                  <c:v>7.6</c:v>
                </c:pt>
                <c:pt idx="475">
                  <c:v>7.6</c:v>
                </c:pt>
                <c:pt idx="476">
                  <c:v>7.6</c:v>
                </c:pt>
                <c:pt idx="477">
                  <c:v>7.7</c:v>
                </c:pt>
                <c:pt idx="478">
                  <c:v>7.7</c:v>
                </c:pt>
                <c:pt idx="479">
                  <c:v>7.7</c:v>
                </c:pt>
                <c:pt idx="480">
                  <c:v>7.7</c:v>
                </c:pt>
                <c:pt idx="481">
                  <c:v>7.7</c:v>
                </c:pt>
                <c:pt idx="482">
                  <c:v>7.7</c:v>
                </c:pt>
                <c:pt idx="483">
                  <c:v>7.7</c:v>
                </c:pt>
                <c:pt idx="484">
                  <c:v>7.7</c:v>
                </c:pt>
                <c:pt idx="485">
                  <c:v>7.7</c:v>
                </c:pt>
                <c:pt idx="486">
                  <c:v>7.7</c:v>
                </c:pt>
                <c:pt idx="487">
                  <c:v>7.7</c:v>
                </c:pt>
                <c:pt idx="488">
                  <c:v>7.7</c:v>
                </c:pt>
                <c:pt idx="489">
                  <c:v>7.7</c:v>
                </c:pt>
                <c:pt idx="490">
                  <c:v>7.7</c:v>
                </c:pt>
                <c:pt idx="491">
                  <c:v>7.7</c:v>
                </c:pt>
                <c:pt idx="492">
                  <c:v>7.7</c:v>
                </c:pt>
                <c:pt idx="493">
                  <c:v>7.7</c:v>
                </c:pt>
                <c:pt idx="494">
                  <c:v>7.7</c:v>
                </c:pt>
                <c:pt idx="495">
                  <c:v>7.7</c:v>
                </c:pt>
                <c:pt idx="496">
                  <c:v>7.7</c:v>
                </c:pt>
                <c:pt idx="497">
                  <c:v>7.7</c:v>
                </c:pt>
                <c:pt idx="498">
                  <c:v>7.7</c:v>
                </c:pt>
                <c:pt idx="499">
                  <c:v>7.7</c:v>
                </c:pt>
                <c:pt idx="500">
                  <c:v>7.7</c:v>
                </c:pt>
                <c:pt idx="501">
                  <c:v>7.7</c:v>
                </c:pt>
                <c:pt idx="502">
                  <c:v>7.7</c:v>
                </c:pt>
                <c:pt idx="503">
                  <c:v>7.7</c:v>
                </c:pt>
                <c:pt idx="504">
                  <c:v>7.7</c:v>
                </c:pt>
                <c:pt idx="505">
                  <c:v>7.7</c:v>
                </c:pt>
                <c:pt idx="506">
                  <c:v>7.7</c:v>
                </c:pt>
                <c:pt idx="507">
                  <c:v>7.8</c:v>
                </c:pt>
                <c:pt idx="508">
                  <c:v>7.8</c:v>
                </c:pt>
                <c:pt idx="509">
                  <c:v>7.8</c:v>
                </c:pt>
                <c:pt idx="510">
                  <c:v>7.8</c:v>
                </c:pt>
                <c:pt idx="511">
                  <c:v>7.8</c:v>
                </c:pt>
                <c:pt idx="512">
                  <c:v>7.8</c:v>
                </c:pt>
                <c:pt idx="513">
                  <c:v>7.8</c:v>
                </c:pt>
                <c:pt idx="514">
                  <c:v>7.8</c:v>
                </c:pt>
                <c:pt idx="515">
                  <c:v>7.8</c:v>
                </c:pt>
                <c:pt idx="516">
                  <c:v>7.8</c:v>
                </c:pt>
                <c:pt idx="517">
                  <c:v>7.8</c:v>
                </c:pt>
                <c:pt idx="518">
                  <c:v>7.8</c:v>
                </c:pt>
                <c:pt idx="519">
                  <c:v>7.8</c:v>
                </c:pt>
                <c:pt idx="520">
                  <c:v>7.8</c:v>
                </c:pt>
                <c:pt idx="521">
                  <c:v>7.9</c:v>
                </c:pt>
                <c:pt idx="522">
                  <c:v>7.9</c:v>
                </c:pt>
                <c:pt idx="523">
                  <c:v>7.9</c:v>
                </c:pt>
                <c:pt idx="524">
                  <c:v>7.9</c:v>
                </c:pt>
                <c:pt idx="525">
                  <c:v>7.9</c:v>
                </c:pt>
                <c:pt idx="526">
                  <c:v>7.9</c:v>
                </c:pt>
                <c:pt idx="527">
                  <c:v>7.9</c:v>
                </c:pt>
                <c:pt idx="528">
                  <c:v>7.9</c:v>
                </c:pt>
                <c:pt idx="529">
                  <c:v>7.9</c:v>
                </c:pt>
                <c:pt idx="530">
                  <c:v>7.9</c:v>
                </c:pt>
                <c:pt idx="531">
                  <c:v>7.9</c:v>
                </c:pt>
                <c:pt idx="532">
                  <c:v>7.9</c:v>
                </c:pt>
                <c:pt idx="533">
                  <c:v>7.9</c:v>
                </c:pt>
                <c:pt idx="534">
                  <c:v>7.9</c:v>
                </c:pt>
                <c:pt idx="535">
                  <c:v>7.9</c:v>
                </c:pt>
                <c:pt idx="536">
                  <c:v>7.9</c:v>
                </c:pt>
                <c:pt idx="537">
                  <c:v>7.9</c:v>
                </c:pt>
                <c:pt idx="538">
                  <c:v>8</c:v>
                </c:pt>
                <c:pt idx="539">
                  <c:v>8</c:v>
                </c:pt>
                <c:pt idx="540">
                  <c:v>8</c:v>
                </c:pt>
                <c:pt idx="541">
                  <c:v>8</c:v>
                </c:pt>
                <c:pt idx="542">
                  <c:v>8</c:v>
                </c:pt>
                <c:pt idx="543">
                  <c:v>8</c:v>
                </c:pt>
                <c:pt idx="544">
                  <c:v>8</c:v>
                </c:pt>
                <c:pt idx="545">
                  <c:v>8</c:v>
                </c:pt>
                <c:pt idx="546">
                  <c:v>8</c:v>
                </c:pt>
                <c:pt idx="547">
                  <c:v>8</c:v>
                </c:pt>
                <c:pt idx="548">
                  <c:v>8</c:v>
                </c:pt>
                <c:pt idx="549">
                  <c:v>8</c:v>
                </c:pt>
                <c:pt idx="550">
                  <c:v>8</c:v>
                </c:pt>
                <c:pt idx="551">
                  <c:v>8</c:v>
                </c:pt>
                <c:pt idx="552">
                  <c:v>8</c:v>
                </c:pt>
                <c:pt idx="553">
                  <c:v>8</c:v>
                </c:pt>
                <c:pt idx="554">
                  <c:v>8</c:v>
                </c:pt>
                <c:pt idx="555">
                  <c:v>8</c:v>
                </c:pt>
                <c:pt idx="556">
                  <c:v>8</c:v>
                </c:pt>
                <c:pt idx="557">
                  <c:v>8</c:v>
                </c:pt>
                <c:pt idx="558">
                  <c:v>8</c:v>
                </c:pt>
                <c:pt idx="559">
                  <c:v>8</c:v>
                </c:pt>
                <c:pt idx="560">
                  <c:v>8</c:v>
                </c:pt>
                <c:pt idx="561">
                  <c:v>8</c:v>
                </c:pt>
                <c:pt idx="562">
                  <c:v>8</c:v>
                </c:pt>
                <c:pt idx="563">
                  <c:v>8</c:v>
                </c:pt>
                <c:pt idx="564">
                  <c:v>8</c:v>
                </c:pt>
                <c:pt idx="565">
                  <c:v>8</c:v>
                </c:pt>
                <c:pt idx="566">
                  <c:v>8</c:v>
                </c:pt>
                <c:pt idx="567">
                  <c:v>8</c:v>
                </c:pt>
                <c:pt idx="568">
                  <c:v>8.0359999999999996</c:v>
                </c:pt>
                <c:pt idx="569">
                  <c:v>8.1</c:v>
                </c:pt>
                <c:pt idx="570">
                  <c:v>8.1</c:v>
                </c:pt>
                <c:pt idx="571">
                  <c:v>8.1</c:v>
                </c:pt>
                <c:pt idx="572">
                  <c:v>8.1</c:v>
                </c:pt>
                <c:pt idx="573">
                  <c:v>8.1</c:v>
                </c:pt>
                <c:pt idx="574">
                  <c:v>8.1</c:v>
                </c:pt>
                <c:pt idx="575">
                  <c:v>8.1</c:v>
                </c:pt>
                <c:pt idx="576">
                  <c:v>8.1</c:v>
                </c:pt>
                <c:pt idx="577">
                  <c:v>8.1</c:v>
                </c:pt>
                <c:pt idx="578">
                  <c:v>8.1</c:v>
                </c:pt>
                <c:pt idx="579">
                  <c:v>8.1</c:v>
                </c:pt>
                <c:pt idx="580">
                  <c:v>8.1</c:v>
                </c:pt>
                <c:pt idx="581">
                  <c:v>8.1</c:v>
                </c:pt>
                <c:pt idx="582">
                  <c:v>8.1</c:v>
                </c:pt>
                <c:pt idx="583">
                  <c:v>8.1</c:v>
                </c:pt>
                <c:pt idx="584">
                  <c:v>8.1</c:v>
                </c:pt>
                <c:pt idx="585">
                  <c:v>8.1</c:v>
                </c:pt>
                <c:pt idx="586">
                  <c:v>8.1</c:v>
                </c:pt>
                <c:pt idx="587">
                  <c:v>8.1999999999999993</c:v>
                </c:pt>
                <c:pt idx="588">
                  <c:v>8.1999999999999993</c:v>
                </c:pt>
                <c:pt idx="589">
                  <c:v>8.1999999999999993</c:v>
                </c:pt>
                <c:pt idx="590">
                  <c:v>8.1999999999999993</c:v>
                </c:pt>
                <c:pt idx="591">
                  <c:v>8.1999999999999993</c:v>
                </c:pt>
                <c:pt idx="592">
                  <c:v>8.1999999999999993</c:v>
                </c:pt>
                <c:pt idx="593">
                  <c:v>8.1999999999999993</c:v>
                </c:pt>
                <c:pt idx="594">
                  <c:v>8.1999999999999993</c:v>
                </c:pt>
                <c:pt idx="595">
                  <c:v>8.1999999999999993</c:v>
                </c:pt>
                <c:pt idx="596">
                  <c:v>8.1999999999999993</c:v>
                </c:pt>
                <c:pt idx="597">
                  <c:v>8.1999999999999993</c:v>
                </c:pt>
                <c:pt idx="598">
                  <c:v>8.1999999999999993</c:v>
                </c:pt>
                <c:pt idx="599">
                  <c:v>8.1999999999999993</c:v>
                </c:pt>
                <c:pt idx="600">
                  <c:v>8.1999999999999993</c:v>
                </c:pt>
                <c:pt idx="601">
                  <c:v>8.1999999999999993</c:v>
                </c:pt>
                <c:pt idx="602">
                  <c:v>8.1999999999999993</c:v>
                </c:pt>
                <c:pt idx="603">
                  <c:v>8.1999999999999993</c:v>
                </c:pt>
                <c:pt idx="604">
                  <c:v>8.1999999999999993</c:v>
                </c:pt>
                <c:pt idx="605">
                  <c:v>8.1999999999999993</c:v>
                </c:pt>
                <c:pt idx="606">
                  <c:v>8.1999999999999993</c:v>
                </c:pt>
                <c:pt idx="607">
                  <c:v>8.1999999999999993</c:v>
                </c:pt>
                <c:pt idx="608">
                  <c:v>8.1999999999999993</c:v>
                </c:pt>
                <c:pt idx="609">
                  <c:v>8.1999999999999993</c:v>
                </c:pt>
                <c:pt idx="610">
                  <c:v>8.1999999999999993</c:v>
                </c:pt>
                <c:pt idx="611">
                  <c:v>8.1999999999999993</c:v>
                </c:pt>
                <c:pt idx="612">
                  <c:v>8.1999999999999993</c:v>
                </c:pt>
                <c:pt idx="613">
                  <c:v>8.1999999999999993</c:v>
                </c:pt>
                <c:pt idx="614">
                  <c:v>8.1999999999999993</c:v>
                </c:pt>
                <c:pt idx="615">
                  <c:v>8.1999999999999993</c:v>
                </c:pt>
                <c:pt idx="616">
                  <c:v>8.1999999999999993</c:v>
                </c:pt>
                <c:pt idx="617">
                  <c:v>8.1999999999999993</c:v>
                </c:pt>
                <c:pt idx="618">
                  <c:v>8.1999999999999993</c:v>
                </c:pt>
                <c:pt idx="619">
                  <c:v>8.1999999999999993</c:v>
                </c:pt>
                <c:pt idx="620">
                  <c:v>8.1999999999999993</c:v>
                </c:pt>
                <c:pt idx="621">
                  <c:v>8.1999999999999993</c:v>
                </c:pt>
                <c:pt idx="622">
                  <c:v>8.1999999999999993</c:v>
                </c:pt>
                <c:pt idx="623">
                  <c:v>8.1999999999999993</c:v>
                </c:pt>
                <c:pt idx="624">
                  <c:v>8.1999999999999993</c:v>
                </c:pt>
                <c:pt idx="625">
                  <c:v>8.1999999999999993</c:v>
                </c:pt>
                <c:pt idx="626">
                  <c:v>8.1999999999999993</c:v>
                </c:pt>
                <c:pt idx="627">
                  <c:v>8.1999999999999993</c:v>
                </c:pt>
                <c:pt idx="628">
                  <c:v>8.1999999999999993</c:v>
                </c:pt>
                <c:pt idx="629">
                  <c:v>8.1999999999999993</c:v>
                </c:pt>
                <c:pt idx="630">
                  <c:v>8.1999999999999993</c:v>
                </c:pt>
                <c:pt idx="631">
                  <c:v>8.1999999999999993</c:v>
                </c:pt>
                <c:pt idx="632">
                  <c:v>8.3000000000000007</c:v>
                </c:pt>
                <c:pt idx="633">
                  <c:v>8.3000000000000007</c:v>
                </c:pt>
                <c:pt idx="634">
                  <c:v>8.3000000000000007</c:v>
                </c:pt>
                <c:pt idx="635">
                  <c:v>8.3000000000000007</c:v>
                </c:pt>
                <c:pt idx="636">
                  <c:v>8.3000000000000007</c:v>
                </c:pt>
                <c:pt idx="637">
                  <c:v>8.3000000000000007</c:v>
                </c:pt>
                <c:pt idx="638">
                  <c:v>8.3000000000000007</c:v>
                </c:pt>
                <c:pt idx="639">
                  <c:v>8.3000000000000007</c:v>
                </c:pt>
                <c:pt idx="640">
                  <c:v>8.4</c:v>
                </c:pt>
                <c:pt idx="641">
                  <c:v>8.4</c:v>
                </c:pt>
                <c:pt idx="642">
                  <c:v>8.4</c:v>
                </c:pt>
                <c:pt idx="643">
                  <c:v>8.4</c:v>
                </c:pt>
                <c:pt idx="644">
                  <c:v>8.4</c:v>
                </c:pt>
                <c:pt idx="645">
                  <c:v>8.4</c:v>
                </c:pt>
                <c:pt idx="646">
                  <c:v>8.4</c:v>
                </c:pt>
                <c:pt idx="647">
                  <c:v>8.4</c:v>
                </c:pt>
                <c:pt idx="648">
                  <c:v>8.5</c:v>
                </c:pt>
                <c:pt idx="649">
                  <c:v>8.5</c:v>
                </c:pt>
                <c:pt idx="650">
                  <c:v>8.5</c:v>
                </c:pt>
                <c:pt idx="651">
                  <c:v>8.5</c:v>
                </c:pt>
                <c:pt idx="652">
                  <c:v>8.5</c:v>
                </c:pt>
                <c:pt idx="653">
                  <c:v>8.6</c:v>
                </c:pt>
                <c:pt idx="654">
                  <c:v>8.6</c:v>
                </c:pt>
                <c:pt idx="655">
                  <c:v>8.6</c:v>
                </c:pt>
                <c:pt idx="656">
                  <c:v>8.6</c:v>
                </c:pt>
                <c:pt idx="657">
                  <c:v>8.6</c:v>
                </c:pt>
                <c:pt idx="658">
                  <c:v>8.6</c:v>
                </c:pt>
                <c:pt idx="659">
                  <c:v>8.6</c:v>
                </c:pt>
                <c:pt idx="660">
                  <c:v>8.6</c:v>
                </c:pt>
                <c:pt idx="661">
                  <c:v>8.6</c:v>
                </c:pt>
                <c:pt idx="662">
                  <c:v>8.6</c:v>
                </c:pt>
                <c:pt idx="663">
                  <c:v>8.6</c:v>
                </c:pt>
                <c:pt idx="664">
                  <c:v>8.6</c:v>
                </c:pt>
                <c:pt idx="665">
                  <c:v>8.6</c:v>
                </c:pt>
                <c:pt idx="666">
                  <c:v>8.6999999999999993</c:v>
                </c:pt>
                <c:pt idx="667">
                  <c:v>8.6999999999999993</c:v>
                </c:pt>
                <c:pt idx="668">
                  <c:v>8.6999999999999993</c:v>
                </c:pt>
                <c:pt idx="669">
                  <c:v>8.6999999999999993</c:v>
                </c:pt>
                <c:pt idx="670">
                  <c:v>8.6999999999999993</c:v>
                </c:pt>
                <c:pt idx="671">
                  <c:v>8.6999999999999993</c:v>
                </c:pt>
                <c:pt idx="672">
                  <c:v>8.6999999999999993</c:v>
                </c:pt>
                <c:pt idx="673">
                  <c:v>8.6999999999999993</c:v>
                </c:pt>
                <c:pt idx="674">
                  <c:v>8.6999999999999993</c:v>
                </c:pt>
                <c:pt idx="675">
                  <c:v>8.6999999999999993</c:v>
                </c:pt>
                <c:pt idx="676">
                  <c:v>8.6999999999999993</c:v>
                </c:pt>
                <c:pt idx="677">
                  <c:v>8.6999999999999993</c:v>
                </c:pt>
                <c:pt idx="678">
                  <c:v>8.6999999999999993</c:v>
                </c:pt>
                <c:pt idx="679">
                  <c:v>8.6999999999999993</c:v>
                </c:pt>
                <c:pt idx="680">
                  <c:v>8.6999999999999993</c:v>
                </c:pt>
                <c:pt idx="681">
                  <c:v>8.6999999999999993</c:v>
                </c:pt>
                <c:pt idx="682">
                  <c:v>8.6999999999999993</c:v>
                </c:pt>
                <c:pt idx="683">
                  <c:v>8.6999999999999993</c:v>
                </c:pt>
                <c:pt idx="684">
                  <c:v>8.6999999999999993</c:v>
                </c:pt>
                <c:pt idx="685">
                  <c:v>8.6999999999999993</c:v>
                </c:pt>
                <c:pt idx="686">
                  <c:v>8.6999999999999993</c:v>
                </c:pt>
                <c:pt idx="687">
                  <c:v>8.6999999999999993</c:v>
                </c:pt>
                <c:pt idx="688">
                  <c:v>8.6999999999999993</c:v>
                </c:pt>
                <c:pt idx="689">
                  <c:v>8.6999999999999993</c:v>
                </c:pt>
                <c:pt idx="690">
                  <c:v>8.6999999999999993</c:v>
                </c:pt>
                <c:pt idx="691">
                  <c:v>8.6999999999999993</c:v>
                </c:pt>
                <c:pt idx="692">
                  <c:v>8.6999999999999993</c:v>
                </c:pt>
                <c:pt idx="693">
                  <c:v>8.6999999999999993</c:v>
                </c:pt>
                <c:pt idx="694">
                  <c:v>8.6999999999999993</c:v>
                </c:pt>
                <c:pt idx="695">
                  <c:v>8.6999999999999993</c:v>
                </c:pt>
                <c:pt idx="696">
                  <c:v>8.6999999999999993</c:v>
                </c:pt>
                <c:pt idx="697">
                  <c:v>8.6999999999999993</c:v>
                </c:pt>
                <c:pt idx="698">
                  <c:v>8.6999999999999993</c:v>
                </c:pt>
                <c:pt idx="699">
                  <c:v>8.6999999999999993</c:v>
                </c:pt>
                <c:pt idx="700">
                  <c:v>8.6999999999999993</c:v>
                </c:pt>
                <c:pt idx="701">
                  <c:v>8.6999999999999993</c:v>
                </c:pt>
                <c:pt idx="702">
                  <c:v>8.6999999999999993</c:v>
                </c:pt>
                <c:pt idx="703">
                  <c:v>8.6999999999999993</c:v>
                </c:pt>
                <c:pt idx="704">
                  <c:v>8.6999999999999993</c:v>
                </c:pt>
                <c:pt idx="705">
                  <c:v>8.6999999999999993</c:v>
                </c:pt>
                <c:pt idx="706">
                  <c:v>8.6999999999999993</c:v>
                </c:pt>
                <c:pt idx="707">
                  <c:v>8.6999999999999993</c:v>
                </c:pt>
                <c:pt idx="708">
                  <c:v>8.6999999999999993</c:v>
                </c:pt>
                <c:pt idx="709">
                  <c:v>8.6999999999999993</c:v>
                </c:pt>
                <c:pt idx="710">
                  <c:v>8.6999999999999993</c:v>
                </c:pt>
                <c:pt idx="711">
                  <c:v>8.6999999999999993</c:v>
                </c:pt>
                <c:pt idx="712">
                  <c:v>8.6999999999999993</c:v>
                </c:pt>
                <c:pt idx="713">
                  <c:v>8.6999999999999993</c:v>
                </c:pt>
                <c:pt idx="714">
                  <c:v>8.6999999999999993</c:v>
                </c:pt>
                <c:pt idx="715">
                  <c:v>8.6999999999999993</c:v>
                </c:pt>
                <c:pt idx="716">
                  <c:v>8.6999999999999993</c:v>
                </c:pt>
                <c:pt idx="717">
                  <c:v>8.6999999999999993</c:v>
                </c:pt>
                <c:pt idx="718">
                  <c:v>8.6999999999999993</c:v>
                </c:pt>
                <c:pt idx="719">
                  <c:v>8.6999999999999993</c:v>
                </c:pt>
                <c:pt idx="720">
                  <c:v>8.6999999999999993</c:v>
                </c:pt>
                <c:pt idx="721">
                  <c:v>8.6999999999999993</c:v>
                </c:pt>
                <c:pt idx="722">
                  <c:v>8.6999999999999993</c:v>
                </c:pt>
                <c:pt idx="723">
                  <c:v>8.6999999999999993</c:v>
                </c:pt>
                <c:pt idx="724">
                  <c:v>8.6999999999999993</c:v>
                </c:pt>
                <c:pt idx="725">
                  <c:v>8.6999999999999993</c:v>
                </c:pt>
                <c:pt idx="726">
                  <c:v>8.6999999999999993</c:v>
                </c:pt>
                <c:pt idx="727">
                  <c:v>8.6999999999999993</c:v>
                </c:pt>
                <c:pt idx="728">
                  <c:v>8.6999999999999993</c:v>
                </c:pt>
                <c:pt idx="729">
                  <c:v>8.6999999999999993</c:v>
                </c:pt>
                <c:pt idx="730">
                  <c:v>8.6999999999999993</c:v>
                </c:pt>
                <c:pt idx="731">
                  <c:v>8.6999999999999993</c:v>
                </c:pt>
                <c:pt idx="732">
                  <c:v>8.6999999999999993</c:v>
                </c:pt>
                <c:pt idx="733">
                  <c:v>8.6999999999999993</c:v>
                </c:pt>
                <c:pt idx="734">
                  <c:v>8.6999999999999993</c:v>
                </c:pt>
                <c:pt idx="735">
                  <c:v>8.7899999999999991</c:v>
                </c:pt>
                <c:pt idx="736">
                  <c:v>8.8000000000000007</c:v>
                </c:pt>
                <c:pt idx="737">
                  <c:v>8.8000000000000007</c:v>
                </c:pt>
                <c:pt idx="738">
                  <c:v>8.8000000000000007</c:v>
                </c:pt>
                <c:pt idx="739">
                  <c:v>8.8000000000000007</c:v>
                </c:pt>
                <c:pt idx="740">
                  <c:v>8.8000000000000007</c:v>
                </c:pt>
                <c:pt idx="741">
                  <c:v>8.8000000000000007</c:v>
                </c:pt>
                <c:pt idx="742">
                  <c:v>8.8000000000000007</c:v>
                </c:pt>
                <c:pt idx="743">
                  <c:v>8.8000000000000007</c:v>
                </c:pt>
                <c:pt idx="744">
                  <c:v>8.8000000000000007</c:v>
                </c:pt>
                <c:pt idx="745">
                  <c:v>8.8000000000000007</c:v>
                </c:pt>
                <c:pt idx="746">
                  <c:v>8.8000000000000007</c:v>
                </c:pt>
                <c:pt idx="747">
                  <c:v>8.8000000000000007</c:v>
                </c:pt>
                <c:pt idx="748">
                  <c:v>8.8000000000000007</c:v>
                </c:pt>
                <c:pt idx="749">
                  <c:v>8.8000000000000007</c:v>
                </c:pt>
                <c:pt idx="750">
                  <c:v>8.8000000000000007</c:v>
                </c:pt>
                <c:pt idx="751">
                  <c:v>8.8000000000000007</c:v>
                </c:pt>
                <c:pt idx="752">
                  <c:v>8.8000000000000007</c:v>
                </c:pt>
                <c:pt idx="753">
                  <c:v>8.8000000000000007</c:v>
                </c:pt>
                <c:pt idx="754">
                  <c:v>8.8000000000000007</c:v>
                </c:pt>
                <c:pt idx="755">
                  <c:v>8.8000000000000007</c:v>
                </c:pt>
                <c:pt idx="756">
                  <c:v>8.8000000000000007</c:v>
                </c:pt>
                <c:pt idx="757">
                  <c:v>8.8000000000000007</c:v>
                </c:pt>
                <c:pt idx="758">
                  <c:v>8.8000000000000007</c:v>
                </c:pt>
                <c:pt idx="759">
                  <c:v>8.8000000000000007</c:v>
                </c:pt>
                <c:pt idx="760">
                  <c:v>8.8000000000000007</c:v>
                </c:pt>
                <c:pt idx="761">
                  <c:v>8.8000000000000007</c:v>
                </c:pt>
                <c:pt idx="762">
                  <c:v>8.8000000000000007</c:v>
                </c:pt>
                <c:pt idx="763">
                  <c:v>8.8000000000000007</c:v>
                </c:pt>
                <c:pt idx="764">
                  <c:v>8.8000000000000007</c:v>
                </c:pt>
                <c:pt idx="765">
                  <c:v>8.8000000000000007</c:v>
                </c:pt>
                <c:pt idx="766">
                  <c:v>8.8000000000000007</c:v>
                </c:pt>
                <c:pt idx="767">
                  <c:v>8.8000000000000007</c:v>
                </c:pt>
                <c:pt idx="768">
                  <c:v>8.8000000000000007</c:v>
                </c:pt>
                <c:pt idx="769">
                  <c:v>8.8000000000000007</c:v>
                </c:pt>
                <c:pt idx="770">
                  <c:v>8.9</c:v>
                </c:pt>
                <c:pt idx="771">
                  <c:v>8.9</c:v>
                </c:pt>
                <c:pt idx="772">
                  <c:v>8.9</c:v>
                </c:pt>
                <c:pt idx="773">
                  <c:v>8.9</c:v>
                </c:pt>
                <c:pt idx="774">
                  <c:v>9</c:v>
                </c:pt>
                <c:pt idx="775">
                  <c:v>9</c:v>
                </c:pt>
                <c:pt idx="776">
                  <c:v>9</c:v>
                </c:pt>
                <c:pt idx="777">
                  <c:v>9.1</c:v>
                </c:pt>
                <c:pt idx="778">
                  <c:v>9.1</c:v>
                </c:pt>
                <c:pt idx="779">
                  <c:v>9.1999999999999993</c:v>
                </c:pt>
                <c:pt idx="780">
                  <c:v>9.1999999999999993</c:v>
                </c:pt>
                <c:pt idx="781">
                  <c:v>9.1999999999999993</c:v>
                </c:pt>
                <c:pt idx="782">
                  <c:v>9.1999999999999993</c:v>
                </c:pt>
                <c:pt idx="783">
                  <c:v>9.3000000000000007</c:v>
                </c:pt>
                <c:pt idx="784">
                  <c:v>11.8</c:v>
                </c:pt>
              </c:numCache>
            </c:numRef>
          </c:yVal>
          <c:smooth val="0"/>
        </c:ser>
        <c:dLbls>
          <c:showLegendKey val="0"/>
          <c:showVal val="0"/>
          <c:showCatName val="0"/>
          <c:showSerName val="0"/>
          <c:showPercent val="0"/>
          <c:showBubbleSize val="0"/>
        </c:dLbls>
        <c:axId val="198256512"/>
        <c:axId val="198270976"/>
      </c:scatterChart>
      <c:valAx>
        <c:axId val="198256512"/>
        <c:scaling>
          <c:orientation val="minMax"/>
          <c:max val="1000"/>
        </c:scaling>
        <c:delete val="0"/>
        <c:axPos val="b"/>
        <c:title>
          <c:tx>
            <c:rich>
              <a:bodyPr/>
              <a:lstStyle/>
              <a:p>
                <a:pPr>
                  <a:defRPr/>
                </a:pPr>
                <a:r>
                  <a:rPr lang="en-GB" b="0"/>
                  <a:t>Vessel capacity (TEU)</a:t>
                </a:r>
              </a:p>
            </c:rich>
          </c:tx>
          <c:overlay val="0"/>
        </c:title>
        <c:numFmt formatCode="General" sourceLinked="1"/>
        <c:majorTickMark val="out"/>
        <c:minorTickMark val="none"/>
        <c:tickLblPos val="nextTo"/>
        <c:crossAx val="198270976"/>
        <c:crosses val="autoZero"/>
        <c:crossBetween val="midCat"/>
      </c:valAx>
      <c:valAx>
        <c:axId val="198270976"/>
        <c:scaling>
          <c:orientation val="minMax"/>
        </c:scaling>
        <c:delete val="0"/>
        <c:axPos val="l"/>
        <c:majorGridlines/>
        <c:title>
          <c:tx>
            <c:rich>
              <a:bodyPr rot="-5400000" vert="horz"/>
              <a:lstStyle/>
              <a:p>
                <a:pPr>
                  <a:defRPr/>
                </a:pPr>
                <a:r>
                  <a:rPr lang="en-GB" b="0"/>
                  <a:t>Design draught (m)</a:t>
                </a:r>
              </a:p>
            </c:rich>
          </c:tx>
          <c:overlay val="0"/>
        </c:title>
        <c:numFmt formatCode="General" sourceLinked="1"/>
        <c:majorTickMark val="out"/>
        <c:minorTickMark val="none"/>
        <c:tickLblPos val="nextTo"/>
        <c:crossAx val="198256512"/>
        <c:crosses val="autoZero"/>
        <c:crossBetween val="midCat"/>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[Vessel analysis.xlsx]Pivot!PivotTable3</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s>
    <c:plotArea>
      <c:layout>
        <c:manualLayout>
          <c:layoutTarget val="inner"/>
          <c:xMode val="edge"/>
          <c:yMode val="edge"/>
          <c:x val="9.06366734071824E-2"/>
          <c:y val="4.1817399943651114E-2"/>
          <c:w val="0.88882412954194678"/>
          <c:h val="0.79574714177676942"/>
        </c:manualLayout>
      </c:layout>
      <c:barChart>
        <c:barDir val="col"/>
        <c:grouping val="stacked"/>
        <c:varyColors val="0"/>
        <c:ser>
          <c:idx val="0"/>
          <c:order val="0"/>
          <c:tx>
            <c:strRef>
              <c:f>Pivot!$B$3:$B$4</c:f>
              <c:strCache>
                <c:ptCount val="1"/>
                <c:pt idx="0">
                  <c:v>0-499</c:v>
                </c:pt>
              </c:strCache>
            </c:strRef>
          </c:tx>
          <c:invertIfNegative val="0"/>
          <c:cat>
            <c:strRef>
              <c:f>Pivot!$A$5:$A$47</c:f>
              <c:strCache>
                <c:ptCount val="42"/>
                <c:pt idx="0">
                  <c:v>1970</c:v>
                </c:pt>
                <c:pt idx="1">
                  <c:v>1972</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pt idx="41">
                  <c:v>2014</c:v>
                </c:pt>
              </c:strCache>
            </c:strRef>
          </c:cat>
          <c:val>
            <c:numRef>
              <c:f>Pivot!$B$5:$B$47</c:f>
              <c:numCache>
                <c:formatCode>General</c:formatCode>
                <c:ptCount val="42"/>
                <c:pt idx="0">
                  <c:v>2</c:v>
                </c:pt>
                <c:pt idx="1">
                  <c:v>1</c:v>
                </c:pt>
                <c:pt idx="2">
                  <c:v>1</c:v>
                </c:pt>
                <c:pt idx="3">
                  <c:v>1</c:v>
                </c:pt>
                <c:pt idx="4">
                  <c:v>1</c:v>
                </c:pt>
                <c:pt idx="5">
                  <c:v>1</c:v>
                </c:pt>
                <c:pt idx="6">
                  <c:v>1</c:v>
                </c:pt>
                <c:pt idx="7">
                  <c:v>4</c:v>
                </c:pt>
                <c:pt idx="8">
                  <c:v>1</c:v>
                </c:pt>
                <c:pt idx="9">
                  <c:v>2</c:v>
                </c:pt>
                <c:pt idx="10">
                  <c:v>1</c:v>
                </c:pt>
                <c:pt idx="11">
                  <c:v>1</c:v>
                </c:pt>
                <c:pt idx="13">
                  <c:v>1</c:v>
                </c:pt>
                <c:pt idx="15">
                  <c:v>2</c:v>
                </c:pt>
                <c:pt idx="16">
                  <c:v>2</c:v>
                </c:pt>
                <c:pt idx="17">
                  <c:v>3</c:v>
                </c:pt>
                <c:pt idx="18">
                  <c:v>13</c:v>
                </c:pt>
                <c:pt idx="19">
                  <c:v>6</c:v>
                </c:pt>
                <c:pt idx="20">
                  <c:v>9</c:v>
                </c:pt>
                <c:pt idx="21">
                  <c:v>12</c:v>
                </c:pt>
                <c:pt idx="22">
                  <c:v>18</c:v>
                </c:pt>
                <c:pt idx="23">
                  <c:v>25</c:v>
                </c:pt>
                <c:pt idx="24">
                  <c:v>10</c:v>
                </c:pt>
                <c:pt idx="25">
                  <c:v>10</c:v>
                </c:pt>
                <c:pt idx="26">
                  <c:v>6</c:v>
                </c:pt>
                <c:pt idx="27">
                  <c:v>2</c:v>
                </c:pt>
                <c:pt idx="28">
                  <c:v>3</c:v>
                </c:pt>
                <c:pt idx="29">
                  <c:v>1</c:v>
                </c:pt>
                <c:pt idx="30">
                  <c:v>2</c:v>
                </c:pt>
                <c:pt idx="31">
                  <c:v>3</c:v>
                </c:pt>
                <c:pt idx="32">
                  <c:v>4</c:v>
                </c:pt>
                <c:pt idx="33">
                  <c:v>3</c:v>
                </c:pt>
                <c:pt idx="34">
                  <c:v>2</c:v>
                </c:pt>
                <c:pt idx="35">
                  <c:v>3</c:v>
                </c:pt>
                <c:pt idx="36">
                  <c:v>5</c:v>
                </c:pt>
                <c:pt idx="37">
                  <c:v>3</c:v>
                </c:pt>
                <c:pt idx="38">
                  <c:v>3</c:v>
                </c:pt>
                <c:pt idx="39">
                  <c:v>3</c:v>
                </c:pt>
                <c:pt idx="40">
                  <c:v>2</c:v>
                </c:pt>
                <c:pt idx="41">
                  <c:v>1</c:v>
                </c:pt>
              </c:numCache>
            </c:numRef>
          </c:val>
        </c:ser>
        <c:ser>
          <c:idx val="1"/>
          <c:order val="1"/>
          <c:tx>
            <c:strRef>
              <c:f>Pivot!$C$3:$C$4</c:f>
              <c:strCache>
                <c:ptCount val="1"/>
                <c:pt idx="0">
                  <c:v>500-999</c:v>
                </c:pt>
              </c:strCache>
            </c:strRef>
          </c:tx>
          <c:invertIfNegative val="0"/>
          <c:cat>
            <c:strRef>
              <c:f>Pivot!$A$5:$A$47</c:f>
              <c:strCache>
                <c:ptCount val="42"/>
                <c:pt idx="0">
                  <c:v>1970</c:v>
                </c:pt>
                <c:pt idx="1">
                  <c:v>1972</c:v>
                </c:pt>
                <c:pt idx="2">
                  <c:v>1975</c:v>
                </c:pt>
                <c:pt idx="3">
                  <c:v>1976</c:v>
                </c:pt>
                <c:pt idx="4">
                  <c:v>1977</c:v>
                </c:pt>
                <c:pt idx="5">
                  <c:v>1978</c:v>
                </c:pt>
                <c:pt idx="6">
                  <c:v>1979</c:v>
                </c:pt>
                <c:pt idx="7">
                  <c:v>1980</c:v>
                </c:pt>
                <c:pt idx="8">
                  <c:v>1981</c:v>
                </c:pt>
                <c:pt idx="9">
                  <c:v>1982</c:v>
                </c:pt>
                <c:pt idx="10">
                  <c:v>1983</c:v>
                </c:pt>
                <c:pt idx="11">
                  <c:v>1984</c:v>
                </c:pt>
                <c:pt idx="12">
                  <c:v>1985</c:v>
                </c:pt>
                <c:pt idx="13">
                  <c:v>1986</c:v>
                </c:pt>
                <c:pt idx="14">
                  <c:v>1987</c:v>
                </c:pt>
                <c:pt idx="15">
                  <c:v>1988</c:v>
                </c:pt>
                <c:pt idx="16">
                  <c:v>1989</c:v>
                </c:pt>
                <c:pt idx="17">
                  <c:v>1990</c:v>
                </c:pt>
                <c:pt idx="18">
                  <c:v>1991</c:v>
                </c:pt>
                <c:pt idx="19">
                  <c:v>1992</c:v>
                </c:pt>
                <c:pt idx="20">
                  <c:v>1993</c:v>
                </c:pt>
                <c:pt idx="21">
                  <c:v>1994</c:v>
                </c:pt>
                <c:pt idx="22">
                  <c:v>1995</c:v>
                </c:pt>
                <c:pt idx="23">
                  <c:v>1996</c:v>
                </c:pt>
                <c:pt idx="24">
                  <c:v>1997</c:v>
                </c:pt>
                <c:pt idx="25">
                  <c:v>1998</c:v>
                </c:pt>
                <c:pt idx="26">
                  <c:v>1999</c:v>
                </c:pt>
                <c:pt idx="27">
                  <c:v>2000</c:v>
                </c:pt>
                <c:pt idx="28">
                  <c:v>2001</c:v>
                </c:pt>
                <c:pt idx="29">
                  <c:v>2002</c:v>
                </c:pt>
                <c:pt idx="30">
                  <c:v>2003</c:v>
                </c:pt>
                <c:pt idx="31">
                  <c:v>2004</c:v>
                </c:pt>
                <c:pt idx="32">
                  <c:v>2005</c:v>
                </c:pt>
                <c:pt idx="33">
                  <c:v>2006</c:v>
                </c:pt>
                <c:pt idx="34">
                  <c:v>2007</c:v>
                </c:pt>
                <c:pt idx="35">
                  <c:v>2008</c:v>
                </c:pt>
                <c:pt idx="36">
                  <c:v>2009</c:v>
                </c:pt>
                <c:pt idx="37">
                  <c:v>2010</c:v>
                </c:pt>
                <c:pt idx="38">
                  <c:v>2011</c:v>
                </c:pt>
                <c:pt idx="39">
                  <c:v>2012</c:v>
                </c:pt>
                <c:pt idx="40">
                  <c:v>2013</c:v>
                </c:pt>
                <c:pt idx="41">
                  <c:v>2014</c:v>
                </c:pt>
              </c:strCache>
            </c:strRef>
          </c:cat>
          <c:val>
            <c:numRef>
              <c:f>Pivot!$C$5:$C$47</c:f>
              <c:numCache>
                <c:formatCode>General</c:formatCode>
                <c:ptCount val="42"/>
                <c:pt idx="9">
                  <c:v>2</c:v>
                </c:pt>
                <c:pt idx="10">
                  <c:v>5</c:v>
                </c:pt>
                <c:pt idx="11">
                  <c:v>5</c:v>
                </c:pt>
                <c:pt idx="12">
                  <c:v>3</c:v>
                </c:pt>
                <c:pt idx="13">
                  <c:v>2</c:v>
                </c:pt>
                <c:pt idx="14">
                  <c:v>1</c:v>
                </c:pt>
                <c:pt idx="15">
                  <c:v>1</c:v>
                </c:pt>
                <c:pt idx="16">
                  <c:v>4</c:v>
                </c:pt>
                <c:pt idx="17">
                  <c:v>4</c:v>
                </c:pt>
                <c:pt idx="18">
                  <c:v>4</c:v>
                </c:pt>
                <c:pt idx="19">
                  <c:v>11</c:v>
                </c:pt>
                <c:pt idx="20">
                  <c:v>7</c:v>
                </c:pt>
                <c:pt idx="21">
                  <c:v>14</c:v>
                </c:pt>
                <c:pt idx="22">
                  <c:v>27</c:v>
                </c:pt>
                <c:pt idx="23">
                  <c:v>26</c:v>
                </c:pt>
                <c:pt idx="24">
                  <c:v>43</c:v>
                </c:pt>
                <c:pt idx="25">
                  <c:v>50</c:v>
                </c:pt>
                <c:pt idx="26">
                  <c:v>16</c:v>
                </c:pt>
                <c:pt idx="27">
                  <c:v>19</c:v>
                </c:pt>
                <c:pt idx="28">
                  <c:v>12</c:v>
                </c:pt>
                <c:pt idx="29">
                  <c:v>25</c:v>
                </c:pt>
                <c:pt idx="30">
                  <c:v>31</c:v>
                </c:pt>
                <c:pt idx="31">
                  <c:v>30</c:v>
                </c:pt>
                <c:pt idx="32">
                  <c:v>39</c:v>
                </c:pt>
                <c:pt idx="33">
                  <c:v>47</c:v>
                </c:pt>
                <c:pt idx="34">
                  <c:v>55</c:v>
                </c:pt>
                <c:pt idx="35">
                  <c:v>58</c:v>
                </c:pt>
                <c:pt idx="36">
                  <c:v>24</c:v>
                </c:pt>
                <c:pt idx="37">
                  <c:v>18</c:v>
                </c:pt>
                <c:pt idx="38">
                  <c:v>10</c:v>
                </c:pt>
                <c:pt idx="39">
                  <c:v>11</c:v>
                </c:pt>
                <c:pt idx="40">
                  <c:v>2</c:v>
                </c:pt>
                <c:pt idx="41">
                  <c:v>2</c:v>
                </c:pt>
              </c:numCache>
            </c:numRef>
          </c:val>
        </c:ser>
        <c:dLbls>
          <c:showLegendKey val="0"/>
          <c:showVal val="0"/>
          <c:showCatName val="0"/>
          <c:showSerName val="0"/>
          <c:showPercent val="0"/>
          <c:showBubbleSize val="0"/>
        </c:dLbls>
        <c:gapWidth val="59"/>
        <c:overlap val="100"/>
        <c:axId val="201143424"/>
        <c:axId val="201145344"/>
      </c:barChart>
      <c:catAx>
        <c:axId val="201143424"/>
        <c:scaling>
          <c:orientation val="minMax"/>
        </c:scaling>
        <c:delete val="0"/>
        <c:axPos val="b"/>
        <c:title>
          <c:tx>
            <c:rich>
              <a:bodyPr/>
              <a:lstStyle/>
              <a:p>
                <a:pPr>
                  <a:defRPr/>
                </a:pPr>
                <a:r>
                  <a:rPr lang="en-GB" b="0">
                    <a:latin typeface="+mj-lt"/>
                  </a:rPr>
                  <a:t>Year built</a:t>
                </a:r>
              </a:p>
            </c:rich>
          </c:tx>
          <c:overlay val="0"/>
        </c:title>
        <c:majorTickMark val="out"/>
        <c:minorTickMark val="none"/>
        <c:tickLblPos val="nextTo"/>
        <c:txPr>
          <a:bodyPr rot="-5400000" vert="horz"/>
          <a:lstStyle/>
          <a:p>
            <a:pPr>
              <a:defRPr>
                <a:latin typeface="+mj-lt"/>
              </a:defRPr>
            </a:pPr>
            <a:endParaRPr lang="en-US"/>
          </a:p>
        </c:txPr>
        <c:crossAx val="201145344"/>
        <c:crosses val="autoZero"/>
        <c:auto val="1"/>
        <c:lblAlgn val="ctr"/>
        <c:lblOffset val="100"/>
        <c:noMultiLvlLbl val="0"/>
      </c:catAx>
      <c:valAx>
        <c:axId val="201145344"/>
        <c:scaling>
          <c:orientation val="minMax"/>
        </c:scaling>
        <c:delete val="0"/>
        <c:axPos val="l"/>
        <c:majorGridlines/>
        <c:title>
          <c:tx>
            <c:rich>
              <a:bodyPr rot="-5400000" vert="horz"/>
              <a:lstStyle/>
              <a:p>
                <a:pPr>
                  <a:defRPr/>
                </a:pPr>
                <a:r>
                  <a:rPr lang="en-GB" b="0">
                    <a:latin typeface="+mj-lt"/>
                  </a:rPr>
                  <a:t>Number of vessels</a:t>
                </a:r>
              </a:p>
            </c:rich>
          </c:tx>
          <c:overlay val="0"/>
        </c:title>
        <c:numFmt formatCode="General" sourceLinked="1"/>
        <c:majorTickMark val="out"/>
        <c:minorTickMark val="none"/>
        <c:tickLblPos val="nextTo"/>
        <c:crossAx val="201143424"/>
        <c:crosses val="autoZero"/>
        <c:crossBetween val="between"/>
      </c:valAx>
    </c:plotArea>
    <c:legend>
      <c:legendPos val="r"/>
      <c:legendEntry>
        <c:idx val="0"/>
        <c:txPr>
          <a:bodyPr/>
          <a:lstStyle/>
          <a:p>
            <a:pPr>
              <a:defRPr>
                <a:latin typeface="+mj-lt"/>
              </a:defRPr>
            </a:pPr>
            <a:endParaRPr lang="en-US"/>
          </a:p>
        </c:txPr>
      </c:legendEntry>
      <c:legendEntry>
        <c:idx val="1"/>
        <c:txPr>
          <a:bodyPr/>
          <a:lstStyle/>
          <a:p>
            <a:pPr>
              <a:defRPr>
                <a:latin typeface="+mj-lt"/>
              </a:defRPr>
            </a:pPr>
            <a:endParaRPr lang="en-US"/>
          </a:p>
        </c:txPr>
      </c:legendEntry>
      <c:layout>
        <c:manualLayout>
          <c:xMode val="edge"/>
          <c:yMode val="edge"/>
          <c:x val="0.11814684020281933"/>
          <c:y val="7.4126073223897859E-2"/>
          <c:w val="0.11182027074889514"/>
          <c:h val="0.13616651645953895"/>
        </c:manualLayout>
      </c:layout>
      <c:overlay val="0"/>
      <c:spPr>
        <a:solidFill>
          <a:schemeClr val="bg1"/>
        </a:solidFill>
        <a:ln>
          <a:solidFill>
            <a:schemeClr val="tx1"/>
          </a:solidFill>
        </a:ln>
      </c:sp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[Port analysis.xlsx]Pivot!PivotTable1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s>
    <c:plotArea>
      <c:layout/>
      <c:barChart>
        <c:barDir val="col"/>
        <c:grouping val="stacked"/>
        <c:varyColors val="0"/>
        <c:ser>
          <c:idx val="0"/>
          <c:order val="0"/>
          <c:tx>
            <c:strRef>
              <c:f>Pivot!$B$3:$B$4</c:f>
              <c:strCache>
                <c:ptCount val="1"/>
                <c:pt idx="0">
                  <c:v>1.8-3.0</c:v>
                </c:pt>
              </c:strCache>
            </c:strRef>
          </c:tx>
          <c:invertIfNegative val="0"/>
          <c:cat>
            <c:strRef>
              <c:f>Pivot!$A$5:$A$62</c:f>
              <c:strCache>
                <c:ptCount val="57"/>
                <c:pt idx="0">
                  <c:v>Indonesia</c:v>
                </c:pt>
                <c:pt idx="1">
                  <c:v>Sweden</c:v>
                </c:pt>
                <c:pt idx="2">
                  <c:v>Russia</c:v>
                </c:pt>
                <c:pt idx="3">
                  <c:v>Norway</c:v>
                </c:pt>
                <c:pt idx="4">
                  <c:v>Spain</c:v>
                </c:pt>
                <c:pt idx="5">
                  <c:v>Malaysia</c:v>
                </c:pt>
                <c:pt idx="6">
                  <c:v>UK</c:v>
                </c:pt>
                <c:pt idx="7">
                  <c:v>Netherlands</c:v>
                </c:pt>
                <c:pt idx="8">
                  <c:v>Japan</c:v>
                </c:pt>
                <c:pt idx="9">
                  <c:v>Ireland</c:v>
                </c:pt>
                <c:pt idx="10">
                  <c:v>Algeria</c:v>
                </c:pt>
                <c:pt idx="11">
                  <c:v>Italy</c:v>
                </c:pt>
                <c:pt idx="12">
                  <c:v>Finland</c:v>
                </c:pt>
                <c:pt idx="13">
                  <c:v>China</c:v>
                </c:pt>
                <c:pt idx="14">
                  <c:v>India</c:v>
                </c:pt>
                <c:pt idx="15">
                  <c:v>Morocco</c:v>
                </c:pt>
                <c:pt idx="16">
                  <c:v>South Korea</c:v>
                </c:pt>
                <c:pt idx="17">
                  <c:v>Philippines</c:v>
                </c:pt>
                <c:pt idx="18">
                  <c:v>Cuba</c:v>
                </c:pt>
                <c:pt idx="19">
                  <c:v>Greece</c:v>
                </c:pt>
                <c:pt idx="20">
                  <c:v>Qatar</c:v>
                </c:pt>
                <c:pt idx="21">
                  <c:v>Grenada</c:v>
                </c:pt>
                <c:pt idx="22">
                  <c:v>Thailand</c:v>
                </c:pt>
                <c:pt idx="23">
                  <c:v>Guatemala</c:v>
                </c:pt>
                <c:pt idx="24">
                  <c:v>Panama</c:v>
                </c:pt>
                <c:pt idx="25">
                  <c:v>Guyana</c:v>
                </c:pt>
                <c:pt idx="26">
                  <c:v>Portugal</c:v>
                </c:pt>
                <c:pt idx="27">
                  <c:v>Iceland</c:v>
                </c:pt>
                <c:pt idx="28">
                  <c:v>Solomon Islands</c:v>
                </c:pt>
                <c:pt idx="29">
                  <c:v>Estonia</c:v>
                </c:pt>
                <c:pt idx="30">
                  <c:v>Suriname</c:v>
                </c:pt>
                <c:pt idx="31">
                  <c:v>Bahamas</c:v>
                </c:pt>
                <c:pt idx="32">
                  <c:v>Tuvalu</c:v>
                </c:pt>
                <c:pt idx="33">
                  <c:v>Iran</c:v>
                </c:pt>
                <c:pt idx="34">
                  <c:v>Brazil</c:v>
                </c:pt>
                <c:pt idx="35">
                  <c:v>Fiji</c:v>
                </c:pt>
                <c:pt idx="36">
                  <c:v>Papua New Guinea</c:v>
                </c:pt>
                <c:pt idx="37">
                  <c:v>Equatorial Guinea</c:v>
                </c:pt>
                <c:pt idx="38">
                  <c:v>Poland</c:v>
                </c:pt>
                <c:pt idx="39">
                  <c:v>Ukraine</c:v>
                </c:pt>
                <c:pt idx="40">
                  <c:v>Puerto Rico</c:v>
                </c:pt>
                <c:pt idx="41">
                  <c:v>France</c:v>
                </c:pt>
                <c:pt idx="42">
                  <c:v>Chile</c:v>
                </c:pt>
                <c:pt idx="43">
                  <c:v>Libya</c:v>
                </c:pt>
                <c:pt idx="44">
                  <c:v>Somalia</c:v>
                </c:pt>
                <c:pt idx="45">
                  <c:v>Bangladesh</c:v>
                </c:pt>
                <c:pt idx="46">
                  <c:v>Georgia</c:v>
                </c:pt>
                <c:pt idx="47">
                  <c:v>Mauritania</c:v>
                </c:pt>
                <c:pt idx="48">
                  <c:v>Croatia</c:v>
                </c:pt>
                <c:pt idx="49">
                  <c:v>Dominican Republic</c:v>
                </c:pt>
                <c:pt idx="50">
                  <c:v>Tunisia</c:v>
                </c:pt>
                <c:pt idx="51">
                  <c:v>Myanmar</c:v>
                </c:pt>
                <c:pt idx="52">
                  <c:v>UAE</c:v>
                </c:pt>
                <c:pt idx="53">
                  <c:v>Belgium</c:v>
                </c:pt>
                <c:pt idx="54">
                  <c:v>Germany</c:v>
                </c:pt>
                <c:pt idx="55">
                  <c:v>New Zealand</c:v>
                </c:pt>
                <c:pt idx="56">
                  <c:v>Kiribati</c:v>
                </c:pt>
              </c:strCache>
            </c:strRef>
          </c:cat>
          <c:val>
            <c:numRef>
              <c:f>Pivot!$B$5:$B$62</c:f>
              <c:numCache>
                <c:formatCode>General</c:formatCode>
                <c:ptCount val="57"/>
                <c:pt idx="14">
                  <c:v>1</c:v>
                </c:pt>
              </c:numCache>
            </c:numRef>
          </c:val>
        </c:ser>
        <c:ser>
          <c:idx val="1"/>
          <c:order val="1"/>
          <c:tx>
            <c:strRef>
              <c:f>Pivot!$C$3:$C$4</c:f>
              <c:strCache>
                <c:ptCount val="1"/>
                <c:pt idx="0">
                  <c:v>3.4-4.6</c:v>
                </c:pt>
              </c:strCache>
            </c:strRef>
          </c:tx>
          <c:invertIfNegative val="0"/>
          <c:cat>
            <c:strRef>
              <c:f>Pivot!$A$5:$A$62</c:f>
              <c:strCache>
                <c:ptCount val="57"/>
                <c:pt idx="0">
                  <c:v>Indonesia</c:v>
                </c:pt>
                <c:pt idx="1">
                  <c:v>Sweden</c:v>
                </c:pt>
                <c:pt idx="2">
                  <c:v>Russia</c:v>
                </c:pt>
                <c:pt idx="3">
                  <c:v>Norway</c:v>
                </c:pt>
                <c:pt idx="4">
                  <c:v>Spain</c:v>
                </c:pt>
                <c:pt idx="5">
                  <c:v>Malaysia</c:v>
                </c:pt>
                <c:pt idx="6">
                  <c:v>UK</c:v>
                </c:pt>
                <c:pt idx="7">
                  <c:v>Netherlands</c:v>
                </c:pt>
                <c:pt idx="8">
                  <c:v>Japan</c:v>
                </c:pt>
                <c:pt idx="9">
                  <c:v>Ireland</c:v>
                </c:pt>
                <c:pt idx="10">
                  <c:v>Algeria</c:v>
                </c:pt>
                <c:pt idx="11">
                  <c:v>Italy</c:v>
                </c:pt>
                <c:pt idx="12">
                  <c:v>Finland</c:v>
                </c:pt>
                <c:pt idx="13">
                  <c:v>China</c:v>
                </c:pt>
                <c:pt idx="14">
                  <c:v>India</c:v>
                </c:pt>
                <c:pt idx="15">
                  <c:v>Morocco</c:v>
                </c:pt>
                <c:pt idx="16">
                  <c:v>South Korea</c:v>
                </c:pt>
                <c:pt idx="17">
                  <c:v>Philippines</c:v>
                </c:pt>
                <c:pt idx="18">
                  <c:v>Cuba</c:v>
                </c:pt>
                <c:pt idx="19">
                  <c:v>Greece</c:v>
                </c:pt>
                <c:pt idx="20">
                  <c:v>Qatar</c:v>
                </c:pt>
                <c:pt idx="21">
                  <c:v>Grenada</c:v>
                </c:pt>
                <c:pt idx="22">
                  <c:v>Thailand</c:v>
                </c:pt>
                <c:pt idx="23">
                  <c:v>Guatemala</c:v>
                </c:pt>
                <c:pt idx="24">
                  <c:v>Panama</c:v>
                </c:pt>
                <c:pt idx="25">
                  <c:v>Guyana</c:v>
                </c:pt>
                <c:pt idx="26">
                  <c:v>Portugal</c:v>
                </c:pt>
                <c:pt idx="27">
                  <c:v>Iceland</c:v>
                </c:pt>
                <c:pt idx="28">
                  <c:v>Solomon Islands</c:v>
                </c:pt>
                <c:pt idx="29">
                  <c:v>Estonia</c:v>
                </c:pt>
                <c:pt idx="30">
                  <c:v>Suriname</c:v>
                </c:pt>
                <c:pt idx="31">
                  <c:v>Bahamas</c:v>
                </c:pt>
                <c:pt idx="32">
                  <c:v>Tuvalu</c:v>
                </c:pt>
                <c:pt idx="33">
                  <c:v>Iran</c:v>
                </c:pt>
                <c:pt idx="34">
                  <c:v>Brazil</c:v>
                </c:pt>
                <c:pt idx="35">
                  <c:v>Fiji</c:v>
                </c:pt>
                <c:pt idx="36">
                  <c:v>Papua New Guinea</c:v>
                </c:pt>
                <c:pt idx="37">
                  <c:v>Equatorial Guinea</c:v>
                </c:pt>
                <c:pt idx="38">
                  <c:v>Poland</c:v>
                </c:pt>
                <c:pt idx="39">
                  <c:v>Ukraine</c:v>
                </c:pt>
                <c:pt idx="40">
                  <c:v>Puerto Rico</c:v>
                </c:pt>
                <c:pt idx="41">
                  <c:v>France</c:v>
                </c:pt>
                <c:pt idx="42">
                  <c:v>Chile</c:v>
                </c:pt>
                <c:pt idx="43">
                  <c:v>Libya</c:v>
                </c:pt>
                <c:pt idx="44">
                  <c:v>Somalia</c:v>
                </c:pt>
                <c:pt idx="45">
                  <c:v>Bangladesh</c:v>
                </c:pt>
                <c:pt idx="46">
                  <c:v>Georgia</c:v>
                </c:pt>
                <c:pt idx="47">
                  <c:v>Mauritania</c:v>
                </c:pt>
                <c:pt idx="48">
                  <c:v>Croatia</c:v>
                </c:pt>
                <c:pt idx="49">
                  <c:v>Dominican Republic</c:v>
                </c:pt>
                <c:pt idx="50">
                  <c:v>Tunisia</c:v>
                </c:pt>
                <c:pt idx="51">
                  <c:v>Myanmar</c:v>
                </c:pt>
                <c:pt idx="52">
                  <c:v>UAE</c:v>
                </c:pt>
                <c:pt idx="53">
                  <c:v>Belgium</c:v>
                </c:pt>
                <c:pt idx="54">
                  <c:v>Germany</c:v>
                </c:pt>
                <c:pt idx="55">
                  <c:v>New Zealand</c:v>
                </c:pt>
                <c:pt idx="56">
                  <c:v>Kiribati</c:v>
                </c:pt>
              </c:strCache>
            </c:strRef>
          </c:cat>
          <c:val>
            <c:numRef>
              <c:f>Pivot!$C$5:$C$62</c:f>
              <c:numCache>
                <c:formatCode>General</c:formatCode>
                <c:ptCount val="57"/>
                <c:pt idx="0">
                  <c:v>1</c:v>
                </c:pt>
                <c:pt idx="2">
                  <c:v>2</c:v>
                </c:pt>
                <c:pt idx="33">
                  <c:v>1</c:v>
                </c:pt>
              </c:numCache>
            </c:numRef>
          </c:val>
        </c:ser>
        <c:ser>
          <c:idx val="2"/>
          <c:order val="2"/>
          <c:tx>
            <c:strRef>
              <c:f>Pivot!$D$3:$D$4</c:f>
              <c:strCache>
                <c:ptCount val="1"/>
                <c:pt idx="0">
                  <c:v>4.9-6.1</c:v>
                </c:pt>
              </c:strCache>
            </c:strRef>
          </c:tx>
          <c:invertIfNegative val="0"/>
          <c:cat>
            <c:strRef>
              <c:f>Pivot!$A$5:$A$62</c:f>
              <c:strCache>
                <c:ptCount val="57"/>
                <c:pt idx="0">
                  <c:v>Indonesia</c:v>
                </c:pt>
                <c:pt idx="1">
                  <c:v>Sweden</c:v>
                </c:pt>
                <c:pt idx="2">
                  <c:v>Russia</c:v>
                </c:pt>
                <c:pt idx="3">
                  <c:v>Norway</c:v>
                </c:pt>
                <c:pt idx="4">
                  <c:v>Spain</c:v>
                </c:pt>
                <c:pt idx="5">
                  <c:v>Malaysia</c:v>
                </c:pt>
                <c:pt idx="6">
                  <c:v>UK</c:v>
                </c:pt>
                <c:pt idx="7">
                  <c:v>Netherlands</c:v>
                </c:pt>
                <c:pt idx="8">
                  <c:v>Japan</c:v>
                </c:pt>
                <c:pt idx="9">
                  <c:v>Ireland</c:v>
                </c:pt>
                <c:pt idx="10">
                  <c:v>Algeria</c:v>
                </c:pt>
                <c:pt idx="11">
                  <c:v>Italy</c:v>
                </c:pt>
                <c:pt idx="12">
                  <c:v>Finland</c:v>
                </c:pt>
                <c:pt idx="13">
                  <c:v>China</c:v>
                </c:pt>
                <c:pt idx="14">
                  <c:v>India</c:v>
                </c:pt>
                <c:pt idx="15">
                  <c:v>Morocco</c:v>
                </c:pt>
                <c:pt idx="16">
                  <c:v>South Korea</c:v>
                </c:pt>
                <c:pt idx="17">
                  <c:v>Philippines</c:v>
                </c:pt>
                <c:pt idx="18">
                  <c:v>Cuba</c:v>
                </c:pt>
                <c:pt idx="19">
                  <c:v>Greece</c:v>
                </c:pt>
                <c:pt idx="20">
                  <c:v>Qatar</c:v>
                </c:pt>
                <c:pt idx="21">
                  <c:v>Grenada</c:v>
                </c:pt>
                <c:pt idx="22">
                  <c:v>Thailand</c:v>
                </c:pt>
                <c:pt idx="23">
                  <c:v>Guatemala</c:v>
                </c:pt>
                <c:pt idx="24">
                  <c:v>Panama</c:v>
                </c:pt>
                <c:pt idx="25">
                  <c:v>Guyana</c:v>
                </c:pt>
                <c:pt idx="26">
                  <c:v>Portugal</c:v>
                </c:pt>
                <c:pt idx="27">
                  <c:v>Iceland</c:v>
                </c:pt>
                <c:pt idx="28">
                  <c:v>Solomon Islands</c:v>
                </c:pt>
                <c:pt idx="29">
                  <c:v>Estonia</c:v>
                </c:pt>
                <c:pt idx="30">
                  <c:v>Suriname</c:v>
                </c:pt>
                <c:pt idx="31">
                  <c:v>Bahamas</c:v>
                </c:pt>
                <c:pt idx="32">
                  <c:v>Tuvalu</c:v>
                </c:pt>
                <c:pt idx="33">
                  <c:v>Iran</c:v>
                </c:pt>
                <c:pt idx="34">
                  <c:v>Brazil</c:v>
                </c:pt>
                <c:pt idx="35">
                  <c:v>Fiji</c:v>
                </c:pt>
                <c:pt idx="36">
                  <c:v>Papua New Guinea</c:v>
                </c:pt>
                <c:pt idx="37">
                  <c:v>Equatorial Guinea</c:v>
                </c:pt>
                <c:pt idx="38">
                  <c:v>Poland</c:v>
                </c:pt>
                <c:pt idx="39">
                  <c:v>Ukraine</c:v>
                </c:pt>
                <c:pt idx="40">
                  <c:v>Puerto Rico</c:v>
                </c:pt>
                <c:pt idx="41">
                  <c:v>France</c:v>
                </c:pt>
                <c:pt idx="42">
                  <c:v>Chile</c:v>
                </c:pt>
                <c:pt idx="43">
                  <c:v>Libya</c:v>
                </c:pt>
                <c:pt idx="44">
                  <c:v>Somalia</c:v>
                </c:pt>
                <c:pt idx="45">
                  <c:v>Bangladesh</c:v>
                </c:pt>
                <c:pt idx="46">
                  <c:v>Georgia</c:v>
                </c:pt>
                <c:pt idx="47">
                  <c:v>Mauritania</c:v>
                </c:pt>
                <c:pt idx="48">
                  <c:v>Croatia</c:v>
                </c:pt>
                <c:pt idx="49">
                  <c:v>Dominican Republic</c:v>
                </c:pt>
                <c:pt idx="50">
                  <c:v>Tunisia</c:v>
                </c:pt>
                <c:pt idx="51">
                  <c:v>Myanmar</c:v>
                </c:pt>
                <c:pt idx="52">
                  <c:v>UAE</c:v>
                </c:pt>
                <c:pt idx="53">
                  <c:v>Belgium</c:v>
                </c:pt>
                <c:pt idx="54">
                  <c:v>Germany</c:v>
                </c:pt>
                <c:pt idx="55">
                  <c:v>New Zealand</c:v>
                </c:pt>
                <c:pt idx="56">
                  <c:v>Kiribati</c:v>
                </c:pt>
              </c:strCache>
            </c:strRef>
          </c:cat>
          <c:val>
            <c:numRef>
              <c:f>Pivot!$D$5:$D$62</c:f>
              <c:numCache>
                <c:formatCode>General</c:formatCode>
                <c:ptCount val="57"/>
                <c:pt idx="0">
                  <c:v>1</c:v>
                </c:pt>
                <c:pt idx="1">
                  <c:v>1</c:v>
                </c:pt>
                <c:pt idx="4">
                  <c:v>1</c:v>
                </c:pt>
                <c:pt idx="6">
                  <c:v>1</c:v>
                </c:pt>
                <c:pt idx="7">
                  <c:v>1</c:v>
                </c:pt>
                <c:pt idx="9">
                  <c:v>1</c:v>
                </c:pt>
                <c:pt idx="15">
                  <c:v>1</c:v>
                </c:pt>
                <c:pt idx="26">
                  <c:v>1</c:v>
                </c:pt>
                <c:pt idx="30">
                  <c:v>1</c:v>
                </c:pt>
              </c:numCache>
            </c:numRef>
          </c:val>
        </c:ser>
        <c:ser>
          <c:idx val="3"/>
          <c:order val="3"/>
          <c:tx>
            <c:strRef>
              <c:f>Pivot!$E$3:$E$4</c:f>
              <c:strCache>
                <c:ptCount val="1"/>
                <c:pt idx="0">
                  <c:v>6.4-7.6</c:v>
                </c:pt>
              </c:strCache>
            </c:strRef>
          </c:tx>
          <c:invertIfNegative val="0"/>
          <c:cat>
            <c:strRef>
              <c:f>Pivot!$A$5:$A$62</c:f>
              <c:strCache>
                <c:ptCount val="57"/>
                <c:pt idx="0">
                  <c:v>Indonesia</c:v>
                </c:pt>
                <c:pt idx="1">
                  <c:v>Sweden</c:v>
                </c:pt>
                <c:pt idx="2">
                  <c:v>Russia</c:v>
                </c:pt>
                <c:pt idx="3">
                  <c:v>Norway</c:v>
                </c:pt>
                <c:pt idx="4">
                  <c:v>Spain</c:v>
                </c:pt>
                <c:pt idx="5">
                  <c:v>Malaysia</c:v>
                </c:pt>
                <c:pt idx="6">
                  <c:v>UK</c:v>
                </c:pt>
                <c:pt idx="7">
                  <c:v>Netherlands</c:v>
                </c:pt>
                <c:pt idx="8">
                  <c:v>Japan</c:v>
                </c:pt>
                <c:pt idx="9">
                  <c:v>Ireland</c:v>
                </c:pt>
                <c:pt idx="10">
                  <c:v>Algeria</c:v>
                </c:pt>
                <c:pt idx="11">
                  <c:v>Italy</c:v>
                </c:pt>
                <c:pt idx="12">
                  <c:v>Finland</c:v>
                </c:pt>
                <c:pt idx="13">
                  <c:v>China</c:v>
                </c:pt>
                <c:pt idx="14">
                  <c:v>India</c:v>
                </c:pt>
                <c:pt idx="15">
                  <c:v>Morocco</c:v>
                </c:pt>
                <c:pt idx="16">
                  <c:v>South Korea</c:v>
                </c:pt>
                <c:pt idx="17">
                  <c:v>Philippines</c:v>
                </c:pt>
                <c:pt idx="18">
                  <c:v>Cuba</c:v>
                </c:pt>
                <c:pt idx="19">
                  <c:v>Greece</c:v>
                </c:pt>
                <c:pt idx="20">
                  <c:v>Qatar</c:v>
                </c:pt>
                <c:pt idx="21">
                  <c:v>Grenada</c:v>
                </c:pt>
                <c:pt idx="22">
                  <c:v>Thailand</c:v>
                </c:pt>
                <c:pt idx="23">
                  <c:v>Guatemala</c:v>
                </c:pt>
                <c:pt idx="24">
                  <c:v>Panama</c:v>
                </c:pt>
                <c:pt idx="25">
                  <c:v>Guyana</c:v>
                </c:pt>
                <c:pt idx="26">
                  <c:v>Portugal</c:v>
                </c:pt>
                <c:pt idx="27">
                  <c:v>Iceland</c:v>
                </c:pt>
                <c:pt idx="28">
                  <c:v>Solomon Islands</c:v>
                </c:pt>
                <c:pt idx="29">
                  <c:v>Estonia</c:v>
                </c:pt>
                <c:pt idx="30">
                  <c:v>Suriname</c:v>
                </c:pt>
                <c:pt idx="31">
                  <c:v>Bahamas</c:v>
                </c:pt>
                <c:pt idx="32">
                  <c:v>Tuvalu</c:v>
                </c:pt>
                <c:pt idx="33">
                  <c:v>Iran</c:v>
                </c:pt>
                <c:pt idx="34">
                  <c:v>Brazil</c:v>
                </c:pt>
                <c:pt idx="35">
                  <c:v>Fiji</c:v>
                </c:pt>
                <c:pt idx="36">
                  <c:v>Papua New Guinea</c:v>
                </c:pt>
                <c:pt idx="37">
                  <c:v>Equatorial Guinea</c:v>
                </c:pt>
                <c:pt idx="38">
                  <c:v>Poland</c:v>
                </c:pt>
                <c:pt idx="39">
                  <c:v>Ukraine</c:v>
                </c:pt>
                <c:pt idx="40">
                  <c:v>Puerto Rico</c:v>
                </c:pt>
                <c:pt idx="41">
                  <c:v>France</c:v>
                </c:pt>
                <c:pt idx="42">
                  <c:v>Chile</c:v>
                </c:pt>
                <c:pt idx="43">
                  <c:v>Libya</c:v>
                </c:pt>
                <c:pt idx="44">
                  <c:v>Somalia</c:v>
                </c:pt>
                <c:pt idx="45">
                  <c:v>Bangladesh</c:v>
                </c:pt>
                <c:pt idx="46">
                  <c:v>Georgia</c:v>
                </c:pt>
                <c:pt idx="47">
                  <c:v>Mauritania</c:v>
                </c:pt>
                <c:pt idx="48">
                  <c:v>Croatia</c:v>
                </c:pt>
                <c:pt idx="49">
                  <c:v>Dominican Republic</c:v>
                </c:pt>
                <c:pt idx="50">
                  <c:v>Tunisia</c:v>
                </c:pt>
                <c:pt idx="51">
                  <c:v>Myanmar</c:v>
                </c:pt>
                <c:pt idx="52">
                  <c:v>UAE</c:v>
                </c:pt>
                <c:pt idx="53">
                  <c:v>Belgium</c:v>
                </c:pt>
                <c:pt idx="54">
                  <c:v>Germany</c:v>
                </c:pt>
                <c:pt idx="55">
                  <c:v>New Zealand</c:v>
                </c:pt>
                <c:pt idx="56">
                  <c:v>Kiribati</c:v>
                </c:pt>
              </c:strCache>
            </c:strRef>
          </c:cat>
          <c:val>
            <c:numRef>
              <c:f>Pivot!$E$5:$E$62</c:f>
              <c:numCache>
                <c:formatCode>General</c:formatCode>
                <c:ptCount val="57"/>
                <c:pt idx="0">
                  <c:v>1</c:v>
                </c:pt>
                <c:pt idx="2">
                  <c:v>1</c:v>
                </c:pt>
                <c:pt idx="3">
                  <c:v>2</c:v>
                </c:pt>
                <c:pt idx="4">
                  <c:v>1</c:v>
                </c:pt>
                <c:pt idx="8">
                  <c:v>1</c:v>
                </c:pt>
                <c:pt idx="11">
                  <c:v>1</c:v>
                </c:pt>
                <c:pt idx="12">
                  <c:v>1</c:v>
                </c:pt>
                <c:pt idx="13">
                  <c:v>1</c:v>
                </c:pt>
                <c:pt idx="19">
                  <c:v>1</c:v>
                </c:pt>
                <c:pt idx="21">
                  <c:v>1</c:v>
                </c:pt>
                <c:pt idx="34">
                  <c:v>1</c:v>
                </c:pt>
                <c:pt idx="36">
                  <c:v>1</c:v>
                </c:pt>
                <c:pt idx="51">
                  <c:v>1</c:v>
                </c:pt>
                <c:pt idx="56">
                  <c:v>1</c:v>
                </c:pt>
              </c:numCache>
            </c:numRef>
          </c:val>
        </c:ser>
        <c:ser>
          <c:idx val="4"/>
          <c:order val="4"/>
          <c:tx>
            <c:strRef>
              <c:f>Pivot!$F$3:$F$4</c:f>
              <c:strCache>
                <c:ptCount val="1"/>
                <c:pt idx="0">
                  <c:v>7.9-9.1</c:v>
                </c:pt>
              </c:strCache>
            </c:strRef>
          </c:tx>
          <c:invertIfNegative val="0"/>
          <c:cat>
            <c:strRef>
              <c:f>Pivot!$A$5:$A$62</c:f>
              <c:strCache>
                <c:ptCount val="57"/>
                <c:pt idx="0">
                  <c:v>Indonesia</c:v>
                </c:pt>
                <c:pt idx="1">
                  <c:v>Sweden</c:v>
                </c:pt>
                <c:pt idx="2">
                  <c:v>Russia</c:v>
                </c:pt>
                <c:pt idx="3">
                  <c:v>Norway</c:v>
                </c:pt>
                <c:pt idx="4">
                  <c:v>Spain</c:v>
                </c:pt>
                <c:pt idx="5">
                  <c:v>Malaysia</c:v>
                </c:pt>
                <c:pt idx="6">
                  <c:v>UK</c:v>
                </c:pt>
                <c:pt idx="7">
                  <c:v>Netherlands</c:v>
                </c:pt>
                <c:pt idx="8">
                  <c:v>Japan</c:v>
                </c:pt>
                <c:pt idx="9">
                  <c:v>Ireland</c:v>
                </c:pt>
                <c:pt idx="10">
                  <c:v>Algeria</c:v>
                </c:pt>
                <c:pt idx="11">
                  <c:v>Italy</c:v>
                </c:pt>
                <c:pt idx="12">
                  <c:v>Finland</c:v>
                </c:pt>
                <c:pt idx="13">
                  <c:v>China</c:v>
                </c:pt>
                <c:pt idx="14">
                  <c:v>India</c:v>
                </c:pt>
                <c:pt idx="15">
                  <c:v>Morocco</c:v>
                </c:pt>
                <c:pt idx="16">
                  <c:v>South Korea</c:v>
                </c:pt>
                <c:pt idx="17">
                  <c:v>Philippines</c:v>
                </c:pt>
                <c:pt idx="18">
                  <c:v>Cuba</c:v>
                </c:pt>
                <c:pt idx="19">
                  <c:v>Greece</c:v>
                </c:pt>
                <c:pt idx="20">
                  <c:v>Qatar</c:v>
                </c:pt>
                <c:pt idx="21">
                  <c:v>Grenada</c:v>
                </c:pt>
                <c:pt idx="22">
                  <c:v>Thailand</c:v>
                </c:pt>
                <c:pt idx="23">
                  <c:v>Guatemala</c:v>
                </c:pt>
                <c:pt idx="24">
                  <c:v>Panama</c:v>
                </c:pt>
                <c:pt idx="25">
                  <c:v>Guyana</c:v>
                </c:pt>
                <c:pt idx="26">
                  <c:v>Portugal</c:v>
                </c:pt>
                <c:pt idx="27">
                  <c:v>Iceland</c:v>
                </c:pt>
                <c:pt idx="28">
                  <c:v>Solomon Islands</c:v>
                </c:pt>
                <c:pt idx="29">
                  <c:v>Estonia</c:v>
                </c:pt>
                <c:pt idx="30">
                  <c:v>Suriname</c:v>
                </c:pt>
                <c:pt idx="31">
                  <c:v>Bahamas</c:v>
                </c:pt>
                <c:pt idx="32">
                  <c:v>Tuvalu</c:v>
                </c:pt>
                <c:pt idx="33">
                  <c:v>Iran</c:v>
                </c:pt>
                <c:pt idx="34">
                  <c:v>Brazil</c:v>
                </c:pt>
                <c:pt idx="35">
                  <c:v>Fiji</c:v>
                </c:pt>
                <c:pt idx="36">
                  <c:v>Papua New Guinea</c:v>
                </c:pt>
                <c:pt idx="37">
                  <c:v>Equatorial Guinea</c:v>
                </c:pt>
                <c:pt idx="38">
                  <c:v>Poland</c:v>
                </c:pt>
                <c:pt idx="39">
                  <c:v>Ukraine</c:v>
                </c:pt>
                <c:pt idx="40">
                  <c:v>Puerto Rico</c:v>
                </c:pt>
                <c:pt idx="41">
                  <c:v>France</c:v>
                </c:pt>
                <c:pt idx="42">
                  <c:v>Chile</c:v>
                </c:pt>
                <c:pt idx="43">
                  <c:v>Libya</c:v>
                </c:pt>
                <c:pt idx="44">
                  <c:v>Somalia</c:v>
                </c:pt>
                <c:pt idx="45">
                  <c:v>Bangladesh</c:v>
                </c:pt>
                <c:pt idx="46">
                  <c:v>Georgia</c:v>
                </c:pt>
                <c:pt idx="47">
                  <c:v>Mauritania</c:v>
                </c:pt>
                <c:pt idx="48">
                  <c:v>Croatia</c:v>
                </c:pt>
                <c:pt idx="49">
                  <c:v>Dominican Republic</c:v>
                </c:pt>
                <c:pt idx="50">
                  <c:v>Tunisia</c:v>
                </c:pt>
                <c:pt idx="51">
                  <c:v>Myanmar</c:v>
                </c:pt>
                <c:pt idx="52">
                  <c:v>UAE</c:v>
                </c:pt>
                <c:pt idx="53">
                  <c:v>Belgium</c:v>
                </c:pt>
                <c:pt idx="54">
                  <c:v>Germany</c:v>
                </c:pt>
                <c:pt idx="55">
                  <c:v>New Zealand</c:v>
                </c:pt>
                <c:pt idx="56">
                  <c:v>Kiribati</c:v>
                </c:pt>
              </c:strCache>
            </c:strRef>
          </c:cat>
          <c:val>
            <c:numRef>
              <c:f>Pivot!$F$5:$F$62</c:f>
              <c:numCache>
                <c:formatCode>General</c:formatCode>
                <c:ptCount val="57"/>
                <c:pt idx="0">
                  <c:v>5</c:v>
                </c:pt>
                <c:pt idx="1">
                  <c:v>4</c:v>
                </c:pt>
                <c:pt idx="2">
                  <c:v>1</c:v>
                </c:pt>
                <c:pt idx="3">
                  <c:v>1</c:v>
                </c:pt>
                <c:pt idx="4">
                  <c:v>1</c:v>
                </c:pt>
                <c:pt idx="5">
                  <c:v>3</c:v>
                </c:pt>
                <c:pt idx="6">
                  <c:v>2</c:v>
                </c:pt>
                <c:pt idx="7">
                  <c:v>2</c:v>
                </c:pt>
                <c:pt idx="8">
                  <c:v>2</c:v>
                </c:pt>
                <c:pt idx="9">
                  <c:v>1</c:v>
                </c:pt>
                <c:pt idx="10">
                  <c:v>2</c:v>
                </c:pt>
                <c:pt idx="11">
                  <c:v>1</c:v>
                </c:pt>
                <c:pt idx="12">
                  <c:v>1</c:v>
                </c:pt>
                <c:pt idx="13">
                  <c:v>1</c:v>
                </c:pt>
                <c:pt idx="14">
                  <c:v>1</c:v>
                </c:pt>
                <c:pt idx="15">
                  <c:v>1</c:v>
                </c:pt>
                <c:pt idx="16">
                  <c:v>1</c:v>
                </c:pt>
                <c:pt idx="17">
                  <c:v>1</c:v>
                </c:pt>
                <c:pt idx="18">
                  <c:v>1</c:v>
                </c:pt>
                <c:pt idx="20">
                  <c:v>1</c:v>
                </c:pt>
                <c:pt idx="22">
                  <c:v>1</c:v>
                </c:pt>
                <c:pt idx="23">
                  <c:v>1</c:v>
                </c:pt>
                <c:pt idx="24">
                  <c:v>1</c:v>
                </c:pt>
                <c:pt idx="25">
                  <c:v>1</c:v>
                </c:pt>
                <c:pt idx="27">
                  <c:v>1</c:v>
                </c:pt>
                <c:pt idx="28">
                  <c:v>1</c:v>
                </c:pt>
                <c:pt idx="29">
                  <c:v>1</c:v>
                </c:pt>
                <c:pt idx="31">
                  <c:v>1</c:v>
                </c:pt>
                <c:pt idx="32">
                  <c:v>1</c:v>
                </c:pt>
                <c:pt idx="35">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2">
                  <c:v>1</c:v>
                </c:pt>
                <c:pt idx="53">
                  <c:v>1</c:v>
                </c:pt>
                <c:pt idx="54">
                  <c:v>1</c:v>
                </c:pt>
                <c:pt idx="55">
                  <c:v>1</c:v>
                </c:pt>
              </c:numCache>
            </c:numRef>
          </c:val>
        </c:ser>
        <c:dLbls>
          <c:showLegendKey val="0"/>
          <c:showVal val="0"/>
          <c:showCatName val="0"/>
          <c:showSerName val="0"/>
          <c:showPercent val="0"/>
          <c:showBubbleSize val="0"/>
        </c:dLbls>
        <c:gapWidth val="54"/>
        <c:overlap val="100"/>
        <c:axId val="204168192"/>
        <c:axId val="204190464"/>
      </c:barChart>
      <c:catAx>
        <c:axId val="204168192"/>
        <c:scaling>
          <c:orientation val="minMax"/>
        </c:scaling>
        <c:delete val="0"/>
        <c:axPos val="b"/>
        <c:majorTickMark val="out"/>
        <c:minorTickMark val="none"/>
        <c:tickLblPos val="nextTo"/>
        <c:txPr>
          <a:bodyPr rot="-5400000" vert="horz"/>
          <a:lstStyle/>
          <a:p>
            <a:pPr>
              <a:defRPr/>
            </a:pPr>
            <a:endParaRPr lang="en-US"/>
          </a:p>
        </c:txPr>
        <c:crossAx val="204190464"/>
        <c:crosses val="autoZero"/>
        <c:auto val="1"/>
        <c:lblAlgn val="ctr"/>
        <c:lblOffset val="100"/>
        <c:noMultiLvlLbl val="0"/>
      </c:catAx>
      <c:valAx>
        <c:axId val="204190464"/>
        <c:scaling>
          <c:orientation val="minMax"/>
          <c:max val="8"/>
        </c:scaling>
        <c:delete val="0"/>
        <c:axPos val="l"/>
        <c:majorGridlines/>
        <c:numFmt formatCode="General" sourceLinked="1"/>
        <c:majorTickMark val="out"/>
        <c:minorTickMark val="none"/>
        <c:tickLblPos val="nextTo"/>
        <c:crossAx val="204168192"/>
        <c:crosses val="autoZero"/>
        <c:crossBetween val="between"/>
        <c:majorUnit val="1"/>
      </c:valAx>
    </c:plotArea>
    <c:legend>
      <c:legendPos val="r"/>
      <c:layout>
        <c:manualLayout>
          <c:xMode val="edge"/>
          <c:yMode val="edge"/>
          <c:x val="0.90917151029139187"/>
          <c:y val="6.3561120193619133E-2"/>
          <c:w val="6.5506653019447289E-2"/>
          <c:h val="0.35069037422953708"/>
        </c:manualLayout>
      </c:layout>
      <c:overlay val="1"/>
      <c:spPr>
        <a:solidFill>
          <a:sysClr val="window" lastClr="FFFFFF"/>
        </a:solidFill>
        <a:ln>
          <a:solidFill>
            <a:sysClr val="windowText" lastClr="000000"/>
          </a:solidFill>
        </a:ln>
      </c:spPr>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[Port analysis.xlsx]Pivot!PivotTable1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s>
    <c:plotArea>
      <c:layout/>
      <c:barChart>
        <c:barDir val="col"/>
        <c:grouping val="stacked"/>
        <c:varyColors val="0"/>
        <c:ser>
          <c:idx val="0"/>
          <c:order val="0"/>
          <c:tx>
            <c:strRef>
              <c:f>Pivot!$B$3:$B$4</c:f>
              <c:strCache>
                <c:ptCount val="1"/>
                <c:pt idx="0">
                  <c:v>1.8-3.0</c:v>
                </c:pt>
              </c:strCache>
            </c:strRef>
          </c:tx>
          <c:invertIfNegative val="0"/>
          <c:cat>
            <c:strRef>
              <c:f>Pivot!$A$5:$A$49</c:f>
              <c:strCache>
                <c:ptCount val="44"/>
                <c:pt idx="0">
                  <c:v>Indonesia</c:v>
                </c:pt>
                <c:pt idx="1">
                  <c:v>China</c:v>
                </c:pt>
                <c:pt idx="2">
                  <c:v>Ireland</c:v>
                </c:pt>
                <c:pt idx="3">
                  <c:v>UK</c:v>
                </c:pt>
                <c:pt idx="4">
                  <c:v>Russia</c:v>
                </c:pt>
                <c:pt idx="5">
                  <c:v>Japan</c:v>
                </c:pt>
                <c:pt idx="6">
                  <c:v>Sweden</c:v>
                </c:pt>
                <c:pt idx="7">
                  <c:v>Malaysia</c:v>
                </c:pt>
                <c:pt idx="8">
                  <c:v>Vietnam</c:v>
                </c:pt>
                <c:pt idx="9">
                  <c:v>Netherlands</c:v>
                </c:pt>
                <c:pt idx="10">
                  <c:v>Morocco</c:v>
                </c:pt>
                <c:pt idx="11">
                  <c:v>Italy</c:v>
                </c:pt>
                <c:pt idx="12">
                  <c:v>Spain</c:v>
                </c:pt>
                <c:pt idx="13">
                  <c:v>Ukraine</c:v>
                </c:pt>
                <c:pt idx="14">
                  <c:v>Mauritania</c:v>
                </c:pt>
                <c:pt idx="15">
                  <c:v>Poland</c:v>
                </c:pt>
                <c:pt idx="16">
                  <c:v>Tuvalu</c:v>
                </c:pt>
                <c:pt idx="17">
                  <c:v>Suriname</c:v>
                </c:pt>
                <c:pt idx="18">
                  <c:v>Brazil</c:v>
                </c:pt>
                <c:pt idx="19">
                  <c:v>Norway</c:v>
                </c:pt>
                <c:pt idx="20">
                  <c:v>Cambodia</c:v>
                </c:pt>
                <c:pt idx="21">
                  <c:v>Colombia</c:v>
                </c:pt>
                <c:pt idx="22">
                  <c:v>Faroe Islands</c:v>
                </c:pt>
                <c:pt idx="23">
                  <c:v>Thailand</c:v>
                </c:pt>
                <c:pt idx="24">
                  <c:v>Bangladesh</c:v>
                </c:pt>
                <c:pt idx="25">
                  <c:v>India</c:v>
                </c:pt>
                <c:pt idx="26">
                  <c:v>France</c:v>
                </c:pt>
                <c:pt idx="27">
                  <c:v>Philippines</c:v>
                </c:pt>
                <c:pt idx="28">
                  <c:v>Gambia</c:v>
                </c:pt>
                <c:pt idx="29">
                  <c:v>Portugal</c:v>
                </c:pt>
                <c:pt idx="30">
                  <c:v>Cuba</c:v>
                </c:pt>
                <c:pt idx="31">
                  <c:v>Iceland</c:v>
                </c:pt>
                <c:pt idx="32">
                  <c:v>Equatorial Guinea</c:v>
                </c:pt>
                <c:pt idx="33">
                  <c:v>Egpyt</c:v>
                </c:pt>
                <c:pt idx="34">
                  <c:v>Georgia</c:v>
                </c:pt>
                <c:pt idx="35">
                  <c:v>Turkey</c:v>
                </c:pt>
                <c:pt idx="36">
                  <c:v>Myanmar</c:v>
                </c:pt>
                <c:pt idx="37">
                  <c:v>UAE</c:v>
                </c:pt>
                <c:pt idx="38">
                  <c:v>Guyana</c:v>
                </c:pt>
                <c:pt idx="39">
                  <c:v>New Zealand</c:v>
                </c:pt>
                <c:pt idx="40">
                  <c:v>Venezuela</c:v>
                </c:pt>
                <c:pt idx="41">
                  <c:v>Kiribati</c:v>
                </c:pt>
                <c:pt idx="42">
                  <c:v>Algeria</c:v>
                </c:pt>
                <c:pt idx="43">
                  <c:v>Kuwait</c:v>
                </c:pt>
              </c:strCache>
            </c:strRef>
          </c:cat>
          <c:val>
            <c:numRef>
              <c:f>Pivot!$B$5:$B$49</c:f>
              <c:numCache>
                <c:formatCode>General</c:formatCode>
                <c:ptCount val="44"/>
                <c:pt idx="2">
                  <c:v>1</c:v>
                </c:pt>
              </c:numCache>
            </c:numRef>
          </c:val>
        </c:ser>
        <c:ser>
          <c:idx val="1"/>
          <c:order val="1"/>
          <c:tx>
            <c:strRef>
              <c:f>Pivot!$C$3:$C$4</c:f>
              <c:strCache>
                <c:ptCount val="1"/>
                <c:pt idx="0">
                  <c:v>3.4-4.6</c:v>
                </c:pt>
              </c:strCache>
            </c:strRef>
          </c:tx>
          <c:invertIfNegative val="0"/>
          <c:cat>
            <c:strRef>
              <c:f>Pivot!$A$5:$A$49</c:f>
              <c:strCache>
                <c:ptCount val="44"/>
                <c:pt idx="0">
                  <c:v>Indonesia</c:v>
                </c:pt>
                <c:pt idx="1">
                  <c:v>China</c:v>
                </c:pt>
                <c:pt idx="2">
                  <c:v>Ireland</c:v>
                </c:pt>
                <c:pt idx="3">
                  <c:v>UK</c:v>
                </c:pt>
                <c:pt idx="4">
                  <c:v>Russia</c:v>
                </c:pt>
                <c:pt idx="5">
                  <c:v>Japan</c:v>
                </c:pt>
                <c:pt idx="6">
                  <c:v>Sweden</c:v>
                </c:pt>
                <c:pt idx="7">
                  <c:v>Malaysia</c:v>
                </c:pt>
                <c:pt idx="8">
                  <c:v>Vietnam</c:v>
                </c:pt>
                <c:pt idx="9">
                  <c:v>Netherlands</c:v>
                </c:pt>
                <c:pt idx="10">
                  <c:v>Morocco</c:v>
                </c:pt>
                <c:pt idx="11">
                  <c:v>Italy</c:v>
                </c:pt>
                <c:pt idx="12">
                  <c:v>Spain</c:v>
                </c:pt>
                <c:pt idx="13">
                  <c:v>Ukraine</c:v>
                </c:pt>
                <c:pt idx="14">
                  <c:v>Mauritania</c:v>
                </c:pt>
                <c:pt idx="15">
                  <c:v>Poland</c:v>
                </c:pt>
                <c:pt idx="16">
                  <c:v>Tuvalu</c:v>
                </c:pt>
                <c:pt idx="17">
                  <c:v>Suriname</c:v>
                </c:pt>
                <c:pt idx="18">
                  <c:v>Brazil</c:v>
                </c:pt>
                <c:pt idx="19">
                  <c:v>Norway</c:v>
                </c:pt>
                <c:pt idx="20">
                  <c:v>Cambodia</c:v>
                </c:pt>
                <c:pt idx="21">
                  <c:v>Colombia</c:v>
                </c:pt>
                <c:pt idx="22">
                  <c:v>Faroe Islands</c:v>
                </c:pt>
                <c:pt idx="23">
                  <c:v>Thailand</c:v>
                </c:pt>
                <c:pt idx="24">
                  <c:v>Bangladesh</c:v>
                </c:pt>
                <c:pt idx="25">
                  <c:v>India</c:v>
                </c:pt>
                <c:pt idx="26">
                  <c:v>France</c:v>
                </c:pt>
                <c:pt idx="27">
                  <c:v>Philippines</c:v>
                </c:pt>
                <c:pt idx="28">
                  <c:v>Gambia</c:v>
                </c:pt>
                <c:pt idx="29">
                  <c:v>Portugal</c:v>
                </c:pt>
                <c:pt idx="30">
                  <c:v>Cuba</c:v>
                </c:pt>
                <c:pt idx="31">
                  <c:v>Iceland</c:v>
                </c:pt>
                <c:pt idx="32">
                  <c:v>Equatorial Guinea</c:v>
                </c:pt>
                <c:pt idx="33">
                  <c:v>Egpyt</c:v>
                </c:pt>
                <c:pt idx="34">
                  <c:v>Georgia</c:v>
                </c:pt>
                <c:pt idx="35">
                  <c:v>Turkey</c:v>
                </c:pt>
                <c:pt idx="36">
                  <c:v>Myanmar</c:v>
                </c:pt>
                <c:pt idx="37">
                  <c:v>UAE</c:v>
                </c:pt>
                <c:pt idx="38">
                  <c:v>Guyana</c:v>
                </c:pt>
                <c:pt idx="39">
                  <c:v>New Zealand</c:v>
                </c:pt>
                <c:pt idx="40">
                  <c:v>Venezuela</c:v>
                </c:pt>
                <c:pt idx="41">
                  <c:v>Kiribati</c:v>
                </c:pt>
                <c:pt idx="42">
                  <c:v>Algeria</c:v>
                </c:pt>
                <c:pt idx="43">
                  <c:v>Kuwait</c:v>
                </c:pt>
              </c:strCache>
            </c:strRef>
          </c:cat>
          <c:val>
            <c:numRef>
              <c:f>Pivot!$C$5:$C$49</c:f>
              <c:numCache>
                <c:formatCode>General</c:formatCode>
                <c:ptCount val="44"/>
                <c:pt idx="0">
                  <c:v>2</c:v>
                </c:pt>
                <c:pt idx="4">
                  <c:v>1</c:v>
                </c:pt>
                <c:pt idx="17">
                  <c:v>1</c:v>
                </c:pt>
                <c:pt idx="18">
                  <c:v>1</c:v>
                </c:pt>
              </c:numCache>
            </c:numRef>
          </c:val>
        </c:ser>
        <c:ser>
          <c:idx val="2"/>
          <c:order val="2"/>
          <c:tx>
            <c:strRef>
              <c:f>Pivot!$D$3:$D$4</c:f>
              <c:strCache>
                <c:ptCount val="1"/>
                <c:pt idx="0">
                  <c:v>4.9-6.1</c:v>
                </c:pt>
              </c:strCache>
            </c:strRef>
          </c:tx>
          <c:invertIfNegative val="0"/>
          <c:cat>
            <c:strRef>
              <c:f>Pivot!$A$5:$A$49</c:f>
              <c:strCache>
                <c:ptCount val="44"/>
                <c:pt idx="0">
                  <c:v>Indonesia</c:v>
                </c:pt>
                <c:pt idx="1">
                  <c:v>China</c:v>
                </c:pt>
                <c:pt idx="2">
                  <c:v>Ireland</c:v>
                </c:pt>
                <c:pt idx="3">
                  <c:v>UK</c:v>
                </c:pt>
                <c:pt idx="4">
                  <c:v>Russia</c:v>
                </c:pt>
                <c:pt idx="5">
                  <c:v>Japan</c:v>
                </c:pt>
                <c:pt idx="6">
                  <c:v>Sweden</c:v>
                </c:pt>
                <c:pt idx="7">
                  <c:v>Malaysia</c:v>
                </c:pt>
                <c:pt idx="8">
                  <c:v>Vietnam</c:v>
                </c:pt>
                <c:pt idx="9">
                  <c:v>Netherlands</c:v>
                </c:pt>
                <c:pt idx="10">
                  <c:v>Morocco</c:v>
                </c:pt>
                <c:pt idx="11">
                  <c:v>Italy</c:v>
                </c:pt>
                <c:pt idx="12">
                  <c:v>Spain</c:v>
                </c:pt>
                <c:pt idx="13">
                  <c:v>Ukraine</c:v>
                </c:pt>
                <c:pt idx="14">
                  <c:v>Mauritania</c:v>
                </c:pt>
                <c:pt idx="15">
                  <c:v>Poland</c:v>
                </c:pt>
                <c:pt idx="16">
                  <c:v>Tuvalu</c:v>
                </c:pt>
                <c:pt idx="17">
                  <c:v>Suriname</c:v>
                </c:pt>
                <c:pt idx="18">
                  <c:v>Brazil</c:v>
                </c:pt>
                <c:pt idx="19">
                  <c:v>Norway</c:v>
                </c:pt>
                <c:pt idx="20">
                  <c:v>Cambodia</c:v>
                </c:pt>
                <c:pt idx="21">
                  <c:v>Colombia</c:v>
                </c:pt>
                <c:pt idx="22">
                  <c:v>Faroe Islands</c:v>
                </c:pt>
                <c:pt idx="23">
                  <c:v>Thailand</c:v>
                </c:pt>
                <c:pt idx="24">
                  <c:v>Bangladesh</c:v>
                </c:pt>
                <c:pt idx="25">
                  <c:v>India</c:v>
                </c:pt>
                <c:pt idx="26">
                  <c:v>France</c:v>
                </c:pt>
                <c:pt idx="27">
                  <c:v>Philippines</c:v>
                </c:pt>
                <c:pt idx="28">
                  <c:v>Gambia</c:v>
                </c:pt>
                <c:pt idx="29">
                  <c:v>Portugal</c:v>
                </c:pt>
                <c:pt idx="30">
                  <c:v>Cuba</c:v>
                </c:pt>
                <c:pt idx="31">
                  <c:v>Iceland</c:v>
                </c:pt>
                <c:pt idx="32">
                  <c:v>Equatorial Guinea</c:v>
                </c:pt>
                <c:pt idx="33">
                  <c:v>Egpyt</c:v>
                </c:pt>
                <c:pt idx="34">
                  <c:v>Georgia</c:v>
                </c:pt>
                <c:pt idx="35">
                  <c:v>Turkey</c:v>
                </c:pt>
                <c:pt idx="36">
                  <c:v>Myanmar</c:v>
                </c:pt>
                <c:pt idx="37">
                  <c:v>UAE</c:v>
                </c:pt>
                <c:pt idx="38">
                  <c:v>Guyana</c:v>
                </c:pt>
                <c:pt idx="39">
                  <c:v>New Zealand</c:v>
                </c:pt>
                <c:pt idx="40">
                  <c:v>Venezuela</c:v>
                </c:pt>
                <c:pt idx="41">
                  <c:v>Kiribati</c:v>
                </c:pt>
                <c:pt idx="42">
                  <c:v>Algeria</c:v>
                </c:pt>
                <c:pt idx="43">
                  <c:v>Kuwait</c:v>
                </c:pt>
              </c:strCache>
            </c:strRef>
          </c:cat>
          <c:val>
            <c:numRef>
              <c:f>Pivot!$D$5:$D$49</c:f>
              <c:numCache>
                <c:formatCode>General</c:formatCode>
                <c:ptCount val="44"/>
                <c:pt idx="0">
                  <c:v>1</c:v>
                </c:pt>
                <c:pt idx="1">
                  <c:v>1</c:v>
                </c:pt>
                <c:pt idx="2">
                  <c:v>1</c:v>
                </c:pt>
                <c:pt idx="5">
                  <c:v>1</c:v>
                </c:pt>
                <c:pt idx="7">
                  <c:v>1</c:v>
                </c:pt>
                <c:pt idx="10">
                  <c:v>1</c:v>
                </c:pt>
                <c:pt idx="12">
                  <c:v>1</c:v>
                </c:pt>
                <c:pt idx="13">
                  <c:v>1</c:v>
                </c:pt>
                <c:pt idx="24">
                  <c:v>1</c:v>
                </c:pt>
                <c:pt idx="26">
                  <c:v>1</c:v>
                </c:pt>
                <c:pt idx="38">
                  <c:v>1</c:v>
                </c:pt>
              </c:numCache>
            </c:numRef>
          </c:val>
        </c:ser>
        <c:ser>
          <c:idx val="3"/>
          <c:order val="3"/>
          <c:tx>
            <c:strRef>
              <c:f>Pivot!$E$3:$E$4</c:f>
              <c:strCache>
                <c:ptCount val="1"/>
                <c:pt idx="0">
                  <c:v>6.4-7.6</c:v>
                </c:pt>
              </c:strCache>
            </c:strRef>
          </c:tx>
          <c:invertIfNegative val="0"/>
          <c:cat>
            <c:strRef>
              <c:f>Pivot!$A$5:$A$49</c:f>
              <c:strCache>
                <c:ptCount val="44"/>
                <c:pt idx="0">
                  <c:v>Indonesia</c:v>
                </c:pt>
                <c:pt idx="1">
                  <c:v>China</c:v>
                </c:pt>
                <c:pt idx="2">
                  <c:v>Ireland</c:v>
                </c:pt>
                <c:pt idx="3">
                  <c:v>UK</c:v>
                </c:pt>
                <c:pt idx="4">
                  <c:v>Russia</c:v>
                </c:pt>
                <c:pt idx="5">
                  <c:v>Japan</c:v>
                </c:pt>
                <c:pt idx="6">
                  <c:v>Sweden</c:v>
                </c:pt>
                <c:pt idx="7">
                  <c:v>Malaysia</c:v>
                </c:pt>
                <c:pt idx="8">
                  <c:v>Vietnam</c:v>
                </c:pt>
                <c:pt idx="9">
                  <c:v>Netherlands</c:v>
                </c:pt>
                <c:pt idx="10">
                  <c:v>Morocco</c:v>
                </c:pt>
                <c:pt idx="11">
                  <c:v>Italy</c:v>
                </c:pt>
                <c:pt idx="12">
                  <c:v>Spain</c:v>
                </c:pt>
                <c:pt idx="13">
                  <c:v>Ukraine</c:v>
                </c:pt>
                <c:pt idx="14">
                  <c:v>Mauritania</c:v>
                </c:pt>
                <c:pt idx="15">
                  <c:v>Poland</c:v>
                </c:pt>
                <c:pt idx="16">
                  <c:v>Tuvalu</c:v>
                </c:pt>
                <c:pt idx="17">
                  <c:v>Suriname</c:v>
                </c:pt>
                <c:pt idx="18">
                  <c:v>Brazil</c:v>
                </c:pt>
                <c:pt idx="19">
                  <c:v>Norway</c:v>
                </c:pt>
                <c:pt idx="20">
                  <c:v>Cambodia</c:v>
                </c:pt>
                <c:pt idx="21">
                  <c:v>Colombia</c:v>
                </c:pt>
                <c:pt idx="22">
                  <c:v>Faroe Islands</c:v>
                </c:pt>
                <c:pt idx="23">
                  <c:v>Thailand</c:v>
                </c:pt>
                <c:pt idx="24">
                  <c:v>Bangladesh</c:v>
                </c:pt>
                <c:pt idx="25">
                  <c:v>India</c:v>
                </c:pt>
                <c:pt idx="26">
                  <c:v>France</c:v>
                </c:pt>
                <c:pt idx="27">
                  <c:v>Philippines</c:v>
                </c:pt>
                <c:pt idx="28">
                  <c:v>Gambia</c:v>
                </c:pt>
                <c:pt idx="29">
                  <c:v>Portugal</c:v>
                </c:pt>
                <c:pt idx="30">
                  <c:v>Cuba</c:v>
                </c:pt>
                <c:pt idx="31">
                  <c:v>Iceland</c:v>
                </c:pt>
                <c:pt idx="32">
                  <c:v>Equatorial Guinea</c:v>
                </c:pt>
                <c:pt idx="33">
                  <c:v>Egpyt</c:v>
                </c:pt>
                <c:pt idx="34">
                  <c:v>Georgia</c:v>
                </c:pt>
                <c:pt idx="35">
                  <c:v>Turkey</c:v>
                </c:pt>
                <c:pt idx="36">
                  <c:v>Myanmar</c:v>
                </c:pt>
                <c:pt idx="37">
                  <c:v>UAE</c:v>
                </c:pt>
                <c:pt idx="38">
                  <c:v>Guyana</c:v>
                </c:pt>
                <c:pt idx="39">
                  <c:v>New Zealand</c:v>
                </c:pt>
                <c:pt idx="40">
                  <c:v>Venezuela</c:v>
                </c:pt>
                <c:pt idx="41">
                  <c:v>Kiribati</c:v>
                </c:pt>
                <c:pt idx="42">
                  <c:v>Algeria</c:v>
                </c:pt>
                <c:pt idx="43">
                  <c:v>Kuwait</c:v>
                </c:pt>
              </c:strCache>
            </c:strRef>
          </c:cat>
          <c:val>
            <c:numRef>
              <c:f>Pivot!$E$5:$E$49</c:f>
              <c:numCache>
                <c:formatCode>General</c:formatCode>
                <c:ptCount val="44"/>
                <c:pt idx="0">
                  <c:v>4</c:v>
                </c:pt>
                <c:pt idx="3">
                  <c:v>2</c:v>
                </c:pt>
                <c:pt idx="4">
                  <c:v>2</c:v>
                </c:pt>
                <c:pt idx="7">
                  <c:v>2</c:v>
                </c:pt>
                <c:pt idx="8">
                  <c:v>1</c:v>
                </c:pt>
                <c:pt idx="10">
                  <c:v>1</c:v>
                </c:pt>
                <c:pt idx="11">
                  <c:v>1</c:v>
                </c:pt>
                <c:pt idx="23">
                  <c:v>1</c:v>
                </c:pt>
                <c:pt idx="25">
                  <c:v>1</c:v>
                </c:pt>
                <c:pt idx="29">
                  <c:v>1</c:v>
                </c:pt>
                <c:pt idx="32">
                  <c:v>1</c:v>
                </c:pt>
                <c:pt idx="34">
                  <c:v>1</c:v>
                </c:pt>
                <c:pt idx="37">
                  <c:v>1</c:v>
                </c:pt>
              </c:numCache>
            </c:numRef>
          </c:val>
        </c:ser>
        <c:ser>
          <c:idx val="4"/>
          <c:order val="4"/>
          <c:tx>
            <c:strRef>
              <c:f>Pivot!$F$3:$F$4</c:f>
              <c:strCache>
                <c:ptCount val="1"/>
                <c:pt idx="0">
                  <c:v>7.9-9.1</c:v>
                </c:pt>
              </c:strCache>
            </c:strRef>
          </c:tx>
          <c:invertIfNegative val="0"/>
          <c:cat>
            <c:strRef>
              <c:f>Pivot!$A$5:$A$49</c:f>
              <c:strCache>
                <c:ptCount val="44"/>
                <c:pt idx="0">
                  <c:v>Indonesia</c:v>
                </c:pt>
                <c:pt idx="1">
                  <c:v>China</c:v>
                </c:pt>
                <c:pt idx="2">
                  <c:v>Ireland</c:v>
                </c:pt>
                <c:pt idx="3">
                  <c:v>UK</c:v>
                </c:pt>
                <c:pt idx="4">
                  <c:v>Russia</c:v>
                </c:pt>
                <c:pt idx="5">
                  <c:v>Japan</c:v>
                </c:pt>
                <c:pt idx="6">
                  <c:v>Sweden</c:v>
                </c:pt>
                <c:pt idx="7">
                  <c:v>Malaysia</c:v>
                </c:pt>
                <c:pt idx="8">
                  <c:v>Vietnam</c:v>
                </c:pt>
                <c:pt idx="9">
                  <c:v>Netherlands</c:v>
                </c:pt>
                <c:pt idx="10">
                  <c:v>Morocco</c:v>
                </c:pt>
                <c:pt idx="11">
                  <c:v>Italy</c:v>
                </c:pt>
                <c:pt idx="12">
                  <c:v>Spain</c:v>
                </c:pt>
                <c:pt idx="13">
                  <c:v>Ukraine</c:v>
                </c:pt>
                <c:pt idx="14">
                  <c:v>Mauritania</c:v>
                </c:pt>
                <c:pt idx="15">
                  <c:v>Poland</c:v>
                </c:pt>
                <c:pt idx="16">
                  <c:v>Tuvalu</c:v>
                </c:pt>
                <c:pt idx="17">
                  <c:v>Suriname</c:v>
                </c:pt>
                <c:pt idx="18">
                  <c:v>Brazil</c:v>
                </c:pt>
                <c:pt idx="19">
                  <c:v>Norway</c:v>
                </c:pt>
                <c:pt idx="20">
                  <c:v>Cambodia</c:v>
                </c:pt>
                <c:pt idx="21">
                  <c:v>Colombia</c:v>
                </c:pt>
                <c:pt idx="22">
                  <c:v>Faroe Islands</c:v>
                </c:pt>
                <c:pt idx="23">
                  <c:v>Thailand</c:v>
                </c:pt>
                <c:pt idx="24">
                  <c:v>Bangladesh</c:v>
                </c:pt>
                <c:pt idx="25">
                  <c:v>India</c:v>
                </c:pt>
                <c:pt idx="26">
                  <c:v>France</c:v>
                </c:pt>
                <c:pt idx="27">
                  <c:v>Philippines</c:v>
                </c:pt>
                <c:pt idx="28">
                  <c:v>Gambia</c:v>
                </c:pt>
                <c:pt idx="29">
                  <c:v>Portugal</c:v>
                </c:pt>
                <c:pt idx="30">
                  <c:v>Cuba</c:v>
                </c:pt>
                <c:pt idx="31">
                  <c:v>Iceland</c:v>
                </c:pt>
                <c:pt idx="32">
                  <c:v>Equatorial Guinea</c:v>
                </c:pt>
                <c:pt idx="33">
                  <c:v>Egpyt</c:v>
                </c:pt>
                <c:pt idx="34">
                  <c:v>Georgia</c:v>
                </c:pt>
                <c:pt idx="35">
                  <c:v>Turkey</c:v>
                </c:pt>
                <c:pt idx="36">
                  <c:v>Myanmar</c:v>
                </c:pt>
                <c:pt idx="37">
                  <c:v>UAE</c:v>
                </c:pt>
                <c:pt idx="38">
                  <c:v>Guyana</c:v>
                </c:pt>
                <c:pt idx="39">
                  <c:v>New Zealand</c:v>
                </c:pt>
                <c:pt idx="40">
                  <c:v>Venezuela</c:v>
                </c:pt>
                <c:pt idx="41">
                  <c:v>Kiribati</c:v>
                </c:pt>
                <c:pt idx="42">
                  <c:v>Algeria</c:v>
                </c:pt>
                <c:pt idx="43">
                  <c:v>Kuwait</c:v>
                </c:pt>
              </c:strCache>
            </c:strRef>
          </c:cat>
          <c:val>
            <c:numRef>
              <c:f>Pivot!$F$5:$F$49</c:f>
              <c:numCache>
                <c:formatCode>General</c:formatCode>
                <c:ptCount val="44"/>
                <c:pt idx="0">
                  <c:v>2</c:v>
                </c:pt>
                <c:pt idx="1">
                  <c:v>6</c:v>
                </c:pt>
                <c:pt idx="2">
                  <c:v>2</c:v>
                </c:pt>
                <c:pt idx="3">
                  <c:v>2</c:v>
                </c:pt>
                <c:pt idx="4">
                  <c:v>1</c:v>
                </c:pt>
                <c:pt idx="5">
                  <c:v>3</c:v>
                </c:pt>
                <c:pt idx="6">
                  <c:v>3</c:v>
                </c:pt>
                <c:pt idx="8">
                  <c:v>1</c:v>
                </c:pt>
                <c:pt idx="9">
                  <c:v>2</c:v>
                </c:pt>
                <c:pt idx="11">
                  <c:v>1</c:v>
                </c:pt>
                <c:pt idx="12">
                  <c:v>1</c:v>
                </c:pt>
                <c:pt idx="13">
                  <c:v>1</c:v>
                </c:pt>
                <c:pt idx="14">
                  <c:v>2</c:v>
                </c:pt>
                <c:pt idx="15">
                  <c:v>1</c:v>
                </c:pt>
                <c:pt idx="16">
                  <c:v>1</c:v>
                </c:pt>
                <c:pt idx="19">
                  <c:v>1</c:v>
                </c:pt>
                <c:pt idx="20">
                  <c:v>1</c:v>
                </c:pt>
                <c:pt idx="21">
                  <c:v>1</c:v>
                </c:pt>
                <c:pt idx="22">
                  <c:v>1</c:v>
                </c:pt>
                <c:pt idx="27">
                  <c:v>1</c:v>
                </c:pt>
                <c:pt idx="28">
                  <c:v>1</c:v>
                </c:pt>
                <c:pt idx="30">
                  <c:v>1</c:v>
                </c:pt>
                <c:pt idx="31">
                  <c:v>1</c:v>
                </c:pt>
                <c:pt idx="33">
                  <c:v>1</c:v>
                </c:pt>
                <c:pt idx="35">
                  <c:v>1</c:v>
                </c:pt>
                <c:pt idx="36">
                  <c:v>1</c:v>
                </c:pt>
                <c:pt idx="39">
                  <c:v>1</c:v>
                </c:pt>
                <c:pt idx="40">
                  <c:v>1</c:v>
                </c:pt>
                <c:pt idx="41">
                  <c:v>1</c:v>
                </c:pt>
                <c:pt idx="42">
                  <c:v>1</c:v>
                </c:pt>
                <c:pt idx="43">
                  <c:v>1</c:v>
                </c:pt>
              </c:numCache>
            </c:numRef>
          </c:val>
        </c:ser>
        <c:dLbls>
          <c:showLegendKey val="0"/>
          <c:showVal val="0"/>
          <c:showCatName val="0"/>
          <c:showSerName val="0"/>
          <c:showPercent val="0"/>
          <c:showBubbleSize val="0"/>
        </c:dLbls>
        <c:gapWidth val="54"/>
        <c:overlap val="100"/>
        <c:axId val="206087680"/>
        <c:axId val="206089216"/>
      </c:barChart>
      <c:catAx>
        <c:axId val="206087680"/>
        <c:scaling>
          <c:orientation val="minMax"/>
        </c:scaling>
        <c:delete val="0"/>
        <c:axPos val="b"/>
        <c:majorTickMark val="out"/>
        <c:minorTickMark val="none"/>
        <c:tickLblPos val="nextTo"/>
        <c:txPr>
          <a:bodyPr rot="-5400000" vert="horz"/>
          <a:lstStyle/>
          <a:p>
            <a:pPr>
              <a:defRPr/>
            </a:pPr>
            <a:endParaRPr lang="en-US"/>
          </a:p>
        </c:txPr>
        <c:crossAx val="206089216"/>
        <c:crosses val="autoZero"/>
        <c:auto val="1"/>
        <c:lblAlgn val="ctr"/>
        <c:lblOffset val="100"/>
        <c:noMultiLvlLbl val="0"/>
      </c:catAx>
      <c:valAx>
        <c:axId val="206089216"/>
        <c:scaling>
          <c:orientation val="minMax"/>
          <c:max val="9"/>
        </c:scaling>
        <c:delete val="0"/>
        <c:axPos val="l"/>
        <c:majorGridlines/>
        <c:numFmt formatCode="General" sourceLinked="1"/>
        <c:majorTickMark val="out"/>
        <c:minorTickMark val="none"/>
        <c:tickLblPos val="nextTo"/>
        <c:crossAx val="206087680"/>
        <c:crosses val="autoZero"/>
        <c:crossBetween val="between"/>
        <c:majorUnit val="1"/>
      </c:valAx>
    </c:plotArea>
    <c:legend>
      <c:legendPos val="r"/>
      <c:layout>
        <c:manualLayout>
          <c:xMode val="edge"/>
          <c:yMode val="edge"/>
          <c:x val="0.89419983848797724"/>
          <c:y val="6.9934379827617979E-2"/>
          <c:w val="7.9958463136033234E-2"/>
          <c:h val="0.35069037422953708"/>
        </c:manualLayout>
      </c:layout>
      <c:overlay val="1"/>
      <c:spPr>
        <a:solidFill>
          <a:sysClr val="window" lastClr="FFFFFF"/>
        </a:solidFill>
        <a:ln>
          <a:solidFill>
            <a:sysClr val="windowText" lastClr="000000"/>
          </a:solidFill>
        </a:ln>
      </c:spPr>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1416</TotalTime>
  <Pages>20</Pages>
  <Words>7058</Words>
  <Characters>40233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Full paper template</vt:lpstr>
    </vt:vector>
  </TitlesOfParts>
  <Company>IAME 2013</Company>
  <LinksUpToDate>false</LinksUpToDate>
  <CharactersWithSpaces>47197</CharactersWithSpaces>
  <SharedDoc>false</SharedDoc>
  <HLinks>
    <vt:vector size="6" baseType="variant">
      <vt:variant>
        <vt:i4>3211265</vt:i4>
      </vt:variant>
      <vt:variant>
        <vt:i4>0</vt:i4>
      </vt:variant>
      <vt:variant>
        <vt:i4>0</vt:i4>
      </vt:variant>
      <vt:variant>
        <vt:i4>5</vt:i4>
      </vt:variant>
      <vt:variant>
        <vt:lpwstr>https://www.conference-service.com/IAME2013/welcome.cgi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paper template</dc:title>
  <dc:creator>Ioannis Lagoudis</dc:creator>
  <cp:lastModifiedBy>Jason</cp:lastModifiedBy>
  <cp:revision>23</cp:revision>
  <dcterms:created xsi:type="dcterms:W3CDTF">2015-06-16T15:20:00Z</dcterms:created>
  <dcterms:modified xsi:type="dcterms:W3CDTF">2015-06-29T09:20:00Z</dcterms:modified>
</cp:coreProperties>
</file>