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0038C" w14:textId="77777777" w:rsidR="00861793" w:rsidRDefault="00D662AD" w:rsidP="00641600">
      <w:pPr>
        <w:jc w:val="center"/>
        <w:rPr>
          <w:rFonts w:ascii="Verdana" w:hAnsi="Verdana"/>
          <w:sz w:val="20"/>
          <w:szCs w:val="20"/>
        </w:rPr>
      </w:pPr>
      <w:r>
        <w:rPr>
          <w:rFonts w:ascii="Verdana" w:hAnsi="Verdana"/>
          <w:noProof/>
          <w:sz w:val="20"/>
          <w:szCs w:val="20"/>
        </w:rPr>
        <w:drawing>
          <wp:inline distT="0" distB="0" distL="0" distR="0" wp14:anchorId="173CAA34" wp14:editId="0D5A42D8">
            <wp:extent cx="6746240" cy="914400"/>
            <wp:effectExtent l="19050" t="0" r="0" b="0"/>
            <wp:docPr id="1" name="Picture 1" descr="conference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erencebanner"/>
                    <pic:cNvPicPr>
                      <a:picLocks noChangeAspect="1" noChangeArrowheads="1"/>
                    </pic:cNvPicPr>
                  </pic:nvPicPr>
                  <pic:blipFill>
                    <a:blip r:embed="rId5"/>
                    <a:srcRect/>
                    <a:stretch>
                      <a:fillRect/>
                    </a:stretch>
                  </pic:blipFill>
                  <pic:spPr bwMode="auto">
                    <a:xfrm>
                      <a:off x="0" y="0"/>
                      <a:ext cx="6746240" cy="914400"/>
                    </a:xfrm>
                    <a:prstGeom prst="rect">
                      <a:avLst/>
                    </a:prstGeom>
                    <a:noFill/>
                    <a:ln w="9525">
                      <a:noFill/>
                      <a:miter lim="800000"/>
                      <a:headEnd/>
                      <a:tailEnd/>
                    </a:ln>
                  </pic:spPr>
                </pic:pic>
              </a:graphicData>
            </a:graphic>
          </wp:inline>
        </w:drawing>
      </w:r>
    </w:p>
    <w:p w14:paraId="5574DDD6" w14:textId="77777777" w:rsidR="00861793" w:rsidRDefault="00861793" w:rsidP="00641600">
      <w:pPr>
        <w:rPr>
          <w:rFonts w:ascii="Verdana" w:hAnsi="Verdana"/>
          <w:sz w:val="20"/>
          <w:szCs w:val="20"/>
        </w:rPr>
      </w:pPr>
    </w:p>
    <w:p w14:paraId="7F6F3B9F" w14:textId="77777777" w:rsidR="00861793" w:rsidRPr="000E3051" w:rsidRDefault="00861793" w:rsidP="002E4DAA">
      <w:pPr>
        <w:jc w:val="center"/>
        <w:rPr>
          <w:rFonts w:asciiTheme="minorHAnsi" w:hAnsiTheme="minorHAnsi"/>
          <w:sz w:val="22"/>
          <w:szCs w:val="22"/>
        </w:rPr>
      </w:pPr>
      <w:r w:rsidRPr="000E3051">
        <w:rPr>
          <w:rFonts w:asciiTheme="minorHAnsi" w:hAnsiTheme="minorHAnsi"/>
          <w:sz w:val="22"/>
          <w:szCs w:val="22"/>
        </w:rPr>
        <w:t>Abstract Submission Form</w:t>
      </w:r>
    </w:p>
    <w:p w14:paraId="694F3DA4" w14:textId="77777777" w:rsidR="00861793" w:rsidRPr="000E3051" w:rsidRDefault="00861793" w:rsidP="002E4DAA">
      <w:pPr>
        <w:rPr>
          <w:rFonts w:asciiTheme="minorHAnsi" w:hAnsiTheme="minorHAnsi"/>
          <w:sz w:val="22"/>
          <w:szCs w:val="22"/>
        </w:rPr>
      </w:pPr>
    </w:p>
    <w:p w14:paraId="1FFCB896" w14:textId="77777777" w:rsidR="00861793" w:rsidRPr="000E3051" w:rsidRDefault="00861793" w:rsidP="002E4DAA">
      <w:pPr>
        <w:rPr>
          <w:rFonts w:asciiTheme="minorHAnsi" w:hAnsiTheme="minorHAnsi"/>
          <w:sz w:val="22"/>
          <w:szCs w:val="22"/>
        </w:rPr>
      </w:pPr>
      <w:r w:rsidRPr="000E3051">
        <w:rPr>
          <w:rFonts w:asciiTheme="minorHAnsi" w:hAnsiTheme="minorHAnsi"/>
          <w:sz w:val="22"/>
          <w:szCs w:val="22"/>
        </w:rPr>
        <w:t>First Speaker and Main Contact</w:t>
      </w:r>
    </w:p>
    <w:p w14:paraId="3D421D92" w14:textId="77777777" w:rsidR="00861793" w:rsidRPr="000E3051" w:rsidRDefault="00861793" w:rsidP="002E4DAA">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011"/>
        <w:gridCol w:w="5534"/>
      </w:tblGrid>
      <w:tr w:rsidR="00861793" w:rsidRPr="000E3051" w14:paraId="376FC951" w14:textId="77777777" w:rsidTr="00600A15">
        <w:trPr>
          <w:jc w:val="center"/>
        </w:trPr>
        <w:tc>
          <w:tcPr>
            <w:tcW w:w="4011" w:type="dxa"/>
          </w:tcPr>
          <w:p w14:paraId="2C754408" w14:textId="77777777" w:rsidR="00861793" w:rsidRPr="000E3051" w:rsidRDefault="00861793" w:rsidP="002E4DAA">
            <w:pPr>
              <w:rPr>
                <w:rFonts w:asciiTheme="minorHAnsi" w:hAnsiTheme="minorHAnsi"/>
              </w:rPr>
            </w:pPr>
            <w:r w:rsidRPr="000E3051">
              <w:rPr>
                <w:rFonts w:asciiTheme="minorHAnsi" w:hAnsiTheme="minorHAnsi"/>
                <w:sz w:val="22"/>
                <w:szCs w:val="22"/>
              </w:rPr>
              <w:t>Title:</w:t>
            </w:r>
          </w:p>
        </w:tc>
        <w:tc>
          <w:tcPr>
            <w:tcW w:w="5534" w:type="dxa"/>
          </w:tcPr>
          <w:p w14:paraId="29BFA027" w14:textId="77777777" w:rsidR="00861793" w:rsidRPr="002C4292" w:rsidRDefault="007352DA" w:rsidP="002E4DAA">
            <w:pPr>
              <w:jc w:val="both"/>
              <w:rPr>
                <w:rFonts w:asciiTheme="minorHAnsi" w:hAnsiTheme="minorHAnsi"/>
                <w:sz w:val="22"/>
                <w:szCs w:val="22"/>
              </w:rPr>
            </w:pPr>
            <w:r>
              <w:rPr>
                <w:rFonts w:asciiTheme="minorHAnsi" w:hAnsiTheme="minorHAnsi"/>
                <w:sz w:val="22"/>
                <w:szCs w:val="22"/>
              </w:rPr>
              <w:t>Mr</w:t>
            </w:r>
          </w:p>
        </w:tc>
      </w:tr>
      <w:tr w:rsidR="00861793" w:rsidRPr="000E3051" w14:paraId="787F8E1D" w14:textId="77777777" w:rsidTr="00600A15">
        <w:trPr>
          <w:jc w:val="center"/>
        </w:trPr>
        <w:tc>
          <w:tcPr>
            <w:tcW w:w="4011" w:type="dxa"/>
          </w:tcPr>
          <w:p w14:paraId="568AF766" w14:textId="77777777" w:rsidR="00861793" w:rsidRPr="000E3051" w:rsidRDefault="00861793" w:rsidP="002E4DAA">
            <w:pPr>
              <w:rPr>
                <w:rFonts w:asciiTheme="minorHAnsi" w:hAnsiTheme="minorHAnsi"/>
              </w:rPr>
            </w:pPr>
            <w:r w:rsidRPr="000E3051">
              <w:rPr>
                <w:rFonts w:asciiTheme="minorHAnsi" w:hAnsiTheme="minorHAnsi"/>
                <w:sz w:val="22"/>
                <w:szCs w:val="22"/>
              </w:rPr>
              <w:t>First Name:</w:t>
            </w:r>
          </w:p>
        </w:tc>
        <w:tc>
          <w:tcPr>
            <w:tcW w:w="5534" w:type="dxa"/>
          </w:tcPr>
          <w:p w14:paraId="2C41EF21" w14:textId="77777777" w:rsidR="00861793" w:rsidRPr="002C4292" w:rsidRDefault="007352DA" w:rsidP="002E4DAA">
            <w:pPr>
              <w:jc w:val="both"/>
              <w:rPr>
                <w:rFonts w:asciiTheme="minorHAnsi" w:hAnsiTheme="minorHAnsi"/>
                <w:sz w:val="22"/>
                <w:szCs w:val="22"/>
              </w:rPr>
            </w:pPr>
            <w:r>
              <w:rPr>
                <w:rFonts w:asciiTheme="minorHAnsi" w:hAnsiTheme="minorHAnsi"/>
                <w:sz w:val="22"/>
                <w:szCs w:val="22"/>
              </w:rPr>
              <w:t>Leo</w:t>
            </w:r>
          </w:p>
        </w:tc>
      </w:tr>
      <w:tr w:rsidR="00861793" w:rsidRPr="000E3051" w14:paraId="5E05F865" w14:textId="77777777" w:rsidTr="00600A15">
        <w:trPr>
          <w:jc w:val="center"/>
        </w:trPr>
        <w:tc>
          <w:tcPr>
            <w:tcW w:w="4011" w:type="dxa"/>
          </w:tcPr>
          <w:p w14:paraId="507BF987" w14:textId="77777777" w:rsidR="00861793" w:rsidRPr="000E3051" w:rsidRDefault="00861793" w:rsidP="002E4DAA">
            <w:pPr>
              <w:rPr>
                <w:rFonts w:asciiTheme="minorHAnsi" w:hAnsiTheme="minorHAnsi"/>
              </w:rPr>
            </w:pPr>
            <w:r w:rsidRPr="000E3051">
              <w:rPr>
                <w:rFonts w:asciiTheme="minorHAnsi" w:hAnsiTheme="minorHAnsi"/>
                <w:sz w:val="22"/>
                <w:szCs w:val="22"/>
              </w:rPr>
              <w:t>Surname/Family Name:</w:t>
            </w:r>
          </w:p>
        </w:tc>
        <w:tc>
          <w:tcPr>
            <w:tcW w:w="5534" w:type="dxa"/>
          </w:tcPr>
          <w:p w14:paraId="3F2087C9" w14:textId="77777777" w:rsidR="00861793" w:rsidRPr="002C4292" w:rsidRDefault="007352DA" w:rsidP="002E4DAA">
            <w:pPr>
              <w:jc w:val="both"/>
              <w:rPr>
                <w:rFonts w:asciiTheme="minorHAnsi" w:hAnsiTheme="minorHAnsi"/>
                <w:sz w:val="22"/>
                <w:szCs w:val="22"/>
              </w:rPr>
            </w:pPr>
            <w:r>
              <w:rPr>
                <w:rFonts w:asciiTheme="minorHAnsi" w:hAnsiTheme="minorHAnsi"/>
                <w:sz w:val="22"/>
                <w:szCs w:val="22"/>
              </w:rPr>
              <w:t>Appleton</w:t>
            </w:r>
          </w:p>
        </w:tc>
      </w:tr>
      <w:tr w:rsidR="00861793" w:rsidRPr="000E3051" w14:paraId="65073FDF" w14:textId="77777777" w:rsidTr="00600A15">
        <w:trPr>
          <w:jc w:val="center"/>
        </w:trPr>
        <w:tc>
          <w:tcPr>
            <w:tcW w:w="4011" w:type="dxa"/>
          </w:tcPr>
          <w:p w14:paraId="26171462" w14:textId="77777777" w:rsidR="00861793" w:rsidRPr="000E3051" w:rsidRDefault="00861793" w:rsidP="002E4DAA">
            <w:pPr>
              <w:rPr>
                <w:rFonts w:asciiTheme="minorHAnsi" w:hAnsiTheme="minorHAnsi"/>
              </w:rPr>
            </w:pPr>
            <w:r w:rsidRPr="000E3051">
              <w:rPr>
                <w:rFonts w:asciiTheme="minorHAnsi" w:hAnsiTheme="minorHAnsi"/>
                <w:sz w:val="22"/>
                <w:szCs w:val="22"/>
              </w:rPr>
              <w:t>Institution:</w:t>
            </w:r>
          </w:p>
        </w:tc>
        <w:tc>
          <w:tcPr>
            <w:tcW w:w="5534" w:type="dxa"/>
          </w:tcPr>
          <w:p w14:paraId="5E75B756" w14:textId="77777777" w:rsidR="00861793" w:rsidRPr="002C4292" w:rsidRDefault="007352DA" w:rsidP="002E4DAA">
            <w:pPr>
              <w:jc w:val="both"/>
              <w:rPr>
                <w:rFonts w:asciiTheme="minorHAnsi" w:hAnsiTheme="minorHAnsi"/>
                <w:sz w:val="22"/>
                <w:szCs w:val="22"/>
              </w:rPr>
            </w:pPr>
            <w:r w:rsidRPr="007352DA">
              <w:rPr>
                <w:rFonts w:asciiTheme="minorHAnsi" w:hAnsiTheme="minorHAnsi"/>
                <w:sz w:val="22"/>
                <w:szCs w:val="22"/>
              </w:rPr>
              <w:t>Edinburgh Napier University</w:t>
            </w:r>
          </w:p>
        </w:tc>
        <w:bookmarkStart w:id="0" w:name="_GoBack"/>
        <w:bookmarkEnd w:id="0"/>
      </w:tr>
      <w:tr w:rsidR="00861793" w:rsidRPr="000E3051" w14:paraId="7F715118" w14:textId="77777777" w:rsidTr="00600A15">
        <w:trPr>
          <w:jc w:val="center"/>
        </w:trPr>
        <w:tc>
          <w:tcPr>
            <w:tcW w:w="4011" w:type="dxa"/>
          </w:tcPr>
          <w:p w14:paraId="622A41D9" w14:textId="77777777" w:rsidR="00861793" w:rsidRPr="000E3051" w:rsidRDefault="00861793" w:rsidP="002E4DAA">
            <w:pPr>
              <w:rPr>
                <w:rFonts w:asciiTheme="minorHAnsi" w:hAnsiTheme="minorHAnsi"/>
              </w:rPr>
            </w:pPr>
            <w:r w:rsidRPr="000E3051">
              <w:rPr>
                <w:rFonts w:asciiTheme="minorHAnsi" w:hAnsiTheme="minorHAnsi"/>
                <w:sz w:val="22"/>
                <w:szCs w:val="22"/>
              </w:rPr>
              <w:t>Job Title:</w:t>
            </w:r>
          </w:p>
        </w:tc>
        <w:tc>
          <w:tcPr>
            <w:tcW w:w="5534" w:type="dxa"/>
          </w:tcPr>
          <w:p w14:paraId="0A2D1AFF" w14:textId="77777777" w:rsidR="00861793" w:rsidRPr="002C4292" w:rsidRDefault="007352DA" w:rsidP="002E4DAA">
            <w:pPr>
              <w:jc w:val="both"/>
              <w:rPr>
                <w:rFonts w:asciiTheme="minorHAnsi" w:hAnsiTheme="minorHAnsi"/>
                <w:sz w:val="22"/>
                <w:szCs w:val="22"/>
              </w:rPr>
            </w:pPr>
            <w:r>
              <w:rPr>
                <w:rFonts w:asciiTheme="minorHAnsi" w:hAnsiTheme="minorHAnsi"/>
                <w:sz w:val="22"/>
                <w:szCs w:val="22"/>
              </w:rPr>
              <w:t>PhD student</w:t>
            </w:r>
          </w:p>
        </w:tc>
      </w:tr>
      <w:tr w:rsidR="00861793" w:rsidRPr="000E3051" w14:paraId="4672823B" w14:textId="77777777" w:rsidTr="00600A15">
        <w:trPr>
          <w:jc w:val="center"/>
        </w:trPr>
        <w:tc>
          <w:tcPr>
            <w:tcW w:w="4011" w:type="dxa"/>
          </w:tcPr>
          <w:p w14:paraId="39410938" w14:textId="77777777" w:rsidR="00861793" w:rsidRPr="000E3051" w:rsidRDefault="00861793" w:rsidP="002E4DAA">
            <w:pPr>
              <w:rPr>
                <w:rFonts w:asciiTheme="minorHAnsi" w:hAnsiTheme="minorHAnsi"/>
              </w:rPr>
            </w:pPr>
            <w:r w:rsidRPr="000E3051">
              <w:rPr>
                <w:rFonts w:asciiTheme="minorHAnsi" w:hAnsiTheme="minorHAnsi"/>
                <w:sz w:val="22"/>
                <w:szCs w:val="22"/>
              </w:rPr>
              <w:t>Postal Address:</w:t>
            </w:r>
          </w:p>
        </w:tc>
        <w:tc>
          <w:tcPr>
            <w:tcW w:w="5534" w:type="dxa"/>
          </w:tcPr>
          <w:p w14:paraId="0F0B7ACB" w14:textId="77777777" w:rsidR="00861793" w:rsidRPr="002C4292" w:rsidRDefault="007352DA" w:rsidP="002E4DAA">
            <w:pPr>
              <w:jc w:val="both"/>
              <w:rPr>
                <w:rFonts w:asciiTheme="minorHAnsi" w:hAnsiTheme="minorHAnsi"/>
                <w:sz w:val="22"/>
                <w:szCs w:val="22"/>
              </w:rPr>
            </w:pPr>
            <w:r>
              <w:rPr>
                <w:rFonts w:asciiTheme="minorHAnsi" w:hAnsiTheme="minorHAnsi"/>
                <w:sz w:val="22"/>
                <w:szCs w:val="22"/>
              </w:rPr>
              <w:t>Centre for Social Informatics, Merchiston Campus, 10 Colinton Road,</w:t>
            </w:r>
          </w:p>
        </w:tc>
      </w:tr>
      <w:tr w:rsidR="00861793" w:rsidRPr="000E3051" w14:paraId="098417BF" w14:textId="77777777" w:rsidTr="00600A15">
        <w:trPr>
          <w:jc w:val="center"/>
        </w:trPr>
        <w:tc>
          <w:tcPr>
            <w:tcW w:w="4011" w:type="dxa"/>
          </w:tcPr>
          <w:p w14:paraId="31FAEC06" w14:textId="77777777" w:rsidR="00861793" w:rsidRPr="000E3051" w:rsidRDefault="00861793" w:rsidP="002E4DAA">
            <w:pPr>
              <w:rPr>
                <w:rFonts w:asciiTheme="minorHAnsi" w:hAnsiTheme="minorHAnsi"/>
              </w:rPr>
            </w:pPr>
            <w:r w:rsidRPr="000E3051">
              <w:rPr>
                <w:rFonts w:asciiTheme="minorHAnsi" w:hAnsiTheme="minorHAnsi"/>
                <w:sz w:val="22"/>
                <w:szCs w:val="22"/>
              </w:rPr>
              <w:t>City:</w:t>
            </w:r>
          </w:p>
        </w:tc>
        <w:tc>
          <w:tcPr>
            <w:tcW w:w="5534" w:type="dxa"/>
          </w:tcPr>
          <w:p w14:paraId="023D6CD0" w14:textId="77777777" w:rsidR="00861793" w:rsidRPr="002C4292" w:rsidRDefault="007352DA" w:rsidP="002E4DAA">
            <w:pPr>
              <w:jc w:val="both"/>
              <w:rPr>
                <w:rFonts w:asciiTheme="minorHAnsi" w:hAnsiTheme="minorHAnsi"/>
                <w:sz w:val="22"/>
                <w:szCs w:val="22"/>
              </w:rPr>
            </w:pPr>
            <w:r>
              <w:rPr>
                <w:rFonts w:asciiTheme="minorHAnsi" w:hAnsiTheme="minorHAnsi"/>
                <w:sz w:val="22"/>
                <w:szCs w:val="22"/>
              </w:rPr>
              <w:t>Edinburgh</w:t>
            </w:r>
          </w:p>
        </w:tc>
      </w:tr>
      <w:tr w:rsidR="00861793" w:rsidRPr="000E3051" w14:paraId="6E73E632" w14:textId="77777777" w:rsidTr="00600A15">
        <w:trPr>
          <w:jc w:val="center"/>
        </w:trPr>
        <w:tc>
          <w:tcPr>
            <w:tcW w:w="4011" w:type="dxa"/>
          </w:tcPr>
          <w:p w14:paraId="2B8FA600" w14:textId="77777777" w:rsidR="00861793" w:rsidRPr="000E3051" w:rsidRDefault="00861793" w:rsidP="002E4DAA">
            <w:pPr>
              <w:rPr>
                <w:rFonts w:asciiTheme="minorHAnsi" w:hAnsiTheme="minorHAnsi"/>
              </w:rPr>
            </w:pPr>
            <w:r w:rsidRPr="000E3051">
              <w:rPr>
                <w:rFonts w:asciiTheme="minorHAnsi" w:hAnsiTheme="minorHAnsi"/>
                <w:sz w:val="22"/>
                <w:szCs w:val="22"/>
              </w:rPr>
              <w:t>Postal or ZIP Code:</w:t>
            </w:r>
          </w:p>
        </w:tc>
        <w:tc>
          <w:tcPr>
            <w:tcW w:w="5534" w:type="dxa"/>
          </w:tcPr>
          <w:p w14:paraId="40E00D88" w14:textId="77777777" w:rsidR="00861793" w:rsidRPr="002C4292" w:rsidRDefault="007352DA" w:rsidP="002E4DAA">
            <w:pPr>
              <w:jc w:val="both"/>
              <w:rPr>
                <w:rFonts w:asciiTheme="minorHAnsi" w:hAnsiTheme="minorHAnsi"/>
                <w:sz w:val="22"/>
                <w:szCs w:val="22"/>
              </w:rPr>
            </w:pPr>
            <w:r>
              <w:rPr>
                <w:rFonts w:asciiTheme="minorHAnsi" w:hAnsiTheme="minorHAnsi"/>
                <w:sz w:val="22"/>
                <w:szCs w:val="22"/>
              </w:rPr>
              <w:t>EH10 5DT</w:t>
            </w:r>
          </w:p>
        </w:tc>
      </w:tr>
      <w:tr w:rsidR="00861793" w:rsidRPr="000E3051" w14:paraId="77A745F0" w14:textId="77777777" w:rsidTr="00600A15">
        <w:trPr>
          <w:jc w:val="center"/>
        </w:trPr>
        <w:tc>
          <w:tcPr>
            <w:tcW w:w="4011" w:type="dxa"/>
          </w:tcPr>
          <w:p w14:paraId="6F52EEC4" w14:textId="77777777" w:rsidR="00861793" w:rsidRPr="000E3051" w:rsidRDefault="00861793" w:rsidP="002E4DAA">
            <w:pPr>
              <w:rPr>
                <w:rFonts w:asciiTheme="minorHAnsi" w:hAnsiTheme="minorHAnsi"/>
              </w:rPr>
            </w:pPr>
            <w:r w:rsidRPr="000E3051">
              <w:rPr>
                <w:rFonts w:asciiTheme="minorHAnsi" w:hAnsiTheme="minorHAnsi"/>
                <w:sz w:val="22"/>
                <w:szCs w:val="22"/>
              </w:rPr>
              <w:t>Country:</w:t>
            </w:r>
          </w:p>
        </w:tc>
        <w:tc>
          <w:tcPr>
            <w:tcW w:w="5534" w:type="dxa"/>
          </w:tcPr>
          <w:p w14:paraId="5B9ED6E7" w14:textId="77777777" w:rsidR="00861793" w:rsidRPr="002C4292" w:rsidRDefault="007352DA" w:rsidP="002E4DAA">
            <w:pPr>
              <w:jc w:val="both"/>
              <w:rPr>
                <w:rFonts w:asciiTheme="minorHAnsi" w:hAnsiTheme="minorHAnsi"/>
                <w:sz w:val="22"/>
                <w:szCs w:val="22"/>
              </w:rPr>
            </w:pPr>
            <w:r>
              <w:rPr>
                <w:rFonts w:asciiTheme="minorHAnsi" w:hAnsiTheme="minorHAnsi"/>
                <w:sz w:val="22"/>
                <w:szCs w:val="22"/>
              </w:rPr>
              <w:t>UK</w:t>
            </w:r>
          </w:p>
        </w:tc>
      </w:tr>
      <w:tr w:rsidR="00861793" w:rsidRPr="000E3051" w14:paraId="7DC043ED" w14:textId="77777777" w:rsidTr="00600A15">
        <w:trPr>
          <w:jc w:val="center"/>
        </w:trPr>
        <w:tc>
          <w:tcPr>
            <w:tcW w:w="4011" w:type="dxa"/>
          </w:tcPr>
          <w:p w14:paraId="67330936" w14:textId="77777777" w:rsidR="00861793" w:rsidRPr="000E3051" w:rsidRDefault="00861793" w:rsidP="002E4DAA">
            <w:pPr>
              <w:rPr>
                <w:rFonts w:asciiTheme="minorHAnsi" w:hAnsiTheme="minorHAnsi"/>
              </w:rPr>
            </w:pPr>
            <w:r w:rsidRPr="000E3051">
              <w:rPr>
                <w:rFonts w:asciiTheme="minorHAnsi" w:hAnsiTheme="minorHAnsi"/>
                <w:sz w:val="22"/>
                <w:szCs w:val="22"/>
              </w:rPr>
              <w:t>Telephone Number (Inc</w:t>
            </w:r>
            <w:r w:rsidR="0081770E">
              <w:rPr>
                <w:rFonts w:asciiTheme="minorHAnsi" w:hAnsiTheme="minorHAnsi"/>
                <w:sz w:val="22"/>
                <w:szCs w:val="22"/>
              </w:rPr>
              <w:t>.</w:t>
            </w:r>
            <w:r w:rsidRPr="000E3051">
              <w:rPr>
                <w:rFonts w:asciiTheme="minorHAnsi" w:hAnsiTheme="minorHAnsi"/>
                <w:sz w:val="22"/>
                <w:szCs w:val="22"/>
              </w:rPr>
              <w:t xml:space="preserve"> Country Code):</w:t>
            </w:r>
          </w:p>
        </w:tc>
        <w:tc>
          <w:tcPr>
            <w:tcW w:w="5534" w:type="dxa"/>
          </w:tcPr>
          <w:p w14:paraId="2BF554BB" w14:textId="77777777" w:rsidR="00861793" w:rsidRPr="002C4292" w:rsidRDefault="007352DA" w:rsidP="002E4DAA">
            <w:pPr>
              <w:jc w:val="both"/>
              <w:rPr>
                <w:rFonts w:asciiTheme="minorHAnsi" w:hAnsiTheme="minorHAnsi"/>
                <w:sz w:val="22"/>
                <w:szCs w:val="22"/>
              </w:rPr>
            </w:pPr>
            <w:r>
              <w:rPr>
                <w:rFonts w:asciiTheme="minorHAnsi" w:hAnsiTheme="minorHAnsi"/>
                <w:sz w:val="22"/>
                <w:szCs w:val="22"/>
              </w:rPr>
              <w:t>07969 513087</w:t>
            </w:r>
          </w:p>
        </w:tc>
      </w:tr>
      <w:tr w:rsidR="00861793" w:rsidRPr="000E3051" w14:paraId="2365982A" w14:textId="77777777" w:rsidTr="00600A15">
        <w:trPr>
          <w:jc w:val="center"/>
        </w:trPr>
        <w:tc>
          <w:tcPr>
            <w:tcW w:w="4011" w:type="dxa"/>
          </w:tcPr>
          <w:p w14:paraId="53FACB90" w14:textId="77777777" w:rsidR="00861793" w:rsidRPr="000E3051" w:rsidRDefault="00861793" w:rsidP="002E4DAA">
            <w:pPr>
              <w:rPr>
                <w:rFonts w:asciiTheme="minorHAnsi" w:hAnsiTheme="minorHAnsi"/>
              </w:rPr>
            </w:pPr>
            <w:r w:rsidRPr="000E3051">
              <w:rPr>
                <w:rFonts w:asciiTheme="minorHAnsi" w:hAnsiTheme="minorHAnsi"/>
                <w:sz w:val="22"/>
                <w:szCs w:val="22"/>
              </w:rPr>
              <w:t>Email address:</w:t>
            </w:r>
          </w:p>
        </w:tc>
        <w:tc>
          <w:tcPr>
            <w:tcW w:w="5534" w:type="dxa"/>
          </w:tcPr>
          <w:p w14:paraId="576045E0" w14:textId="77777777" w:rsidR="00861793" w:rsidRPr="002C4292" w:rsidRDefault="007352DA" w:rsidP="007352DA">
            <w:pPr>
              <w:jc w:val="both"/>
              <w:rPr>
                <w:rFonts w:asciiTheme="minorHAnsi" w:hAnsiTheme="minorHAnsi"/>
                <w:sz w:val="22"/>
                <w:szCs w:val="22"/>
              </w:rPr>
            </w:pPr>
            <w:r>
              <w:rPr>
                <w:rFonts w:asciiTheme="minorHAnsi" w:hAnsiTheme="minorHAnsi"/>
                <w:sz w:val="22"/>
                <w:szCs w:val="22"/>
              </w:rPr>
              <w:t>l.appleton@napier.ac.uk</w:t>
            </w:r>
          </w:p>
        </w:tc>
      </w:tr>
      <w:tr w:rsidR="00951B2F" w:rsidRPr="000E3051" w14:paraId="13B97C4F" w14:textId="77777777" w:rsidTr="00600A15">
        <w:trPr>
          <w:jc w:val="center"/>
        </w:trPr>
        <w:tc>
          <w:tcPr>
            <w:tcW w:w="4011" w:type="dxa"/>
          </w:tcPr>
          <w:p w14:paraId="0B8B4B6B" w14:textId="77777777" w:rsidR="00951B2F" w:rsidRPr="000E3051" w:rsidRDefault="00C63A83" w:rsidP="002E4DAA">
            <w:pPr>
              <w:rPr>
                <w:rFonts w:asciiTheme="minorHAnsi" w:hAnsiTheme="minorHAnsi"/>
                <w:sz w:val="22"/>
                <w:szCs w:val="22"/>
              </w:rPr>
            </w:pPr>
            <w:r>
              <w:rPr>
                <w:rFonts w:asciiTheme="minorHAnsi" w:hAnsiTheme="minorHAnsi"/>
                <w:sz w:val="22"/>
                <w:szCs w:val="22"/>
              </w:rPr>
              <w:t>Co-authors</w:t>
            </w:r>
          </w:p>
        </w:tc>
        <w:tc>
          <w:tcPr>
            <w:tcW w:w="5534" w:type="dxa"/>
          </w:tcPr>
          <w:p w14:paraId="79D8F846" w14:textId="77777777" w:rsidR="00951B2F" w:rsidRDefault="00C63A83" w:rsidP="002E4DAA">
            <w:pPr>
              <w:jc w:val="both"/>
              <w:rPr>
                <w:rFonts w:asciiTheme="minorHAnsi" w:hAnsiTheme="minorHAnsi"/>
                <w:sz w:val="22"/>
                <w:szCs w:val="22"/>
              </w:rPr>
            </w:pPr>
            <w:r>
              <w:rPr>
                <w:rFonts w:asciiTheme="minorHAnsi" w:hAnsiTheme="minorHAnsi"/>
                <w:sz w:val="22"/>
                <w:szCs w:val="22"/>
              </w:rPr>
              <w:t>Professors Alistair Duff, Hazel Hall and Robert Raeside, Edinburgh Napier University</w:t>
            </w:r>
          </w:p>
        </w:tc>
      </w:tr>
    </w:tbl>
    <w:p w14:paraId="4DE2A54F" w14:textId="77777777" w:rsidR="00861793" w:rsidRPr="000E3051" w:rsidRDefault="00861793" w:rsidP="002E4DAA">
      <w:pPr>
        <w:rPr>
          <w:rFonts w:asciiTheme="minorHAnsi" w:hAnsiTheme="minorHAnsi"/>
          <w:sz w:val="22"/>
          <w:szCs w:val="22"/>
        </w:rPr>
      </w:pPr>
    </w:p>
    <w:p w14:paraId="0AECB3E6" w14:textId="77777777" w:rsidR="00861793" w:rsidRPr="000E3051" w:rsidRDefault="00861793" w:rsidP="002E4DAA">
      <w:pPr>
        <w:rPr>
          <w:rFonts w:asciiTheme="minorHAnsi" w:hAnsiTheme="minorHAnsi"/>
          <w:sz w:val="22"/>
          <w:szCs w:val="22"/>
        </w:rPr>
      </w:pPr>
      <w:r w:rsidRPr="000E3051">
        <w:rPr>
          <w:rFonts w:asciiTheme="minorHAnsi" w:hAnsiTheme="minorHAnsi"/>
          <w:sz w:val="22"/>
          <w:szCs w:val="22"/>
        </w:rPr>
        <w:t>Submission Details</w:t>
      </w:r>
    </w:p>
    <w:p w14:paraId="35BE3D1F" w14:textId="77777777" w:rsidR="00861793" w:rsidRPr="000E3051" w:rsidRDefault="00861793" w:rsidP="002E4DAA">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122"/>
        <w:gridCol w:w="5932"/>
        <w:gridCol w:w="1491"/>
      </w:tblGrid>
      <w:tr w:rsidR="00861793" w:rsidRPr="000E3051" w14:paraId="7EB0D3C3" w14:textId="77777777" w:rsidTr="007352DA">
        <w:trPr>
          <w:jc w:val="center"/>
        </w:trPr>
        <w:tc>
          <w:tcPr>
            <w:tcW w:w="2122" w:type="dxa"/>
          </w:tcPr>
          <w:p w14:paraId="5E3B9B70" w14:textId="77777777" w:rsidR="00861793" w:rsidRPr="000E3051" w:rsidRDefault="00861793" w:rsidP="002E4DAA">
            <w:pPr>
              <w:rPr>
                <w:rFonts w:asciiTheme="minorHAnsi" w:hAnsiTheme="minorHAnsi"/>
              </w:rPr>
            </w:pPr>
            <w:r w:rsidRPr="000E3051">
              <w:rPr>
                <w:rFonts w:asciiTheme="minorHAnsi" w:hAnsiTheme="minorHAnsi"/>
                <w:sz w:val="22"/>
                <w:szCs w:val="22"/>
              </w:rPr>
              <w:t>Title of Abstract</w:t>
            </w:r>
          </w:p>
        </w:tc>
        <w:tc>
          <w:tcPr>
            <w:tcW w:w="7423" w:type="dxa"/>
            <w:gridSpan w:val="2"/>
          </w:tcPr>
          <w:p w14:paraId="2FC6F4F9" w14:textId="6BB14042" w:rsidR="00861793" w:rsidRPr="002C4292" w:rsidRDefault="007352DA" w:rsidP="007352DA">
            <w:pPr>
              <w:pStyle w:val="Default"/>
              <w:ind w:right="1060"/>
              <w:rPr>
                <w:rFonts w:asciiTheme="minorHAnsi" w:hAnsiTheme="minorHAnsi"/>
              </w:rPr>
            </w:pPr>
            <w:r w:rsidRPr="007352DA">
              <w:rPr>
                <w:rFonts w:asciiTheme="minorHAnsi" w:hAnsiTheme="minorHAnsi"/>
              </w:rPr>
              <w:t>Demonstrating the impact of the public library on citizenship development in the UK: focus group findings</w:t>
            </w:r>
          </w:p>
        </w:tc>
      </w:tr>
      <w:tr w:rsidR="00861793" w:rsidRPr="000E3051" w14:paraId="13512293" w14:textId="77777777" w:rsidTr="007352DA">
        <w:trPr>
          <w:jc w:val="center"/>
        </w:trPr>
        <w:tc>
          <w:tcPr>
            <w:tcW w:w="2122" w:type="dxa"/>
            <w:vMerge w:val="restart"/>
          </w:tcPr>
          <w:p w14:paraId="60B8E1D7" w14:textId="77777777" w:rsidR="00861793" w:rsidRPr="000E3051" w:rsidRDefault="00861793" w:rsidP="002E4DAA">
            <w:pPr>
              <w:rPr>
                <w:rFonts w:asciiTheme="minorHAnsi" w:hAnsiTheme="minorHAnsi"/>
              </w:rPr>
            </w:pPr>
            <w:r w:rsidRPr="000E3051">
              <w:rPr>
                <w:rFonts w:asciiTheme="minorHAnsi" w:hAnsiTheme="minorHAnsi"/>
                <w:sz w:val="22"/>
                <w:szCs w:val="22"/>
              </w:rPr>
              <w:t>Type of Submission (please select ONE):</w:t>
            </w:r>
          </w:p>
        </w:tc>
        <w:tc>
          <w:tcPr>
            <w:tcW w:w="5932" w:type="dxa"/>
          </w:tcPr>
          <w:p w14:paraId="2FBCD4A4" w14:textId="77777777" w:rsidR="00861793" w:rsidRPr="002C4292" w:rsidRDefault="00861793" w:rsidP="002E4DAA">
            <w:pPr>
              <w:jc w:val="both"/>
              <w:rPr>
                <w:rFonts w:asciiTheme="minorHAnsi" w:hAnsiTheme="minorHAnsi"/>
                <w:sz w:val="22"/>
                <w:szCs w:val="22"/>
              </w:rPr>
            </w:pPr>
            <w:r w:rsidRPr="002C4292">
              <w:rPr>
                <w:rFonts w:asciiTheme="minorHAnsi" w:hAnsiTheme="minorHAnsi"/>
                <w:sz w:val="22"/>
                <w:szCs w:val="22"/>
              </w:rPr>
              <w:t>Full Paper</w:t>
            </w:r>
          </w:p>
        </w:tc>
        <w:tc>
          <w:tcPr>
            <w:tcW w:w="1491" w:type="dxa"/>
          </w:tcPr>
          <w:p w14:paraId="7A3661C1" w14:textId="77777777" w:rsidR="00861793" w:rsidRPr="002C4292" w:rsidRDefault="007352DA" w:rsidP="002E4DAA">
            <w:pPr>
              <w:jc w:val="both"/>
              <w:rPr>
                <w:rFonts w:asciiTheme="minorHAnsi" w:hAnsiTheme="minorHAnsi"/>
                <w:sz w:val="22"/>
                <w:szCs w:val="22"/>
              </w:rPr>
            </w:pPr>
            <w:r>
              <w:rPr>
                <w:rFonts w:asciiTheme="minorHAnsi" w:hAnsiTheme="minorHAnsi"/>
                <w:sz w:val="22"/>
                <w:szCs w:val="22"/>
              </w:rPr>
              <w:t>*</w:t>
            </w:r>
          </w:p>
        </w:tc>
      </w:tr>
      <w:tr w:rsidR="00861793" w:rsidRPr="000E3051" w14:paraId="269739D2" w14:textId="77777777" w:rsidTr="007352DA">
        <w:trPr>
          <w:jc w:val="center"/>
        </w:trPr>
        <w:tc>
          <w:tcPr>
            <w:tcW w:w="2122" w:type="dxa"/>
            <w:vMerge/>
          </w:tcPr>
          <w:p w14:paraId="2AA825D0" w14:textId="77777777" w:rsidR="00861793" w:rsidRPr="000E3051" w:rsidRDefault="00861793" w:rsidP="002E4DAA">
            <w:pPr>
              <w:rPr>
                <w:rFonts w:asciiTheme="minorHAnsi" w:hAnsiTheme="minorHAnsi"/>
              </w:rPr>
            </w:pPr>
          </w:p>
        </w:tc>
        <w:tc>
          <w:tcPr>
            <w:tcW w:w="5932" w:type="dxa"/>
          </w:tcPr>
          <w:p w14:paraId="0FBF7030" w14:textId="77777777" w:rsidR="00861793" w:rsidRPr="002C4292" w:rsidRDefault="00861793" w:rsidP="002E4DAA">
            <w:pPr>
              <w:jc w:val="both"/>
              <w:rPr>
                <w:rFonts w:asciiTheme="minorHAnsi" w:hAnsiTheme="minorHAnsi"/>
                <w:sz w:val="22"/>
                <w:szCs w:val="22"/>
              </w:rPr>
            </w:pPr>
            <w:r w:rsidRPr="002C4292">
              <w:rPr>
                <w:rFonts w:asciiTheme="minorHAnsi" w:hAnsiTheme="minorHAnsi"/>
                <w:sz w:val="22"/>
                <w:szCs w:val="22"/>
              </w:rPr>
              <w:t>Short Paper</w:t>
            </w:r>
          </w:p>
        </w:tc>
        <w:tc>
          <w:tcPr>
            <w:tcW w:w="1491" w:type="dxa"/>
          </w:tcPr>
          <w:p w14:paraId="3E3F89D3" w14:textId="77777777" w:rsidR="00861793" w:rsidRPr="002C4292" w:rsidRDefault="00861793" w:rsidP="002E4DAA">
            <w:pPr>
              <w:jc w:val="both"/>
              <w:rPr>
                <w:rFonts w:asciiTheme="minorHAnsi" w:hAnsiTheme="minorHAnsi"/>
                <w:sz w:val="22"/>
                <w:szCs w:val="22"/>
              </w:rPr>
            </w:pPr>
          </w:p>
        </w:tc>
      </w:tr>
      <w:tr w:rsidR="00861793" w:rsidRPr="000E3051" w14:paraId="7581FB7B" w14:textId="77777777" w:rsidTr="007352DA">
        <w:trPr>
          <w:jc w:val="center"/>
        </w:trPr>
        <w:tc>
          <w:tcPr>
            <w:tcW w:w="2122" w:type="dxa"/>
            <w:vMerge/>
          </w:tcPr>
          <w:p w14:paraId="129202C9" w14:textId="77777777" w:rsidR="00861793" w:rsidRPr="000E3051" w:rsidRDefault="00861793" w:rsidP="002E4DAA">
            <w:pPr>
              <w:rPr>
                <w:rFonts w:asciiTheme="minorHAnsi" w:hAnsiTheme="minorHAnsi"/>
              </w:rPr>
            </w:pPr>
          </w:p>
        </w:tc>
        <w:tc>
          <w:tcPr>
            <w:tcW w:w="5932" w:type="dxa"/>
          </w:tcPr>
          <w:p w14:paraId="0681962A" w14:textId="77777777" w:rsidR="00861793" w:rsidRPr="002C4292" w:rsidRDefault="00861793" w:rsidP="002E4DAA">
            <w:pPr>
              <w:jc w:val="both"/>
              <w:rPr>
                <w:rFonts w:asciiTheme="minorHAnsi" w:hAnsiTheme="minorHAnsi"/>
                <w:sz w:val="22"/>
                <w:szCs w:val="22"/>
              </w:rPr>
            </w:pPr>
            <w:r w:rsidRPr="002C4292">
              <w:rPr>
                <w:rFonts w:asciiTheme="minorHAnsi" w:hAnsiTheme="minorHAnsi"/>
                <w:sz w:val="22"/>
                <w:szCs w:val="22"/>
              </w:rPr>
              <w:t>Round Table Discussion</w:t>
            </w:r>
          </w:p>
        </w:tc>
        <w:tc>
          <w:tcPr>
            <w:tcW w:w="1491" w:type="dxa"/>
          </w:tcPr>
          <w:p w14:paraId="346A8520" w14:textId="77777777" w:rsidR="00861793" w:rsidRPr="002C4292" w:rsidRDefault="00861793" w:rsidP="002E4DAA">
            <w:pPr>
              <w:jc w:val="both"/>
              <w:rPr>
                <w:rFonts w:asciiTheme="minorHAnsi" w:hAnsiTheme="minorHAnsi"/>
                <w:sz w:val="22"/>
                <w:szCs w:val="22"/>
              </w:rPr>
            </w:pPr>
          </w:p>
        </w:tc>
      </w:tr>
      <w:tr w:rsidR="00861793" w:rsidRPr="000E3051" w14:paraId="36572E77" w14:textId="77777777" w:rsidTr="007352DA">
        <w:trPr>
          <w:jc w:val="center"/>
        </w:trPr>
        <w:tc>
          <w:tcPr>
            <w:tcW w:w="2122" w:type="dxa"/>
            <w:vMerge w:val="restart"/>
          </w:tcPr>
          <w:p w14:paraId="16999C3E" w14:textId="77777777" w:rsidR="00861793" w:rsidRPr="007D4A0F" w:rsidRDefault="00861793" w:rsidP="002E4DAA">
            <w:pPr>
              <w:rPr>
                <w:rFonts w:asciiTheme="minorHAnsi" w:hAnsiTheme="minorHAnsi"/>
              </w:rPr>
            </w:pPr>
            <w:r w:rsidRPr="007D4A0F">
              <w:rPr>
                <w:rFonts w:asciiTheme="minorHAnsi" w:hAnsiTheme="minorHAnsi"/>
                <w:sz w:val="22"/>
                <w:szCs w:val="22"/>
              </w:rPr>
              <w:t>Themes (please select all that apply):</w:t>
            </w:r>
          </w:p>
        </w:tc>
        <w:tc>
          <w:tcPr>
            <w:tcW w:w="5932" w:type="dxa"/>
          </w:tcPr>
          <w:p w14:paraId="1E0BA20F" w14:textId="77777777" w:rsidR="00861793" w:rsidRPr="002C4292" w:rsidRDefault="00861793" w:rsidP="002E4DAA">
            <w:pPr>
              <w:jc w:val="both"/>
              <w:rPr>
                <w:rFonts w:asciiTheme="minorHAnsi" w:hAnsiTheme="minorHAnsi"/>
                <w:sz w:val="22"/>
                <w:szCs w:val="22"/>
              </w:rPr>
            </w:pPr>
            <w:r w:rsidRPr="002C4292">
              <w:rPr>
                <w:rFonts w:asciiTheme="minorHAnsi" w:hAnsiTheme="minorHAnsi"/>
                <w:sz w:val="22"/>
                <w:szCs w:val="22"/>
              </w:rPr>
              <w:t>Information Literac</w:t>
            </w:r>
            <w:r w:rsidR="007D4A0F" w:rsidRPr="002C4292">
              <w:rPr>
                <w:rFonts w:asciiTheme="minorHAnsi" w:hAnsiTheme="minorHAnsi"/>
                <w:sz w:val="22"/>
                <w:szCs w:val="22"/>
              </w:rPr>
              <w:t>ies</w:t>
            </w:r>
          </w:p>
        </w:tc>
        <w:tc>
          <w:tcPr>
            <w:tcW w:w="1491" w:type="dxa"/>
          </w:tcPr>
          <w:p w14:paraId="3F54E161" w14:textId="77777777" w:rsidR="00861793" w:rsidRPr="002C4292" w:rsidRDefault="00861793" w:rsidP="002E4DAA">
            <w:pPr>
              <w:jc w:val="both"/>
              <w:rPr>
                <w:rFonts w:asciiTheme="minorHAnsi" w:hAnsiTheme="minorHAnsi"/>
                <w:color w:val="FF0000"/>
                <w:sz w:val="22"/>
                <w:szCs w:val="22"/>
              </w:rPr>
            </w:pPr>
          </w:p>
        </w:tc>
      </w:tr>
      <w:tr w:rsidR="00861793" w:rsidRPr="000E3051" w14:paraId="707F11DF" w14:textId="77777777" w:rsidTr="007352DA">
        <w:trPr>
          <w:jc w:val="center"/>
        </w:trPr>
        <w:tc>
          <w:tcPr>
            <w:tcW w:w="2122" w:type="dxa"/>
            <w:vMerge/>
          </w:tcPr>
          <w:p w14:paraId="499E581B" w14:textId="77777777" w:rsidR="00861793" w:rsidRPr="007D4A0F" w:rsidRDefault="00861793" w:rsidP="002E4DAA">
            <w:pPr>
              <w:rPr>
                <w:rFonts w:asciiTheme="minorHAnsi" w:hAnsiTheme="minorHAnsi"/>
              </w:rPr>
            </w:pPr>
          </w:p>
        </w:tc>
        <w:tc>
          <w:tcPr>
            <w:tcW w:w="5932" w:type="dxa"/>
          </w:tcPr>
          <w:p w14:paraId="5AA6EB95" w14:textId="77777777" w:rsidR="00861793" w:rsidRPr="002C4292" w:rsidRDefault="00861793" w:rsidP="002E4DAA">
            <w:pPr>
              <w:jc w:val="both"/>
              <w:rPr>
                <w:rFonts w:asciiTheme="minorHAnsi" w:hAnsiTheme="minorHAnsi"/>
                <w:sz w:val="22"/>
                <w:szCs w:val="22"/>
              </w:rPr>
            </w:pPr>
            <w:r w:rsidRPr="002C4292">
              <w:rPr>
                <w:rFonts w:asciiTheme="minorHAnsi" w:hAnsiTheme="minorHAnsi"/>
                <w:sz w:val="22"/>
                <w:szCs w:val="22"/>
              </w:rPr>
              <w:t xml:space="preserve">Information Behaviour  </w:t>
            </w:r>
          </w:p>
        </w:tc>
        <w:tc>
          <w:tcPr>
            <w:tcW w:w="1491" w:type="dxa"/>
          </w:tcPr>
          <w:p w14:paraId="50A8A2EC" w14:textId="77777777" w:rsidR="00861793" w:rsidRPr="007352DA" w:rsidRDefault="007352DA" w:rsidP="002E4DAA">
            <w:pPr>
              <w:jc w:val="both"/>
              <w:rPr>
                <w:rFonts w:asciiTheme="minorHAnsi" w:hAnsiTheme="minorHAnsi"/>
                <w:sz w:val="22"/>
                <w:szCs w:val="22"/>
              </w:rPr>
            </w:pPr>
            <w:r w:rsidRPr="007352DA">
              <w:rPr>
                <w:rFonts w:asciiTheme="minorHAnsi" w:hAnsiTheme="minorHAnsi"/>
                <w:sz w:val="22"/>
                <w:szCs w:val="22"/>
              </w:rPr>
              <w:t>*</w:t>
            </w:r>
          </w:p>
        </w:tc>
      </w:tr>
      <w:tr w:rsidR="00861793" w:rsidRPr="000E3051" w14:paraId="5313FDF7" w14:textId="77777777" w:rsidTr="007352DA">
        <w:trPr>
          <w:jc w:val="center"/>
        </w:trPr>
        <w:tc>
          <w:tcPr>
            <w:tcW w:w="2122" w:type="dxa"/>
            <w:vMerge/>
          </w:tcPr>
          <w:p w14:paraId="55DD858E" w14:textId="77777777" w:rsidR="00861793" w:rsidRPr="007D4A0F" w:rsidRDefault="00861793" w:rsidP="002E4DAA">
            <w:pPr>
              <w:rPr>
                <w:rFonts w:asciiTheme="minorHAnsi" w:hAnsiTheme="minorHAnsi"/>
              </w:rPr>
            </w:pPr>
          </w:p>
        </w:tc>
        <w:tc>
          <w:tcPr>
            <w:tcW w:w="5932" w:type="dxa"/>
          </w:tcPr>
          <w:p w14:paraId="2E598801" w14:textId="77777777" w:rsidR="00861793" w:rsidRPr="002C4292" w:rsidRDefault="00861793" w:rsidP="002E4DAA">
            <w:pPr>
              <w:jc w:val="both"/>
              <w:rPr>
                <w:rFonts w:asciiTheme="minorHAnsi" w:hAnsiTheme="minorHAnsi"/>
                <w:sz w:val="22"/>
                <w:szCs w:val="22"/>
              </w:rPr>
            </w:pPr>
            <w:r w:rsidRPr="002C4292">
              <w:rPr>
                <w:rFonts w:asciiTheme="minorHAnsi" w:hAnsiTheme="minorHAnsi"/>
                <w:sz w:val="22"/>
                <w:szCs w:val="22"/>
              </w:rPr>
              <w:t>Impact</w:t>
            </w:r>
          </w:p>
        </w:tc>
        <w:tc>
          <w:tcPr>
            <w:tcW w:w="1491" w:type="dxa"/>
          </w:tcPr>
          <w:p w14:paraId="3BC36C06" w14:textId="77777777" w:rsidR="00861793" w:rsidRPr="007352DA" w:rsidRDefault="007352DA" w:rsidP="002E4DAA">
            <w:pPr>
              <w:jc w:val="both"/>
              <w:rPr>
                <w:rFonts w:asciiTheme="minorHAnsi" w:hAnsiTheme="minorHAnsi"/>
                <w:sz w:val="22"/>
                <w:szCs w:val="22"/>
              </w:rPr>
            </w:pPr>
            <w:r w:rsidRPr="007352DA">
              <w:rPr>
                <w:rFonts w:asciiTheme="minorHAnsi" w:hAnsiTheme="minorHAnsi"/>
                <w:sz w:val="22"/>
                <w:szCs w:val="22"/>
              </w:rPr>
              <w:t>*</w:t>
            </w:r>
          </w:p>
        </w:tc>
      </w:tr>
      <w:tr w:rsidR="0081770E" w:rsidRPr="000E3051" w14:paraId="2580F160" w14:textId="77777777" w:rsidTr="007352DA">
        <w:trPr>
          <w:jc w:val="center"/>
        </w:trPr>
        <w:tc>
          <w:tcPr>
            <w:tcW w:w="2122" w:type="dxa"/>
            <w:vMerge/>
          </w:tcPr>
          <w:p w14:paraId="4102DA20" w14:textId="77777777" w:rsidR="0081770E" w:rsidRPr="007D4A0F" w:rsidRDefault="0081770E" w:rsidP="002E4DAA">
            <w:pPr>
              <w:rPr>
                <w:rFonts w:asciiTheme="minorHAnsi" w:hAnsiTheme="minorHAnsi"/>
              </w:rPr>
            </w:pPr>
          </w:p>
        </w:tc>
        <w:tc>
          <w:tcPr>
            <w:tcW w:w="5932" w:type="dxa"/>
          </w:tcPr>
          <w:p w14:paraId="2576DEF5" w14:textId="77777777" w:rsidR="0081770E" w:rsidRPr="002C4292" w:rsidRDefault="007D4A0F" w:rsidP="002E4DAA">
            <w:pPr>
              <w:jc w:val="both"/>
              <w:rPr>
                <w:rFonts w:asciiTheme="minorHAnsi" w:hAnsiTheme="minorHAnsi"/>
                <w:sz w:val="22"/>
                <w:szCs w:val="22"/>
              </w:rPr>
            </w:pPr>
            <w:r w:rsidRPr="002C4292">
              <w:rPr>
                <w:rFonts w:asciiTheme="minorHAnsi" w:hAnsiTheme="minorHAnsi"/>
                <w:sz w:val="22"/>
                <w:szCs w:val="22"/>
              </w:rPr>
              <w:t>Information as agent of change</w:t>
            </w:r>
          </w:p>
        </w:tc>
        <w:tc>
          <w:tcPr>
            <w:tcW w:w="1491" w:type="dxa"/>
          </w:tcPr>
          <w:p w14:paraId="5C5434F8" w14:textId="77777777" w:rsidR="0081770E" w:rsidRPr="007352DA" w:rsidRDefault="0081770E" w:rsidP="002E4DAA">
            <w:pPr>
              <w:jc w:val="both"/>
              <w:rPr>
                <w:rFonts w:asciiTheme="minorHAnsi" w:hAnsiTheme="minorHAnsi"/>
                <w:sz w:val="22"/>
                <w:szCs w:val="22"/>
              </w:rPr>
            </w:pPr>
          </w:p>
        </w:tc>
      </w:tr>
      <w:tr w:rsidR="00861793" w:rsidRPr="000E3051" w14:paraId="3C6CD276" w14:textId="77777777" w:rsidTr="007352DA">
        <w:trPr>
          <w:jc w:val="center"/>
        </w:trPr>
        <w:tc>
          <w:tcPr>
            <w:tcW w:w="2122" w:type="dxa"/>
            <w:vMerge/>
          </w:tcPr>
          <w:p w14:paraId="5EB8BD33" w14:textId="77777777" w:rsidR="00861793" w:rsidRPr="007D4A0F" w:rsidRDefault="00861793" w:rsidP="002E4DAA">
            <w:pPr>
              <w:rPr>
                <w:rFonts w:asciiTheme="minorHAnsi" w:hAnsiTheme="minorHAnsi"/>
              </w:rPr>
            </w:pPr>
          </w:p>
        </w:tc>
        <w:tc>
          <w:tcPr>
            <w:tcW w:w="5932" w:type="dxa"/>
          </w:tcPr>
          <w:p w14:paraId="703F38BF" w14:textId="77777777" w:rsidR="00861793" w:rsidRPr="002C4292" w:rsidRDefault="00861793" w:rsidP="002E4DAA">
            <w:pPr>
              <w:jc w:val="both"/>
              <w:rPr>
                <w:rFonts w:asciiTheme="minorHAnsi" w:hAnsiTheme="minorHAnsi"/>
                <w:sz w:val="22"/>
                <w:szCs w:val="22"/>
              </w:rPr>
            </w:pPr>
            <w:r w:rsidRPr="002C4292">
              <w:rPr>
                <w:rFonts w:asciiTheme="minorHAnsi" w:hAnsiTheme="minorHAnsi"/>
                <w:sz w:val="22"/>
                <w:szCs w:val="22"/>
              </w:rPr>
              <w:t xml:space="preserve">Methodological Paper  </w:t>
            </w:r>
          </w:p>
        </w:tc>
        <w:tc>
          <w:tcPr>
            <w:tcW w:w="1491" w:type="dxa"/>
          </w:tcPr>
          <w:p w14:paraId="4470F4D1" w14:textId="77777777" w:rsidR="00861793" w:rsidRPr="007352DA" w:rsidRDefault="007352DA" w:rsidP="002E4DAA">
            <w:pPr>
              <w:jc w:val="both"/>
              <w:rPr>
                <w:rFonts w:asciiTheme="minorHAnsi" w:hAnsiTheme="minorHAnsi"/>
                <w:sz w:val="22"/>
                <w:szCs w:val="22"/>
              </w:rPr>
            </w:pPr>
            <w:r w:rsidRPr="007352DA">
              <w:rPr>
                <w:rFonts w:asciiTheme="minorHAnsi" w:hAnsiTheme="minorHAnsi"/>
                <w:sz w:val="22"/>
                <w:szCs w:val="22"/>
              </w:rPr>
              <w:t>*</w:t>
            </w:r>
          </w:p>
        </w:tc>
      </w:tr>
      <w:tr w:rsidR="00861793" w:rsidRPr="000E3051" w14:paraId="15508AC8" w14:textId="77777777" w:rsidTr="007352DA">
        <w:trPr>
          <w:jc w:val="center"/>
        </w:trPr>
        <w:tc>
          <w:tcPr>
            <w:tcW w:w="2122" w:type="dxa"/>
          </w:tcPr>
          <w:p w14:paraId="35D2DF38" w14:textId="77777777" w:rsidR="00861793" w:rsidRPr="000E3051" w:rsidRDefault="00861793" w:rsidP="002E4DAA">
            <w:pPr>
              <w:rPr>
                <w:rFonts w:asciiTheme="minorHAnsi" w:hAnsiTheme="minorHAnsi"/>
              </w:rPr>
            </w:pPr>
            <w:r w:rsidRPr="000E3051">
              <w:rPr>
                <w:rFonts w:asciiTheme="minorHAnsi" w:hAnsiTheme="minorHAnsi"/>
                <w:sz w:val="22"/>
                <w:szCs w:val="22"/>
              </w:rPr>
              <w:t>Abstract (Please check Call for Papers for requirements):</w:t>
            </w:r>
          </w:p>
        </w:tc>
        <w:tc>
          <w:tcPr>
            <w:tcW w:w="7423" w:type="dxa"/>
            <w:gridSpan w:val="2"/>
          </w:tcPr>
          <w:p w14:paraId="75CA45D3" w14:textId="77777777" w:rsidR="00C21691" w:rsidRPr="008C7A0B" w:rsidRDefault="00C21691" w:rsidP="007352DA">
            <w:pPr>
              <w:pStyle w:val="Default"/>
              <w:ind w:right="720"/>
              <w:rPr>
                <w:rFonts w:asciiTheme="minorHAnsi" w:hAnsiTheme="minorHAnsi"/>
                <w:b/>
              </w:rPr>
            </w:pPr>
            <w:r w:rsidRPr="008C7A0B">
              <w:rPr>
                <w:rFonts w:asciiTheme="minorHAnsi" w:hAnsiTheme="minorHAnsi"/>
                <w:b/>
              </w:rPr>
              <w:t>Introduction</w:t>
            </w:r>
          </w:p>
          <w:p w14:paraId="6BE5B1BA" w14:textId="689AC797" w:rsidR="007352DA" w:rsidRDefault="00F712D1" w:rsidP="007352DA">
            <w:pPr>
              <w:pStyle w:val="Default"/>
              <w:ind w:right="720"/>
              <w:rPr>
                <w:rFonts w:asciiTheme="minorHAnsi" w:hAnsiTheme="minorHAnsi"/>
              </w:rPr>
            </w:pPr>
            <w:r>
              <w:rPr>
                <w:rFonts w:asciiTheme="minorHAnsi" w:hAnsiTheme="minorHAnsi"/>
              </w:rPr>
              <w:t>This paper presents the</w:t>
            </w:r>
            <w:r w:rsidR="00C21691">
              <w:rPr>
                <w:rFonts w:asciiTheme="minorHAnsi" w:hAnsiTheme="minorHAnsi"/>
              </w:rPr>
              <w:t xml:space="preserve"> </w:t>
            </w:r>
            <w:r w:rsidR="007352DA" w:rsidRPr="007352DA">
              <w:rPr>
                <w:rFonts w:asciiTheme="minorHAnsi" w:hAnsiTheme="minorHAnsi"/>
              </w:rPr>
              <w:t xml:space="preserve">findings </w:t>
            </w:r>
            <w:r>
              <w:rPr>
                <w:rFonts w:asciiTheme="minorHAnsi" w:hAnsiTheme="minorHAnsi"/>
              </w:rPr>
              <w:t xml:space="preserve">of </w:t>
            </w:r>
            <w:r w:rsidR="007352DA" w:rsidRPr="007352DA">
              <w:rPr>
                <w:rFonts w:asciiTheme="minorHAnsi" w:hAnsiTheme="minorHAnsi"/>
              </w:rPr>
              <w:t xml:space="preserve">a research project </w:t>
            </w:r>
            <w:r w:rsidR="00C21691">
              <w:rPr>
                <w:rFonts w:asciiTheme="minorHAnsi" w:hAnsiTheme="minorHAnsi"/>
              </w:rPr>
              <w:t xml:space="preserve">that </w:t>
            </w:r>
            <w:r w:rsidR="00C21691" w:rsidRPr="007352DA">
              <w:rPr>
                <w:rFonts w:asciiTheme="minorHAnsi" w:hAnsiTheme="minorHAnsi"/>
              </w:rPr>
              <w:t>seek</w:t>
            </w:r>
            <w:r w:rsidR="00C21691">
              <w:rPr>
                <w:rFonts w:asciiTheme="minorHAnsi" w:hAnsiTheme="minorHAnsi"/>
              </w:rPr>
              <w:t>s</w:t>
            </w:r>
            <w:r w:rsidR="00C21691" w:rsidRPr="007352DA">
              <w:rPr>
                <w:rFonts w:asciiTheme="minorHAnsi" w:hAnsiTheme="minorHAnsi"/>
              </w:rPr>
              <w:t xml:space="preserve"> </w:t>
            </w:r>
            <w:r w:rsidR="007352DA" w:rsidRPr="007352DA">
              <w:rPr>
                <w:rFonts w:asciiTheme="minorHAnsi" w:hAnsiTheme="minorHAnsi"/>
              </w:rPr>
              <w:t xml:space="preserve">to understand how public libraries operate and demonstrate value and </w:t>
            </w:r>
            <w:r>
              <w:rPr>
                <w:rFonts w:asciiTheme="minorHAnsi" w:hAnsiTheme="minorHAnsi"/>
              </w:rPr>
              <w:t xml:space="preserve">social </w:t>
            </w:r>
            <w:r w:rsidR="007352DA" w:rsidRPr="007352DA">
              <w:rPr>
                <w:rFonts w:asciiTheme="minorHAnsi" w:hAnsiTheme="minorHAnsi"/>
              </w:rPr>
              <w:t>impact</w:t>
            </w:r>
            <w:r w:rsidR="00831A0A">
              <w:rPr>
                <w:rFonts w:asciiTheme="minorHAnsi" w:hAnsiTheme="minorHAnsi"/>
              </w:rPr>
              <w:t>.</w:t>
            </w:r>
            <w:r w:rsidR="007352DA" w:rsidRPr="007352DA">
              <w:rPr>
                <w:rFonts w:asciiTheme="minorHAnsi" w:hAnsiTheme="minorHAnsi"/>
              </w:rPr>
              <w:t xml:space="preserve"> Th</w:t>
            </w:r>
            <w:r w:rsidR="00831A0A">
              <w:rPr>
                <w:rFonts w:asciiTheme="minorHAnsi" w:hAnsiTheme="minorHAnsi"/>
              </w:rPr>
              <w:t>e</w:t>
            </w:r>
            <w:r w:rsidR="007352DA" w:rsidRPr="007352DA">
              <w:rPr>
                <w:rFonts w:asciiTheme="minorHAnsi" w:hAnsiTheme="minorHAnsi"/>
              </w:rPr>
              <w:t xml:space="preserve"> research considers how the </w:t>
            </w:r>
            <w:r>
              <w:rPr>
                <w:rFonts w:asciiTheme="minorHAnsi" w:hAnsiTheme="minorHAnsi"/>
              </w:rPr>
              <w:t xml:space="preserve">multi-functionality and social impact of </w:t>
            </w:r>
            <w:r w:rsidR="007352DA" w:rsidRPr="007352DA">
              <w:rPr>
                <w:rFonts w:asciiTheme="minorHAnsi" w:hAnsiTheme="minorHAnsi"/>
              </w:rPr>
              <w:t>public libraries can be measured within a values framework</w:t>
            </w:r>
            <w:r w:rsidR="00831A0A">
              <w:rPr>
                <w:rFonts w:asciiTheme="minorHAnsi" w:hAnsiTheme="minorHAnsi"/>
              </w:rPr>
              <w:t>, focusing</w:t>
            </w:r>
            <w:r>
              <w:rPr>
                <w:rFonts w:asciiTheme="minorHAnsi" w:hAnsiTheme="minorHAnsi"/>
              </w:rPr>
              <w:t xml:space="preserve"> on citizenship development</w:t>
            </w:r>
            <w:r w:rsidR="007352DA" w:rsidRPr="007352DA">
              <w:rPr>
                <w:rFonts w:asciiTheme="minorHAnsi" w:hAnsiTheme="minorHAnsi"/>
              </w:rPr>
              <w:t xml:space="preserve">. </w:t>
            </w:r>
            <w:r w:rsidR="00C21691">
              <w:rPr>
                <w:rFonts w:asciiTheme="minorHAnsi" w:hAnsiTheme="minorHAnsi"/>
              </w:rPr>
              <w:t xml:space="preserve">The focus of the paper </w:t>
            </w:r>
            <w:r>
              <w:rPr>
                <w:rFonts w:asciiTheme="minorHAnsi" w:hAnsiTheme="minorHAnsi"/>
              </w:rPr>
              <w:t>is</w:t>
            </w:r>
            <w:r w:rsidR="00C21691">
              <w:rPr>
                <w:rFonts w:asciiTheme="minorHAnsi" w:hAnsiTheme="minorHAnsi"/>
              </w:rPr>
              <w:t xml:space="preserve"> the </w:t>
            </w:r>
            <w:r w:rsidR="007352DA" w:rsidRPr="007352DA">
              <w:rPr>
                <w:rFonts w:asciiTheme="minorHAnsi" w:hAnsiTheme="minorHAnsi"/>
              </w:rPr>
              <w:t xml:space="preserve">findings </w:t>
            </w:r>
            <w:r w:rsidR="00C21691">
              <w:rPr>
                <w:rFonts w:asciiTheme="minorHAnsi" w:hAnsiTheme="minorHAnsi"/>
              </w:rPr>
              <w:t>from</w:t>
            </w:r>
            <w:r w:rsidR="007352DA" w:rsidRPr="007352DA">
              <w:rPr>
                <w:rFonts w:asciiTheme="minorHAnsi" w:hAnsiTheme="minorHAnsi"/>
              </w:rPr>
              <w:t xml:space="preserve"> </w:t>
            </w:r>
            <w:r w:rsidR="004A5B5C">
              <w:rPr>
                <w:rFonts w:asciiTheme="minorHAnsi" w:hAnsiTheme="minorHAnsi"/>
              </w:rPr>
              <w:t>sixteen</w:t>
            </w:r>
            <w:r w:rsidR="007352DA" w:rsidRPr="007352DA">
              <w:rPr>
                <w:rFonts w:asciiTheme="minorHAnsi" w:hAnsiTheme="minorHAnsi"/>
              </w:rPr>
              <w:t xml:space="preserve"> focus groups conducted </w:t>
            </w:r>
            <w:r w:rsidR="00C21691">
              <w:rPr>
                <w:rFonts w:asciiTheme="minorHAnsi" w:hAnsiTheme="minorHAnsi"/>
              </w:rPr>
              <w:t>with</w:t>
            </w:r>
            <w:r w:rsidR="007352DA" w:rsidRPr="007352DA">
              <w:rPr>
                <w:rFonts w:asciiTheme="minorHAnsi" w:hAnsiTheme="minorHAnsi"/>
              </w:rPr>
              <w:t xml:space="preserve"> UK public </w:t>
            </w:r>
            <w:r w:rsidR="007352DA">
              <w:rPr>
                <w:rFonts w:asciiTheme="minorHAnsi" w:hAnsiTheme="minorHAnsi"/>
              </w:rPr>
              <w:t>librar</w:t>
            </w:r>
            <w:r w:rsidR="00C21691">
              <w:rPr>
                <w:rFonts w:asciiTheme="minorHAnsi" w:hAnsiTheme="minorHAnsi"/>
              </w:rPr>
              <w:t xml:space="preserve">y users </w:t>
            </w:r>
            <w:r w:rsidR="004A5B5C">
              <w:rPr>
                <w:rFonts w:asciiTheme="minorHAnsi" w:hAnsiTheme="minorHAnsi"/>
              </w:rPr>
              <w:t>during</w:t>
            </w:r>
            <w:r w:rsidR="00C21691">
              <w:rPr>
                <w:rFonts w:asciiTheme="minorHAnsi" w:hAnsiTheme="minorHAnsi"/>
              </w:rPr>
              <w:t xml:space="preserve"> </w:t>
            </w:r>
            <w:r w:rsidR="007352DA">
              <w:rPr>
                <w:rFonts w:asciiTheme="minorHAnsi" w:hAnsiTheme="minorHAnsi"/>
              </w:rPr>
              <w:t>2015 and 2016.</w:t>
            </w:r>
          </w:p>
          <w:p w14:paraId="65E012FF" w14:textId="77777777" w:rsidR="007352DA" w:rsidRPr="007352DA" w:rsidRDefault="007352DA" w:rsidP="007352DA">
            <w:pPr>
              <w:pStyle w:val="Default"/>
              <w:ind w:right="720"/>
              <w:rPr>
                <w:rFonts w:asciiTheme="minorHAnsi" w:hAnsiTheme="minorHAnsi"/>
              </w:rPr>
            </w:pPr>
          </w:p>
          <w:p w14:paraId="6045A62A" w14:textId="77777777" w:rsidR="00C21691" w:rsidRPr="008C7A0B" w:rsidRDefault="00C21691" w:rsidP="007352DA">
            <w:pPr>
              <w:pStyle w:val="Default"/>
              <w:ind w:right="720"/>
              <w:rPr>
                <w:rFonts w:asciiTheme="minorHAnsi" w:hAnsiTheme="minorHAnsi"/>
                <w:b/>
              </w:rPr>
            </w:pPr>
            <w:r>
              <w:rPr>
                <w:rFonts w:asciiTheme="minorHAnsi" w:hAnsiTheme="minorHAnsi"/>
                <w:b/>
              </w:rPr>
              <w:t>Literature review</w:t>
            </w:r>
          </w:p>
          <w:p w14:paraId="5DBD8CEB" w14:textId="15B0EC1E" w:rsidR="00F712D1" w:rsidRDefault="00F712D1" w:rsidP="00F712D1">
            <w:pPr>
              <w:pStyle w:val="Default"/>
              <w:ind w:right="720"/>
              <w:rPr>
                <w:rFonts w:asciiTheme="minorHAnsi" w:hAnsiTheme="minorHAnsi"/>
              </w:rPr>
            </w:pPr>
            <w:r w:rsidRPr="00F712D1">
              <w:rPr>
                <w:rFonts w:asciiTheme="minorHAnsi" w:hAnsiTheme="minorHAnsi"/>
              </w:rPr>
              <w:t>Many public library comm</w:t>
            </w:r>
            <w:r w:rsidR="00831A0A">
              <w:rPr>
                <w:rFonts w:asciiTheme="minorHAnsi" w:hAnsiTheme="minorHAnsi"/>
              </w:rPr>
              <w:t xml:space="preserve">entators write </w:t>
            </w:r>
            <w:r w:rsidRPr="00F712D1">
              <w:rPr>
                <w:rFonts w:asciiTheme="minorHAnsi" w:hAnsiTheme="minorHAnsi"/>
              </w:rPr>
              <w:t xml:space="preserve">about public </w:t>
            </w:r>
            <w:r w:rsidR="00831A0A">
              <w:rPr>
                <w:rFonts w:asciiTheme="minorHAnsi" w:hAnsiTheme="minorHAnsi"/>
              </w:rPr>
              <w:t xml:space="preserve">libraries </w:t>
            </w:r>
            <w:r w:rsidRPr="00F712D1">
              <w:rPr>
                <w:rFonts w:asciiTheme="minorHAnsi" w:hAnsiTheme="minorHAnsi"/>
              </w:rPr>
              <w:t xml:space="preserve">as being at the centre of their society. Brophy suggests that “libraries are at the heart of social systems; they exist to serve the needs of people, to help them live, learn and develop and to act as part of the social glue which holds communities together” (Brophy, 2006, p. 3). In an earlier study </w:t>
            </w:r>
            <w:r w:rsidRPr="00F712D1">
              <w:rPr>
                <w:rFonts w:asciiTheme="minorHAnsi" w:hAnsiTheme="minorHAnsi"/>
              </w:rPr>
              <w:lastRenderedPageBreak/>
              <w:t>Brophy (2001) examines what constitutes a contemporary library service and argues that ‘libraries provide a very wide variety of activities and services for people in all walks of life’ and that the key concepts of this activity are “education, information storage and retrieval, and the transmission of knowledge.” (Brophy, 2001, p. 14). Similarly, Totterdell (2005) discusses the contemporary role of the library in society and suggests that the traditional public library in the UK has been based on four keystones: culture, education, leisure and recreation, and information</w:t>
            </w:r>
            <w:r>
              <w:rPr>
                <w:rFonts w:asciiTheme="minorHAnsi" w:hAnsiTheme="minorHAnsi"/>
              </w:rPr>
              <w:t>.</w:t>
            </w:r>
            <w:r w:rsidRPr="00F712D1">
              <w:rPr>
                <w:rFonts w:asciiTheme="minorHAnsi" w:hAnsiTheme="minorHAnsi"/>
              </w:rPr>
              <w:t xml:space="preserve"> This suggests a multi-functional role for the public library spanning across different types of community provision. The idea of public libraries having this variety of societal roles means that they have different types of impact and value depending upon who is using them and for what purpose. In effect</w:t>
            </w:r>
            <w:r>
              <w:rPr>
                <w:rFonts w:asciiTheme="minorHAnsi" w:hAnsiTheme="minorHAnsi"/>
              </w:rPr>
              <w:t>,</w:t>
            </w:r>
            <w:r w:rsidRPr="00F712D1">
              <w:rPr>
                <w:rFonts w:asciiTheme="minorHAnsi" w:hAnsiTheme="minorHAnsi"/>
              </w:rPr>
              <w:t xml:space="preserve"> it gives public libraries a greater outreach than would be possible if they fulfilled only o</w:t>
            </w:r>
            <w:r w:rsidR="00831A0A">
              <w:rPr>
                <w:rFonts w:asciiTheme="minorHAnsi" w:hAnsiTheme="minorHAnsi"/>
              </w:rPr>
              <w:t>ne of the functions identified.</w:t>
            </w:r>
            <w:r w:rsidRPr="00F712D1">
              <w:rPr>
                <w:rFonts w:asciiTheme="minorHAnsi" w:hAnsiTheme="minorHAnsi"/>
              </w:rPr>
              <w:t xml:space="preserve"> These commentaries discuss the contemporary public library as a social entity with values around knowledge provision and discovery, support and assistance and accessibility</w:t>
            </w:r>
            <w:r>
              <w:rPr>
                <w:rFonts w:asciiTheme="minorHAnsi" w:hAnsiTheme="minorHAnsi"/>
              </w:rPr>
              <w:t>.</w:t>
            </w:r>
            <w:r w:rsidRPr="00F712D1">
              <w:rPr>
                <w:rFonts w:asciiTheme="minorHAnsi" w:hAnsiTheme="minorHAnsi"/>
              </w:rPr>
              <w:t xml:space="preserve"> This particular theme suggests that in </w:t>
            </w:r>
            <w:r w:rsidR="00831A0A">
              <w:rPr>
                <w:rFonts w:asciiTheme="minorHAnsi" w:hAnsiTheme="minorHAnsi"/>
              </w:rPr>
              <w:t>their</w:t>
            </w:r>
            <w:r w:rsidRPr="00F712D1">
              <w:rPr>
                <w:rFonts w:asciiTheme="minorHAnsi" w:hAnsiTheme="minorHAnsi"/>
              </w:rPr>
              <w:t xml:space="preserve"> multi-functional and societal role</w:t>
            </w:r>
            <w:r w:rsidR="00831A0A">
              <w:rPr>
                <w:rFonts w:asciiTheme="minorHAnsi" w:hAnsiTheme="minorHAnsi"/>
              </w:rPr>
              <w:t>s</w:t>
            </w:r>
            <w:r w:rsidRPr="00F712D1">
              <w:rPr>
                <w:rFonts w:asciiTheme="minorHAnsi" w:hAnsiTheme="minorHAnsi"/>
              </w:rPr>
              <w:t xml:space="preserve">, public libraries can benefit and advantage </w:t>
            </w:r>
            <w:r w:rsidR="00831A0A">
              <w:rPr>
                <w:rFonts w:asciiTheme="minorHAnsi" w:hAnsiTheme="minorHAnsi"/>
              </w:rPr>
              <w:t>their users.</w:t>
            </w:r>
          </w:p>
          <w:p w14:paraId="516BA880" w14:textId="77777777" w:rsidR="00F712D1" w:rsidRPr="00F712D1" w:rsidRDefault="00F712D1" w:rsidP="00F712D1">
            <w:pPr>
              <w:pStyle w:val="Default"/>
              <w:ind w:right="720"/>
              <w:rPr>
                <w:rFonts w:asciiTheme="minorHAnsi" w:hAnsiTheme="minorHAnsi"/>
              </w:rPr>
            </w:pPr>
          </w:p>
          <w:p w14:paraId="3F853848" w14:textId="3F33CC0C" w:rsidR="00F712D1" w:rsidRDefault="00F712D1" w:rsidP="00F712D1">
            <w:pPr>
              <w:pStyle w:val="Default"/>
              <w:ind w:right="720"/>
              <w:rPr>
                <w:rFonts w:asciiTheme="minorHAnsi" w:hAnsiTheme="minorHAnsi"/>
              </w:rPr>
            </w:pPr>
            <w:r w:rsidRPr="00F712D1">
              <w:rPr>
                <w:rFonts w:asciiTheme="minorHAnsi" w:hAnsiTheme="minorHAnsi"/>
              </w:rPr>
              <w:t>The measu</w:t>
            </w:r>
            <w:r w:rsidR="00831A0A">
              <w:rPr>
                <w:rFonts w:asciiTheme="minorHAnsi" w:hAnsiTheme="minorHAnsi"/>
              </w:rPr>
              <w:t>rement of library performance to demonstrate</w:t>
            </w:r>
            <w:r w:rsidRPr="00F712D1">
              <w:rPr>
                <w:rFonts w:asciiTheme="minorHAnsi" w:hAnsiTheme="minorHAnsi"/>
              </w:rPr>
              <w:t xml:space="preserve"> value and impact, has become a significant sub-discipline of library and information services management. Understanding the library user, their demands and expectations is essential for identifying success criteria and impact indicators (Hernon &amp; Altman, 2010, p. 10). Markless and Streatfield (2006) illustrate how meaningful success criteria need to be set around outcomes of library usage and that libraries need to demonstrate beneficial ‘outcomes’ to their users. Examples of such outcomes could be around: knowledge gained by users; higher information literacy competencies; higher academic or professional success; social inclusion; or, an increase in individual wellbeing (Poll &amp; Payne, 2006, p. 550). Similarly, social impact is frequently associated with public library services and the impact that they have on their communities and constituents (Kerslake &amp; Kinnel, 1997, p.12).</w:t>
            </w:r>
          </w:p>
          <w:p w14:paraId="2A2C1669" w14:textId="77777777" w:rsidR="00F712D1" w:rsidRDefault="00F712D1" w:rsidP="007352DA">
            <w:pPr>
              <w:pStyle w:val="Default"/>
              <w:ind w:right="720"/>
              <w:rPr>
                <w:rFonts w:asciiTheme="minorHAnsi" w:hAnsiTheme="minorHAnsi"/>
              </w:rPr>
            </w:pPr>
          </w:p>
          <w:p w14:paraId="79BEE829" w14:textId="38ACAF3D" w:rsidR="0099038C" w:rsidRDefault="0099038C" w:rsidP="0099038C">
            <w:pPr>
              <w:pStyle w:val="Default"/>
              <w:ind w:right="720"/>
              <w:rPr>
                <w:rFonts w:asciiTheme="minorHAnsi" w:hAnsiTheme="minorHAnsi"/>
              </w:rPr>
            </w:pPr>
            <w:r>
              <w:rPr>
                <w:rFonts w:asciiTheme="minorHAnsi" w:hAnsiTheme="minorHAnsi"/>
              </w:rPr>
              <w:t xml:space="preserve">Being able to demonstrate the impact and value of public libraries is fundamental to public libraries achieving their mission. For example, the Scottish Libraries and Information Council (SLIC) has developed a framework called </w:t>
            </w:r>
            <w:r w:rsidRPr="00382AD2">
              <w:rPr>
                <w:rFonts w:asciiTheme="minorHAnsi" w:hAnsiTheme="minorHAnsi"/>
                <w:i/>
              </w:rPr>
              <w:t>How Good is Our Public Library Service</w:t>
            </w:r>
            <w:r>
              <w:rPr>
                <w:rFonts w:asciiTheme="minorHAnsi" w:hAnsiTheme="minorHAnsi"/>
              </w:rPr>
              <w:t xml:space="preserve"> which is intended to help demonstrate the impact libraries have on communities (SLIC, 201</w:t>
            </w:r>
            <w:r w:rsidR="00F2455E">
              <w:rPr>
                <w:rFonts w:asciiTheme="minorHAnsi" w:hAnsiTheme="minorHAnsi"/>
              </w:rPr>
              <w:t>5</w:t>
            </w:r>
            <w:r>
              <w:rPr>
                <w:rFonts w:asciiTheme="minorHAnsi" w:hAnsiTheme="minorHAnsi"/>
              </w:rPr>
              <w:t>). Such activity is now regarded essential at national levels and there is an increasing body of research and literature</w:t>
            </w:r>
            <w:r w:rsidR="00382AD2">
              <w:rPr>
                <w:rFonts w:asciiTheme="minorHAnsi" w:hAnsiTheme="minorHAnsi"/>
              </w:rPr>
              <w:t>,</w:t>
            </w:r>
            <w:r>
              <w:rPr>
                <w:rFonts w:asciiTheme="minorHAnsi" w:hAnsiTheme="minorHAnsi"/>
              </w:rPr>
              <w:t xml:space="preserve"> which discusses how important it is to be able to analyse public library outcomes and the larger social role that they play on a national level. For example, Vakkari et al (2015) compare the perceived benefits of public library usage across five culturally different countries (Finland, Norway, the Netherlands, South Korea and the USA)</w:t>
            </w:r>
            <w:r w:rsidR="00382AD2">
              <w:rPr>
                <w:rFonts w:asciiTheme="minorHAnsi" w:hAnsiTheme="minorHAnsi"/>
              </w:rPr>
              <w:t>,</w:t>
            </w:r>
            <w:r>
              <w:rPr>
                <w:rFonts w:asciiTheme="minorHAnsi" w:hAnsiTheme="minorHAnsi"/>
              </w:rPr>
              <w:t xml:space="preserve"> and in doing so discuss the differences in societal outcomes for the public library services in each of these countries, as being determined by the individual nations’ social requirements from their library services. Another particular case study that stands out is that of Denmark, where a national initiative to introduce a portfolio of ‘citizen service’ was rolled out across the entire Danish public library system as part of its national library strategy (Pors, 2010)</w:t>
            </w:r>
            <w:r w:rsidR="00382AD2">
              <w:rPr>
                <w:rFonts w:asciiTheme="minorHAnsi" w:hAnsiTheme="minorHAnsi"/>
              </w:rPr>
              <w:t>.</w:t>
            </w:r>
          </w:p>
          <w:p w14:paraId="2BDD5353" w14:textId="77777777" w:rsidR="0099038C" w:rsidRDefault="0099038C" w:rsidP="0099038C">
            <w:pPr>
              <w:pStyle w:val="Default"/>
              <w:ind w:right="720"/>
              <w:rPr>
                <w:rFonts w:asciiTheme="minorHAnsi" w:hAnsiTheme="minorHAnsi"/>
              </w:rPr>
            </w:pPr>
          </w:p>
          <w:p w14:paraId="64D25651" w14:textId="77777777" w:rsidR="0099038C" w:rsidRDefault="0099038C" w:rsidP="0099038C">
            <w:pPr>
              <w:pStyle w:val="Default"/>
              <w:ind w:right="720"/>
              <w:rPr>
                <w:rFonts w:asciiTheme="minorHAnsi" w:hAnsiTheme="minorHAnsi"/>
              </w:rPr>
            </w:pPr>
            <w:r w:rsidRPr="007352DA">
              <w:rPr>
                <w:rFonts w:asciiTheme="minorHAnsi" w:hAnsiTheme="minorHAnsi"/>
              </w:rPr>
              <w:t xml:space="preserve">The value of the public library service and the impact that it has on the citizenry that uses it can usefully be measured and demonstrated through identifying such social wellbeing and citizenship development </w:t>
            </w:r>
            <w:r w:rsidRPr="007352DA">
              <w:rPr>
                <w:rFonts w:asciiTheme="minorHAnsi" w:hAnsiTheme="minorHAnsi"/>
              </w:rPr>
              <w:lastRenderedPageBreak/>
              <w:t>outcomes and determining whether active usage of the public library services has afforded these. Therefore, there are two broad research questions to come from the literature:</w:t>
            </w:r>
          </w:p>
          <w:p w14:paraId="1D75A676" w14:textId="77777777" w:rsidR="00094BA0" w:rsidRPr="007352DA" w:rsidRDefault="00094BA0" w:rsidP="007352DA">
            <w:pPr>
              <w:pStyle w:val="Default"/>
              <w:ind w:right="720"/>
              <w:rPr>
                <w:rFonts w:asciiTheme="minorHAnsi" w:hAnsiTheme="minorHAnsi"/>
              </w:rPr>
            </w:pPr>
          </w:p>
          <w:p w14:paraId="457FB6C9" w14:textId="77777777" w:rsidR="007352DA" w:rsidRDefault="00094BA0" w:rsidP="007352DA">
            <w:pPr>
              <w:pStyle w:val="Default"/>
              <w:ind w:right="720"/>
              <w:rPr>
                <w:rFonts w:asciiTheme="minorHAnsi" w:hAnsiTheme="minorHAnsi"/>
              </w:rPr>
            </w:pPr>
            <w:r>
              <w:rPr>
                <w:rFonts w:asciiTheme="minorHAnsi" w:hAnsiTheme="minorHAnsi"/>
              </w:rPr>
              <w:t>•</w:t>
            </w:r>
            <w:r w:rsidR="007352DA" w:rsidRPr="007352DA">
              <w:rPr>
                <w:rFonts w:asciiTheme="minorHAnsi" w:hAnsiTheme="minorHAnsi"/>
              </w:rPr>
              <w:t>To what extent is an individual’s position advantaged or disadvantaged as a result of using public libraries?</w:t>
            </w:r>
          </w:p>
          <w:p w14:paraId="4F942685" w14:textId="77777777" w:rsidR="00094BA0" w:rsidRPr="007352DA" w:rsidRDefault="00094BA0" w:rsidP="007352DA">
            <w:pPr>
              <w:pStyle w:val="Default"/>
              <w:ind w:right="720"/>
              <w:rPr>
                <w:rFonts w:asciiTheme="minorHAnsi" w:hAnsiTheme="minorHAnsi"/>
              </w:rPr>
            </w:pPr>
          </w:p>
          <w:p w14:paraId="01968C92" w14:textId="77777777" w:rsidR="007352DA" w:rsidRPr="007352DA" w:rsidRDefault="00094BA0" w:rsidP="007352DA">
            <w:pPr>
              <w:pStyle w:val="Default"/>
              <w:ind w:right="720"/>
              <w:rPr>
                <w:rFonts w:asciiTheme="minorHAnsi" w:hAnsiTheme="minorHAnsi"/>
              </w:rPr>
            </w:pPr>
            <w:r>
              <w:rPr>
                <w:rFonts w:asciiTheme="minorHAnsi" w:hAnsiTheme="minorHAnsi"/>
              </w:rPr>
              <w:t>•</w:t>
            </w:r>
            <w:r w:rsidR="007352DA" w:rsidRPr="007352DA">
              <w:rPr>
                <w:rFonts w:asciiTheme="minorHAnsi" w:hAnsiTheme="minorHAnsi"/>
              </w:rPr>
              <w:t>What is the impact of using a public library service on individual and community citizenship?</w:t>
            </w:r>
          </w:p>
          <w:p w14:paraId="079B5EC3" w14:textId="77777777" w:rsidR="00094BA0" w:rsidRDefault="00094BA0" w:rsidP="007352DA">
            <w:pPr>
              <w:pStyle w:val="Default"/>
              <w:ind w:right="720"/>
              <w:rPr>
                <w:rFonts w:asciiTheme="minorHAnsi" w:hAnsiTheme="minorHAnsi"/>
              </w:rPr>
            </w:pPr>
          </w:p>
          <w:p w14:paraId="6E8F0846" w14:textId="77777777" w:rsidR="00C63A83" w:rsidRPr="008C7A0B" w:rsidRDefault="00C63A83" w:rsidP="007352DA">
            <w:pPr>
              <w:pStyle w:val="Default"/>
              <w:ind w:right="720"/>
              <w:rPr>
                <w:rFonts w:asciiTheme="minorHAnsi" w:hAnsiTheme="minorHAnsi"/>
                <w:b/>
              </w:rPr>
            </w:pPr>
            <w:r w:rsidRPr="008C7A0B">
              <w:rPr>
                <w:rFonts w:asciiTheme="minorHAnsi" w:hAnsiTheme="minorHAnsi"/>
                <w:b/>
              </w:rPr>
              <w:t>Methods</w:t>
            </w:r>
          </w:p>
          <w:p w14:paraId="003D5BEF" w14:textId="2F1ED94A" w:rsidR="007352DA" w:rsidRDefault="008577E7" w:rsidP="007352DA">
            <w:pPr>
              <w:pStyle w:val="Default"/>
              <w:ind w:right="720"/>
              <w:rPr>
                <w:rFonts w:asciiTheme="minorHAnsi" w:hAnsiTheme="minorHAnsi"/>
              </w:rPr>
            </w:pPr>
            <w:r>
              <w:rPr>
                <w:rFonts w:asciiTheme="minorHAnsi" w:hAnsiTheme="minorHAnsi"/>
              </w:rPr>
              <w:t>A</w:t>
            </w:r>
            <w:r w:rsidR="003356F5">
              <w:rPr>
                <w:rFonts w:asciiTheme="minorHAnsi" w:hAnsiTheme="minorHAnsi"/>
              </w:rPr>
              <w:t xml:space="preserve"> longitudinal</w:t>
            </w:r>
            <w:r w:rsidR="00C63A83">
              <w:rPr>
                <w:rFonts w:asciiTheme="minorHAnsi" w:hAnsiTheme="minorHAnsi"/>
              </w:rPr>
              <w:t xml:space="preserve"> focus group approach has been adopted in this study</w:t>
            </w:r>
            <w:r w:rsidR="007352DA" w:rsidRPr="007352DA">
              <w:rPr>
                <w:rFonts w:asciiTheme="minorHAnsi" w:hAnsiTheme="minorHAnsi"/>
              </w:rPr>
              <w:t xml:space="preserve"> </w:t>
            </w:r>
            <w:r>
              <w:rPr>
                <w:rFonts w:asciiTheme="minorHAnsi" w:hAnsiTheme="minorHAnsi"/>
              </w:rPr>
              <w:t>in order to obtain relevant</w:t>
            </w:r>
            <w:r w:rsidR="007352DA" w:rsidRPr="007352DA">
              <w:rPr>
                <w:rFonts w:asciiTheme="minorHAnsi" w:hAnsiTheme="minorHAnsi"/>
              </w:rPr>
              <w:t xml:space="preserve"> data for </w:t>
            </w:r>
            <w:r w:rsidR="00C63A83">
              <w:rPr>
                <w:rFonts w:asciiTheme="minorHAnsi" w:hAnsiTheme="minorHAnsi"/>
              </w:rPr>
              <w:t>analysis</w:t>
            </w:r>
            <w:r w:rsidR="007352DA" w:rsidRPr="007352DA">
              <w:rPr>
                <w:rFonts w:asciiTheme="minorHAnsi" w:hAnsiTheme="minorHAnsi"/>
              </w:rPr>
              <w:t xml:space="preserve">. </w:t>
            </w:r>
            <w:r w:rsidR="00F712D1">
              <w:rPr>
                <w:rFonts w:asciiTheme="minorHAnsi" w:hAnsiTheme="minorHAnsi"/>
              </w:rPr>
              <w:t>Eight UK local</w:t>
            </w:r>
            <w:r w:rsidR="003356F5">
              <w:rPr>
                <w:rFonts w:asciiTheme="minorHAnsi" w:hAnsiTheme="minorHAnsi"/>
              </w:rPr>
              <w:t xml:space="preserve"> authorities were approached to take part in the study</w:t>
            </w:r>
            <w:r w:rsidR="00F712D1">
              <w:rPr>
                <w:rFonts w:asciiTheme="minorHAnsi" w:hAnsiTheme="minorHAnsi"/>
              </w:rPr>
              <w:t xml:space="preserve"> in order for the research to carried out </w:t>
            </w:r>
            <w:r w:rsidR="000759E6">
              <w:rPr>
                <w:rFonts w:asciiTheme="minorHAnsi" w:hAnsiTheme="minorHAnsi"/>
              </w:rPr>
              <w:t>with</w:t>
            </w:r>
            <w:r w:rsidR="00F712D1">
              <w:rPr>
                <w:rFonts w:asciiTheme="minorHAnsi" w:hAnsiTheme="minorHAnsi"/>
              </w:rPr>
              <w:t>in a sample of representative UK public libraries.</w:t>
            </w:r>
            <w:r w:rsidR="003356F5">
              <w:rPr>
                <w:rFonts w:asciiTheme="minorHAnsi" w:hAnsiTheme="minorHAnsi"/>
              </w:rPr>
              <w:t xml:space="preserve"> </w:t>
            </w:r>
            <w:r w:rsidR="00F712D1">
              <w:rPr>
                <w:rFonts w:asciiTheme="minorHAnsi" w:hAnsiTheme="minorHAnsi"/>
              </w:rPr>
              <w:t>F</w:t>
            </w:r>
            <w:r w:rsidR="003356F5">
              <w:rPr>
                <w:rFonts w:asciiTheme="minorHAnsi" w:hAnsiTheme="minorHAnsi"/>
              </w:rPr>
              <w:t>ocus group</w:t>
            </w:r>
            <w:r>
              <w:rPr>
                <w:rFonts w:asciiTheme="minorHAnsi" w:hAnsiTheme="minorHAnsi"/>
              </w:rPr>
              <w:t>s</w:t>
            </w:r>
            <w:r w:rsidR="003356F5">
              <w:rPr>
                <w:rFonts w:asciiTheme="minorHAnsi" w:hAnsiTheme="minorHAnsi"/>
              </w:rPr>
              <w:t xml:space="preserve">, with up </w:t>
            </w:r>
            <w:r>
              <w:rPr>
                <w:rFonts w:asciiTheme="minorHAnsi" w:hAnsiTheme="minorHAnsi"/>
              </w:rPr>
              <w:t>to ten participants in each, were</w:t>
            </w:r>
            <w:r w:rsidR="003356F5">
              <w:rPr>
                <w:rFonts w:asciiTheme="minorHAnsi" w:hAnsiTheme="minorHAnsi"/>
              </w:rPr>
              <w:t xml:space="preserve"> convened and carried out during 2015-16 as the first phase of the empirical study. Participants </w:t>
            </w:r>
            <w:r w:rsidR="007352DA" w:rsidRPr="007352DA">
              <w:rPr>
                <w:rFonts w:asciiTheme="minorHAnsi" w:hAnsiTheme="minorHAnsi"/>
              </w:rPr>
              <w:t>discuss</w:t>
            </w:r>
            <w:r w:rsidR="003356F5">
              <w:rPr>
                <w:rFonts w:asciiTheme="minorHAnsi" w:hAnsiTheme="minorHAnsi"/>
              </w:rPr>
              <w:t>ed</w:t>
            </w:r>
            <w:r w:rsidR="007352DA" w:rsidRPr="007352DA">
              <w:rPr>
                <w:rFonts w:asciiTheme="minorHAnsi" w:hAnsiTheme="minorHAnsi"/>
              </w:rPr>
              <w:t xml:space="preserve"> and shar</w:t>
            </w:r>
            <w:r w:rsidR="003356F5">
              <w:rPr>
                <w:rFonts w:asciiTheme="minorHAnsi" w:hAnsiTheme="minorHAnsi"/>
              </w:rPr>
              <w:t>ed</w:t>
            </w:r>
            <w:r w:rsidR="007352DA" w:rsidRPr="007352DA">
              <w:rPr>
                <w:rFonts w:asciiTheme="minorHAnsi" w:hAnsiTheme="minorHAnsi"/>
              </w:rPr>
              <w:t xml:space="preserve"> their experiences of using public library services and reflect</w:t>
            </w:r>
            <w:r w:rsidR="003356F5">
              <w:rPr>
                <w:rFonts w:asciiTheme="minorHAnsi" w:hAnsiTheme="minorHAnsi"/>
              </w:rPr>
              <w:t>ed</w:t>
            </w:r>
            <w:r w:rsidR="007352DA" w:rsidRPr="007352DA">
              <w:rPr>
                <w:rFonts w:asciiTheme="minorHAnsi" w:hAnsiTheme="minorHAnsi"/>
              </w:rPr>
              <w:t xml:space="preserve"> upon how their library usage ha</w:t>
            </w:r>
            <w:r w:rsidR="003356F5">
              <w:rPr>
                <w:rFonts w:asciiTheme="minorHAnsi" w:hAnsiTheme="minorHAnsi"/>
              </w:rPr>
              <w:t>d</w:t>
            </w:r>
            <w:r w:rsidR="007352DA" w:rsidRPr="007352DA">
              <w:rPr>
                <w:rFonts w:asciiTheme="minorHAnsi" w:hAnsiTheme="minorHAnsi"/>
              </w:rPr>
              <w:t xml:space="preserve"> affected them</w:t>
            </w:r>
            <w:r w:rsidR="00C15CDB">
              <w:rPr>
                <w:rFonts w:asciiTheme="minorHAnsi" w:hAnsiTheme="minorHAnsi"/>
              </w:rPr>
              <w:t>.</w:t>
            </w:r>
          </w:p>
          <w:p w14:paraId="5BBD39F7" w14:textId="056597D2" w:rsidR="003356F5" w:rsidRDefault="003356F5" w:rsidP="007352DA">
            <w:pPr>
              <w:pStyle w:val="Default"/>
              <w:ind w:right="720"/>
              <w:rPr>
                <w:rFonts w:asciiTheme="minorHAnsi" w:hAnsiTheme="minorHAnsi"/>
              </w:rPr>
            </w:pPr>
          </w:p>
          <w:p w14:paraId="2BEA618F" w14:textId="673FCE9C" w:rsidR="000759E6" w:rsidRDefault="000759E6" w:rsidP="007352DA">
            <w:pPr>
              <w:pStyle w:val="Default"/>
              <w:ind w:right="720"/>
              <w:rPr>
                <w:rFonts w:asciiTheme="minorHAnsi" w:hAnsiTheme="minorHAnsi"/>
              </w:rPr>
            </w:pPr>
            <w:r>
              <w:rPr>
                <w:rFonts w:asciiTheme="minorHAnsi" w:hAnsiTheme="minorHAnsi"/>
              </w:rPr>
              <w:t xml:space="preserve">A fundamental part of the methodology is its longitudinal approach. Because of the nature of the themes being discussed, it is desirable to reconvene </w:t>
            </w:r>
            <w:r w:rsidR="00831A0A">
              <w:rPr>
                <w:rFonts w:asciiTheme="minorHAnsi" w:hAnsiTheme="minorHAnsi"/>
              </w:rPr>
              <w:t>each</w:t>
            </w:r>
            <w:r>
              <w:rPr>
                <w:rFonts w:asciiTheme="minorHAnsi" w:hAnsiTheme="minorHAnsi"/>
              </w:rPr>
              <w:t xml:space="preserve"> focus group, with the same participants at set intervals during the period of empirical research. This enables participants to reflect back on their most recent library usage and to discuss its impact and value in a current and personal context. Reconvening focus groups in which the participants are familiar with each other, also allows for a deeper and more open discussion, which in turn enables deeper and richer data to be obtained.</w:t>
            </w:r>
            <w:r w:rsidR="00C15CDB">
              <w:rPr>
                <w:rFonts w:asciiTheme="minorHAnsi" w:hAnsiTheme="minorHAnsi"/>
              </w:rPr>
              <w:t xml:space="preserve"> The themes discussed during the first round of focus groups were around general library usage including:</w:t>
            </w:r>
          </w:p>
          <w:p w14:paraId="15E615FC" w14:textId="77777777" w:rsidR="00C15CDB" w:rsidRDefault="00C15CDB" w:rsidP="00382AD2">
            <w:pPr>
              <w:pStyle w:val="Default"/>
              <w:numPr>
                <w:ilvl w:val="0"/>
                <w:numId w:val="2"/>
              </w:numPr>
              <w:ind w:right="720"/>
              <w:rPr>
                <w:rFonts w:asciiTheme="minorHAnsi" w:hAnsiTheme="minorHAnsi"/>
              </w:rPr>
            </w:pPr>
            <w:r>
              <w:rPr>
                <w:rFonts w:asciiTheme="minorHAnsi" w:hAnsiTheme="minorHAnsi"/>
              </w:rPr>
              <w:t>Attitudes and feelings towards public libraries</w:t>
            </w:r>
          </w:p>
          <w:p w14:paraId="6DA484B2" w14:textId="77777777" w:rsidR="00C15CDB" w:rsidRDefault="00C15CDB" w:rsidP="00382AD2">
            <w:pPr>
              <w:pStyle w:val="Default"/>
              <w:numPr>
                <w:ilvl w:val="0"/>
                <w:numId w:val="2"/>
              </w:numPr>
              <w:ind w:right="720"/>
              <w:rPr>
                <w:rFonts w:asciiTheme="minorHAnsi" w:hAnsiTheme="minorHAnsi"/>
              </w:rPr>
            </w:pPr>
            <w:r>
              <w:rPr>
                <w:rFonts w:asciiTheme="minorHAnsi" w:hAnsiTheme="minorHAnsi"/>
              </w:rPr>
              <w:t>The demand for and use of knowledge and information</w:t>
            </w:r>
          </w:p>
          <w:p w14:paraId="5FFF2197" w14:textId="77777777" w:rsidR="00C15CDB" w:rsidRDefault="00C15CDB" w:rsidP="00382AD2">
            <w:pPr>
              <w:pStyle w:val="Default"/>
              <w:numPr>
                <w:ilvl w:val="0"/>
                <w:numId w:val="2"/>
              </w:numPr>
              <w:ind w:right="720"/>
              <w:rPr>
                <w:rFonts w:asciiTheme="minorHAnsi" w:hAnsiTheme="minorHAnsi"/>
              </w:rPr>
            </w:pPr>
            <w:r>
              <w:rPr>
                <w:rFonts w:asciiTheme="minorHAnsi" w:hAnsiTheme="minorHAnsi"/>
              </w:rPr>
              <w:t>Who are libraries for and what is their role in society</w:t>
            </w:r>
          </w:p>
          <w:p w14:paraId="34796CC0" w14:textId="5C981C7D" w:rsidR="00C15CDB" w:rsidRDefault="00C15CDB" w:rsidP="00382AD2">
            <w:pPr>
              <w:pStyle w:val="Default"/>
              <w:numPr>
                <w:ilvl w:val="0"/>
                <w:numId w:val="2"/>
              </w:numPr>
              <w:ind w:right="720"/>
              <w:rPr>
                <w:rFonts w:asciiTheme="minorHAnsi" w:hAnsiTheme="minorHAnsi"/>
              </w:rPr>
            </w:pPr>
            <w:r>
              <w:rPr>
                <w:rFonts w:asciiTheme="minorHAnsi" w:hAnsiTheme="minorHAnsi"/>
              </w:rPr>
              <w:t xml:space="preserve">What is meant by the term citizenship and how does the library contribute to this </w:t>
            </w:r>
          </w:p>
          <w:p w14:paraId="09669CBC" w14:textId="77777777" w:rsidR="00C15CDB" w:rsidRDefault="00C15CDB" w:rsidP="007352DA">
            <w:pPr>
              <w:pStyle w:val="Default"/>
              <w:ind w:right="720"/>
              <w:rPr>
                <w:rFonts w:asciiTheme="minorHAnsi" w:hAnsiTheme="minorHAnsi"/>
              </w:rPr>
            </w:pPr>
          </w:p>
          <w:p w14:paraId="5849C50B" w14:textId="6A52D493" w:rsidR="000759E6" w:rsidRDefault="00C15CDB" w:rsidP="007352DA">
            <w:pPr>
              <w:pStyle w:val="Default"/>
              <w:ind w:right="720"/>
              <w:rPr>
                <w:rFonts w:asciiTheme="minorHAnsi" w:hAnsiTheme="minorHAnsi"/>
              </w:rPr>
            </w:pPr>
            <w:r>
              <w:rPr>
                <w:rFonts w:asciiTheme="minorHAnsi" w:hAnsiTheme="minorHAnsi"/>
              </w:rPr>
              <w:t xml:space="preserve">The </w:t>
            </w:r>
            <w:r w:rsidR="00804F76">
              <w:rPr>
                <w:rFonts w:asciiTheme="minorHAnsi" w:hAnsiTheme="minorHAnsi"/>
              </w:rPr>
              <w:t xml:space="preserve">questions </w:t>
            </w:r>
            <w:r>
              <w:rPr>
                <w:rFonts w:asciiTheme="minorHAnsi" w:hAnsiTheme="minorHAnsi"/>
              </w:rPr>
              <w:t xml:space="preserve">posed during the first round of focus groups were designed to capture the immediate thoughts of library users and their historic experience of using libraries. </w:t>
            </w:r>
            <w:r w:rsidR="000759E6">
              <w:rPr>
                <w:rFonts w:asciiTheme="minorHAnsi" w:hAnsiTheme="minorHAnsi"/>
              </w:rPr>
              <w:t xml:space="preserve"> </w:t>
            </w:r>
          </w:p>
          <w:p w14:paraId="57F26702" w14:textId="77777777" w:rsidR="00C15CDB" w:rsidRDefault="00C15CDB" w:rsidP="007352DA">
            <w:pPr>
              <w:pStyle w:val="Default"/>
              <w:ind w:right="720"/>
              <w:rPr>
                <w:rFonts w:asciiTheme="minorHAnsi" w:hAnsiTheme="minorHAnsi"/>
              </w:rPr>
            </w:pPr>
          </w:p>
          <w:p w14:paraId="257DF3A9" w14:textId="53CB89CE" w:rsidR="003356F5" w:rsidRDefault="000759E6" w:rsidP="007352DA">
            <w:pPr>
              <w:pStyle w:val="Default"/>
              <w:ind w:right="720"/>
              <w:rPr>
                <w:rFonts w:asciiTheme="minorHAnsi" w:hAnsiTheme="minorHAnsi"/>
              </w:rPr>
            </w:pPr>
            <w:r>
              <w:rPr>
                <w:rFonts w:asciiTheme="minorHAnsi" w:hAnsiTheme="minorHAnsi"/>
              </w:rPr>
              <w:t xml:space="preserve">A second round of </w:t>
            </w:r>
            <w:r w:rsidR="003356F5">
              <w:rPr>
                <w:rFonts w:asciiTheme="minorHAnsi" w:hAnsiTheme="minorHAnsi"/>
              </w:rPr>
              <w:t>focus group</w:t>
            </w:r>
            <w:r>
              <w:rPr>
                <w:rFonts w:asciiTheme="minorHAnsi" w:hAnsiTheme="minorHAnsi"/>
              </w:rPr>
              <w:t>s</w:t>
            </w:r>
            <w:r w:rsidR="003356F5">
              <w:rPr>
                <w:rFonts w:asciiTheme="minorHAnsi" w:hAnsiTheme="minorHAnsi"/>
              </w:rPr>
              <w:t xml:space="preserve"> (phase two) </w:t>
            </w:r>
            <w:r>
              <w:rPr>
                <w:rFonts w:asciiTheme="minorHAnsi" w:hAnsiTheme="minorHAnsi"/>
              </w:rPr>
              <w:t>was</w:t>
            </w:r>
            <w:r w:rsidR="003356F5">
              <w:rPr>
                <w:rFonts w:asciiTheme="minorHAnsi" w:hAnsiTheme="minorHAnsi"/>
              </w:rPr>
              <w:t xml:space="preserve"> completed during 2016</w:t>
            </w:r>
            <w:r>
              <w:rPr>
                <w:rFonts w:asciiTheme="minorHAnsi" w:hAnsiTheme="minorHAnsi"/>
              </w:rPr>
              <w:t xml:space="preserve"> in which </w:t>
            </w:r>
            <w:r w:rsidR="00642B26">
              <w:rPr>
                <w:rFonts w:asciiTheme="minorHAnsi" w:hAnsiTheme="minorHAnsi"/>
              </w:rPr>
              <w:t xml:space="preserve">participants were asked to discuss and reflect specifically on their personal development and involvement in their communities </w:t>
            </w:r>
            <w:r>
              <w:rPr>
                <w:rFonts w:asciiTheme="minorHAnsi" w:hAnsiTheme="minorHAnsi"/>
              </w:rPr>
              <w:t xml:space="preserve">during the previous eight months (the period of time in between focus groups), </w:t>
            </w:r>
            <w:r w:rsidR="00642B26">
              <w:rPr>
                <w:rFonts w:asciiTheme="minorHAnsi" w:hAnsiTheme="minorHAnsi"/>
              </w:rPr>
              <w:t>and whether any of this had been facilitated through their library use</w:t>
            </w:r>
            <w:r w:rsidR="00C15CDB">
              <w:rPr>
                <w:rFonts w:asciiTheme="minorHAnsi" w:hAnsiTheme="minorHAnsi"/>
              </w:rPr>
              <w:t>. These them</w:t>
            </w:r>
            <w:r w:rsidR="00382AD2">
              <w:rPr>
                <w:rFonts w:asciiTheme="minorHAnsi" w:hAnsiTheme="minorHAnsi"/>
              </w:rPr>
              <w:t>e</w:t>
            </w:r>
            <w:r w:rsidR="00C15CDB">
              <w:rPr>
                <w:rFonts w:asciiTheme="minorHAnsi" w:hAnsiTheme="minorHAnsi"/>
              </w:rPr>
              <w:t>s and the questions used were largely informed by the themes identified during the f</w:t>
            </w:r>
            <w:r w:rsidR="00804F76">
              <w:rPr>
                <w:rFonts w:asciiTheme="minorHAnsi" w:hAnsiTheme="minorHAnsi"/>
              </w:rPr>
              <w:t>i</w:t>
            </w:r>
            <w:r w:rsidR="00C15CDB">
              <w:rPr>
                <w:rFonts w:asciiTheme="minorHAnsi" w:hAnsiTheme="minorHAnsi"/>
              </w:rPr>
              <w:t>rst round of focus group and were intended to generate more reflection and to focus in on</w:t>
            </w:r>
            <w:r w:rsidR="00804F76">
              <w:rPr>
                <w:rFonts w:asciiTheme="minorHAnsi" w:hAnsiTheme="minorHAnsi"/>
              </w:rPr>
              <w:t xml:space="preserve"> both </w:t>
            </w:r>
            <w:r w:rsidR="00C15CDB">
              <w:rPr>
                <w:rFonts w:asciiTheme="minorHAnsi" w:hAnsiTheme="minorHAnsi"/>
              </w:rPr>
              <w:t>individual and community learni</w:t>
            </w:r>
            <w:r w:rsidR="00804F76">
              <w:rPr>
                <w:rFonts w:asciiTheme="minorHAnsi" w:hAnsiTheme="minorHAnsi"/>
              </w:rPr>
              <w:t>n</w:t>
            </w:r>
            <w:r w:rsidR="00C15CDB">
              <w:rPr>
                <w:rFonts w:asciiTheme="minorHAnsi" w:hAnsiTheme="minorHAnsi"/>
              </w:rPr>
              <w:t xml:space="preserve">g and development afforded through public library use. </w:t>
            </w:r>
          </w:p>
          <w:p w14:paraId="4CFC8A4F" w14:textId="77777777" w:rsidR="00094BA0" w:rsidRPr="007352DA" w:rsidRDefault="00094BA0" w:rsidP="007352DA">
            <w:pPr>
              <w:pStyle w:val="Default"/>
              <w:ind w:right="720"/>
              <w:rPr>
                <w:rFonts w:asciiTheme="minorHAnsi" w:hAnsiTheme="minorHAnsi"/>
              </w:rPr>
            </w:pPr>
          </w:p>
          <w:p w14:paraId="53FFA972" w14:textId="77777777" w:rsidR="00C63A83" w:rsidRPr="008C7A0B" w:rsidRDefault="00C63A83" w:rsidP="007352DA">
            <w:pPr>
              <w:pStyle w:val="Default"/>
              <w:ind w:right="720"/>
              <w:rPr>
                <w:rFonts w:asciiTheme="minorHAnsi" w:hAnsiTheme="minorHAnsi"/>
                <w:b/>
              </w:rPr>
            </w:pPr>
            <w:r>
              <w:rPr>
                <w:rFonts w:asciiTheme="minorHAnsi" w:hAnsiTheme="minorHAnsi"/>
                <w:b/>
              </w:rPr>
              <w:t>Findings</w:t>
            </w:r>
          </w:p>
          <w:p w14:paraId="03E9F557" w14:textId="01D84754" w:rsidR="00642B26" w:rsidRDefault="007352DA" w:rsidP="00642B26">
            <w:pPr>
              <w:pStyle w:val="Default"/>
              <w:ind w:right="720"/>
              <w:rPr>
                <w:rFonts w:asciiTheme="minorHAnsi" w:hAnsiTheme="minorHAnsi"/>
              </w:rPr>
            </w:pPr>
            <w:r w:rsidRPr="007352DA">
              <w:rPr>
                <w:rFonts w:asciiTheme="minorHAnsi" w:hAnsiTheme="minorHAnsi"/>
              </w:rPr>
              <w:t xml:space="preserve">The paper will report on and discuss the findings of the first </w:t>
            </w:r>
            <w:r w:rsidR="008577E7">
              <w:rPr>
                <w:rFonts w:asciiTheme="minorHAnsi" w:hAnsiTheme="minorHAnsi"/>
              </w:rPr>
              <w:t xml:space="preserve">two </w:t>
            </w:r>
            <w:r w:rsidRPr="007352DA">
              <w:rPr>
                <w:rFonts w:asciiTheme="minorHAnsi" w:hAnsiTheme="minorHAnsi"/>
              </w:rPr>
              <w:t>round</w:t>
            </w:r>
            <w:r w:rsidR="008577E7">
              <w:rPr>
                <w:rFonts w:asciiTheme="minorHAnsi" w:hAnsiTheme="minorHAnsi"/>
              </w:rPr>
              <w:t>s</w:t>
            </w:r>
            <w:r w:rsidRPr="007352DA">
              <w:rPr>
                <w:rFonts w:asciiTheme="minorHAnsi" w:hAnsiTheme="minorHAnsi"/>
              </w:rPr>
              <w:t xml:space="preserve"> of focus groups </w:t>
            </w:r>
            <w:r w:rsidR="00E05C69">
              <w:rPr>
                <w:rFonts w:asciiTheme="minorHAnsi" w:hAnsiTheme="minorHAnsi"/>
              </w:rPr>
              <w:t>bringing</w:t>
            </w:r>
            <w:r w:rsidR="008577E7">
              <w:rPr>
                <w:rFonts w:asciiTheme="minorHAnsi" w:hAnsiTheme="minorHAnsi"/>
              </w:rPr>
              <w:t xml:space="preserve"> together the themes </w:t>
            </w:r>
            <w:r w:rsidR="00E05C69">
              <w:rPr>
                <w:rFonts w:asciiTheme="minorHAnsi" w:hAnsiTheme="minorHAnsi"/>
              </w:rPr>
              <w:t xml:space="preserve">and trends </w:t>
            </w:r>
            <w:r w:rsidR="008577E7">
              <w:rPr>
                <w:rFonts w:asciiTheme="minorHAnsi" w:hAnsiTheme="minorHAnsi"/>
              </w:rPr>
              <w:t>identified</w:t>
            </w:r>
            <w:r w:rsidRPr="007352DA">
              <w:rPr>
                <w:rFonts w:asciiTheme="minorHAnsi" w:hAnsiTheme="minorHAnsi"/>
              </w:rPr>
              <w:t>.</w:t>
            </w:r>
            <w:r w:rsidR="00642B26">
              <w:rPr>
                <w:rFonts w:asciiTheme="minorHAnsi" w:hAnsiTheme="minorHAnsi"/>
              </w:rPr>
              <w:t xml:space="preserve"> </w:t>
            </w:r>
          </w:p>
          <w:p w14:paraId="12146F3B" w14:textId="5D00D4A0" w:rsidR="007352DA" w:rsidRPr="007352DA" w:rsidRDefault="007352DA" w:rsidP="007352DA">
            <w:pPr>
              <w:pStyle w:val="Default"/>
              <w:ind w:right="720"/>
              <w:rPr>
                <w:rFonts w:asciiTheme="minorHAnsi" w:hAnsiTheme="minorHAnsi"/>
              </w:rPr>
            </w:pPr>
          </w:p>
          <w:p w14:paraId="334971DE" w14:textId="4AD53892" w:rsidR="007352DA" w:rsidRDefault="00642B26" w:rsidP="007352DA">
            <w:pPr>
              <w:pStyle w:val="Default"/>
              <w:ind w:right="720"/>
              <w:rPr>
                <w:rFonts w:asciiTheme="minorHAnsi" w:hAnsiTheme="minorHAnsi"/>
              </w:rPr>
            </w:pPr>
            <w:r>
              <w:rPr>
                <w:rFonts w:asciiTheme="minorHAnsi" w:hAnsiTheme="minorHAnsi"/>
              </w:rPr>
              <w:t>One of the main themes identified is a</w:t>
            </w:r>
            <w:r w:rsidR="007352DA" w:rsidRPr="007352DA">
              <w:rPr>
                <w:rFonts w:asciiTheme="minorHAnsi" w:hAnsiTheme="minorHAnsi"/>
              </w:rPr>
              <w:t xml:space="preserve"> focus on the epistemic function of libraries</w:t>
            </w:r>
            <w:r>
              <w:rPr>
                <w:rFonts w:asciiTheme="minorHAnsi" w:hAnsiTheme="minorHAnsi"/>
              </w:rPr>
              <w:t xml:space="preserve">. The focus groups </w:t>
            </w:r>
            <w:r w:rsidR="008577E7">
              <w:rPr>
                <w:rFonts w:asciiTheme="minorHAnsi" w:hAnsiTheme="minorHAnsi"/>
              </w:rPr>
              <w:t>suggested that</w:t>
            </w:r>
            <w:r>
              <w:rPr>
                <w:rFonts w:asciiTheme="minorHAnsi" w:hAnsiTheme="minorHAnsi"/>
              </w:rPr>
              <w:t xml:space="preserve"> having access to knowledge and information through the library </w:t>
            </w:r>
            <w:r w:rsidR="008577E7">
              <w:rPr>
                <w:rFonts w:asciiTheme="minorHAnsi" w:hAnsiTheme="minorHAnsi"/>
              </w:rPr>
              <w:t xml:space="preserve">allows </w:t>
            </w:r>
            <w:r>
              <w:rPr>
                <w:rFonts w:asciiTheme="minorHAnsi" w:hAnsiTheme="minorHAnsi"/>
              </w:rPr>
              <w:t xml:space="preserve">for individual development </w:t>
            </w:r>
            <w:r>
              <w:rPr>
                <w:rFonts w:asciiTheme="minorHAnsi" w:hAnsiTheme="minorHAnsi"/>
              </w:rPr>
              <w:lastRenderedPageBreak/>
              <w:t xml:space="preserve">to take place. Libraries facilitate learning and the support given through libraries and library staff in making learning and development accessible </w:t>
            </w:r>
            <w:r w:rsidR="000C0C68">
              <w:rPr>
                <w:rFonts w:asciiTheme="minorHAnsi" w:hAnsiTheme="minorHAnsi"/>
              </w:rPr>
              <w:t>is</w:t>
            </w:r>
            <w:r>
              <w:rPr>
                <w:rFonts w:asciiTheme="minorHAnsi" w:hAnsiTheme="minorHAnsi"/>
              </w:rPr>
              <w:t xml:space="preserve"> widely </w:t>
            </w:r>
            <w:r w:rsidR="00E05C69">
              <w:rPr>
                <w:rFonts w:asciiTheme="minorHAnsi" w:hAnsiTheme="minorHAnsi"/>
              </w:rPr>
              <w:t>acknowledged</w:t>
            </w:r>
            <w:r>
              <w:rPr>
                <w:rFonts w:asciiTheme="minorHAnsi" w:hAnsiTheme="minorHAnsi"/>
              </w:rPr>
              <w:t>.</w:t>
            </w:r>
          </w:p>
          <w:p w14:paraId="23A21B9B" w14:textId="77777777" w:rsidR="00094BA0" w:rsidRPr="007352DA" w:rsidRDefault="00094BA0" w:rsidP="007352DA">
            <w:pPr>
              <w:pStyle w:val="Default"/>
              <w:ind w:right="720"/>
              <w:rPr>
                <w:rFonts w:asciiTheme="minorHAnsi" w:hAnsiTheme="minorHAnsi"/>
              </w:rPr>
            </w:pPr>
          </w:p>
          <w:p w14:paraId="1D09C780" w14:textId="5380F7D8" w:rsidR="007352DA" w:rsidRDefault="00E05C69" w:rsidP="007352DA">
            <w:pPr>
              <w:pStyle w:val="Default"/>
              <w:ind w:right="720"/>
              <w:rPr>
                <w:rFonts w:asciiTheme="minorHAnsi" w:hAnsiTheme="minorHAnsi"/>
              </w:rPr>
            </w:pPr>
            <w:r>
              <w:rPr>
                <w:rFonts w:asciiTheme="minorHAnsi" w:hAnsiTheme="minorHAnsi"/>
              </w:rPr>
              <w:t xml:space="preserve">Another </w:t>
            </w:r>
            <w:r w:rsidR="000C0C68">
              <w:rPr>
                <w:rFonts w:asciiTheme="minorHAnsi" w:hAnsiTheme="minorHAnsi"/>
              </w:rPr>
              <w:t xml:space="preserve">emerging </w:t>
            </w:r>
            <w:r w:rsidR="00642B26">
              <w:rPr>
                <w:rFonts w:asciiTheme="minorHAnsi" w:hAnsiTheme="minorHAnsi"/>
              </w:rPr>
              <w:t>theme is that p</w:t>
            </w:r>
            <w:r w:rsidR="007352DA" w:rsidRPr="007352DA">
              <w:rPr>
                <w:rFonts w:asciiTheme="minorHAnsi" w:hAnsiTheme="minorHAnsi"/>
              </w:rPr>
              <w:t xml:space="preserve">rint monographs </w:t>
            </w:r>
            <w:r w:rsidR="00642B26">
              <w:rPr>
                <w:rFonts w:asciiTheme="minorHAnsi" w:hAnsiTheme="minorHAnsi"/>
              </w:rPr>
              <w:t>are</w:t>
            </w:r>
            <w:r w:rsidR="00642B26" w:rsidRPr="007352DA">
              <w:rPr>
                <w:rFonts w:asciiTheme="minorHAnsi" w:hAnsiTheme="minorHAnsi"/>
              </w:rPr>
              <w:t xml:space="preserve"> </w:t>
            </w:r>
            <w:r w:rsidR="00642B26">
              <w:rPr>
                <w:rFonts w:asciiTheme="minorHAnsi" w:hAnsiTheme="minorHAnsi"/>
              </w:rPr>
              <w:t xml:space="preserve">still </w:t>
            </w:r>
            <w:r w:rsidR="007352DA" w:rsidRPr="007352DA">
              <w:rPr>
                <w:rFonts w:asciiTheme="minorHAnsi" w:hAnsiTheme="minorHAnsi"/>
              </w:rPr>
              <w:t xml:space="preserve">perceived </w:t>
            </w:r>
            <w:r w:rsidR="00642B26">
              <w:rPr>
                <w:rFonts w:asciiTheme="minorHAnsi" w:hAnsiTheme="minorHAnsi"/>
              </w:rPr>
              <w:t>as being</w:t>
            </w:r>
            <w:r w:rsidR="007352DA" w:rsidRPr="007352DA">
              <w:rPr>
                <w:rFonts w:asciiTheme="minorHAnsi" w:hAnsiTheme="minorHAnsi"/>
              </w:rPr>
              <w:t xml:space="preserve"> the main vehicle for the dissemination of knowledge and information</w:t>
            </w:r>
            <w:r w:rsidR="00642B26">
              <w:rPr>
                <w:rFonts w:asciiTheme="minorHAnsi" w:hAnsiTheme="minorHAnsi"/>
              </w:rPr>
              <w:t>.</w:t>
            </w:r>
            <w:r w:rsidR="000C0C68">
              <w:rPr>
                <w:rFonts w:asciiTheme="minorHAnsi" w:hAnsiTheme="minorHAnsi"/>
              </w:rPr>
              <w:t xml:space="preserve"> The </w:t>
            </w:r>
            <w:r w:rsidR="00642B26">
              <w:rPr>
                <w:rFonts w:asciiTheme="minorHAnsi" w:hAnsiTheme="minorHAnsi"/>
              </w:rPr>
              <w:t xml:space="preserve">participants are all library users and habitually make use of computers and digital information but discussions often turned to the importance of print and its credibility and authority when compared to </w:t>
            </w:r>
            <w:r w:rsidR="000C0C68">
              <w:rPr>
                <w:rFonts w:asciiTheme="minorHAnsi" w:hAnsiTheme="minorHAnsi"/>
              </w:rPr>
              <w:t xml:space="preserve">electronic </w:t>
            </w:r>
            <w:r w:rsidR="00642B26">
              <w:rPr>
                <w:rFonts w:asciiTheme="minorHAnsi" w:hAnsiTheme="minorHAnsi"/>
              </w:rPr>
              <w:t>information.</w:t>
            </w:r>
            <w:r w:rsidR="001879B2">
              <w:rPr>
                <w:rFonts w:asciiTheme="minorHAnsi" w:hAnsiTheme="minorHAnsi"/>
              </w:rPr>
              <w:t xml:space="preserve"> </w:t>
            </w:r>
          </w:p>
          <w:p w14:paraId="1B374A33" w14:textId="515180B0" w:rsidR="00094BA0" w:rsidRDefault="00094BA0" w:rsidP="007352DA">
            <w:pPr>
              <w:pStyle w:val="Default"/>
              <w:ind w:right="720"/>
              <w:rPr>
                <w:rFonts w:asciiTheme="minorHAnsi" w:hAnsiTheme="minorHAnsi"/>
              </w:rPr>
            </w:pPr>
          </w:p>
          <w:p w14:paraId="3326520E" w14:textId="30E86449" w:rsidR="007352DA" w:rsidRDefault="001879B2" w:rsidP="007352DA">
            <w:pPr>
              <w:pStyle w:val="Default"/>
              <w:ind w:right="720"/>
              <w:rPr>
                <w:rFonts w:asciiTheme="minorHAnsi" w:hAnsiTheme="minorHAnsi"/>
              </w:rPr>
            </w:pPr>
            <w:r>
              <w:rPr>
                <w:rFonts w:asciiTheme="minorHAnsi" w:hAnsiTheme="minorHAnsi"/>
              </w:rPr>
              <w:t xml:space="preserve">The other key theme to come from the focus group findings is how </w:t>
            </w:r>
            <w:r w:rsidR="000C0C68">
              <w:rPr>
                <w:rFonts w:asciiTheme="minorHAnsi" w:hAnsiTheme="minorHAnsi"/>
              </w:rPr>
              <w:t>i</w:t>
            </w:r>
            <w:r w:rsidRPr="007352DA">
              <w:rPr>
                <w:rFonts w:asciiTheme="minorHAnsi" w:hAnsiTheme="minorHAnsi"/>
              </w:rPr>
              <w:t xml:space="preserve">nclusive and accessible libraries allow for capital </w:t>
            </w:r>
            <w:r>
              <w:rPr>
                <w:rFonts w:asciiTheme="minorHAnsi" w:hAnsiTheme="minorHAnsi"/>
              </w:rPr>
              <w:t xml:space="preserve">(social, human, transactional, knowledge) </w:t>
            </w:r>
            <w:r w:rsidRPr="007352DA">
              <w:rPr>
                <w:rFonts w:asciiTheme="minorHAnsi" w:hAnsiTheme="minorHAnsi"/>
              </w:rPr>
              <w:t>to be generated and exchanged</w:t>
            </w:r>
            <w:r w:rsidR="00094BA0">
              <w:rPr>
                <w:rFonts w:asciiTheme="minorHAnsi" w:hAnsiTheme="minorHAnsi"/>
              </w:rPr>
              <w:t xml:space="preserve"> </w:t>
            </w:r>
            <w:r>
              <w:rPr>
                <w:rFonts w:asciiTheme="minorHAnsi" w:hAnsiTheme="minorHAnsi"/>
              </w:rPr>
              <w:t>in a number of ways and how through bringing people together in libraries communities are formed and subsequently take a sense of</w:t>
            </w:r>
            <w:r w:rsidR="007352DA" w:rsidRPr="007352DA">
              <w:rPr>
                <w:rFonts w:asciiTheme="minorHAnsi" w:hAnsiTheme="minorHAnsi"/>
              </w:rPr>
              <w:t xml:space="preserve"> ownership of </w:t>
            </w:r>
            <w:r>
              <w:rPr>
                <w:rFonts w:asciiTheme="minorHAnsi" w:hAnsiTheme="minorHAnsi"/>
              </w:rPr>
              <w:t xml:space="preserve">their local </w:t>
            </w:r>
            <w:r w:rsidR="007352DA" w:rsidRPr="007352DA">
              <w:rPr>
                <w:rFonts w:asciiTheme="minorHAnsi" w:hAnsiTheme="minorHAnsi"/>
              </w:rPr>
              <w:t>public libraries</w:t>
            </w:r>
          </w:p>
          <w:p w14:paraId="63BBBB75" w14:textId="77777777" w:rsidR="001879B2" w:rsidRDefault="001879B2" w:rsidP="007352DA">
            <w:pPr>
              <w:pStyle w:val="Default"/>
              <w:ind w:right="720"/>
              <w:rPr>
                <w:rFonts w:asciiTheme="minorHAnsi" w:hAnsiTheme="minorHAnsi"/>
                <w:b/>
              </w:rPr>
            </w:pPr>
          </w:p>
          <w:p w14:paraId="7D3973FF" w14:textId="3413595C" w:rsidR="00C63A83" w:rsidRDefault="00C63A83" w:rsidP="007352DA">
            <w:pPr>
              <w:pStyle w:val="Default"/>
              <w:ind w:right="720"/>
              <w:rPr>
                <w:rFonts w:asciiTheme="minorHAnsi" w:hAnsiTheme="minorHAnsi"/>
                <w:b/>
              </w:rPr>
            </w:pPr>
            <w:r w:rsidRPr="008C7A0B">
              <w:rPr>
                <w:rFonts w:asciiTheme="minorHAnsi" w:hAnsiTheme="minorHAnsi"/>
                <w:b/>
              </w:rPr>
              <w:t>Conclusion</w:t>
            </w:r>
          </w:p>
          <w:p w14:paraId="2AC0027E" w14:textId="39EE3366" w:rsidR="001879B2" w:rsidRPr="008C7A0B" w:rsidRDefault="001879B2" w:rsidP="007352DA">
            <w:pPr>
              <w:pStyle w:val="Default"/>
              <w:ind w:right="720"/>
              <w:rPr>
                <w:rFonts w:asciiTheme="minorHAnsi" w:hAnsiTheme="minorHAnsi"/>
              </w:rPr>
            </w:pPr>
            <w:r w:rsidRPr="008C7A0B">
              <w:rPr>
                <w:rFonts w:asciiTheme="minorHAnsi" w:hAnsiTheme="minorHAnsi"/>
              </w:rPr>
              <w:t xml:space="preserve">This paper will bring together the findings and analysis of the </w:t>
            </w:r>
            <w:r>
              <w:rPr>
                <w:rFonts w:asciiTheme="minorHAnsi" w:hAnsiTheme="minorHAnsi"/>
              </w:rPr>
              <w:t xml:space="preserve">longitudinal </w:t>
            </w:r>
            <w:r w:rsidRPr="008C7A0B">
              <w:rPr>
                <w:rFonts w:asciiTheme="minorHAnsi" w:hAnsiTheme="minorHAnsi"/>
              </w:rPr>
              <w:t>focus groups</w:t>
            </w:r>
            <w:r w:rsidR="00E05C69">
              <w:rPr>
                <w:rFonts w:asciiTheme="minorHAnsi" w:hAnsiTheme="minorHAnsi"/>
              </w:rPr>
              <w:t xml:space="preserve"> and</w:t>
            </w:r>
            <w:r w:rsidR="008577E7">
              <w:rPr>
                <w:rFonts w:asciiTheme="minorHAnsi" w:hAnsiTheme="minorHAnsi"/>
              </w:rPr>
              <w:t xml:space="preserve"> will discuss some of the ways in which public libraries </w:t>
            </w:r>
            <w:r w:rsidRPr="007352DA">
              <w:rPr>
                <w:rFonts w:asciiTheme="minorHAnsi" w:hAnsiTheme="minorHAnsi"/>
              </w:rPr>
              <w:t>demonstrate value and impa</w:t>
            </w:r>
            <w:r w:rsidR="008577E7">
              <w:rPr>
                <w:rFonts w:asciiTheme="minorHAnsi" w:hAnsiTheme="minorHAnsi"/>
              </w:rPr>
              <w:t>ct on the development of individual and community citizenship</w:t>
            </w:r>
            <w:r w:rsidR="003C4009">
              <w:rPr>
                <w:rFonts w:asciiTheme="minorHAnsi" w:hAnsiTheme="minorHAnsi"/>
              </w:rPr>
              <w:t>.</w:t>
            </w:r>
          </w:p>
          <w:p w14:paraId="7E881803" w14:textId="460E2419" w:rsidR="001879B2" w:rsidRDefault="001879B2" w:rsidP="007352DA">
            <w:pPr>
              <w:pStyle w:val="Default"/>
              <w:ind w:right="720"/>
              <w:rPr>
                <w:rFonts w:asciiTheme="minorHAnsi" w:hAnsiTheme="minorHAnsi"/>
                <w:b/>
              </w:rPr>
            </w:pPr>
          </w:p>
          <w:p w14:paraId="278BBA69" w14:textId="77777777" w:rsidR="001879B2" w:rsidRPr="008C7A0B" w:rsidRDefault="001879B2" w:rsidP="007352DA">
            <w:pPr>
              <w:pStyle w:val="Default"/>
              <w:ind w:right="720"/>
              <w:rPr>
                <w:rFonts w:asciiTheme="minorHAnsi" w:hAnsiTheme="minorHAnsi"/>
                <w:b/>
              </w:rPr>
            </w:pPr>
          </w:p>
          <w:p w14:paraId="2023F2AD" w14:textId="77777777" w:rsidR="00094BA0" w:rsidRPr="00C34937" w:rsidRDefault="00094BA0" w:rsidP="007352DA">
            <w:pPr>
              <w:pStyle w:val="Default"/>
              <w:ind w:right="720"/>
              <w:rPr>
                <w:rFonts w:asciiTheme="minorHAnsi" w:hAnsiTheme="minorHAnsi"/>
                <w:b/>
              </w:rPr>
            </w:pPr>
            <w:r w:rsidRPr="00C34937">
              <w:rPr>
                <w:rFonts w:asciiTheme="minorHAnsi" w:hAnsiTheme="minorHAnsi"/>
                <w:b/>
              </w:rPr>
              <w:t>References</w:t>
            </w:r>
          </w:p>
          <w:p w14:paraId="0ED6A70C" w14:textId="4BF7D4D2" w:rsidR="00E05C69" w:rsidRDefault="00E05C69" w:rsidP="007352DA">
            <w:pPr>
              <w:pStyle w:val="Default"/>
              <w:ind w:right="720"/>
              <w:rPr>
                <w:rFonts w:asciiTheme="minorHAnsi" w:hAnsiTheme="minorHAnsi"/>
              </w:rPr>
            </w:pPr>
            <w:r w:rsidRPr="00E05C69">
              <w:rPr>
                <w:rFonts w:asciiTheme="minorHAnsi" w:hAnsiTheme="minorHAnsi"/>
              </w:rPr>
              <w:t xml:space="preserve">Brophy, P. (2001). </w:t>
            </w:r>
            <w:r w:rsidRPr="00E05C69">
              <w:rPr>
                <w:rFonts w:asciiTheme="minorHAnsi" w:hAnsiTheme="minorHAnsi"/>
                <w:i/>
              </w:rPr>
              <w:t>The library in the twenty-first century: new services for the information age</w:t>
            </w:r>
            <w:r w:rsidRPr="00E05C69">
              <w:rPr>
                <w:rFonts w:asciiTheme="minorHAnsi" w:hAnsiTheme="minorHAnsi"/>
              </w:rPr>
              <w:t>. London: Library Association Publishing.</w:t>
            </w:r>
          </w:p>
          <w:p w14:paraId="754C6549" w14:textId="77777777" w:rsidR="00E05C69" w:rsidRDefault="00E05C69" w:rsidP="00094BA0">
            <w:pPr>
              <w:pStyle w:val="Default"/>
              <w:ind w:right="720"/>
              <w:rPr>
                <w:rFonts w:asciiTheme="minorHAnsi" w:hAnsiTheme="minorHAnsi"/>
              </w:rPr>
            </w:pPr>
          </w:p>
          <w:p w14:paraId="0BF1B3B8" w14:textId="77777777" w:rsidR="00094BA0" w:rsidRDefault="00094BA0" w:rsidP="00094BA0">
            <w:pPr>
              <w:pStyle w:val="Default"/>
              <w:ind w:right="720"/>
              <w:rPr>
                <w:rFonts w:asciiTheme="minorHAnsi" w:hAnsiTheme="minorHAnsi"/>
              </w:rPr>
            </w:pPr>
            <w:r w:rsidRPr="00094BA0">
              <w:rPr>
                <w:rFonts w:asciiTheme="minorHAnsi" w:hAnsiTheme="minorHAnsi"/>
              </w:rPr>
              <w:t xml:space="preserve">Brophy, P. (2006). </w:t>
            </w:r>
            <w:r w:rsidRPr="00E05C69">
              <w:rPr>
                <w:rFonts w:asciiTheme="minorHAnsi" w:hAnsiTheme="minorHAnsi"/>
                <w:i/>
              </w:rPr>
              <w:t>Measuring library performance: principles and techniques</w:t>
            </w:r>
            <w:r w:rsidRPr="00094BA0">
              <w:rPr>
                <w:rFonts w:asciiTheme="minorHAnsi" w:hAnsiTheme="minorHAnsi"/>
              </w:rPr>
              <w:t>. London: Facet Publishing.</w:t>
            </w:r>
          </w:p>
          <w:p w14:paraId="52884E5E" w14:textId="77777777" w:rsidR="00094BA0" w:rsidRDefault="00094BA0" w:rsidP="00094BA0">
            <w:pPr>
              <w:pStyle w:val="Default"/>
              <w:ind w:right="720"/>
              <w:rPr>
                <w:rFonts w:asciiTheme="minorHAnsi" w:hAnsiTheme="minorHAnsi"/>
              </w:rPr>
            </w:pPr>
          </w:p>
          <w:p w14:paraId="2C7181E4" w14:textId="38287C97" w:rsidR="00E05C69" w:rsidRPr="00094BA0" w:rsidRDefault="00E05C69" w:rsidP="00094BA0">
            <w:pPr>
              <w:pStyle w:val="Default"/>
              <w:ind w:right="720"/>
              <w:rPr>
                <w:rFonts w:asciiTheme="minorHAnsi" w:hAnsiTheme="minorHAnsi"/>
              </w:rPr>
            </w:pPr>
            <w:r w:rsidRPr="00E05C69">
              <w:rPr>
                <w:rFonts w:asciiTheme="minorHAnsi" w:hAnsiTheme="minorHAnsi"/>
              </w:rPr>
              <w:t xml:space="preserve">Hernon, P. &amp; Altman, E. (2010). </w:t>
            </w:r>
            <w:r w:rsidRPr="00E05C69">
              <w:rPr>
                <w:rFonts w:asciiTheme="minorHAnsi" w:hAnsiTheme="minorHAnsi"/>
                <w:i/>
              </w:rPr>
              <w:t>Assessing service quality: satisfying the expectations of library customers</w:t>
            </w:r>
            <w:r w:rsidRPr="00E05C69">
              <w:rPr>
                <w:rFonts w:asciiTheme="minorHAnsi" w:hAnsiTheme="minorHAnsi"/>
              </w:rPr>
              <w:t>. Chicago: American Library Association.</w:t>
            </w:r>
          </w:p>
          <w:p w14:paraId="436EB58E" w14:textId="77777777" w:rsidR="00094BA0" w:rsidRPr="00094BA0" w:rsidRDefault="00094BA0" w:rsidP="00094BA0">
            <w:pPr>
              <w:pStyle w:val="Default"/>
              <w:ind w:right="720"/>
              <w:rPr>
                <w:rFonts w:asciiTheme="minorHAnsi" w:hAnsiTheme="minorHAnsi"/>
              </w:rPr>
            </w:pPr>
          </w:p>
          <w:p w14:paraId="0937E8B9" w14:textId="77777777" w:rsidR="00094BA0" w:rsidRDefault="00094BA0" w:rsidP="00094BA0">
            <w:pPr>
              <w:pStyle w:val="Default"/>
              <w:ind w:right="720"/>
              <w:rPr>
                <w:rFonts w:asciiTheme="minorHAnsi" w:hAnsiTheme="minorHAnsi"/>
              </w:rPr>
            </w:pPr>
            <w:r w:rsidRPr="00094BA0">
              <w:rPr>
                <w:rFonts w:asciiTheme="minorHAnsi" w:hAnsiTheme="minorHAnsi"/>
              </w:rPr>
              <w:t xml:space="preserve">Kerslake, E. &amp; Kinnel, M. (1997). </w:t>
            </w:r>
            <w:r w:rsidRPr="00E05C69">
              <w:rPr>
                <w:rFonts w:asciiTheme="minorHAnsi" w:hAnsiTheme="minorHAnsi"/>
                <w:i/>
              </w:rPr>
              <w:t>The social impact of public libraries: a literature review</w:t>
            </w:r>
            <w:r w:rsidRPr="00094BA0">
              <w:rPr>
                <w:rFonts w:asciiTheme="minorHAnsi" w:hAnsiTheme="minorHAnsi"/>
              </w:rPr>
              <w:t>. London: British Library.</w:t>
            </w:r>
          </w:p>
          <w:p w14:paraId="40E7B668" w14:textId="77777777" w:rsidR="00094BA0" w:rsidRPr="00094BA0" w:rsidRDefault="00094BA0" w:rsidP="00094BA0">
            <w:pPr>
              <w:pStyle w:val="Default"/>
              <w:ind w:right="720"/>
              <w:rPr>
                <w:rFonts w:asciiTheme="minorHAnsi" w:hAnsiTheme="minorHAnsi"/>
              </w:rPr>
            </w:pPr>
          </w:p>
          <w:p w14:paraId="701B41C8" w14:textId="77777777" w:rsidR="00094BA0" w:rsidRDefault="00E05C69" w:rsidP="00094BA0">
            <w:pPr>
              <w:pStyle w:val="Default"/>
              <w:ind w:right="720"/>
              <w:rPr>
                <w:rFonts w:asciiTheme="minorHAnsi" w:hAnsiTheme="minorHAnsi"/>
              </w:rPr>
            </w:pPr>
            <w:r w:rsidRPr="00E05C69">
              <w:rPr>
                <w:rFonts w:asciiTheme="minorHAnsi" w:hAnsiTheme="minorHAnsi"/>
              </w:rPr>
              <w:t xml:space="preserve">Markless, S. &amp; Streatfield, D. (2006). </w:t>
            </w:r>
            <w:r w:rsidRPr="00E05C69">
              <w:rPr>
                <w:rFonts w:asciiTheme="minorHAnsi" w:hAnsiTheme="minorHAnsi"/>
                <w:i/>
              </w:rPr>
              <w:t>Evaluating the impact of your library</w:t>
            </w:r>
            <w:r w:rsidRPr="00E05C69">
              <w:rPr>
                <w:rFonts w:asciiTheme="minorHAnsi" w:hAnsiTheme="minorHAnsi"/>
              </w:rPr>
              <w:t>. London: Facet.</w:t>
            </w:r>
          </w:p>
          <w:p w14:paraId="60B77A22" w14:textId="77777777" w:rsidR="00E05C69" w:rsidRDefault="00E05C69" w:rsidP="00094BA0">
            <w:pPr>
              <w:pStyle w:val="Default"/>
              <w:ind w:right="720"/>
              <w:rPr>
                <w:rFonts w:asciiTheme="minorHAnsi" w:hAnsiTheme="minorHAnsi"/>
              </w:rPr>
            </w:pPr>
          </w:p>
          <w:p w14:paraId="5BF5B57B" w14:textId="4D82B756" w:rsidR="00E05C69" w:rsidRDefault="00E05C69" w:rsidP="00094BA0">
            <w:pPr>
              <w:pStyle w:val="Default"/>
              <w:ind w:right="720"/>
              <w:rPr>
                <w:rFonts w:asciiTheme="minorHAnsi" w:hAnsiTheme="minorHAnsi"/>
              </w:rPr>
            </w:pPr>
            <w:r w:rsidRPr="00E05C69">
              <w:rPr>
                <w:rFonts w:asciiTheme="minorHAnsi" w:hAnsiTheme="minorHAnsi"/>
              </w:rPr>
              <w:t xml:space="preserve">Poll, R. &amp; Payne. P. (2006). </w:t>
            </w:r>
            <w:r>
              <w:rPr>
                <w:rFonts w:asciiTheme="minorHAnsi" w:hAnsiTheme="minorHAnsi"/>
              </w:rPr>
              <w:t>“</w:t>
            </w:r>
            <w:r w:rsidRPr="00E05C69">
              <w:rPr>
                <w:rFonts w:asciiTheme="minorHAnsi" w:hAnsiTheme="minorHAnsi"/>
              </w:rPr>
              <w:t>Impact measures for library and information services</w:t>
            </w:r>
            <w:r w:rsidR="00AA3AC6">
              <w:rPr>
                <w:rFonts w:asciiTheme="minorHAnsi" w:hAnsiTheme="minorHAnsi"/>
              </w:rPr>
              <w:t>.</w:t>
            </w:r>
            <w:r>
              <w:rPr>
                <w:rFonts w:asciiTheme="minorHAnsi" w:hAnsiTheme="minorHAnsi"/>
              </w:rPr>
              <w:t>”</w:t>
            </w:r>
            <w:r w:rsidRPr="00E05C69">
              <w:rPr>
                <w:rFonts w:asciiTheme="minorHAnsi" w:hAnsiTheme="minorHAnsi"/>
              </w:rPr>
              <w:t xml:space="preserve"> </w:t>
            </w:r>
            <w:r w:rsidRPr="00E05C69">
              <w:rPr>
                <w:rFonts w:asciiTheme="minorHAnsi" w:hAnsiTheme="minorHAnsi"/>
                <w:i/>
              </w:rPr>
              <w:t>Library Hi Tech</w:t>
            </w:r>
            <w:r w:rsidRPr="00E05C69">
              <w:rPr>
                <w:rFonts w:asciiTheme="minorHAnsi" w:hAnsiTheme="minorHAnsi"/>
              </w:rPr>
              <w:t>, 24(4), 547 – 557.</w:t>
            </w:r>
          </w:p>
          <w:p w14:paraId="29CA5874" w14:textId="77777777" w:rsidR="0099038C" w:rsidRDefault="0099038C" w:rsidP="00094BA0">
            <w:pPr>
              <w:pStyle w:val="Default"/>
              <w:ind w:right="720"/>
              <w:rPr>
                <w:rFonts w:asciiTheme="minorHAnsi" w:hAnsiTheme="minorHAnsi"/>
              </w:rPr>
            </w:pPr>
          </w:p>
          <w:p w14:paraId="61E632FC" w14:textId="0C8D1A3D" w:rsidR="0099038C" w:rsidRDefault="0099038C" w:rsidP="0099038C">
            <w:pPr>
              <w:pStyle w:val="Default"/>
              <w:ind w:right="720"/>
              <w:rPr>
                <w:rFonts w:asciiTheme="minorHAnsi" w:hAnsiTheme="minorHAnsi"/>
              </w:rPr>
            </w:pPr>
            <w:r>
              <w:rPr>
                <w:rFonts w:asciiTheme="minorHAnsi" w:hAnsiTheme="minorHAnsi"/>
              </w:rPr>
              <w:t xml:space="preserve">Pors, N. O. </w:t>
            </w:r>
            <w:r w:rsidR="00F2455E">
              <w:rPr>
                <w:rFonts w:asciiTheme="minorHAnsi" w:hAnsiTheme="minorHAnsi"/>
              </w:rPr>
              <w:t xml:space="preserve">(2010) </w:t>
            </w:r>
            <w:r>
              <w:rPr>
                <w:rFonts w:asciiTheme="minorHAnsi" w:hAnsiTheme="minorHAnsi"/>
              </w:rPr>
              <w:t xml:space="preserve">Citizen services and public libraries: an analysis of a new service in Danish public libraries. </w:t>
            </w:r>
            <w:r w:rsidRPr="00382AD2">
              <w:rPr>
                <w:rFonts w:asciiTheme="minorHAnsi" w:hAnsiTheme="minorHAnsi"/>
                <w:i/>
              </w:rPr>
              <w:t>New Library World</w:t>
            </w:r>
            <w:r>
              <w:rPr>
                <w:rFonts w:asciiTheme="minorHAnsi" w:hAnsiTheme="minorHAnsi"/>
              </w:rPr>
              <w:t>, 111(7/8) 263-272</w:t>
            </w:r>
          </w:p>
          <w:p w14:paraId="42728B16" w14:textId="77777777" w:rsidR="00382AD2" w:rsidRDefault="00382AD2" w:rsidP="0099038C">
            <w:pPr>
              <w:pStyle w:val="Default"/>
              <w:ind w:right="720"/>
              <w:rPr>
                <w:rFonts w:asciiTheme="minorHAnsi" w:hAnsiTheme="minorHAnsi"/>
              </w:rPr>
            </w:pPr>
          </w:p>
          <w:p w14:paraId="65022D78" w14:textId="768125E8" w:rsidR="00F2455E" w:rsidRDefault="00F2455E" w:rsidP="00094BA0">
            <w:pPr>
              <w:pStyle w:val="Default"/>
              <w:ind w:right="720"/>
              <w:rPr>
                <w:rFonts w:asciiTheme="minorHAnsi" w:hAnsiTheme="minorHAnsi"/>
              </w:rPr>
            </w:pPr>
            <w:r>
              <w:rPr>
                <w:rFonts w:asciiTheme="minorHAnsi" w:hAnsiTheme="minorHAnsi"/>
              </w:rPr>
              <w:t xml:space="preserve">Scottish Library and information Council (2015) </w:t>
            </w:r>
            <w:r w:rsidRPr="00382AD2">
              <w:rPr>
                <w:rFonts w:asciiTheme="minorHAnsi" w:hAnsiTheme="minorHAnsi"/>
                <w:i/>
              </w:rPr>
              <w:t>How Good Is Our Public Library Service? (HGIOPLS)</w:t>
            </w:r>
            <w:r>
              <w:rPr>
                <w:rFonts w:asciiTheme="minorHAnsi" w:hAnsiTheme="minorHAnsi"/>
              </w:rPr>
              <w:t xml:space="preserve"> Accessed: 29th March 2017: </w:t>
            </w:r>
            <w:hyperlink r:id="rId6" w:history="1">
              <w:r w:rsidR="00382AD2" w:rsidRPr="00D0148B">
                <w:rPr>
                  <w:rStyle w:val="Hyperlink"/>
                  <w:rFonts w:asciiTheme="minorHAnsi" w:hAnsiTheme="minorHAnsi" w:cs="Arial Unicode MS"/>
                </w:rPr>
                <w:t>http://scottishlibraries.org/wp-content/uploads/2015/01/HGIOPLS-Landscape-WEB-2017-.pdf</w:t>
              </w:r>
            </w:hyperlink>
          </w:p>
          <w:p w14:paraId="3F4EB05F" w14:textId="77777777" w:rsidR="00382AD2" w:rsidRDefault="00382AD2" w:rsidP="00094BA0">
            <w:pPr>
              <w:pStyle w:val="Default"/>
              <w:ind w:right="720"/>
              <w:rPr>
                <w:rFonts w:asciiTheme="minorHAnsi" w:hAnsiTheme="minorHAnsi"/>
              </w:rPr>
            </w:pPr>
          </w:p>
          <w:p w14:paraId="2469915A" w14:textId="77777777" w:rsidR="00E05C69" w:rsidRDefault="00E05C69" w:rsidP="00094BA0">
            <w:pPr>
              <w:pStyle w:val="Default"/>
              <w:ind w:right="720"/>
              <w:rPr>
                <w:rFonts w:asciiTheme="minorHAnsi" w:hAnsiTheme="minorHAnsi"/>
              </w:rPr>
            </w:pPr>
            <w:r w:rsidRPr="00E05C69">
              <w:rPr>
                <w:rFonts w:asciiTheme="minorHAnsi" w:hAnsiTheme="minorHAnsi"/>
              </w:rPr>
              <w:t xml:space="preserve">Totterdell, A. (2005). </w:t>
            </w:r>
            <w:r w:rsidRPr="00E05C69">
              <w:rPr>
                <w:rFonts w:asciiTheme="minorHAnsi" w:hAnsiTheme="minorHAnsi"/>
                <w:i/>
              </w:rPr>
              <w:t>An introduction to library and information work</w:t>
            </w:r>
            <w:r w:rsidRPr="00E05C69">
              <w:rPr>
                <w:rFonts w:asciiTheme="minorHAnsi" w:hAnsiTheme="minorHAnsi"/>
              </w:rPr>
              <w:t>. Facet: London.</w:t>
            </w:r>
          </w:p>
          <w:p w14:paraId="00F9EF62" w14:textId="77777777" w:rsidR="00F2455E" w:rsidRDefault="00F2455E" w:rsidP="00094BA0">
            <w:pPr>
              <w:pStyle w:val="Default"/>
              <w:ind w:right="720"/>
              <w:rPr>
                <w:rFonts w:asciiTheme="minorHAnsi" w:hAnsiTheme="minorHAnsi"/>
              </w:rPr>
            </w:pPr>
          </w:p>
          <w:p w14:paraId="5BB3A1BC" w14:textId="1E2EC47E" w:rsidR="00F2455E" w:rsidRPr="002C4292" w:rsidRDefault="00F2455E" w:rsidP="00094BA0">
            <w:pPr>
              <w:pStyle w:val="Default"/>
              <w:ind w:right="720"/>
              <w:rPr>
                <w:rFonts w:asciiTheme="minorHAnsi" w:hAnsiTheme="minorHAnsi"/>
              </w:rPr>
            </w:pPr>
            <w:r>
              <w:rPr>
                <w:rFonts w:asciiTheme="minorHAnsi" w:hAnsiTheme="minorHAnsi"/>
              </w:rPr>
              <w:t>Vakkari, P., Aabo, S., Audunson, R., Huysmans, F., Kwon, N., Oomes, M. and Sin, S-C, J. (2016) Patterns</w:t>
            </w:r>
            <w:r w:rsidR="00AA3AC6">
              <w:rPr>
                <w:rFonts w:asciiTheme="minorHAnsi" w:hAnsiTheme="minorHAnsi"/>
              </w:rPr>
              <w:t xml:space="preserve"> </w:t>
            </w:r>
            <w:r>
              <w:rPr>
                <w:rFonts w:asciiTheme="minorHAnsi" w:hAnsiTheme="minorHAnsi"/>
              </w:rPr>
              <w:t xml:space="preserve">of perceived public library outcomes in five countries. </w:t>
            </w:r>
            <w:r w:rsidRPr="00382AD2">
              <w:rPr>
                <w:rFonts w:asciiTheme="minorHAnsi" w:hAnsiTheme="minorHAnsi"/>
                <w:i/>
              </w:rPr>
              <w:t>Journal of Documentation</w:t>
            </w:r>
            <w:r>
              <w:rPr>
                <w:rFonts w:asciiTheme="minorHAnsi" w:hAnsiTheme="minorHAnsi"/>
              </w:rPr>
              <w:t>, 72(2), 342-61</w:t>
            </w:r>
          </w:p>
        </w:tc>
      </w:tr>
      <w:tr w:rsidR="00861793" w:rsidRPr="000E3051" w14:paraId="317417F8" w14:textId="77777777" w:rsidTr="007352DA">
        <w:trPr>
          <w:jc w:val="center"/>
        </w:trPr>
        <w:tc>
          <w:tcPr>
            <w:tcW w:w="2122" w:type="dxa"/>
          </w:tcPr>
          <w:p w14:paraId="4DE8DA32" w14:textId="59B87991" w:rsidR="00861793" w:rsidRPr="000E3051" w:rsidRDefault="00861793" w:rsidP="002E4DAA">
            <w:pPr>
              <w:rPr>
                <w:rFonts w:asciiTheme="minorHAnsi" w:hAnsiTheme="minorHAnsi"/>
              </w:rPr>
            </w:pPr>
            <w:r w:rsidRPr="000E3051">
              <w:rPr>
                <w:rFonts w:asciiTheme="minorHAnsi" w:hAnsiTheme="minorHAnsi"/>
                <w:sz w:val="22"/>
                <w:szCs w:val="22"/>
              </w:rPr>
              <w:lastRenderedPageBreak/>
              <w:t>Additional Information:</w:t>
            </w:r>
          </w:p>
        </w:tc>
        <w:tc>
          <w:tcPr>
            <w:tcW w:w="7423" w:type="dxa"/>
            <w:gridSpan w:val="2"/>
          </w:tcPr>
          <w:p w14:paraId="79078B33" w14:textId="2FB3AEB2" w:rsidR="00861793" w:rsidRPr="002C4292" w:rsidRDefault="00861793" w:rsidP="002E4DAA">
            <w:pPr>
              <w:jc w:val="both"/>
              <w:rPr>
                <w:rFonts w:asciiTheme="minorHAnsi" w:hAnsiTheme="minorHAnsi"/>
                <w:sz w:val="22"/>
                <w:szCs w:val="22"/>
              </w:rPr>
            </w:pPr>
          </w:p>
        </w:tc>
      </w:tr>
    </w:tbl>
    <w:p w14:paraId="4DC8430F" w14:textId="77777777" w:rsidR="00094BA0" w:rsidRDefault="00094BA0" w:rsidP="002E4DAA">
      <w:pPr>
        <w:rPr>
          <w:rFonts w:asciiTheme="minorHAnsi" w:hAnsiTheme="minorHAnsi"/>
          <w:sz w:val="22"/>
          <w:szCs w:val="22"/>
        </w:rPr>
      </w:pPr>
    </w:p>
    <w:p w14:paraId="16C1789C" w14:textId="77777777" w:rsidR="00861793" w:rsidRPr="000E3051" w:rsidRDefault="00861793" w:rsidP="002E4DAA">
      <w:pPr>
        <w:rPr>
          <w:rFonts w:asciiTheme="minorHAnsi" w:hAnsiTheme="minorHAnsi"/>
          <w:sz w:val="22"/>
          <w:szCs w:val="22"/>
        </w:rPr>
      </w:pPr>
      <w:r w:rsidRPr="000E3051">
        <w:rPr>
          <w:rFonts w:asciiTheme="minorHAnsi" w:hAnsiTheme="minorHAnsi"/>
          <w:sz w:val="22"/>
          <w:szCs w:val="22"/>
        </w:rPr>
        <w:t xml:space="preserve">Once completed, please email this form (as an attachment) to </w:t>
      </w:r>
      <w:hyperlink r:id="rId7" w:history="1">
        <w:r w:rsidRPr="000E3051">
          <w:rPr>
            <w:rStyle w:val="Hyperlink"/>
            <w:rFonts w:asciiTheme="minorHAnsi" w:hAnsiTheme="minorHAnsi"/>
            <w:sz w:val="22"/>
            <w:szCs w:val="22"/>
          </w:rPr>
          <w:t>i3submissions@rgu.ac.uk</w:t>
        </w:r>
      </w:hyperlink>
      <w:r w:rsidRPr="000E3051">
        <w:rPr>
          <w:rFonts w:asciiTheme="minorHAnsi" w:hAnsiTheme="minorHAnsi"/>
          <w:sz w:val="22"/>
          <w:szCs w:val="22"/>
        </w:rPr>
        <w:t>. The receipt of your abstract will be acknowledged.</w:t>
      </w:r>
    </w:p>
    <w:sectPr w:rsidR="00861793" w:rsidRPr="000E3051" w:rsidSect="0064160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00113"/>
    <w:multiLevelType w:val="hybridMultilevel"/>
    <w:tmpl w:val="AD9A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890C00"/>
    <w:multiLevelType w:val="hybridMultilevel"/>
    <w:tmpl w:val="21BE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600"/>
    <w:rsid w:val="0000392C"/>
    <w:rsid w:val="00063453"/>
    <w:rsid w:val="000759E6"/>
    <w:rsid w:val="00094BA0"/>
    <w:rsid w:val="000C0C68"/>
    <w:rsid w:val="000E3051"/>
    <w:rsid w:val="0011028C"/>
    <w:rsid w:val="00145FF1"/>
    <w:rsid w:val="001879B2"/>
    <w:rsid w:val="001E4939"/>
    <w:rsid w:val="001F1AA6"/>
    <w:rsid w:val="002315FE"/>
    <w:rsid w:val="00274F50"/>
    <w:rsid w:val="00280E3A"/>
    <w:rsid w:val="002C4292"/>
    <w:rsid w:val="002C4D7E"/>
    <w:rsid w:val="002E4DAA"/>
    <w:rsid w:val="002F0D4F"/>
    <w:rsid w:val="003066B9"/>
    <w:rsid w:val="00317F42"/>
    <w:rsid w:val="0033440D"/>
    <w:rsid w:val="003356F5"/>
    <w:rsid w:val="00382AD2"/>
    <w:rsid w:val="003A2DFF"/>
    <w:rsid w:val="003C4009"/>
    <w:rsid w:val="00445B35"/>
    <w:rsid w:val="004A5B5C"/>
    <w:rsid w:val="005225CE"/>
    <w:rsid w:val="00600A15"/>
    <w:rsid w:val="00620948"/>
    <w:rsid w:val="00625903"/>
    <w:rsid w:val="00641600"/>
    <w:rsid w:val="00642B26"/>
    <w:rsid w:val="00693290"/>
    <w:rsid w:val="00696394"/>
    <w:rsid w:val="006B6D40"/>
    <w:rsid w:val="007352DA"/>
    <w:rsid w:val="00750DC3"/>
    <w:rsid w:val="007A39EB"/>
    <w:rsid w:val="007D4A0F"/>
    <w:rsid w:val="00804F76"/>
    <w:rsid w:val="0081770E"/>
    <w:rsid w:val="00831A0A"/>
    <w:rsid w:val="008577E7"/>
    <w:rsid w:val="0086151A"/>
    <w:rsid w:val="00861793"/>
    <w:rsid w:val="00882ACD"/>
    <w:rsid w:val="008C7A0B"/>
    <w:rsid w:val="00951B2F"/>
    <w:rsid w:val="009631C1"/>
    <w:rsid w:val="0099038C"/>
    <w:rsid w:val="00AA3AC6"/>
    <w:rsid w:val="00AD0DAD"/>
    <w:rsid w:val="00C15CDB"/>
    <w:rsid w:val="00C21691"/>
    <w:rsid w:val="00C34937"/>
    <w:rsid w:val="00C63A83"/>
    <w:rsid w:val="00C8288C"/>
    <w:rsid w:val="00D502AE"/>
    <w:rsid w:val="00D61CA3"/>
    <w:rsid w:val="00D662AD"/>
    <w:rsid w:val="00D9631D"/>
    <w:rsid w:val="00E01C05"/>
    <w:rsid w:val="00E05C69"/>
    <w:rsid w:val="00EB3164"/>
    <w:rsid w:val="00EF5D83"/>
    <w:rsid w:val="00F13635"/>
    <w:rsid w:val="00F2455E"/>
    <w:rsid w:val="00F41E74"/>
    <w:rsid w:val="00F71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04720D"/>
  <w15:docId w15:val="{0284D020-AEB5-4C7E-B8CF-77603614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B3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41600"/>
    <w:pPr>
      <w:spacing w:after="0" w:line="240" w:lineRule="auto"/>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41600"/>
    <w:rPr>
      <w:rFonts w:cs="Times New Roman"/>
      <w:color w:val="0000FF"/>
      <w:u w:val="single"/>
    </w:rPr>
  </w:style>
  <w:style w:type="paragraph" w:styleId="BalloonText">
    <w:name w:val="Balloon Text"/>
    <w:basedOn w:val="Normal"/>
    <w:link w:val="BalloonTextChar"/>
    <w:uiPriority w:val="99"/>
    <w:semiHidden/>
    <w:unhideWhenUsed/>
    <w:rsid w:val="00D9631D"/>
    <w:rPr>
      <w:rFonts w:ascii="Tahoma" w:hAnsi="Tahoma" w:cs="Tahoma"/>
      <w:sz w:val="16"/>
      <w:szCs w:val="16"/>
    </w:rPr>
  </w:style>
  <w:style w:type="character" w:customStyle="1" w:styleId="BalloonTextChar">
    <w:name w:val="Balloon Text Char"/>
    <w:basedOn w:val="DefaultParagraphFont"/>
    <w:link w:val="BalloonText"/>
    <w:uiPriority w:val="99"/>
    <w:semiHidden/>
    <w:rsid w:val="00D9631D"/>
    <w:rPr>
      <w:rFonts w:ascii="Tahoma" w:hAnsi="Tahoma" w:cs="Tahoma"/>
      <w:sz w:val="16"/>
      <w:szCs w:val="16"/>
    </w:rPr>
  </w:style>
  <w:style w:type="paragraph" w:customStyle="1" w:styleId="Default">
    <w:name w:val="Default"/>
    <w:rsid w:val="00951B2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US"/>
    </w:rPr>
  </w:style>
  <w:style w:type="character" w:customStyle="1" w:styleId="Hyperlink0">
    <w:name w:val="Hyperlink.0"/>
    <w:basedOn w:val="Hyperlink"/>
    <w:rsid w:val="00951B2F"/>
    <w:rPr>
      <w:rFonts w:cs="Times New Roman"/>
      <w:color w:val="0000FF"/>
      <w:u w:val="single"/>
    </w:rPr>
  </w:style>
  <w:style w:type="paragraph" w:styleId="ListParagraph">
    <w:name w:val="List Paragraph"/>
    <w:basedOn w:val="Normal"/>
    <w:uiPriority w:val="34"/>
    <w:qFormat/>
    <w:rsid w:val="0086151A"/>
    <w:pPr>
      <w:ind w:left="720"/>
      <w:contextualSpacing/>
    </w:pPr>
    <w:rPr>
      <w:rFonts w:asciiTheme="minorHAnsi" w:eastAsiaTheme="minorEastAsia" w:hAnsiTheme="minorHAnsi" w:cstheme="minorBidi"/>
      <w:lang w:val="en-US" w:eastAsia="en-US"/>
    </w:rPr>
  </w:style>
  <w:style w:type="character" w:styleId="CommentReference">
    <w:name w:val="annotation reference"/>
    <w:basedOn w:val="DefaultParagraphFont"/>
    <w:uiPriority w:val="99"/>
    <w:semiHidden/>
    <w:unhideWhenUsed/>
    <w:rsid w:val="00C21691"/>
    <w:rPr>
      <w:sz w:val="16"/>
      <w:szCs w:val="16"/>
    </w:rPr>
  </w:style>
  <w:style w:type="paragraph" w:styleId="CommentText">
    <w:name w:val="annotation text"/>
    <w:basedOn w:val="Normal"/>
    <w:link w:val="CommentTextChar"/>
    <w:uiPriority w:val="99"/>
    <w:semiHidden/>
    <w:unhideWhenUsed/>
    <w:rsid w:val="00C21691"/>
    <w:rPr>
      <w:sz w:val="20"/>
      <w:szCs w:val="20"/>
    </w:rPr>
  </w:style>
  <w:style w:type="character" w:customStyle="1" w:styleId="CommentTextChar">
    <w:name w:val="Comment Text Char"/>
    <w:basedOn w:val="DefaultParagraphFont"/>
    <w:link w:val="CommentText"/>
    <w:uiPriority w:val="99"/>
    <w:semiHidden/>
    <w:rsid w:val="00C21691"/>
    <w:rPr>
      <w:sz w:val="20"/>
      <w:szCs w:val="20"/>
    </w:rPr>
  </w:style>
  <w:style w:type="paragraph" w:styleId="CommentSubject">
    <w:name w:val="annotation subject"/>
    <w:basedOn w:val="CommentText"/>
    <w:next w:val="CommentText"/>
    <w:link w:val="CommentSubjectChar"/>
    <w:uiPriority w:val="99"/>
    <w:semiHidden/>
    <w:unhideWhenUsed/>
    <w:rsid w:val="00C21691"/>
    <w:rPr>
      <w:b/>
      <w:bCs/>
    </w:rPr>
  </w:style>
  <w:style w:type="character" w:customStyle="1" w:styleId="CommentSubjectChar">
    <w:name w:val="Comment Subject Char"/>
    <w:basedOn w:val="CommentTextChar"/>
    <w:link w:val="CommentSubject"/>
    <w:uiPriority w:val="99"/>
    <w:semiHidden/>
    <w:rsid w:val="00C216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3submissions@rg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ttishlibraries.org/wp-content/uploads/2015/01/HGIOPLS-Landscape-WEB-2017-.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1704</Words>
  <Characters>9842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Robert Gordon University</Company>
  <LinksUpToDate>false</LinksUpToDate>
  <CharactersWithSpaces>11523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Gibson, Lyn</cp:lastModifiedBy>
  <cp:revision>2</cp:revision>
  <cp:lastPrinted>2014-10-09T09:03:00Z</cp:lastPrinted>
  <dcterms:created xsi:type="dcterms:W3CDTF">2017-05-05T12:32:00Z</dcterms:created>
  <dcterms:modified xsi:type="dcterms:W3CDTF">2017-05-05T12:32:00Z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