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FC091" w14:textId="77777777" w:rsidR="00870AC8" w:rsidRPr="00C340E5" w:rsidRDefault="0038562B" w:rsidP="00C340E5">
      <w:pPr>
        <w:spacing w:line="360" w:lineRule="auto"/>
      </w:pPr>
      <w:bookmarkStart w:id="0" w:name="_GoBack"/>
      <w:bookmarkEnd w:id="0"/>
      <w:r w:rsidRPr="00C340E5">
        <w:t xml:space="preserve">TITLE: </w:t>
      </w:r>
      <w:r w:rsidR="007130A7">
        <w:t>Patterns of referral and wait</w:t>
      </w:r>
      <w:r w:rsidR="00192E02">
        <w:t>ing</w:t>
      </w:r>
      <w:r w:rsidR="007130A7">
        <w:t xml:space="preserve"> times for specialist Child and Adolescent Mental Health Services</w:t>
      </w:r>
    </w:p>
    <w:p w14:paraId="4C5B5F61" w14:textId="77777777" w:rsidR="00870AC8" w:rsidRPr="00C340E5" w:rsidRDefault="0038562B" w:rsidP="00C340E5">
      <w:pPr>
        <w:spacing w:line="360" w:lineRule="auto"/>
      </w:pPr>
      <w:r w:rsidRPr="00C340E5">
        <w:t xml:space="preserve">AUTHORS: </w:t>
      </w:r>
      <w:r w:rsidR="00870AC8" w:rsidRPr="00C340E5">
        <w:t>Joanna Smith</w:t>
      </w:r>
      <w:r w:rsidR="00870AC8" w:rsidRPr="00C340E5">
        <w:rPr>
          <w:vertAlign w:val="superscript"/>
        </w:rPr>
        <w:t>1</w:t>
      </w:r>
      <w:r w:rsidRPr="00C340E5">
        <w:rPr>
          <w:vertAlign w:val="superscript"/>
        </w:rPr>
        <w:t>*</w:t>
      </w:r>
      <w:r w:rsidR="00870AC8" w:rsidRPr="00C340E5">
        <w:rPr>
          <w:vertAlign w:val="superscript"/>
        </w:rPr>
        <w:t>,</w:t>
      </w:r>
      <w:r w:rsidR="00870AC8" w:rsidRPr="00C340E5">
        <w:t xml:space="preserve"> Richard G Kyle</w:t>
      </w:r>
      <w:r w:rsidR="00870AC8" w:rsidRPr="00C340E5">
        <w:rPr>
          <w:vertAlign w:val="superscript"/>
        </w:rPr>
        <w:t>2</w:t>
      </w:r>
      <w:r w:rsidR="00870AC8" w:rsidRPr="00C340E5">
        <w:t>, Brigid Daniel</w:t>
      </w:r>
      <w:r w:rsidR="00870AC8" w:rsidRPr="00C340E5">
        <w:rPr>
          <w:vertAlign w:val="superscript"/>
        </w:rPr>
        <w:t>3</w:t>
      </w:r>
      <w:r w:rsidR="00870AC8" w:rsidRPr="00C340E5">
        <w:t>, Gill Hubbard</w:t>
      </w:r>
      <w:r w:rsidR="00870AC8" w:rsidRPr="00C340E5">
        <w:rPr>
          <w:vertAlign w:val="superscript"/>
        </w:rPr>
        <w:t>1</w:t>
      </w:r>
    </w:p>
    <w:p w14:paraId="6866EADF" w14:textId="77777777" w:rsidR="0038562B" w:rsidRPr="00F876CB" w:rsidRDefault="0038562B" w:rsidP="00C340E5">
      <w:pPr>
        <w:widowControl w:val="0"/>
        <w:autoSpaceDE w:val="0"/>
        <w:autoSpaceDN w:val="0"/>
        <w:adjustRightInd w:val="0"/>
        <w:spacing w:after="0" w:line="360" w:lineRule="auto"/>
        <w:rPr>
          <w:rFonts w:cs="Tahoma"/>
          <w:lang w:val="en-US"/>
        </w:rPr>
      </w:pPr>
      <w:r w:rsidRPr="00F876CB">
        <w:rPr>
          <w:rFonts w:cs="Tahoma"/>
          <w:lang w:val="en-US"/>
        </w:rPr>
        <w:t>ADDRESSES</w:t>
      </w:r>
    </w:p>
    <w:p w14:paraId="4F4D56A9" w14:textId="77777777" w:rsidR="00870AC8" w:rsidRPr="00F876CB" w:rsidRDefault="00870AC8" w:rsidP="00C340E5">
      <w:pPr>
        <w:widowControl w:val="0"/>
        <w:autoSpaceDE w:val="0"/>
        <w:autoSpaceDN w:val="0"/>
        <w:adjustRightInd w:val="0"/>
        <w:spacing w:after="0" w:line="360" w:lineRule="auto"/>
        <w:rPr>
          <w:rFonts w:cs="Times New Roman"/>
          <w:lang w:val="en-US"/>
        </w:rPr>
      </w:pPr>
      <w:r w:rsidRPr="00F876CB">
        <w:rPr>
          <w:rFonts w:cs="Tahoma"/>
          <w:lang w:val="en-US"/>
        </w:rPr>
        <w:t xml:space="preserve">1. </w:t>
      </w:r>
      <w:r w:rsidR="002957AC">
        <w:rPr>
          <w:rFonts w:cs="Tahoma"/>
          <w:lang w:val="en-US"/>
        </w:rPr>
        <w:t>Faculty of Health Science and Sport</w:t>
      </w:r>
      <w:r w:rsidRPr="00F876CB">
        <w:rPr>
          <w:rFonts w:cs="Times New Roman"/>
          <w:lang w:val="en-US"/>
        </w:rPr>
        <w:t xml:space="preserve">, </w:t>
      </w:r>
      <w:r w:rsidRPr="00F876CB">
        <w:rPr>
          <w:rFonts w:cs="Tahoma"/>
          <w:lang w:val="en-US"/>
        </w:rPr>
        <w:t>University of Stirling</w:t>
      </w:r>
      <w:r w:rsidRPr="00F876CB">
        <w:rPr>
          <w:rFonts w:cs="Times New Roman"/>
          <w:lang w:val="en-US"/>
        </w:rPr>
        <w:t xml:space="preserve">, </w:t>
      </w:r>
      <w:r w:rsidRPr="00F876CB">
        <w:rPr>
          <w:rFonts w:cs="Tahoma"/>
          <w:lang w:val="en-US"/>
        </w:rPr>
        <w:t>Highland Campus, Centre for Health Science</w:t>
      </w:r>
      <w:r w:rsidRPr="00F876CB">
        <w:rPr>
          <w:rFonts w:cs="Times New Roman"/>
          <w:lang w:val="en-US"/>
        </w:rPr>
        <w:t xml:space="preserve">, </w:t>
      </w:r>
      <w:r w:rsidRPr="00F876CB">
        <w:rPr>
          <w:rFonts w:cs="Tahoma"/>
          <w:lang w:val="en-US"/>
        </w:rPr>
        <w:t>Old Perth Road</w:t>
      </w:r>
      <w:r w:rsidRPr="00F876CB">
        <w:rPr>
          <w:rFonts w:cs="Times New Roman"/>
          <w:lang w:val="en-US"/>
        </w:rPr>
        <w:t xml:space="preserve">, </w:t>
      </w:r>
      <w:r w:rsidRPr="00F876CB">
        <w:rPr>
          <w:rFonts w:cs="Tahoma"/>
          <w:lang w:val="en-US"/>
        </w:rPr>
        <w:t>INVERNESS</w:t>
      </w:r>
      <w:r w:rsidRPr="00F876CB">
        <w:rPr>
          <w:rFonts w:cs="Times New Roman"/>
          <w:lang w:val="en-US"/>
        </w:rPr>
        <w:t xml:space="preserve">, </w:t>
      </w:r>
      <w:r w:rsidRPr="00F876CB">
        <w:rPr>
          <w:rFonts w:cs="Tahoma"/>
          <w:lang w:val="en-US"/>
        </w:rPr>
        <w:t>IV2 3JH</w:t>
      </w:r>
    </w:p>
    <w:p w14:paraId="65026F94" w14:textId="77777777" w:rsidR="00870AC8" w:rsidRPr="00C340E5" w:rsidRDefault="00870AC8" w:rsidP="00C340E5">
      <w:pPr>
        <w:spacing w:line="360" w:lineRule="auto"/>
      </w:pPr>
      <w:r w:rsidRPr="00C340E5">
        <w:rPr>
          <w:rFonts w:cs="Tahoma"/>
          <w:color w:val="1C304E"/>
          <w:lang w:val="en-US"/>
        </w:rPr>
        <w:t xml:space="preserve">2. </w:t>
      </w:r>
      <w:r w:rsidRPr="00C340E5">
        <w:t xml:space="preserve">School of </w:t>
      </w:r>
      <w:r w:rsidR="0034769B">
        <w:t>Health and Social Care</w:t>
      </w:r>
      <w:r w:rsidRPr="00C340E5">
        <w:t>, Edinburgh Napier University, EH11 4BN, UK</w:t>
      </w:r>
    </w:p>
    <w:p w14:paraId="297F66F8" w14:textId="77777777" w:rsidR="00870AC8" w:rsidRPr="00C340E5" w:rsidRDefault="00870AC8" w:rsidP="00C340E5">
      <w:pPr>
        <w:spacing w:line="360" w:lineRule="auto"/>
      </w:pPr>
      <w:r w:rsidRPr="00C340E5">
        <w:t>3. School of Applied Social Science, University of Stirling, Stirling, FK9 4LA</w:t>
      </w:r>
    </w:p>
    <w:p w14:paraId="179E08A5" w14:textId="77777777" w:rsidR="0038562B" w:rsidRPr="00C340E5" w:rsidRDefault="0038562B" w:rsidP="00C340E5">
      <w:pPr>
        <w:spacing w:line="360" w:lineRule="auto"/>
      </w:pPr>
    </w:p>
    <w:p w14:paraId="24BE5F89" w14:textId="53B44A04" w:rsidR="0038562B" w:rsidRPr="00F876CB" w:rsidRDefault="0038562B" w:rsidP="00C340E5">
      <w:pPr>
        <w:spacing w:line="360" w:lineRule="auto"/>
        <w:rPr>
          <w:rFonts w:cs="Tahoma"/>
          <w:lang w:val="en-US"/>
        </w:rPr>
      </w:pPr>
      <w:r w:rsidRPr="00C340E5">
        <w:t xml:space="preserve">* CORRESPONDANCE: </w:t>
      </w:r>
      <w:r w:rsidR="006905DB">
        <w:t xml:space="preserve">Faculty </w:t>
      </w:r>
      <w:r w:rsidRPr="00F876CB">
        <w:rPr>
          <w:rFonts w:cs="Tahoma"/>
          <w:lang w:val="en-US"/>
        </w:rPr>
        <w:t>of Health Science</w:t>
      </w:r>
      <w:r w:rsidR="006905DB">
        <w:rPr>
          <w:rFonts w:cs="Tahoma"/>
          <w:lang w:val="en-US"/>
        </w:rPr>
        <w:t xml:space="preserve"> and Sport</w:t>
      </w:r>
      <w:r w:rsidRPr="00F876CB">
        <w:rPr>
          <w:rFonts w:cs="Times New Roman"/>
          <w:lang w:val="en-US"/>
        </w:rPr>
        <w:t xml:space="preserve">, </w:t>
      </w:r>
      <w:r w:rsidRPr="00F876CB">
        <w:rPr>
          <w:rFonts w:cs="Tahoma"/>
          <w:lang w:val="en-US"/>
        </w:rPr>
        <w:t>University of Stirling</w:t>
      </w:r>
      <w:r w:rsidRPr="00F876CB">
        <w:rPr>
          <w:rFonts w:cs="Times New Roman"/>
          <w:lang w:val="en-US"/>
        </w:rPr>
        <w:t xml:space="preserve">, </w:t>
      </w:r>
      <w:r w:rsidRPr="00F876CB">
        <w:rPr>
          <w:rFonts w:cs="Tahoma"/>
          <w:lang w:val="en-US"/>
        </w:rPr>
        <w:t>Highland Campus, Centre for Health Science</w:t>
      </w:r>
      <w:r w:rsidRPr="00F876CB">
        <w:rPr>
          <w:rFonts w:cs="Times New Roman"/>
          <w:lang w:val="en-US"/>
        </w:rPr>
        <w:t xml:space="preserve">, </w:t>
      </w:r>
      <w:r w:rsidRPr="00F876CB">
        <w:rPr>
          <w:rFonts w:cs="Tahoma"/>
          <w:lang w:val="en-US"/>
        </w:rPr>
        <w:t>Old Perth Road</w:t>
      </w:r>
      <w:r w:rsidRPr="00F876CB">
        <w:rPr>
          <w:rFonts w:cs="Times New Roman"/>
          <w:lang w:val="en-US"/>
        </w:rPr>
        <w:t xml:space="preserve">, </w:t>
      </w:r>
      <w:r w:rsidRPr="00F876CB">
        <w:rPr>
          <w:rFonts w:cs="Tahoma"/>
          <w:lang w:val="en-US"/>
        </w:rPr>
        <w:t>INVERNESS</w:t>
      </w:r>
      <w:r w:rsidRPr="00F876CB">
        <w:rPr>
          <w:rFonts w:cs="Times New Roman"/>
          <w:lang w:val="en-US"/>
        </w:rPr>
        <w:t xml:space="preserve">, </w:t>
      </w:r>
      <w:r w:rsidRPr="00F876CB">
        <w:rPr>
          <w:rFonts w:cs="Tahoma"/>
          <w:lang w:val="en-US"/>
        </w:rPr>
        <w:t xml:space="preserve">IV2 3JH </w:t>
      </w:r>
      <w:hyperlink r:id="rId8" w:history="1">
        <w:r w:rsidRPr="00F876CB">
          <w:rPr>
            <w:rStyle w:val="Hyperlink"/>
            <w:rFonts w:cs="Tahoma"/>
            <w:color w:val="auto"/>
            <w:lang w:val="en-US"/>
          </w:rPr>
          <w:t>joanna.smith@stir.ac.uk</w:t>
        </w:r>
      </w:hyperlink>
    </w:p>
    <w:p w14:paraId="3663CA16" w14:textId="77777777" w:rsidR="0038562B" w:rsidRPr="00C340E5" w:rsidRDefault="0038562B" w:rsidP="00C340E5">
      <w:pPr>
        <w:spacing w:line="360" w:lineRule="auto"/>
      </w:pPr>
    </w:p>
    <w:p w14:paraId="2D4C7420" w14:textId="77777777" w:rsidR="0038562B" w:rsidRPr="00C340E5" w:rsidRDefault="0038562B" w:rsidP="00C340E5">
      <w:pPr>
        <w:spacing w:line="360" w:lineRule="auto"/>
      </w:pPr>
      <w:r w:rsidRPr="00C340E5">
        <w:t>ABBRIEVIATED TITLE</w:t>
      </w:r>
    </w:p>
    <w:p w14:paraId="690FCA10" w14:textId="77777777" w:rsidR="0038562B" w:rsidRPr="00C340E5" w:rsidRDefault="0038562B" w:rsidP="00C340E5">
      <w:pPr>
        <w:spacing w:line="360" w:lineRule="auto"/>
      </w:pPr>
      <w:r w:rsidRPr="00C340E5">
        <w:t xml:space="preserve">CAMHS referral </w:t>
      </w:r>
      <w:r w:rsidR="00AF7791">
        <w:t xml:space="preserve">patterns </w:t>
      </w:r>
      <w:r w:rsidRPr="00C340E5">
        <w:t>and wait</w:t>
      </w:r>
      <w:r w:rsidR="00D96C28">
        <w:t>ing</w:t>
      </w:r>
      <w:r w:rsidRPr="00C340E5">
        <w:t xml:space="preserve"> times</w:t>
      </w:r>
    </w:p>
    <w:p w14:paraId="1DC7AADF" w14:textId="77777777" w:rsidR="00870AC8" w:rsidRPr="00C340E5" w:rsidRDefault="00870AC8" w:rsidP="00C340E5">
      <w:pPr>
        <w:spacing w:line="360" w:lineRule="auto"/>
        <w:rPr>
          <w:b/>
        </w:rPr>
      </w:pPr>
      <w:r w:rsidRPr="00C340E5">
        <w:rPr>
          <w:b/>
        </w:rPr>
        <w:br w:type="page"/>
      </w:r>
    </w:p>
    <w:p w14:paraId="0FF2E570" w14:textId="77777777" w:rsidR="0038562B" w:rsidRPr="005222FB" w:rsidRDefault="0038562B" w:rsidP="00C340E5">
      <w:pPr>
        <w:spacing w:line="360" w:lineRule="auto"/>
        <w:rPr>
          <w:b/>
          <w:sz w:val="24"/>
          <w:szCs w:val="24"/>
        </w:rPr>
      </w:pPr>
      <w:r w:rsidRPr="005222FB">
        <w:rPr>
          <w:b/>
          <w:sz w:val="24"/>
          <w:szCs w:val="24"/>
        </w:rPr>
        <w:lastRenderedPageBreak/>
        <w:t>ABSTRACT</w:t>
      </w:r>
    </w:p>
    <w:p w14:paraId="7458A48B" w14:textId="77777777" w:rsidR="0038562B" w:rsidRPr="00C340E5" w:rsidRDefault="0038562B" w:rsidP="00AA2F72">
      <w:pPr>
        <w:spacing w:line="480" w:lineRule="auto"/>
        <w:rPr>
          <w:b/>
        </w:rPr>
      </w:pPr>
      <w:r w:rsidRPr="00C340E5">
        <w:rPr>
          <w:b/>
        </w:rPr>
        <w:t>Background</w:t>
      </w:r>
    </w:p>
    <w:p w14:paraId="07AD64CE" w14:textId="77777777" w:rsidR="0038562B" w:rsidRPr="00C340E5" w:rsidRDefault="00D1303B" w:rsidP="00AA2F72">
      <w:pPr>
        <w:tabs>
          <w:tab w:val="left" w:pos="720"/>
          <w:tab w:val="left" w:pos="1440"/>
          <w:tab w:val="left" w:pos="2160"/>
          <w:tab w:val="left" w:pos="2880"/>
          <w:tab w:val="left" w:pos="4680"/>
          <w:tab w:val="left" w:pos="5400"/>
          <w:tab w:val="right" w:pos="9000"/>
        </w:tabs>
        <w:spacing w:line="480" w:lineRule="auto"/>
        <w:rPr>
          <w:rFonts w:cstheme="majorHAnsi"/>
        </w:rPr>
      </w:pPr>
      <w:r>
        <w:rPr>
          <w:rFonts w:cstheme="majorHAnsi"/>
        </w:rPr>
        <w:t>During</w:t>
      </w:r>
      <w:r w:rsidR="005422EB" w:rsidRPr="00C340E5">
        <w:rPr>
          <w:rFonts w:cstheme="majorHAnsi"/>
        </w:rPr>
        <w:t xml:space="preserve"> 12 month period (</w:t>
      </w:r>
      <w:r w:rsidR="0038562B" w:rsidRPr="00C340E5">
        <w:rPr>
          <w:rFonts w:cstheme="majorHAnsi"/>
        </w:rPr>
        <w:t>2012/13</w:t>
      </w:r>
      <w:r w:rsidR="005422EB" w:rsidRPr="00C340E5">
        <w:rPr>
          <w:rFonts w:cstheme="majorHAnsi"/>
        </w:rPr>
        <w:t>)</w:t>
      </w:r>
      <w:r w:rsidR="0038562B" w:rsidRPr="00C340E5">
        <w:rPr>
          <w:rFonts w:cstheme="majorHAnsi"/>
        </w:rPr>
        <w:t xml:space="preserve"> around 21,480 children and young people </w:t>
      </w:r>
      <w:r w:rsidR="004C531B" w:rsidRPr="00C340E5">
        <w:rPr>
          <w:rFonts w:cstheme="majorHAnsi"/>
        </w:rPr>
        <w:t xml:space="preserve">(CYP) </w:t>
      </w:r>
      <w:r w:rsidR="0038562B" w:rsidRPr="00C340E5">
        <w:rPr>
          <w:rFonts w:cstheme="majorHAnsi"/>
        </w:rPr>
        <w:t>were referred to CAMHS in Scotland</w:t>
      </w:r>
      <w:r w:rsidR="005422EB" w:rsidRPr="00C340E5">
        <w:rPr>
          <w:rFonts w:cstheme="majorHAnsi"/>
        </w:rPr>
        <w:t xml:space="preserve"> (NHS Scotland 2013).</w:t>
      </w:r>
      <w:r w:rsidR="00D66F44" w:rsidRPr="00C340E5">
        <w:rPr>
          <w:rFonts w:cstheme="majorHAnsi"/>
        </w:rPr>
        <w:t xml:space="preserve"> </w:t>
      </w:r>
      <w:r w:rsidR="005422EB" w:rsidRPr="00C340E5">
        <w:rPr>
          <w:rFonts w:cstheme="majorHAnsi"/>
        </w:rPr>
        <w:t>A</w:t>
      </w:r>
      <w:r w:rsidR="00D66F44" w:rsidRPr="00C340E5">
        <w:rPr>
          <w:rFonts w:cstheme="majorHAnsi"/>
        </w:rPr>
        <w:t>t the end of September 2012 there were 3,602 CYP still waiting for ‘start of treatment’ or ‘removal from the waiting list’</w:t>
      </w:r>
      <w:r w:rsidR="005422EB" w:rsidRPr="00C340E5">
        <w:rPr>
          <w:rFonts w:cstheme="majorHAnsi"/>
        </w:rPr>
        <w:t>,</w:t>
      </w:r>
      <w:r w:rsidR="00D66F44" w:rsidRPr="00C340E5">
        <w:rPr>
          <w:rFonts w:cstheme="majorHAnsi"/>
        </w:rPr>
        <w:t xml:space="preserve"> 375 (10%) CYP had waited over 26 weeks and 1,204 (33%) CYP had waited over 18 weeks (NHS Scotland 2013). </w:t>
      </w:r>
      <w:r w:rsidR="009B5A16">
        <w:rPr>
          <w:rFonts w:cstheme="majorHAnsi"/>
        </w:rPr>
        <w:t xml:space="preserve">  </w:t>
      </w:r>
      <w:r w:rsidR="004637C2" w:rsidRPr="00C340E5">
        <w:rPr>
          <w:rFonts w:cstheme="majorHAnsi"/>
        </w:rPr>
        <w:t>Referral source</w:t>
      </w:r>
      <w:r w:rsidR="004C531B" w:rsidRPr="00C340E5">
        <w:rPr>
          <w:rFonts w:cstheme="majorHAnsi"/>
        </w:rPr>
        <w:t xml:space="preserve">, </w:t>
      </w:r>
      <w:r w:rsidR="0038562B" w:rsidRPr="00C340E5">
        <w:rPr>
          <w:rFonts w:cstheme="majorHAnsi"/>
        </w:rPr>
        <w:t>referral</w:t>
      </w:r>
      <w:r w:rsidR="00710988" w:rsidRPr="00C340E5">
        <w:rPr>
          <w:rFonts w:cstheme="majorHAnsi"/>
        </w:rPr>
        <w:t xml:space="preserve"> reason</w:t>
      </w:r>
      <w:r w:rsidR="005D1F73" w:rsidRPr="00C340E5">
        <w:rPr>
          <w:rFonts w:cstheme="majorHAnsi"/>
        </w:rPr>
        <w:t xml:space="preserve">, and </w:t>
      </w:r>
      <w:r w:rsidR="005D1F73" w:rsidRPr="00C340E5">
        <w:t xml:space="preserve">the </w:t>
      </w:r>
      <w:r w:rsidR="00C524A3" w:rsidRPr="00C340E5">
        <w:t xml:space="preserve">socio-demographic </w:t>
      </w:r>
      <w:r w:rsidR="004C531B" w:rsidRPr="00C340E5">
        <w:rPr>
          <w:rFonts w:cstheme="majorHAnsi"/>
        </w:rPr>
        <w:t>characteristics of CYP</w:t>
      </w:r>
      <w:r w:rsidR="00D96C28">
        <w:rPr>
          <w:rFonts w:cstheme="majorHAnsi"/>
        </w:rPr>
        <w:t>,</w:t>
      </w:r>
      <w:r w:rsidR="004C531B" w:rsidRPr="00C340E5">
        <w:rPr>
          <w:rFonts w:cstheme="majorHAnsi"/>
        </w:rPr>
        <w:t xml:space="preserve"> </w:t>
      </w:r>
      <w:r w:rsidR="004637C2" w:rsidRPr="00C340E5">
        <w:rPr>
          <w:rFonts w:cstheme="majorHAnsi"/>
        </w:rPr>
        <w:t>are not routinely collected</w:t>
      </w:r>
      <w:r w:rsidR="005D1F73" w:rsidRPr="00C340E5">
        <w:rPr>
          <w:rFonts w:cstheme="majorHAnsi"/>
        </w:rPr>
        <w:t xml:space="preserve"> and </w:t>
      </w:r>
      <w:r w:rsidR="005422EB" w:rsidRPr="00C340E5">
        <w:rPr>
          <w:rFonts w:cstheme="majorHAnsi"/>
        </w:rPr>
        <w:t xml:space="preserve">therefore </w:t>
      </w:r>
      <w:r w:rsidR="005D1F73" w:rsidRPr="00C340E5">
        <w:rPr>
          <w:rFonts w:cstheme="majorHAnsi"/>
        </w:rPr>
        <w:t>a</w:t>
      </w:r>
      <w:r w:rsidR="004637C2" w:rsidRPr="00C340E5">
        <w:rPr>
          <w:rFonts w:cstheme="majorHAnsi"/>
        </w:rPr>
        <w:t xml:space="preserve">ssociations </w:t>
      </w:r>
      <w:r w:rsidR="005422EB" w:rsidRPr="00C340E5">
        <w:rPr>
          <w:rFonts w:cstheme="majorHAnsi"/>
        </w:rPr>
        <w:t>between these factors and</w:t>
      </w:r>
      <w:r w:rsidR="004637C2" w:rsidRPr="00C340E5">
        <w:rPr>
          <w:rFonts w:cstheme="majorHAnsi"/>
        </w:rPr>
        <w:t xml:space="preserve"> </w:t>
      </w:r>
      <w:r w:rsidR="005D1F73" w:rsidRPr="00C340E5">
        <w:rPr>
          <w:rFonts w:cstheme="majorHAnsi"/>
        </w:rPr>
        <w:t xml:space="preserve">wait times for ‘start of treatment’ or ‘removal from the waiting list’ </w:t>
      </w:r>
      <w:r w:rsidR="005422EB" w:rsidRPr="00C340E5">
        <w:rPr>
          <w:rFonts w:cstheme="majorHAnsi"/>
        </w:rPr>
        <w:t>(</w:t>
      </w:r>
      <w:r w:rsidR="005D1F73" w:rsidRPr="00C340E5">
        <w:rPr>
          <w:rFonts w:cstheme="majorHAnsi"/>
        </w:rPr>
        <w:t>i.e. the referral outcome</w:t>
      </w:r>
      <w:r w:rsidR="005422EB" w:rsidRPr="00C340E5">
        <w:rPr>
          <w:rFonts w:cstheme="majorHAnsi"/>
        </w:rPr>
        <w:t>)</w:t>
      </w:r>
      <w:r w:rsidR="005D1F73" w:rsidRPr="00C340E5">
        <w:rPr>
          <w:rFonts w:cstheme="majorHAnsi"/>
        </w:rPr>
        <w:t xml:space="preserve"> </w:t>
      </w:r>
      <w:r w:rsidR="00C524A3" w:rsidRPr="00C340E5">
        <w:rPr>
          <w:rFonts w:cstheme="majorHAnsi"/>
        </w:rPr>
        <w:t xml:space="preserve">are </w:t>
      </w:r>
      <w:r w:rsidR="005422EB" w:rsidRPr="00C340E5">
        <w:rPr>
          <w:rFonts w:cstheme="majorHAnsi"/>
        </w:rPr>
        <w:t>unknown</w:t>
      </w:r>
      <w:r w:rsidR="00C524A3" w:rsidRPr="00C340E5">
        <w:rPr>
          <w:rFonts w:cstheme="majorHAnsi"/>
        </w:rPr>
        <w:t>.</w:t>
      </w:r>
    </w:p>
    <w:p w14:paraId="2200F380" w14:textId="77777777" w:rsidR="0038562B" w:rsidRPr="00C340E5" w:rsidRDefault="0038562B" w:rsidP="00AA2F72">
      <w:pPr>
        <w:spacing w:line="480" w:lineRule="auto"/>
        <w:rPr>
          <w:b/>
        </w:rPr>
      </w:pPr>
      <w:r w:rsidRPr="00C340E5">
        <w:rPr>
          <w:b/>
        </w:rPr>
        <w:t>Method</w:t>
      </w:r>
    </w:p>
    <w:p w14:paraId="198A45FA" w14:textId="77777777" w:rsidR="00C524A3" w:rsidRPr="00C340E5" w:rsidRDefault="0096142D" w:rsidP="00AA2F72">
      <w:pPr>
        <w:spacing w:line="480" w:lineRule="auto"/>
      </w:pPr>
      <w:r w:rsidRPr="00C340E5">
        <w:t>In this exploratory study, a</w:t>
      </w:r>
      <w:r w:rsidR="004C531B" w:rsidRPr="00C340E5">
        <w:t xml:space="preserve"> retrospective </w:t>
      </w:r>
      <w:r w:rsidRPr="00C340E5">
        <w:t xml:space="preserve">analysis </w:t>
      </w:r>
      <w:r w:rsidR="004C531B" w:rsidRPr="00C340E5">
        <w:t xml:space="preserve">of referral data </w:t>
      </w:r>
      <w:r w:rsidR="00D96C28" w:rsidRPr="00C340E5">
        <w:t xml:space="preserve">was conducted </w:t>
      </w:r>
      <w:r w:rsidR="004C531B" w:rsidRPr="00C340E5">
        <w:t>in one CAMH</w:t>
      </w:r>
      <w:r w:rsidR="00D96C28">
        <w:t>S</w:t>
      </w:r>
      <w:r w:rsidR="004C531B" w:rsidRPr="00C340E5">
        <w:t xml:space="preserve">. </w:t>
      </w:r>
      <w:r w:rsidR="00A0401C" w:rsidRPr="00C340E5">
        <w:t>Data</w:t>
      </w:r>
      <w:r w:rsidR="00D51C74">
        <w:t xml:space="preserve"> for 476 referrals between </w:t>
      </w:r>
      <w:r w:rsidR="00031B00">
        <w:t>1</w:t>
      </w:r>
      <w:r w:rsidR="00031B00" w:rsidRPr="00031B00">
        <w:rPr>
          <w:vertAlign w:val="superscript"/>
        </w:rPr>
        <w:t>st</w:t>
      </w:r>
      <w:r w:rsidR="00031B00">
        <w:t xml:space="preserve"> May 2013</w:t>
      </w:r>
      <w:r w:rsidR="00D51C74">
        <w:t xml:space="preserve"> and</w:t>
      </w:r>
      <w:r w:rsidR="00031B00">
        <w:t xml:space="preserve"> 31</w:t>
      </w:r>
      <w:r w:rsidR="00031B00" w:rsidRPr="00031B00">
        <w:rPr>
          <w:vertAlign w:val="superscript"/>
        </w:rPr>
        <w:t>st</w:t>
      </w:r>
      <w:r w:rsidR="00031B00">
        <w:t xml:space="preserve"> May 2014 were</w:t>
      </w:r>
      <w:r w:rsidR="00D51C74">
        <w:t xml:space="preserve"> </w:t>
      </w:r>
      <w:r w:rsidR="006C0B99" w:rsidRPr="00C340E5">
        <w:t xml:space="preserve">initially </w:t>
      </w:r>
      <w:r w:rsidR="00A0401C" w:rsidRPr="00C340E5">
        <w:t>analysed</w:t>
      </w:r>
      <w:r w:rsidR="006C0B99" w:rsidRPr="00C340E5">
        <w:t xml:space="preserve"> to</w:t>
      </w:r>
      <w:r w:rsidR="00A0401C" w:rsidRPr="00C340E5">
        <w:t xml:space="preserve"> define categories for each of the following key variables: referral source, referral reason and referral outcome.</w:t>
      </w:r>
      <w:r w:rsidR="00D51C74">
        <w:t xml:space="preserve">  Data on CYP socio-demographic characteristics were extracted from referral records, including age, gender and postcode, from which </w:t>
      </w:r>
      <w:r w:rsidR="00AD0E2B">
        <w:t xml:space="preserve">Scottish Index of Multiple Deprivation (SIMD) quintile of residence was derived.  </w:t>
      </w:r>
      <w:r w:rsidR="00A0401C" w:rsidRPr="00C340E5">
        <w:t>D</w:t>
      </w:r>
      <w:r w:rsidR="004C531B" w:rsidRPr="00C340E5">
        <w:t xml:space="preserve">escriptive statistics </w:t>
      </w:r>
      <w:r w:rsidR="00710988" w:rsidRPr="00C340E5">
        <w:t>were</w:t>
      </w:r>
      <w:r w:rsidR="00A0401C" w:rsidRPr="00C340E5">
        <w:t xml:space="preserve"> </w:t>
      </w:r>
      <w:r w:rsidR="00AD0E2B">
        <w:t>calculated</w:t>
      </w:r>
      <w:r w:rsidR="00AD0E2B" w:rsidRPr="00C340E5">
        <w:t xml:space="preserve"> </w:t>
      </w:r>
      <w:r w:rsidR="00AD0E2B">
        <w:t>for</w:t>
      </w:r>
      <w:r w:rsidR="00AD0E2B" w:rsidRPr="00C340E5">
        <w:t xml:space="preserve"> </w:t>
      </w:r>
      <w:r w:rsidR="00710988" w:rsidRPr="00C340E5">
        <w:t xml:space="preserve">referral source, </w:t>
      </w:r>
      <w:r w:rsidR="005422EB" w:rsidRPr="00C340E5">
        <w:t xml:space="preserve">referral </w:t>
      </w:r>
      <w:r w:rsidR="00710988" w:rsidRPr="00C340E5">
        <w:t>reason and</w:t>
      </w:r>
      <w:r w:rsidR="00AD0E2B">
        <w:t xml:space="preserve"> </w:t>
      </w:r>
      <w:r w:rsidR="00AD0E2B" w:rsidRPr="00C340E5">
        <w:t>CYP</w:t>
      </w:r>
      <w:r w:rsidR="00AD0E2B">
        <w:t xml:space="preserve"> socio-demographic</w:t>
      </w:r>
      <w:r w:rsidR="00710988" w:rsidRPr="00C340E5">
        <w:t xml:space="preserve"> characteristics</w:t>
      </w:r>
      <w:r w:rsidR="00AD0E2B">
        <w:t xml:space="preserve">.  </w:t>
      </w:r>
      <w:r w:rsidR="00D51C74">
        <w:t xml:space="preserve">Regression models were then built to determine </w:t>
      </w:r>
      <w:r w:rsidR="00AD0E2B">
        <w:t>predictors of a referral being rejected by CAMHS and waiting time for referrals accepted by CAMHS.  Data were analysed in SPSS (Version 20).</w:t>
      </w:r>
    </w:p>
    <w:p w14:paraId="68AB3E71" w14:textId="77777777" w:rsidR="0038562B" w:rsidRDefault="0038562B" w:rsidP="00AA2F72">
      <w:pPr>
        <w:spacing w:line="480" w:lineRule="auto"/>
        <w:rPr>
          <w:b/>
        </w:rPr>
      </w:pPr>
      <w:r w:rsidRPr="00C340E5">
        <w:rPr>
          <w:b/>
        </w:rPr>
        <w:t>Results</w:t>
      </w:r>
    </w:p>
    <w:p w14:paraId="0C875EDA" w14:textId="77777777" w:rsidR="00026E67" w:rsidRDefault="00026E67" w:rsidP="00D1303B">
      <w:pPr>
        <w:pStyle w:val="ListParagraph"/>
        <w:spacing w:line="480" w:lineRule="auto"/>
      </w:pPr>
      <w:r w:rsidRPr="00026E67">
        <w:t>Of the 476 referrals</w:t>
      </w:r>
      <w:r w:rsidR="00BB0ADC" w:rsidRPr="00026E67">
        <w:t>,</w:t>
      </w:r>
      <w:r w:rsidR="00BB0ADC">
        <w:t xml:space="preserve"> </w:t>
      </w:r>
      <w:r w:rsidR="00D96C28">
        <w:t>72</w:t>
      </w:r>
      <w:r w:rsidR="00BB0ADC">
        <w:t xml:space="preserve"> % (n=342) were accepted and 12% (n=59) were rejected. Most referrals were made by general practitioners (GP</w:t>
      </w:r>
      <w:r w:rsidR="00D96C28">
        <w:t>s</w:t>
      </w:r>
      <w:r w:rsidR="00BB0ADC">
        <w:t xml:space="preserve">). Just </w:t>
      </w:r>
      <w:r w:rsidR="00D96C28">
        <w:t xml:space="preserve">under </w:t>
      </w:r>
      <w:r w:rsidR="00BB0ADC">
        <w:t>a third of referral</w:t>
      </w:r>
      <w:r w:rsidR="00D96C28">
        <w:t>s</w:t>
      </w:r>
      <w:r w:rsidR="00BB0ADC">
        <w:t xml:space="preserve"> to CAMHS</w:t>
      </w:r>
      <w:r w:rsidR="00D96C28">
        <w:t xml:space="preserve"> (31%)</w:t>
      </w:r>
      <w:r w:rsidR="00BB0ADC">
        <w:t xml:space="preserve"> were for CYP with emotional and behavioural difficulties.</w:t>
      </w:r>
      <w:r w:rsidR="00B73D10">
        <w:t xml:space="preserve">  </w:t>
      </w:r>
    </w:p>
    <w:p w14:paraId="404E96F4" w14:textId="77777777" w:rsidR="00026E67" w:rsidRDefault="00BB0ADC" w:rsidP="00D1303B">
      <w:pPr>
        <w:pStyle w:val="ListParagraph"/>
        <w:spacing w:line="480" w:lineRule="auto"/>
      </w:pPr>
      <w:r>
        <w:lastRenderedPageBreak/>
        <w:t>The odds of being rejected by CAMHS were significantly higher if referred by</w:t>
      </w:r>
      <w:r w:rsidR="006905DB">
        <w:t xml:space="preserve"> teachers</w:t>
      </w:r>
      <w:r>
        <w:t xml:space="preserve"> and for CYP with emotional and behavioural difficulties.</w:t>
      </w:r>
    </w:p>
    <w:p w14:paraId="2201EC9A" w14:textId="77777777" w:rsidR="00026E67" w:rsidRPr="00026E67" w:rsidRDefault="00BE4713" w:rsidP="00D1303B">
      <w:pPr>
        <w:pStyle w:val="ListParagraph"/>
        <w:spacing w:line="480" w:lineRule="auto"/>
      </w:pPr>
      <w:r>
        <w:t xml:space="preserve">Age and </w:t>
      </w:r>
      <w:r w:rsidR="009257C1">
        <w:t>referral reason</w:t>
      </w:r>
      <w:r w:rsidR="00B246CE">
        <w:t xml:space="preserve"> </w:t>
      </w:r>
      <w:r w:rsidR="001D4303">
        <w:t>were</w:t>
      </w:r>
      <w:r w:rsidR="00B246CE">
        <w:t xml:space="preserve"> significant independent predictor</w:t>
      </w:r>
      <w:r w:rsidR="001D4303">
        <w:t>s</w:t>
      </w:r>
      <w:r w:rsidR="00B246CE">
        <w:t xml:space="preserve"> of waiting time</w:t>
      </w:r>
      <w:r w:rsidR="001D4303">
        <w:t xml:space="preserve"> after referral to CAMHS</w:t>
      </w:r>
      <w:r>
        <w:t>, with CYP referred for hyperactivity/inattention waiting significantly longer</w:t>
      </w:r>
      <w:r w:rsidR="001D4303">
        <w:t>.</w:t>
      </w:r>
    </w:p>
    <w:p w14:paraId="3EDEA13E" w14:textId="77777777" w:rsidR="00CF5419" w:rsidRPr="00C340E5" w:rsidRDefault="00CF5419" w:rsidP="00AA2F72">
      <w:pPr>
        <w:spacing w:line="480" w:lineRule="auto"/>
        <w:rPr>
          <w:b/>
        </w:rPr>
      </w:pPr>
    </w:p>
    <w:p w14:paraId="7DDCA46E" w14:textId="77777777" w:rsidR="0038562B" w:rsidRPr="00C340E5" w:rsidRDefault="0038562B" w:rsidP="00AA2F72">
      <w:pPr>
        <w:spacing w:line="480" w:lineRule="auto"/>
        <w:rPr>
          <w:b/>
        </w:rPr>
      </w:pPr>
      <w:r w:rsidRPr="00C340E5">
        <w:rPr>
          <w:b/>
        </w:rPr>
        <w:t>Conclusions</w:t>
      </w:r>
    </w:p>
    <w:p w14:paraId="149D1928" w14:textId="77777777" w:rsidR="0038562B" w:rsidRPr="00F9283D" w:rsidRDefault="00353535" w:rsidP="00AA2F72">
      <w:pPr>
        <w:spacing w:line="480" w:lineRule="auto"/>
      </w:pPr>
      <w:r>
        <w:t xml:space="preserve">Policymakers should consider ways to foster dialogue and collaboration between different groups of professionals making and accepting referrals to CAMHS in order to improve timely access to appropriate mental health support services for CYP. </w:t>
      </w:r>
      <w:r w:rsidR="00BE4713">
        <w:t>R</w:t>
      </w:r>
      <w:r w:rsidR="00F9283D" w:rsidRPr="00F9283D">
        <w:t>esearch is urgently needed to investigate the experiences of CYP who are either rejected by CAMHS or wait lengthy periods of time before starting their treatment with CAMHS.</w:t>
      </w:r>
    </w:p>
    <w:p w14:paraId="69DADD7C" w14:textId="77777777" w:rsidR="0038562B" w:rsidRPr="00C340E5" w:rsidRDefault="0038562B" w:rsidP="00AA2F72">
      <w:pPr>
        <w:spacing w:line="480" w:lineRule="auto"/>
        <w:rPr>
          <w:b/>
        </w:rPr>
      </w:pPr>
    </w:p>
    <w:p w14:paraId="0C6FC29B" w14:textId="77777777" w:rsidR="00301BBA" w:rsidRPr="005222FB" w:rsidRDefault="00301BBA" w:rsidP="00AA2F72">
      <w:pPr>
        <w:spacing w:line="480" w:lineRule="auto"/>
        <w:rPr>
          <w:b/>
          <w:sz w:val="24"/>
          <w:szCs w:val="24"/>
        </w:rPr>
      </w:pPr>
      <w:r w:rsidRPr="005222FB">
        <w:rPr>
          <w:b/>
          <w:sz w:val="24"/>
          <w:szCs w:val="24"/>
        </w:rPr>
        <w:t>KEY PRACTITIONER MESSAGE</w:t>
      </w:r>
    </w:p>
    <w:p w14:paraId="36895EA5" w14:textId="77777777" w:rsidR="00292DE3" w:rsidRPr="00C340E5" w:rsidRDefault="00C524A3" w:rsidP="00AA2F72">
      <w:pPr>
        <w:pStyle w:val="ListParagraph"/>
        <w:numPr>
          <w:ilvl w:val="0"/>
          <w:numId w:val="11"/>
        </w:numPr>
        <w:spacing w:line="480" w:lineRule="auto"/>
        <w:rPr>
          <w:szCs w:val="22"/>
        </w:rPr>
      </w:pPr>
      <w:r w:rsidRPr="00C340E5">
        <w:rPr>
          <w:rFonts w:cstheme="majorHAnsi"/>
          <w:szCs w:val="22"/>
        </w:rPr>
        <w:t>Child and Adolescent Mental Health Services (CAMHS)</w:t>
      </w:r>
      <w:r w:rsidR="00292DE3" w:rsidRPr="00C340E5">
        <w:rPr>
          <w:rFonts w:cstheme="majorHAnsi"/>
          <w:szCs w:val="22"/>
        </w:rPr>
        <w:t xml:space="preserve"> </w:t>
      </w:r>
      <w:r w:rsidR="00BE4713">
        <w:rPr>
          <w:rFonts w:cstheme="majorHAnsi"/>
          <w:szCs w:val="22"/>
        </w:rPr>
        <w:t>are</w:t>
      </w:r>
      <w:r w:rsidR="00292DE3" w:rsidRPr="00C340E5">
        <w:rPr>
          <w:rFonts w:cstheme="majorHAnsi"/>
          <w:szCs w:val="22"/>
        </w:rPr>
        <w:t xml:space="preserve"> key </w:t>
      </w:r>
      <w:r w:rsidR="00BE4713">
        <w:rPr>
          <w:rFonts w:cstheme="majorHAnsi"/>
          <w:szCs w:val="22"/>
        </w:rPr>
        <w:t xml:space="preserve">supportive </w:t>
      </w:r>
      <w:r w:rsidR="00292DE3" w:rsidRPr="00C340E5">
        <w:rPr>
          <w:rFonts w:cstheme="majorHAnsi"/>
          <w:szCs w:val="22"/>
        </w:rPr>
        <w:t>service</w:t>
      </w:r>
      <w:r w:rsidR="00BE4713">
        <w:rPr>
          <w:rFonts w:cstheme="majorHAnsi"/>
          <w:szCs w:val="22"/>
        </w:rPr>
        <w:t>s</w:t>
      </w:r>
      <w:r w:rsidR="00292DE3" w:rsidRPr="00C340E5">
        <w:rPr>
          <w:rFonts w:cstheme="majorHAnsi"/>
          <w:szCs w:val="22"/>
        </w:rPr>
        <w:t xml:space="preserve"> for children and young people </w:t>
      </w:r>
      <w:r w:rsidR="00BE4713">
        <w:rPr>
          <w:rFonts w:cstheme="majorHAnsi"/>
          <w:szCs w:val="22"/>
        </w:rPr>
        <w:t xml:space="preserve">(CYP) </w:t>
      </w:r>
      <w:r w:rsidR="00292DE3" w:rsidRPr="00C340E5">
        <w:rPr>
          <w:rFonts w:cstheme="majorHAnsi"/>
          <w:szCs w:val="22"/>
        </w:rPr>
        <w:t>with mental health difficulties.</w:t>
      </w:r>
    </w:p>
    <w:p w14:paraId="4F00AB78" w14:textId="77777777" w:rsidR="00C524A3" w:rsidRDefault="00BE4713" w:rsidP="00AA2F72">
      <w:pPr>
        <w:pStyle w:val="ListParagraph"/>
        <w:numPr>
          <w:ilvl w:val="0"/>
          <w:numId w:val="11"/>
        </w:numPr>
        <w:spacing w:line="480" w:lineRule="auto"/>
        <w:rPr>
          <w:szCs w:val="22"/>
        </w:rPr>
      </w:pPr>
      <w:r>
        <w:rPr>
          <w:szCs w:val="22"/>
        </w:rPr>
        <w:t>CYP</w:t>
      </w:r>
      <w:r w:rsidR="00C524A3" w:rsidRPr="00FF48C8">
        <w:rPr>
          <w:szCs w:val="22"/>
        </w:rPr>
        <w:t xml:space="preserve"> who are </w:t>
      </w:r>
      <w:r w:rsidR="00292DE3" w:rsidRPr="00FF48C8">
        <w:rPr>
          <w:szCs w:val="22"/>
        </w:rPr>
        <w:t xml:space="preserve">referred to this </w:t>
      </w:r>
      <w:r>
        <w:rPr>
          <w:szCs w:val="22"/>
        </w:rPr>
        <w:t>CAMHS</w:t>
      </w:r>
      <w:r w:rsidRPr="00FF48C8">
        <w:rPr>
          <w:szCs w:val="22"/>
        </w:rPr>
        <w:t xml:space="preserve"> </w:t>
      </w:r>
      <w:r w:rsidR="008F1449" w:rsidRPr="00FF48C8">
        <w:rPr>
          <w:szCs w:val="22"/>
        </w:rPr>
        <w:t>by teachers</w:t>
      </w:r>
      <w:r w:rsidR="00C524A3" w:rsidRPr="00FF48C8">
        <w:rPr>
          <w:szCs w:val="22"/>
        </w:rPr>
        <w:t xml:space="preserve"> </w:t>
      </w:r>
      <w:r>
        <w:rPr>
          <w:szCs w:val="22"/>
        </w:rPr>
        <w:t>were</w:t>
      </w:r>
      <w:r w:rsidRPr="00FF48C8">
        <w:rPr>
          <w:szCs w:val="22"/>
        </w:rPr>
        <w:t xml:space="preserve"> </w:t>
      </w:r>
      <w:r w:rsidR="00C524A3" w:rsidRPr="00FF48C8">
        <w:rPr>
          <w:szCs w:val="22"/>
        </w:rPr>
        <w:t>more likely to be rejected</w:t>
      </w:r>
      <w:r w:rsidR="00292DE3" w:rsidRPr="00FF48C8">
        <w:rPr>
          <w:szCs w:val="22"/>
        </w:rPr>
        <w:t xml:space="preserve"> </w:t>
      </w:r>
      <w:r w:rsidR="00051F50">
        <w:rPr>
          <w:szCs w:val="22"/>
        </w:rPr>
        <w:t xml:space="preserve">than those referred by </w:t>
      </w:r>
      <w:r>
        <w:rPr>
          <w:szCs w:val="22"/>
        </w:rPr>
        <w:t xml:space="preserve">medical </w:t>
      </w:r>
      <w:r w:rsidR="00051F50">
        <w:rPr>
          <w:szCs w:val="22"/>
        </w:rPr>
        <w:t>professionals</w:t>
      </w:r>
      <w:r w:rsidR="00292DE3" w:rsidRPr="00FF48C8">
        <w:rPr>
          <w:szCs w:val="22"/>
        </w:rPr>
        <w:t>.</w:t>
      </w:r>
    </w:p>
    <w:p w14:paraId="67BEF807" w14:textId="77777777" w:rsidR="00042D03" w:rsidRDefault="00BE4713" w:rsidP="00AA2F72">
      <w:pPr>
        <w:pStyle w:val="ListParagraph"/>
        <w:numPr>
          <w:ilvl w:val="0"/>
          <w:numId w:val="11"/>
        </w:numPr>
        <w:spacing w:line="480" w:lineRule="auto"/>
        <w:rPr>
          <w:szCs w:val="22"/>
        </w:rPr>
      </w:pPr>
      <w:r>
        <w:rPr>
          <w:szCs w:val="22"/>
        </w:rPr>
        <w:t>CYP</w:t>
      </w:r>
      <w:r w:rsidR="006647F7">
        <w:rPr>
          <w:szCs w:val="22"/>
        </w:rPr>
        <w:t xml:space="preserve"> with emotional and behavioural problems </w:t>
      </w:r>
      <w:r>
        <w:rPr>
          <w:szCs w:val="22"/>
        </w:rPr>
        <w:t xml:space="preserve">were </w:t>
      </w:r>
      <w:r w:rsidR="006647F7">
        <w:rPr>
          <w:szCs w:val="22"/>
        </w:rPr>
        <w:t>more likely to be rejected by CAMHS.</w:t>
      </w:r>
    </w:p>
    <w:p w14:paraId="243E11CA" w14:textId="77777777" w:rsidR="00042D03" w:rsidRPr="00042D03" w:rsidRDefault="00BE4713" w:rsidP="00AA2F72">
      <w:pPr>
        <w:pStyle w:val="ListParagraph"/>
        <w:numPr>
          <w:ilvl w:val="0"/>
          <w:numId w:val="11"/>
        </w:numPr>
        <w:spacing w:line="480" w:lineRule="auto"/>
        <w:rPr>
          <w:szCs w:val="22"/>
        </w:rPr>
      </w:pPr>
      <w:r>
        <w:rPr>
          <w:szCs w:val="22"/>
        </w:rPr>
        <w:t>CYP</w:t>
      </w:r>
      <w:r w:rsidR="00042D03">
        <w:rPr>
          <w:szCs w:val="22"/>
        </w:rPr>
        <w:t xml:space="preserve"> who </w:t>
      </w:r>
      <w:r>
        <w:rPr>
          <w:szCs w:val="22"/>
        </w:rPr>
        <w:t xml:space="preserve">were </w:t>
      </w:r>
      <w:r w:rsidR="00042D03">
        <w:rPr>
          <w:szCs w:val="22"/>
        </w:rPr>
        <w:t>referred for hyperactivity/inattention resulted in significantly longer wait times</w:t>
      </w:r>
      <w:r>
        <w:rPr>
          <w:szCs w:val="22"/>
        </w:rPr>
        <w:t>.</w:t>
      </w:r>
    </w:p>
    <w:p w14:paraId="7C3D45C6" w14:textId="77777777" w:rsidR="00FF48C8" w:rsidRDefault="00FF48C8" w:rsidP="00AA2F72">
      <w:pPr>
        <w:pStyle w:val="ListParagraph"/>
        <w:numPr>
          <w:ilvl w:val="0"/>
          <w:numId w:val="11"/>
        </w:numPr>
        <w:spacing w:line="480" w:lineRule="auto"/>
      </w:pPr>
      <w:r w:rsidRPr="00FF48C8">
        <w:t>We need to investigate the experiences CYP who are rejected by CAMHS or are waiting for CAMHS so that we know they are getting the right help at the right time</w:t>
      </w:r>
      <w:r w:rsidR="00051F50">
        <w:t>.</w:t>
      </w:r>
    </w:p>
    <w:p w14:paraId="55AAC380" w14:textId="77777777" w:rsidR="00051F50" w:rsidRDefault="00051F50" w:rsidP="00AA2F72">
      <w:pPr>
        <w:pStyle w:val="ListParagraph"/>
        <w:spacing w:line="480" w:lineRule="auto"/>
        <w:ind w:left="360"/>
      </w:pPr>
    </w:p>
    <w:p w14:paraId="131AE809" w14:textId="77777777" w:rsidR="0038562B" w:rsidRPr="00C340E5" w:rsidRDefault="001D5A7E" w:rsidP="00AA2F72">
      <w:pPr>
        <w:spacing w:line="480" w:lineRule="auto"/>
      </w:pPr>
      <w:r w:rsidRPr="00FF48C8">
        <w:rPr>
          <w:b/>
        </w:rPr>
        <w:lastRenderedPageBreak/>
        <w:t xml:space="preserve">Key words: </w:t>
      </w:r>
      <w:r w:rsidRPr="00C340E5">
        <w:t xml:space="preserve">Child and Adolescent, mental health, </w:t>
      </w:r>
      <w:r w:rsidR="00FD198B">
        <w:t>CAMHS</w:t>
      </w:r>
      <w:r w:rsidRPr="00C340E5">
        <w:t>, wait</w:t>
      </w:r>
      <w:r w:rsidR="009257C1">
        <w:t>ing</w:t>
      </w:r>
      <w:r w:rsidRPr="00C340E5">
        <w:t xml:space="preserve"> times, referral,</w:t>
      </w:r>
      <w:r w:rsidR="00FD198B">
        <w:t xml:space="preserve"> teachers, hyperactivity/inattention,</w:t>
      </w:r>
      <w:r w:rsidRPr="00C340E5">
        <w:t xml:space="preserve"> emotional and behavioural problems</w:t>
      </w:r>
    </w:p>
    <w:p w14:paraId="0A444F47" w14:textId="77777777" w:rsidR="006121F9" w:rsidRPr="005222FB" w:rsidRDefault="0038562B" w:rsidP="00FD198B">
      <w:pPr>
        <w:spacing w:line="360" w:lineRule="auto"/>
        <w:rPr>
          <w:b/>
          <w:sz w:val="24"/>
          <w:szCs w:val="24"/>
        </w:rPr>
      </w:pPr>
      <w:r w:rsidRPr="00C340E5">
        <w:rPr>
          <w:b/>
        </w:rPr>
        <w:br w:type="page"/>
      </w:r>
      <w:r w:rsidR="006121F9" w:rsidRPr="005222FB">
        <w:rPr>
          <w:b/>
          <w:sz w:val="24"/>
          <w:szCs w:val="24"/>
        </w:rPr>
        <w:t>INTRODUCTION</w:t>
      </w:r>
    </w:p>
    <w:p w14:paraId="79A21E7F" w14:textId="77777777" w:rsidR="002044A6" w:rsidRPr="00C340E5" w:rsidRDefault="008C3CAD" w:rsidP="00AA2F72">
      <w:pPr>
        <w:autoSpaceDE w:val="0"/>
        <w:autoSpaceDN w:val="0"/>
        <w:adjustRightInd w:val="0"/>
        <w:spacing w:line="480" w:lineRule="auto"/>
        <w:rPr>
          <w:rFonts w:cstheme="majorHAnsi"/>
        </w:rPr>
      </w:pPr>
      <w:r w:rsidRPr="00C340E5">
        <w:rPr>
          <w:rFonts w:cstheme="majorHAnsi"/>
          <w:bCs/>
        </w:rPr>
        <w:t xml:space="preserve">Around </w:t>
      </w:r>
      <w:r w:rsidR="00280C61" w:rsidRPr="00C340E5">
        <w:rPr>
          <w:rFonts w:cstheme="majorHAnsi"/>
          <w:bCs/>
        </w:rPr>
        <w:t>10-</w:t>
      </w:r>
      <w:r w:rsidR="009A3101" w:rsidRPr="00C340E5">
        <w:rPr>
          <w:rFonts w:cstheme="majorHAnsi"/>
          <w:bCs/>
        </w:rPr>
        <w:t xml:space="preserve">20% of </w:t>
      </w:r>
      <w:r w:rsidRPr="00C340E5">
        <w:rPr>
          <w:rFonts w:cstheme="majorHAnsi"/>
          <w:bCs/>
        </w:rPr>
        <w:t xml:space="preserve">the world’s </w:t>
      </w:r>
      <w:r w:rsidR="009A3101" w:rsidRPr="00C340E5">
        <w:rPr>
          <w:rFonts w:cstheme="majorHAnsi"/>
          <w:bCs/>
        </w:rPr>
        <w:t xml:space="preserve">children and </w:t>
      </w:r>
      <w:r w:rsidRPr="00C340E5">
        <w:rPr>
          <w:rFonts w:cstheme="majorHAnsi"/>
          <w:bCs/>
        </w:rPr>
        <w:t xml:space="preserve">adolescents have </w:t>
      </w:r>
      <w:r w:rsidR="00127AEC">
        <w:rPr>
          <w:rFonts w:cstheme="majorHAnsi"/>
          <w:bCs/>
        </w:rPr>
        <w:t>diagnosed</w:t>
      </w:r>
      <w:r w:rsidR="00127AEC" w:rsidRPr="00C340E5">
        <w:rPr>
          <w:rFonts w:cstheme="majorHAnsi"/>
          <w:bCs/>
        </w:rPr>
        <w:t xml:space="preserve"> mental</w:t>
      </w:r>
      <w:r w:rsidRPr="00C340E5">
        <w:rPr>
          <w:rFonts w:cstheme="majorHAnsi"/>
          <w:bCs/>
        </w:rPr>
        <w:t xml:space="preserve"> </w:t>
      </w:r>
      <w:r w:rsidR="00D83FBD">
        <w:rPr>
          <w:rFonts w:cstheme="majorHAnsi"/>
          <w:bCs/>
        </w:rPr>
        <w:t xml:space="preserve">health </w:t>
      </w:r>
      <w:r w:rsidRPr="00C340E5">
        <w:rPr>
          <w:rFonts w:cstheme="majorHAnsi"/>
          <w:bCs/>
        </w:rPr>
        <w:t xml:space="preserve">disorders or problems </w:t>
      </w:r>
      <w:r w:rsidR="00280C61" w:rsidRPr="00C340E5">
        <w:rPr>
          <w:rFonts w:cstheme="majorHAnsi"/>
          <w:bCs/>
        </w:rPr>
        <w:t>(WHO, 2016)</w:t>
      </w:r>
      <w:r w:rsidR="009A3101" w:rsidRPr="00C340E5">
        <w:rPr>
          <w:rFonts w:cstheme="majorHAnsi"/>
          <w:bCs/>
        </w:rPr>
        <w:t>.</w:t>
      </w:r>
      <w:r w:rsidR="00280C61" w:rsidRPr="00C340E5">
        <w:rPr>
          <w:rFonts w:cstheme="majorHAnsi"/>
          <w:bCs/>
        </w:rPr>
        <w:t xml:space="preserve"> </w:t>
      </w:r>
      <w:r w:rsidR="002044A6" w:rsidRPr="00C340E5">
        <w:rPr>
          <w:rFonts w:cstheme="majorHAnsi"/>
          <w:bCs/>
        </w:rPr>
        <w:t xml:space="preserve">The most recent United Kingdom (UK) data, reports that </w:t>
      </w:r>
      <w:r w:rsidR="008F3B4E">
        <w:rPr>
          <w:rFonts w:cstheme="majorHAnsi"/>
          <w:bCs/>
        </w:rPr>
        <w:t>13</w:t>
      </w:r>
      <w:r w:rsidR="008012D2" w:rsidRPr="00C340E5">
        <w:rPr>
          <w:rFonts w:cstheme="majorHAnsi"/>
          <w:bCs/>
        </w:rPr>
        <w:t>%</w:t>
      </w:r>
      <w:r w:rsidR="002044A6" w:rsidRPr="00C340E5">
        <w:rPr>
          <w:rFonts w:cstheme="majorHAnsi"/>
          <w:bCs/>
        </w:rPr>
        <w:t xml:space="preserve"> of</w:t>
      </w:r>
      <w:r w:rsidR="008012D2" w:rsidRPr="00C340E5">
        <w:rPr>
          <w:rFonts w:cstheme="majorHAnsi"/>
          <w:bCs/>
        </w:rPr>
        <w:t xml:space="preserve"> boys and 10% </w:t>
      </w:r>
      <w:r w:rsidR="002044A6" w:rsidRPr="00C340E5">
        <w:rPr>
          <w:rFonts w:cstheme="majorHAnsi"/>
          <w:bCs/>
        </w:rPr>
        <w:t>of girls had</w:t>
      </w:r>
      <w:r w:rsidR="008012D2" w:rsidRPr="00C340E5">
        <w:rPr>
          <w:rFonts w:cstheme="majorHAnsi"/>
          <w:bCs/>
        </w:rPr>
        <w:t xml:space="preserve"> mental health difficulties</w:t>
      </w:r>
      <w:r w:rsidR="002044A6" w:rsidRPr="00C340E5">
        <w:rPr>
          <w:rFonts w:cstheme="majorHAnsi"/>
          <w:bCs/>
        </w:rPr>
        <w:t xml:space="preserve"> in 2004</w:t>
      </w:r>
      <w:r w:rsidR="008012D2" w:rsidRPr="00C340E5">
        <w:rPr>
          <w:rFonts w:cstheme="majorHAnsi"/>
          <w:bCs/>
        </w:rPr>
        <w:t xml:space="preserve"> (</w:t>
      </w:r>
      <w:r w:rsidR="00651EFD">
        <w:rPr>
          <w:rFonts w:cstheme="majorHAnsi"/>
          <w:bCs/>
        </w:rPr>
        <w:t>Green et al.</w:t>
      </w:r>
      <w:r w:rsidR="001A4ACF">
        <w:rPr>
          <w:rFonts w:cstheme="majorHAnsi"/>
          <w:bCs/>
        </w:rPr>
        <w:t>,</w:t>
      </w:r>
      <w:r w:rsidR="002044A6" w:rsidRPr="00C340E5">
        <w:rPr>
          <w:rFonts w:cstheme="majorHAnsi"/>
          <w:bCs/>
        </w:rPr>
        <w:t xml:space="preserve"> 2004</w:t>
      </w:r>
      <w:r w:rsidR="008012D2" w:rsidRPr="00C340E5">
        <w:rPr>
          <w:rFonts w:cstheme="majorHAnsi"/>
          <w:bCs/>
        </w:rPr>
        <w:t xml:space="preserve">). </w:t>
      </w:r>
      <w:r w:rsidR="002044A6" w:rsidRPr="00C340E5">
        <w:rPr>
          <w:rFonts w:cstheme="majorHAnsi"/>
          <w:bCs/>
        </w:rPr>
        <w:t>In Scotland in 2013,</w:t>
      </w:r>
      <w:r w:rsidRPr="00C340E5">
        <w:rPr>
          <w:rFonts w:cstheme="majorHAnsi"/>
          <w:bCs/>
        </w:rPr>
        <w:t xml:space="preserve"> </w:t>
      </w:r>
      <w:r w:rsidR="00704E66" w:rsidRPr="00C340E5">
        <w:rPr>
          <w:rFonts w:cstheme="majorHAnsi"/>
        </w:rPr>
        <w:t>14% of 4 to 12 year olds had emotional and behavioural problems, 21% had conduct problems, and 20% had</w:t>
      </w:r>
      <w:r w:rsidR="007F67CF" w:rsidRPr="00C340E5">
        <w:rPr>
          <w:rFonts w:cstheme="majorHAnsi"/>
        </w:rPr>
        <w:t xml:space="preserve"> hyperactivity/inattention</w:t>
      </w:r>
      <w:r w:rsidR="00704E66" w:rsidRPr="00C340E5">
        <w:rPr>
          <w:rFonts w:cstheme="majorHAnsi"/>
        </w:rPr>
        <w:t xml:space="preserve">; additionally, 27% </w:t>
      </w:r>
      <w:r w:rsidR="002044A6" w:rsidRPr="00C340E5">
        <w:rPr>
          <w:rFonts w:cstheme="majorHAnsi"/>
        </w:rPr>
        <w:t xml:space="preserve">of </w:t>
      </w:r>
      <w:r w:rsidR="00704E66" w:rsidRPr="00C340E5">
        <w:rPr>
          <w:rFonts w:cstheme="majorHAnsi"/>
        </w:rPr>
        <w:t>11-12 year olds, 31% of 13-14 year olds and 36% of 15</w:t>
      </w:r>
      <w:r w:rsidR="005422EB" w:rsidRPr="00C340E5">
        <w:rPr>
          <w:rFonts w:cstheme="majorHAnsi"/>
        </w:rPr>
        <w:t>-</w:t>
      </w:r>
      <w:r w:rsidR="00704E66" w:rsidRPr="00C340E5">
        <w:rPr>
          <w:rFonts w:cstheme="majorHAnsi"/>
        </w:rPr>
        <w:t>16 year olds, reported fee</w:t>
      </w:r>
      <w:r w:rsidR="007F67CF" w:rsidRPr="00C340E5">
        <w:rPr>
          <w:rFonts w:cstheme="majorHAnsi"/>
        </w:rPr>
        <w:t xml:space="preserve">ling sad in the last </w:t>
      </w:r>
      <w:r w:rsidR="00AF2AE9" w:rsidRPr="00C340E5">
        <w:rPr>
          <w:rFonts w:cstheme="majorHAnsi"/>
        </w:rPr>
        <w:t>week (</w:t>
      </w:r>
      <w:r w:rsidR="007F67CF" w:rsidRPr="00C340E5">
        <w:rPr>
          <w:rFonts w:cstheme="majorHAnsi"/>
        </w:rPr>
        <w:t>NHS Health Scotland</w:t>
      </w:r>
      <w:r w:rsidR="001A4ACF">
        <w:rPr>
          <w:rFonts w:cstheme="majorHAnsi"/>
        </w:rPr>
        <w:t>,</w:t>
      </w:r>
      <w:r w:rsidR="007F67CF" w:rsidRPr="00C340E5">
        <w:rPr>
          <w:rFonts w:cstheme="majorHAnsi"/>
        </w:rPr>
        <w:t xml:space="preserve"> 2013)</w:t>
      </w:r>
      <w:r w:rsidR="00704E66" w:rsidRPr="00C340E5">
        <w:rPr>
          <w:rFonts w:cstheme="majorHAnsi"/>
        </w:rPr>
        <w:t xml:space="preserve">. </w:t>
      </w:r>
      <w:r w:rsidRPr="00C340E5">
        <w:rPr>
          <w:rFonts w:cstheme="majorHAnsi"/>
        </w:rPr>
        <w:t xml:space="preserve">If </w:t>
      </w:r>
      <w:r w:rsidR="00B218A5" w:rsidRPr="00C340E5">
        <w:rPr>
          <w:rFonts w:cstheme="majorHAnsi"/>
        </w:rPr>
        <w:t xml:space="preserve">these problems </w:t>
      </w:r>
      <w:r w:rsidRPr="00C340E5">
        <w:rPr>
          <w:rFonts w:cstheme="majorHAnsi"/>
        </w:rPr>
        <w:t xml:space="preserve">persist or escalate </w:t>
      </w:r>
      <w:r w:rsidR="00D83FBD">
        <w:rPr>
          <w:rFonts w:cstheme="majorHAnsi"/>
        </w:rPr>
        <w:t>they</w:t>
      </w:r>
      <w:r w:rsidRPr="00C340E5">
        <w:rPr>
          <w:rFonts w:cstheme="majorHAnsi"/>
        </w:rPr>
        <w:t xml:space="preserve"> can influence children and young people’s </w:t>
      </w:r>
      <w:r w:rsidR="009257C1">
        <w:rPr>
          <w:rFonts w:cstheme="majorHAnsi"/>
        </w:rPr>
        <w:t xml:space="preserve">(CYP) </w:t>
      </w:r>
      <w:r w:rsidRPr="00C340E5">
        <w:rPr>
          <w:rFonts w:cstheme="majorHAnsi"/>
        </w:rPr>
        <w:t>developmental trajectory and cause significant health and well-being problems (Levin et al</w:t>
      </w:r>
      <w:r w:rsidR="001A4ACF">
        <w:rPr>
          <w:rFonts w:cstheme="majorHAnsi"/>
        </w:rPr>
        <w:t>.</w:t>
      </w:r>
      <w:r w:rsidRPr="00C340E5">
        <w:rPr>
          <w:rFonts w:cstheme="majorHAnsi"/>
        </w:rPr>
        <w:t>, 2010).</w:t>
      </w:r>
      <w:r w:rsidR="00DB1DAC" w:rsidRPr="00C340E5">
        <w:rPr>
          <w:rFonts w:cstheme="majorHAnsi"/>
        </w:rPr>
        <w:t xml:space="preserve"> The World Health Organisati</w:t>
      </w:r>
      <w:r w:rsidR="008F3B4E">
        <w:rPr>
          <w:rFonts w:cstheme="majorHAnsi"/>
        </w:rPr>
        <w:t>on (</w:t>
      </w:r>
      <w:r w:rsidR="001A4ACF">
        <w:rPr>
          <w:rFonts w:cstheme="majorHAnsi"/>
        </w:rPr>
        <w:t xml:space="preserve">WHO, </w:t>
      </w:r>
      <w:r w:rsidR="0071723E">
        <w:rPr>
          <w:rFonts w:cstheme="majorHAnsi"/>
        </w:rPr>
        <w:t>2014</w:t>
      </w:r>
      <w:r w:rsidR="008F3B4E">
        <w:rPr>
          <w:rFonts w:cstheme="majorHAnsi"/>
        </w:rPr>
        <w:t>) reports that up to 50</w:t>
      </w:r>
      <w:r w:rsidR="00DB1DAC" w:rsidRPr="00C340E5">
        <w:rPr>
          <w:rFonts w:cstheme="majorHAnsi"/>
        </w:rPr>
        <w:t>% of mental disorders in adults begin before the age of 14.</w:t>
      </w:r>
      <w:r w:rsidRPr="00C340E5">
        <w:rPr>
          <w:rFonts w:cstheme="majorHAnsi"/>
        </w:rPr>
        <w:t xml:space="preserve"> </w:t>
      </w:r>
      <w:r w:rsidR="00704E66" w:rsidRPr="009C6404">
        <w:rPr>
          <w:rFonts w:cstheme="majorHAnsi"/>
        </w:rPr>
        <w:t xml:space="preserve">Hence, it is crucial that CYP have access to </w:t>
      </w:r>
      <w:r w:rsidR="008F3B4E">
        <w:rPr>
          <w:rFonts w:cstheme="majorHAnsi"/>
        </w:rPr>
        <w:t xml:space="preserve">timely and </w:t>
      </w:r>
      <w:r w:rsidR="002044A6" w:rsidRPr="009C6404">
        <w:rPr>
          <w:rFonts w:cstheme="majorHAnsi"/>
        </w:rPr>
        <w:t xml:space="preserve">appropriate </w:t>
      </w:r>
      <w:r w:rsidR="007540BA" w:rsidRPr="009C6404">
        <w:rPr>
          <w:rFonts w:cstheme="majorHAnsi"/>
        </w:rPr>
        <w:t>mental heal</w:t>
      </w:r>
      <w:r w:rsidR="008F3B4E">
        <w:rPr>
          <w:rFonts w:cstheme="majorHAnsi"/>
        </w:rPr>
        <w:t>th services to address their immediate well-being needs and prevent longer-term problems in adulthood.</w:t>
      </w:r>
    </w:p>
    <w:p w14:paraId="5B78E7D2" w14:textId="77777777" w:rsidR="00EE7768" w:rsidRPr="00C340E5" w:rsidRDefault="00704E66" w:rsidP="00AA2F72">
      <w:pPr>
        <w:autoSpaceDE w:val="0"/>
        <w:autoSpaceDN w:val="0"/>
        <w:adjustRightInd w:val="0"/>
        <w:spacing w:line="480" w:lineRule="auto"/>
        <w:rPr>
          <w:rFonts w:cstheme="majorHAnsi"/>
        </w:rPr>
      </w:pPr>
      <w:r w:rsidRPr="00C340E5">
        <w:rPr>
          <w:rFonts w:cstheme="majorHAnsi"/>
        </w:rPr>
        <w:t xml:space="preserve">The </w:t>
      </w:r>
      <w:r w:rsidR="007B2C59" w:rsidRPr="00C340E5">
        <w:rPr>
          <w:rFonts w:cstheme="majorHAnsi"/>
        </w:rPr>
        <w:t>main service</w:t>
      </w:r>
      <w:r w:rsidRPr="00C340E5">
        <w:rPr>
          <w:rFonts w:cstheme="majorHAnsi"/>
        </w:rPr>
        <w:t xml:space="preserve"> for CYP with mental health difficulties in the </w:t>
      </w:r>
      <w:r w:rsidR="002044A6" w:rsidRPr="00C340E5">
        <w:rPr>
          <w:rFonts w:cstheme="majorHAnsi"/>
        </w:rPr>
        <w:t xml:space="preserve">UK </w:t>
      </w:r>
      <w:r w:rsidRPr="00C340E5">
        <w:rPr>
          <w:rFonts w:cstheme="majorHAnsi"/>
        </w:rPr>
        <w:t>is the Child and Adolescent Mental Health Service</w:t>
      </w:r>
      <w:r w:rsidR="00B218A5" w:rsidRPr="00C340E5">
        <w:rPr>
          <w:rFonts w:cstheme="majorHAnsi"/>
        </w:rPr>
        <w:t xml:space="preserve"> (CAMHS)</w:t>
      </w:r>
      <w:r w:rsidR="000753D1" w:rsidRPr="00C340E5">
        <w:rPr>
          <w:rFonts w:cstheme="majorHAnsi"/>
        </w:rPr>
        <w:t xml:space="preserve"> </w:t>
      </w:r>
      <w:r w:rsidR="00051F50">
        <w:rPr>
          <w:rFonts w:cstheme="majorHAnsi"/>
        </w:rPr>
        <w:t>(</w:t>
      </w:r>
      <w:r w:rsidR="000753D1" w:rsidRPr="00C340E5">
        <w:rPr>
          <w:rFonts w:cstheme="majorHAnsi"/>
        </w:rPr>
        <w:t>Department of Health, 2008</w:t>
      </w:r>
      <w:r w:rsidR="00051F50">
        <w:rPr>
          <w:rFonts w:cstheme="majorHAnsi"/>
        </w:rPr>
        <w:t>)</w:t>
      </w:r>
      <w:r w:rsidRPr="00C340E5">
        <w:rPr>
          <w:rFonts w:cstheme="majorHAnsi"/>
        </w:rPr>
        <w:t xml:space="preserve">. Equivalent services can </w:t>
      </w:r>
      <w:r w:rsidR="00AB6491" w:rsidRPr="00C340E5">
        <w:rPr>
          <w:rFonts w:cstheme="majorHAnsi"/>
        </w:rPr>
        <w:t>be found in other countries</w:t>
      </w:r>
      <w:r w:rsidR="00A835EF">
        <w:rPr>
          <w:rFonts w:cstheme="majorHAnsi"/>
        </w:rPr>
        <w:t xml:space="preserve"> for example in the United States of America (USA),</w:t>
      </w:r>
      <w:r w:rsidR="00FD198B">
        <w:rPr>
          <w:rFonts w:cstheme="majorHAnsi"/>
        </w:rPr>
        <w:t xml:space="preserve"> Canada,</w:t>
      </w:r>
      <w:r w:rsidR="00A835EF">
        <w:rPr>
          <w:rFonts w:cstheme="majorHAnsi"/>
        </w:rPr>
        <w:t xml:space="preserve"> Israel and New Zealand</w:t>
      </w:r>
      <w:r w:rsidR="007B2C59">
        <w:rPr>
          <w:rFonts w:cstheme="majorHAnsi"/>
        </w:rPr>
        <w:t xml:space="preserve">. To enable </w:t>
      </w:r>
      <w:r w:rsidR="00E12B42">
        <w:rPr>
          <w:rFonts w:cstheme="majorHAnsi"/>
        </w:rPr>
        <w:t>appropriate access</w:t>
      </w:r>
      <w:r w:rsidR="007B2C59">
        <w:rPr>
          <w:rFonts w:cstheme="majorHAnsi"/>
        </w:rPr>
        <w:t xml:space="preserve"> to mental health </w:t>
      </w:r>
      <w:r w:rsidR="00E12B42">
        <w:rPr>
          <w:rFonts w:cstheme="majorHAnsi"/>
        </w:rPr>
        <w:t xml:space="preserve">services </w:t>
      </w:r>
      <w:r w:rsidR="00E12B42" w:rsidRPr="00C340E5">
        <w:rPr>
          <w:rFonts w:cstheme="majorHAnsi"/>
        </w:rPr>
        <w:t>a</w:t>
      </w:r>
      <w:r w:rsidR="00031B00" w:rsidRPr="00C340E5">
        <w:rPr>
          <w:rFonts w:cstheme="majorHAnsi"/>
        </w:rPr>
        <w:t xml:space="preserve"> tiered framework is</w:t>
      </w:r>
      <w:r w:rsidR="007B2C59">
        <w:rPr>
          <w:rFonts w:cstheme="majorHAnsi"/>
        </w:rPr>
        <w:t xml:space="preserve"> often </w:t>
      </w:r>
      <w:r w:rsidR="00AA2F72" w:rsidRPr="00C340E5">
        <w:rPr>
          <w:rFonts w:cstheme="majorHAnsi"/>
        </w:rPr>
        <w:t>used</w:t>
      </w:r>
      <w:r w:rsidR="009257C1">
        <w:rPr>
          <w:rFonts w:cstheme="majorHAnsi"/>
        </w:rPr>
        <w:t xml:space="preserve"> to guide intervention</w:t>
      </w:r>
      <w:r w:rsidR="00AA2F72">
        <w:rPr>
          <w:rFonts w:cstheme="majorHAnsi"/>
        </w:rPr>
        <w:t xml:space="preserve"> (</w:t>
      </w:r>
      <w:r w:rsidR="00031B00">
        <w:rPr>
          <w:rFonts w:cstheme="majorHAnsi"/>
        </w:rPr>
        <w:t>Department of Health, 2008;</w:t>
      </w:r>
      <w:r w:rsidR="00031B00" w:rsidRPr="00051F50">
        <w:rPr>
          <w:rFonts w:cstheme="majorHAnsi"/>
        </w:rPr>
        <w:t xml:space="preserve"> </w:t>
      </w:r>
      <w:r w:rsidR="00031B00" w:rsidRPr="00C340E5">
        <w:rPr>
          <w:rFonts w:cstheme="majorHAnsi"/>
        </w:rPr>
        <w:t>Oruche et al 2014, Slone et al, 2013</w:t>
      </w:r>
      <w:r w:rsidR="007B2C59">
        <w:rPr>
          <w:rFonts w:cstheme="majorHAnsi"/>
        </w:rPr>
        <w:t>, Stasiak et al 2012</w:t>
      </w:r>
      <w:r w:rsidR="00031B00">
        <w:rPr>
          <w:rFonts w:cstheme="majorHAnsi"/>
        </w:rPr>
        <w:t>)</w:t>
      </w:r>
      <w:r w:rsidR="00031B00" w:rsidRPr="00C340E5">
        <w:rPr>
          <w:rFonts w:cstheme="majorHAnsi"/>
        </w:rPr>
        <w:t xml:space="preserve">. </w:t>
      </w:r>
      <w:r w:rsidR="0014507E" w:rsidRPr="00C340E5">
        <w:rPr>
          <w:rFonts w:cstheme="majorHAnsi"/>
        </w:rPr>
        <w:t xml:space="preserve">As Figure 1 shows, tiers are related to the severity </w:t>
      </w:r>
      <w:r w:rsidR="00EE7768" w:rsidRPr="00C340E5">
        <w:rPr>
          <w:rFonts w:cstheme="majorHAnsi"/>
        </w:rPr>
        <w:t>of a CYP’s mental health problem.</w:t>
      </w:r>
    </w:p>
    <w:p w14:paraId="48623C87" w14:textId="77777777" w:rsidR="00EE7768" w:rsidRPr="00C340E5" w:rsidRDefault="00EE7768" w:rsidP="00AA2F72">
      <w:pPr>
        <w:autoSpaceDE w:val="0"/>
        <w:autoSpaceDN w:val="0"/>
        <w:adjustRightInd w:val="0"/>
        <w:spacing w:line="480" w:lineRule="auto"/>
        <w:rPr>
          <w:rFonts w:cstheme="majorHAnsi"/>
        </w:rPr>
      </w:pPr>
    </w:p>
    <w:p w14:paraId="7BB8EDB1" w14:textId="77777777" w:rsidR="00EE7768" w:rsidRPr="00C340E5" w:rsidRDefault="00EE7768" w:rsidP="00AA2F72">
      <w:pPr>
        <w:tabs>
          <w:tab w:val="left" w:pos="720"/>
          <w:tab w:val="left" w:pos="1440"/>
          <w:tab w:val="left" w:pos="2160"/>
          <w:tab w:val="left" w:pos="2880"/>
          <w:tab w:val="left" w:pos="4680"/>
          <w:tab w:val="left" w:pos="5400"/>
          <w:tab w:val="right" w:pos="9000"/>
        </w:tabs>
        <w:spacing w:after="0" w:line="480" w:lineRule="auto"/>
        <w:jc w:val="both"/>
        <w:rPr>
          <w:rFonts w:cstheme="minorHAnsi"/>
        </w:rPr>
      </w:pPr>
      <w:r w:rsidRPr="00C340E5">
        <w:rPr>
          <w:rFonts w:cstheme="majorHAnsi"/>
          <w:b/>
        </w:rPr>
        <w:t>Figure 1</w:t>
      </w:r>
      <w:r w:rsidRPr="00C340E5">
        <w:rPr>
          <w:rFonts w:cstheme="minorHAnsi"/>
          <w:b/>
        </w:rPr>
        <w:t>: CAMHS Tiered Framework</w:t>
      </w:r>
      <w:r w:rsidRPr="00C340E5">
        <w:rPr>
          <w:rFonts w:cstheme="minorHAnsi"/>
        </w:rPr>
        <w:t xml:space="preserve"> (DOH 2008, p17)</w:t>
      </w:r>
    </w:p>
    <w:p w14:paraId="008399AA" w14:textId="77777777" w:rsidR="00EE7768" w:rsidRPr="00C340E5" w:rsidRDefault="00EE7768" w:rsidP="00AA2F72">
      <w:pPr>
        <w:tabs>
          <w:tab w:val="left" w:pos="720"/>
          <w:tab w:val="left" w:pos="1440"/>
          <w:tab w:val="left" w:pos="2160"/>
          <w:tab w:val="left" w:pos="2880"/>
          <w:tab w:val="left" w:pos="4680"/>
          <w:tab w:val="left" w:pos="5400"/>
          <w:tab w:val="right" w:pos="9000"/>
        </w:tabs>
        <w:spacing w:after="0" w:line="480" w:lineRule="auto"/>
        <w:jc w:val="both"/>
        <w:rPr>
          <w:rFonts w:cstheme="minorHAnsi"/>
        </w:rPr>
      </w:pPr>
    </w:p>
    <w:tbl>
      <w:tblPr>
        <w:tblStyle w:val="TableGrid"/>
        <w:tblW w:w="0" w:type="auto"/>
        <w:tblLook w:val="04A0" w:firstRow="1" w:lastRow="0" w:firstColumn="1" w:lastColumn="0" w:noHBand="0" w:noVBand="1"/>
      </w:tblPr>
      <w:tblGrid>
        <w:gridCol w:w="946"/>
        <w:gridCol w:w="8070"/>
      </w:tblGrid>
      <w:tr w:rsidR="00EE7768" w:rsidRPr="00C340E5" w14:paraId="1DB526A9" w14:textId="77777777" w:rsidTr="00EE7768">
        <w:tc>
          <w:tcPr>
            <w:tcW w:w="959" w:type="dxa"/>
          </w:tcPr>
          <w:p w14:paraId="53AAB3B2"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b/>
                <w:sz w:val="22"/>
                <w:szCs w:val="22"/>
              </w:rPr>
            </w:pPr>
            <w:r w:rsidRPr="00C340E5">
              <w:rPr>
                <w:rFonts w:cstheme="minorHAnsi"/>
                <w:b/>
                <w:sz w:val="22"/>
                <w:szCs w:val="22"/>
              </w:rPr>
              <w:t>Tier</w:t>
            </w:r>
          </w:p>
        </w:tc>
        <w:tc>
          <w:tcPr>
            <w:tcW w:w="8283" w:type="dxa"/>
          </w:tcPr>
          <w:p w14:paraId="56BCA28F"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b/>
                <w:sz w:val="22"/>
                <w:szCs w:val="22"/>
              </w:rPr>
            </w:pPr>
            <w:r w:rsidRPr="00C340E5">
              <w:rPr>
                <w:rFonts w:cstheme="minorHAnsi"/>
                <w:b/>
                <w:sz w:val="22"/>
                <w:szCs w:val="22"/>
              </w:rPr>
              <w:t>Professionals involved</w:t>
            </w:r>
          </w:p>
        </w:tc>
      </w:tr>
      <w:tr w:rsidR="00EE7768" w:rsidRPr="00C340E5" w14:paraId="14FB11BA" w14:textId="77777777" w:rsidTr="00EE7768">
        <w:tc>
          <w:tcPr>
            <w:tcW w:w="959" w:type="dxa"/>
          </w:tcPr>
          <w:p w14:paraId="4998EBA6"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Tier 1</w:t>
            </w:r>
          </w:p>
        </w:tc>
        <w:tc>
          <w:tcPr>
            <w:tcW w:w="8283" w:type="dxa"/>
          </w:tcPr>
          <w:p w14:paraId="0A95195F"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Services provided by practitioners working in universal services (such as GPs, health visitors, teachers and youth workers), who are not necessarily mental health specialists. They offer general advice and treatment for less severe problems, promote mental health, aid early identification of problems and refer to more specialist services.</w:t>
            </w:r>
          </w:p>
        </w:tc>
      </w:tr>
      <w:tr w:rsidR="00EE7768" w:rsidRPr="00C340E5" w14:paraId="042E3F17" w14:textId="77777777" w:rsidTr="00EE7768">
        <w:tc>
          <w:tcPr>
            <w:tcW w:w="959" w:type="dxa"/>
          </w:tcPr>
          <w:p w14:paraId="7EE3D998"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Tier 2</w:t>
            </w:r>
          </w:p>
        </w:tc>
        <w:tc>
          <w:tcPr>
            <w:tcW w:w="8283" w:type="dxa"/>
          </w:tcPr>
          <w:p w14:paraId="061F91EF"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Services provided by specialists working in the community and primary care settings in a uni-disciplinary way (such as primary mental health workers, psychologists and paediatric clinics). They offer consultation to families and other practitioners, outreach to identify severe/complex needs and assessments and training to practitioners at Tier 1 to support service delivery.</w:t>
            </w:r>
          </w:p>
        </w:tc>
      </w:tr>
      <w:tr w:rsidR="00EE7768" w:rsidRPr="00C340E5" w14:paraId="1EE8FF7E" w14:textId="77777777" w:rsidTr="00EE7768">
        <w:tc>
          <w:tcPr>
            <w:tcW w:w="959" w:type="dxa"/>
          </w:tcPr>
          <w:p w14:paraId="7D3710D8"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Tier 3</w:t>
            </w:r>
          </w:p>
        </w:tc>
        <w:tc>
          <w:tcPr>
            <w:tcW w:w="8283" w:type="dxa"/>
          </w:tcPr>
          <w:p w14:paraId="448E3737"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Services usually provided by a multi-disciplinary team or service working in a community mental health clinic, child psychiatry outpatient service or community setting. They offer a specialised service for those with more severe, complex and persistent disorders.</w:t>
            </w:r>
          </w:p>
        </w:tc>
      </w:tr>
      <w:tr w:rsidR="00EE7768" w:rsidRPr="00C340E5" w14:paraId="0F9BD577" w14:textId="77777777" w:rsidTr="00EE7768">
        <w:tc>
          <w:tcPr>
            <w:tcW w:w="959" w:type="dxa"/>
          </w:tcPr>
          <w:p w14:paraId="6B9E3553"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Tier 4</w:t>
            </w:r>
          </w:p>
        </w:tc>
        <w:tc>
          <w:tcPr>
            <w:tcW w:w="8283" w:type="dxa"/>
          </w:tcPr>
          <w:p w14:paraId="2F70A5F8" w14:textId="77777777" w:rsidR="00EE7768" w:rsidRPr="00C340E5" w:rsidRDefault="00EE7768" w:rsidP="00AA2F72">
            <w:pPr>
              <w:tabs>
                <w:tab w:val="left" w:pos="720"/>
                <w:tab w:val="left" w:pos="1440"/>
                <w:tab w:val="left" w:pos="2160"/>
                <w:tab w:val="left" w:pos="2880"/>
                <w:tab w:val="left" w:pos="4680"/>
                <w:tab w:val="left" w:pos="5400"/>
                <w:tab w:val="right" w:pos="9000"/>
              </w:tabs>
              <w:spacing w:line="480" w:lineRule="auto"/>
              <w:jc w:val="both"/>
              <w:rPr>
                <w:rFonts w:cstheme="minorHAnsi"/>
                <w:sz w:val="22"/>
                <w:szCs w:val="22"/>
              </w:rPr>
            </w:pPr>
            <w:r w:rsidRPr="00C340E5">
              <w:rPr>
                <w:rFonts w:cstheme="minorHAnsi"/>
                <w:sz w:val="22"/>
                <w:szCs w:val="22"/>
              </w:rPr>
              <w:t>Services for children and young people with the most serious problems. These include day units, highly specialised outpatient teams and inpatient units, which usually serve more than one area.</w:t>
            </w:r>
          </w:p>
        </w:tc>
      </w:tr>
    </w:tbl>
    <w:p w14:paraId="6858FCD0" w14:textId="77777777" w:rsidR="00EE7768" w:rsidRPr="00C340E5" w:rsidRDefault="00EE7768" w:rsidP="00AA2F72">
      <w:pPr>
        <w:autoSpaceDE w:val="0"/>
        <w:autoSpaceDN w:val="0"/>
        <w:adjustRightInd w:val="0"/>
        <w:spacing w:line="480" w:lineRule="auto"/>
        <w:rPr>
          <w:rFonts w:cstheme="majorHAnsi"/>
        </w:rPr>
      </w:pPr>
    </w:p>
    <w:p w14:paraId="38E79573" w14:textId="77777777" w:rsidR="00C340E5" w:rsidRDefault="002077F8" w:rsidP="00AA2F72">
      <w:pPr>
        <w:autoSpaceDE w:val="0"/>
        <w:autoSpaceDN w:val="0"/>
        <w:adjustRightInd w:val="0"/>
        <w:spacing w:line="480" w:lineRule="auto"/>
        <w:rPr>
          <w:rFonts w:cstheme="minorHAnsi"/>
        </w:rPr>
      </w:pPr>
      <w:r w:rsidRPr="00C340E5">
        <w:rPr>
          <w:rFonts w:cstheme="minorHAnsi"/>
        </w:rPr>
        <w:t>During a 6 month period in 2013, around 6,462 CYP were referred to CAMHS in Scotland, of which a quarter (n=1</w:t>
      </w:r>
      <w:r w:rsidR="00F659CD">
        <w:rPr>
          <w:rFonts w:cstheme="minorHAnsi"/>
        </w:rPr>
        <w:t>,</w:t>
      </w:r>
      <w:r w:rsidRPr="00C340E5">
        <w:rPr>
          <w:rFonts w:cstheme="minorHAnsi"/>
        </w:rPr>
        <w:t xml:space="preserve">608) were ‘rejected’ </w:t>
      </w:r>
      <w:r w:rsidR="003955CB">
        <w:rPr>
          <w:rFonts w:cstheme="minorHAnsi"/>
        </w:rPr>
        <w:t>(NHS Scotland, 2013)</w:t>
      </w:r>
      <w:r w:rsidR="00051F50">
        <w:rPr>
          <w:rFonts w:cstheme="minorHAnsi"/>
        </w:rPr>
        <w:t>.</w:t>
      </w:r>
      <w:r w:rsidR="003955CB">
        <w:rPr>
          <w:rFonts w:cstheme="minorHAnsi"/>
        </w:rPr>
        <w:t xml:space="preserve"> </w:t>
      </w:r>
      <w:r w:rsidRPr="00C340E5">
        <w:rPr>
          <w:rFonts w:cstheme="minorHAnsi"/>
        </w:rPr>
        <w:t>Hence, the</w:t>
      </w:r>
      <w:r w:rsidR="00A05CBB" w:rsidRPr="00C340E5">
        <w:rPr>
          <w:rFonts w:cstheme="minorHAnsi"/>
        </w:rPr>
        <w:t xml:space="preserve"> nu</w:t>
      </w:r>
      <w:r w:rsidRPr="00C340E5">
        <w:rPr>
          <w:rFonts w:cstheme="minorHAnsi"/>
        </w:rPr>
        <w:t>mber</w:t>
      </w:r>
      <w:r w:rsidR="00A05CBB" w:rsidRPr="00C340E5">
        <w:rPr>
          <w:rFonts w:cstheme="minorHAnsi"/>
        </w:rPr>
        <w:t xml:space="preserve"> of rejected referrals is </w:t>
      </w:r>
      <w:r w:rsidR="00203811">
        <w:rPr>
          <w:rFonts w:cstheme="minorHAnsi"/>
        </w:rPr>
        <w:t>a significant issue for mental health services and CYP. R</w:t>
      </w:r>
      <w:r w:rsidR="003955CB">
        <w:rPr>
          <w:rFonts w:cstheme="minorHAnsi"/>
        </w:rPr>
        <w:t>ejected referrals are described by NHS Scotland as ‘</w:t>
      </w:r>
      <w:r w:rsidR="003955CB" w:rsidRPr="00FE6074">
        <w:rPr>
          <w:rFonts w:cstheme="minorHAnsi"/>
          <w:i/>
        </w:rPr>
        <w:t>inappropriate referrals’</w:t>
      </w:r>
      <w:r w:rsidR="003955CB">
        <w:rPr>
          <w:rFonts w:cstheme="minorHAnsi"/>
        </w:rPr>
        <w:t xml:space="preserve"> </w:t>
      </w:r>
      <w:r w:rsidR="003955CB" w:rsidRPr="00A44EF3">
        <w:rPr>
          <w:rFonts w:cstheme="minorHAnsi"/>
        </w:rPr>
        <w:t xml:space="preserve">and are therefore not accepted to wait for </w:t>
      </w:r>
      <w:r w:rsidR="009257C1">
        <w:rPr>
          <w:rFonts w:cstheme="minorHAnsi"/>
        </w:rPr>
        <w:t>CAMHS</w:t>
      </w:r>
      <w:r w:rsidR="003955CB">
        <w:rPr>
          <w:rFonts w:cstheme="minorHAnsi"/>
        </w:rPr>
        <w:t xml:space="preserve"> (NHS Scotland, 2013). The decision making processes about rejection or acceptance to wait are not reported nationally. </w:t>
      </w:r>
      <w:r w:rsidR="00A05CBB" w:rsidRPr="00C340E5">
        <w:rPr>
          <w:rFonts w:cstheme="minorHAnsi"/>
        </w:rPr>
        <w:t xml:space="preserve"> </w:t>
      </w:r>
      <w:r w:rsidRPr="00C340E5">
        <w:rPr>
          <w:rFonts w:cstheme="minorHAnsi"/>
        </w:rPr>
        <w:t>Rejection</w:t>
      </w:r>
      <w:r w:rsidR="00B14672" w:rsidRPr="00C340E5">
        <w:rPr>
          <w:rFonts w:cstheme="minorHAnsi"/>
        </w:rPr>
        <w:t xml:space="preserve"> implies that these referrals are</w:t>
      </w:r>
      <w:r w:rsidR="00681CD8" w:rsidRPr="00C340E5">
        <w:rPr>
          <w:rFonts w:cstheme="minorHAnsi"/>
        </w:rPr>
        <w:t xml:space="preserve"> either</w:t>
      </w:r>
      <w:r w:rsidR="00D40F84" w:rsidRPr="00C340E5">
        <w:rPr>
          <w:rFonts w:cstheme="minorHAnsi"/>
        </w:rPr>
        <w:t xml:space="preserve"> inappropriate</w:t>
      </w:r>
      <w:r w:rsidR="00B14672" w:rsidRPr="00C340E5">
        <w:rPr>
          <w:rFonts w:cstheme="minorHAnsi"/>
        </w:rPr>
        <w:t xml:space="preserve"> or</w:t>
      </w:r>
      <w:r w:rsidR="00681CD8" w:rsidRPr="00C340E5">
        <w:rPr>
          <w:rFonts w:cstheme="minorHAnsi"/>
        </w:rPr>
        <w:t xml:space="preserve"> being</w:t>
      </w:r>
      <w:r w:rsidR="00B14672" w:rsidRPr="00C340E5">
        <w:rPr>
          <w:rFonts w:cstheme="minorHAnsi"/>
        </w:rPr>
        <w:t xml:space="preserve"> </w:t>
      </w:r>
      <w:r w:rsidR="004A2B0F" w:rsidRPr="00C340E5">
        <w:rPr>
          <w:rFonts w:cstheme="minorHAnsi"/>
        </w:rPr>
        <w:t xml:space="preserve">inappropriately rejected. </w:t>
      </w:r>
      <w:r w:rsidR="00681CD8" w:rsidRPr="00C340E5">
        <w:rPr>
          <w:rFonts w:cstheme="minorHAnsi"/>
        </w:rPr>
        <w:t>In any event</w:t>
      </w:r>
      <w:r w:rsidR="004A2B0F" w:rsidRPr="00C340E5">
        <w:rPr>
          <w:rFonts w:cstheme="minorHAnsi"/>
        </w:rPr>
        <w:t xml:space="preserve">, a rejection </w:t>
      </w:r>
      <w:r w:rsidR="00D40F84" w:rsidRPr="00C340E5">
        <w:rPr>
          <w:rFonts w:cstheme="minorHAnsi"/>
        </w:rPr>
        <w:t>suggests</w:t>
      </w:r>
      <w:r w:rsidR="004A2B0F" w:rsidRPr="00C340E5">
        <w:rPr>
          <w:rFonts w:cstheme="minorHAnsi"/>
        </w:rPr>
        <w:t xml:space="preserve"> that CYP are</w:t>
      </w:r>
      <w:r w:rsidR="00D40F84" w:rsidRPr="00C340E5">
        <w:rPr>
          <w:rFonts w:cstheme="minorHAnsi"/>
        </w:rPr>
        <w:t xml:space="preserve"> not</w:t>
      </w:r>
      <w:r w:rsidR="00FE6074">
        <w:rPr>
          <w:rFonts w:cstheme="minorHAnsi"/>
        </w:rPr>
        <w:t xml:space="preserve"> able to access</w:t>
      </w:r>
      <w:r w:rsidR="00D40F84" w:rsidRPr="00C340E5">
        <w:rPr>
          <w:rFonts w:cstheme="minorHAnsi"/>
        </w:rPr>
        <w:t xml:space="preserve"> help from appropriate services</w:t>
      </w:r>
      <w:r w:rsidR="00FE6074">
        <w:rPr>
          <w:rFonts w:cstheme="minorHAnsi"/>
        </w:rPr>
        <w:t xml:space="preserve"> in a timely fashion</w:t>
      </w:r>
      <w:r w:rsidR="00D40F84" w:rsidRPr="00C340E5">
        <w:rPr>
          <w:rFonts w:cstheme="minorHAnsi"/>
        </w:rPr>
        <w:t xml:space="preserve">. </w:t>
      </w:r>
      <w:r w:rsidR="00681CD8" w:rsidRPr="00C340E5">
        <w:rPr>
          <w:rFonts w:cstheme="minorHAnsi"/>
        </w:rPr>
        <w:t xml:space="preserve">However, who is being </w:t>
      </w:r>
      <w:r w:rsidR="00B14672" w:rsidRPr="00C340E5">
        <w:rPr>
          <w:rFonts w:cstheme="minorHAnsi"/>
        </w:rPr>
        <w:t xml:space="preserve">rejected </w:t>
      </w:r>
      <w:r w:rsidR="00681CD8" w:rsidRPr="00C340E5">
        <w:rPr>
          <w:rFonts w:cstheme="minorHAnsi"/>
        </w:rPr>
        <w:t>and why is not routinely reported</w:t>
      </w:r>
      <w:r w:rsidR="00C463E7">
        <w:rPr>
          <w:rFonts w:cstheme="minorHAnsi"/>
        </w:rPr>
        <w:t xml:space="preserve"> and we do not know what happens to these CYP once rejected. This </w:t>
      </w:r>
      <w:r w:rsidR="00681CD8" w:rsidRPr="00C340E5">
        <w:rPr>
          <w:rFonts w:cstheme="minorHAnsi"/>
        </w:rPr>
        <w:t xml:space="preserve">means that we currently have a poor understanding about the </w:t>
      </w:r>
      <w:r w:rsidR="00D83FBD">
        <w:rPr>
          <w:rFonts w:cstheme="minorHAnsi"/>
        </w:rPr>
        <w:t>phenomenon</w:t>
      </w:r>
      <w:r w:rsidR="00D83FBD" w:rsidRPr="00C340E5">
        <w:rPr>
          <w:rFonts w:cstheme="minorHAnsi"/>
        </w:rPr>
        <w:t xml:space="preserve"> </w:t>
      </w:r>
      <w:r w:rsidR="00681CD8" w:rsidRPr="00C340E5">
        <w:rPr>
          <w:rFonts w:cstheme="minorHAnsi"/>
        </w:rPr>
        <w:t>of rejection</w:t>
      </w:r>
      <w:r w:rsidR="00C340E5">
        <w:rPr>
          <w:rFonts w:cstheme="minorHAnsi"/>
        </w:rPr>
        <w:t xml:space="preserve"> in Scotland</w:t>
      </w:r>
      <w:r w:rsidR="00681CD8" w:rsidRPr="00C340E5">
        <w:rPr>
          <w:rFonts w:cstheme="minorHAnsi"/>
        </w:rPr>
        <w:t xml:space="preserve">. </w:t>
      </w:r>
      <w:r w:rsidR="00C340E5">
        <w:rPr>
          <w:rFonts w:cstheme="minorHAnsi"/>
        </w:rPr>
        <w:t xml:space="preserve"> Evidence from other countries is also lacking.</w:t>
      </w:r>
    </w:p>
    <w:p w14:paraId="275D271C" w14:textId="77777777" w:rsidR="00C340E5" w:rsidRDefault="00C340E5" w:rsidP="007F742D">
      <w:pPr>
        <w:autoSpaceDE w:val="0"/>
        <w:autoSpaceDN w:val="0"/>
        <w:adjustRightInd w:val="0"/>
        <w:spacing w:line="360" w:lineRule="auto"/>
        <w:rPr>
          <w:rFonts w:cstheme="minorHAnsi"/>
        </w:rPr>
      </w:pPr>
    </w:p>
    <w:p w14:paraId="3BB217D7" w14:textId="77777777" w:rsidR="00E86641" w:rsidRDefault="008F3B4E" w:rsidP="00AA2F72">
      <w:pPr>
        <w:autoSpaceDE w:val="0"/>
        <w:autoSpaceDN w:val="0"/>
        <w:adjustRightInd w:val="0"/>
        <w:spacing w:after="0" w:line="480" w:lineRule="auto"/>
        <w:rPr>
          <w:rFonts w:cstheme="minorHAnsi"/>
        </w:rPr>
      </w:pPr>
      <w:r w:rsidRPr="008F3B4E">
        <w:rPr>
          <w:rFonts w:cstheme="minorHAnsi"/>
        </w:rPr>
        <w:t xml:space="preserve">We </w:t>
      </w:r>
      <w:r w:rsidR="00C340E5" w:rsidRPr="008F3B4E">
        <w:rPr>
          <w:rFonts w:cstheme="minorHAnsi"/>
        </w:rPr>
        <w:t xml:space="preserve">also have a poor understanding of the </w:t>
      </w:r>
      <w:r w:rsidR="00D83FBD">
        <w:rPr>
          <w:rFonts w:cstheme="minorHAnsi"/>
        </w:rPr>
        <w:t>issue</w:t>
      </w:r>
      <w:r w:rsidR="00D83FBD" w:rsidRPr="008F3B4E">
        <w:rPr>
          <w:rFonts w:cstheme="minorHAnsi"/>
        </w:rPr>
        <w:t xml:space="preserve"> </w:t>
      </w:r>
      <w:r w:rsidR="00C340E5" w:rsidRPr="008F3B4E">
        <w:rPr>
          <w:rFonts w:cstheme="minorHAnsi"/>
        </w:rPr>
        <w:t xml:space="preserve">of waiting times </w:t>
      </w:r>
      <w:r w:rsidRPr="008F3B4E">
        <w:rPr>
          <w:rFonts w:cstheme="minorHAnsi"/>
        </w:rPr>
        <w:t xml:space="preserve">for CAMHS </w:t>
      </w:r>
      <w:r w:rsidR="00C340E5" w:rsidRPr="008F3B4E">
        <w:rPr>
          <w:rFonts w:cstheme="minorHAnsi"/>
        </w:rPr>
        <w:t>in Scotland.</w:t>
      </w:r>
      <w:r w:rsidR="00BE4084" w:rsidRPr="00BE4084">
        <w:rPr>
          <w:rFonts w:cstheme="minorHAnsi"/>
        </w:rPr>
        <w:t xml:space="preserve"> </w:t>
      </w:r>
      <w:r w:rsidR="00BE4084" w:rsidRPr="00785262">
        <w:rPr>
          <w:rFonts w:cstheme="minorHAnsi"/>
        </w:rPr>
        <w:t xml:space="preserve">‘Waiting time’ is reported as a measure of the length of days between the date </w:t>
      </w:r>
      <w:r w:rsidR="00070433">
        <w:rPr>
          <w:rFonts w:cstheme="minorHAnsi"/>
        </w:rPr>
        <w:t xml:space="preserve">a CYP is </w:t>
      </w:r>
      <w:r w:rsidR="00BE4084" w:rsidRPr="00785262">
        <w:rPr>
          <w:rFonts w:cstheme="minorHAnsi"/>
        </w:rPr>
        <w:t>referr</w:t>
      </w:r>
      <w:r w:rsidR="00070433">
        <w:rPr>
          <w:rFonts w:cstheme="minorHAnsi"/>
        </w:rPr>
        <w:t>ed</w:t>
      </w:r>
      <w:r w:rsidR="00BE4084" w:rsidRPr="00785262">
        <w:rPr>
          <w:rFonts w:cstheme="minorHAnsi"/>
        </w:rPr>
        <w:t xml:space="preserve"> to CAMHS to the date of ‘</w:t>
      </w:r>
      <w:r w:rsidR="00BE4084" w:rsidRPr="00C44C75">
        <w:rPr>
          <w:rFonts w:cstheme="minorHAnsi"/>
          <w:i/>
        </w:rPr>
        <w:t>start of treatment’</w:t>
      </w:r>
      <w:r w:rsidR="00BE4084" w:rsidRPr="00785262">
        <w:rPr>
          <w:rFonts w:cstheme="minorHAnsi"/>
        </w:rPr>
        <w:t xml:space="preserve"> or is ‘</w:t>
      </w:r>
      <w:r w:rsidR="00BE4084" w:rsidRPr="00C44C75">
        <w:rPr>
          <w:rFonts w:cstheme="minorHAnsi"/>
          <w:i/>
        </w:rPr>
        <w:t>removed from the waiting list’</w:t>
      </w:r>
      <w:r w:rsidR="00BE4084" w:rsidRPr="00785262">
        <w:rPr>
          <w:rFonts w:cstheme="minorHAnsi"/>
        </w:rPr>
        <w:t xml:space="preserve"> [NHS Scotland 2013].</w:t>
      </w:r>
      <w:r w:rsidR="00E86641">
        <w:rPr>
          <w:rFonts w:cstheme="minorHAnsi"/>
        </w:rPr>
        <w:t xml:space="preserve"> The ‘</w:t>
      </w:r>
      <w:r w:rsidR="00E86641" w:rsidRPr="00C44C75">
        <w:rPr>
          <w:rFonts w:cstheme="minorHAnsi"/>
          <w:i/>
        </w:rPr>
        <w:t>start of treatment’</w:t>
      </w:r>
      <w:r w:rsidR="00C44C75" w:rsidRPr="00C44C75">
        <w:rPr>
          <w:rFonts w:cstheme="minorHAnsi"/>
          <w:i/>
        </w:rPr>
        <w:t xml:space="preserve"> </w:t>
      </w:r>
      <w:r w:rsidR="00C44C75">
        <w:rPr>
          <w:rFonts w:cstheme="minorHAnsi"/>
        </w:rPr>
        <w:t>includes</w:t>
      </w:r>
      <w:r w:rsidR="00E86641">
        <w:rPr>
          <w:rFonts w:cstheme="minorHAnsi"/>
        </w:rPr>
        <w:t xml:space="preserve"> those CYP whose mental health needs have been assessed and go on to </w:t>
      </w:r>
      <w:r w:rsidR="00A630D3">
        <w:rPr>
          <w:rFonts w:cstheme="minorHAnsi"/>
        </w:rPr>
        <w:t>access</w:t>
      </w:r>
      <w:r w:rsidR="00A23F16">
        <w:rPr>
          <w:rFonts w:cstheme="minorHAnsi"/>
        </w:rPr>
        <w:t xml:space="preserve"> help </w:t>
      </w:r>
      <w:r w:rsidR="00A630D3">
        <w:rPr>
          <w:rFonts w:cstheme="minorHAnsi"/>
        </w:rPr>
        <w:t xml:space="preserve">from </w:t>
      </w:r>
      <w:r w:rsidR="00C44C75">
        <w:rPr>
          <w:rFonts w:cstheme="minorHAnsi"/>
        </w:rPr>
        <w:t>a member of the specialist CAMHS team. ‘</w:t>
      </w:r>
      <w:r w:rsidR="00C44C75" w:rsidRPr="00C44C75">
        <w:rPr>
          <w:rFonts w:cstheme="minorHAnsi"/>
          <w:i/>
        </w:rPr>
        <w:t>Removed from the waiting list’</w:t>
      </w:r>
      <w:r w:rsidR="00C44C75">
        <w:rPr>
          <w:rFonts w:cstheme="minorHAnsi"/>
        </w:rPr>
        <w:t xml:space="preserve"> includes those CYP whose mental health needs have been assessed and do not require any </w:t>
      </w:r>
      <w:r w:rsidR="00A630D3">
        <w:rPr>
          <w:rFonts w:cstheme="minorHAnsi"/>
        </w:rPr>
        <w:t xml:space="preserve">help from </w:t>
      </w:r>
      <w:r w:rsidR="001A4ACF">
        <w:rPr>
          <w:rFonts w:cstheme="minorHAnsi"/>
        </w:rPr>
        <w:t xml:space="preserve"> </w:t>
      </w:r>
      <w:r w:rsidR="00C44C75">
        <w:rPr>
          <w:rFonts w:cstheme="minorHAnsi"/>
        </w:rPr>
        <w:t xml:space="preserve">the specialist CAMHS team or have made a decision to </w:t>
      </w:r>
      <w:r w:rsidR="00A630D3">
        <w:rPr>
          <w:rFonts w:cstheme="minorHAnsi"/>
        </w:rPr>
        <w:t xml:space="preserve">not take up the help </w:t>
      </w:r>
      <w:r w:rsidR="00C44C75">
        <w:rPr>
          <w:rFonts w:cstheme="minorHAnsi"/>
        </w:rPr>
        <w:t xml:space="preserve">offered by the specialist CAMHS team. </w:t>
      </w:r>
    </w:p>
    <w:p w14:paraId="3A497590" w14:textId="77777777" w:rsidR="00E86641" w:rsidRDefault="00E86641" w:rsidP="00AA2F72">
      <w:pPr>
        <w:autoSpaceDE w:val="0"/>
        <w:autoSpaceDN w:val="0"/>
        <w:adjustRightInd w:val="0"/>
        <w:spacing w:after="0" w:line="480" w:lineRule="auto"/>
        <w:rPr>
          <w:rFonts w:cstheme="minorHAnsi"/>
        </w:rPr>
      </w:pPr>
    </w:p>
    <w:p w14:paraId="2F2FE2B7" w14:textId="77777777" w:rsidR="00BE4084" w:rsidRDefault="00ED42E7" w:rsidP="00AA2F72">
      <w:pPr>
        <w:autoSpaceDE w:val="0"/>
        <w:autoSpaceDN w:val="0"/>
        <w:adjustRightInd w:val="0"/>
        <w:spacing w:after="0" w:line="480" w:lineRule="auto"/>
        <w:rPr>
          <w:rFonts w:cs="Calibri"/>
          <w:lang w:val="en-US"/>
        </w:rPr>
      </w:pPr>
      <w:r w:rsidRPr="008F3B4E">
        <w:rPr>
          <w:rFonts w:cs="Calibri"/>
          <w:lang w:val="en-US"/>
        </w:rPr>
        <w:t xml:space="preserve">At </w:t>
      </w:r>
      <w:r w:rsidR="00C340E5" w:rsidRPr="008F3B4E">
        <w:rPr>
          <w:rFonts w:cs="Calibri"/>
          <w:lang w:val="en-US"/>
        </w:rPr>
        <w:t xml:space="preserve">the end of September 2012, there were 3,602 CYP </w:t>
      </w:r>
      <w:r w:rsidR="00070433">
        <w:rPr>
          <w:rFonts w:cs="Calibri"/>
          <w:lang w:val="en-US"/>
        </w:rPr>
        <w:t xml:space="preserve">in Scotland </w:t>
      </w:r>
      <w:r w:rsidR="00C340E5" w:rsidRPr="008F3B4E">
        <w:rPr>
          <w:rFonts w:cs="Calibri"/>
          <w:lang w:val="en-US"/>
        </w:rPr>
        <w:t>waiting to start their treatment at CAMHS of which, 375 (10%) had been waiting over six months and 1,204 (33%) had been waiting over four months (NHS Scotland, 2013). Thus, some CYP in Scotland wait a considerable length of time to get help from CAMHS.</w:t>
      </w:r>
    </w:p>
    <w:p w14:paraId="5B19524E" w14:textId="77777777" w:rsidR="00BE4084" w:rsidRDefault="00BE4084" w:rsidP="00AA2F72">
      <w:pPr>
        <w:autoSpaceDE w:val="0"/>
        <w:autoSpaceDN w:val="0"/>
        <w:adjustRightInd w:val="0"/>
        <w:spacing w:after="0" w:line="480" w:lineRule="auto"/>
        <w:rPr>
          <w:rFonts w:cs="Calibri"/>
          <w:lang w:val="en-US"/>
        </w:rPr>
      </w:pPr>
    </w:p>
    <w:p w14:paraId="757773A4" w14:textId="77777777" w:rsidR="00C01F3A" w:rsidRDefault="00AF2AE9" w:rsidP="00AA2F72">
      <w:pPr>
        <w:autoSpaceDE w:val="0"/>
        <w:autoSpaceDN w:val="0"/>
        <w:adjustRightInd w:val="0"/>
        <w:spacing w:after="0" w:line="480" w:lineRule="auto"/>
        <w:rPr>
          <w:rFonts w:cs="Calibri"/>
          <w:lang w:val="en-US"/>
        </w:rPr>
      </w:pPr>
      <w:r w:rsidRPr="008F3B4E">
        <w:rPr>
          <w:rFonts w:cs="Calibri"/>
          <w:lang w:val="en-US"/>
        </w:rPr>
        <w:t xml:space="preserve">Literature suggests that </w:t>
      </w:r>
      <w:r w:rsidR="00FB6213">
        <w:rPr>
          <w:rFonts w:cs="Calibri"/>
          <w:lang w:val="en-US"/>
        </w:rPr>
        <w:t xml:space="preserve">CYP </w:t>
      </w:r>
      <w:r w:rsidRPr="008F3B4E">
        <w:rPr>
          <w:rFonts w:cs="Calibri"/>
          <w:lang w:val="en-US"/>
        </w:rPr>
        <w:t>waiting for CAMHS or equivalent mental health services is a problem in other countries</w:t>
      </w:r>
      <w:r w:rsidR="00FB6213">
        <w:rPr>
          <w:rFonts w:cs="Calibri"/>
          <w:lang w:val="en-US"/>
        </w:rPr>
        <w:t xml:space="preserve"> </w:t>
      </w:r>
      <w:r w:rsidR="00FB6213" w:rsidRPr="008F3B4E">
        <w:rPr>
          <w:rFonts w:cstheme="minorHAnsi"/>
          <w:bCs/>
          <w:color w:val="231F20"/>
        </w:rPr>
        <w:t>(Kowalewski et al 2011</w:t>
      </w:r>
      <w:r w:rsidR="00FB6213">
        <w:rPr>
          <w:rFonts w:cstheme="minorHAnsi"/>
          <w:bCs/>
          <w:color w:val="231F20"/>
        </w:rPr>
        <w:t xml:space="preserve">; </w:t>
      </w:r>
      <w:r w:rsidR="00FB6213">
        <w:rPr>
          <w:rFonts w:cs="Calibri"/>
          <w:lang w:val="en-US"/>
        </w:rPr>
        <w:t>Steinman et al 2015</w:t>
      </w:r>
      <w:r w:rsidR="00FB6213" w:rsidRPr="008F3B4E">
        <w:rPr>
          <w:rFonts w:cstheme="minorHAnsi"/>
          <w:bCs/>
          <w:color w:val="231F20"/>
        </w:rPr>
        <w:t>)</w:t>
      </w:r>
      <w:r w:rsidR="00DD3FBE">
        <w:rPr>
          <w:rFonts w:cstheme="minorHAnsi"/>
          <w:bCs/>
          <w:color w:val="231F20"/>
        </w:rPr>
        <w:t xml:space="preserve"> and also a problem in adult mental health services</w:t>
      </w:r>
      <w:r w:rsidR="00FB6213">
        <w:rPr>
          <w:rFonts w:cstheme="minorHAnsi"/>
          <w:bCs/>
          <w:color w:val="231F20"/>
        </w:rPr>
        <w:t xml:space="preserve"> (Beck et al 2015). </w:t>
      </w:r>
      <w:r w:rsidR="00DD3FBE">
        <w:rPr>
          <w:rFonts w:cstheme="minorHAnsi"/>
          <w:bCs/>
          <w:color w:val="231F20"/>
        </w:rPr>
        <w:t xml:space="preserve"> A study carried out in Canada suggests that CYP categorised as low priority wait the longest (median 90 days) compared to those categorised as moderately (median 60 days), high (median 15 days) or extremely high (median 1 day) priority </w:t>
      </w:r>
      <w:r w:rsidR="00DD3FBE" w:rsidRPr="008F3B4E">
        <w:rPr>
          <w:rFonts w:cstheme="minorHAnsi"/>
          <w:bCs/>
          <w:color w:val="231F20"/>
        </w:rPr>
        <w:t>(Kowalewski et al 2011).</w:t>
      </w:r>
      <w:r w:rsidR="00DD3FBE">
        <w:rPr>
          <w:rFonts w:cstheme="minorHAnsi"/>
          <w:bCs/>
          <w:color w:val="231F20"/>
        </w:rPr>
        <w:t xml:space="preserve">  However, it is unclear from the literature what other factors influence wait</w:t>
      </w:r>
      <w:r w:rsidR="00E15A33">
        <w:rPr>
          <w:rFonts w:cstheme="minorHAnsi"/>
          <w:bCs/>
          <w:color w:val="231F20"/>
        </w:rPr>
        <w:t>ing</w:t>
      </w:r>
      <w:r w:rsidR="00DD3FBE">
        <w:rPr>
          <w:rFonts w:cstheme="minorHAnsi"/>
          <w:bCs/>
          <w:color w:val="231F20"/>
        </w:rPr>
        <w:t xml:space="preserve"> times including whether there is a relationship between wait</w:t>
      </w:r>
      <w:r w:rsidR="009257C1">
        <w:rPr>
          <w:rFonts w:cstheme="minorHAnsi"/>
          <w:bCs/>
          <w:color w:val="231F20"/>
        </w:rPr>
        <w:t>ing</w:t>
      </w:r>
      <w:r w:rsidR="00DD3FBE">
        <w:rPr>
          <w:rFonts w:cstheme="minorHAnsi"/>
          <w:bCs/>
          <w:color w:val="231F20"/>
        </w:rPr>
        <w:t xml:space="preserve"> times and referral source</w:t>
      </w:r>
      <w:r w:rsidR="00ED42E7">
        <w:rPr>
          <w:rFonts w:cs="Calibri"/>
          <w:lang w:val="en-US"/>
        </w:rPr>
        <w:t xml:space="preserve"> (e.g. school te</w:t>
      </w:r>
      <w:r w:rsidR="00DD3FBE">
        <w:rPr>
          <w:rFonts w:cs="Calibri"/>
          <w:lang w:val="en-US"/>
        </w:rPr>
        <w:t xml:space="preserve">acher, social worker, nurse), </w:t>
      </w:r>
      <w:r w:rsidR="009257C1">
        <w:rPr>
          <w:rFonts w:cs="Calibri"/>
          <w:lang w:val="en-US"/>
        </w:rPr>
        <w:t>referral reason</w:t>
      </w:r>
      <w:r w:rsidR="00ED42E7">
        <w:rPr>
          <w:rFonts w:cs="Calibri"/>
          <w:lang w:val="en-US"/>
        </w:rPr>
        <w:t xml:space="preserve"> (e.g. emotional and behaviour</w:t>
      </w:r>
      <w:r w:rsidR="00701CA4">
        <w:rPr>
          <w:rFonts w:cs="Calibri"/>
          <w:lang w:val="en-US"/>
        </w:rPr>
        <w:t>al</w:t>
      </w:r>
      <w:r w:rsidR="00ED42E7">
        <w:rPr>
          <w:rFonts w:cs="Calibri"/>
          <w:lang w:val="en-US"/>
        </w:rPr>
        <w:t xml:space="preserve"> problems, self-harm)</w:t>
      </w:r>
      <w:r w:rsidR="00DD3FBE">
        <w:rPr>
          <w:rFonts w:cs="Calibri"/>
          <w:lang w:val="en-US"/>
        </w:rPr>
        <w:t xml:space="preserve"> and socio-demographic characteristics of CYP (e.g. age, gender, so</w:t>
      </w:r>
      <w:r w:rsidR="00CE456A">
        <w:rPr>
          <w:rFonts w:cs="Calibri"/>
          <w:lang w:val="en-US"/>
        </w:rPr>
        <w:t>cial dep</w:t>
      </w:r>
      <w:r w:rsidR="00C463E7">
        <w:rPr>
          <w:rFonts w:cs="Calibri"/>
          <w:lang w:val="en-US"/>
        </w:rPr>
        <w:t>ri</w:t>
      </w:r>
      <w:r w:rsidR="00CE456A">
        <w:rPr>
          <w:rFonts w:cs="Calibri"/>
          <w:lang w:val="en-US"/>
        </w:rPr>
        <w:t>v</w:t>
      </w:r>
      <w:r w:rsidR="00DD3FBE">
        <w:rPr>
          <w:rFonts w:cs="Calibri"/>
          <w:lang w:val="en-US"/>
        </w:rPr>
        <w:t xml:space="preserve">ation). </w:t>
      </w:r>
      <w:r w:rsidR="00C340E5" w:rsidRPr="00C340E5">
        <w:rPr>
          <w:rFonts w:cs="Calibri"/>
          <w:lang w:val="en-US"/>
        </w:rPr>
        <w:t xml:space="preserve">Yet, </w:t>
      </w:r>
      <w:r w:rsidR="00C01F3A">
        <w:rPr>
          <w:rFonts w:cs="Calibri"/>
          <w:lang w:val="en-US"/>
        </w:rPr>
        <w:t xml:space="preserve">it is clear that waiting can lead to families of CYP seeking help from other sources (Schraeder and Reid 2015), </w:t>
      </w:r>
      <w:r w:rsidR="00CE456A">
        <w:rPr>
          <w:rFonts w:cs="Calibri"/>
          <w:lang w:val="en-US"/>
        </w:rPr>
        <w:t>but we do not know whether these alternative sources are appropriate</w:t>
      </w:r>
      <w:r w:rsidR="00C463E7">
        <w:rPr>
          <w:rFonts w:cs="Calibri"/>
          <w:lang w:val="en-US"/>
        </w:rPr>
        <w:t>. Moreover, we do not know</w:t>
      </w:r>
      <w:r w:rsidR="00CE456A">
        <w:rPr>
          <w:rFonts w:cs="Calibri"/>
          <w:lang w:val="en-US"/>
        </w:rPr>
        <w:t xml:space="preserve"> </w:t>
      </w:r>
      <w:r w:rsidR="00C463E7">
        <w:rPr>
          <w:rFonts w:cs="Calibri"/>
          <w:lang w:val="en-US"/>
        </w:rPr>
        <w:t xml:space="preserve">if those who </w:t>
      </w:r>
      <w:r w:rsidR="00CE456A">
        <w:rPr>
          <w:rFonts w:cs="Calibri"/>
          <w:lang w:val="en-US"/>
        </w:rPr>
        <w:t>wait without recourse to seeking help from other sources</w:t>
      </w:r>
      <w:r w:rsidR="00C463E7">
        <w:rPr>
          <w:rFonts w:cs="Calibri"/>
          <w:lang w:val="en-US"/>
        </w:rPr>
        <w:t xml:space="preserve"> actually get support while waiting</w:t>
      </w:r>
      <w:r w:rsidR="00CE456A">
        <w:rPr>
          <w:rFonts w:cs="Calibri"/>
          <w:lang w:val="en-US"/>
        </w:rPr>
        <w:t xml:space="preserve">. Indeed, </w:t>
      </w:r>
      <w:r w:rsidR="00C463E7">
        <w:rPr>
          <w:rFonts w:cs="Calibri"/>
          <w:lang w:val="en-US"/>
        </w:rPr>
        <w:t>while initiatives to reduce wait</w:t>
      </w:r>
      <w:r w:rsidR="00E15A33">
        <w:rPr>
          <w:rFonts w:cs="Calibri"/>
          <w:lang w:val="en-US"/>
        </w:rPr>
        <w:t>ing</w:t>
      </w:r>
      <w:r w:rsidR="00CE456A">
        <w:rPr>
          <w:rFonts w:cs="Calibri"/>
          <w:lang w:val="en-US"/>
        </w:rPr>
        <w:t xml:space="preserve"> times exist, the potential be</w:t>
      </w:r>
      <w:r w:rsidR="00C463E7">
        <w:rPr>
          <w:rFonts w:cs="Calibri"/>
          <w:lang w:val="en-US"/>
        </w:rPr>
        <w:t xml:space="preserve">nefits and harms of waiting remain </w:t>
      </w:r>
      <w:r w:rsidR="00CE456A">
        <w:rPr>
          <w:rFonts w:cs="Calibri"/>
          <w:lang w:val="en-US"/>
        </w:rPr>
        <w:t>unknown (McLennan 2015).</w:t>
      </w:r>
    </w:p>
    <w:p w14:paraId="029C5DB5" w14:textId="77777777" w:rsidR="009A43C5" w:rsidRPr="00C340E5" w:rsidRDefault="009A43C5" w:rsidP="00AA2F72">
      <w:pPr>
        <w:autoSpaceDE w:val="0"/>
        <w:autoSpaceDN w:val="0"/>
        <w:adjustRightInd w:val="0"/>
        <w:spacing w:line="480" w:lineRule="auto"/>
        <w:rPr>
          <w:rFonts w:cs="Calibri"/>
          <w:lang w:val="en-US"/>
        </w:rPr>
      </w:pPr>
    </w:p>
    <w:p w14:paraId="43C3976F" w14:textId="77777777" w:rsidR="00ED42E7" w:rsidRDefault="00855540" w:rsidP="00AA2F72">
      <w:pPr>
        <w:pStyle w:val="Default"/>
        <w:spacing w:after="120" w:line="480" w:lineRule="auto"/>
        <w:rPr>
          <w:rFonts w:asciiTheme="minorHAnsi" w:hAnsiTheme="minorHAnsi" w:cstheme="minorHAnsi"/>
          <w:sz w:val="22"/>
          <w:szCs w:val="22"/>
        </w:rPr>
      </w:pPr>
      <w:r w:rsidRPr="00C340E5">
        <w:rPr>
          <w:rFonts w:asciiTheme="minorHAnsi" w:hAnsiTheme="minorHAnsi" w:cstheme="minorHAnsi"/>
          <w:sz w:val="22"/>
          <w:szCs w:val="22"/>
        </w:rPr>
        <w:t>The purpose of this article is to report the findings of a</w:t>
      </w:r>
      <w:r w:rsidR="00EB3253">
        <w:rPr>
          <w:rFonts w:asciiTheme="minorHAnsi" w:hAnsiTheme="minorHAnsi" w:cstheme="minorHAnsi"/>
          <w:sz w:val="22"/>
          <w:szCs w:val="22"/>
        </w:rPr>
        <w:t>n exploratory</w:t>
      </w:r>
      <w:r w:rsidR="00ED42E7">
        <w:rPr>
          <w:rFonts w:asciiTheme="minorHAnsi" w:hAnsiTheme="minorHAnsi" w:cstheme="minorHAnsi"/>
          <w:sz w:val="22"/>
          <w:szCs w:val="22"/>
        </w:rPr>
        <w:t xml:space="preserve"> study that examine</w:t>
      </w:r>
      <w:r w:rsidR="009A43C5">
        <w:rPr>
          <w:rFonts w:asciiTheme="minorHAnsi" w:hAnsiTheme="minorHAnsi" w:cstheme="minorHAnsi"/>
          <w:sz w:val="22"/>
          <w:szCs w:val="22"/>
        </w:rPr>
        <w:t>d</w:t>
      </w:r>
      <w:r w:rsidR="00ED42E7">
        <w:rPr>
          <w:rFonts w:asciiTheme="minorHAnsi" w:hAnsiTheme="minorHAnsi" w:cstheme="minorHAnsi"/>
          <w:sz w:val="22"/>
          <w:szCs w:val="22"/>
        </w:rPr>
        <w:t xml:space="preserve"> associations between referral source, reason for referral</w:t>
      </w:r>
      <w:r w:rsidR="00C463E7">
        <w:rPr>
          <w:rFonts w:asciiTheme="minorHAnsi" w:hAnsiTheme="minorHAnsi" w:cstheme="minorHAnsi"/>
          <w:sz w:val="22"/>
          <w:szCs w:val="22"/>
        </w:rPr>
        <w:t>, and socio-demographic characteristic of CYP on</w:t>
      </w:r>
      <w:r w:rsidR="00ED42E7">
        <w:rPr>
          <w:rFonts w:asciiTheme="minorHAnsi" w:hAnsiTheme="minorHAnsi" w:cstheme="minorHAnsi"/>
          <w:sz w:val="22"/>
          <w:szCs w:val="22"/>
        </w:rPr>
        <w:t xml:space="preserve"> referral outcome as a first step towards understanding the problem of rejection and wait</w:t>
      </w:r>
      <w:r w:rsidR="00E15A33">
        <w:rPr>
          <w:rFonts w:asciiTheme="minorHAnsi" w:hAnsiTheme="minorHAnsi" w:cstheme="minorHAnsi"/>
          <w:sz w:val="22"/>
          <w:szCs w:val="22"/>
        </w:rPr>
        <w:t>ing</w:t>
      </w:r>
      <w:r w:rsidR="00ED42E7">
        <w:rPr>
          <w:rFonts w:asciiTheme="minorHAnsi" w:hAnsiTheme="minorHAnsi" w:cstheme="minorHAnsi"/>
          <w:sz w:val="22"/>
          <w:szCs w:val="22"/>
        </w:rPr>
        <w:t xml:space="preserve"> times </w:t>
      </w:r>
      <w:r w:rsidR="00A513A3">
        <w:rPr>
          <w:rFonts w:asciiTheme="minorHAnsi" w:hAnsiTheme="minorHAnsi" w:cstheme="minorHAnsi"/>
          <w:sz w:val="22"/>
          <w:szCs w:val="22"/>
        </w:rPr>
        <w:t>for</w:t>
      </w:r>
      <w:r w:rsidR="009A43C5">
        <w:rPr>
          <w:rFonts w:asciiTheme="minorHAnsi" w:hAnsiTheme="minorHAnsi" w:cstheme="minorHAnsi"/>
          <w:sz w:val="22"/>
          <w:szCs w:val="22"/>
        </w:rPr>
        <w:t xml:space="preserve"> CYP who are referred to CAMHS. The findings have </w:t>
      </w:r>
      <w:r w:rsidR="00A513A3">
        <w:rPr>
          <w:rFonts w:asciiTheme="minorHAnsi" w:hAnsiTheme="minorHAnsi" w:cstheme="minorHAnsi"/>
          <w:sz w:val="22"/>
          <w:szCs w:val="22"/>
        </w:rPr>
        <w:t xml:space="preserve">the </w:t>
      </w:r>
      <w:r w:rsidR="009A43C5">
        <w:rPr>
          <w:rFonts w:asciiTheme="minorHAnsi" w:hAnsiTheme="minorHAnsi" w:cstheme="minorHAnsi"/>
          <w:sz w:val="22"/>
          <w:szCs w:val="22"/>
        </w:rPr>
        <w:t xml:space="preserve">potential to inform </w:t>
      </w:r>
      <w:r w:rsidR="00C463E7">
        <w:rPr>
          <w:rFonts w:asciiTheme="minorHAnsi" w:hAnsiTheme="minorHAnsi" w:cstheme="minorHAnsi"/>
          <w:sz w:val="22"/>
          <w:szCs w:val="22"/>
        </w:rPr>
        <w:t>further work to improve</w:t>
      </w:r>
      <w:r w:rsidR="009A43C5">
        <w:rPr>
          <w:rFonts w:asciiTheme="minorHAnsi" w:hAnsiTheme="minorHAnsi" w:cstheme="minorHAnsi"/>
          <w:sz w:val="22"/>
          <w:szCs w:val="22"/>
        </w:rPr>
        <w:t xml:space="preserve"> timely and appropriate access to mental health services for CYP.</w:t>
      </w:r>
    </w:p>
    <w:p w14:paraId="41955D63" w14:textId="77777777" w:rsidR="00ED42E7" w:rsidRDefault="00ED42E7" w:rsidP="00AA2F72">
      <w:pPr>
        <w:pStyle w:val="Default"/>
        <w:spacing w:after="120" w:line="480" w:lineRule="auto"/>
        <w:rPr>
          <w:rFonts w:asciiTheme="minorHAnsi" w:hAnsiTheme="minorHAnsi" w:cstheme="minorHAnsi"/>
          <w:sz w:val="22"/>
          <w:szCs w:val="22"/>
        </w:rPr>
      </w:pPr>
    </w:p>
    <w:p w14:paraId="1A2C6434" w14:textId="77777777" w:rsidR="00B218A5" w:rsidRPr="005222FB" w:rsidRDefault="00855540" w:rsidP="00AA2F72">
      <w:pPr>
        <w:autoSpaceDE w:val="0"/>
        <w:autoSpaceDN w:val="0"/>
        <w:adjustRightInd w:val="0"/>
        <w:spacing w:line="480" w:lineRule="auto"/>
        <w:rPr>
          <w:rFonts w:cstheme="majorHAnsi"/>
          <w:b/>
          <w:sz w:val="24"/>
          <w:szCs w:val="24"/>
        </w:rPr>
      </w:pPr>
      <w:r w:rsidRPr="005222FB">
        <w:rPr>
          <w:rFonts w:cstheme="majorHAnsi"/>
          <w:b/>
          <w:sz w:val="24"/>
          <w:szCs w:val="24"/>
        </w:rPr>
        <w:t>METHODS</w:t>
      </w:r>
    </w:p>
    <w:p w14:paraId="340CCC13" w14:textId="77777777" w:rsidR="00EC331C" w:rsidRPr="009C6404" w:rsidRDefault="00EC331C" w:rsidP="00AA2F72">
      <w:pPr>
        <w:spacing w:line="480" w:lineRule="auto"/>
        <w:rPr>
          <w:rFonts w:eastAsia="Calibri" w:cs="Calibri"/>
          <w:b/>
          <w:lang w:eastAsia="en-GB"/>
        </w:rPr>
      </w:pPr>
      <w:r w:rsidRPr="009C6404">
        <w:rPr>
          <w:rFonts w:eastAsia="Calibri" w:cs="Calibri"/>
          <w:b/>
          <w:lang w:eastAsia="en-GB"/>
        </w:rPr>
        <w:t>Design</w:t>
      </w:r>
    </w:p>
    <w:p w14:paraId="69FDBCAE" w14:textId="77777777" w:rsidR="00C9575B" w:rsidRPr="00C9575B" w:rsidRDefault="0000372F" w:rsidP="00AA2F72">
      <w:pPr>
        <w:pStyle w:val="CommentText"/>
        <w:spacing w:line="480" w:lineRule="auto"/>
        <w:rPr>
          <w:rFonts w:cstheme="minorHAnsi"/>
          <w:sz w:val="22"/>
          <w:szCs w:val="22"/>
        </w:rPr>
      </w:pPr>
      <w:r w:rsidRPr="00C9575B">
        <w:rPr>
          <w:rFonts w:eastAsia="Calibri" w:cstheme="minorHAnsi"/>
          <w:sz w:val="22"/>
          <w:szCs w:val="22"/>
          <w:lang w:eastAsia="en-GB"/>
        </w:rPr>
        <w:t>A retrospective analy</w:t>
      </w:r>
      <w:r w:rsidR="001251C2" w:rsidRPr="00C9575B">
        <w:rPr>
          <w:rFonts w:eastAsia="Calibri" w:cstheme="minorHAnsi"/>
          <w:sz w:val="22"/>
          <w:szCs w:val="22"/>
          <w:lang w:eastAsia="en-GB"/>
        </w:rPr>
        <w:t>si</w:t>
      </w:r>
      <w:r w:rsidRPr="00C9575B">
        <w:rPr>
          <w:rFonts w:eastAsia="Calibri" w:cstheme="minorHAnsi"/>
          <w:sz w:val="22"/>
          <w:szCs w:val="22"/>
          <w:lang w:eastAsia="en-GB"/>
        </w:rPr>
        <w:t>s of CYP referral forms over 12 months (1</w:t>
      </w:r>
      <w:r w:rsidRPr="00C9575B">
        <w:rPr>
          <w:rFonts w:eastAsia="Calibri" w:cstheme="minorHAnsi"/>
          <w:sz w:val="22"/>
          <w:szCs w:val="22"/>
          <w:vertAlign w:val="superscript"/>
          <w:lang w:eastAsia="en-GB"/>
        </w:rPr>
        <w:t>st</w:t>
      </w:r>
      <w:r w:rsidRPr="00C9575B">
        <w:rPr>
          <w:rFonts w:eastAsia="Calibri" w:cstheme="minorHAnsi"/>
          <w:sz w:val="22"/>
          <w:szCs w:val="22"/>
          <w:lang w:eastAsia="en-GB"/>
        </w:rPr>
        <w:t xml:space="preserve"> May 2013– 31</w:t>
      </w:r>
      <w:r w:rsidRPr="00C9575B">
        <w:rPr>
          <w:rFonts w:eastAsia="Calibri" w:cstheme="minorHAnsi"/>
          <w:sz w:val="22"/>
          <w:szCs w:val="22"/>
          <w:vertAlign w:val="superscript"/>
          <w:lang w:eastAsia="en-GB"/>
        </w:rPr>
        <w:t>st</w:t>
      </w:r>
      <w:r w:rsidRPr="00C9575B">
        <w:rPr>
          <w:rFonts w:eastAsia="Calibri" w:cstheme="minorHAnsi"/>
          <w:sz w:val="22"/>
          <w:szCs w:val="22"/>
          <w:lang w:eastAsia="en-GB"/>
        </w:rPr>
        <w:t xml:space="preserve"> May 2014) was conducted.</w:t>
      </w:r>
      <w:r w:rsidR="0096142D" w:rsidRPr="00C9575B">
        <w:rPr>
          <w:rFonts w:eastAsia="Calibri" w:cstheme="minorHAnsi"/>
          <w:sz w:val="22"/>
          <w:szCs w:val="22"/>
          <w:lang w:eastAsia="en-GB"/>
        </w:rPr>
        <w:t xml:space="preserve"> </w:t>
      </w:r>
      <w:r w:rsidR="00EC331C" w:rsidRPr="00C9575B">
        <w:rPr>
          <w:rFonts w:cstheme="minorHAnsi"/>
          <w:sz w:val="22"/>
          <w:szCs w:val="22"/>
        </w:rPr>
        <w:t>The study was exploratory; no hypothesises were formulated in advance</w:t>
      </w:r>
      <w:r w:rsidR="00A513A3" w:rsidRPr="00C9575B">
        <w:rPr>
          <w:rFonts w:cstheme="minorHAnsi"/>
          <w:sz w:val="22"/>
          <w:szCs w:val="22"/>
        </w:rPr>
        <w:t xml:space="preserve">, rather it was guided by the </w:t>
      </w:r>
      <w:r w:rsidR="00E15A33">
        <w:rPr>
          <w:rFonts w:cstheme="minorHAnsi"/>
          <w:sz w:val="22"/>
          <w:szCs w:val="22"/>
        </w:rPr>
        <w:t xml:space="preserve">following </w:t>
      </w:r>
      <w:r w:rsidR="00A513A3" w:rsidRPr="00C9575B">
        <w:rPr>
          <w:rFonts w:cstheme="minorHAnsi"/>
          <w:sz w:val="22"/>
          <w:szCs w:val="22"/>
        </w:rPr>
        <w:t>research question</w:t>
      </w:r>
      <w:r w:rsidR="00C9575B" w:rsidRPr="00C9575B">
        <w:rPr>
          <w:rFonts w:cstheme="minorHAnsi"/>
          <w:sz w:val="22"/>
          <w:szCs w:val="22"/>
        </w:rPr>
        <w:t>s:</w:t>
      </w:r>
    </w:p>
    <w:p w14:paraId="463C5FDD" w14:textId="77777777" w:rsidR="00C9575B" w:rsidRPr="00C9575B" w:rsidRDefault="00C9575B" w:rsidP="00AA2F72">
      <w:pPr>
        <w:pStyle w:val="CommentText"/>
        <w:numPr>
          <w:ilvl w:val="0"/>
          <w:numId w:val="21"/>
        </w:numPr>
        <w:spacing w:line="480" w:lineRule="auto"/>
        <w:rPr>
          <w:rFonts w:cstheme="minorHAnsi"/>
          <w:sz w:val="22"/>
          <w:szCs w:val="22"/>
        </w:rPr>
      </w:pPr>
      <w:r w:rsidRPr="00C9575B">
        <w:rPr>
          <w:rFonts w:cstheme="minorHAnsi"/>
          <w:sz w:val="22"/>
          <w:szCs w:val="22"/>
        </w:rPr>
        <w:t xml:space="preserve">What is the profile of CYPs’ referrals to CAMHS including </w:t>
      </w:r>
      <w:r w:rsidR="009A7D70">
        <w:rPr>
          <w:rFonts w:cstheme="minorHAnsi"/>
          <w:sz w:val="22"/>
          <w:szCs w:val="22"/>
        </w:rPr>
        <w:t>socio-demographic and referral</w:t>
      </w:r>
      <w:r w:rsidR="009A7D70" w:rsidRPr="00C9575B">
        <w:rPr>
          <w:rFonts w:cstheme="minorHAnsi"/>
          <w:sz w:val="22"/>
          <w:szCs w:val="22"/>
        </w:rPr>
        <w:t xml:space="preserve"> </w:t>
      </w:r>
      <w:r w:rsidRPr="00C9575B">
        <w:rPr>
          <w:rFonts w:cstheme="minorHAnsi"/>
          <w:sz w:val="22"/>
          <w:szCs w:val="22"/>
        </w:rPr>
        <w:t>characteristics</w:t>
      </w:r>
      <w:r w:rsidR="009A7D70">
        <w:rPr>
          <w:rFonts w:cstheme="minorHAnsi"/>
          <w:sz w:val="22"/>
          <w:szCs w:val="22"/>
        </w:rPr>
        <w:t xml:space="preserve"> (e.g., referral reason, referral source)</w:t>
      </w:r>
      <w:r w:rsidRPr="00C9575B">
        <w:rPr>
          <w:rFonts w:cstheme="minorHAnsi"/>
          <w:sz w:val="22"/>
          <w:szCs w:val="22"/>
        </w:rPr>
        <w:t xml:space="preserve">? </w:t>
      </w:r>
    </w:p>
    <w:p w14:paraId="15367668" w14:textId="77777777" w:rsidR="00C9575B" w:rsidRPr="00C9575B" w:rsidRDefault="00C9575B" w:rsidP="00AA2F72">
      <w:pPr>
        <w:pStyle w:val="CommentText"/>
        <w:numPr>
          <w:ilvl w:val="0"/>
          <w:numId w:val="21"/>
        </w:numPr>
        <w:spacing w:line="480" w:lineRule="auto"/>
        <w:rPr>
          <w:rFonts w:cstheme="minorHAnsi"/>
          <w:sz w:val="22"/>
          <w:szCs w:val="22"/>
        </w:rPr>
      </w:pPr>
      <w:r w:rsidRPr="00C9575B">
        <w:rPr>
          <w:rFonts w:cstheme="minorHAnsi"/>
          <w:sz w:val="22"/>
          <w:szCs w:val="22"/>
        </w:rPr>
        <w:t xml:space="preserve">What is the pattern of referral decisions and of </w:t>
      </w:r>
      <w:r w:rsidRPr="00C9575B" w:rsidDel="0055058A">
        <w:rPr>
          <w:rFonts w:cstheme="minorHAnsi"/>
          <w:sz w:val="22"/>
          <w:szCs w:val="22"/>
        </w:rPr>
        <w:t>waiting</w:t>
      </w:r>
      <w:r w:rsidRPr="00C9575B">
        <w:rPr>
          <w:rFonts w:cstheme="minorHAnsi"/>
          <w:sz w:val="22"/>
          <w:szCs w:val="22"/>
        </w:rPr>
        <w:t xml:space="preserve"> times for CAMHS?</w:t>
      </w:r>
    </w:p>
    <w:p w14:paraId="65693471" w14:textId="77777777" w:rsidR="0000372F" w:rsidRPr="00C9575B" w:rsidRDefault="00C9575B" w:rsidP="00AA2F72">
      <w:pPr>
        <w:pStyle w:val="CommentText"/>
        <w:numPr>
          <w:ilvl w:val="0"/>
          <w:numId w:val="21"/>
        </w:numPr>
        <w:spacing w:line="480" w:lineRule="auto"/>
        <w:rPr>
          <w:rFonts w:cstheme="minorHAnsi"/>
          <w:sz w:val="22"/>
          <w:szCs w:val="22"/>
        </w:rPr>
      </w:pPr>
      <w:r w:rsidRPr="00C9575B">
        <w:rPr>
          <w:rFonts w:cstheme="minorHAnsi"/>
          <w:sz w:val="22"/>
          <w:szCs w:val="22"/>
        </w:rPr>
        <w:t>What are the associations between the referral profile (RQ1) and decisions about referral and subsequent waiting time?</w:t>
      </w:r>
    </w:p>
    <w:p w14:paraId="100DC9E4" w14:textId="77777777" w:rsidR="0000372F" w:rsidRDefault="0000372F" w:rsidP="00AA2F72">
      <w:pPr>
        <w:spacing w:line="480" w:lineRule="auto"/>
        <w:rPr>
          <w:rFonts w:eastAsia="Calibri" w:cs="Calibri"/>
          <w:b/>
          <w:lang w:eastAsia="en-GB"/>
        </w:rPr>
      </w:pPr>
    </w:p>
    <w:p w14:paraId="7C06E673" w14:textId="77777777" w:rsidR="00E15A33" w:rsidRPr="00C340E5" w:rsidRDefault="00E15A33" w:rsidP="00AA2F72">
      <w:pPr>
        <w:spacing w:line="480" w:lineRule="auto"/>
        <w:rPr>
          <w:rFonts w:eastAsia="Calibri" w:cs="Calibri"/>
          <w:b/>
          <w:lang w:eastAsia="en-GB"/>
        </w:rPr>
      </w:pPr>
    </w:p>
    <w:p w14:paraId="2FC3B394" w14:textId="77777777" w:rsidR="0000372F" w:rsidRPr="005222FB" w:rsidRDefault="0000372F" w:rsidP="00AA2F72">
      <w:pPr>
        <w:spacing w:line="480" w:lineRule="auto"/>
        <w:rPr>
          <w:rFonts w:eastAsia="Calibri" w:cs="Calibri"/>
          <w:b/>
          <w:sz w:val="24"/>
          <w:szCs w:val="24"/>
          <w:lang w:eastAsia="en-GB"/>
        </w:rPr>
      </w:pPr>
      <w:r w:rsidRPr="005222FB">
        <w:rPr>
          <w:rFonts w:eastAsia="Calibri" w:cs="Calibri"/>
          <w:b/>
          <w:sz w:val="24"/>
          <w:szCs w:val="24"/>
          <w:lang w:eastAsia="en-GB"/>
        </w:rPr>
        <w:t>Referral form inclusion and exclusion criteria</w:t>
      </w:r>
    </w:p>
    <w:p w14:paraId="01CCFA87" w14:textId="77777777" w:rsidR="0000372F" w:rsidRPr="00C340E5" w:rsidRDefault="0000372F" w:rsidP="00AA2F72">
      <w:pPr>
        <w:spacing w:line="480" w:lineRule="auto"/>
        <w:rPr>
          <w:lang w:eastAsia="en-GB"/>
        </w:rPr>
      </w:pPr>
      <w:r w:rsidRPr="00C340E5">
        <w:rPr>
          <w:lang w:eastAsia="en-GB"/>
        </w:rPr>
        <w:t>The following inclusion criteria for referral forms were applied:</w:t>
      </w:r>
    </w:p>
    <w:p w14:paraId="2FB3C4A4" w14:textId="77777777" w:rsidR="0000372F" w:rsidRPr="00C340E5" w:rsidRDefault="0000372F" w:rsidP="00AA2F72">
      <w:pPr>
        <w:numPr>
          <w:ilvl w:val="0"/>
          <w:numId w:val="1"/>
        </w:numPr>
        <w:spacing w:after="200" w:line="480" w:lineRule="auto"/>
        <w:contextualSpacing/>
        <w:rPr>
          <w:lang w:eastAsia="en-GB"/>
        </w:rPr>
      </w:pPr>
      <w:r w:rsidRPr="00C340E5">
        <w:rPr>
          <w:lang w:eastAsia="en-GB"/>
        </w:rPr>
        <w:t xml:space="preserve">CYPs between the ages of 1 to 18 </w:t>
      </w:r>
      <w:r w:rsidR="00544905" w:rsidRPr="00C340E5">
        <w:rPr>
          <w:lang w:eastAsia="en-GB"/>
        </w:rPr>
        <w:t>(i.e.</w:t>
      </w:r>
      <w:r w:rsidR="00E15A33">
        <w:rPr>
          <w:lang w:eastAsia="en-GB"/>
        </w:rPr>
        <w:t>,</w:t>
      </w:r>
      <w:r w:rsidR="00544905" w:rsidRPr="00C340E5">
        <w:rPr>
          <w:lang w:eastAsia="en-GB"/>
        </w:rPr>
        <w:t xml:space="preserve"> </w:t>
      </w:r>
      <w:r w:rsidRPr="00C340E5">
        <w:rPr>
          <w:lang w:eastAsia="en-GB"/>
        </w:rPr>
        <w:t>the age criteria that CAMHS use</w:t>
      </w:r>
      <w:r w:rsidR="00544905" w:rsidRPr="00C340E5">
        <w:rPr>
          <w:lang w:eastAsia="en-GB"/>
        </w:rPr>
        <w:t>)</w:t>
      </w:r>
      <w:r w:rsidRPr="00C340E5">
        <w:rPr>
          <w:lang w:eastAsia="en-GB"/>
        </w:rPr>
        <w:t>.</w:t>
      </w:r>
    </w:p>
    <w:p w14:paraId="1E8B98E1" w14:textId="77777777" w:rsidR="0000372F" w:rsidRPr="00C340E5" w:rsidRDefault="0000372F" w:rsidP="00AA2F72">
      <w:pPr>
        <w:numPr>
          <w:ilvl w:val="0"/>
          <w:numId w:val="1"/>
        </w:numPr>
        <w:spacing w:after="200" w:line="480" w:lineRule="auto"/>
        <w:contextualSpacing/>
        <w:rPr>
          <w:lang w:eastAsia="en-GB"/>
        </w:rPr>
      </w:pPr>
      <w:r w:rsidRPr="00C340E5">
        <w:rPr>
          <w:lang w:eastAsia="en-GB"/>
        </w:rPr>
        <w:t>All CYPs referred to CAMHS, irrespective of previous use of CAMHS.</w:t>
      </w:r>
    </w:p>
    <w:p w14:paraId="6C74BD49" w14:textId="77777777" w:rsidR="00163D47" w:rsidRPr="00C340E5" w:rsidRDefault="00163D47" w:rsidP="00AA2F72">
      <w:pPr>
        <w:spacing w:line="480" w:lineRule="auto"/>
      </w:pPr>
    </w:p>
    <w:p w14:paraId="558E99A5" w14:textId="77777777" w:rsidR="00A72CBB" w:rsidRDefault="001251C2" w:rsidP="00AA2F72">
      <w:pPr>
        <w:spacing w:line="480" w:lineRule="auto"/>
      </w:pPr>
      <w:r w:rsidRPr="00C340E5">
        <w:rPr>
          <w:rFonts w:cstheme="majorHAnsi"/>
          <w:lang w:eastAsia="en-GB"/>
        </w:rPr>
        <w:t xml:space="preserve">No exclusion criteria were applied.  For example, any missing information about the CYP </w:t>
      </w:r>
      <w:r w:rsidRPr="00C340E5">
        <w:t xml:space="preserve">was coded as ‘unknown’. </w:t>
      </w:r>
      <w:bookmarkStart w:id="1" w:name="_Toc419273138"/>
    </w:p>
    <w:p w14:paraId="5AA94028" w14:textId="77777777" w:rsidR="009C6404" w:rsidRDefault="009C6404" w:rsidP="00AA2F72">
      <w:pPr>
        <w:spacing w:line="480" w:lineRule="auto"/>
      </w:pPr>
    </w:p>
    <w:p w14:paraId="2A0F29FB" w14:textId="77777777" w:rsidR="007A2959" w:rsidRPr="005222FB" w:rsidRDefault="007A2959" w:rsidP="00AA2F72">
      <w:pPr>
        <w:spacing w:line="480" w:lineRule="auto"/>
        <w:rPr>
          <w:b/>
          <w:sz w:val="24"/>
          <w:szCs w:val="24"/>
        </w:rPr>
      </w:pPr>
      <w:r w:rsidRPr="005222FB">
        <w:rPr>
          <w:b/>
          <w:sz w:val="24"/>
          <w:szCs w:val="24"/>
        </w:rPr>
        <w:t>Setting</w:t>
      </w:r>
    </w:p>
    <w:p w14:paraId="22CA47CB" w14:textId="77777777" w:rsidR="007A2959" w:rsidRPr="00EB7556" w:rsidRDefault="007A2959" w:rsidP="00AA2F72">
      <w:pPr>
        <w:spacing w:line="480" w:lineRule="auto"/>
        <w:rPr>
          <w:rFonts w:eastAsia="Calibri" w:cs="Calibri"/>
          <w:lang w:eastAsia="en-GB"/>
        </w:rPr>
      </w:pPr>
      <w:r w:rsidRPr="00EB7556">
        <w:rPr>
          <w:rFonts w:eastAsia="Calibri" w:cs="Calibri"/>
          <w:lang w:eastAsia="en-GB"/>
        </w:rPr>
        <w:t>The study was conducted in one Scottish</w:t>
      </w:r>
      <w:r w:rsidR="00EC6EFD">
        <w:rPr>
          <w:rFonts w:eastAsia="Calibri" w:cs="Calibri"/>
          <w:lang w:eastAsia="en-GB"/>
        </w:rPr>
        <w:t xml:space="preserve"> </w:t>
      </w:r>
      <w:r w:rsidR="00E15A33">
        <w:rPr>
          <w:rFonts w:eastAsia="Calibri" w:cs="Calibri"/>
          <w:lang w:eastAsia="en-GB"/>
        </w:rPr>
        <w:t xml:space="preserve">local authority </w:t>
      </w:r>
      <w:r w:rsidR="00EC6EFD">
        <w:rPr>
          <w:rFonts w:eastAsia="Calibri" w:cs="Calibri"/>
          <w:lang w:eastAsia="en-GB"/>
        </w:rPr>
        <w:t xml:space="preserve">area that included one urban town </w:t>
      </w:r>
      <w:r w:rsidR="009B7945">
        <w:rPr>
          <w:rFonts w:eastAsia="Calibri" w:cs="Calibri"/>
          <w:lang w:eastAsia="en-GB"/>
        </w:rPr>
        <w:t xml:space="preserve">and </w:t>
      </w:r>
      <w:r w:rsidR="00BE4084">
        <w:rPr>
          <w:rFonts w:eastAsia="Calibri" w:cs="Calibri"/>
          <w:lang w:eastAsia="en-GB"/>
        </w:rPr>
        <w:t xml:space="preserve">a number of </w:t>
      </w:r>
      <w:r w:rsidR="009B7945">
        <w:rPr>
          <w:rFonts w:eastAsia="Calibri" w:cs="Calibri"/>
          <w:lang w:eastAsia="en-GB"/>
        </w:rPr>
        <w:t xml:space="preserve">rural </w:t>
      </w:r>
      <w:r w:rsidR="00BE4084">
        <w:rPr>
          <w:rFonts w:eastAsia="Calibri" w:cs="Calibri"/>
          <w:lang w:eastAsia="en-GB"/>
        </w:rPr>
        <w:t xml:space="preserve">village </w:t>
      </w:r>
      <w:r w:rsidR="009B7945">
        <w:rPr>
          <w:rFonts w:eastAsia="Calibri" w:cs="Calibri"/>
          <w:lang w:eastAsia="en-GB"/>
        </w:rPr>
        <w:t xml:space="preserve">settings. The estimated population of CYP </w:t>
      </w:r>
      <w:r w:rsidR="00051F50">
        <w:rPr>
          <w:rFonts w:eastAsia="Calibri" w:cs="Calibri"/>
          <w:lang w:eastAsia="en-GB"/>
        </w:rPr>
        <w:t xml:space="preserve">using census data </w:t>
      </w:r>
      <w:r w:rsidR="009B7945">
        <w:rPr>
          <w:rFonts w:eastAsia="Calibri" w:cs="Calibri"/>
          <w:lang w:eastAsia="en-GB"/>
        </w:rPr>
        <w:t>aged between 0-18 years was 19,000</w:t>
      </w:r>
      <w:r w:rsidR="00163D47">
        <w:rPr>
          <w:rFonts w:eastAsia="Calibri" w:cs="Calibri"/>
          <w:lang w:eastAsia="en-GB"/>
        </w:rPr>
        <w:t xml:space="preserve"> </w:t>
      </w:r>
      <w:r w:rsidR="00A033E0">
        <w:rPr>
          <w:rFonts w:eastAsia="Calibri" w:cs="Calibri"/>
          <w:lang w:eastAsia="en-GB"/>
        </w:rPr>
        <w:t>(Scottish Government, 2016)</w:t>
      </w:r>
      <w:r w:rsidR="009B7945">
        <w:rPr>
          <w:rFonts w:eastAsia="Calibri" w:cs="Calibri"/>
          <w:lang w:eastAsia="en-GB"/>
        </w:rPr>
        <w:t xml:space="preserve">. </w:t>
      </w:r>
      <w:r w:rsidR="00EC6EFD">
        <w:rPr>
          <w:rFonts w:eastAsia="Calibri" w:cs="Calibri"/>
          <w:lang w:eastAsia="en-GB"/>
        </w:rPr>
        <w:t xml:space="preserve">  The study was undertaken in </w:t>
      </w:r>
      <w:r w:rsidR="00EC6EFD" w:rsidRPr="00EB7556">
        <w:rPr>
          <w:rFonts w:eastAsia="Calibri" w:cs="Calibri"/>
          <w:lang w:eastAsia="en-GB"/>
        </w:rPr>
        <w:t>one</w:t>
      </w:r>
      <w:r w:rsidR="00587262" w:rsidRPr="00EB7556">
        <w:rPr>
          <w:rFonts w:eastAsia="Calibri" w:cs="Calibri"/>
          <w:lang w:eastAsia="en-GB"/>
        </w:rPr>
        <w:t xml:space="preserve"> </w:t>
      </w:r>
      <w:r w:rsidR="00EC6EFD">
        <w:rPr>
          <w:rFonts w:eastAsia="Calibri" w:cs="Calibri"/>
          <w:lang w:eastAsia="en-GB"/>
        </w:rPr>
        <w:t>CAMH</w:t>
      </w:r>
      <w:r w:rsidR="00E15A33">
        <w:rPr>
          <w:rFonts w:eastAsia="Calibri" w:cs="Calibri"/>
          <w:lang w:eastAsia="en-GB"/>
        </w:rPr>
        <w:t>S</w:t>
      </w:r>
      <w:r w:rsidR="00EC6EFD">
        <w:rPr>
          <w:rFonts w:eastAsia="Calibri" w:cs="Calibri"/>
          <w:lang w:eastAsia="en-GB"/>
        </w:rPr>
        <w:t xml:space="preserve"> </w:t>
      </w:r>
      <w:r w:rsidR="00BE4084">
        <w:rPr>
          <w:rFonts w:eastAsia="Calibri" w:cs="Calibri"/>
          <w:lang w:eastAsia="en-GB"/>
        </w:rPr>
        <w:t>that provides</w:t>
      </w:r>
      <w:r w:rsidR="00EC6EFD">
        <w:rPr>
          <w:rFonts w:cstheme="minorHAnsi"/>
          <w:lang w:val="en"/>
        </w:rPr>
        <w:t xml:space="preserve"> </w:t>
      </w:r>
      <w:r w:rsidR="00EC6EFD" w:rsidRPr="00EB7556">
        <w:rPr>
          <w:rFonts w:cstheme="minorHAnsi"/>
          <w:lang w:val="en"/>
        </w:rPr>
        <w:t>a</w:t>
      </w:r>
      <w:r w:rsidR="00C22E48" w:rsidRPr="00EB7556">
        <w:rPr>
          <w:rFonts w:cstheme="minorHAnsi"/>
          <w:lang w:val="en"/>
        </w:rPr>
        <w:t xml:space="preserve"> specialist mental health service </w:t>
      </w:r>
      <w:r w:rsidR="00163D47">
        <w:rPr>
          <w:rFonts w:cstheme="minorHAnsi"/>
          <w:lang w:val="en"/>
        </w:rPr>
        <w:t>through</w:t>
      </w:r>
      <w:r w:rsidR="00163D47" w:rsidRPr="00EB7556">
        <w:rPr>
          <w:rFonts w:cstheme="minorHAnsi"/>
          <w:lang w:val="en"/>
        </w:rPr>
        <w:t xml:space="preserve"> </w:t>
      </w:r>
      <w:r w:rsidR="00C22E48" w:rsidRPr="00EB7556">
        <w:rPr>
          <w:rFonts w:cstheme="minorHAnsi"/>
          <w:lang w:val="en"/>
        </w:rPr>
        <w:t xml:space="preserve">a range of psychological assessments and treatments to </w:t>
      </w:r>
      <w:r w:rsidR="00E15A33">
        <w:rPr>
          <w:rFonts w:cstheme="minorHAnsi"/>
          <w:lang w:val="en"/>
        </w:rPr>
        <w:t>CYP</w:t>
      </w:r>
      <w:r w:rsidR="00C22E48" w:rsidRPr="00EB7556">
        <w:rPr>
          <w:rFonts w:cstheme="minorHAnsi"/>
          <w:lang w:val="en"/>
        </w:rPr>
        <w:t xml:space="preserve"> by a multi-disciplinary team, including psychiatrists, mental health nurses, psychologists and family therapists.</w:t>
      </w:r>
      <w:r w:rsidR="009F2453">
        <w:rPr>
          <w:rFonts w:cstheme="minorHAnsi"/>
          <w:lang w:val="en"/>
        </w:rPr>
        <w:t xml:space="preserve"> This was the only CAMH service operating in this area.</w:t>
      </w:r>
      <w:r w:rsidR="00C22E48" w:rsidRPr="00EB7556">
        <w:rPr>
          <w:rFonts w:cstheme="minorHAnsi"/>
          <w:lang w:val="en"/>
        </w:rPr>
        <w:t xml:space="preserve"> CYP are generally referred</w:t>
      </w:r>
      <w:r w:rsidR="00EC6EFD">
        <w:rPr>
          <w:rFonts w:cstheme="minorHAnsi"/>
          <w:lang w:val="en"/>
        </w:rPr>
        <w:t xml:space="preserve"> to the specialist </w:t>
      </w:r>
      <w:r w:rsidR="00E15A33">
        <w:rPr>
          <w:rFonts w:cstheme="minorHAnsi"/>
          <w:lang w:val="en"/>
        </w:rPr>
        <w:t>CAMHS</w:t>
      </w:r>
      <w:r w:rsidR="00C22E48" w:rsidRPr="00EB7556">
        <w:rPr>
          <w:rFonts w:cstheme="minorHAnsi"/>
          <w:lang w:val="en"/>
        </w:rPr>
        <w:t xml:space="preserve"> by GPs, nurses, social workers and </w:t>
      </w:r>
      <w:r w:rsidR="00E15A33">
        <w:rPr>
          <w:rFonts w:cstheme="minorHAnsi"/>
          <w:lang w:val="en"/>
        </w:rPr>
        <w:t>teachers</w:t>
      </w:r>
      <w:r w:rsidR="00C22E48" w:rsidRPr="00EB7556">
        <w:rPr>
          <w:rFonts w:cstheme="minorHAnsi"/>
          <w:lang w:val="en"/>
        </w:rPr>
        <w:t xml:space="preserve"> for CYP requiring help from tier 2 –</w:t>
      </w:r>
      <w:r w:rsidR="00EB7556">
        <w:rPr>
          <w:rFonts w:cstheme="minorHAnsi"/>
          <w:lang w:val="en"/>
        </w:rPr>
        <w:t xml:space="preserve"> 4 CAMH services</w:t>
      </w:r>
      <w:r w:rsidR="00051F50">
        <w:rPr>
          <w:rFonts w:cstheme="minorHAnsi"/>
          <w:lang w:val="en"/>
        </w:rPr>
        <w:t xml:space="preserve"> (see F</w:t>
      </w:r>
      <w:r w:rsidR="009B62EF">
        <w:rPr>
          <w:rFonts w:cstheme="minorHAnsi"/>
          <w:lang w:val="en"/>
        </w:rPr>
        <w:t>i</w:t>
      </w:r>
      <w:r w:rsidR="00051F50">
        <w:rPr>
          <w:rFonts w:cstheme="minorHAnsi"/>
          <w:lang w:val="en"/>
        </w:rPr>
        <w:t>gure 1).</w:t>
      </w:r>
    </w:p>
    <w:p w14:paraId="453106C5" w14:textId="77777777" w:rsidR="007A2959" w:rsidRPr="00C340E5" w:rsidRDefault="007A2959" w:rsidP="00AA2F72">
      <w:pPr>
        <w:spacing w:line="480" w:lineRule="auto"/>
      </w:pPr>
    </w:p>
    <w:p w14:paraId="04DD8D1C" w14:textId="77777777" w:rsidR="0000372F" w:rsidRPr="005222FB" w:rsidRDefault="0027348D" w:rsidP="00AA2F72">
      <w:pPr>
        <w:spacing w:line="480" w:lineRule="auto"/>
        <w:rPr>
          <w:b/>
          <w:sz w:val="24"/>
          <w:szCs w:val="24"/>
        </w:rPr>
      </w:pPr>
      <w:r w:rsidRPr="005222FB">
        <w:rPr>
          <w:rFonts w:eastAsia="Times New Roman" w:cstheme="majorHAnsi"/>
          <w:b/>
          <w:sz w:val="24"/>
          <w:szCs w:val="24"/>
          <w:lang w:eastAsia="en-GB"/>
        </w:rPr>
        <w:t>Sample S</w:t>
      </w:r>
      <w:r w:rsidR="0000372F" w:rsidRPr="005222FB">
        <w:rPr>
          <w:rFonts w:eastAsia="Times New Roman" w:cstheme="majorHAnsi"/>
          <w:b/>
          <w:sz w:val="24"/>
          <w:szCs w:val="24"/>
          <w:lang w:eastAsia="en-GB"/>
        </w:rPr>
        <w:t>ize</w:t>
      </w:r>
      <w:bookmarkEnd w:id="1"/>
    </w:p>
    <w:p w14:paraId="427B20F8" w14:textId="77777777" w:rsidR="0000372F" w:rsidRDefault="001251C2" w:rsidP="00AA2F72">
      <w:pPr>
        <w:tabs>
          <w:tab w:val="left" w:pos="720"/>
          <w:tab w:val="left" w:pos="1440"/>
          <w:tab w:val="left" w:pos="2160"/>
          <w:tab w:val="left" w:pos="2880"/>
          <w:tab w:val="left" w:pos="4680"/>
          <w:tab w:val="left" w:pos="5400"/>
          <w:tab w:val="right" w:pos="9000"/>
        </w:tabs>
        <w:spacing w:line="480" w:lineRule="auto"/>
        <w:rPr>
          <w:rFonts w:cstheme="majorHAnsi"/>
          <w:lang w:eastAsia="en-GB"/>
        </w:rPr>
      </w:pPr>
      <w:r w:rsidRPr="00C340E5">
        <w:rPr>
          <w:rFonts w:eastAsia="Times New Roman" w:cstheme="majorHAnsi"/>
          <w:bCs/>
          <w:lang w:eastAsia="en-GB"/>
        </w:rPr>
        <w:t xml:space="preserve">All CYP </w:t>
      </w:r>
      <w:r w:rsidRPr="00C340E5">
        <w:rPr>
          <w:rFonts w:cstheme="majorHAnsi"/>
          <w:lang w:eastAsia="en-GB"/>
        </w:rPr>
        <w:t xml:space="preserve">referred </w:t>
      </w:r>
      <w:r w:rsidR="00587262" w:rsidRPr="00C340E5">
        <w:rPr>
          <w:rFonts w:cstheme="majorHAnsi"/>
          <w:lang w:eastAsia="en-GB"/>
        </w:rPr>
        <w:t xml:space="preserve">to </w:t>
      </w:r>
      <w:r w:rsidR="00587262" w:rsidRPr="00BE4084">
        <w:rPr>
          <w:rFonts w:cstheme="majorHAnsi"/>
          <w:lang w:eastAsia="en-GB"/>
        </w:rPr>
        <w:t>the</w:t>
      </w:r>
      <w:r w:rsidR="00EB7556" w:rsidRPr="00BE4084">
        <w:rPr>
          <w:rFonts w:cstheme="majorHAnsi"/>
          <w:lang w:eastAsia="en-GB"/>
        </w:rPr>
        <w:t xml:space="preserve"> specialist CAMH</w:t>
      </w:r>
      <w:r w:rsidR="00E15A33">
        <w:rPr>
          <w:rFonts w:cstheme="majorHAnsi"/>
          <w:lang w:eastAsia="en-GB"/>
        </w:rPr>
        <w:t>S</w:t>
      </w:r>
      <w:r w:rsidR="00EB7556" w:rsidRPr="00BE4084">
        <w:rPr>
          <w:rFonts w:cstheme="majorHAnsi"/>
          <w:lang w:eastAsia="en-GB"/>
        </w:rPr>
        <w:t xml:space="preserve"> </w:t>
      </w:r>
      <w:r w:rsidR="002E413E" w:rsidRPr="00C340E5">
        <w:rPr>
          <w:rFonts w:cstheme="majorHAnsi"/>
          <w:lang w:eastAsia="en-GB"/>
        </w:rPr>
        <w:t>in one</w:t>
      </w:r>
      <w:r w:rsidR="008506FA" w:rsidRPr="00C340E5">
        <w:rPr>
          <w:rFonts w:cstheme="majorHAnsi"/>
          <w:lang w:eastAsia="en-GB"/>
        </w:rPr>
        <w:t xml:space="preserve"> year (</w:t>
      </w:r>
      <w:r w:rsidR="002E413E" w:rsidRPr="00C340E5">
        <w:rPr>
          <w:rFonts w:cstheme="majorHAnsi"/>
          <w:lang w:eastAsia="en-GB"/>
        </w:rPr>
        <w:t>1</w:t>
      </w:r>
      <w:r w:rsidR="002E413E" w:rsidRPr="00C340E5">
        <w:rPr>
          <w:rFonts w:cstheme="majorHAnsi"/>
          <w:vertAlign w:val="superscript"/>
          <w:lang w:eastAsia="en-GB"/>
        </w:rPr>
        <w:t>st</w:t>
      </w:r>
      <w:r w:rsidR="002E413E" w:rsidRPr="00C340E5">
        <w:rPr>
          <w:rFonts w:cstheme="majorHAnsi"/>
          <w:lang w:eastAsia="en-GB"/>
        </w:rPr>
        <w:t xml:space="preserve"> May </w:t>
      </w:r>
      <w:r w:rsidR="008506FA" w:rsidRPr="00C340E5">
        <w:rPr>
          <w:rFonts w:cstheme="majorHAnsi"/>
          <w:lang w:eastAsia="en-GB"/>
        </w:rPr>
        <w:t>2013</w:t>
      </w:r>
      <w:r w:rsidR="0000372F" w:rsidRPr="00C340E5">
        <w:rPr>
          <w:rFonts w:cstheme="majorHAnsi"/>
          <w:lang w:eastAsia="en-GB"/>
        </w:rPr>
        <w:t>–</w:t>
      </w:r>
      <w:r w:rsidR="00DE32E5" w:rsidRPr="00C340E5">
        <w:rPr>
          <w:rFonts w:cstheme="majorHAnsi"/>
          <w:lang w:eastAsia="en-GB"/>
        </w:rPr>
        <w:t xml:space="preserve"> 3</w:t>
      </w:r>
      <w:r w:rsidR="00E15A33">
        <w:rPr>
          <w:rFonts w:cstheme="majorHAnsi"/>
          <w:lang w:eastAsia="en-GB"/>
        </w:rPr>
        <w:t>1</w:t>
      </w:r>
      <w:r w:rsidR="00E15A33" w:rsidRPr="00043399">
        <w:rPr>
          <w:rFonts w:cstheme="majorHAnsi"/>
          <w:vertAlign w:val="superscript"/>
          <w:lang w:eastAsia="en-GB"/>
        </w:rPr>
        <w:t>st</w:t>
      </w:r>
      <w:r w:rsidR="00E15A33">
        <w:rPr>
          <w:rFonts w:cstheme="majorHAnsi"/>
          <w:lang w:eastAsia="en-GB"/>
        </w:rPr>
        <w:t xml:space="preserve"> </w:t>
      </w:r>
      <w:r w:rsidR="00DE32E5" w:rsidRPr="00C340E5">
        <w:rPr>
          <w:rFonts w:cstheme="majorHAnsi"/>
          <w:lang w:eastAsia="en-GB"/>
        </w:rPr>
        <w:t xml:space="preserve">May </w:t>
      </w:r>
      <w:r w:rsidRPr="00C340E5">
        <w:rPr>
          <w:rFonts w:cstheme="majorHAnsi"/>
          <w:lang w:eastAsia="en-GB"/>
        </w:rPr>
        <w:t>2014</w:t>
      </w:r>
      <w:r w:rsidR="008506FA" w:rsidRPr="00C340E5">
        <w:rPr>
          <w:rFonts w:cstheme="majorHAnsi"/>
          <w:lang w:eastAsia="en-GB"/>
        </w:rPr>
        <w:t>)</w:t>
      </w:r>
      <w:r w:rsidR="00544905" w:rsidRPr="00C340E5">
        <w:rPr>
          <w:rFonts w:cstheme="majorHAnsi"/>
          <w:lang w:eastAsia="en-GB"/>
        </w:rPr>
        <w:t xml:space="preserve"> which met eligibility criteria were</w:t>
      </w:r>
      <w:r w:rsidRPr="00C340E5">
        <w:rPr>
          <w:rFonts w:cstheme="majorHAnsi"/>
          <w:lang w:eastAsia="en-GB"/>
        </w:rPr>
        <w:t xml:space="preserve"> included.</w:t>
      </w:r>
      <w:r w:rsidR="0000372F" w:rsidRPr="00C340E5">
        <w:rPr>
          <w:rFonts w:cstheme="majorHAnsi"/>
          <w:lang w:eastAsia="en-GB"/>
        </w:rPr>
        <w:t xml:space="preserve"> </w:t>
      </w:r>
      <w:r w:rsidR="00051F50">
        <w:rPr>
          <w:rFonts w:cstheme="majorHAnsi"/>
          <w:lang w:eastAsia="en-GB"/>
        </w:rPr>
        <w:t xml:space="preserve">Hence, the sample size was </w:t>
      </w:r>
      <w:r w:rsidR="001C03F4">
        <w:rPr>
          <w:rFonts w:cstheme="majorHAnsi"/>
          <w:lang w:eastAsia="en-GB"/>
        </w:rPr>
        <w:t>476</w:t>
      </w:r>
      <w:r w:rsidR="00E15A33">
        <w:rPr>
          <w:rFonts w:cstheme="majorHAnsi"/>
          <w:lang w:eastAsia="en-GB"/>
        </w:rPr>
        <w:t xml:space="preserve"> referrals</w:t>
      </w:r>
      <w:r w:rsidR="00051F50">
        <w:rPr>
          <w:rFonts w:cstheme="majorHAnsi"/>
          <w:lang w:eastAsia="en-GB"/>
        </w:rPr>
        <w:t>.</w:t>
      </w:r>
    </w:p>
    <w:p w14:paraId="08ACB3F9" w14:textId="77777777" w:rsidR="009C6404" w:rsidRPr="00C340E5" w:rsidRDefault="009C6404" w:rsidP="00AA2F72">
      <w:pPr>
        <w:tabs>
          <w:tab w:val="left" w:pos="720"/>
          <w:tab w:val="left" w:pos="1440"/>
          <w:tab w:val="left" w:pos="2160"/>
          <w:tab w:val="left" w:pos="2880"/>
          <w:tab w:val="left" w:pos="4680"/>
          <w:tab w:val="left" w:pos="5400"/>
          <w:tab w:val="right" w:pos="9000"/>
        </w:tabs>
        <w:spacing w:line="480" w:lineRule="auto"/>
        <w:rPr>
          <w:rFonts w:eastAsia="Times New Roman" w:cstheme="majorHAnsi"/>
          <w:bCs/>
          <w:u w:val="single"/>
          <w:lang w:eastAsia="en-GB"/>
        </w:rPr>
      </w:pPr>
    </w:p>
    <w:p w14:paraId="6480FDD2" w14:textId="77777777" w:rsidR="00EC74C3" w:rsidRPr="005222FB" w:rsidRDefault="00EC74C3" w:rsidP="00AA2F72">
      <w:pPr>
        <w:spacing w:line="480" w:lineRule="auto"/>
        <w:rPr>
          <w:rFonts w:cstheme="majorHAnsi"/>
          <w:b/>
          <w:sz w:val="24"/>
          <w:szCs w:val="24"/>
        </w:rPr>
      </w:pPr>
      <w:r w:rsidRPr="005222FB">
        <w:rPr>
          <w:rFonts w:cstheme="majorHAnsi"/>
          <w:b/>
          <w:sz w:val="24"/>
          <w:szCs w:val="24"/>
        </w:rPr>
        <w:t>Ethics and access</w:t>
      </w:r>
    </w:p>
    <w:p w14:paraId="43963B21" w14:textId="77777777" w:rsidR="00EC74C3" w:rsidRPr="00C340E5" w:rsidRDefault="00EC74C3" w:rsidP="00AA2F72">
      <w:pPr>
        <w:spacing w:line="480" w:lineRule="auto"/>
        <w:rPr>
          <w:rFonts w:cstheme="majorHAnsi"/>
        </w:rPr>
      </w:pPr>
      <w:r w:rsidRPr="00C340E5">
        <w:rPr>
          <w:rFonts w:cstheme="majorHAnsi"/>
        </w:rPr>
        <w:t>The study was approved by the</w:t>
      </w:r>
      <w:r w:rsidR="00E15A33">
        <w:rPr>
          <w:rFonts w:cstheme="majorHAnsi"/>
        </w:rPr>
        <w:t xml:space="preserve"> </w:t>
      </w:r>
      <w:r w:rsidR="00E15A33" w:rsidRPr="001A6D06">
        <w:rPr>
          <w:rFonts w:cstheme="majorHAnsi"/>
          <w:color w:val="000000" w:themeColor="text1"/>
        </w:rPr>
        <w:t xml:space="preserve">Research Ethics Committee in the </w:t>
      </w:r>
      <w:r w:rsidR="00043399" w:rsidRPr="001A6D06">
        <w:rPr>
          <w:rFonts w:cstheme="majorHAnsi"/>
          <w:color w:val="000000" w:themeColor="text1"/>
        </w:rPr>
        <w:t xml:space="preserve">Faculty of </w:t>
      </w:r>
      <w:r w:rsidR="00E15A33" w:rsidRPr="001A6D06">
        <w:rPr>
          <w:rFonts w:cstheme="majorHAnsi"/>
          <w:color w:val="000000" w:themeColor="text1"/>
        </w:rPr>
        <w:t>Health Science</w:t>
      </w:r>
      <w:r w:rsidR="00043399" w:rsidRPr="001A6D06">
        <w:rPr>
          <w:rFonts w:cstheme="majorHAnsi"/>
          <w:color w:val="000000" w:themeColor="text1"/>
        </w:rPr>
        <w:t xml:space="preserve"> and Sport</w:t>
      </w:r>
      <w:r w:rsidR="00E15A33" w:rsidRPr="001A6D06">
        <w:rPr>
          <w:rFonts w:cstheme="majorHAnsi"/>
          <w:color w:val="000000" w:themeColor="text1"/>
        </w:rPr>
        <w:t>, University of Stirling</w:t>
      </w:r>
      <w:r w:rsidR="00E15A33">
        <w:rPr>
          <w:rFonts w:cstheme="majorHAnsi"/>
        </w:rPr>
        <w:t xml:space="preserve">.  </w:t>
      </w:r>
      <w:r w:rsidRPr="00C340E5">
        <w:rPr>
          <w:rFonts w:cstheme="majorHAnsi"/>
        </w:rPr>
        <w:t>As the study invol</w:t>
      </w:r>
      <w:r w:rsidR="00C86A1B" w:rsidRPr="00C340E5">
        <w:rPr>
          <w:rFonts w:cstheme="majorHAnsi"/>
        </w:rPr>
        <w:t>ved the review of referral forms</w:t>
      </w:r>
      <w:r w:rsidR="005E308D" w:rsidRPr="00C340E5">
        <w:rPr>
          <w:rFonts w:cstheme="majorHAnsi"/>
        </w:rPr>
        <w:t>,</w:t>
      </w:r>
      <w:r w:rsidR="00C86A1B" w:rsidRPr="00C340E5">
        <w:rPr>
          <w:rFonts w:cstheme="majorHAnsi"/>
        </w:rPr>
        <w:t xml:space="preserve"> </w:t>
      </w:r>
      <w:r w:rsidRPr="00C340E5">
        <w:rPr>
          <w:rFonts w:cstheme="majorHAnsi"/>
        </w:rPr>
        <w:t xml:space="preserve">Caldicott Guardianship was also approved by the Health Board prior to data collection. Caldicott principles are used to protect people’s personal identifiable information in </w:t>
      </w:r>
      <w:r w:rsidR="00051F50">
        <w:rPr>
          <w:rFonts w:cstheme="majorHAnsi"/>
        </w:rPr>
        <w:t xml:space="preserve">UK </w:t>
      </w:r>
      <w:r w:rsidRPr="00C340E5">
        <w:rPr>
          <w:rFonts w:cstheme="majorHAnsi"/>
        </w:rPr>
        <w:t xml:space="preserve">Health Services </w:t>
      </w:r>
      <w:r w:rsidR="00C86A1B" w:rsidRPr="00C340E5">
        <w:rPr>
          <w:rFonts w:cstheme="majorHAnsi"/>
        </w:rPr>
        <w:t>(Department of Health 2013).</w:t>
      </w:r>
      <w:r w:rsidRPr="00C340E5">
        <w:rPr>
          <w:rFonts w:cstheme="majorHAnsi"/>
        </w:rPr>
        <w:t xml:space="preserve"> </w:t>
      </w:r>
    </w:p>
    <w:p w14:paraId="756732A8" w14:textId="77777777" w:rsidR="00163D47" w:rsidRDefault="00163D47" w:rsidP="00AA2F72">
      <w:pPr>
        <w:spacing w:line="480" w:lineRule="auto"/>
        <w:rPr>
          <w:rFonts w:eastAsia="Calibri" w:cstheme="minorHAnsi"/>
          <w:b/>
          <w:lang w:eastAsia="en-GB"/>
        </w:rPr>
      </w:pPr>
    </w:p>
    <w:p w14:paraId="130F56C9" w14:textId="77777777" w:rsidR="0048463D" w:rsidRPr="005222FB" w:rsidRDefault="00D92851" w:rsidP="00AA2F72">
      <w:pPr>
        <w:spacing w:line="480" w:lineRule="auto"/>
        <w:rPr>
          <w:rFonts w:eastAsia="Calibri" w:cstheme="minorHAnsi"/>
          <w:b/>
          <w:sz w:val="24"/>
          <w:szCs w:val="24"/>
          <w:lang w:eastAsia="en-GB"/>
        </w:rPr>
      </w:pPr>
      <w:r w:rsidRPr="005222FB">
        <w:rPr>
          <w:rFonts w:eastAsia="Calibri" w:cstheme="minorHAnsi"/>
          <w:b/>
          <w:sz w:val="24"/>
          <w:szCs w:val="24"/>
          <w:lang w:eastAsia="en-GB"/>
        </w:rPr>
        <w:t>Data Collection</w:t>
      </w:r>
    </w:p>
    <w:p w14:paraId="4E812B52" w14:textId="77777777" w:rsidR="00D92851" w:rsidRPr="00EB63CA" w:rsidRDefault="00D92851" w:rsidP="00AA2F72">
      <w:pPr>
        <w:spacing w:line="480" w:lineRule="auto"/>
        <w:rPr>
          <w:rFonts w:eastAsia="Calibri" w:cstheme="minorHAnsi"/>
          <w:b/>
          <w:lang w:eastAsia="en-GB"/>
        </w:rPr>
      </w:pPr>
      <w:r w:rsidRPr="00EB63CA">
        <w:rPr>
          <w:rFonts w:cstheme="minorHAnsi"/>
          <w:lang w:eastAsia="en-GB"/>
        </w:rPr>
        <w:t xml:space="preserve">Information to address all </w:t>
      </w:r>
      <w:r w:rsidR="00163D47">
        <w:rPr>
          <w:rFonts w:cstheme="minorHAnsi"/>
          <w:lang w:eastAsia="en-GB"/>
        </w:rPr>
        <w:t>three</w:t>
      </w:r>
      <w:r w:rsidR="00051F50">
        <w:rPr>
          <w:rFonts w:cstheme="minorHAnsi"/>
          <w:lang w:eastAsia="en-GB"/>
        </w:rPr>
        <w:t xml:space="preserve"> </w:t>
      </w:r>
      <w:r w:rsidRPr="00EB63CA">
        <w:rPr>
          <w:rFonts w:cstheme="minorHAnsi"/>
          <w:lang w:eastAsia="en-GB"/>
        </w:rPr>
        <w:t xml:space="preserve">research </w:t>
      </w:r>
      <w:r w:rsidR="00BE4084" w:rsidRPr="00EB63CA">
        <w:rPr>
          <w:rFonts w:cstheme="minorHAnsi"/>
          <w:lang w:eastAsia="en-GB"/>
        </w:rPr>
        <w:t>questions was extracted from the</w:t>
      </w:r>
      <w:r w:rsidRPr="00EB63CA">
        <w:rPr>
          <w:rFonts w:cstheme="minorHAnsi"/>
          <w:lang w:eastAsia="en-GB"/>
        </w:rPr>
        <w:t xml:space="preserve"> referral forms </w:t>
      </w:r>
      <w:r w:rsidR="00051F50">
        <w:rPr>
          <w:rFonts w:cstheme="minorHAnsi"/>
          <w:lang w:eastAsia="en-GB"/>
        </w:rPr>
        <w:t>by one researcher (JS)</w:t>
      </w:r>
      <w:r w:rsidR="007D3DA0">
        <w:rPr>
          <w:rFonts w:cstheme="minorHAnsi"/>
          <w:lang w:eastAsia="en-GB"/>
        </w:rPr>
        <w:t xml:space="preserve"> who has clinical experience working with CYP with mental health difficulties. The extracted information was then </w:t>
      </w:r>
      <w:r w:rsidR="007D3DA0" w:rsidRPr="00EB63CA">
        <w:rPr>
          <w:rFonts w:cstheme="minorHAnsi"/>
          <w:lang w:eastAsia="en-GB"/>
        </w:rPr>
        <w:t>recorded</w:t>
      </w:r>
      <w:r w:rsidRPr="00EB63CA">
        <w:rPr>
          <w:rFonts w:cstheme="minorHAnsi"/>
          <w:lang w:eastAsia="en-GB"/>
        </w:rPr>
        <w:t xml:space="preserve"> on an electronic data extraction form which gathered information on CYP’s gender, age and </w:t>
      </w:r>
      <w:r w:rsidR="00163D47">
        <w:rPr>
          <w:rFonts w:cstheme="minorHAnsi"/>
          <w:lang w:eastAsia="en-GB"/>
        </w:rPr>
        <w:t>postcode (from which Scottish Index of Multiple Deprivation (SIMD) quintile was derived)</w:t>
      </w:r>
      <w:r w:rsidR="00BE4084" w:rsidRPr="00EB63CA">
        <w:rPr>
          <w:rFonts w:cstheme="minorHAnsi"/>
          <w:lang w:eastAsia="en-GB"/>
        </w:rPr>
        <w:t>, referral source and referral reason</w:t>
      </w:r>
      <w:r w:rsidRPr="00EB63CA">
        <w:rPr>
          <w:rFonts w:cstheme="minorHAnsi"/>
          <w:lang w:eastAsia="en-GB"/>
        </w:rPr>
        <w:t xml:space="preserve">. The referral forms contained free text written by the referrer that included the </w:t>
      </w:r>
      <w:r w:rsidR="00163D47">
        <w:rPr>
          <w:rFonts w:cstheme="minorHAnsi"/>
          <w:lang w:eastAsia="en-GB"/>
        </w:rPr>
        <w:t>socio-</w:t>
      </w:r>
      <w:r w:rsidRPr="00EB63CA">
        <w:rPr>
          <w:rFonts w:cstheme="minorHAnsi"/>
          <w:lang w:eastAsia="en-GB"/>
        </w:rPr>
        <w:t>demographics of the CYP including age, gender and main reason for referral.</w:t>
      </w:r>
      <w:r w:rsidR="00C54EA0">
        <w:rPr>
          <w:rFonts w:cstheme="minorHAnsi"/>
          <w:lang w:eastAsia="en-GB"/>
        </w:rPr>
        <w:t xml:space="preserve"> For </w:t>
      </w:r>
      <w:r w:rsidR="00FF48C8">
        <w:rPr>
          <w:rFonts w:cstheme="minorHAnsi"/>
          <w:lang w:eastAsia="en-GB"/>
        </w:rPr>
        <w:t>example,</w:t>
      </w:r>
      <w:r w:rsidR="00C54EA0">
        <w:rPr>
          <w:rFonts w:cstheme="minorHAnsi"/>
          <w:lang w:eastAsia="en-GB"/>
        </w:rPr>
        <w:t xml:space="preserve"> </w:t>
      </w:r>
      <w:r w:rsidR="0026431D">
        <w:rPr>
          <w:rFonts w:cstheme="minorHAnsi"/>
          <w:lang w:eastAsia="en-GB"/>
        </w:rPr>
        <w:t>t</w:t>
      </w:r>
      <w:r w:rsidR="00C54EA0" w:rsidRPr="00EB63CA">
        <w:rPr>
          <w:rFonts w:cstheme="minorHAnsi"/>
          <w:lang w:eastAsia="en-GB"/>
        </w:rPr>
        <w:t xml:space="preserve">he main reason for referral to CAMHS was gathered by recording the reasons for referral </w:t>
      </w:r>
      <w:r w:rsidR="00E15A33">
        <w:rPr>
          <w:rFonts w:cstheme="minorHAnsi"/>
          <w:lang w:eastAsia="en-GB"/>
        </w:rPr>
        <w:t>written</w:t>
      </w:r>
      <w:r w:rsidR="00C54EA0" w:rsidRPr="00EB63CA">
        <w:rPr>
          <w:rFonts w:cstheme="minorHAnsi"/>
          <w:lang w:eastAsia="en-GB"/>
        </w:rPr>
        <w:t xml:space="preserve"> on the referral form</w:t>
      </w:r>
      <w:r w:rsidR="00C54EA0">
        <w:rPr>
          <w:rFonts w:cstheme="minorHAnsi"/>
          <w:lang w:eastAsia="en-GB"/>
        </w:rPr>
        <w:t xml:space="preserve"> </w:t>
      </w:r>
      <w:r w:rsidR="00163D47">
        <w:rPr>
          <w:rFonts w:cstheme="minorHAnsi"/>
          <w:lang w:eastAsia="en-GB"/>
        </w:rPr>
        <w:t>(</w:t>
      </w:r>
      <w:r w:rsidR="00C54EA0" w:rsidRPr="00EB63CA">
        <w:rPr>
          <w:rFonts w:cstheme="minorHAnsi"/>
          <w:lang w:eastAsia="en-GB"/>
        </w:rPr>
        <w:t>i.e. the referrers own language used to describe the</w:t>
      </w:r>
      <w:r w:rsidR="00C54EA0">
        <w:rPr>
          <w:rFonts w:cstheme="minorHAnsi"/>
          <w:lang w:eastAsia="en-GB"/>
        </w:rPr>
        <w:t xml:space="preserve"> CYP’s mental health difficulty</w:t>
      </w:r>
      <w:r w:rsidR="00163D47">
        <w:rPr>
          <w:rFonts w:cstheme="minorHAnsi"/>
          <w:lang w:eastAsia="en-GB"/>
        </w:rPr>
        <w:t>)</w:t>
      </w:r>
      <w:r w:rsidR="00C54EA0">
        <w:rPr>
          <w:rFonts w:cstheme="minorHAnsi"/>
          <w:lang w:eastAsia="en-GB"/>
        </w:rPr>
        <w:t xml:space="preserve">.  </w:t>
      </w:r>
      <w:r w:rsidRPr="00EB63CA">
        <w:rPr>
          <w:rFonts w:cstheme="minorHAnsi"/>
          <w:lang w:eastAsia="en-GB"/>
        </w:rPr>
        <w:t xml:space="preserve"> </w:t>
      </w:r>
      <w:r w:rsidR="00BE4084" w:rsidRPr="00FF48C8">
        <w:rPr>
          <w:rFonts w:cstheme="minorHAnsi"/>
          <w:lang w:eastAsia="en-GB"/>
        </w:rPr>
        <w:t xml:space="preserve">All extracted data was then </w:t>
      </w:r>
      <w:r w:rsidR="00EB63CA" w:rsidRPr="00FF48C8">
        <w:rPr>
          <w:rFonts w:cstheme="minorHAnsi"/>
          <w:lang w:eastAsia="en-GB"/>
        </w:rPr>
        <w:t xml:space="preserve">reviewed by the researcher and judgements were made about what categories the information would fit in to. This categorisation </w:t>
      </w:r>
      <w:r w:rsidR="00C54EA0" w:rsidRPr="00FF48C8">
        <w:rPr>
          <w:rFonts w:cstheme="minorHAnsi"/>
          <w:lang w:eastAsia="en-GB"/>
        </w:rPr>
        <w:t>involved a degree</w:t>
      </w:r>
      <w:r w:rsidR="00EB63CA" w:rsidRPr="00FF48C8">
        <w:rPr>
          <w:rFonts w:cstheme="minorHAnsi"/>
          <w:lang w:eastAsia="en-GB"/>
        </w:rPr>
        <w:t xml:space="preserve"> of clinical judgement by the researcher</w:t>
      </w:r>
      <w:r w:rsidR="00E15A33">
        <w:rPr>
          <w:rFonts w:cstheme="minorHAnsi"/>
          <w:lang w:eastAsia="en-GB"/>
        </w:rPr>
        <w:t xml:space="preserve">.  In order to ensure reliability of this categorisation, </w:t>
      </w:r>
      <w:r w:rsidR="00EB63CA" w:rsidRPr="00FF48C8">
        <w:rPr>
          <w:rFonts w:cstheme="minorHAnsi"/>
          <w:lang w:eastAsia="en-GB"/>
        </w:rPr>
        <w:t>information was cross</w:t>
      </w:r>
      <w:r w:rsidR="00E15A33">
        <w:rPr>
          <w:rFonts w:cstheme="minorHAnsi"/>
          <w:lang w:eastAsia="en-GB"/>
        </w:rPr>
        <w:t>-</w:t>
      </w:r>
      <w:r w:rsidR="00EB63CA" w:rsidRPr="00FF48C8">
        <w:rPr>
          <w:rFonts w:cstheme="minorHAnsi"/>
          <w:lang w:eastAsia="en-GB"/>
        </w:rPr>
        <w:t xml:space="preserve">checked with an external </w:t>
      </w:r>
      <w:r w:rsidR="00043399" w:rsidRPr="00FF48C8">
        <w:rPr>
          <w:rFonts w:cstheme="minorHAnsi"/>
          <w:lang w:eastAsia="en-GB"/>
        </w:rPr>
        <w:t xml:space="preserve">reviewer </w:t>
      </w:r>
      <w:r w:rsidR="00043399">
        <w:rPr>
          <w:rFonts w:cstheme="minorHAnsi"/>
          <w:lang w:eastAsia="en-GB"/>
        </w:rPr>
        <w:t>who</w:t>
      </w:r>
      <w:r w:rsidR="00EB63CA" w:rsidRPr="00FF48C8">
        <w:rPr>
          <w:rFonts w:cstheme="minorHAnsi"/>
          <w:lang w:eastAsia="en-GB"/>
        </w:rPr>
        <w:t xml:space="preserve"> had clinical expertise working in CAMH</w:t>
      </w:r>
      <w:r w:rsidR="00E15A33">
        <w:rPr>
          <w:rFonts w:cstheme="minorHAnsi"/>
          <w:lang w:eastAsia="en-GB"/>
        </w:rPr>
        <w:t>S</w:t>
      </w:r>
      <w:r w:rsidR="00EB63CA" w:rsidRPr="00FF48C8">
        <w:rPr>
          <w:rFonts w:cstheme="minorHAnsi"/>
          <w:lang w:eastAsia="en-GB"/>
        </w:rPr>
        <w:t xml:space="preserve">. </w:t>
      </w:r>
      <w:r w:rsidR="00341BF5" w:rsidRPr="00EB63CA">
        <w:rPr>
          <w:rFonts w:cstheme="minorHAnsi"/>
          <w:lang w:eastAsia="en-GB"/>
        </w:rPr>
        <w:t xml:space="preserve"> </w:t>
      </w:r>
    </w:p>
    <w:p w14:paraId="4C67BB82" w14:textId="77777777" w:rsidR="00D92851" w:rsidRPr="00C340E5" w:rsidRDefault="00D92851" w:rsidP="00AA2F72">
      <w:pPr>
        <w:spacing w:line="480" w:lineRule="auto"/>
        <w:rPr>
          <w:rFonts w:eastAsia="Calibri" w:cs="Calibri"/>
          <w:b/>
          <w:lang w:eastAsia="en-GB"/>
        </w:rPr>
      </w:pPr>
    </w:p>
    <w:p w14:paraId="42915872" w14:textId="77777777" w:rsidR="00D30D47" w:rsidRDefault="00D30D47" w:rsidP="00AA2F72">
      <w:pPr>
        <w:spacing w:line="480" w:lineRule="auto"/>
        <w:rPr>
          <w:rFonts w:eastAsia="Calibri" w:cs="Calibri"/>
          <w:b/>
          <w:lang w:eastAsia="en-GB"/>
        </w:rPr>
      </w:pPr>
    </w:p>
    <w:p w14:paraId="5CFAEEAB" w14:textId="77777777" w:rsidR="00D30D47" w:rsidRDefault="00D30D47" w:rsidP="00AA2F72">
      <w:pPr>
        <w:spacing w:line="480" w:lineRule="auto"/>
        <w:rPr>
          <w:rFonts w:eastAsia="Calibri" w:cs="Calibri"/>
          <w:b/>
          <w:lang w:eastAsia="en-GB"/>
        </w:rPr>
      </w:pPr>
    </w:p>
    <w:p w14:paraId="21A30D7C" w14:textId="77777777" w:rsidR="008506FA" w:rsidRPr="005222FB" w:rsidRDefault="006C71B1" w:rsidP="00AA2F72">
      <w:pPr>
        <w:spacing w:line="480" w:lineRule="auto"/>
        <w:rPr>
          <w:rFonts w:eastAsia="Calibri" w:cs="Calibri"/>
          <w:b/>
          <w:sz w:val="24"/>
          <w:szCs w:val="24"/>
          <w:lang w:eastAsia="en-GB"/>
        </w:rPr>
      </w:pPr>
      <w:r w:rsidRPr="005222FB">
        <w:rPr>
          <w:rFonts w:eastAsia="Calibri" w:cs="Calibri"/>
          <w:b/>
          <w:sz w:val="24"/>
          <w:szCs w:val="24"/>
          <w:lang w:eastAsia="en-GB"/>
        </w:rPr>
        <w:t>V</w:t>
      </w:r>
      <w:r w:rsidR="008506FA" w:rsidRPr="005222FB">
        <w:rPr>
          <w:rFonts w:eastAsia="Calibri" w:cs="Calibri"/>
          <w:b/>
          <w:sz w:val="24"/>
          <w:szCs w:val="24"/>
          <w:lang w:eastAsia="en-GB"/>
        </w:rPr>
        <w:t>ariables</w:t>
      </w:r>
    </w:p>
    <w:p w14:paraId="07490F17" w14:textId="77777777" w:rsidR="00286038" w:rsidRPr="00C340E5" w:rsidRDefault="00286038" w:rsidP="00AA2F72">
      <w:pPr>
        <w:spacing w:line="480" w:lineRule="auto"/>
        <w:rPr>
          <w:rFonts w:eastAsia="Calibri" w:cs="Calibri"/>
          <w:b/>
          <w:lang w:eastAsia="en-GB"/>
        </w:rPr>
      </w:pPr>
      <w:r w:rsidRPr="00C340E5">
        <w:rPr>
          <w:rFonts w:eastAsia="Calibri" w:cs="Calibri"/>
          <w:b/>
          <w:lang w:eastAsia="en-GB"/>
        </w:rPr>
        <w:t>Referral source</w:t>
      </w:r>
    </w:p>
    <w:p w14:paraId="18D48BF2" w14:textId="77777777" w:rsidR="006C71B1" w:rsidRPr="00C340E5" w:rsidRDefault="006C260C" w:rsidP="00AA2F72">
      <w:pPr>
        <w:spacing w:line="480" w:lineRule="auto"/>
        <w:rPr>
          <w:rFonts w:cstheme="majorHAnsi"/>
        </w:rPr>
      </w:pPr>
      <w:r w:rsidRPr="00C340E5">
        <w:rPr>
          <w:rFonts w:eastAsia="Calibri" w:cs="Calibri"/>
          <w:lang w:eastAsia="en-GB"/>
        </w:rPr>
        <w:t>Referral source was categorised into 5 groups:</w:t>
      </w:r>
      <w:r w:rsidR="006C71B1" w:rsidRPr="00C340E5">
        <w:rPr>
          <w:rFonts w:cstheme="majorHAnsi"/>
        </w:rPr>
        <w:t xml:space="preserve"> </w:t>
      </w:r>
      <w:r w:rsidR="006C71B1" w:rsidRPr="00C340E5">
        <w:rPr>
          <w:rFonts w:cstheme="majorHAnsi"/>
          <w:i/>
        </w:rPr>
        <w:t>Medical</w:t>
      </w:r>
      <w:r w:rsidR="006C71B1" w:rsidRPr="00C340E5">
        <w:rPr>
          <w:rFonts w:cstheme="majorHAnsi"/>
        </w:rPr>
        <w:t xml:space="preserve"> (general practitioner, paediatric doctor, hospital, psychiatrist and school doctor), </w:t>
      </w:r>
      <w:r w:rsidR="006C71B1" w:rsidRPr="00C340E5">
        <w:rPr>
          <w:rFonts w:cstheme="majorHAnsi"/>
          <w:i/>
        </w:rPr>
        <w:t>Nursing</w:t>
      </w:r>
      <w:r w:rsidR="006C71B1" w:rsidRPr="00C340E5">
        <w:rPr>
          <w:rFonts w:cstheme="majorHAnsi"/>
        </w:rPr>
        <w:t xml:space="preserve"> (health visitor and school nurse), </w:t>
      </w:r>
      <w:r w:rsidR="006C71B1" w:rsidRPr="00C340E5">
        <w:rPr>
          <w:rFonts w:cstheme="majorHAnsi"/>
          <w:i/>
        </w:rPr>
        <w:t>Social Work</w:t>
      </w:r>
      <w:r w:rsidR="006C71B1" w:rsidRPr="00C340E5">
        <w:rPr>
          <w:rFonts w:cstheme="majorHAnsi"/>
        </w:rPr>
        <w:t xml:space="preserve"> (social worker), </w:t>
      </w:r>
      <w:r w:rsidR="006C71B1" w:rsidRPr="00C340E5">
        <w:rPr>
          <w:rFonts w:cstheme="majorHAnsi"/>
          <w:i/>
        </w:rPr>
        <w:t>Education</w:t>
      </w:r>
      <w:r w:rsidR="006C71B1" w:rsidRPr="00C340E5">
        <w:rPr>
          <w:rFonts w:cstheme="majorHAnsi"/>
        </w:rPr>
        <w:t xml:space="preserve"> (teacher) and </w:t>
      </w:r>
      <w:r w:rsidR="006C71B1" w:rsidRPr="00C340E5">
        <w:rPr>
          <w:rFonts w:cstheme="majorHAnsi"/>
          <w:i/>
        </w:rPr>
        <w:t>Allied Health Professional</w:t>
      </w:r>
      <w:r w:rsidR="006C71B1" w:rsidRPr="00C340E5">
        <w:rPr>
          <w:rFonts w:cstheme="majorHAnsi"/>
        </w:rPr>
        <w:t xml:space="preserve"> (educational psychologist, AHP). </w:t>
      </w:r>
      <w:r w:rsidR="00DF00F9" w:rsidRPr="00C340E5">
        <w:rPr>
          <w:rFonts w:cstheme="majorHAnsi"/>
        </w:rPr>
        <w:t xml:space="preserve">  The</w:t>
      </w:r>
      <w:r w:rsidR="00544905" w:rsidRPr="00C340E5">
        <w:rPr>
          <w:rFonts w:cstheme="majorHAnsi"/>
        </w:rPr>
        <w:t>se</w:t>
      </w:r>
      <w:r w:rsidR="00DF00F9" w:rsidRPr="00C340E5">
        <w:rPr>
          <w:rFonts w:cstheme="majorHAnsi"/>
        </w:rPr>
        <w:t xml:space="preserve"> categories were chosen </w:t>
      </w:r>
      <w:r w:rsidR="00544905" w:rsidRPr="00C340E5">
        <w:rPr>
          <w:rFonts w:cstheme="majorHAnsi"/>
        </w:rPr>
        <w:t>because they represent t</w:t>
      </w:r>
      <w:r w:rsidR="00DF00F9" w:rsidRPr="00C340E5">
        <w:rPr>
          <w:rFonts w:cstheme="majorHAnsi"/>
        </w:rPr>
        <w:t>he main agencies involved in referring CYP to CAMHS (see Figure 1).</w:t>
      </w:r>
    </w:p>
    <w:p w14:paraId="2D098B4C" w14:textId="77777777" w:rsidR="00BC33FF" w:rsidRPr="00C340E5" w:rsidRDefault="00BC33FF" w:rsidP="00AA2F72">
      <w:pPr>
        <w:spacing w:line="480" w:lineRule="auto"/>
        <w:rPr>
          <w:rFonts w:cstheme="majorHAnsi"/>
          <w:b/>
        </w:rPr>
      </w:pPr>
    </w:p>
    <w:p w14:paraId="6231A7EB" w14:textId="77777777" w:rsidR="00286038" w:rsidRPr="005222FB" w:rsidRDefault="00286038" w:rsidP="00AA2F72">
      <w:pPr>
        <w:spacing w:line="480" w:lineRule="auto"/>
        <w:rPr>
          <w:rFonts w:cstheme="majorHAnsi"/>
          <w:b/>
          <w:sz w:val="24"/>
          <w:szCs w:val="24"/>
        </w:rPr>
      </w:pPr>
      <w:r w:rsidRPr="005222FB">
        <w:rPr>
          <w:rFonts w:cstheme="majorHAnsi"/>
          <w:b/>
          <w:sz w:val="24"/>
          <w:szCs w:val="24"/>
        </w:rPr>
        <w:t>Referral reason</w:t>
      </w:r>
    </w:p>
    <w:p w14:paraId="2603BCE3" w14:textId="77777777" w:rsidR="0076199F" w:rsidRPr="00C340E5" w:rsidRDefault="006C71B1" w:rsidP="00AA2F72">
      <w:pPr>
        <w:spacing w:line="480" w:lineRule="auto"/>
        <w:rPr>
          <w:rFonts w:cstheme="majorHAnsi"/>
        </w:rPr>
      </w:pPr>
      <w:r w:rsidRPr="00C340E5">
        <w:rPr>
          <w:rFonts w:cstheme="majorHAnsi"/>
        </w:rPr>
        <w:t>There were</w:t>
      </w:r>
      <w:r w:rsidR="00544905" w:rsidRPr="00C340E5">
        <w:rPr>
          <w:rFonts w:cstheme="majorHAnsi"/>
        </w:rPr>
        <w:t xml:space="preserve"> 6</w:t>
      </w:r>
      <w:r w:rsidR="00DF00F9" w:rsidRPr="00C340E5">
        <w:rPr>
          <w:rFonts w:cstheme="majorHAnsi"/>
        </w:rPr>
        <w:t xml:space="preserve"> categories </w:t>
      </w:r>
      <w:r w:rsidR="00120219">
        <w:rPr>
          <w:rFonts w:cstheme="majorHAnsi"/>
        </w:rPr>
        <w:t>of</w:t>
      </w:r>
      <w:r w:rsidRPr="00C340E5">
        <w:rPr>
          <w:rFonts w:cstheme="majorHAnsi"/>
        </w:rPr>
        <w:t xml:space="preserve"> r</w:t>
      </w:r>
      <w:r w:rsidR="00DF00F9" w:rsidRPr="00C340E5">
        <w:rPr>
          <w:rFonts w:cstheme="majorHAnsi"/>
        </w:rPr>
        <w:t>eferral reason</w:t>
      </w:r>
      <w:r w:rsidRPr="00C340E5">
        <w:rPr>
          <w:rFonts w:cstheme="majorHAnsi"/>
        </w:rPr>
        <w:t>: common mental health disorder; emotional &amp; behavioural problem; conduct problem; hyperactivity/inattention; drug or alcohol dependency;</w:t>
      </w:r>
      <w:r w:rsidR="002E413E" w:rsidRPr="00C340E5">
        <w:rPr>
          <w:rFonts w:cstheme="majorHAnsi"/>
        </w:rPr>
        <w:t xml:space="preserve"> self-harm and eating disorder;</w:t>
      </w:r>
      <w:r w:rsidR="00544905" w:rsidRPr="00C340E5">
        <w:rPr>
          <w:rFonts w:cstheme="majorHAnsi"/>
        </w:rPr>
        <w:t xml:space="preserve"> </w:t>
      </w:r>
      <w:r w:rsidRPr="00C340E5">
        <w:rPr>
          <w:rFonts w:cstheme="majorHAnsi"/>
        </w:rPr>
        <w:t>‘othe</w:t>
      </w:r>
      <w:r w:rsidR="00DF00F9" w:rsidRPr="00C340E5">
        <w:rPr>
          <w:rFonts w:cstheme="majorHAnsi"/>
        </w:rPr>
        <w:t xml:space="preserve">r’ (if the referral reason did not fit into any of the other categories). </w:t>
      </w:r>
      <w:r w:rsidR="00A350C4" w:rsidRPr="00C340E5">
        <w:rPr>
          <w:rFonts w:cstheme="majorHAnsi"/>
        </w:rPr>
        <w:t xml:space="preserve">These 6 categories represent the most common mental health problems in children </w:t>
      </w:r>
      <w:r w:rsidR="00A44EF3" w:rsidRPr="00C340E5">
        <w:rPr>
          <w:rFonts w:cstheme="majorHAnsi"/>
        </w:rPr>
        <w:t xml:space="preserve">and young people </w:t>
      </w:r>
      <w:r w:rsidR="00D30D47">
        <w:rPr>
          <w:rFonts w:cstheme="majorHAnsi"/>
        </w:rPr>
        <w:t>(</w:t>
      </w:r>
      <w:r w:rsidR="00A44EF3" w:rsidRPr="00C340E5">
        <w:rPr>
          <w:rFonts w:cstheme="majorHAnsi"/>
        </w:rPr>
        <w:t>Claveirole &amp; Gaughan 2011</w:t>
      </w:r>
      <w:r w:rsidR="00051F50">
        <w:rPr>
          <w:rFonts w:cstheme="majorHAnsi"/>
        </w:rPr>
        <w:t>)</w:t>
      </w:r>
      <w:r w:rsidR="00A350C4" w:rsidRPr="00C340E5">
        <w:rPr>
          <w:rFonts w:cstheme="majorHAnsi"/>
        </w:rPr>
        <w:t xml:space="preserve"> and were</w:t>
      </w:r>
      <w:r w:rsidR="00DF00F9" w:rsidRPr="00C340E5">
        <w:rPr>
          <w:rFonts w:cstheme="majorHAnsi"/>
        </w:rPr>
        <w:t xml:space="preserve"> derived from</w:t>
      </w:r>
      <w:r w:rsidR="00685A85">
        <w:rPr>
          <w:rFonts w:cstheme="majorHAnsi"/>
        </w:rPr>
        <w:t>,</w:t>
      </w:r>
      <w:r w:rsidR="00DF00F9" w:rsidRPr="00C340E5">
        <w:rPr>
          <w:rFonts w:cstheme="majorHAnsi"/>
        </w:rPr>
        <w:t xml:space="preserve"> </w:t>
      </w:r>
      <w:r w:rsidR="00685A85">
        <w:rPr>
          <w:rFonts w:cstheme="majorHAnsi"/>
        </w:rPr>
        <w:t xml:space="preserve">and are defined in, </w:t>
      </w:r>
      <w:r w:rsidR="00544905" w:rsidRPr="00C340E5">
        <w:rPr>
          <w:rFonts w:cstheme="majorHAnsi"/>
        </w:rPr>
        <w:t xml:space="preserve">the </w:t>
      </w:r>
      <w:r w:rsidR="00DF00F9" w:rsidRPr="00C340E5">
        <w:rPr>
          <w:rFonts w:cstheme="majorHAnsi"/>
        </w:rPr>
        <w:t>Scottish mental well-being and mental health problems indicators (NHS Health Scotland 2013).</w:t>
      </w:r>
      <w:r w:rsidR="00685A85">
        <w:rPr>
          <w:rFonts w:cstheme="majorHAnsi"/>
        </w:rPr>
        <w:t xml:space="preserve"> </w:t>
      </w:r>
      <w:r w:rsidR="008215B1">
        <w:rPr>
          <w:rFonts w:cstheme="majorHAnsi"/>
        </w:rPr>
        <w:t>This</w:t>
      </w:r>
      <w:r w:rsidR="00685A85">
        <w:rPr>
          <w:rFonts w:cstheme="majorHAnsi"/>
        </w:rPr>
        <w:t xml:space="preserve"> pragmatic approach </w:t>
      </w:r>
      <w:r w:rsidR="008215B1">
        <w:rPr>
          <w:rFonts w:cstheme="majorHAnsi"/>
        </w:rPr>
        <w:t>of categorising mental health difficulties</w:t>
      </w:r>
      <w:r w:rsidR="00685A85">
        <w:rPr>
          <w:rFonts w:cstheme="majorHAnsi"/>
        </w:rPr>
        <w:t xml:space="preserve"> was </w:t>
      </w:r>
      <w:r w:rsidR="00561BCD">
        <w:rPr>
          <w:rFonts w:cstheme="majorHAnsi"/>
        </w:rPr>
        <w:t>used for</w:t>
      </w:r>
      <w:r w:rsidR="008215B1">
        <w:rPr>
          <w:rFonts w:cstheme="majorHAnsi"/>
        </w:rPr>
        <w:t xml:space="preserve"> the purposes of this study </w:t>
      </w:r>
      <w:r w:rsidR="00561BCD">
        <w:rPr>
          <w:rFonts w:cstheme="majorHAnsi"/>
        </w:rPr>
        <w:t>because referees</w:t>
      </w:r>
      <w:r w:rsidR="008215B1">
        <w:rPr>
          <w:rFonts w:cstheme="majorHAnsi"/>
        </w:rPr>
        <w:t xml:space="preserve"> used widely variable terms to describe CYP’s </w:t>
      </w:r>
      <w:r w:rsidR="00685A85">
        <w:rPr>
          <w:rFonts w:cstheme="majorHAnsi"/>
        </w:rPr>
        <w:t xml:space="preserve">reason for referral and there is </w:t>
      </w:r>
      <w:r w:rsidR="00561BCD">
        <w:rPr>
          <w:rFonts w:cstheme="majorHAnsi"/>
        </w:rPr>
        <w:t>no common</w:t>
      </w:r>
      <w:r w:rsidR="00685A85">
        <w:rPr>
          <w:rFonts w:cstheme="majorHAnsi"/>
        </w:rPr>
        <w:t xml:space="preserve"> set of categories routinely used in practice.  </w:t>
      </w:r>
    </w:p>
    <w:p w14:paraId="7872141F" w14:textId="77777777" w:rsidR="0076199F" w:rsidRDefault="0076199F" w:rsidP="00AA2F72">
      <w:pPr>
        <w:spacing w:line="480" w:lineRule="auto"/>
        <w:rPr>
          <w:rFonts w:eastAsia="Calibri" w:cs="Calibri"/>
          <w:b/>
          <w:lang w:eastAsia="en-GB"/>
        </w:rPr>
      </w:pPr>
    </w:p>
    <w:p w14:paraId="4B7AEA4A" w14:textId="77777777" w:rsidR="00286038" w:rsidRPr="005222FB" w:rsidRDefault="00286038" w:rsidP="00AA2F72">
      <w:pPr>
        <w:spacing w:line="480" w:lineRule="auto"/>
        <w:rPr>
          <w:rFonts w:cstheme="majorHAnsi"/>
          <w:b/>
          <w:sz w:val="24"/>
          <w:szCs w:val="24"/>
        </w:rPr>
      </w:pPr>
      <w:r w:rsidRPr="005222FB">
        <w:rPr>
          <w:rFonts w:eastAsia="Calibri" w:cs="Calibri"/>
          <w:b/>
          <w:sz w:val="24"/>
          <w:szCs w:val="24"/>
          <w:lang w:eastAsia="en-GB"/>
        </w:rPr>
        <w:t>Soci</w:t>
      </w:r>
      <w:r w:rsidR="006E2CB0" w:rsidRPr="005222FB">
        <w:rPr>
          <w:rFonts w:eastAsia="Calibri" w:cs="Calibri"/>
          <w:b/>
          <w:sz w:val="24"/>
          <w:szCs w:val="24"/>
          <w:lang w:eastAsia="en-GB"/>
        </w:rPr>
        <w:t>o-</w:t>
      </w:r>
      <w:r w:rsidRPr="005222FB">
        <w:rPr>
          <w:rFonts w:eastAsia="Calibri" w:cs="Calibri"/>
          <w:b/>
          <w:sz w:val="24"/>
          <w:szCs w:val="24"/>
          <w:lang w:eastAsia="en-GB"/>
        </w:rPr>
        <w:t xml:space="preserve">demographics </w:t>
      </w:r>
      <w:r w:rsidR="006E2CB0" w:rsidRPr="005222FB">
        <w:rPr>
          <w:rFonts w:eastAsia="Calibri" w:cs="Calibri"/>
          <w:b/>
          <w:sz w:val="24"/>
          <w:szCs w:val="24"/>
          <w:lang w:eastAsia="en-GB"/>
        </w:rPr>
        <w:t xml:space="preserve">characteristics </w:t>
      </w:r>
    </w:p>
    <w:p w14:paraId="457AEAA1" w14:textId="77777777" w:rsidR="00A00A38" w:rsidRDefault="006E2CB0" w:rsidP="00C4055F">
      <w:pPr>
        <w:shd w:val="clear" w:color="auto" w:fill="FFFFFF"/>
        <w:spacing w:after="240" w:line="480" w:lineRule="auto"/>
        <w:rPr>
          <w:rFonts w:eastAsia="Times New Roman" w:cs="Times New Roman"/>
          <w:color w:val="000000"/>
          <w:lang w:eastAsia="en-GB"/>
        </w:rPr>
      </w:pPr>
      <w:r>
        <w:rPr>
          <w:rFonts w:cstheme="majorHAnsi"/>
        </w:rPr>
        <w:t>S</w:t>
      </w:r>
      <w:r w:rsidRPr="00C340E5">
        <w:rPr>
          <w:rFonts w:cstheme="majorHAnsi"/>
        </w:rPr>
        <w:t>oci</w:t>
      </w:r>
      <w:r>
        <w:rPr>
          <w:rFonts w:cstheme="majorHAnsi"/>
        </w:rPr>
        <w:t>o-</w:t>
      </w:r>
      <w:r w:rsidRPr="00C340E5">
        <w:rPr>
          <w:rFonts w:cstheme="majorHAnsi"/>
        </w:rPr>
        <w:t>demographic variable</w:t>
      </w:r>
      <w:r>
        <w:rPr>
          <w:rFonts w:cstheme="majorHAnsi"/>
        </w:rPr>
        <w:t>s</w:t>
      </w:r>
      <w:r w:rsidRPr="00C340E5">
        <w:rPr>
          <w:rFonts w:eastAsia="Calibri" w:cs="Calibri"/>
          <w:lang w:eastAsia="en-GB"/>
        </w:rPr>
        <w:t xml:space="preserve"> </w:t>
      </w:r>
      <w:r>
        <w:rPr>
          <w:rFonts w:eastAsia="Calibri" w:cs="Calibri"/>
          <w:lang w:eastAsia="en-GB"/>
        </w:rPr>
        <w:t>included g</w:t>
      </w:r>
      <w:r w:rsidR="006C71B1" w:rsidRPr="00C340E5">
        <w:rPr>
          <w:rFonts w:cstheme="majorHAnsi"/>
        </w:rPr>
        <w:t>ender (male/female), age,</w:t>
      </w:r>
      <w:r w:rsidR="009141DE" w:rsidRPr="00C340E5">
        <w:rPr>
          <w:rFonts w:cstheme="majorHAnsi"/>
        </w:rPr>
        <w:t xml:space="preserve"> and deprivation.</w:t>
      </w:r>
      <w:r w:rsidR="00A350C4" w:rsidRPr="00C340E5">
        <w:rPr>
          <w:rFonts w:cstheme="majorHAnsi"/>
        </w:rPr>
        <w:t xml:space="preserve"> </w:t>
      </w:r>
      <w:r w:rsidR="001272C1" w:rsidRPr="00C340E5">
        <w:rPr>
          <w:rFonts w:cstheme="majorHAnsi"/>
        </w:rPr>
        <w:t>These variables were chosen because they are independently associated with</w:t>
      </w:r>
      <w:r w:rsidR="00DF432E" w:rsidRPr="00C340E5">
        <w:rPr>
          <w:rFonts w:cstheme="majorHAnsi"/>
        </w:rPr>
        <w:t xml:space="preserve"> mental health difficulties </w:t>
      </w:r>
      <w:r w:rsidR="00D30D47">
        <w:rPr>
          <w:rFonts w:cstheme="majorHAnsi"/>
        </w:rPr>
        <w:t>(</w:t>
      </w:r>
      <w:r w:rsidR="00D30D47" w:rsidRPr="00C340E5">
        <w:rPr>
          <w:rFonts w:cstheme="majorHAnsi"/>
        </w:rPr>
        <w:t>Claveirole</w:t>
      </w:r>
      <w:r w:rsidR="00D30D47">
        <w:rPr>
          <w:rFonts w:cstheme="majorHAnsi"/>
        </w:rPr>
        <w:t xml:space="preserve"> </w:t>
      </w:r>
      <w:r w:rsidR="00D30D47" w:rsidRPr="00C340E5">
        <w:rPr>
          <w:rFonts w:cstheme="majorHAnsi"/>
        </w:rPr>
        <w:t>&amp;</w:t>
      </w:r>
      <w:r w:rsidR="00A44EF3" w:rsidRPr="00C340E5">
        <w:rPr>
          <w:rFonts w:cstheme="majorHAnsi"/>
        </w:rPr>
        <w:t xml:space="preserve"> </w:t>
      </w:r>
      <w:r w:rsidR="00DF432E" w:rsidRPr="00C340E5">
        <w:rPr>
          <w:rFonts w:cstheme="majorHAnsi"/>
        </w:rPr>
        <w:t>Gaughan 2011</w:t>
      </w:r>
      <w:r w:rsidR="00D30D47">
        <w:rPr>
          <w:rFonts w:cstheme="majorHAnsi"/>
        </w:rPr>
        <w:t>)</w:t>
      </w:r>
      <w:r w:rsidR="001272C1" w:rsidRPr="00C340E5">
        <w:rPr>
          <w:rFonts w:cstheme="majorHAnsi"/>
        </w:rPr>
        <w:t xml:space="preserve">. </w:t>
      </w:r>
      <w:r w:rsidR="00A350C4" w:rsidRPr="00C340E5">
        <w:t xml:space="preserve">The age of the CYP was categorised according to </w:t>
      </w:r>
      <w:r w:rsidR="00591832">
        <w:t>CYP</w:t>
      </w:r>
      <w:r w:rsidR="00591832" w:rsidRPr="00C340E5">
        <w:t xml:space="preserve">’s </w:t>
      </w:r>
      <w:r w:rsidR="00A350C4" w:rsidRPr="00C340E5">
        <w:t>development</w:t>
      </w:r>
      <w:r w:rsidR="00B5509F">
        <w:t>al trajectory (Daniel et al 2010</w:t>
      </w:r>
      <w:r w:rsidR="00A350C4" w:rsidRPr="00C340E5">
        <w:t xml:space="preserve">) as follows: early years (aged 0-5 years); middle childhood (aged 6-12 years); adolescence (aged 13-18 years). Scottish Index of Multiple Deprivation (SIMD) quintile of residence was </w:t>
      </w:r>
      <w:r w:rsidR="00F03860">
        <w:t>derived</w:t>
      </w:r>
      <w:r w:rsidR="00F03860" w:rsidRPr="00C340E5">
        <w:t xml:space="preserve"> </w:t>
      </w:r>
      <w:r w:rsidR="00A350C4" w:rsidRPr="00C340E5">
        <w:t>for each CYP referred. CYP postcodes were used to derive scores on the SIMD 2012 using a publically available postcode lookup tool developed by the Scottish Government</w:t>
      </w:r>
      <w:r w:rsidR="00612E2F">
        <w:t>.</w:t>
      </w:r>
      <w:r w:rsidR="00A350C4" w:rsidRPr="00C340E5">
        <w:t xml:space="preserve"> </w:t>
      </w:r>
      <w:r w:rsidR="00A350C4" w:rsidRPr="00591832">
        <w:t xml:space="preserve">SIMD is a relative measure of area-based deprivation ranked from 1 (most deprived) to </w:t>
      </w:r>
      <w:r w:rsidR="001345B0" w:rsidRPr="00591832">
        <w:t xml:space="preserve">5 </w:t>
      </w:r>
      <w:r w:rsidR="00A350C4" w:rsidRPr="00591832">
        <w:t xml:space="preserve">(least deprived). </w:t>
      </w:r>
    </w:p>
    <w:p w14:paraId="178802D9" w14:textId="77777777" w:rsidR="00A00A38" w:rsidRPr="001A6D06" w:rsidRDefault="00A00A38" w:rsidP="001A6D06">
      <w:pPr>
        <w:spacing w:line="480" w:lineRule="auto"/>
        <w:rPr>
          <w:rFonts w:eastAsia="Times New Roman"/>
          <w:color w:val="000000" w:themeColor="text1"/>
        </w:rPr>
      </w:pPr>
      <w:r w:rsidRPr="001A6D06">
        <w:rPr>
          <w:rFonts w:ascii="Calibri" w:eastAsia="Times New Roman" w:hAnsi="Calibri" w:cs="Calibri"/>
          <w:color w:val="000000" w:themeColor="text1"/>
        </w:rPr>
        <w:t>SIMD combines 38 indicators across the following 7 domains: income, employment, health, education, skills and training, housing, geographic access and crime. The overall index is a weighted sum of the seven domain scores (Scottish Government, 2012). The SIMD is widely accepted as a means through which scarce government resources can be directed to areas with greatest need across Scotland and the measure is used extensively in research and audit of health and social care services.  Whilst SIMD is the current deprivation measure used in Scotland, there is a suggestion that the broad domains used to measure aspects of the populations health and wellbeing are not comprehensive enough (Allik et al 2016, Nicholson &amp; Hutchin 2015, Martin et al 2014).  </w:t>
      </w:r>
      <w:r w:rsidRPr="001A6D06">
        <w:rPr>
          <w:rFonts w:eastAsia="Times New Roman"/>
          <w:color w:val="000000" w:themeColor="text1"/>
        </w:rPr>
        <w:t> </w:t>
      </w:r>
    </w:p>
    <w:p w14:paraId="57E208EF" w14:textId="77777777" w:rsidR="00612E2F" w:rsidRPr="00612E2F" w:rsidRDefault="00612E2F" w:rsidP="00C4055F">
      <w:pPr>
        <w:shd w:val="clear" w:color="auto" w:fill="FFFFFF"/>
        <w:spacing w:after="240" w:line="480" w:lineRule="auto"/>
        <w:rPr>
          <w:rFonts w:ascii="Verdana" w:eastAsia="Times New Roman" w:hAnsi="Verdana" w:cs="Times New Roman"/>
          <w:color w:val="000000"/>
          <w:sz w:val="18"/>
          <w:szCs w:val="18"/>
          <w:lang w:eastAsia="en-GB"/>
        </w:rPr>
      </w:pPr>
    </w:p>
    <w:p w14:paraId="157DAB51" w14:textId="77777777" w:rsidR="00286038" w:rsidRPr="005222FB" w:rsidRDefault="002433EF" w:rsidP="00AA2F72">
      <w:pPr>
        <w:spacing w:line="480" w:lineRule="auto"/>
        <w:rPr>
          <w:rFonts w:cstheme="majorHAnsi"/>
          <w:b/>
          <w:sz w:val="24"/>
          <w:szCs w:val="24"/>
        </w:rPr>
      </w:pPr>
      <w:r w:rsidRPr="005222FB">
        <w:rPr>
          <w:rFonts w:cstheme="majorHAnsi"/>
          <w:b/>
          <w:sz w:val="24"/>
          <w:szCs w:val="24"/>
        </w:rPr>
        <w:t xml:space="preserve">Referral </w:t>
      </w:r>
      <w:r w:rsidR="00D30D47" w:rsidRPr="005222FB">
        <w:rPr>
          <w:rFonts w:cstheme="majorHAnsi"/>
          <w:b/>
          <w:sz w:val="24"/>
          <w:szCs w:val="24"/>
        </w:rPr>
        <w:t>Decisions</w:t>
      </w:r>
    </w:p>
    <w:p w14:paraId="11220AE2" w14:textId="77777777" w:rsidR="003F0D62" w:rsidRPr="00C340E5" w:rsidRDefault="001345B0" w:rsidP="00AA2F72">
      <w:pPr>
        <w:spacing w:line="480" w:lineRule="auto"/>
        <w:rPr>
          <w:rFonts w:eastAsia="Calibri" w:cs="Calibri"/>
          <w:lang w:eastAsia="en-GB"/>
        </w:rPr>
      </w:pPr>
      <w:r w:rsidRPr="00C340E5">
        <w:rPr>
          <w:rFonts w:eastAsia="Calibri" w:cs="Calibri"/>
          <w:lang w:eastAsia="en-GB"/>
        </w:rPr>
        <w:t xml:space="preserve">Four referral </w:t>
      </w:r>
      <w:r w:rsidR="00540237">
        <w:rPr>
          <w:rFonts w:eastAsia="Calibri" w:cs="Calibri"/>
          <w:lang w:eastAsia="en-GB"/>
        </w:rPr>
        <w:t>decision</w:t>
      </w:r>
      <w:r w:rsidRPr="00C340E5">
        <w:rPr>
          <w:rFonts w:eastAsia="Calibri" w:cs="Calibri"/>
          <w:lang w:eastAsia="en-GB"/>
        </w:rPr>
        <w:t xml:space="preserve"> categories were used</w:t>
      </w:r>
      <w:r w:rsidR="007A2959">
        <w:rPr>
          <w:rFonts w:eastAsia="Calibri" w:cs="Calibri"/>
          <w:lang w:eastAsia="en-GB"/>
        </w:rPr>
        <w:t xml:space="preserve">. These were </w:t>
      </w:r>
      <w:r w:rsidR="005E308D" w:rsidRPr="00C340E5">
        <w:rPr>
          <w:rFonts w:eastAsia="Calibri" w:cs="Calibri"/>
          <w:lang w:eastAsia="en-GB"/>
        </w:rPr>
        <w:t xml:space="preserve">chosen because they </w:t>
      </w:r>
      <w:r w:rsidR="001272C1" w:rsidRPr="00C340E5">
        <w:rPr>
          <w:rFonts w:eastAsia="Calibri" w:cs="Calibri"/>
          <w:lang w:eastAsia="en-GB"/>
        </w:rPr>
        <w:t xml:space="preserve">directly or closely match </w:t>
      </w:r>
      <w:r w:rsidR="007A2959">
        <w:rPr>
          <w:rFonts w:eastAsia="Calibri" w:cs="Calibri"/>
          <w:lang w:eastAsia="en-GB"/>
        </w:rPr>
        <w:t xml:space="preserve">those categories used in the </w:t>
      </w:r>
      <w:r w:rsidR="00591832">
        <w:rPr>
          <w:rFonts w:eastAsia="Calibri" w:cs="Calibri"/>
          <w:lang w:eastAsia="en-GB"/>
        </w:rPr>
        <w:t xml:space="preserve">national </w:t>
      </w:r>
      <w:r w:rsidR="007A2959">
        <w:rPr>
          <w:rFonts w:eastAsia="Calibri" w:cs="Calibri"/>
          <w:lang w:eastAsia="en-GB"/>
        </w:rPr>
        <w:t>audit</w:t>
      </w:r>
      <w:r w:rsidR="002433EF" w:rsidRPr="00C340E5">
        <w:rPr>
          <w:rFonts w:eastAsia="Calibri" w:cs="Calibri"/>
          <w:lang w:eastAsia="en-GB"/>
        </w:rPr>
        <w:t xml:space="preserve"> </w:t>
      </w:r>
      <w:r w:rsidR="00051F50">
        <w:rPr>
          <w:rFonts w:eastAsia="Calibri" w:cs="Calibri"/>
          <w:lang w:eastAsia="en-GB"/>
        </w:rPr>
        <w:t>of CAMHS</w:t>
      </w:r>
      <w:r w:rsidR="00591832">
        <w:rPr>
          <w:rFonts w:eastAsia="Calibri" w:cs="Calibri"/>
          <w:lang w:eastAsia="en-GB"/>
        </w:rPr>
        <w:t xml:space="preserve"> across Scotland</w:t>
      </w:r>
      <w:r w:rsidR="00051F50">
        <w:rPr>
          <w:rFonts w:eastAsia="Calibri" w:cs="Calibri"/>
          <w:lang w:eastAsia="en-GB"/>
        </w:rPr>
        <w:t xml:space="preserve"> </w:t>
      </w:r>
      <w:r w:rsidR="007A2959">
        <w:rPr>
          <w:rFonts w:eastAsia="Calibri" w:cs="Calibri"/>
          <w:lang w:eastAsia="en-GB"/>
        </w:rPr>
        <w:t>(NHS Scotland 2012) and by the study site.</w:t>
      </w:r>
      <w:r w:rsidR="0084546B">
        <w:rPr>
          <w:rFonts w:eastAsia="Calibri" w:cs="Calibri"/>
          <w:lang w:eastAsia="en-GB"/>
        </w:rPr>
        <w:t xml:space="preserve"> All referrals were placed in one of these mutually exclusive categories.</w:t>
      </w:r>
    </w:p>
    <w:p w14:paraId="62084C60" w14:textId="77777777" w:rsidR="00286038" w:rsidRPr="00C340E5" w:rsidRDefault="00286038" w:rsidP="00AA2F72">
      <w:pPr>
        <w:pStyle w:val="ListParagraph"/>
        <w:numPr>
          <w:ilvl w:val="0"/>
          <w:numId w:val="23"/>
        </w:numPr>
        <w:spacing w:line="480" w:lineRule="auto"/>
        <w:rPr>
          <w:rFonts w:cstheme="majorHAnsi"/>
          <w:szCs w:val="22"/>
        </w:rPr>
      </w:pPr>
      <w:r w:rsidRPr="00C340E5">
        <w:rPr>
          <w:rFonts w:cstheme="majorHAnsi"/>
          <w:szCs w:val="22"/>
          <w:lang w:eastAsia="en-GB"/>
        </w:rPr>
        <w:t>‘</w:t>
      </w:r>
      <w:r w:rsidR="00434106" w:rsidRPr="00540237">
        <w:rPr>
          <w:rFonts w:cstheme="majorHAnsi"/>
          <w:b/>
          <w:szCs w:val="22"/>
          <w:lang w:eastAsia="en-GB"/>
        </w:rPr>
        <w:t>Accepted</w:t>
      </w:r>
      <w:r w:rsidR="00434106" w:rsidRPr="00C340E5">
        <w:rPr>
          <w:rFonts w:cstheme="majorHAnsi"/>
          <w:szCs w:val="22"/>
          <w:lang w:eastAsia="en-GB"/>
        </w:rPr>
        <w:t xml:space="preserve">’ </w:t>
      </w:r>
      <w:r w:rsidR="00F03860">
        <w:rPr>
          <w:rFonts w:cstheme="majorHAnsi"/>
          <w:szCs w:val="22"/>
          <w:lang w:eastAsia="en-GB"/>
        </w:rPr>
        <w:t xml:space="preserve">– </w:t>
      </w:r>
      <w:r w:rsidR="001345B0" w:rsidRPr="00C340E5">
        <w:rPr>
          <w:rFonts w:cstheme="majorHAnsi"/>
          <w:szCs w:val="22"/>
          <w:lang w:eastAsia="en-GB"/>
        </w:rPr>
        <w:t>represented</w:t>
      </w:r>
      <w:r w:rsidR="00F03860">
        <w:rPr>
          <w:rFonts w:cstheme="majorHAnsi"/>
          <w:szCs w:val="22"/>
          <w:lang w:eastAsia="en-GB"/>
        </w:rPr>
        <w:t xml:space="preserve"> </w:t>
      </w:r>
      <w:r w:rsidR="00C51B51" w:rsidRPr="00C340E5">
        <w:rPr>
          <w:rFonts w:cstheme="majorHAnsi"/>
          <w:szCs w:val="22"/>
          <w:lang w:eastAsia="en-GB"/>
        </w:rPr>
        <w:t xml:space="preserve">referrals of </w:t>
      </w:r>
      <w:r w:rsidRPr="00C340E5">
        <w:rPr>
          <w:rFonts w:cstheme="majorHAnsi"/>
          <w:szCs w:val="22"/>
          <w:lang w:eastAsia="en-GB"/>
        </w:rPr>
        <w:t xml:space="preserve">CYP who </w:t>
      </w:r>
      <w:r w:rsidR="001345B0" w:rsidRPr="00C340E5">
        <w:rPr>
          <w:rFonts w:cstheme="majorHAnsi"/>
          <w:szCs w:val="22"/>
          <w:lang w:eastAsia="en-GB"/>
        </w:rPr>
        <w:t>were accepted for treatment by the</w:t>
      </w:r>
      <w:r w:rsidRPr="00C340E5">
        <w:rPr>
          <w:rFonts w:cstheme="majorHAnsi"/>
          <w:szCs w:val="22"/>
          <w:lang w:eastAsia="en-GB"/>
        </w:rPr>
        <w:t xml:space="preserve"> specialist </w:t>
      </w:r>
      <w:r w:rsidR="001345B0" w:rsidRPr="00C340E5">
        <w:rPr>
          <w:rFonts w:cstheme="majorHAnsi"/>
          <w:szCs w:val="22"/>
          <w:lang w:eastAsia="en-GB"/>
        </w:rPr>
        <w:t>CAMH</w:t>
      </w:r>
      <w:r w:rsidR="00591832">
        <w:rPr>
          <w:rFonts w:cstheme="majorHAnsi"/>
          <w:szCs w:val="22"/>
          <w:lang w:eastAsia="en-GB"/>
        </w:rPr>
        <w:t>S</w:t>
      </w:r>
      <w:r w:rsidR="001345B0" w:rsidRPr="00C340E5">
        <w:rPr>
          <w:rFonts w:cstheme="majorHAnsi"/>
          <w:szCs w:val="22"/>
          <w:lang w:eastAsia="en-GB"/>
        </w:rPr>
        <w:t xml:space="preserve"> and were therefore waiting to be seen for ‘start of treatment.’</w:t>
      </w:r>
    </w:p>
    <w:p w14:paraId="7366FBA1" w14:textId="77777777" w:rsidR="00286038" w:rsidRPr="00C340E5" w:rsidRDefault="00286038" w:rsidP="00AA2F72">
      <w:pPr>
        <w:pStyle w:val="ListParagraph"/>
        <w:numPr>
          <w:ilvl w:val="0"/>
          <w:numId w:val="23"/>
        </w:numPr>
        <w:spacing w:line="480" w:lineRule="auto"/>
        <w:rPr>
          <w:rFonts w:cstheme="majorHAnsi"/>
          <w:szCs w:val="22"/>
        </w:rPr>
      </w:pPr>
      <w:r w:rsidRPr="00C340E5">
        <w:rPr>
          <w:rFonts w:cstheme="majorHAnsi"/>
          <w:szCs w:val="22"/>
          <w:lang w:eastAsia="en-GB"/>
        </w:rPr>
        <w:t>‘</w:t>
      </w:r>
      <w:r w:rsidR="00F03860" w:rsidRPr="00540237">
        <w:rPr>
          <w:rFonts w:cstheme="majorHAnsi"/>
          <w:b/>
          <w:szCs w:val="22"/>
          <w:lang w:eastAsia="en-GB"/>
        </w:rPr>
        <w:t>R</w:t>
      </w:r>
      <w:r w:rsidRPr="00540237">
        <w:rPr>
          <w:rFonts w:cstheme="majorHAnsi"/>
          <w:b/>
          <w:szCs w:val="22"/>
          <w:lang w:eastAsia="en-GB"/>
        </w:rPr>
        <w:t>ejected</w:t>
      </w:r>
      <w:r w:rsidRPr="00C340E5">
        <w:rPr>
          <w:rFonts w:cstheme="majorHAnsi"/>
          <w:szCs w:val="22"/>
          <w:lang w:eastAsia="en-GB"/>
        </w:rPr>
        <w:t xml:space="preserve">’ </w:t>
      </w:r>
      <w:r w:rsidR="00F03860">
        <w:rPr>
          <w:rFonts w:cstheme="majorHAnsi"/>
          <w:szCs w:val="22"/>
          <w:lang w:eastAsia="en-GB"/>
        </w:rPr>
        <w:t xml:space="preserve">– </w:t>
      </w:r>
      <w:r w:rsidR="001345B0" w:rsidRPr="00C340E5">
        <w:rPr>
          <w:rFonts w:cstheme="majorHAnsi"/>
          <w:szCs w:val="22"/>
          <w:lang w:eastAsia="en-GB"/>
        </w:rPr>
        <w:t>represented</w:t>
      </w:r>
      <w:r w:rsidR="00F03860">
        <w:rPr>
          <w:rFonts w:cstheme="majorHAnsi"/>
          <w:szCs w:val="22"/>
          <w:lang w:eastAsia="en-GB"/>
        </w:rPr>
        <w:t xml:space="preserve"> </w:t>
      </w:r>
      <w:r w:rsidRPr="00C340E5">
        <w:rPr>
          <w:rFonts w:cstheme="majorHAnsi"/>
          <w:szCs w:val="22"/>
          <w:lang w:eastAsia="en-GB"/>
        </w:rPr>
        <w:t xml:space="preserve">CYP whose referral was rejected </w:t>
      </w:r>
      <w:r w:rsidR="009426F9" w:rsidRPr="00C340E5">
        <w:rPr>
          <w:rFonts w:cstheme="majorHAnsi"/>
          <w:szCs w:val="22"/>
          <w:lang w:eastAsia="en-GB"/>
        </w:rPr>
        <w:t>by the specialist CAMH</w:t>
      </w:r>
      <w:r w:rsidR="00591832">
        <w:rPr>
          <w:rFonts w:cstheme="majorHAnsi"/>
          <w:szCs w:val="22"/>
          <w:lang w:eastAsia="en-GB"/>
        </w:rPr>
        <w:t>S</w:t>
      </w:r>
      <w:r w:rsidRPr="00C340E5">
        <w:rPr>
          <w:rFonts w:cstheme="majorHAnsi"/>
          <w:szCs w:val="22"/>
          <w:lang w:eastAsia="en-GB"/>
        </w:rPr>
        <w:t xml:space="preserve">. </w:t>
      </w:r>
      <w:r w:rsidR="00ED2A2C" w:rsidRPr="00C340E5">
        <w:rPr>
          <w:rFonts w:cstheme="majorHAnsi"/>
          <w:szCs w:val="22"/>
          <w:lang w:eastAsia="en-GB"/>
        </w:rPr>
        <w:t>Reasons for the rejected category were sub categorised as</w:t>
      </w:r>
      <w:r w:rsidR="00F03860">
        <w:rPr>
          <w:rFonts w:cstheme="majorHAnsi"/>
          <w:szCs w:val="22"/>
          <w:lang w:eastAsia="en-GB"/>
        </w:rPr>
        <w:t>:</w:t>
      </w:r>
      <w:r w:rsidR="00ED2A2C" w:rsidRPr="00C340E5">
        <w:rPr>
          <w:rFonts w:cstheme="majorHAnsi"/>
          <w:szCs w:val="22"/>
          <w:lang w:eastAsia="en-GB"/>
        </w:rPr>
        <w:t xml:space="preserve"> i</w:t>
      </w:r>
      <w:r w:rsidR="00984AB7">
        <w:rPr>
          <w:rFonts w:cstheme="majorHAnsi"/>
          <w:szCs w:val="22"/>
          <w:lang w:eastAsia="en-GB"/>
        </w:rPr>
        <w:t>) Not mental health</w:t>
      </w:r>
      <w:r w:rsidR="00F03860">
        <w:rPr>
          <w:rFonts w:cstheme="majorHAnsi"/>
          <w:szCs w:val="22"/>
          <w:lang w:eastAsia="en-GB"/>
        </w:rPr>
        <w:t>;</w:t>
      </w:r>
      <w:r w:rsidR="00984AB7">
        <w:rPr>
          <w:rFonts w:cstheme="majorHAnsi"/>
          <w:szCs w:val="22"/>
          <w:lang w:eastAsia="en-GB"/>
        </w:rPr>
        <w:t xml:space="preserve"> ii) Over 16 and </w:t>
      </w:r>
      <w:r w:rsidR="00ED2A2C" w:rsidRPr="00C340E5">
        <w:rPr>
          <w:rFonts w:cstheme="majorHAnsi"/>
          <w:szCs w:val="22"/>
          <w:lang w:eastAsia="en-GB"/>
        </w:rPr>
        <w:t>not in school</w:t>
      </w:r>
      <w:r w:rsidR="00F03860">
        <w:rPr>
          <w:rFonts w:cstheme="majorHAnsi"/>
          <w:szCs w:val="22"/>
          <w:lang w:eastAsia="en-GB"/>
        </w:rPr>
        <w:t>;</w:t>
      </w:r>
      <w:r w:rsidR="00ED2A2C" w:rsidRPr="00C340E5">
        <w:rPr>
          <w:rFonts w:cstheme="majorHAnsi"/>
          <w:szCs w:val="22"/>
          <w:lang w:eastAsia="en-GB"/>
        </w:rPr>
        <w:t xml:space="preserve"> iii) not enough information in referral form</w:t>
      </w:r>
      <w:r w:rsidR="00F03860">
        <w:rPr>
          <w:rFonts w:cstheme="majorHAnsi"/>
          <w:szCs w:val="22"/>
          <w:lang w:eastAsia="en-GB"/>
        </w:rPr>
        <w:t>;</w:t>
      </w:r>
      <w:r w:rsidR="00ED2A2C" w:rsidRPr="00C340E5">
        <w:rPr>
          <w:rFonts w:cstheme="majorHAnsi"/>
          <w:szCs w:val="22"/>
          <w:lang w:eastAsia="en-GB"/>
        </w:rPr>
        <w:t xml:space="preserve"> iv) out of area</w:t>
      </w:r>
      <w:r w:rsidR="00F03860">
        <w:rPr>
          <w:rFonts w:cstheme="majorHAnsi"/>
          <w:szCs w:val="22"/>
          <w:lang w:eastAsia="en-GB"/>
        </w:rPr>
        <w:t>;</w:t>
      </w:r>
      <w:r w:rsidR="00ED2A2C" w:rsidRPr="00C340E5">
        <w:rPr>
          <w:rFonts w:cstheme="majorHAnsi"/>
          <w:szCs w:val="22"/>
          <w:lang w:eastAsia="en-GB"/>
        </w:rPr>
        <w:t xml:space="preserve"> </w:t>
      </w:r>
      <w:r w:rsidR="00590BFE" w:rsidRPr="00C340E5">
        <w:rPr>
          <w:rFonts w:cstheme="majorHAnsi"/>
          <w:szCs w:val="22"/>
          <w:lang w:eastAsia="en-GB"/>
        </w:rPr>
        <w:t>v)</w:t>
      </w:r>
      <w:r w:rsidR="005E308D" w:rsidRPr="00C340E5">
        <w:rPr>
          <w:rFonts w:cstheme="majorHAnsi"/>
          <w:szCs w:val="22"/>
          <w:lang w:eastAsia="en-GB"/>
        </w:rPr>
        <w:t xml:space="preserve"> </w:t>
      </w:r>
      <w:r w:rsidR="004B0878">
        <w:rPr>
          <w:rFonts w:cstheme="majorHAnsi"/>
          <w:szCs w:val="22"/>
          <w:lang w:eastAsia="en-GB"/>
        </w:rPr>
        <w:t>t</w:t>
      </w:r>
      <w:r w:rsidR="00590BFE" w:rsidRPr="00C340E5">
        <w:rPr>
          <w:rFonts w:cstheme="majorHAnsi"/>
          <w:szCs w:val="22"/>
          <w:lang w:eastAsia="en-GB"/>
        </w:rPr>
        <w:t>ransferred to another CAMHS</w:t>
      </w:r>
      <w:r w:rsidR="00F03860">
        <w:rPr>
          <w:rFonts w:cstheme="majorHAnsi"/>
          <w:szCs w:val="22"/>
          <w:lang w:eastAsia="en-GB"/>
        </w:rPr>
        <w:t>;</w:t>
      </w:r>
      <w:r w:rsidR="00590BFE" w:rsidRPr="00C340E5">
        <w:rPr>
          <w:rFonts w:cstheme="majorHAnsi"/>
          <w:szCs w:val="22"/>
          <w:lang w:eastAsia="en-GB"/>
        </w:rPr>
        <w:t xml:space="preserve"> vi) no reason given</w:t>
      </w:r>
      <w:r w:rsidR="00984AB7">
        <w:rPr>
          <w:rFonts w:cstheme="majorHAnsi"/>
          <w:szCs w:val="22"/>
          <w:lang w:eastAsia="en-GB"/>
        </w:rPr>
        <w:t xml:space="preserve">. Those CYP who were ‘over 16 and not in school’ denoted that they should have been referred to an adult mental health service. </w:t>
      </w:r>
    </w:p>
    <w:p w14:paraId="50D039E3" w14:textId="77777777" w:rsidR="00286038" w:rsidRPr="00C340E5" w:rsidRDefault="003F0D62" w:rsidP="00AA2F72">
      <w:pPr>
        <w:pStyle w:val="ListParagraph"/>
        <w:numPr>
          <w:ilvl w:val="0"/>
          <w:numId w:val="23"/>
        </w:numPr>
        <w:spacing w:line="480" w:lineRule="auto"/>
        <w:rPr>
          <w:rFonts w:cstheme="majorHAnsi"/>
          <w:szCs w:val="22"/>
        </w:rPr>
      </w:pPr>
      <w:r w:rsidRPr="00C340E5">
        <w:rPr>
          <w:rFonts w:cstheme="majorHAnsi"/>
          <w:szCs w:val="22"/>
          <w:lang w:eastAsia="en-GB"/>
        </w:rPr>
        <w:t>‘</w:t>
      </w:r>
      <w:r w:rsidR="00F03860" w:rsidRPr="00540237">
        <w:rPr>
          <w:rFonts w:cstheme="majorHAnsi"/>
          <w:b/>
          <w:szCs w:val="22"/>
          <w:lang w:eastAsia="en-GB"/>
        </w:rPr>
        <w:t>C</w:t>
      </w:r>
      <w:r w:rsidRPr="00540237">
        <w:rPr>
          <w:rFonts w:cstheme="majorHAnsi"/>
          <w:b/>
          <w:szCs w:val="22"/>
          <w:lang w:eastAsia="en-GB"/>
        </w:rPr>
        <w:t>losed</w:t>
      </w:r>
      <w:r w:rsidRPr="00C340E5">
        <w:rPr>
          <w:rFonts w:cstheme="majorHAnsi"/>
          <w:szCs w:val="22"/>
          <w:lang w:eastAsia="en-GB"/>
        </w:rPr>
        <w:t>’</w:t>
      </w:r>
      <w:r w:rsidR="00F03860">
        <w:rPr>
          <w:rFonts w:cstheme="majorHAnsi"/>
          <w:szCs w:val="22"/>
          <w:lang w:eastAsia="en-GB"/>
        </w:rPr>
        <w:t xml:space="preserve"> – </w:t>
      </w:r>
      <w:r w:rsidRPr="00C340E5">
        <w:rPr>
          <w:rFonts w:cstheme="majorHAnsi"/>
          <w:szCs w:val="22"/>
          <w:lang w:eastAsia="en-GB"/>
        </w:rPr>
        <w:t>which</w:t>
      </w:r>
      <w:r w:rsidR="00F03860">
        <w:rPr>
          <w:rFonts w:cstheme="majorHAnsi"/>
          <w:szCs w:val="22"/>
          <w:lang w:eastAsia="en-GB"/>
        </w:rPr>
        <w:t xml:space="preserve"> </w:t>
      </w:r>
      <w:r w:rsidRPr="00C340E5">
        <w:rPr>
          <w:rFonts w:cstheme="majorHAnsi"/>
          <w:szCs w:val="22"/>
          <w:lang w:eastAsia="en-GB"/>
        </w:rPr>
        <w:t>is referred to as ‘removed from waiting list</w:t>
      </w:r>
      <w:r w:rsidR="00286038" w:rsidRPr="00C340E5">
        <w:rPr>
          <w:rFonts w:cstheme="majorHAnsi"/>
          <w:szCs w:val="22"/>
          <w:lang w:eastAsia="en-GB"/>
        </w:rPr>
        <w:t xml:space="preserve">’ category </w:t>
      </w:r>
      <w:r w:rsidRPr="00C340E5">
        <w:rPr>
          <w:rFonts w:cstheme="majorHAnsi"/>
          <w:szCs w:val="22"/>
          <w:lang w:eastAsia="en-GB"/>
        </w:rPr>
        <w:t>by the national audit</w:t>
      </w:r>
      <w:r w:rsidR="00921F15">
        <w:rPr>
          <w:rFonts w:cstheme="majorHAnsi"/>
          <w:szCs w:val="22"/>
          <w:lang w:eastAsia="en-GB"/>
        </w:rPr>
        <w:t>,</w:t>
      </w:r>
      <w:r w:rsidRPr="00C340E5">
        <w:rPr>
          <w:rFonts w:cstheme="majorHAnsi"/>
          <w:szCs w:val="22"/>
          <w:lang w:eastAsia="en-GB"/>
        </w:rPr>
        <w:t xml:space="preserve"> </w:t>
      </w:r>
      <w:r w:rsidR="009426F9" w:rsidRPr="00C340E5">
        <w:rPr>
          <w:rFonts w:cstheme="majorHAnsi"/>
          <w:szCs w:val="22"/>
          <w:lang w:eastAsia="en-GB"/>
        </w:rPr>
        <w:t xml:space="preserve">represented </w:t>
      </w:r>
      <w:r w:rsidR="00286038" w:rsidRPr="00C340E5">
        <w:rPr>
          <w:rFonts w:cstheme="majorHAnsi"/>
          <w:szCs w:val="22"/>
          <w:lang w:eastAsia="en-GB"/>
        </w:rPr>
        <w:t>CYP who</w:t>
      </w:r>
      <w:r w:rsidR="009426F9" w:rsidRPr="00C340E5">
        <w:rPr>
          <w:rFonts w:cstheme="majorHAnsi"/>
          <w:szCs w:val="22"/>
          <w:lang w:eastAsia="en-GB"/>
        </w:rPr>
        <w:t xml:space="preserve"> were ‘to be seen’ by the specialist CAMH service but </w:t>
      </w:r>
      <w:r w:rsidR="00AD366C" w:rsidRPr="00C340E5">
        <w:rPr>
          <w:rFonts w:cstheme="majorHAnsi"/>
          <w:szCs w:val="22"/>
          <w:lang w:eastAsia="en-GB"/>
        </w:rPr>
        <w:t xml:space="preserve">were </w:t>
      </w:r>
      <w:r w:rsidR="00BF5F80" w:rsidRPr="00C340E5">
        <w:rPr>
          <w:rFonts w:cstheme="majorHAnsi"/>
          <w:szCs w:val="22"/>
          <w:lang w:eastAsia="en-GB"/>
        </w:rPr>
        <w:t>‘</w:t>
      </w:r>
      <w:r w:rsidR="00AD366C" w:rsidRPr="00C340E5">
        <w:rPr>
          <w:rFonts w:cstheme="majorHAnsi"/>
          <w:szCs w:val="22"/>
          <w:lang w:eastAsia="en-GB"/>
        </w:rPr>
        <w:t>removed from the waiting list</w:t>
      </w:r>
      <w:r w:rsidR="00BF5F80" w:rsidRPr="00C340E5">
        <w:rPr>
          <w:rFonts w:cstheme="majorHAnsi"/>
          <w:szCs w:val="22"/>
          <w:lang w:eastAsia="en-GB"/>
        </w:rPr>
        <w:t>’</w:t>
      </w:r>
      <w:r w:rsidR="00AD366C" w:rsidRPr="00C340E5">
        <w:rPr>
          <w:rFonts w:cstheme="majorHAnsi"/>
          <w:szCs w:val="22"/>
          <w:lang w:eastAsia="en-GB"/>
        </w:rPr>
        <w:t xml:space="preserve"> before ‘start of treatment.’  </w:t>
      </w:r>
      <w:r w:rsidR="00984AB7">
        <w:rPr>
          <w:rFonts w:cstheme="majorHAnsi"/>
          <w:szCs w:val="22"/>
          <w:lang w:eastAsia="en-GB"/>
        </w:rPr>
        <w:t>No reasons were given for the closed category.</w:t>
      </w:r>
    </w:p>
    <w:p w14:paraId="5F49909B" w14:textId="77777777" w:rsidR="008506FA" w:rsidRPr="00C340E5" w:rsidRDefault="00286038" w:rsidP="00AA2F72">
      <w:pPr>
        <w:pStyle w:val="ListParagraph"/>
        <w:numPr>
          <w:ilvl w:val="0"/>
          <w:numId w:val="23"/>
        </w:numPr>
        <w:spacing w:line="480" w:lineRule="auto"/>
        <w:rPr>
          <w:rFonts w:cstheme="majorHAnsi"/>
          <w:szCs w:val="22"/>
        </w:rPr>
      </w:pPr>
      <w:r w:rsidRPr="00C340E5">
        <w:rPr>
          <w:rFonts w:cstheme="majorHAnsi"/>
          <w:szCs w:val="22"/>
          <w:lang w:eastAsia="en-GB"/>
        </w:rPr>
        <w:t>‘</w:t>
      </w:r>
      <w:r w:rsidR="00F03860" w:rsidRPr="00540237">
        <w:rPr>
          <w:rFonts w:cstheme="majorHAnsi"/>
          <w:b/>
          <w:szCs w:val="22"/>
          <w:lang w:eastAsia="en-GB"/>
        </w:rPr>
        <w:t>C</w:t>
      </w:r>
      <w:r w:rsidRPr="00540237">
        <w:rPr>
          <w:rFonts w:cstheme="majorHAnsi"/>
          <w:b/>
          <w:szCs w:val="22"/>
          <w:lang w:eastAsia="en-GB"/>
        </w:rPr>
        <w:t>onsultation</w:t>
      </w:r>
      <w:r w:rsidRPr="00C340E5">
        <w:rPr>
          <w:rFonts w:cstheme="majorHAnsi"/>
          <w:szCs w:val="22"/>
          <w:lang w:eastAsia="en-GB"/>
        </w:rPr>
        <w:t xml:space="preserve">’ </w:t>
      </w:r>
      <w:r w:rsidR="00F03860">
        <w:rPr>
          <w:rFonts w:cstheme="majorHAnsi"/>
          <w:szCs w:val="22"/>
          <w:lang w:eastAsia="en-GB"/>
        </w:rPr>
        <w:t xml:space="preserve">– </w:t>
      </w:r>
      <w:r w:rsidR="00AD366C" w:rsidRPr="00C340E5">
        <w:rPr>
          <w:rFonts w:cstheme="majorHAnsi"/>
          <w:szCs w:val="22"/>
          <w:lang w:eastAsia="en-GB"/>
        </w:rPr>
        <w:t>represented</w:t>
      </w:r>
      <w:r w:rsidR="00F03860">
        <w:rPr>
          <w:rFonts w:cstheme="majorHAnsi"/>
          <w:szCs w:val="22"/>
          <w:lang w:eastAsia="en-GB"/>
        </w:rPr>
        <w:t xml:space="preserve"> </w:t>
      </w:r>
      <w:r w:rsidR="00AD366C" w:rsidRPr="00C340E5">
        <w:rPr>
          <w:rFonts w:cstheme="majorHAnsi"/>
          <w:szCs w:val="22"/>
          <w:lang w:eastAsia="en-GB"/>
        </w:rPr>
        <w:t>CYP whose mental health difficulty was discussed by the referrer and the specialist CAMH service to determine whether a referral w</w:t>
      </w:r>
      <w:r w:rsidR="00A0401C" w:rsidRPr="00C340E5">
        <w:rPr>
          <w:rFonts w:cstheme="majorHAnsi"/>
          <w:szCs w:val="22"/>
          <w:lang w:eastAsia="en-GB"/>
        </w:rPr>
        <w:t>ould be</w:t>
      </w:r>
      <w:r w:rsidR="00AD366C" w:rsidRPr="00C340E5">
        <w:rPr>
          <w:rFonts w:cstheme="majorHAnsi"/>
          <w:szCs w:val="22"/>
          <w:lang w:eastAsia="en-GB"/>
        </w:rPr>
        <w:t xml:space="preserve"> appropriate or not.</w:t>
      </w:r>
      <w:r w:rsidR="003F0D62" w:rsidRPr="00C340E5">
        <w:rPr>
          <w:rFonts w:cstheme="majorHAnsi"/>
          <w:szCs w:val="22"/>
          <w:lang w:eastAsia="en-GB"/>
        </w:rPr>
        <w:t xml:space="preserve"> </w:t>
      </w:r>
      <w:r w:rsidR="00984AB7">
        <w:rPr>
          <w:rFonts w:cstheme="majorHAnsi"/>
          <w:szCs w:val="22"/>
          <w:lang w:eastAsia="en-GB"/>
        </w:rPr>
        <w:t>The study did not track the results of the consultations.</w:t>
      </w:r>
    </w:p>
    <w:p w14:paraId="243D6DAA" w14:textId="77777777" w:rsidR="00984AB7" w:rsidRDefault="00984AB7" w:rsidP="00AA2F72">
      <w:pPr>
        <w:spacing w:line="480" w:lineRule="auto"/>
        <w:rPr>
          <w:rFonts w:eastAsia="Calibri" w:cs="Calibri"/>
          <w:b/>
          <w:lang w:eastAsia="en-GB"/>
        </w:rPr>
      </w:pPr>
    </w:p>
    <w:p w14:paraId="63A4E70D" w14:textId="77777777" w:rsidR="001E572B" w:rsidRPr="005222FB" w:rsidRDefault="00B379F5" w:rsidP="00AA2F72">
      <w:pPr>
        <w:spacing w:line="480" w:lineRule="auto"/>
        <w:rPr>
          <w:rFonts w:eastAsia="Calibri" w:cs="Calibri"/>
          <w:b/>
          <w:sz w:val="24"/>
          <w:szCs w:val="24"/>
          <w:lang w:eastAsia="en-GB"/>
        </w:rPr>
      </w:pPr>
      <w:r w:rsidRPr="005222FB">
        <w:rPr>
          <w:rFonts w:eastAsia="Calibri" w:cs="Calibri"/>
          <w:b/>
          <w:sz w:val="24"/>
          <w:szCs w:val="24"/>
          <w:lang w:eastAsia="en-GB"/>
        </w:rPr>
        <w:t>Wait</w:t>
      </w:r>
      <w:r w:rsidR="00591832">
        <w:rPr>
          <w:rFonts w:eastAsia="Calibri" w:cs="Calibri"/>
          <w:b/>
          <w:sz w:val="24"/>
          <w:szCs w:val="24"/>
          <w:lang w:eastAsia="en-GB"/>
        </w:rPr>
        <w:t>ing</w:t>
      </w:r>
      <w:r w:rsidRPr="005222FB">
        <w:rPr>
          <w:rFonts w:eastAsia="Calibri" w:cs="Calibri"/>
          <w:b/>
          <w:sz w:val="24"/>
          <w:szCs w:val="24"/>
          <w:lang w:eastAsia="en-GB"/>
        </w:rPr>
        <w:t xml:space="preserve"> Times</w:t>
      </w:r>
    </w:p>
    <w:p w14:paraId="4840C4D3" w14:textId="77777777" w:rsidR="00EC38EE" w:rsidRDefault="007A2959" w:rsidP="00AA2F72">
      <w:pPr>
        <w:spacing w:line="480" w:lineRule="auto"/>
        <w:rPr>
          <w:rFonts w:cstheme="minorHAnsi"/>
        </w:rPr>
      </w:pPr>
      <w:r w:rsidRPr="00C340E5">
        <w:rPr>
          <w:rFonts w:eastAsia="Times New Roman" w:cstheme="majorHAnsi"/>
          <w:lang w:eastAsia="en-GB"/>
        </w:rPr>
        <w:t>The mean number of</w:t>
      </w:r>
      <w:r w:rsidR="002F325D">
        <w:rPr>
          <w:rFonts w:eastAsia="Times New Roman" w:cstheme="majorHAnsi"/>
          <w:lang w:eastAsia="en-GB"/>
        </w:rPr>
        <w:t xml:space="preserve"> weeks w</w:t>
      </w:r>
      <w:r w:rsidR="00504F66">
        <w:rPr>
          <w:rFonts w:eastAsia="Times New Roman" w:cstheme="majorHAnsi"/>
          <w:lang w:eastAsia="en-GB"/>
        </w:rPr>
        <w:t xml:space="preserve">aiting </w:t>
      </w:r>
      <w:r w:rsidRPr="00C340E5">
        <w:rPr>
          <w:rFonts w:eastAsia="Times New Roman" w:cstheme="majorHAnsi"/>
          <w:lang w:eastAsia="en-GB"/>
        </w:rPr>
        <w:t>w</w:t>
      </w:r>
      <w:r w:rsidR="00504F66">
        <w:rPr>
          <w:rFonts w:eastAsia="Times New Roman" w:cstheme="majorHAnsi"/>
          <w:lang w:eastAsia="en-GB"/>
        </w:rPr>
        <w:t>as</w:t>
      </w:r>
      <w:r w:rsidRPr="00C340E5">
        <w:rPr>
          <w:rFonts w:eastAsia="Times New Roman" w:cstheme="majorHAnsi"/>
          <w:lang w:eastAsia="en-GB"/>
        </w:rPr>
        <w:t xml:space="preserve"> calculated and reported by: 1) gender; 2) age; 3) deprivation quintile; 4) referral reason; 5) </w:t>
      </w:r>
      <w:r w:rsidR="00591832">
        <w:rPr>
          <w:rFonts w:eastAsia="Times New Roman" w:cstheme="majorHAnsi"/>
          <w:lang w:eastAsia="en-GB"/>
        </w:rPr>
        <w:t>referral source</w:t>
      </w:r>
      <w:r w:rsidRPr="00C340E5">
        <w:rPr>
          <w:rFonts w:eastAsia="Times New Roman" w:cstheme="majorHAnsi"/>
          <w:lang w:eastAsia="en-GB"/>
        </w:rPr>
        <w:t xml:space="preserve">.  </w:t>
      </w:r>
    </w:p>
    <w:p w14:paraId="77CBAA17" w14:textId="77777777" w:rsidR="0000372F" w:rsidRPr="005222FB" w:rsidRDefault="0000372F" w:rsidP="00AA2F72">
      <w:pPr>
        <w:spacing w:line="480" w:lineRule="auto"/>
        <w:rPr>
          <w:b/>
          <w:sz w:val="24"/>
          <w:szCs w:val="24"/>
        </w:rPr>
      </w:pPr>
      <w:r w:rsidRPr="005222FB">
        <w:rPr>
          <w:b/>
          <w:sz w:val="24"/>
          <w:szCs w:val="24"/>
        </w:rPr>
        <w:t>Statistical analysis</w:t>
      </w:r>
      <w:bookmarkStart w:id="2" w:name="_Toc419273135"/>
    </w:p>
    <w:p w14:paraId="5B493395" w14:textId="77777777" w:rsidR="00BA217F" w:rsidRPr="00C340E5" w:rsidRDefault="008700DF" w:rsidP="00AA2F72">
      <w:pPr>
        <w:spacing w:line="480" w:lineRule="auto"/>
        <w:rPr>
          <w:rFonts w:cstheme="majorHAnsi"/>
        </w:rPr>
      </w:pPr>
      <w:r w:rsidRPr="00C340E5">
        <w:rPr>
          <w:rFonts w:cstheme="majorHAnsi"/>
        </w:rPr>
        <w:t xml:space="preserve">Data analysis proceeded in four steps. First, descriptive statistics were calculated for all variables and reported as </w:t>
      </w:r>
      <w:r w:rsidR="005707B7" w:rsidRPr="00C340E5">
        <w:rPr>
          <w:rFonts w:cstheme="majorHAnsi"/>
        </w:rPr>
        <w:t xml:space="preserve">N (%) for categorical data </w:t>
      </w:r>
      <w:r w:rsidR="005707B7">
        <w:rPr>
          <w:rFonts w:cstheme="majorHAnsi"/>
        </w:rPr>
        <w:t xml:space="preserve">and </w:t>
      </w:r>
      <w:r w:rsidRPr="00C340E5">
        <w:rPr>
          <w:rFonts w:cstheme="majorHAnsi"/>
        </w:rPr>
        <w:t xml:space="preserve">mean (Standard Deviation [SD]) for continuous data. Second, a logistic regression model was built to examine significant independent predictors of </w:t>
      </w:r>
      <w:r w:rsidR="00BF5F80" w:rsidRPr="00C340E5">
        <w:rPr>
          <w:rFonts w:cstheme="majorHAnsi"/>
        </w:rPr>
        <w:t>being ‘</w:t>
      </w:r>
      <w:r w:rsidRPr="00C340E5">
        <w:rPr>
          <w:rFonts w:cstheme="majorHAnsi"/>
        </w:rPr>
        <w:t>reject</w:t>
      </w:r>
      <w:r w:rsidR="00BF5F80" w:rsidRPr="00C340E5">
        <w:rPr>
          <w:rFonts w:cstheme="majorHAnsi"/>
        </w:rPr>
        <w:t>ed’</w:t>
      </w:r>
      <w:r w:rsidR="0084546B">
        <w:rPr>
          <w:rFonts w:cstheme="majorHAnsi"/>
        </w:rPr>
        <w:t xml:space="preserve"> versus ‘accepted’</w:t>
      </w:r>
      <w:r w:rsidR="00B71DCC" w:rsidRPr="00C340E5">
        <w:rPr>
          <w:rFonts w:cstheme="majorHAnsi"/>
        </w:rPr>
        <w:t xml:space="preserve"> by the CAM</w:t>
      </w:r>
      <w:r w:rsidR="007D416A">
        <w:rPr>
          <w:rFonts w:cstheme="majorHAnsi"/>
        </w:rPr>
        <w:t>HS</w:t>
      </w:r>
      <w:r w:rsidRPr="00C340E5">
        <w:rPr>
          <w:rFonts w:cstheme="majorHAnsi"/>
        </w:rPr>
        <w:t>.</w:t>
      </w:r>
      <w:r w:rsidR="004E1B41" w:rsidRPr="00C340E5">
        <w:rPr>
          <w:rFonts w:cstheme="majorHAnsi"/>
        </w:rPr>
        <w:t xml:space="preserve"> </w:t>
      </w:r>
      <w:r w:rsidR="0084546B">
        <w:rPr>
          <w:rFonts w:cstheme="majorHAnsi"/>
        </w:rPr>
        <w:t xml:space="preserve"> </w:t>
      </w:r>
      <w:r w:rsidR="007D416A">
        <w:rPr>
          <w:rFonts w:cstheme="majorHAnsi"/>
        </w:rPr>
        <w:t>R</w:t>
      </w:r>
      <w:r w:rsidR="0084546B">
        <w:rPr>
          <w:rFonts w:cstheme="majorHAnsi"/>
        </w:rPr>
        <w:t xml:space="preserve">eferrals that were categorised as </w:t>
      </w:r>
      <w:r w:rsidR="007D416A">
        <w:rPr>
          <w:rFonts w:cstheme="majorHAnsi"/>
        </w:rPr>
        <w:t>‘</w:t>
      </w:r>
      <w:r w:rsidR="0084546B">
        <w:rPr>
          <w:rFonts w:cstheme="majorHAnsi"/>
        </w:rPr>
        <w:t>closed</w:t>
      </w:r>
      <w:r w:rsidR="007D416A">
        <w:rPr>
          <w:rFonts w:cstheme="majorHAnsi"/>
        </w:rPr>
        <w:t xml:space="preserve">’ or ‘consultation’ </w:t>
      </w:r>
      <w:r w:rsidR="0084546B">
        <w:rPr>
          <w:rFonts w:cstheme="majorHAnsi"/>
        </w:rPr>
        <w:t>were not included in the model</w:t>
      </w:r>
      <w:r w:rsidR="00490285">
        <w:rPr>
          <w:rFonts w:cstheme="majorHAnsi"/>
        </w:rPr>
        <w:t xml:space="preserve"> because </w:t>
      </w:r>
      <w:r w:rsidR="007D416A">
        <w:rPr>
          <w:rFonts w:cstheme="majorHAnsi"/>
        </w:rPr>
        <w:t xml:space="preserve">reasons for ‘closed’ referrals were not given and referrals classified as ‘consultation’ </w:t>
      </w:r>
      <w:r w:rsidR="00490285">
        <w:rPr>
          <w:rFonts w:cstheme="majorHAnsi"/>
        </w:rPr>
        <w:t>related to professional conversations about decisions on whether the CYP should be seeking treatment from CAMH</w:t>
      </w:r>
      <w:r w:rsidR="00FE42DF">
        <w:rPr>
          <w:rFonts w:cstheme="majorHAnsi"/>
        </w:rPr>
        <w:t>S</w:t>
      </w:r>
      <w:r w:rsidR="00490285">
        <w:rPr>
          <w:rFonts w:cstheme="majorHAnsi"/>
        </w:rPr>
        <w:t xml:space="preserve"> rather than a direct referral</w:t>
      </w:r>
      <w:r w:rsidR="0084546B">
        <w:rPr>
          <w:rFonts w:cstheme="majorHAnsi"/>
        </w:rPr>
        <w:t xml:space="preserve">. </w:t>
      </w:r>
      <w:r w:rsidR="004E1B41" w:rsidRPr="00C340E5">
        <w:rPr>
          <w:rFonts w:cstheme="majorHAnsi"/>
        </w:rPr>
        <w:t xml:space="preserve">Categorical variables were entered simultaneously into the model to </w:t>
      </w:r>
      <w:r w:rsidR="004E1B41" w:rsidRPr="002F325D">
        <w:rPr>
          <w:rFonts w:cstheme="majorHAnsi"/>
        </w:rPr>
        <w:t>adequately adjust for their effect on the outcome</w:t>
      </w:r>
      <w:r w:rsidR="004E1B41" w:rsidRPr="00C340E5">
        <w:rPr>
          <w:rFonts w:cstheme="majorHAnsi"/>
        </w:rPr>
        <w:t>.</w:t>
      </w:r>
      <w:r w:rsidRPr="00C340E5">
        <w:rPr>
          <w:rFonts w:cstheme="majorHAnsi"/>
        </w:rPr>
        <w:t xml:space="preserve">  Third, univariate analyses were conducted to assess mean waiting time for </w:t>
      </w:r>
      <w:r w:rsidR="00B71DCC" w:rsidRPr="00C340E5">
        <w:rPr>
          <w:rFonts w:cstheme="majorHAnsi"/>
        </w:rPr>
        <w:t xml:space="preserve">CYP </w:t>
      </w:r>
      <w:r w:rsidR="00A36483">
        <w:rPr>
          <w:rFonts w:cstheme="majorHAnsi"/>
        </w:rPr>
        <w:t>‘accepted’ by CAMHS</w:t>
      </w:r>
      <w:r w:rsidR="00A36483" w:rsidRPr="00C340E5">
        <w:rPr>
          <w:rFonts w:cstheme="majorHAnsi"/>
        </w:rPr>
        <w:t xml:space="preserve"> </w:t>
      </w:r>
      <w:r w:rsidRPr="00C340E5">
        <w:rPr>
          <w:rFonts w:cstheme="majorHAnsi"/>
        </w:rPr>
        <w:t xml:space="preserve">by </w:t>
      </w:r>
      <w:r w:rsidR="00B71DCC" w:rsidRPr="00C340E5">
        <w:rPr>
          <w:rFonts w:cstheme="majorHAnsi"/>
        </w:rPr>
        <w:t xml:space="preserve">age, </w:t>
      </w:r>
      <w:r w:rsidR="004E1B41" w:rsidRPr="00C340E5">
        <w:rPr>
          <w:rFonts w:cstheme="majorHAnsi"/>
        </w:rPr>
        <w:t>gender,</w:t>
      </w:r>
      <w:r w:rsidR="00A36483">
        <w:rPr>
          <w:rFonts w:cstheme="majorHAnsi"/>
        </w:rPr>
        <w:t xml:space="preserve"> deprivation,</w:t>
      </w:r>
      <w:r w:rsidR="004E1B41" w:rsidRPr="00C340E5">
        <w:rPr>
          <w:rFonts w:cstheme="majorHAnsi"/>
        </w:rPr>
        <w:t xml:space="preserve"> </w:t>
      </w:r>
      <w:r w:rsidR="00FE42DF">
        <w:rPr>
          <w:rFonts w:cstheme="majorHAnsi"/>
        </w:rPr>
        <w:t>referral reason</w:t>
      </w:r>
      <w:r w:rsidR="004E1B41" w:rsidRPr="00C340E5">
        <w:rPr>
          <w:rFonts w:cstheme="majorHAnsi"/>
        </w:rPr>
        <w:t xml:space="preserve"> and referral source.  Finally, a linear regression model was built to determine significant independent predictors of mean waiting time.</w:t>
      </w:r>
      <w:r w:rsidR="005E1326" w:rsidRPr="005E1326">
        <w:rPr>
          <w:rFonts w:cstheme="majorHAnsi"/>
        </w:rPr>
        <w:t xml:space="preserve"> </w:t>
      </w:r>
      <w:r w:rsidR="005E1326">
        <w:rPr>
          <w:rFonts w:cstheme="majorHAnsi"/>
        </w:rPr>
        <w:t xml:space="preserve">As data on deprivation were missing for </w:t>
      </w:r>
      <w:r w:rsidR="001C03F4">
        <w:rPr>
          <w:rFonts w:cstheme="majorHAnsi"/>
        </w:rPr>
        <w:t>59</w:t>
      </w:r>
      <w:r w:rsidR="00722193">
        <w:rPr>
          <w:rFonts w:cstheme="majorHAnsi"/>
        </w:rPr>
        <w:t xml:space="preserve"> </w:t>
      </w:r>
      <w:r w:rsidR="005E1326">
        <w:rPr>
          <w:rFonts w:cstheme="majorHAnsi"/>
        </w:rPr>
        <w:t>(</w:t>
      </w:r>
      <w:r w:rsidR="008323D5">
        <w:rPr>
          <w:rFonts w:cstheme="majorHAnsi"/>
        </w:rPr>
        <w:t>12.4</w:t>
      </w:r>
      <w:r w:rsidR="005E1326">
        <w:rPr>
          <w:rFonts w:cstheme="majorHAnsi"/>
        </w:rPr>
        <w:t>%) referrals, logistic and linear regression models were built first excluding SIMD and, then, including SIMD as a sensitivity analysis.</w:t>
      </w:r>
    </w:p>
    <w:p w14:paraId="224CC574" w14:textId="77777777" w:rsidR="005222FB" w:rsidRDefault="005222FB" w:rsidP="00AA2F72">
      <w:pPr>
        <w:spacing w:line="480" w:lineRule="auto"/>
        <w:rPr>
          <w:rFonts w:cstheme="minorHAnsi"/>
          <w:b/>
          <w:sz w:val="24"/>
          <w:szCs w:val="24"/>
        </w:rPr>
      </w:pPr>
    </w:p>
    <w:p w14:paraId="763FC350" w14:textId="77777777" w:rsidR="0027348D" w:rsidRPr="00A77B53" w:rsidRDefault="0027348D" w:rsidP="00AA2F72">
      <w:pPr>
        <w:spacing w:line="480" w:lineRule="auto"/>
        <w:rPr>
          <w:rFonts w:cstheme="minorHAnsi"/>
          <w:b/>
          <w:sz w:val="24"/>
          <w:szCs w:val="24"/>
        </w:rPr>
      </w:pPr>
      <w:r w:rsidRPr="00A77B53">
        <w:rPr>
          <w:rFonts w:cstheme="minorHAnsi"/>
          <w:b/>
          <w:sz w:val="24"/>
          <w:szCs w:val="24"/>
        </w:rPr>
        <w:t>RESULTS</w:t>
      </w:r>
    </w:p>
    <w:p w14:paraId="0734BB8B" w14:textId="77777777" w:rsidR="0027348D" w:rsidRPr="00A77B53" w:rsidRDefault="0027348D" w:rsidP="00AA2F72">
      <w:pPr>
        <w:spacing w:line="480" w:lineRule="auto"/>
        <w:rPr>
          <w:rFonts w:cstheme="minorHAnsi"/>
          <w:b/>
          <w:sz w:val="24"/>
          <w:szCs w:val="24"/>
        </w:rPr>
      </w:pPr>
      <w:r w:rsidRPr="00A77B53">
        <w:rPr>
          <w:rFonts w:cstheme="minorHAnsi"/>
          <w:b/>
          <w:sz w:val="24"/>
          <w:szCs w:val="24"/>
        </w:rPr>
        <w:t>Sample</w:t>
      </w:r>
    </w:p>
    <w:p w14:paraId="0D0B7122" w14:textId="77777777" w:rsidR="0027348D" w:rsidRPr="00C340E5" w:rsidRDefault="0027348D" w:rsidP="00AA2F72">
      <w:pPr>
        <w:spacing w:line="480" w:lineRule="auto"/>
        <w:rPr>
          <w:rFonts w:cstheme="minorHAnsi"/>
        </w:rPr>
      </w:pPr>
      <w:r w:rsidRPr="00C340E5">
        <w:rPr>
          <w:rFonts w:cstheme="minorHAnsi"/>
        </w:rPr>
        <w:t xml:space="preserve">476 referrals were made to CAHMS during the study period (Table 1).  More males (56.3%) than females (43.7%) were referred; half of referrals (49.2%) were adolescents (aged 13 to 18); </w:t>
      </w:r>
      <w:r w:rsidR="005A1AB6">
        <w:rPr>
          <w:rFonts w:cstheme="minorHAnsi"/>
        </w:rPr>
        <w:t xml:space="preserve">and </w:t>
      </w:r>
      <w:r w:rsidR="00A87AFB" w:rsidRPr="00C340E5">
        <w:rPr>
          <w:rFonts w:cstheme="minorHAnsi"/>
        </w:rPr>
        <w:t>very few children aged between 0-5 years were referred to the service (10.1 %). A</w:t>
      </w:r>
      <w:r w:rsidRPr="00C340E5">
        <w:rPr>
          <w:rFonts w:cstheme="minorHAnsi"/>
        </w:rPr>
        <w:t xml:space="preserve">round 1 in 10 referrals (10.5%) were </w:t>
      </w:r>
      <w:r w:rsidRPr="00C340E5">
        <w:rPr>
          <w:rFonts w:eastAsia="MS Gothic" w:cstheme="minorHAnsi"/>
          <w:color w:val="000000"/>
        </w:rPr>
        <w:t xml:space="preserve">made for </w:t>
      </w:r>
      <w:r w:rsidR="005A1AB6">
        <w:rPr>
          <w:rFonts w:eastAsia="MS Gothic" w:cstheme="minorHAnsi"/>
          <w:color w:val="000000"/>
        </w:rPr>
        <w:t>CYP</w:t>
      </w:r>
      <w:r w:rsidRPr="00C340E5">
        <w:rPr>
          <w:rFonts w:eastAsia="MS Gothic" w:cstheme="minorHAnsi"/>
          <w:color w:val="000000"/>
        </w:rPr>
        <w:t xml:space="preserve"> from the most deprived two quintiles of the SIMD (Table 1).  </w:t>
      </w:r>
      <w:r w:rsidRPr="00C340E5">
        <w:rPr>
          <w:rFonts w:cstheme="minorHAnsi"/>
        </w:rPr>
        <w:t xml:space="preserve">Just under a third of referrals were for ‘emotional and behavioural problems’ (30.5%), followed by ‘common mental health disorders’ (24.8%), and ‘hyperactivity/inattention’ (16.4%). </w:t>
      </w:r>
      <w:r w:rsidR="005A1AB6">
        <w:rPr>
          <w:rFonts w:cstheme="minorHAnsi"/>
        </w:rPr>
        <w:t>Two-</w:t>
      </w:r>
      <w:r w:rsidR="007C2FA5" w:rsidRPr="00C340E5">
        <w:rPr>
          <w:rFonts w:cstheme="minorHAnsi"/>
        </w:rPr>
        <w:t>third</w:t>
      </w:r>
      <w:r w:rsidR="005A1AB6">
        <w:rPr>
          <w:rFonts w:cstheme="minorHAnsi"/>
        </w:rPr>
        <w:t>s</w:t>
      </w:r>
      <w:r w:rsidR="007C2FA5" w:rsidRPr="00C340E5">
        <w:rPr>
          <w:rFonts w:cstheme="minorHAnsi"/>
        </w:rPr>
        <w:t xml:space="preserve"> of the referrals for </w:t>
      </w:r>
      <w:r w:rsidR="00A87AFB" w:rsidRPr="00C340E5">
        <w:rPr>
          <w:rFonts w:cstheme="minorHAnsi"/>
        </w:rPr>
        <w:t>‘</w:t>
      </w:r>
      <w:r w:rsidR="007C2FA5" w:rsidRPr="00C340E5">
        <w:rPr>
          <w:rFonts w:cstheme="minorHAnsi"/>
        </w:rPr>
        <w:t>emotional and behavioural problems</w:t>
      </w:r>
      <w:r w:rsidR="00A87AFB" w:rsidRPr="00C340E5">
        <w:rPr>
          <w:rFonts w:cstheme="minorHAnsi"/>
        </w:rPr>
        <w:t>’</w:t>
      </w:r>
      <w:r w:rsidR="007C2FA5" w:rsidRPr="00C340E5">
        <w:rPr>
          <w:rFonts w:cstheme="minorHAnsi"/>
        </w:rPr>
        <w:t xml:space="preserve"> were for boys</w:t>
      </w:r>
      <w:r w:rsidR="007444AA">
        <w:rPr>
          <w:rFonts w:cstheme="minorHAnsi"/>
        </w:rPr>
        <w:t xml:space="preserve"> (</w:t>
      </w:r>
      <w:r w:rsidR="007C2FA5" w:rsidRPr="00C340E5">
        <w:rPr>
          <w:rFonts w:cstheme="minorHAnsi"/>
        </w:rPr>
        <w:t>66.2%</w:t>
      </w:r>
      <w:r w:rsidR="007444AA">
        <w:rPr>
          <w:rFonts w:cstheme="minorHAnsi"/>
        </w:rPr>
        <w:t>)</w:t>
      </w:r>
      <w:r w:rsidR="007C2FA5" w:rsidRPr="00C340E5">
        <w:rPr>
          <w:rFonts w:cstheme="minorHAnsi"/>
        </w:rPr>
        <w:t xml:space="preserve"> and the majority of referrals for </w:t>
      </w:r>
      <w:r w:rsidR="00A87AFB" w:rsidRPr="00C340E5">
        <w:rPr>
          <w:rFonts w:cstheme="minorHAnsi"/>
        </w:rPr>
        <w:t>‘</w:t>
      </w:r>
      <w:r w:rsidR="007C2FA5" w:rsidRPr="00C340E5">
        <w:rPr>
          <w:rFonts w:cstheme="minorHAnsi"/>
        </w:rPr>
        <w:t>self</w:t>
      </w:r>
      <w:r w:rsidR="00A87AFB" w:rsidRPr="00C340E5">
        <w:rPr>
          <w:rFonts w:cstheme="minorHAnsi"/>
        </w:rPr>
        <w:t>-</w:t>
      </w:r>
      <w:r w:rsidR="007C2FA5" w:rsidRPr="00C340E5">
        <w:rPr>
          <w:rFonts w:cstheme="minorHAnsi"/>
        </w:rPr>
        <w:t xml:space="preserve"> harm and eating disorder</w:t>
      </w:r>
      <w:r w:rsidR="00A87AFB" w:rsidRPr="00C340E5">
        <w:rPr>
          <w:rFonts w:cstheme="minorHAnsi"/>
        </w:rPr>
        <w:t>’</w:t>
      </w:r>
      <w:r w:rsidR="007C2FA5" w:rsidRPr="00C340E5">
        <w:rPr>
          <w:rFonts w:cstheme="minorHAnsi"/>
        </w:rPr>
        <w:t xml:space="preserve"> were for girls (76%). </w:t>
      </w:r>
      <w:r w:rsidRPr="00C340E5">
        <w:rPr>
          <w:rFonts w:cstheme="minorHAnsi"/>
        </w:rPr>
        <w:t>There were no referrals for ‘conduct disorder’ and ‘alcohol dependency’.  The majority of referrals were made</w:t>
      </w:r>
      <w:r w:rsidR="000F609E">
        <w:rPr>
          <w:rFonts w:cstheme="minorHAnsi"/>
        </w:rPr>
        <w:t xml:space="preserve"> </w:t>
      </w:r>
      <w:r w:rsidR="00504F66">
        <w:rPr>
          <w:rFonts w:cstheme="minorHAnsi"/>
        </w:rPr>
        <w:t xml:space="preserve">by </w:t>
      </w:r>
      <w:r w:rsidR="007444AA">
        <w:rPr>
          <w:rFonts w:cstheme="minorHAnsi"/>
        </w:rPr>
        <w:t xml:space="preserve">a </w:t>
      </w:r>
      <w:r w:rsidR="000F609E">
        <w:rPr>
          <w:rFonts w:cstheme="minorHAnsi"/>
        </w:rPr>
        <w:t>medical profession</w:t>
      </w:r>
      <w:r w:rsidR="007444AA">
        <w:rPr>
          <w:rFonts w:cstheme="minorHAnsi"/>
        </w:rPr>
        <w:t>al</w:t>
      </w:r>
      <w:r w:rsidR="00504F66">
        <w:rPr>
          <w:rFonts w:cstheme="minorHAnsi"/>
        </w:rPr>
        <w:t xml:space="preserve"> </w:t>
      </w:r>
      <w:r w:rsidR="005A1AB6">
        <w:rPr>
          <w:rFonts w:cstheme="minorHAnsi"/>
        </w:rPr>
        <w:t>(84.7%) primarily a</w:t>
      </w:r>
      <w:r w:rsidRPr="00C340E5">
        <w:rPr>
          <w:rFonts w:cstheme="minorHAnsi"/>
        </w:rPr>
        <w:t xml:space="preserve"> GP (67.4%) (Table 1).</w:t>
      </w:r>
      <w:r w:rsidR="000F609E">
        <w:rPr>
          <w:rFonts w:cstheme="minorHAnsi"/>
        </w:rPr>
        <w:t xml:space="preserve"> </w:t>
      </w:r>
      <w:r w:rsidR="00A87AFB" w:rsidRPr="000F609E">
        <w:rPr>
          <w:rFonts w:cstheme="minorHAnsi"/>
        </w:rPr>
        <w:t xml:space="preserve">Health </w:t>
      </w:r>
      <w:r w:rsidR="000F609E" w:rsidRPr="000F609E">
        <w:rPr>
          <w:rFonts w:cstheme="minorHAnsi"/>
        </w:rPr>
        <w:t>Visitors (0.6 %</w:t>
      </w:r>
      <w:r w:rsidR="00E119C8" w:rsidRPr="000F609E">
        <w:rPr>
          <w:rFonts w:cstheme="minorHAnsi"/>
        </w:rPr>
        <w:t xml:space="preserve">) and Social </w:t>
      </w:r>
      <w:r w:rsidR="00413B1C">
        <w:rPr>
          <w:rFonts w:cstheme="minorHAnsi"/>
        </w:rPr>
        <w:t>Work</w:t>
      </w:r>
      <w:r w:rsidR="00722193">
        <w:rPr>
          <w:rFonts w:cstheme="minorHAnsi"/>
        </w:rPr>
        <w:t>ers</w:t>
      </w:r>
      <w:r w:rsidR="000F609E" w:rsidRPr="000F609E">
        <w:rPr>
          <w:rFonts w:cstheme="minorHAnsi"/>
        </w:rPr>
        <w:t xml:space="preserve"> (2.1 %) </w:t>
      </w:r>
      <w:r w:rsidR="00A87AFB" w:rsidRPr="000F609E">
        <w:rPr>
          <w:rFonts w:cstheme="minorHAnsi"/>
        </w:rPr>
        <w:t xml:space="preserve">made the </w:t>
      </w:r>
      <w:r w:rsidR="005A1AB6">
        <w:rPr>
          <w:rFonts w:cstheme="minorHAnsi"/>
        </w:rPr>
        <w:t>fewest</w:t>
      </w:r>
      <w:r w:rsidR="005A1AB6" w:rsidRPr="000F609E">
        <w:rPr>
          <w:rFonts w:cstheme="minorHAnsi"/>
        </w:rPr>
        <w:t xml:space="preserve"> </w:t>
      </w:r>
      <w:r w:rsidR="00A87AFB" w:rsidRPr="000F609E">
        <w:rPr>
          <w:rFonts w:cstheme="minorHAnsi"/>
        </w:rPr>
        <w:t xml:space="preserve">referrals </w:t>
      </w:r>
      <w:r w:rsidR="00E119C8" w:rsidRPr="000F609E">
        <w:rPr>
          <w:rFonts w:cstheme="minorHAnsi"/>
        </w:rPr>
        <w:t>to CAMH</w:t>
      </w:r>
      <w:r w:rsidR="005A1AB6">
        <w:rPr>
          <w:rFonts w:cstheme="minorHAnsi"/>
        </w:rPr>
        <w:t>S</w:t>
      </w:r>
      <w:r w:rsidR="00A87AFB" w:rsidRPr="000F609E">
        <w:rPr>
          <w:rFonts w:cstheme="minorHAnsi"/>
        </w:rPr>
        <w:t>.</w:t>
      </w:r>
    </w:p>
    <w:p w14:paraId="0AFFCA38" w14:textId="77777777" w:rsidR="0027348D" w:rsidRPr="00C340E5" w:rsidRDefault="0027348D" w:rsidP="00AA2F72">
      <w:pPr>
        <w:spacing w:line="480" w:lineRule="auto"/>
        <w:rPr>
          <w:rFonts w:cstheme="minorHAnsi"/>
        </w:rPr>
      </w:pPr>
    </w:p>
    <w:p w14:paraId="11FD87E9" w14:textId="77777777" w:rsidR="0027348D" w:rsidRPr="00C340E5" w:rsidRDefault="0027348D" w:rsidP="00AA2F72">
      <w:pPr>
        <w:spacing w:line="480" w:lineRule="auto"/>
        <w:rPr>
          <w:rFonts w:cstheme="minorHAnsi"/>
          <w:i/>
        </w:rPr>
      </w:pPr>
      <w:r w:rsidRPr="007444AA">
        <w:rPr>
          <w:rFonts w:cstheme="minorHAnsi"/>
          <w:i/>
        </w:rPr>
        <w:t xml:space="preserve">[Insert Table 1 here – </w:t>
      </w:r>
      <w:r w:rsidRPr="0073544A">
        <w:rPr>
          <w:rFonts w:cstheme="minorHAnsi"/>
          <w:i/>
        </w:rPr>
        <w:t>Sample</w:t>
      </w:r>
      <w:r w:rsidR="007444AA" w:rsidRPr="0073544A">
        <w:rPr>
          <w:rFonts w:cstheme="minorHAnsi"/>
          <w:i/>
        </w:rPr>
        <w:t xml:space="preserve"> Socio-demographic</w:t>
      </w:r>
      <w:r w:rsidRPr="0073544A">
        <w:rPr>
          <w:rFonts w:cstheme="minorHAnsi"/>
          <w:i/>
        </w:rPr>
        <w:t xml:space="preserve"> Characteristics</w:t>
      </w:r>
      <w:r w:rsidRPr="007444AA">
        <w:rPr>
          <w:rFonts w:cstheme="minorHAnsi"/>
          <w:i/>
        </w:rPr>
        <w:t>]</w:t>
      </w:r>
    </w:p>
    <w:p w14:paraId="4653A6A6" w14:textId="77777777" w:rsidR="0027348D" w:rsidRPr="00C340E5" w:rsidRDefault="0027348D" w:rsidP="00AA2F72">
      <w:pPr>
        <w:spacing w:line="480" w:lineRule="auto"/>
        <w:rPr>
          <w:rFonts w:cstheme="minorHAnsi"/>
        </w:rPr>
      </w:pPr>
    </w:p>
    <w:p w14:paraId="122D0034" w14:textId="77777777" w:rsidR="0027348D" w:rsidRPr="00A77B53" w:rsidRDefault="0027348D" w:rsidP="00AA2F72">
      <w:pPr>
        <w:spacing w:after="0" w:line="480" w:lineRule="auto"/>
        <w:rPr>
          <w:rFonts w:cstheme="minorHAnsi"/>
          <w:b/>
          <w:sz w:val="24"/>
          <w:szCs w:val="24"/>
        </w:rPr>
      </w:pPr>
      <w:r w:rsidRPr="00A77B53">
        <w:rPr>
          <w:rFonts w:cstheme="minorHAnsi"/>
          <w:b/>
          <w:sz w:val="24"/>
          <w:szCs w:val="24"/>
        </w:rPr>
        <w:t>Referral Outcome</w:t>
      </w:r>
    </w:p>
    <w:p w14:paraId="636D92D2" w14:textId="77777777" w:rsidR="0027348D" w:rsidRPr="00C340E5" w:rsidRDefault="0027348D" w:rsidP="00AA2F72">
      <w:pPr>
        <w:spacing w:after="0" w:line="480" w:lineRule="auto"/>
        <w:rPr>
          <w:rFonts w:cstheme="minorHAnsi"/>
          <w:lang w:eastAsia="en-GB"/>
        </w:rPr>
      </w:pPr>
      <w:r w:rsidRPr="00C340E5">
        <w:rPr>
          <w:rFonts w:cstheme="minorHAnsi"/>
        </w:rPr>
        <w:t>Of the 476 referrals, 71</w:t>
      </w:r>
      <w:r w:rsidR="005A1AB6">
        <w:rPr>
          <w:rFonts w:cstheme="minorHAnsi"/>
        </w:rPr>
        <w:t>.8</w:t>
      </w:r>
      <w:r w:rsidRPr="00C340E5">
        <w:rPr>
          <w:rFonts w:cstheme="minorHAnsi"/>
        </w:rPr>
        <w:t>% (n=342) were ‘</w:t>
      </w:r>
      <w:r w:rsidRPr="00C340E5">
        <w:rPr>
          <w:rFonts w:cstheme="minorHAnsi"/>
          <w:lang w:eastAsia="en-GB"/>
        </w:rPr>
        <w:t>accepted’ for treatment by CAMHS and 12.4% (n=59) were ‘rejected’ by CAMHS (Table 1).  The main reason recorded by CAMHS for rejected referrals was recorded as ‘not mental health’ (68% n=40) followed by ‘over16/not in school’ (10%, n=6) (Table 2).  In addition, 1.9 % (n=9) of referrals were made for consultation purposes, and 13.9% (n=66) referrals were closed during the study period.  Reasons for referrals being ‘closed’ were not recorded by CAMHS.</w:t>
      </w:r>
    </w:p>
    <w:p w14:paraId="7DA66A83" w14:textId="77777777" w:rsidR="0027348D" w:rsidRPr="00C340E5" w:rsidRDefault="0027348D" w:rsidP="00AA2F72">
      <w:pPr>
        <w:spacing w:after="0" w:line="480" w:lineRule="auto"/>
        <w:rPr>
          <w:rFonts w:cstheme="minorHAnsi"/>
          <w:i/>
          <w:lang w:eastAsia="en-GB"/>
        </w:rPr>
      </w:pPr>
    </w:p>
    <w:p w14:paraId="745116D4" w14:textId="77777777" w:rsidR="0027348D" w:rsidRPr="00C340E5" w:rsidRDefault="0027348D" w:rsidP="00AA2F72">
      <w:pPr>
        <w:spacing w:after="0" w:line="480" w:lineRule="auto"/>
        <w:rPr>
          <w:rFonts w:cstheme="minorHAnsi"/>
          <w:i/>
          <w:lang w:eastAsia="en-GB"/>
        </w:rPr>
      </w:pPr>
      <w:r w:rsidRPr="00C340E5">
        <w:rPr>
          <w:rFonts w:cstheme="minorHAnsi"/>
          <w:i/>
          <w:lang w:eastAsia="en-GB"/>
        </w:rPr>
        <w:t xml:space="preserve">[Insert Table 2 here – </w:t>
      </w:r>
      <w:r w:rsidRPr="0073544A">
        <w:rPr>
          <w:rFonts w:cstheme="minorHAnsi"/>
          <w:i/>
          <w:lang w:eastAsia="en-GB"/>
        </w:rPr>
        <w:t>Rejection Reason</w:t>
      </w:r>
      <w:r w:rsidRPr="007444AA">
        <w:rPr>
          <w:rFonts w:cstheme="minorHAnsi"/>
          <w:i/>
          <w:lang w:eastAsia="en-GB"/>
        </w:rPr>
        <w:t>]</w:t>
      </w:r>
    </w:p>
    <w:p w14:paraId="65E5AAF0" w14:textId="77777777" w:rsidR="00BC33FF" w:rsidRPr="00C340E5" w:rsidRDefault="00BC33FF" w:rsidP="00AA2F72">
      <w:pPr>
        <w:spacing w:after="0" w:line="480" w:lineRule="auto"/>
        <w:rPr>
          <w:rFonts w:cstheme="minorHAnsi"/>
          <w:i/>
        </w:rPr>
      </w:pPr>
    </w:p>
    <w:p w14:paraId="36DBB6FE" w14:textId="77777777" w:rsidR="0027348D" w:rsidRPr="00C340E5" w:rsidRDefault="0027348D" w:rsidP="00AA2F72">
      <w:pPr>
        <w:spacing w:after="0" w:line="480" w:lineRule="auto"/>
        <w:rPr>
          <w:rFonts w:cstheme="minorHAnsi"/>
          <w:i/>
        </w:rPr>
      </w:pPr>
      <w:r w:rsidRPr="00C340E5">
        <w:rPr>
          <w:rFonts w:cstheme="minorHAnsi"/>
          <w:i/>
        </w:rPr>
        <w:t>Rejected</w:t>
      </w:r>
    </w:p>
    <w:p w14:paraId="26080724" w14:textId="77777777" w:rsidR="0027348D" w:rsidRPr="00C340E5" w:rsidRDefault="0027348D" w:rsidP="00AA2F72">
      <w:pPr>
        <w:spacing w:after="0" w:line="480" w:lineRule="auto"/>
        <w:rPr>
          <w:rFonts w:cstheme="minorHAnsi"/>
        </w:rPr>
      </w:pPr>
      <w:r w:rsidRPr="00C340E5">
        <w:rPr>
          <w:rFonts w:cstheme="minorHAnsi"/>
        </w:rPr>
        <w:t xml:space="preserve">A logistic regression model adjusted for age, gender, </w:t>
      </w:r>
      <w:r w:rsidR="005A1AB6">
        <w:rPr>
          <w:rFonts w:cstheme="minorHAnsi"/>
        </w:rPr>
        <w:t>referral reason</w:t>
      </w:r>
      <w:r w:rsidRPr="00C340E5">
        <w:rPr>
          <w:rFonts w:cstheme="minorHAnsi"/>
        </w:rPr>
        <w:t xml:space="preserve">, and </w:t>
      </w:r>
      <w:r w:rsidR="005A1AB6">
        <w:rPr>
          <w:rFonts w:cstheme="minorHAnsi"/>
        </w:rPr>
        <w:t>referral source</w:t>
      </w:r>
      <w:r w:rsidRPr="00C340E5">
        <w:rPr>
          <w:rFonts w:cstheme="minorHAnsi"/>
        </w:rPr>
        <w:t xml:space="preserve">, found that the odds of a referral being rejected were statistically significantly higher for those referred for ‘emotional and behavioural problems’ (Odds Ratio [OR] </w:t>
      </w:r>
      <w:r w:rsidR="002F1301" w:rsidRPr="0073544A">
        <w:rPr>
          <w:rFonts w:cstheme="minorHAnsi"/>
        </w:rPr>
        <w:t>4.48</w:t>
      </w:r>
      <w:r w:rsidRPr="00C340E5">
        <w:rPr>
          <w:rFonts w:cstheme="minorHAnsi"/>
        </w:rPr>
        <w:t xml:space="preserve">, 95% Confidence Interval [CI] </w:t>
      </w:r>
      <w:r w:rsidR="002F1301">
        <w:rPr>
          <w:rFonts w:cstheme="minorHAnsi"/>
        </w:rPr>
        <w:t>1.68-11.95</w:t>
      </w:r>
      <w:r w:rsidRPr="00C340E5">
        <w:rPr>
          <w:rFonts w:cstheme="minorHAnsi"/>
        </w:rPr>
        <w:t xml:space="preserve">) and ‘other’ reasons for referral </w:t>
      </w:r>
      <w:r w:rsidRPr="002F1301">
        <w:rPr>
          <w:rFonts w:cstheme="minorHAnsi"/>
        </w:rPr>
        <w:t xml:space="preserve">(OR </w:t>
      </w:r>
      <w:r w:rsidR="002F1301">
        <w:rPr>
          <w:rFonts w:cstheme="minorHAnsi"/>
        </w:rPr>
        <w:t>5.63</w:t>
      </w:r>
      <w:r w:rsidRPr="002F1301">
        <w:rPr>
          <w:rFonts w:cstheme="minorHAnsi"/>
        </w:rPr>
        <w:t xml:space="preserve">, 95% CI </w:t>
      </w:r>
      <w:r w:rsidR="002F1301">
        <w:rPr>
          <w:rFonts w:cstheme="minorHAnsi"/>
        </w:rPr>
        <w:t>1.95-16.21</w:t>
      </w:r>
      <w:r w:rsidRPr="002F1301">
        <w:rPr>
          <w:rFonts w:cstheme="minorHAnsi"/>
        </w:rPr>
        <w:t xml:space="preserve">).  Referrals made by </w:t>
      </w:r>
      <w:r w:rsidR="005A1AB6">
        <w:rPr>
          <w:rFonts w:cstheme="minorHAnsi"/>
        </w:rPr>
        <w:t xml:space="preserve">education professionals (i.e., teachers) </w:t>
      </w:r>
      <w:r w:rsidRPr="002F1301">
        <w:rPr>
          <w:rFonts w:cstheme="minorHAnsi"/>
        </w:rPr>
        <w:t xml:space="preserve">had statistically significantly higher odds of rejection by CAMHS (OR </w:t>
      </w:r>
      <w:r w:rsidR="002F1301">
        <w:rPr>
          <w:rFonts w:cstheme="minorHAnsi"/>
        </w:rPr>
        <w:t>3.13</w:t>
      </w:r>
      <w:r w:rsidRPr="002F1301">
        <w:rPr>
          <w:rFonts w:cstheme="minorHAnsi"/>
        </w:rPr>
        <w:t xml:space="preserve">, 95% CI </w:t>
      </w:r>
      <w:r w:rsidR="002F1301">
        <w:rPr>
          <w:rFonts w:cstheme="minorHAnsi"/>
        </w:rPr>
        <w:t>1.19-8.24</w:t>
      </w:r>
      <w:r w:rsidRPr="002F1301">
        <w:rPr>
          <w:rFonts w:cstheme="minorHAnsi"/>
        </w:rPr>
        <w:t>) (Table 3).</w:t>
      </w:r>
      <w:r w:rsidRPr="00C340E5">
        <w:rPr>
          <w:rFonts w:cstheme="minorHAnsi"/>
        </w:rPr>
        <w:t xml:space="preserve"> </w:t>
      </w:r>
    </w:p>
    <w:p w14:paraId="1D06B3E4" w14:textId="77777777" w:rsidR="0027348D" w:rsidRPr="00C340E5" w:rsidRDefault="0027348D" w:rsidP="00AA2F72">
      <w:pPr>
        <w:spacing w:after="0" w:line="480" w:lineRule="auto"/>
        <w:rPr>
          <w:rFonts w:cstheme="minorHAnsi"/>
        </w:rPr>
      </w:pPr>
    </w:p>
    <w:p w14:paraId="252FF411" w14:textId="77777777" w:rsidR="0027348D" w:rsidRPr="00C340E5" w:rsidRDefault="0027348D" w:rsidP="00AA2F72">
      <w:pPr>
        <w:spacing w:after="0" w:line="480" w:lineRule="auto"/>
        <w:rPr>
          <w:rFonts w:cstheme="minorHAnsi"/>
        </w:rPr>
      </w:pPr>
      <w:r w:rsidRPr="00C340E5">
        <w:rPr>
          <w:rFonts w:cstheme="minorHAnsi"/>
          <w:i/>
        </w:rPr>
        <w:t xml:space="preserve">[Insert Table 3 here </w:t>
      </w:r>
      <w:r w:rsidRPr="002F1301">
        <w:rPr>
          <w:rFonts w:cstheme="minorHAnsi"/>
          <w:i/>
        </w:rPr>
        <w:t xml:space="preserve">– </w:t>
      </w:r>
      <w:r w:rsidRPr="0073544A">
        <w:rPr>
          <w:rFonts w:cstheme="minorHAnsi"/>
          <w:i/>
        </w:rPr>
        <w:t>Logistic Regression Model</w:t>
      </w:r>
      <w:r w:rsidRPr="002F1301">
        <w:rPr>
          <w:rFonts w:cstheme="minorHAnsi"/>
          <w:i/>
        </w:rPr>
        <w:t>]</w:t>
      </w:r>
    </w:p>
    <w:p w14:paraId="3BB2F988" w14:textId="77777777" w:rsidR="0027348D" w:rsidRPr="00C340E5" w:rsidRDefault="0027348D" w:rsidP="00AA2F72">
      <w:pPr>
        <w:spacing w:after="0" w:line="480" w:lineRule="auto"/>
        <w:rPr>
          <w:rFonts w:cstheme="minorHAnsi"/>
          <w:lang w:eastAsia="en-GB"/>
        </w:rPr>
      </w:pPr>
    </w:p>
    <w:p w14:paraId="5C1BA993" w14:textId="77777777" w:rsidR="0027348D" w:rsidRPr="00C340E5" w:rsidRDefault="0027348D" w:rsidP="00AA2F72">
      <w:pPr>
        <w:spacing w:after="0" w:line="480" w:lineRule="auto"/>
        <w:rPr>
          <w:rFonts w:cstheme="minorHAnsi"/>
        </w:rPr>
      </w:pPr>
      <w:r w:rsidRPr="00C340E5">
        <w:rPr>
          <w:rFonts w:cstheme="minorHAnsi"/>
          <w:i/>
        </w:rPr>
        <w:t>Waiting time</w:t>
      </w:r>
    </w:p>
    <w:p w14:paraId="2C455E12" w14:textId="77777777" w:rsidR="0027348D" w:rsidRPr="00C340E5" w:rsidRDefault="0027348D" w:rsidP="00AA2F72">
      <w:pPr>
        <w:spacing w:after="0" w:line="480" w:lineRule="auto"/>
        <w:rPr>
          <w:rFonts w:cstheme="minorHAnsi"/>
        </w:rPr>
      </w:pPr>
      <w:r w:rsidRPr="00C340E5">
        <w:rPr>
          <w:rFonts w:cstheme="minorHAnsi"/>
        </w:rPr>
        <w:t>Of the 342 ‘accepted’ referrals, the mean waiting time was 17.9 weeks (Standard Deviation [SD] = 10.37).  Univariate analyses found that being male,</w:t>
      </w:r>
      <w:r w:rsidR="00B4133B">
        <w:rPr>
          <w:rFonts w:cstheme="minorHAnsi"/>
        </w:rPr>
        <w:t xml:space="preserve"> or being referred </w:t>
      </w:r>
      <w:r w:rsidRPr="00C340E5">
        <w:rPr>
          <w:rFonts w:cstheme="minorHAnsi"/>
        </w:rPr>
        <w:t>for ‘</w:t>
      </w:r>
      <w:r w:rsidR="002F1301">
        <w:rPr>
          <w:rFonts w:cstheme="minorHAnsi"/>
        </w:rPr>
        <w:t>hyperactivity/inattention</w:t>
      </w:r>
      <w:r w:rsidRPr="00C340E5">
        <w:rPr>
          <w:rFonts w:cstheme="minorHAnsi"/>
        </w:rPr>
        <w:t>’ resulted in significantly longer waiting times</w:t>
      </w:r>
      <w:r w:rsidR="002F1301">
        <w:rPr>
          <w:rFonts w:cstheme="minorHAnsi"/>
        </w:rPr>
        <w:t xml:space="preserve"> (Table 4)</w:t>
      </w:r>
      <w:r w:rsidRPr="00C340E5">
        <w:rPr>
          <w:rFonts w:cstheme="minorHAnsi"/>
        </w:rPr>
        <w:t>.</w:t>
      </w:r>
      <w:r w:rsidR="002F1301">
        <w:rPr>
          <w:rFonts w:cstheme="minorHAnsi"/>
        </w:rPr>
        <w:t xml:space="preserve">  </w:t>
      </w:r>
      <w:r w:rsidRPr="00C340E5">
        <w:rPr>
          <w:rFonts w:cstheme="minorHAnsi"/>
        </w:rPr>
        <w:t xml:space="preserve">Referrals of ‘adolescents’ </w:t>
      </w:r>
      <w:r w:rsidR="00B4133B">
        <w:rPr>
          <w:rFonts w:cstheme="minorHAnsi"/>
        </w:rPr>
        <w:t>or</w:t>
      </w:r>
      <w:r w:rsidR="00B4133B" w:rsidRPr="00C340E5">
        <w:rPr>
          <w:rFonts w:cstheme="minorHAnsi"/>
        </w:rPr>
        <w:t xml:space="preserve"> </w:t>
      </w:r>
      <w:r w:rsidR="00B4133B">
        <w:rPr>
          <w:rFonts w:cstheme="minorHAnsi"/>
        </w:rPr>
        <w:t xml:space="preserve">for </w:t>
      </w:r>
      <w:r w:rsidRPr="00C340E5">
        <w:rPr>
          <w:rFonts w:cstheme="minorHAnsi"/>
        </w:rPr>
        <w:t>‘self-harm/eating disorder’ waited significantly less time (Table 4).   There was evidence of a socioeconomic gradient in waiting times across SIMD quintiles</w:t>
      </w:r>
      <w:r w:rsidR="00C752E1">
        <w:rPr>
          <w:rFonts w:cstheme="minorHAnsi"/>
        </w:rPr>
        <w:t xml:space="preserve"> (</w:t>
      </w:r>
      <w:r w:rsidR="0044760B">
        <w:rPr>
          <w:rFonts w:cstheme="minorHAnsi"/>
        </w:rPr>
        <w:t>i.e.</w:t>
      </w:r>
      <w:r w:rsidR="005A1AB6">
        <w:rPr>
          <w:rFonts w:cstheme="minorHAnsi"/>
        </w:rPr>
        <w:t>,</w:t>
      </w:r>
      <w:r w:rsidR="0044760B">
        <w:rPr>
          <w:rFonts w:cstheme="minorHAnsi"/>
        </w:rPr>
        <w:t xml:space="preserve"> those CYP from the least deprived areas waited less time than those from the most deprived area</w:t>
      </w:r>
      <w:r w:rsidR="00C752E1">
        <w:rPr>
          <w:rFonts w:cstheme="minorHAnsi"/>
        </w:rPr>
        <w:t>)</w:t>
      </w:r>
      <w:r w:rsidRPr="00C340E5">
        <w:rPr>
          <w:rFonts w:cstheme="minorHAnsi"/>
        </w:rPr>
        <w:t xml:space="preserve"> although this was not statistically significant (Table 4).</w:t>
      </w:r>
    </w:p>
    <w:p w14:paraId="7C36A111" w14:textId="77777777" w:rsidR="0027348D" w:rsidRPr="00C340E5" w:rsidRDefault="0027348D" w:rsidP="00AA2F72">
      <w:pPr>
        <w:spacing w:after="0" w:line="480" w:lineRule="auto"/>
        <w:rPr>
          <w:rFonts w:cstheme="minorHAnsi"/>
        </w:rPr>
      </w:pPr>
    </w:p>
    <w:p w14:paraId="56CE02C9" w14:textId="77777777" w:rsidR="0027348D" w:rsidRPr="00C340E5" w:rsidRDefault="0027348D" w:rsidP="00AA2F72">
      <w:pPr>
        <w:spacing w:after="0" w:line="480" w:lineRule="auto"/>
        <w:rPr>
          <w:rFonts w:cstheme="minorHAnsi"/>
        </w:rPr>
      </w:pPr>
      <w:r w:rsidRPr="00C340E5">
        <w:rPr>
          <w:rFonts w:cstheme="minorHAnsi"/>
        </w:rPr>
        <w:t xml:space="preserve">A linear regression model including age, gender, </w:t>
      </w:r>
      <w:r w:rsidR="00402467">
        <w:rPr>
          <w:rFonts w:cstheme="minorHAnsi"/>
        </w:rPr>
        <w:t>referral reason</w:t>
      </w:r>
      <w:r w:rsidRPr="00C340E5">
        <w:rPr>
          <w:rFonts w:cstheme="minorHAnsi"/>
        </w:rPr>
        <w:t xml:space="preserve"> and </w:t>
      </w:r>
      <w:r w:rsidR="00402467">
        <w:rPr>
          <w:rFonts w:cstheme="minorHAnsi"/>
        </w:rPr>
        <w:t>referral source</w:t>
      </w:r>
      <w:r w:rsidRPr="00C340E5">
        <w:rPr>
          <w:rFonts w:cstheme="minorHAnsi"/>
        </w:rPr>
        <w:t xml:space="preserve">, found that </w:t>
      </w:r>
      <w:r w:rsidR="00402467">
        <w:rPr>
          <w:rFonts w:cstheme="minorHAnsi"/>
        </w:rPr>
        <w:t>a</w:t>
      </w:r>
      <w:r w:rsidR="00402467" w:rsidRPr="00402467">
        <w:rPr>
          <w:rFonts w:cstheme="minorHAnsi"/>
        </w:rPr>
        <w:t>ge</w:t>
      </w:r>
      <w:r w:rsidR="00402467">
        <w:rPr>
          <w:rFonts w:cstheme="minorHAnsi"/>
        </w:rPr>
        <w:t xml:space="preserve"> (p=0.042)</w:t>
      </w:r>
      <w:r w:rsidR="00402467" w:rsidRPr="00402467">
        <w:rPr>
          <w:rFonts w:cstheme="minorHAnsi"/>
        </w:rPr>
        <w:t xml:space="preserve"> and referral reason </w:t>
      </w:r>
      <w:r w:rsidR="00402467">
        <w:rPr>
          <w:rFonts w:cstheme="minorHAnsi"/>
        </w:rPr>
        <w:t xml:space="preserve">(p=0.004) </w:t>
      </w:r>
      <w:r w:rsidR="00402467" w:rsidRPr="00402467">
        <w:rPr>
          <w:rFonts w:cstheme="minorHAnsi"/>
        </w:rPr>
        <w:t>were significant independent predictors of waiting time after referral to CAMHS, with CYP referred for hyperactivity/inattention waiting significantly longer</w:t>
      </w:r>
      <w:r w:rsidR="00402467">
        <w:rPr>
          <w:rFonts w:cstheme="minorHAnsi"/>
        </w:rPr>
        <w:t xml:space="preserve"> </w:t>
      </w:r>
      <w:r w:rsidRPr="00C340E5">
        <w:rPr>
          <w:rFonts w:cstheme="minorHAnsi"/>
        </w:rPr>
        <w:t>(Table 4).</w:t>
      </w:r>
      <w:r w:rsidR="00C752E1">
        <w:rPr>
          <w:rFonts w:cstheme="minorHAnsi"/>
        </w:rPr>
        <w:t xml:space="preserve">  However, in a sensitivity analysis also including deprivation</w:t>
      </w:r>
      <w:r w:rsidR="007444AA">
        <w:rPr>
          <w:rFonts w:cstheme="minorHAnsi"/>
        </w:rPr>
        <w:t xml:space="preserve"> </w:t>
      </w:r>
      <w:r w:rsidR="00402467">
        <w:rPr>
          <w:rFonts w:cstheme="minorHAnsi"/>
        </w:rPr>
        <w:t xml:space="preserve">age (p=0.087) and referral reason (p=0.050) were </w:t>
      </w:r>
      <w:r w:rsidR="007444AA">
        <w:rPr>
          <w:rFonts w:cstheme="minorHAnsi"/>
        </w:rPr>
        <w:t>no longer significant.</w:t>
      </w:r>
    </w:p>
    <w:p w14:paraId="384DAB5E" w14:textId="77777777" w:rsidR="0027348D" w:rsidRPr="00C340E5" w:rsidRDefault="0027348D" w:rsidP="00AA2F72">
      <w:pPr>
        <w:spacing w:after="0" w:line="480" w:lineRule="auto"/>
        <w:rPr>
          <w:rFonts w:cstheme="minorHAnsi"/>
        </w:rPr>
      </w:pPr>
    </w:p>
    <w:p w14:paraId="16B40087" w14:textId="77777777" w:rsidR="0027348D" w:rsidRPr="00C340E5" w:rsidRDefault="0027348D" w:rsidP="00AA2F72">
      <w:pPr>
        <w:spacing w:line="480" w:lineRule="auto"/>
        <w:rPr>
          <w:rFonts w:cstheme="minorHAnsi"/>
          <w:i/>
        </w:rPr>
      </w:pPr>
      <w:r w:rsidRPr="00E37742">
        <w:rPr>
          <w:rFonts w:cstheme="minorHAnsi"/>
          <w:i/>
        </w:rPr>
        <w:t xml:space="preserve">[Insert Table 4 – </w:t>
      </w:r>
      <w:r w:rsidRPr="00175D4C">
        <w:rPr>
          <w:rFonts w:cstheme="minorHAnsi"/>
          <w:i/>
        </w:rPr>
        <w:t>Mean Waiting Time</w:t>
      </w:r>
      <w:r w:rsidRPr="00E37742">
        <w:rPr>
          <w:rFonts w:cstheme="minorHAnsi"/>
          <w:i/>
        </w:rPr>
        <w:t>]</w:t>
      </w:r>
    </w:p>
    <w:p w14:paraId="12850A8C" w14:textId="77777777" w:rsidR="0027348D" w:rsidRPr="00C340E5" w:rsidRDefault="0027348D" w:rsidP="00AA2F72">
      <w:pPr>
        <w:spacing w:line="480" w:lineRule="auto"/>
        <w:rPr>
          <w:rFonts w:cstheme="minorHAnsi"/>
          <w:i/>
        </w:rPr>
      </w:pPr>
    </w:p>
    <w:p w14:paraId="14F245A0" w14:textId="77777777" w:rsidR="00A77B53" w:rsidRDefault="0027348D" w:rsidP="00A77B53">
      <w:pPr>
        <w:spacing w:line="480" w:lineRule="auto"/>
        <w:rPr>
          <w:rFonts w:cstheme="minorHAnsi"/>
          <w:b/>
          <w:sz w:val="24"/>
          <w:szCs w:val="24"/>
        </w:rPr>
      </w:pPr>
      <w:r w:rsidRPr="00A77B53">
        <w:rPr>
          <w:rFonts w:cstheme="minorHAnsi"/>
          <w:b/>
          <w:sz w:val="24"/>
          <w:szCs w:val="24"/>
        </w:rPr>
        <w:t>DISCUSSION</w:t>
      </w:r>
    </w:p>
    <w:p w14:paraId="2D65B769" w14:textId="77777777" w:rsidR="004B0FEE" w:rsidRPr="00C340E5" w:rsidRDefault="004B0FEE" w:rsidP="004B0FEE">
      <w:pPr>
        <w:spacing w:line="480" w:lineRule="auto"/>
        <w:rPr>
          <w:rFonts w:cstheme="minorHAnsi"/>
        </w:rPr>
      </w:pPr>
      <w:r w:rsidRPr="00C340E5">
        <w:rPr>
          <w:rFonts w:cstheme="minorHAnsi"/>
        </w:rPr>
        <w:t xml:space="preserve">Our study has identified that the </w:t>
      </w:r>
      <w:r>
        <w:rPr>
          <w:rFonts w:cstheme="minorHAnsi"/>
        </w:rPr>
        <w:t xml:space="preserve">main </w:t>
      </w:r>
      <w:r w:rsidRPr="00C340E5">
        <w:rPr>
          <w:rFonts w:cstheme="minorHAnsi"/>
        </w:rPr>
        <w:t>referral source was the medical profession and that General Practitioners made the majority of referrals to CAMHS. This finding is comparable to other studies where the medical profession, especially GP</w:t>
      </w:r>
      <w:r>
        <w:rPr>
          <w:rFonts w:cstheme="minorHAnsi"/>
        </w:rPr>
        <w:t>s</w:t>
      </w:r>
      <w:r w:rsidRPr="00C340E5">
        <w:rPr>
          <w:rFonts w:cstheme="minorHAnsi"/>
        </w:rPr>
        <w:t xml:space="preserve">, are often the main referrer to CAMHS (Shaw, et al 2013, Church, 2012, &amp; Hinrichs et al, 2012).  </w:t>
      </w:r>
      <w:r>
        <w:rPr>
          <w:rFonts w:cstheme="minorHAnsi"/>
        </w:rPr>
        <w:t>However, th</w:t>
      </w:r>
      <w:r w:rsidR="00353535">
        <w:rPr>
          <w:rFonts w:cstheme="minorHAnsi"/>
        </w:rPr>
        <w:t xml:space="preserve">is study </w:t>
      </w:r>
      <w:r>
        <w:rPr>
          <w:rFonts w:cstheme="minorHAnsi"/>
        </w:rPr>
        <w:t>does not tell us if the medical profession was the first point of contact when CYP or their parents</w:t>
      </w:r>
      <w:r w:rsidR="00075A85">
        <w:rPr>
          <w:rFonts w:cstheme="minorHAnsi"/>
        </w:rPr>
        <w:t>/carers</w:t>
      </w:r>
      <w:r>
        <w:rPr>
          <w:rFonts w:cstheme="minorHAnsi"/>
        </w:rPr>
        <w:t xml:space="preserve"> asked for help. </w:t>
      </w:r>
      <w:r w:rsidRPr="00C340E5">
        <w:rPr>
          <w:rFonts w:cstheme="minorHAnsi"/>
          <w:lang w:val="en"/>
        </w:rPr>
        <w:t xml:space="preserve"> </w:t>
      </w:r>
      <w:r>
        <w:rPr>
          <w:rFonts w:cstheme="minorHAnsi"/>
          <w:lang w:val="en"/>
        </w:rPr>
        <w:t xml:space="preserve">The findings </w:t>
      </w:r>
      <w:r w:rsidRPr="00C340E5">
        <w:rPr>
          <w:rFonts w:cstheme="minorHAnsi"/>
          <w:lang w:val="en"/>
        </w:rPr>
        <w:t xml:space="preserve">indicate that health visitors and social workers referred very few </w:t>
      </w:r>
      <w:r w:rsidR="00353535">
        <w:rPr>
          <w:rFonts w:cstheme="minorHAnsi"/>
          <w:lang w:val="en"/>
        </w:rPr>
        <w:t xml:space="preserve">CYP </w:t>
      </w:r>
      <w:r w:rsidRPr="00C340E5">
        <w:rPr>
          <w:rFonts w:cstheme="minorHAnsi"/>
          <w:lang w:val="en"/>
        </w:rPr>
        <w:t xml:space="preserve">directly to CAMHS but we do not know if these professionals were involved in identifying CYP in need of specialist mental health help or helping these CYP to access help. Further research is required to explore </w:t>
      </w:r>
      <w:r w:rsidR="00075A85">
        <w:rPr>
          <w:rFonts w:cstheme="minorHAnsi"/>
          <w:lang w:val="en"/>
        </w:rPr>
        <w:t xml:space="preserve">CYP’s </w:t>
      </w:r>
      <w:r w:rsidRPr="00C340E5">
        <w:rPr>
          <w:rFonts w:cstheme="minorHAnsi"/>
          <w:lang w:val="en"/>
        </w:rPr>
        <w:t xml:space="preserve">and their </w:t>
      </w:r>
      <w:r w:rsidR="00075A85">
        <w:rPr>
          <w:rFonts w:cstheme="minorHAnsi"/>
          <w:lang w:val="en"/>
        </w:rPr>
        <w:t>parent’s/</w:t>
      </w:r>
      <w:r w:rsidRPr="00C340E5">
        <w:rPr>
          <w:rFonts w:cstheme="minorHAnsi"/>
          <w:lang w:val="en"/>
        </w:rPr>
        <w:t xml:space="preserve">carer’s </w:t>
      </w:r>
      <w:r>
        <w:rPr>
          <w:rFonts w:cstheme="minorHAnsi"/>
          <w:lang w:val="en"/>
        </w:rPr>
        <w:t xml:space="preserve">pathways </w:t>
      </w:r>
      <w:r w:rsidRPr="00C340E5">
        <w:rPr>
          <w:rFonts w:cstheme="minorHAnsi"/>
          <w:lang w:val="en"/>
        </w:rPr>
        <w:t xml:space="preserve">to accessing help from </w:t>
      </w:r>
      <w:r>
        <w:rPr>
          <w:rFonts w:cstheme="minorHAnsi"/>
          <w:lang w:val="en"/>
        </w:rPr>
        <w:t xml:space="preserve">specialist </w:t>
      </w:r>
      <w:r w:rsidRPr="00C340E5">
        <w:rPr>
          <w:rFonts w:cstheme="minorHAnsi"/>
          <w:lang w:val="en"/>
        </w:rPr>
        <w:t>CAMHS.</w:t>
      </w:r>
    </w:p>
    <w:p w14:paraId="3239F809" w14:textId="77777777" w:rsidR="004B0FEE" w:rsidRPr="004B0FEE" w:rsidRDefault="00075A85" w:rsidP="00353535">
      <w:pPr>
        <w:pStyle w:val="CommentText"/>
        <w:spacing w:line="480" w:lineRule="auto"/>
      </w:pPr>
      <w:r>
        <w:rPr>
          <w:sz w:val="22"/>
          <w:szCs w:val="22"/>
        </w:rPr>
        <w:t>A</w:t>
      </w:r>
      <w:r w:rsidR="004B0FEE">
        <w:rPr>
          <w:sz w:val="22"/>
          <w:szCs w:val="22"/>
        </w:rPr>
        <w:t xml:space="preserve"> </w:t>
      </w:r>
      <w:r w:rsidR="004B0FEE" w:rsidRPr="00F715E5">
        <w:rPr>
          <w:sz w:val="22"/>
          <w:szCs w:val="22"/>
        </w:rPr>
        <w:t xml:space="preserve">key finding was that CYP were more likely to be rejected by CAMHS if referred by a teacher compared to </w:t>
      </w:r>
      <w:r w:rsidR="004B0FEE">
        <w:rPr>
          <w:sz w:val="22"/>
          <w:szCs w:val="22"/>
        </w:rPr>
        <w:t>a</w:t>
      </w:r>
      <w:r w:rsidR="004B0FEE" w:rsidRPr="00F715E5">
        <w:rPr>
          <w:sz w:val="22"/>
          <w:szCs w:val="22"/>
        </w:rPr>
        <w:t xml:space="preserve"> medical profession</w:t>
      </w:r>
      <w:r w:rsidR="004B0FEE">
        <w:rPr>
          <w:sz w:val="22"/>
          <w:szCs w:val="22"/>
        </w:rPr>
        <w:t>al. In our</w:t>
      </w:r>
      <w:r w:rsidR="004B0FEE" w:rsidRPr="00F715E5">
        <w:rPr>
          <w:sz w:val="22"/>
          <w:szCs w:val="22"/>
        </w:rPr>
        <w:t xml:space="preserve"> study teachers </w:t>
      </w:r>
      <w:r w:rsidR="004B0FEE">
        <w:rPr>
          <w:sz w:val="22"/>
          <w:szCs w:val="22"/>
        </w:rPr>
        <w:t>were</w:t>
      </w:r>
      <w:r w:rsidR="004B0FEE" w:rsidRPr="00F715E5">
        <w:rPr>
          <w:sz w:val="22"/>
          <w:szCs w:val="22"/>
        </w:rPr>
        <w:t xml:space="preserve"> more likely to refer for emotional and behaviour difficulties and CYP with these types of </w:t>
      </w:r>
      <w:r w:rsidR="004B0FEE">
        <w:rPr>
          <w:sz w:val="22"/>
          <w:szCs w:val="22"/>
        </w:rPr>
        <w:t>mental health</w:t>
      </w:r>
      <w:r w:rsidR="004B0FEE" w:rsidRPr="00F715E5">
        <w:rPr>
          <w:sz w:val="22"/>
          <w:szCs w:val="22"/>
        </w:rPr>
        <w:t xml:space="preserve"> difficulties </w:t>
      </w:r>
      <w:r w:rsidR="004B0FEE">
        <w:rPr>
          <w:sz w:val="22"/>
          <w:szCs w:val="22"/>
        </w:rPr>
        <w:t>were</w:t>
      </w:r>
      <w:r w:rsidR="004B0FEE" w:rsidRPr="00F715E5">
        <w:rPr>
          <w:sz w:val="22"/>
          <w:szCs w:val="22"/>
        </w:rPr>
        <w:t xml:space="preserve"> more likely to be rejected by CAMHS. Hence, </w:t>
      </w:r>
      <w:r>
        <w:rPr>
          <w:sz w:val="22"/>
          <w:szCs w:val="22"/>
        </w:rPr>
        <w:t xml:space="preserve">one explanation for </w:t>
      </w:r>
      <w:r w:rsidR="004B0FEE" w:rsidRPr="00F715E5">
        <w:rPr>
          <w:sz w:val="22"/>
          <w:szCs w:val="22"/>
        </w:rPr>
        <w:t xml:space="preserve">higher rates of teacher referral rejections by CAMHS </w:t>
      </w:r>
      <w:r>
        <w:rPr>
          <w:sz w:val="22"/>
          <w:szCs w:val="22"/>
        </w:rPr>
        <w:t xml:space="preserve">is </w:t>
      </w:r>
      <w:r w:rsidR="004B0FEE" w:rsidRPr="00F715E5">
        <w:rPr>
          <w:sz w:val="22"/>
          <w:szCs w:val="22"/>
        </w:rPr>
        <w:t xml:space="preserve">the reason for a referral. </w:t>
      </w:r>
      <w:r w:rsidR="004B0FEE" w:rsidRPr="00F715E5">
        <w:rPr>
          <w:rFonts w:cstheme="minorHAnsi"/>
          <w:sz w:val="22"/>
          <w:szCs w:val="22"/>
        </w:rPr>
        <w:t xml:space="preserve">Literature suggests that CYP’s emotional and behavioural problems are poorly understood by both parents and professionals involved in their care and the severity of their needs is not recognised (Priddis et al 2014, Jones et al 2011, Westheimer et al, 2008). What happens </w:t>
      </w:r>
      <w:r w:rsidR="004B0FEE">
        <w:rPr>
          <w:rFonts w:cstheme="minorHAnsi"/>
          <w:sz w:val="22"/>
          <w:szCs w:val="22"/>
        </w:rPr>
        <w:t>after</w:t>
      </w:r>
      <w:r w:rsidR="004B0FEE" w:rsidRPr="00F715E5">
        <w:rPr>
          <w:rFonts w:cstheme="minorHAnsi"/>
          <w:sz w:val="22"/>
          <w:szCs w:val="22"/>
        </w:rPr>
        <w:t xml:space="preserve"> these CYP </w:t>
      </w:r>
      <w:r w:rsidR="004B0FEE">
        <w:rPr>
          <w:rFonts w:cstheme="minorHAnsi"/>
          <w:sz w:val="22"/>
          <w:szCs w:val="22"/>
        </w:rPr>
        <w:t>are</w:t>
      </w:r>
      <w:r w:rsidR="004B0FEE" w:rsidRPr="00F715E5">
        <w:rPr>
          <w:rFonts w:cstheme="minorHAnsi"/>
          <w:sz w:val="22"/>
          <w:szCs w:val="22"/>
        </w:rPr>
        <w:t xml:space="preserve"> </w:t>
      </w:r>
      <w:r w:rsidR="004B0FEE" w:rsidRPr="00FA5275">
        <w:rPr>
          <w:rFonts w:cstheme="minorHAnsi"/>
          <w:sz w:val="22"/>
          <w:szCs w:val="22"/>
        </w:rPr>
        <w:t>rejected and</w:t>
      </w:r>
      <w:r w:rsidR="004B0FEE" w:rsidRPr="00F715E5">
        <w:rPr>
          <w:rFonts w:cstheme="minorHAnsi"/>
          <w:sz w:val="22"/>
          <w:szCs w:val="22"/>
        </w:rPr>
        <w:t xml:space="preserve"> </w:t>
      </w:r>
      <w:r w:rsidR="004B0FEE">
        <w:rPr>
          <w:rFonts w:cstheme="minorHAnsi"/>
          <w:sz w:val="22"/>
          <w:szCs w:val="22"/>
        </w:rPr>
        <w:t xml:space="preserve">whether and </w:t>
      </w:r>
      <w:r w:rsidR="004B0FEE" w:rsidRPr="00F715E5">
        <w:rPr>
          <w:rFonts w:cstheme="minorHAnsi"/>
          <w:sz w:val="22"/>
          <w:szCs w:val="22"/>
        </w:rPr>
        <w:t>where they obtain support elsewhere is unclear.</w:t>
      </w:r>
    </w:p>
    <w:p w14:paraId="74ED3048" w14:textId="77777777" w:rsidR="006F25DF" w:rsidRPr="00A77B53" w:rsidRDefault="00056F92" w:rsidP="00A77B53">
      <w:pPr>
        <w:spacing w:line="480" w:lineRule="auto"/>
        <w:rPr>
          <w:rFonts w:cstheme="minorHAnsi"/>
          <w:b/>
          <w:sz w:val="24"/>
          <w:szCs w:val="24"/>
        </w:rPr>
      </w:pPr>
      <w:r w:rsidRPr="00C340E5">
        <w:rPr>
          <w:rFonts w:cstheme="minorHAnsi"/>
        </w:rPr>
        <w:t>Th</w:t>
      </w:r>
      <w:r>
        <w:rPr>
          <w:rFonts w:cstheme="minorHAnsi"/>
        </w:rPr>
        <w:t xml:space="preserve">is </w:t>
      </w:r>
      <w:r w:rsidRPr="00C340E5">
        <w:rPr>
          <w:rFonts w:cstheme="minorHAnsi"/>
        </w:rPr>
        <w:t>study</w:t>
      </w:r>
      <w:r w:rsidR="00607F89" w:rsidRPr="00C340E5">
        <w:rPr>
          <w:rFonts w:cstheme="minorHAnsi"/>
        </w:rPr>
        <w:t xml:space="preserve"> showed that </w:t>
      </w:r>
      <w:r>
        <w:rPr>
          <w:rFonts w:cstheme="minorHAnsi"/>
        </w:rPr>
        <w:t>very few children aged 0- 5 years were referred to CAMH</w:t>
      </w:r>
      <w:r w:rsidR="00402467">
        <w:rPr>
          <w:rFonts w:cstheme="minorHAnsi"/>
        </w:rPr>
        <w:t>S</w:t>
      </w:r>
      <w:r w:rsidR="0070038F">
        <w:rPr>
          <w:rFonts w:cstheme="minorHAnsi"/>
        </w:rPr>
        <w:t>.</w:t>
      </w:r>
      <w:r>
        <w:rPr>
          <w:rFonts w:cstheme="minorHAnsi"/>
        </w:rPr>
        <w:t xml:space="preserve"> This</w:t>
      </w:r>
      <w:r w:rsidR="00525A19" w:rsidRPr="00C340E5">
        <w:rPr>
          <w:rFonts w:cstheme="minorHAnsi"/>
        </w:rPr>
        <w:t xml:space="preserve"> appears </w:t>
      </w:r>
      <w:r w:rsidR="009C6785" w:rsidRPr="00C340E5">
        <w:rPr>
          <w:rFonts w:cstheme="minorHAnsi"/>
        </w:rPr>
        <w:t>to be the case in other</w:t>
      </w:r>
      <w:r w:rsidR="00AD6F46">
        <w:rPr>
          <w:rFonts w:cstheme="minorHAnsi"/>
        </w:rPr>
        <w:t xml:space="preserve"> UK and international </w:t>
      </w:r>
      <w:r w:rsidR="00AD6F46" w:rsidRPr="00C340E5">
        <w:rPr>
          <w:rFonts w:cstheme="minorHAnsi"/>
        </w:rPr>
        <w:t>studies</w:t>
      </w:r>
      <w:r>
        <w:rPr>
          <w:rFonts w:cstheme="minorHAnsi"/>
        </w:rPr>
        <w:t xml:space="preserve"> (Power et al, </w:t>
      </w:r>
      <w:r w:rsidR="000364DA">
        <w:rPr>
          <w:rFonts w:cstheme="minorHAnsi"/>
        </w:rPr>
        <w:t xml:space="preserve">2005, </w:t>
      </w:r>
      <w:r>
        <w:rPr>
          <w:rFonts w:cstheme="minorHAnsi"/>
        </w:rPr>
        <w:t>Valleley et al</w:t>
      </w:r>
      <w:r w:rsidR="000364DA">
        <w:rPr>
          <w:rFonts w:cstheme="minorHAnsi"/>
        </w:rPr>
        <w:t>,</w:t>
      </w:r>
      <w:r>
        <w:rPr>
          <w:rFonts w:cstheme="minorHAnsi"/>
        </w:rPr>
        <w:t xml:space="preserve"> </w:t>
      </w:r>
      <w:r w:rsidR="005B7223" w:rsidRPr="00C340E5">
        <w:rPr>
          <w:rFonts w:cstheme="minorHAnsi"/>
        </w:rPr>
        <w:t>2007</w:t>
      </w:r>
      <w:r w:rsidR="005B7223" w:rsidRPr="00056F92">
        <w:rPr>
          <w:rFonts w:cstheme="minorHAnsi"/>
        </w:rPr>
        <w:t>,</w:t>
      </w:r>
      <w:r>
        <w:rPr>
          <w:rFonts w:cstheme="minorHAnsi"/>
        </w:rPr>
        <w:t xml:space="preserve"> </w:t>
      </w:r>
      <w:r w:rsidRPr="00C340E5">
        <w:rPr>
          <w:rFonts w:cstheme="minorHAnsi"/>
        </w:rPr>
        <w:t>Pedrini 2015)</w:t>
      </w:r>
      <w:r w:rsidR="005657EB">
        <w:rPr>
          <w:rFonts w:cstheme="minorHAnsi"/>
        </w:rPr>
        <w:t>.</w:t>
      </w:r>
      <w:r w:rsidR="00525A19" w:rsidRPr="00C340E5">
        <w:rPr>
          <w:rFonts w:cstheme="minorHAnsi"/>
        </w:rPr>
        <w:t xml:space="preserve"> </w:t>
      </w:r>
      <w:r w:rsidR="00F02631" w:rsidRPr="00C340E5">
        <w:rPr>
          <w:rFonts w:cstheme="minorHAnsi"/>
        </w:rPr>
        <w:t xml:space="preserve">These findings suggest that children in the early years </w:t>
      </w:r>
      <w:r>
        <w:rPr>
          <w:rFonts w:cstheme="minorHAnsi"/>
        </w:rPr>
        <w:t xml:space="preserve">were </w:t>
      </w:r>
      <w:r w:rsidR="00F02631" w:rsidRPr="00C340E5">
        <w:rPr>
          <w:rFonts w:cstheme="minorHAnsi"/>
        </w:rPr>
        <w:t>not being regularly referred to or accessing CAMH</w:t>
      </w:r>
      <w:r w:rsidR="005657EB">
        <w:rPr>
          <w:rFonts w:cstheme="minorHAnsi"/>
        </w:rPr>
        <w:t>S</w:t>
      </w:r>
      <w:r w:rsidR="00F02631" w:rsidRPr="00C340E5">
        <w:rPr>
          <w:rFonts w:cstheme="minorHAnsi"/>
        </w:rPr>
        <w:t xml:space="preserve">, </w:t>
      </w:r>
      <w:r w:rsidR="0053391A" w:rsidRPr="00C340E5">
        <w:rPr>
          <w:rFonts w:cstheme="minorHAnsi"/>
        </w:rPr>
        <w:t>however whether</w:t>
      </w:r>
      <w:r w:rsidR="001A22E4">
        <w:rPr>
          <w:rFonts w:cstheme="minorHAnsi"/>
        </w:rPr>
        <w:t xml:space="preserve"> this is because there is less need amongst younger children or whether the </w:t>
      </w:r>
      <w:r>
        <w:rPr>
          <w:rFonts w:cstheme="minorHAnsi"/>
        </w:rPr>
        <w:t xml:space="preserve">mental health </w:t>
      </w:r>
      <w:r w:rsidR="001A22E4">
        <w:rPr>
          <w:rFonts w:cstheme="minorHAnsi"/>
        </w:rPr>
        <w:t>needs of younger children are not recognised is unknown.</w:t>
      </w:r>
      <w:r w:rsidR="000B6ADA">
        <w:rPr>
          <w:rFonts w:cstheme="minorHAnsi"/>
        </w:rPr>
        <w:t xml:space="preserve"> </w:t>
      </w:r>
    </w:p>
    <w:p w14:paraId="4A623124" w14:textId="77777777" w:rsidR="004B0FEE" w:rsidRDefault="004B0FEE" w:rsidP="004B0FEE">
      <w:pPr>
        <w:spacing w:line="480" w:lineRule="auto"/>
        <w:rPr>
          <w:rFonts w:cstheme="minorHAnsi"/>
        </w:rPr>
      </w:pPr>
      <w:r>
        <w:rPr>
          <w:rFonts w:cstheme="minorHAnsi"/>
        </w:rPr>
        <w:t xml:space="preserve">In univariate analysis, this study also </w:t>
      </w:r>
      <w:r w:rsidRPr="00C340E5">
        <w:rPr>
          <w:rFonts w:cstheme="minorHAnsi"/>
        </w:rPr>
        <w:t>found</w:t>
      </w:r>
      <w:r>
        <w:rPr>
          <w:rFonts w:cstheme="minorHAnsi"/>
        </w:rPr>
        <w:t xml:space="preserve"> patterns of referral associated with gender that warrant investigation in a larger study. Other studies have found that boys and girls often manifest different mental health, social and behaviour patterns (Currie et al 2012, Maschi, 2010). However, </w:t>
      </w:r>
      <w:r w:rsidRPr="00C340E5">
        <w:rPr>
          <w:rFonts w:cstheme="minorHAnsi"/>
        </w:rPr>
        <w:t xml:space="preserve">Maschi et al (2010) suggest there is the potential for practitioners and other professionals to be predisposed to gender bias in identifying children’s problems, including </w:t>
      </w:r>
      <w:r>
        <w:rPr>
          <w:rFonts w:cstheme="minorHAnsi"/>
        </w:rPr>
        <w:t xml:space="preserve">when making a </w:t>
      </w:r>
      <w:r w:rsidRPr="00C340E5">
        <w:rPr>
          <w:rFonts w:cstheme="minorHAnsi"/>
        </w:rPr>
        <w:t xml:space="preserve">diagnosis and </w:t>
      </w:r>
      <w:r>
        <w:rPr>
          <w:rFonts w:cstheme="minorHAnsi"/>
        </w:rPr>
        <w:t xml:space="preserve">deciding </w:t>
      </w:r>
      <w:r w:rsidRPr="00C340E5">
        <w:rPr>
          <w:rFonts w:cstheme="minorHAnsi"/>
        </w:rPr>
        <w:t>which service to refer to. Additionally, Sund et al (2012) state that whilst differences in prevalence rates may reflect true rates, they may also be as a result of variation in methods and measures used for assessment of CYP’s mental health difficulties.</w:t>
      </w:r>
      <w:r>
        <w:rPr>
          <w:rFonts w:cstheme="minorHAnsi"/>
        </w:rPr>
        <w:t xml:space="preserve"> The pattern in our findings suggests that it would be important to look further into </w:t>
      </w:r>
      <w:r w:rsidRPr="00C340E5">
        <w:rPr>
          <w:rFonts w:cstheme="minorHAnsi"/>
        </w:rPr>
        <w:t>whether gender ha</w:t>
      </w:r>
      <w:r>
        <w:rPr>
          <w:rFonts w:cstheme="minorHAnsi"/>
        </w:rPr>
        <w:t>s</w:t>
      </w:r>
      <w:r w:rsidRPr="00C340E5">
        <w:rPr>
          <w:rFonts w:cstheme="minorHAnsi"/>
        </w:rPr>
        <w:t xml:space="preserve"> an impact on the referral process and eventual referral decisions made by the CAMHS.</w:t>
      </w:r>
    </w:p>
    <w:p w14:paraId="34041D00" w14:textId="77777777" w:rsidR="003503AD" w:rsidRPr="00C340E5" w:rsidRDefault="003503AD" w:rsidP="00AA2F72">
      <w:pPr>
        <w:autoSpaceDE w:val="0"/>
        <w:autoSpaceDN w:val="0"/>
        <w:adjustRightInd w:val="0"/>
        <w:spacing w:after="0" w:line="480" w:lineRule="auto"/>
        <w:rPr>
          <w:rFonts w:cstheme="minorHAnsi"/>
        </w:rPr>
      </w:pPr>
    </w:p>
    <w:p w14:paraId="1CD96A8F" w14:textId="77777777" w:rsidR="00E51322" w:rsidRDefault="005657EB" w:rsidP="00AA2F72">
      <w:pPr>
        <w:autoSpaceDE w:val="0"/>
        <w:autoSpaceDN w:val="0"/>
        <w:adjustRightInd w:val="0"/>
        <w:spacing w:after="0" w:line="480" w:lineRule="auto"/>
        <w:rPr>
          <w:rFonts w:cstheme="minorHAnsi"/>
        </w:rPr>
      </w:pPr>
      <w:r>
        <w:rPr>
          <w:rFonts w:cstheme="minorHAnsi"/>
        </w:rPr>
        <w:t>V</w:t>
      </w:r>
      <w:r w:rsidR="003503AD" w:rsidRPr="00C340E5">
        <w:rPr>
          <w:rFonts w:cstheme="minorHAnsi"/>
        </w:rPr>
        <w:t xml:space="preserve">ery few </w:t>
      </w:r>
      <w:r>
        <w:rPr>
          <w:rFonts w:cstheme="minorHAnsi"/>
        </w:rPr>
        <w:t xml:space="preserve">referrals in our study were made for CYP </w:t>
      </w:r>
      <w:r w:rsidR="003503AD" w:rsidRPr="00C340E5">
        <w:rPr>
          <w:rFonts w:cstheme="minorHAnsi"/>
        </w:rPr>
        <w:t xml:space="preserve">from </w:t>
      </w:r>
      <w:r w:rsidR="00C32489">
        <w:rPr>
          <w:rFonts w:cstheme="minorHAnsi"/>
        </w:rPr>
        <w:t>deprived areas</w:t>
      </w:r>
      <w:r w:rsidR="005B16CA" w:rsidRPr="00C340E5">
        <w:rPr>
          <w:rFonts w:cstheme="minorHAnsi"/>
        </w:rPr>
        <w:t>.</w:t>
      </w:r>
      <w:r w:rsidR="00E51322">
        <w:rPr>
          <w:rFonts w:cstheme="minorHAnsi"/>
        </w:rPr>
        <w:t xml:space="preserve"> </w:t>
      </w:r>
      <w:r w:rsidR="002537F8">
        <w:rPr>
          <w:rFonts w:cstheme="minorHAnsi"/>
        </w:rPr>
        <w:t xml:space="preserve">This finding is surprising especially as </w:t>
      </w:r>
      <w:r w:rsidR="002537F8" w:rsidRPr="00C340E5">
        <w:rPr>
          <w:rFonts w:cstheme="minorHAnsi"/>
        </w:rPr>
        <w:t xml:space="preserve">research suggests </w:t>
      </w:r>
      <w:r w:rsidR="002537F8">
        <w:rPr>
          <w:rFonts w:cstheme="minorHAnsi"/>
        </w:rPr>
        <w:t xml:space="preserve">that </w:t>
      </w:r>
      <w:r w:rsidR="002537F8" w:rsidRPr="00C340E5">
        <w:rPr>
          <w:rFonts w:cstheme="minorHAnsi"/>
        </w:rPr>
        <w:t>there may be direct links with poverty and children’s</w:t>
      </w:r>
      <w:r w:rsidR="002537F8">
        <w:rPr>
          <w:rFonts w:cstheme="minorHAnsi"/>
        </w:rPr>
        <w:t xml:space="preserve"> poor</w:t>
      </w:r>
      <w:r w:rsidR="002537F8" w:rsidRPr="00C340E5">
        <w:rPr>
          <w:rFonts w:cstheme="minorHAnsi"/>
        </w:rPr>
        <w:t xml:space="preserve"> </w:t>
      </w:r>
      <w:r w:rsidR="002537F8" w:rsidRPr="00F71F63">
        <w:rPr>
          <w:rFonts w:cstheme="minorHAnsi"/>
        </w:rPr>
        <w:t>mental health (Leffman &amp; Combe- Orme 2014,</w:t>
      </w:r>
      <w:r w:rsidR="002537F8" w:rsidRPr="00D606ED">
        <w:rPr>
          <w:rFonts w:cstheme="minorHAnsi"/>
        </w:rPr>
        <w:t xml:space="preserve"> Tilleczek</w:t>
      </w:r>
      <w:r w:rsidR="002537F8">
        <w:rPr>
          <w:rFonts w:cstheme="minorHAnsi"/>
        </w:rPr>
        <w:t xml:space="preserve"> et al 2014, Cooper &amp; Stewart 2013)</w:t>
      </w:r>
      <w:r w:rsidR="002537F8" w:rsidRPr="00F71F63">
        <w:rPr>
          <w:rFonts w:cstheme="minorHAnsi"/>
        </w:rPr>
        <w:t>.</w:t>
      </w:r>
      <w:r w:rsidR="00E51322">
        <w:rPr>
          <w:rFonts w:cstheme="minorHAnsi"/>
        </w:rPr>
        <w:t xml:space="preserve"> </w:t>
      </w:r>
      <w:r>
        <w:rPr>
          <w:rFonts w:cstheme="minorHAnsi"/>
        </w:rPr>
        <w:t>While</w:t>
      </w:r>
      <w:r w:rsidR="00E51322">
        <w:rPr>
          <w:rFonts w:cstheme="minorHAnsi"/>
        </w:rPr>
        <w:t xml:space="preserve"> fewer CYPs from deprived areas were referred to CAMHS, they waited the longest to be seen. </w:t>
      </w:r>
      <w:r w:rsidR="002537F8" w:rsidRPr="00F71F63">
        <w:rPr>
          <w:rFonts w:cstheme="minorHAnsi"/>
        </w:rPr>
        <w:t xml:space="preserve"> </w:t>
      </w:r>
      <w:r>
        <w:rPr>
          <w:rFonts w:cstheme="minorHAnsi"/>
        </w:rPr>
        <w:t>Although t</w:t>
      </w:r>
      <w:r w:rsidR="009A7C82">
        <w:rPr>
          <w:rFonts w:cstheme="minorHAnsi"/>
        </w:rPr>
        <w:t>h</w:t>
      </w:r>
      <w:r w:rsidR="00402467">
        <w:rPr>
          <w:rFonts w:cstheme="minorHAnsi"/>
        </w:rPr>
        <w:t>is f</w:t>
      </w:r>
      <w:r w:rsidR="00071CC2">
        <w:rPr>
          <w:rFonts w:cstheme="minorHAnsi"/>
        </w:rPr>
        <w:t>inding</w:t>
      </w:r>
      <w:r w:rsidR="009A7C82">
        <w:rPr>
          <w:rFonts w:cstheme="minorHAnsi"/>
        </w:rPr>
        <w:t xml:space="preserve"> may be an artefact of the study being conducted </w:t>
      </w:r>
      <w:r>
        <w:rPr>
          <w:rFonts w:cstheme="minorHAnsi"/>
        </w:rPr>
        <w:t>with a relatively small sample size in just one area, f</w:t>
      </w:r>
      <w:r w:rsidR="009A7C82">
        <w:rPr>
          <w:rFonts w:cstheme="minorHAnsi"/>
        </w:rPr>
        <w:t>urther investigation is</w:t>
      </w:r>
      <w:r w:rsidR="00402467">
        <w:rPr>
          <w:rFonts w:cstheme="minorHAnsi"/>
        </w:rPr>
        <w:t xml:space="preserve"> </w:t>
      </w:r>
      <w:r>
        <w:rPr>
          <w:rFonts w:cstheme="minorHAnsi"/>
        </w:rPr>
        <w:t>nevertheless</w:t>
      </w:r>
      <w:r w:rsidR="00402467">
        <w:rPr>
          <w:rFonts w:cstheme="minorHAnsi"/>
        </w:rPr>
        <w:t xml:space="preserve"> </w:t>
      </w:r>
      <w:r w:rsidR="009A7C82">
        <w:rPr>
          <w:rFonts w:cstheme="minorHAnsi"/>
        </w:rPr>
        <w:t>required into</w:t>
      </w:r>
      <w:r w:rsidR="00402467">
        <w:rPr>
          <w:rFonts w:cstheme="minorHAnsi"/>
        </w:rPr>
        <w:t xml:space="preserve"> associations between reasons and outco</w:t>
      </w:r>
      <w:r>
        <w:rPr>
          <w:rFonts w:cstheme="minorHAnsi"/>
        </w:rPr>
        <w:t xml:space="preserve">mes of referral and deprivation, especially to determine whether the socioeconomic gradient identified in this study exists </w:t>
      </w:r>
      <w:r w:rsidR="00402467">
        <w:rPr>
          <w:rFonts w:cstheme="minorHAnsi"/>
        </w:rPr>
        <w:t>at a national level.</w:t>
      </w:r>
      <w:r w:rsidR="009A7C82">
        <w:rPr>
          <w:rFonts w:cstheme="minorHAnsi"/>
        </w:rPr>
        <w:t xml:space="preserve"> </w:t>
      </w:r>
      <w:r w:rsidR="00215847" w:rsidRPr="00215847">
        <w:t xml:space="preserve"> </w:t>
      </w:r>
    </w:p>
    <w:p w14:paraId="5BD9B675" w14:textId="77777777" w:rsidR="004B0FEE" w:rsidRDefault="004B0FEE" w:rsidP="00AA2F72">
      <w:pPr>
        <w:autoSpaceDE w:val="0"/>
        <w:autoSpaceDN w:val="0"/>
        <w:adjustRightInd w:val="0"/>
        <w:spacing w:after="0" w:line="480" w:lineRule="auto"/>
        <w:rPr>
          <w:rFonts w:cstheme="minorHAnsi"/>
        </w:rPr>
      </w:pPr>
    </w:p>
    <w:p w14:paraId="4A397D6C" w14:textId="77777777" w:rsidR="004B0FEE" w:rsidRDefault="004B0FEE" w:rsidP="004B0FEE">
      <w:pPr>
        <w:autoSpaceDE w:val="0"/>
        <w:autoSpaceDN w:val="0"/>
        <w:adjustRightInd w:val="0"/>
        <w:spacing w:after="0" w:line="480" w:lineRule="auto"/>
        <w:rPr>
          <w:rFonts w:cstheme="minorHAnsi"/>
        </w:rPr>
      </w:pPr>
      <w:r>
        <w:rPr>
          <w:rFonts w:cstheme="minorHAnsi"/>
        </w:rPr>
        <w:t>The study demonstrated that referral reason</w:t>
      </w:r>
      <w:r w:rsidRPr="00C340E5">
        <w:rPr>
          <w:rFonts w:cstheme="minorHAnsi"/>
        </w:rPr>
        <w:t xml:space="preserve"> </w:t>
      </w:r>
      <w:r>
        <w:rPr>
          <w:rFonts w:cstheme="minorHAnsi"/>
        </w:rPr>
        <w:t>w</w:t>
      </w:r>
      <w:r w:rsidR="00075A85">
        <w:rPr>
          <w:rFonts w:cstheme="minorHAnsi"/>
        </w:rPr>
        <w:t>as a</w:t>
      </w:r>
      <w:r w:rsidRPr="00C340E5">
        <w:rPr>
          <w:rFonts w:cstheme="minorHAnsi"/>
        </w:rPr>
        <w:t xml:space="preserve"> significant independent predictor of waiting time</w:t>
      </w:r>
      <w:r>
        <w:rPr>
          <w:rFonts w:cstheme="minorHAnsi"/>
        </w:rPr>
        <w:t xml:space="preserve">. </w:t>
      </w:r>
      <w:r w:rsidR="00075A85">
        <w:rPr>
          <w:rFonts w:cstheme="minorHAnsi"/>
        </w:rPr>
        <w:t xml:space="preserve">The study </w:t>
      </w:r>
      <w:r>
        <w:rPr>
          <w:rFonts w:cstheme="minorHAnsi"/>
        </w:rPr>
        <w:t xml:space="preserve">suggests that the specialist CAMH service </w:t>
      </w:r>
      <w:r w:rsidR="004E411D">
        <w:rPr>
          <w:rFonts w:cstheme="minorHAnsi"/>
        </w:rPr>
        <w:t>were defining</w:t>
      </w:r>
      <w:r w:rsidR="00075A85">
        <w:rPr>
          <w:rFonts w:cstheme="minorHAnsi"/>
        </w:rPr>
        <w:t xml:space="preserve"> </w:t>
      </w:r>
      <w:r>
        <w:rPr>
          <w:rFonts w:cstheme="minorHAnsi"/>
        </w:rPr>
        <w:t xml:space="preserve">CYP </w:t>
      </w:r>
      <w:r w:rsidR="00075A85">
        <w:rPr>
          <w:rFonts w:cstheme="minorHAnsi"/>
        </w:rPr>
        <w:t xml:space="preserve">referred </w:t>
      </w:r>
      <w:r>
        <w:rPr>
          <w:rFonts w:cstheme="minorHAnsi"/>
        </w:rPr>
        <w:t>with self-harm and eating disorder</w:t>
      </w:r>
      <w:r w:rsidR="00075A85">
        <w:rPr>
          <w:rFonts w:cstheme="minorHAnsi"/>
        </w:rPr>
        <w:t>s</w:t>
      </w:r>
      <w:r>
        <w:rPr>
          <w:rFonts w:cstheme="minorHAnsi"/>
        </w:rPr>
        <w:t xml:space="preserve"> need treatment the quickest</w:t>
      </w:r>
      <w:r w:rsidR="00075A85">
        <w:rPr>
          <w:rFonts w:cstheme="minorHAnsi"/>
        </w:rPr>
        <w:t xml:space="preserve"> since these two reasons for referral waited the least time</w:t>
      </w:r>
      <w:r>
        <w:rPr>
          <w:rFonts w:cstheme="minorHAnsi"/>
        </w:rPr>
        <w:t xml:space="preserve">. </w:t>
      </w:r>
      <w:r w:rsidR="001400AE">
        <w:rPr>
          <w:rFonts w:cstheme="minorHAnsi"/>
        </w:rPr>
        <w:t xml:space="preserve">It </w:t>
      </w:r>
      <w:r>
        <w:rPr>
          <w:rFonts w:cstheme="minorHAnsi"/>
        </w:rPr>
        <w:t xml:space="preserve">is unclear </w:t>
      </w:r>
      <w:r w:rsidR="001400AE">
        <w:rPr>
          <w:rFonts w:cstheme="minorHAnsi"/>
        </w:rPr>
        <w:t xml:space="preserve">why </w:t>
      </w:r>
      <w:r>
        <w:rPr>
          <w:rFonts w:cstheme="minorHAnsi"/>
        </w:rPr>
        <w:t xml:space="preserve">CYP referred for hyperactivity/inattention waited significantly longer than other CYPs. This is an important finding as CYP with disorders like </w:t>
      </w:r>
      <w:r w:rsidR="00C63712">
        <w:rPr>
          <w:rFonts w:cstheme="minorHAnsi"/>
        </w:rPr>
        <w:t>attention deficit hyperactivity disorder(</w:t>
      </w:r>
      <w:r>
        <w:rPr>
          <w:rFonts w:cstheme="minorHAnsi"/>
        </w:rPr>
        <w:t>ADHD</w:t>
      </w:r>
      <w:r w:rsidR="00C63712">
        <w:rPr>
          <w:rFonts w:cstheme="minorHAnsi"/>
        </w:rPr>
        <w:t>)</w:t>
      </w:r>
      <w:r>
        <w:rPr>
          <w:rFonts w:cstheme="minorHAnsi"/>
        </w:rPr>
        <w:t xml:space="preserve"> are at risk of poorer outcomes if there are delays in the initiation of appropriate treatment (Arya et al 2015). The implication of this finding for policy and practice is the need to ensure that initial assessments of CYP’s mental health needs by referrers and the receiving referral team are robust so that CYP that require support from specialist services receive specialist support and do not fall through ‘gaps’ between services.   The support CYP receive (if any) from other services after being rejected by, or whilst waiting for, CAMHS is not known.  For this reason future research should investigate the experiences of CYP rejected or waiting for CAMHS treatment to build a comprehensive understanding of their pathway through health and social care services after the identification of a mental health need.</w:t>
      </w:r>
    </w:p>
    <w:p w14:paraId="1A8D66B0" w14:textId="77777777" w:rsidR="00562A69" w:rsidRDefault="00562A69" w:rsidP="00AA2F72">
      <w:pPr>
        <w:autoSpaceDE w:val="0"/>
        <w:autoSpaceDN w:val="0"/>
        <w:adjustRightInd w:val="0"/>
        <w:spacing w:after="0" w:line="480" w:lineRule="auto"/>
        <w:rPr>
          <w:rFonts w:cstheme="minorHAnsi"/>
          <w:b/>
        </w:rPr>
      </w:pPr>
    </w:p>
    <w:p w14:paraId="3DA9283B" w14:textId="77777777" w:rsidR="003D79FF" w:rsidRDefault="003D79FF" w:rsidP="00AA2F72">
      <w:pPr>
        <w:autoSpaceDE w:val="0"/>
        <w:autoSpaceDN w:val="0"/>
        <w:adjustRightInd w:val="0"/>
        <w:spacing w:after="0" w:line="480" w:lineRule="auto"/>
        <w:rPr>
          <w:rFonts w:cstheme="minorHAnsi"/>
          <w:b/>
          <w:sz w:val="24"/>
          <w:szCs w:val="24"/>
        </w:rPr>
      </w:pPr>
    </w:p>
    <w:p w14:paraId="1D79456A" w14:textId="77777777" w:rsidR="005222FB" w:rsidRDefault="005222FB" w:rsidP="00AA2F72">
      <w:pPr>
        <w:autoSpaceDE w:val="0"/>
        <w:autoSpaceDN w:val="0"/>
        <w:adjustRightInd w:val="0"/>
        <w:spacing w:after="0" w:line="480" w:lineRule="auto"/>
        <w:rPr>
          <w:rFonts w:cstheme="minorHAnsi"/>
          <w:b/>
          <w:sz w:val="24"/>
          <w:szCs w:val="24"/>
        </w:rPr>
      </w:pPr>
      <w:r>
        <w:rPr>
          <w:rFonts w:cstheme="minorHAnsi"/>
          <w:b/>
          <w:sz w:val="24"/>
          <w:szCs w:val="24"/>
        </w:rPr>
        <w:t>LIMITATIONS</w:t>
      </w:r>
    </w:p>
    <w:p w14:paraId="5068AF26" w14:textId="77777777" w:rsidR="00E71424" w:rsidRDefault="00E71424" w:rsidP="00AA2F72">
      <w:pPr>
        <w:autoSpaceDE w:val="0"/>
        <w:autoSpaceDN w:val="0"/>
        <w:adjustRightInd w:val="0"/>
        <w:spacing w:after="0" w:line="480" w:lineRule="auto"/>
        <w:rPr>
          <w:rFonts w:cstheme="minorHAnsi"/>
        </w:rPr>
      </w:pPr>
      <w:r>
        <w:rPr>
          <w:rFonts w:cstheme="minorHAnsi"/>
        </w:rPr>
        <w:t>This study was conducted in one specialist CAMH</w:t>
      </w:r>
      <w:r w:rsidR="00524F9B">
        <w:rPr>
          <w:rFonts w:cstheme="minorHAnsi"/>
        </w:rPr>
        <w:t>S</w:t>
      </w:r>
      <w:r>
        <w:rPr>
          <w:rFonts w:cstheme="minorHAnsi"/>
        </w:rPr>
        <w:t xml:space="preserve"> in a semi urban/rural community so it might not be representative of other CYP</w:t>
      </w:r>
      <w:r w:rsidR="001400AE">
        <w:rPr>
          <w:rFonts w:cstheme="minorHAnsi"/>
        </w:rPr>
        <w:t>, particularly those</w:t>
      </w:r>
      <w:r>
        <w:rPr>
          <w:rFonts w:cstheme="minorHAnsi"/>
        </w:rPr>
        <w:t xml:space="preserve"> in more urban environments. </w:t>
      </w:r>
      <w:r w:rsidR="00BF68A8">
        <w:rPr>
          <w:rFonts w:cstheme="minorHAnsi"/>
        </w:rPr>
        <w:t xml:space="preserve">Thus, it will be important to repeat the study in other CAMHS to corroborate or refute the findings of this study. </w:t>
      </w:r>
      <w:r>
        <w:rPr>
          <w:rFonts w:cstheme="minorHAnsi"/>
        </w:rPr>
        <w:t xml:space="preserve">Missing postcode data </w:t>
      </w:r>
      <w:r w:rsidR="001400AE">
        <w:rPr>
          <w:rFonts w:cstheme="minorHAnsi"/>
        </w:rPr>
        <w:t xml:space="preserve">for identifying deprivation </w:t>
      </w:r>
      <w:r>
        <w:rPr>
          <w:rFonts w:cstheme="minorHAnsi"/>
        </w:rPr>
        <w:t xml:space="preserve">may have also had an impact on the findings. </w:t>
      </w:r>
      <w:r w:rsidR="00BF68A8">
        <w:rPr>
          <w:rFonts w:cstheme="minorHAnsi"/>
        </w:rPr>
        <w:t xml:space="preserve">Finally, we developed our own classification of reasons for referral to CAMHS. In order to allow future comparative research in Scotland and other countries there needs to be a consensus about classification. </w:t>
      </w:r>
    </w:p>
    <w:p w14:paraId="5B14351F" w14:textId="77777777" w:rsidR="00215847" w:rsidRDefault="00215847" w:rsidP="00AA2F72">
      <w:pPr>
        <w:autoSpaceDE w:val="0"/>
        <w:autoSpaceDN w:val="0"/>
        <w:adjustRightInd w:val="0"/>
        <w:spacing w:after="0" w:line="480" w:lineRule="auto"/>
        <w:rPr>
          <w:rFonts w:cstheme="minorHAnsi"/>
        </w:rPr>
      </w:pPr>
    </w:p>
    <w:p w14:paraId="3146CAD1" w14:textId="77777777" w:rsidR="00215847" w:rsidRPr="00E71424" w:rsidRDefault="00215847" w:rsidP="00AA2F72">
      <w:pPr>
        <w:autoSpaceDE w:val="0"/>
        <w:autoSpaceDN w:val="0"/>
        <w:adjustRightInd w:val="0"/>
        <w:spacing w:after="0" w:line="480" w:lineRule="auto"/>
        <w:rPr>
          <w:rFonts w:cstheme="minorHAnsi"/>
        </w:rPr>
      </w:pPr>
    </w:p>
    <w:p w14:paraId="03DF84A1" w14:textId="77777777" w:rsidR="00E71424" w:rsidRDefault="00E71424" w:rsidP="00AA2F72">
      <w:pPr>
        <w:autoSpaceDE w:val="0"/>
        <w:autoSpaceDN w:val="0"/>
        <w:adjustRightInd w:val="0"/>
        <w:spacing w:after="0" w:line="480" w:lineRule="auto"/>
        <w:rPr>
          <w:rFonts w:cstheme="minorHAnsi"/>
        </w:rPr>
      </w:pPr>
    </w:p>
    <w:p w14:paraId="30EFB9A7" w14:textId="77777777" w:rsidR="00114C6D" w:rsidRDefault="00114C6D" w:rsidP="00AA2F72">
      <w:pPr>
        <w:autoSpaceDE w:val="0"/>
        <w:autoSpaceDN w:val="0"/>
        <w:adjustRightInd w:val="0"/>
        <w:spacing w:after="0" w:line="480" w:lineRule="auto"/>
        <w:rPr>
          <w:rFonts w:cstheme="minorHAnsi"/>
        </w:rPr>
      </w:pPr>
    </w:p>
    <w:p w14:paraId="77B2191A" w14:textId="77777777" w:rsidR="005222FB" w:rsidRDefault="005222FB" w:rsidP="00AA2F72">
      <w:pPr>
        <w:autoSpaceDE w:val="0"/>
        <w:autoSpaceDN w:val="0"/>
        <w:adjustRightInd w:val="0"/>
        <w:spacing w:after="0" w:line="480" w:lineRule="auto"/>
        <w:rPr>
          <w:rFonts w:cstheme="minorHAnsi"/>
          <w:b/>
          <w:sz w:val="24"/>
          <w:szCs w:val="24"/>
        </w:rPr>
      </w:pPr>
      <w:r>
        <w:rPr>
          <w:rFonts w:cstheme="minorHAnsi"/>
          <w:b/>
          <w:sz w:val="24"/>
          <w:szCs w:val="24"/>
        </w:rPr>
        <w:t>CONCLUSION</w:t>
      </w:r>
    </w:p>
    <w:p w14:paraId="0679E7B2" w14:textId="77777777" w:rsidR="00E236CD" w:rsidRDefault="00E236CD" w:rsidP="00AA2F72">
      <w:pPr>
        <w:autoSpaceDE w:val="0"/>
        <w:autoSpaceDN w:val="0"/>
        <w:adjustRightInd w:val="0"/>
        <w:spacing w:after="0" w:line="480" w:lineRule="auto"/>
        <w:rPr>
          <w:rFonts w:cstheme="minorHAnsi"/>
        </w:rPr>
      </w:pPr>
      <w:r>
        <w:rPr>
          <w:rFonts w:cstheme="minorHAnsi"/>
        </w:rPr>
        <w:t>This study has reported the key findings from an exploratory study that examined patterns of referral and wait</w:t>
      </w:r>
      <w:r w:rsidR="00114C6D">
        <w:rPr>
          <w:rFonts w:cstheme="minorHAnsi"/>
        </w:rPr>
        <w:t>ing</w:t>
      </w:r>
      <w:r>
        <w:rPr>
          <w:rFonts w:cstheme="minorHAnsi"/>
        </w:rPr>
        <w:t xml:space="preserve"> time to CAMHS. We found associations between the referral source and referral reason for rejection</w:t>
      </w:r>
      <w:r w:rsidR="00114C6D">
        <w:rPr>
          <w:rFonts w:cstheme="minorHAnsi"/>
        </w:rPr>
        <w:t>,</w:t>
      </w:r>
      <w:r>
        <w:rPr>
          <w:rFonts w:cstheme="minorHAnsi"/>
        </w:rPr>
        <w:t xml:space="preserve"> and</w:t>
      </w:r>
      <w:r w:rsidR="00114C6D">
        <w:rPr>
          <w:rFonts w:cstheme="minorHAnsi"/>
        </w:rPr>
        <w:t xml:space="preserve"> age and</w:t>
      </w:r>
      <w:r>
        <w:rPr>
          <w:rFonts w:cstheme="minorHAnsi"/>
        </w:rPr>
        <w:t xml:space="preserve"> referral reason in relation to wait</w:t>
      </w:r>
      <w:r w:rsidR="00114C6D">
        <w:rPr>
          <w:rFonts w:cstheme="minorHAnsi"/>
        </w:rPr>
        <w:t>ing</w:t>
      </w:r>
      <w:r>
        <w:rPr>
          <w:rFonts w:cstheme="minorHAnsi"/>
        </w:rPr>
        <w:t xml:space="preserve"> time</w:t>
      </w:r>
      <w:r w:rsidR="00114C6D">
        <w:rPr>
          <w:rFonts w:cstheme="minorHAnsi"/>
        </w:rPr>
        <w:t>s</w:t>
      </w:r>
      <w:r>
        <w:rPr>
          <w:rFonts w:cstheme="minorHAnsi"/>
        </w:rPr>
        <w:t xml:space="preserve">. These findings have important messages for policy and practice especially </w:t>
      </w:r>
      <w:r w:rsidR="00C64712">
        <w:rPr>
          <w:rFonts w:cstheme="minorHAnsi"/>
        </w:rPr>
        <w:t>relating</w:t>
      </w:r>
      <w:r>
        <w:rPr>
          <w:rFonts w:cstheme="minorHAnsi"/>
        </w:rPr>
        <w:t xml:space="preserve"> to ensuring CYP get the right </w:t>
      </w:r>
      <w:r w:rsidR="00C64712">
        <w:rPr>
          <w:rFonts w:cstheme="minorHAnsi"/>
        </w:rPr>
        <w:t>help</w:t>
      </w:r>
      <w:r>
        <w:rPr>
          <w:rFonts w:cstheme="minorHAnsi"/>
        </w:rPr>
        <w:t xml:space="preserve"> at the ri</w:t>
      </w:r>
      <w:r w:rsidR="00C64712">
        <w:rPr>
          <w:rFonts w:cstheme="minorHAnsi"/>
        </w:rPr>
        <w:t>ght time when referred to specialist mental health services</w:t>
      </w:r>
      <w:r w:rsidR="00114C6D">
        <w:rPr>
          <w:rFonts w:cstheme="minorHAnsi"/>
        </w:rPr>
        <w:t xml:space="preserve">. </w:t>
      </w:r>
      <w:r w:rsidR="00C64712">
        <w:rPr>
          <w:rFonts w:cstheme="minorHAnsi"/>
        </w:rPr>
        <w:t xml:space="preserve">The findings </w:t>
      </w:r>
      <w:r w:rsidR="00114C6D">
        <w:rPr>
          <w:rFonts w:cstheme="minorHAnsi"/>
        </w:rPr>
        <w:t xml:space="preserve">also </w:t>
      </w:r>
      <w:r w:rsidR="00C64712">
        <w:rPr>
          <w:rFonts w:cstheme="minorHAnsi"/>
        </w:rPr>
        <w:t xml:space="preserve">have potential to inform further </w:t>
      </w:r>
      <w:r w:rsidR="00114C6D">
        <w:rPr>
          <w:rFonts w:cstheme="minorHAnsi"/>
        </w:rPr>
        <w:t xml:space="preserve">research </w:t>
      </w:r>
      <w:r w:rsidR="00C64712">
        <w:rPr>
          <w:rFonts w:cstheme="minorHAnsi"/>
        </w:rPr>
        <w:t xml:space="preserve">to improve timely and appropriate access to mental health services for CYP </w:t>
      </w:r>
      <w:r w:rsidR="00114C6D">
        <w:rPr>
          <w:rFonts w:cstheme="minorHAnsi"/>
        </w:rPr>
        <w:t xml:space="preserve">and have demonstrated the need for both a larger study utilising the same measures and methods to enable national and international comparison and an </w:t>
      </w:r>
      <w:r w:rsidR="00C64712">
        <w:rPr>
          <w:rFonts w:cstheme="minorHAnsi"/>
        </w:rPr>
        <w:t xml:space="preserve">investigation of </w:t>
      </w:r>
      <w:r w:rsidR="00114C6D">
        <w:rPr>
          <w:rFonts w:cstheme="minorHAnsi"/>
        </w:rPr>
        <w:t xml:space="preserve">the experiences of </w:t>
      </w:r>
      <w:r w:rsidR="00C64712">
        <w:rPr>
          <w:rFonts w:cstheme="minorHAnsi"/>
        </w:rPr>
        <w:t xml:space="preserve">CYP and their carer’s </w:t>
      </w:r>
      <w:r w:rsidR="00114C6D">
        <w:rPr>
          <w:rFonts w:cstheme="minorHAnsi"/>
        </w:rPr>
        <w:t>of</w:t>
      </w:r>
      <w:r w:rsidR="00C64712">
        <w:rPr>
          <w:rFonts w:cstheme="minorHAnsi"/>
        </w:rPr>
        <w:t xml:space="preserve"> rejection </w:t>
      </w:r>
      <w:r w:rsidR="00114C6D">
        <w:rPr>
          <w:rFonts w:cstheme="minorHAnsi"/>
        </w:rPr>
        <w:t>by, and</w:t>
      </w:r>
      <w:r w:rsidR="00C64712">
        <w:rPr>
          <w:rFonts w:cstheme="minorHAnsi"/>
        </w:rPr>
        <w:t xml:space="preserve"> waiting</w:t>
      </w:r>
      <w:r w:rsidR="00114C6D">
        <w:rPr>
          <w:rFonts w:cstheme="minorHAnsi"/>
        </w:rPr>
        <w:t>,</w:t>
      </w:r>
      <w:r w:rsidR="00C64712">
        <w:rPr>
          <w:rFonts w:cstheme="minorHAnsi"/>
        </w:rPr>
        <w:t xml:space="preserve"> for CAMHS. </w:t>
      </w:r>
    </w:p>
    <w:p w14:paraId="0DBA44D9" w14:textId="77777777" w:rsidR="00E236CD" w:rsidRDefault="00E236CD" w:rsidP="00AA2F72">
      <w:pPr>
        <w:autoSpaceDE w:val="0"/>
        <w:autoSpaceDN w:val="0"/>
        <w:adjustRightInd w:val="0"/>
        <w:spacing w:after="0" w:line="480" w:lineRule="auto"/>
        <w:rPr>
          <w:rFonts w:cstheme="minorHAnsi"/>
        </w:rPr>
      </w:pPr>
    </w:p>
    <w:p w14:paraId="3DF0009D" w14:textId="77777777" w:rsidR="00E236CD" w:rsidRDefault="00E236CD" w:rsidP="00AA2F72">
      <w:pPr>
        <w:autoSpaceDE w:val="0"/>
        <w:autoSpaceDN w:val="0"/>
        <w:adjustRightInd w:val="0"/>
        <w:spacing w:after="0" w:line="480" w:lineRule="auto"/>
        <w:rPr>
          <w:rFonts w:cstheme="minorHAnsi"/>
        </w:rPr>
      </w:pPr>
    </w:p>
    <w:p w14:paraId="3B546153" w14:textId="77777777" w:rsidR="00AA17FA" w:rsidRPr="003D79FF" w:rsidRDefault="00AA17FA" w:rsidP="00AA2F72">
      <w:pPr>
        <w:autoSpaceDE w:val="0"/>
        <w:autoSpaceDN w:val="0"/>
        <w:adjustRightInd w:val="0"/>
        <w:spacing w:after="0" w:line="480" w:lineRule="auto"/>
        <w:rPr>
          <w:rFonts w:cstheme="minorHAnsi"/>
          <w:b/>
          <w:sz w:val="24"/>
          <w:szCs w:val="24"/>
        </w:rPr>
      </w:pPr>
      <w:r w:rsidRPr="003D79FF">
        <w:rPr>
          <w:rFonts w:cstheme="minorHAnsi"/>
          <w:b/>
          <w:sz w:val="24"/>
          <w:szCs w:val="24"/>
        </w:rPr>
        <w:t>Funding</w:t>
      </w:r>
    </w:p>
    <w:p w14:paraId="2F268246" w14:textId="77777777" w:rsidR="00144700" w:rsidRDefault="00AA17FA" w:rsidP="00AA2F72">
      <w:pPr>
        <w:autoSpaceDE w:val="0"/>
        <w:autoSpaceDN w:val="0"/>
        <w:adjustRightInd w:val="0"/>
        <w:spacing w:after="0" w:line="480" w:lineRule="auto"/>
        <w:rPr>
          <w:rFonts w:cstheme="minorHAnsi"/>
        </w:rPr>
      </w:pPr>
      <w:r w:rsidRPr="00D81ECA">
        <w:rPr>
          <w:rFonts w:cstheme="minorHAnsi"/>
        </w:rPr>
        <w:t>There was no external funding for this study.</w:t>
      </w:r>
    </w:p>
    <w:p w14:paraId="73607817" w14:textId="77777777" w:rsidR="00AA17FA" w:rsidRDefault="00AA17FA" w:rsidP="00AA2F72">
      <w:pPr>
        <w:autoSpaceDE w:val="0"/>
        <w:autoSpaceDN w:val="0"/>
        <w:adjustRightInd w:val="0"/>
        <w:spacing w:after="0" w:line="480" w:lineRule="auto"/>
        <w:rPr>
          <w:rFonts w:cstheme="minorHAnsi"/>
        </w:rPr>
      </w:pPr>
    </w:p>
    <w:p w14:paraId="56EC0131" w14:textId="77777777" w:rsidR="00AA17FA" w:rsidRPr="003D79FF" w:rsidRDefault="00AA17FA" w:rsidP="00AA2F72">
      <w:pPr>
        <w:autoSpaceDE w:val="0"/>
        <w:autoSpaceDN w:val="0"/>
        <w:adjustRightInd w:val="0"/>
        <w:spacing w:after="0" w:line="480" w:lineRule="auto"/>
        <w:rPr>
          <w:rFonts w:cstheme="minorHAnsi"/>
          <w:b/>
          <w:sz w:val="24"/>
        </w:rPr>
      </w:pPr>
      <w:r w:rsidRPr="003D79FF">
        <w:rPr>
          <w:rFonts w:cstheme="minorHAnsi"/>
          <w:b/>
          <w:sz w:val="24"/>
        </w:rPr>
        <w:t>Conflict of interest</w:t>
      </w:r>
    </w:p>
    <w:p w14:paraId="36F691F0" w14:textId="77777777" w:rsidR="00AA17FA" w:rsidRDefault="00AA17FA" w:rsidP="00AA2F72">
      <w:pPr>
        <w:autoSpaceDE w:val="0"/>
        <w:autoSpaceDN w:val="0"/>
        <w:adjustRightInd w:val="0"/>
        <w:spacing w:after="0" w:line="480" w:lineRule="auto"/>
        <w:rPr>
          <w:rFonts w:cstheme="minorHAnsi"/>
        </w:rPr>
      </w:pPr>
      <w:r>
        <w:rPr>
          <w:rFonts w:cstheme="minorHAnsi"/>
        </w:rPr>
        <w:t>The authors have declared that they have no competing or potential conflicts of interest.</w:t>
      </w:r>
    </w:p>
    <w:p w14:paraId="2C497590" w14:textId="77777777" w:rsidR="00AA17FA" w:rsidRPr="00144700" w:rsidRDefault="00AA17FA" w:rsidP="00AA2F72">
      <w:pPr>
        <w:autoSpaceDE w:val="0"/>
        <w:autoSpaceDN w:val="0"/>
        <w:adjustRightInd w:val="0"/>
        <w:spacing w:after="0" w:line="480" w:lineRule="auto"/>
        <w:rPr>
          <w:rFonts w:cstheme="minorHAnsi"/>
        </w:rPr>
      </w:pPr>
    </w:p>
    <w:p w14:paraId="192FD2D5" w14:textId="77777777" w:rsidR="00D81ECA" w:rsidRPr="00A77B53" w:rsidRDefault="00D81ECA" w:rsidP="00AA2F72">
      <w:pPr>
        <w:autoSpaceDE w:val="0"/>
        <w:autoSpaceDN w:val="0"/>
        <w:adjustRightInd w:val="0"/>
        <w:spacing w:after="0" w:line="480" w:lineRule="auto"/>
        <w:rPr>
          <w:rFonts w:cstheme="minorHAnsi"/>
          <w:b/>
          <w:sz w:val="24"/>
          <w:szCs w:val="24"/>
        </w:rPr>
      </w:pPr>
      <w:r w:rsidRPr="00A77B53">
        <w:rPr>
          <w:rFonts w:cstheme="minorHAnsi"/>
          <w:b/>
          <w:sz w:val="24"/>
          <w:szCs w:val="24"/>
        </w:rPr>
        <w:t>Acknowledgements</w:t>
      </w:r>
    </w:p>
    <w:p w14:paraId="5AB7EDB9" w14:textId="77777777" w:rsidR="003D79FF" w:rsidRDefault="003D79FF" w:rsidP="00AA2F72">
      <w:pPr>
        <w:autoSpaceDE w:val="0"/>
        <w:autoSpaceDN w:val="0"/>
        <w:adjustRightInd w:val="0"/>
        <w:spacing w:after="0" w:line="480" w:lineRule="auto"/>
        <w:rPr>
          <w:rFonts w:cstheme="minorHAnsi"/>
        </w:rPr>
      </w:pPr>
      <w:r>
        <w:rPr>
          <w:rFonts w:cstheme="minorHAnsi"/>
        </w:rPr>
        <w:t>We would like to thank the CAMHS team for their support and help with this study, especially in relation to data collection.</w:t>
      </w:r>
    </w:p>
    <w:p w14:paraId="5D27C2D3" w14:textId="77777777" w:rsidR="009516F1" w:rsidRPr="00D81ECA" w:rsidRDefault="00D81ECA" w:rsidP="00AA2F72">
      <w:pPr>
        <w:autoSpaceDE w:val="0"/>
        <w:autoSpaceDN w:val="0"/>
        <w:adjustRightInd w:val="0"/>
        <w:spacing w:after="0" w:line="480" w:lineRule="auto"/>
        <w:rPr>
          <w:rFonts w:cstheme="minorHAnsi"/>
        </w:rPr>
      </w:pPr>
      <w:r>
        <w:rPr>
          <w:rFonts w:cstheme="minorHAnsi"/>
        </w:rPr>
        <w:t xml:space="preserve">We would like to </w:t>
      </w:r>
      <w:r w:rsidR="00F876CB">
        <w:rPr>
          <w:rFonts w:cstheme="minorHAnsi"/>
        </w:rPr>
        <w:t xml:space="preserve">thank </w:t>
      </w:r>
      <w:r>
        <w:rPr>
          <w:rFonts w:cstheme="minorHAnsi"/>
        </w:rPr>
        <w:t xml:space="preserve">Ms Steph Holden, Teaching Fellow in Mental </w:t>
      </w:r>
      <w:r w:rsidR="00760F1A">
        <w:rPr>
          <w:rFonts w:cstheme="minorHAnsi"/>
        </w:rPr>
        <w:t>H</w:t>
      </w:r>
      <w:r>
        <w:rPr>
          <w:rFonts w:cstheme="minorHAnsi"/>
        </w:rPr>
        <w:t>ealth, University of Stirling, who cross</w:t>
      </w:r>
      <w:r w:rsidR="00141347">
        <w:rPr>
          <w:rFonts w:cstheme="minorHAnsi"/>
        </w:rPr>
        <w:t>-</w:t>
      </w:r>
      <w:r>
        <w:rPr>
          <w:rFonts w:cstheme="minorHAnsi"/>
        </w:rPr>
        <w:t xml:space="preserve">checked the categorisation of </w:t>
      </w:r>
      <w:r w:rsidR="00141347">
        <w:rPr>
          <w:rFonts w:cstheme="minorHAnsi"/>
        </w:rPr>
        <w:t>referral reason categories</w:t>
      </w:r>
      <w:r>
        <w:rPr>
          <w:rFonts w:cstheme="minorHAnsi"/>
        </w:rPr>
        <w:t xml:space="preserve">. </w:t>
      </w:r>
    </w:p>
    <w:p w14:paraId="5969F2B7" w14:textId="77777777" w:rsidR="00686E24" w:rsidRPr="00C340E5" w:rsidRDefault="00AA2F72" w:rsidP="00AA2F72">
      <w:pPr>
        <w:tabs>
          <w:tab w:val="left" w:pos="6975"/>
        </w:tabs>
        <w:autoSpaceDE w:val="0"/>
        <w:autoSpaceDN w:val="0"/>
        <w:adjustRightInd w:val="0"/>
        <w:spacing w:after="0" w:line="360" w:lineRule="auto"/>
        <w:rPr>
          <w:rFonts w:cstheme="minorHAnsi"/>
        </w:rPr>
      </w:pPr>
      <w:r>
        <w:rPr>
          <w:rFonts w:cstheme="minorHAnsi"/>
        </w:rPr>
        <w:tab/>
      </w:r>
    </w:p>
    <w:p w14:paraId="50913D0E" w14:textId="77777777" w:rsidR="00700956" w:rsidRPr="00C340E5" w:rsidRDefault="00700956" w:rsidP="00C340E5">
      <w:pPr>
        <w:spacing w:line="360" w:lineRule="auto"/>
        <w:rPr>
          <w:b/>
          <w:color w:val="FF0000"/>
          <w:lang w:val="en"/>
        </w:rPr>
      </w:pPr>
    </w:p>
    <w:bookmarkEnd w:id="2"/>
    <w:p w14:paraId="6EE03579" w14:textId="77777777" w:rsidR="00562A69" w:rsidRDefault="00562A69" w:rsidP="0042249E">
      <w:pPr>
        <w:spacing w:line="360" w:lineRule="auto"/>
        <w:rPr>
          <w:b/>
        </w:rPr>
      </w:pPr>
    </w:p>
    <w:p w14:paraId="2A7058AC" w14:textId="77777777" w:rsidR="00AA17FA" w:rsidRDefault="00AA17FA" w:rsidP="0042249E">
      <w:pPr>
        <w:spacing w:line="360" w:lineRule="auto"/>
        <w:rPr>
          <w:b/>
        </w:rPr>
      </w:pPr>
    </w:p>
    <w:p w14:paraId="33067FBF" w14:textId="77777777" w:rsidR="0042249E" w:rsidRDefault="0042249E" w:rsidP="0042249E">
      <w:pPr>
        <w:spacing w:line="360" w:lineRule="auto"/>
        <w:rPr>
          <w:rFonts w:cstheme="minorHAnsi"/>
          <w:b/>
          <w:sz w:val="24"/>
          <w:szCs w:val="24"/>
        </w:rPr>
      </w:pPr>
      <w:r w:rsidRPr="00A77B53">
        <w:rPr>
          <w:rFonts w:cstheme="minorHAnsi"/>
          <w:b/>
          <w:sz w:val="24"/>
          <w:szCs w:val="24"/>
        </w:rPr>
        <w:t>REFERENCES</w:t>
      </w:r>
    </w:p>
    <w:p w14:paraId="1B5FA43F" w14:textId="77777777" w:rsidR="00400217" w:rsidRDefault="00400217" w:rsidP="001D45B4">
      <w:pPr>
        <w:spacing w:line="480" w:lineRule="auto"/>
        <w:rPr>
          <w:rFonts w:cstheme="minorHAnsi"/>
        </w:rPr>
      </w:pPr>
      <w:r w:rsidRPr="00BF68A8">
        <w:rPr>
          <w:rFonts w:cstheme="minorHAnsi"/>
        </w:rPr>
        <w:t xml:space="preserve">Allik, M., Brown, D., Dundas, R., &amp; Leyland, A. (2016) </w:t>
      </w:r>
      <w:r>
        <w:rPr>
          <w:rFonts w:cstheme="minorHAnsi"/>
        </w:rPr>
        <w:t xml:space="preserve">Developing a new small-area measure of deprivation using 20011 and 2011 census data from Scotland. </w:t>
      </w:r>
      <w:r w:rsidRPr="00BF68A8">
        <w:rPr>
          <w:rFonts w:cstheme="minorHAnsi"/>
          <w:i/>
        </w:rPr>
        <w:t>Health and Place.</w:t>
      </w:r>
      <w:r>
        <w:rPr>
          <w:rFonts w:cstheme="minorHAnsi"/>
          <w:i/>
        </w:rPr>
        <w:t xml:space="preserve"> </w:t>
      </w:r>
      <w:r>
        <w:rPr>
          <w:rFonts w:cstheme="minorHAnsi"/>
        </w:rPr>
        <w:t>39, 122 – 130.</w:t>
      </w:r>
    </w:p>
    <w:p w14:paraId="3F2CC0E8" w14:textId="77777777" w:rsidR="00164EA6" w:rsidRPr="00BF68A8" w:rsidRDefault="00164EA6" w:rsidP="001D45B4">
      <w:pPr>
        <w:spacing w:line="480" w:lineRule="auto"/>
        <w:rPr>
          <w:rFonts w:cstheme="minorHAnsi"/>
        </w:rPr>
      </w:pPr>
    </w:p>
    <w:p w14:paraId="32F14AB7" w14:textId="77777777" w:rsidR="00BD4A92" w:rsidRDefault="00BD4A92" w:rsidP="001D45B4">
      <w:pPr>
        <w:spacing w:line="480" w:lineRule="auto"/>
        <w:rPr>
          <w:rFonts w:cstheme="minorHAnsi"/>
        </w:rPr>
      </w:pPr>
      <w:r w:rsidRPr="00A77B53">
        <w:rPr>
          <w:rFonts w:cstheme="minorHAnsi"/>
        </w:rPr>
        <w:t>Arya, A., Agarwal, V., Yadav.</w:t>
      </w:r>
      <w:r w:rsidR="00562A69" w:rsidRPr="00A77B53">
        <w:rPr>
          <w:rFonts w:cstheme="minorHAnsi"/>
        </w:rPr>
        <w:t>, Gupta</w:t>
      </w:r>
      <w:r w:rsidRPr="00A77B53">
        <w:rPr>
          <w:rFonts w:cstheme="minorHAnsi"/>
        </w:rPr>
        <w:t xml:space="preserve">, P, K., Agarwal, M. (2015).   A study of pathway of care in children and adolescents with attention deficit hyperactivity disorder. </w:t>
      </w:r>
      <w:r w:rsidRPr="00A77B53">
        <w:rPr>
          <w:rFonts w:cstheme="minorHAnsi"/>
          <w:i/>
        </w:rPr>
        <w:t xml:space="preserve">Asian Journal of Psychiatry </w:t>
      </w:r>
      <w:r w:rsidRPr="00A77B53">
        <w:rPr>
          <w:rFonts w:cstheme="minorHAnsi"/>
        </w:rPr>
        <w:t>17, 10–15.</w:t>
      </w:r>
    </w:p>
    <w:p w14:paraId="6DCC1E6D" w14:textId="77777777" w:rsidR="00164EA6" w:rsidRPr="00A77B53" w:rsidRDefault="00164EA6" w:rsidP="001D45B4">
      <w:pPr>
        <w:spacing w:line="480" w:lineRule="auto"/>
        <w:rPr>
          <w:rFonts w:cstheme="minorHAnsi"/>
          <w:color w:val="333333"/>
          <w:lang w:val="en"/>
        </w:rPr>
      </w:pPr>
    </w:p>
    <w:p w14:paraId="4AB83488" w14:textId="77777777" w:rsidR="00640894" w:rsidRDefault="00640894" w:rsidP="001D45B4">
      <w:pPr>
        <w:spacing w:line="480" w:lineRule="auto"/>
        <w:rPr>
          <w:rFonts w:cstheme="minorHAnsi"/>
          <w:color w:val="333333"/>
          <w:lang w:val="en"/>
        </w:rPr>
      </w:pPr>
      <w:r w:rsidRPr="00A77B53">
        <w:rPr>
          <w:rFonts w:cstheme="minorHAnsi"/>
          <w:color w:val="333333"/>
          <w:lang w:val="en"/>
        </w:rPr>
        <w:t>Beck, A</w:t>
      </w:r>
      <w:r w:rsidR="00E44986" w:rsidRPr="00A77B53">
        <w:rPr>
          <w:rFonts w:cstheme="minorHAnsi"/>
          <w:color w:val="333333"/>
          <w:lang w:val="en"/>
        </w:rPr>
        <w:t>.</w:t>
      </w:r>
      <w:r w:rsidRPr="00A77B53">
        <w:rPr>
          <w:rFonts w:cstheme="minorHAnsi"/>
          <w:color w:val="333333"/>
          <w:lang w:val="en"/>
        </w:rPr>
        <w:t>, Burdett, M</w:t>
      </w:r>
      <w:r w:rsidR="00E44986" w:rsidRPr="00A77B53">
        <w:rPr>
          <w:rFonts w:cstheme="minorHAnsi"/>
          <w:color w:val="333333"/>
          <w:lang w:val="en"/>
        </w:rPr>
        <w:t>.</w:t>
      </w:r>
      <w:r w:rsidRPr="00A77B53">
        <w:rPr>
          <w:rFonts w:cstheme="minorHAnsi"/>
          <w:color w:val="333333"/>
          <w:lang w:val="en"/>
        </w:rPr>
        <w:t>, &amp; Lewis, H</w:t>
      </w:r>
      <w:r w:rsidR="00E44986" w:rsidRPr="00A77B53">
        <w:rPr>
          <w:rFonts w:cstheme="minorHAnsi"/>
          <w:color w:val="333333"/>
          <w:lang w:val="en"/>
        </w:rPr>
        <w:t>.</w:t>
      </w:r>
      <w:r w:rsidRPr="00A77B53">
        <w:rPr>
          <w:rFonts w:cstheme="minorHAnsi"/>
          <w:color w:val="333333"/>
          <w:lang w:val="en"/>
        </w:rPr>
        <w:t xml:space="preserve"> </w:t>
      </w:r>
      <w:r w:rsidR="00E44986" w:rsidRPr="00A77B53">
        <w:rPr>
          <w:rFonts w:cstheme="minorHAnsi"/>
          <w:color w:val="333333"/>
          <w:lang w:val="en"/>
        </w:rPr>
        <w:t xml:space="preserve">(2015). </w:t>
      </w:r>
      <w:r w:rsidRPr="00A77B53">
        <w:rPr>
          <w:rFonts w:cstheme="minorHAnsi"/>
          <w:color w:val="333333"/>
          <w:lang w:val="en"/>
        </w:rPr>
        <w:t>The association between waiting for psychological therapy and therapy outc</w:t>
      </w:r>
      <w:r w:rsidR="00E44986" w:rsidRPr="00A77B53">
        <w:rPr>
          <w:rFonts w:cstheme="minorHAnsi"/>
          <w:color w:val="333333"/>
          <w:lang w:val="en"/>
        </w:rPr>
        <w:t>omes as measured by the CORE-OM.</w:t>
      </w:r>
      <w:r w:rsidRPr="00A77B53">
        <w:rPr>
          <w:rFonts w:cstheme="minorHAnsi"/>
          <w:color w:val="333333"/>
          <w:lang w:val="en"/>
        </w:rPr>
        <w:t xml:space="preserve"> </w:t>
      </w:r>
      <w:r w:rsidRPr="00A77B53">
        <w:rPr>
          <w:rFonts w:cstheme="minorHAnsi"/>
          <w:i/>
          <w:iCs/>
          <w:color w:val="333333"/>
          <w:lang w:val="en"/>
        </w:rPr>
        <w:t>British Journal of Clinical Psychology</w:t>
      </w:r>
      <w:r w:rsidRPr="00A77B53">
        <w:rPr>
          <w:rFonts w:cstheme="minorHAnsi"/>
          <w:color w:val="333333"/>
          <w:lang w:val="en"/>
        </w:rPr>
        <w:t xml:space="preserve">, 54, </w:t>
      </w:r>
      <w:r w:rsidR="00E44986" w:rsidRPr="00A77B53">
        <w:rPr>
          <w:rFonts w:cstheme="minorHAnsi"/>
          <w:color w:val="333333"/>
          <w:lang w:val="en"/>
        </w:rPr>
        <w:t>(</w:t>
      </w:r>
      <w:r w:rsidRPr="00A77B53">
        <w:rPr>
          <w:rFonts w:cstheme="minorHAnsi"/>
          <w:color w:val="333333"/>
          <w:lang w:val="en"/>
        </w:rPr>
        <w:t>2</w:t>
      </w:r>
      <w:r w:rsidR="00E44986" w:rsidRPr="00A77B53">
        <w:rPr>
          <w:rFonts w:cstheme="minorHAnsi"/>
          <w:color w:val="333333"/>
          <w:lang w:val="en"/>
        </w:rPr>
        <w:t>)</w:t>
      </w:r>
      <w:r w:rsidRPr="00A77B53">
        <w:rPr>
          <w:rFonts w:cstheme="minorHAnsi"/>
          <w:color w:val="333333"/>
          <w:lang w:val="en"/>
        </w:rPr>
        <w:t>, 233-248</w:t>
      </w:r>
      <w:r w:rsidR="00BD4A92" w:rsidRPr="00A77B53">
        <w:rPr>
          <w:rFonts w:cstheme="minorHAnsi"/>
          <w:color w:val="333333"/>
          <w:lang w:val="en"/>
        </w:rPr>
        <w:t>.</w:t>
      </w:r>
    </w:p>
    <w:p w14:paraId="17C425D7" w14:textId="77777777" w:rsidR="00164EA6" w:rsidRPr="00A77B53" w:rsidRDefault="00164EA6" w:rsidP="001D45B4">
      <w:pPr>
        <w:spacing w:line="480" w:lineRule="auto"/>
        <w:rPr>
          <w:rFonts w:cstheme="minorHAnsi"/>
          <w:color w:val="333333"/>
          <w:lang w:val="en"/>
        </w:rPr>
      </w:pPr>
    </w:p>
    <w:p w14:paraId="5AEC7A2D" w14:textId="77777777" w:rsidR="00E26904" w:rsidRDefault="00E26904" w:rsidP="001D45B4">
      <w:pPr>
        <w:spacing w:line="480" w:lineRule="auto"/>
        <w:rPr>
          <w:rFonts w:cstheme="minorHAnsi"/>
        </w:rPr>
      </w:pPr>
      <w:r w:rsidRPr="00A77B53">
        <w:rPr>
          <w:rFonts w:cstheme="minorHAnsi"/>
        </w:rPr>
        <w:t xml:space="preserve">Claveirole, A., &amp; Gaughan, M.  (2011). </w:t>
      </w:r>
      <w:r w:rsidRPr="00A77B53">
        <w:rPr>
          <w:rFonts w:cstheme="minorHAnsi"/>
          <w:i/>
        </w:rPr>
        <w:t>Understanding Children and Young People’s Mental Health.</w:t>
      </w:r>
      <w:r w:rsidRPr="00A77B53">
        <w:rPr>
          <w:rFonts w:cstheme="minorHAnsi"/>
        </w:rPr>
        <w:t xml:space="preserve"> Wiley Blackwell. United Kingdom</w:t>
      </w:r>
    </w:p>
    <w:p w14:paraId="3D17FEB8" w14:textId="77777777" w:rsidR="00164EA6" w:rsidRPr="00A77B53" w:rsidRDefault="00164EA6" w:rsidP="001D45B4">
      <w:pPr>
        <w:spacing w:line="480" w:lineRule="auto"/>
        <w:rPr>
          <w:rFonts w:cstheme="minorHAnsi"/>
        </w:rPr>
      </w:pPr>
    </w:p>
    <w:p w14:paraId="5C93A1AC" w14:textId="77777777" w:rsidR="00334139" w:rsidRDefault="00334139" w:rsidP="001D45B4">
      <w:pPr>
        <w:pStyle w:val="Default"/>
        <w:spacing w:line="480" w:lineRule="auto"/>
        <w:rPr>
          <w:rFonts w:asciiTheme="minorHAnsi" w:hAnsiTheme="minorHAnsi" w:cstheme="minorHAnsi"/>
          <w:sz w:val="22"/>
          <w:szCs w:val="22"/>
        </w:rPr>
      </w:pPr>
      <w:r w:rsidRPr="00A77B53">
        <w:rPr>
          <w:rFonts w:asciiTheme="minorHAnsi" w:hAnsiTheme="minorHAnsi" w:cstheme="minorHAnsi"/>
          <w:sz w:val="22"/>
          <w:szCs w:val="22"/>
        </w:rPr>
        <w:t>Cooper, K.</w:t>
      </w:r>
      <w:r w:rsidR="000A2521" w:rsidRPr="00A77B53">
        <w:rPr>
          <w:rFonts w:asciiTheme="minorHAnsi" w:hAnsiTheme="minorHAnsi" w:cstheme="minorHAnsi"/>
          <w:sz w:val="22"/>
          <w:szCs w:val="22"/>
        </w:rPr>
        <w:t>,</w:t>
      </w:r>
      <w:r w:rsidRPr="00A77B53">
        <w:rPr>
          <w:rFonts w:asciiTheme="minorHAnsi" w:hAnsiTheme="minorHAnsi" w:cstheme="minorHAnsi"/>
          <w:sz w:val="22"/>
          <w:szCs w:val="22"/>
        </w:rPr>
        <w:t xml:space="preserve"> &amp; Stewart, K. (2013) </w:t>
      </w:r>
      <w:r w:rsidRPr="00A77B53">
        <w:rPr>
          <w:rFonts w:asciiTheme="minorHAnsi" w:hAnsiTheme="minorHAnsi" w:cstheme="minorHAnsi"/>
          <w:i/>
          <w:sz w:val="22"/>
          <w:szCs w:val="22"/>
        </w:rPr>
        <w:t>Does Money Affect Children’s Outcomes?</w:t>
      </w:r>
      <w:r w:rsidRPr="00A77B53">
        <w:rPr>
          <w:rFonts w:asciiTheme="minorHAnsi" w:hAnsiTheme="minorHAnsi" w:cstheme="minorHAnsi"/>
          <w:sz w:val="22"/>
          <w:szCs w:val="22"/>
        </w:rPr>
        <w:t xml:space="preserve"> Joseph Rowntree Foundation Report. Accessed at: </w:t>
      </w:r>
      <w:hyperlink r:id="rId9" w:history="1">
        <w:r w:rsidRPr="00A77B53">
          <w:rPr>
            <w:rStyle w:val="Hyperlink"/>
            <w:rFonts w:asciiTheme="minorHAnsi" w:hAnsiTheme="minorHAnsi" w:cstheme="minorHAnsi"/>
            <w:sz w:val="22"/>
            <w:szCs w:val="22"/>
          </w:rPr>
          <w:t>https://www.jrf.org.uk/report/does-money-affect-children%E2%80%99s-outcomes</w:t>
        </w:r>
      </w:hyperlink>
      <w:r w:rsidRPr="00A77B53">
        <w:rPr>
          <w:rFonts w:asciiTheme="minorHAnsi" w:hAnsiTheme="minorHAnsi" w:cstheme="minorHAnsi"/>
          <w:sz w:val="22"/>
          <w:szCs w:val="22"/>
        </w:rPr>
        <w:t xml:space="preserve"> </w:t>
      </w:r>
    </w:p>
    <w:p w14:paraId="26AE329B" w14:textId="77777777" w:rsidR="00164EA6" w:rsidRPr="00A77B53" w:rsidRDefault="00164EA6" w:rsidP="001D45B4">
      <w:pPr>
        <w:pStyle w:val="Default"/>
        <w:spacing w:line="480" w:lineRule="auto"/>
        <w:rPr>
          <w:rFonts w:asciiTheme="minorHAnsi" w:hAnsiTheme="minorHAnsi" w:cstheme="minorHAnsi"/>
          <w:sz w:val="22"/>
          <w:szCs w:val="22"/>
        </w:rPr>
      </w:pPr>
    </w:p>
    <w:p w14:paraId="163A52FE" w14:textId="77777777" w:rsidR="0029381C" w:rsidRDefault="0029381C" w:rsidP="001D45B4">
      <w:pPr>
        <w:pStyle w:val="Default"/>
        <w:spacing w:line="480" w:lineRule="auto"/>
        <w:rPr>
          <w:rFonts w:asciiTheme="minorHAnsi" w:hAnsiTheme="minorHAnsi" w:cstheme="minorHAnsi"/>
          <w:sz w:val="22"/>
          <w:szCs w:val="22"/>
        </w:rPr>
      </w:pPr>
      <w:r w:rsidRPr="00A77B53">
        <w:rPr>
          <w:rFonts w:asciiTheme="minorHAnsi" w:hAnsiTheme="minorHAnsi" w:cstheme="minorHAnsi"/>
          <w:sz w:val="22"/>
          <w:szCs w:val="22"/>
        </w:rPr>
        <w:t xml:space="preserve">Currie, C., Zanotti, C., Morgan, A., Currie, D., De Looze, M., Roberts, C., Samdal, O., Smith, O. R. F., </w:t>
      </w:r>
      <w:r w:rsidR="00562A69" w:rsidRPr="00A77B53">
        <w:rPr>
          <w:rFonts w:asciiTheme="minorHAnsi" w:hAnsiTheme="minorHAnsi" w:cstheme="minorHAnsi"/>
          <w:sz w:val="22"/>
          <w:szCs w:val="22"/>
        </w:rPr>
        <w:t>&amp; Barnekow</w:t>
      </w:r>
      <w:r w:rsidRPr="00A77B53">
        <w:rPr>
          <w:rFonts w:asciiTheme="minorHAnsi" w:hAnsiTheme="minorHAnsi" w:cstheme="minorHAnsi"/>
          <w:sz w:val="22"/>
          <w:szCs w:val="22"/>
        </w:rPr>
        <w:t xml:space="preserve">, V. </w:t>
      </w:r>
      <w:r w:rsidRPr="00A77B53">
        <w:rPr>
          <w:rFonts w:asciiTheme="minorHAnsi" w:hAnsiTheme="minorHAnsi" w:cstheme="minorHAnsi"/>
          <w:bCs/>
          <w:sz w:val="22"/>
          <w:szCs w:val="22"/>
        </w:rPr>
        <w:t xml:space="preserve"> </w:t>
      </w:r>
      <w:r w:rsidRPr="00A77B53">
        <w:rPr>
          <w:rFonts w:asciiTheme="minorHAnsi" w:hAnsiTheme="minorHAnsi" w:cstheme="minorHAnsi"/>
          <w:sz w:val="22"/>
          <w:szCs w:val="22"/>
        </w:rPr>
        <w:t xml:space="preserve">(2012) </w:t>
      </w:r>
      <w:r w:rsidRPr="00A77B53">
        <w:rPr>
          <w:rFonts w:asciiTheme="minorHAnsi" w:hAnsiTheme="minorHAnsi" w:cstheme="minorHAnsi"/>
          <w:i/>
          <w:iCs/>
          <w:sz w:val="22"/>
          <w:szCs w:val="22"/>
        </w:rPr>
        <w:t xml:space="preserve">Social determinants of health and well-being among young people. Health Behaviour in School-aged Children (HBSC) study: international report from the 2009/2010 survey. </w:t>
      </w:r>
      <w:r w:rsidRPr="00A77B53">
        <w:rPr>
          <w:rFonts w:asciiTheme="minorHAnsi" w:hAnsiTheme="minorHAnsi" w:cstheme="minorHAnsi"/>
          <w:sz w:val="22"/>
          <w:szCs w:val="22"/>
        </w:rPr>
        <w:t xml:space="preserve">Copenhagen, WHO Regional Office for Europe. </w:t>
      </w:r>
    </w:p>
    <w:p w14:paraId="568E9FCE" w14:textId="77777777" w:rsidR="00164EA6" w:rsidRPr="00A77B53" w:rsidRDefault="00164EA6" w:rsidP="001D45B4">
      <w:pPr>
        <w:pStyle w:val="Default"/>
        <w:spacing w:line="480" w:lineRule="auto"/>
        <w:rPr>
          <w:rFonts w:asciiTheme="minorHAnsi" w:hAnsiTheme="minorHAnsi" w:cstheme="minorHAnsi"/>
          <w:bCs/>
          <w:sz w:val="22"/>
          <w:szCs w:val="22"/>
        </w:rPr>
      </w:pPr>
    </w:p>
    <w:p w14:paraId="5CF24846" w14:textId="77777777" w:rsidR="00E26904" w:rsidRDefault="005C3386" w:rsidP="001D45B4">
      <w:pPr>
        <w:spacing w:line="480" w:lineRule="auto"/>
        <w:rPr>
          <w:rFonts w:cstheme="minorHAnsi"/>
          <w:color w:val="333333"/>
          <w:lang w:val="en"/>
        </w:rPr>
      </w:pPr>
      <w:r w:rsidRPr="00A77B53">
        <w:rPr>
          <w:rFonts w:cstheme="minorHAnsi"/>
          <w:color w:val="333333"/>
          <w:lang w:val="en"/>
        </w:rPr>
        <w:t xml:space="preserve">Daniel, B., Wassel, S., &amp; Gilligan, R. (2010). </w:t>
      </w:r>
      <w:r w:rsidRPr="00A77B53">
        <w:rPr>
          <w:rFonts w:cstheme="minorHAnsi"/>
          <w:i/>
          <w:color w:val="333333"/>
          <w:lang w:val="en"/>
        </w:rPr>
        <w:t>Child Development for Child Care and Child Protection Workers</w:t>
      </w:r>
      <w:r w:rsidRPr="00A77B53">
        <w:rPr>
          <w:rFonts w:cstheme="minorHAnsi"/>
          <w:color w:val="333333"/>
          <w:lang w:val="en"/>
        </w:rPr>
        <w:t>. 2</w:t>
      </w:r>
      <w:r w:rsidRPr="00A77B53">
        <w:rPr>
          <w:rFonts w:cstheme="minorHAnsi"/>
          <w:color w:val="333333"/>
          <w:vertAlign w:val="superscript"/>
          <w:lang w:val="en"/>
        </w:rPr>
        <w:t>nd</w:t>
      </w:r>
      <w:r w:rsidRPr="00A77B53">
        <w:rPr>
          <w:rFonts w:cstheme="minorHAnsi"/>
          <w:color w:val="333333"/>
          <w:lang w:val="en"/>
        </w:rPr>
        <w:t xml:space="preserve"> Edition. Jessica Kingsley. London.</w:t>
      </w:r>
    </w:p>
    <w:p w14:paraId="55CB8137" w14:textId="77777777" w:rsidR="00164EA6" w:rsidRPr="00A77B53" w:rsidRDefault="00164EA6" w:rsidP="001D45B4">
      <w:pPr>
        <w:spacing w:line="480" w:lineRule="auto"/>
        <w:rPr>
          <w:rFonts w:cstheme="minorHAnsi"/>
          <w:color w:val="333333"/>
          <w:lang w:val="en"/>
        </w:rPr>
      </w:pPr>
    </w:p>
    <w:p w14:paraId="70332C34" w14:textId="77777777" w:rsidR="0042249E" w:rsidRDefault="0042249E" w:rsidP="001D45B4">
      <w:pPr>
        <w:spacing w:line="480" w:lineRule="auto"/>
        <w:rPr>
          <w:rFonts w:cstheme="minorHAnsi"/>
        </w:rPr>
      </w:pPr>
      <w:r w:rsidRPr="00A77B53">
        <w:rPr>
          <w:rFonts w:cstheme="minorHAnsi"/>
        </w:rPr>
        <w:t xml:space="preserve">Department of Health (2008). </w:t>
      </w:r>
      <w:r w:rsidRPr="00A77B53">
        <w:rPr>
          <w:rFonts w:cstheme="minorHAnsi"/>
          <w:i/>
        </w:rPr>
        <w:t>Children and Young People in Mind: A Final Report of the National CAMHS Review</w:t>
      </w:r>
      <w:r w:rsidRPr="00A77B53">
        <w:rPr>
          <w:rFonts w:cstheme="minorHAnsi"/>
        </w:rPr>
        <w:t xml:space="preserve">. Department of Health. Accessed at: </w:t>
      </w:r>
      <w:hyperlink r:id="rId10" w:history="1">
        <w:r w:rsidRPr="00A77B53">
          <w:rPr>
            <w:rStyle w:val="Hyperlink"/>
            <w:rFonts w:cstheme="minorHAnsi"/>
          </w:rPr>
          <w:t>http://webarchive.nationalarchives.gov.uk/20081230004520/publications.dcsf.gov.uk/eorderingdownload/camhs-review.pdf</w:t>
        </w:r>
      </w:hyperlink>
      <w:r w:rsidRPr="00A77B53">
        <w:rPr>
          <w:rFonts w:cstheme="minorHAnsi"/>
        </w:rPr>
        <w:t xml:space="preserve"> </w:t>
      </w:r>
    </w:p>
    <w:p w14:paraId="3B24B892" w14:textId="77777777" w:rsidR="00506AC8" w:rsidRPr="00A77B53" w:rsidRDefault="00506AC8" w:rsidP="001D45B4">
      <w:pPr>
        <w:pStyle w:val="type"/>
        <w:spacing w:line="480" w:lineRule="auto"/>
        <w:rPr>
          <w:rFonts w:asciiTheme="minorHAnsi" w:hAnsiTheme="minorHAnsi" w:cstheme="minorHAnsi"/>
          <w:sz w:val="22"/>
          <w:szCs w:val="22"/>
          <w:lang w:val="en"/>
        </w:rPr>
      </w:pPr>
      <w:r w:rsidRPr="00A77B53">
        <w:rPr>
          <w:rFonts w:asciiTheme="minorHAnsi" w:hAnsiTheme="minorHAnsi" w:cstheme="minorHAnsi"/>
          <w:sz w:val="22"/>
          <w:szCs w:val="22"/>
        </w:rPr>
        <w:t xml:space="preserve">Department of Health (2013). </w:t>
      </w:r>
      <w:r w:rsidRPr="00A77B53">
        <w:rPr>
          <w:rFonts w:asciiTheme="minorHAnsi" w:hAnsiTheme="minorHAnsi" w:cstheme="minorHAnsi"/>
          <w:sz w:val="22"/>
          <w:szCs w:val="22"/>
          <w:lang w:val="en"/>
        </w:rPr>
        <w:t xml:space="preserve">Policy Paper. </w:t>
      </w:r>
      <w:r w:rsidRPr="00A77B53">
        <w:rPr>
          <w:rFonts w:asciiTheme="minorHAnsi" w:hAnsiTheme="minorHAnsi" w:cstheme="minorHAnsi"/>
          <w:bCs/>
          <w:kern w:val="36"/>
          <w:sz w:val="22"/>
          <w:szCs w:val="22"/>
          <w:lang w:val="en"/>
        </w:rPr>
        <w:t xml:space="preserve">Caldicott information governance review: Department of Health response. Accessed at: </w:t>
      </w:r>
      <w:hyperlink r:id="rId11" w:history="1">
        <w:r w:rsidRPr="00A77B53">
          <w:rPr>
            <w:rStyle w:val="Hyperlink"/>
            <w:rFonts w:asciiTheme="minorHAnsi" w:hAnsiTheme="minorHAnsi" w:cstheme="minorHAnsi"/>
            <w:bCs/>
            <w:kern w:val="36"/>
            <w:sz w:val="22"/>
            <w:szCs w:val="22"/>
            <w:lang w:val="en"/>
          </w:rPr>
          <w:t>https://www.gov.uk/government/publications/caldicott-information-governance-review-department-of-health-response</w:t>
        </w:r>
      </w:hyperlink>
      <w:r w:rsidRPr="00A77B53">
        <w:rPr>
          <w:rFonts w:asciiTheme="minorHAnsi" w:hAnsiTheme="minorHAnsi" w:cstheme="minorHAnsi"/>
          <w:bCs/>
          <w:kern w:val="36"/>
          <w:sz w:val="22"/>
          <w:szCs w:val="22"/>
          <w:lang w:val="en"/>
        </w:rPr>
        <w:t>.</w:t>
      </w:r>
    </w:p>
    <w:p w14:paraId="70A4A3F6" w14:textId="77777777" w:rsidR="0042249E" w:rsidRPr="00A77B53" w:rsidRDefault="0042249E" w:rsidP="001D45B4">
      <w:pPr>
        <w:autoSpaceDE w:val="0"/>
        <w:autoSpaceDN w:val="0"/>
        <w:adjustRightInd w:val="0"/>
        <w:spacing w:after="0" w:line="480" w:lineRule="auto"/>
        <w:rPr>
          <w:rFonts w:cstheme="minorHAnsi"/>
        </w:rPr>
      </w:pPr>
      <w:r w:rsidRPr="00A77B53">
        <w:rPr>
          <w:rFonts w:cstheme="minorHAnsi"/>
        </w:rPr>
        <w:t xml:space="preserve">Green, H., McGinnity. A., Meltzer, H., Ford, T., &amp; Goodman, R. (2004). </w:t>
      </w:r>
      <w:r w:rsidRPr="00A77B53">
        <w:rPr>
          <w:rFonts w:cstheme="minorHAnsi"/>
          <w:i/>
        </w:rPr>
        <w:t>Mental health of children and young people in Great Britain.</w:t>
      </w:r>
      <w:r w:rsidRPr="00A77B53">
        <w:rPr>
          <w:rFonts w:cstheme="minorHAnsi"/>
        </w:rPr>
        <w:t xml:space="preserve"> A Summary Report. Office of National Statistics.</w:t>
      </w:r>
    </w:p>
    <w:p w14:paraId="77330A87" w14:textId="77777777" w:rsidR="00005C9C" w:rsidRPr="00A77B53" w:rsidRDefault="00005C9C" w:rsidP="001D45B4">
      <w:pPr>
        <w:autoSpaceDE w:val="0"/>
        <w:autoSpaceDN w:val="0"/>
        <w:adjustRightInd w:val="0"/>
        <w:spacing w:after="0" w:line="480" w:lineRule="auto"/>
        <w:rPr>
          <w:rFonts w:cstheme="minorHAnsi"/>
        </w:rPr>
      </w:pPr>
    </w:p>
    <w:p w14:paraId="7C27C81D" w14:textId="77777777" w:rsidR="00005C9C" w:rsidRPr="00A77B53" w:rsidRDefault="00005C9C" w:rsidP="001D45B4">
      <w:pPr>
        <w:autoSpaceDE w:val="0"/>
        <w:autoSpaceDN w:val="0"/>
        <w:adjustRightInd w:val="0"/>
        <w:spacing w:after="0" w:line="480" w:lineRule="auto"/>
        <w:rPr>
          <w:rFonts w:cstheme="minorHAnsi"/>
        </w:rPr>
      </w:pPr>
      <w:r w:rsidRPr="00A77B53">
        <w:rPr>
          <w:rFonts w:cstheme="minorHAnsi"/>
        </w:rPr>
        <w:t>Hinrichs, S., Owens, M.,   Dunn, V., Goodyer, I. (2012)</w:t>
      </w:r>
      <w:r w:rsidR="00902AC6" w:rsidRPr="00A77B53">
        <w:rPr>
          <w:rFonts w:cstheme="minorHAnsi"/>
        </w:rPr>
        <w:t>.</w:t>
      </w:r>
      <w:r w:rsidRPr="00A77B53">
        <w:rPr>
          <w:rFonts w:cstheme="minorHAnsi"/>
        </w:rPr>
        <w:t xml:space="preserve"> General practitioner experience and</w:t>
      </w:r>
    </w:p>
    <w:p w14:paraId="1D34F01B" w14:textId="77777777" w:rsidR="00005C9C" w:rsidRDefault="00005C9C" w:rsidP="001D45B4">
      <w:pPr>
        <w:autoSpaceDE w:val="0"/>
        <w:autoSpaceDN w:val="0"/>
        <w:adjustRightInd w:val="0"/>
        <w:spacing w:after="0" w:line="480" w:lineRule="auto"/>
        <w:rPr>
          <w:rFonts w:cstheme="minorHAnsi"/>
        </w:rPr>
      </w:pPr>
      <w:r w:rsidRPr="00A77B53">
        <w:rPr>
          <w:rFonts w:cstheme="minorHAnsi"/>
        </w:rPr>
        <w:t>perception of Child and Adolescent Mental Health Services (CAMHS) care pathways: a multi</w:t>
      </w:r>
      <w:r w:rsidR="00562A69" w:rsidRPr="00A77B53">
        <w:rPr>
          <w:rFonts w:cstheme="minorHAnsi"/>
        </w:rPr>
        <w:t>-</w:t>
      </w:r>
      <w:r w:rsidRPr="00A77B53">
        <w:rPr>
          <w:rFonts w:cstheme="minorHAnsi"/>
        </w:rPr>
        <w:t xml:space="preserve">method research study. </w:t>
      </w:r>
      <w:r w:rsidRPr="00A77B53">
        <w:rPr>
          <w:rFonts w:cstheme="minorHAnsi"/>
          <w:i/>
        </w:rPr>
        <w:t>BMJ Open.</w:t>
      </w:r>
      <w:r w:rsidRPr="00A77B53">
        <w:rPr>
          <w:rFonts w:cstheme="minorHAnsi"/>
        </w:rPr>
        <w:t xml:space="preserve"> 2</w:t>
      </w:r>
      <w:r w:rsidR="00902AC6" w:rsidRPr="00A77B53">
        <w:rPr>
          <w:rFonts w:cstheme="minorHAnsi"/>
        </w:rPr>
        <w:t>, 1</w:t>
      </w:r>
      <w:r w:rsidRPr="00A77B53">
        <w:rPr>
          <w:rFonts w:cstheme="minorHAnsi"/>
        </w:rPr>
        <w:t xml:space="preserve"> – 11</w:t>
      </w:r>
      <w:r w:rsidR="00902AC6" w:rsidRPr="00A77B53">
        <w:rPr>
          <w:rFonts w:cstheme="minorHAnsi"/>
        </w:rPr>
        <w:t>.</w:t>
      </w:r>
    </w:p>
    <w:p w14:paraId="12EC011F" w14:textId="77777777" w:rsidR="00164EA6" w:rsidRPr="00A77B53" w:rsidRDefault="00164EA6" w:rsidP="001D45B4">
      <w:pPr>
        <w:autoSpaceDE w:val="0"/>
        <w:autoSpaceDN w:val="0"/>
        <w:adjustRightInd w:val="0"/>
        <w:spacing w:after="0" w:line="480" w:lineRule="auto"/>
        <w:rPr>
          <w:rFonts w:cstheme="minorHAnsi"/>
        </w:rPr>
      </w:pPr>
    </w:p>
    <w:p w14:paraId="5AA9C42B" w14:textId="77777777" w:rsidR="00587861" w:rsidRPr="00A77B53" w:rsidRDefault="00587861" w:rsidP="001D45B4">
      <w:pPr>
        <w:pStyle w:val="Default"/>
        <w:spacing w:line="480" w:lineRule="auto"/>
        <w:rPr>
          <w:rFonts w:asciiTheme="minorHAnsi" w:hAnsiTheme="minorHAnsi" w:cstheme="minorHAnsi"/>
          <w:sz w:val="22"/>
          <w:szCs w:val="22"/>
          <w:lang w:val="en"/>
        </w:rPr>
      </w:pPr>
      <w:r w:rsidRPr="00A77B53">
        <w:rPr>
          <w:rFonts w:asciiTheme="minorHAnsi" w:hAnsiTheme="minorHAnsi" w:cstheme="minorHAnsi"/>
          <w:sz w:val="22"/>
          <w:szCs w:val="22"/>
          <w:lang w:val="en"/>
        </w:rPr>
        <w:t xml:space="preserve">Jones, R., Everson-Hock, E., Papaioannou, D., Guillaume, L., Goyder, E, Chilcott, J., Cooke, J., Payne, N., Duenas, A., Sheppard, L., &amp; Swann, C. (2011). Factors associated with outcomes for looked-after children and young people: A correlates review of the literature. </w:t>
      </w:r>
      <w:r w:rsidRPr="00A77B53">
        <w:rPr>
          <w:rFonts w:asciiTheme="minorHAnsi" w:hAnsiTheme="minorHAnsi" w:cstheme="minorHAnsi"/>
          <w:i/>
          <w:iCs/>
          <w:sz w:val="22"/>
          <w:szCs w:val="22"/>
          <w:lang w:val="en"/>
        </w:rPr>
        <w:t>Child: Care, Health and Development</w:t>
      </w:r>
      <w:r w:rsidRPr="00A77B53">
        <w:rPr>
          <w:rFonts w:asciiTheme="minorHAnsi" w:hAnsiTheme="minorHAnsi" w:cstheme="minorHAnsi"/>
          <w:sz w:val="22"/>
          <w:szCs w:val="22"/>
          <w:lang w:val="en"/>
        </w:rPr>
        <w:t>. 37, (5) 613-622.</w:t>
      </w:r>
    </w:p>
    <w:p w14:paraId="3DD7804A" w14:textId="77777777" w:rsidR="00562A69" w:rsidRPr="00A77B53" w:rsidRDefault="00562A69" w:rsidP="001D45B4">
      <w:pPr>
        <w:autoSpaceDE w:val="0"/>
        <w:autoSpaceDN w:val="0"/>
        <w:adjustRightInd w:val="0"/>
        <w:spacing w:after="0" w:line="480" w:lineRule="auto"/>
        <w:rPr>
          <w:rFonts w:cstheme="minorHAnsi"/>
        </w:rPr>
      </w:pPr>
    </w:p>
    <w:p w14:paraId="0F61591F" w14:textId="77777777" w:rsidR="00650948" w:rsidRPr="00A77B53" w:rsidRDefault="00C67CD5" w:rsidP="001D45B4">
      <w:pPr>
        <w:autoSpaceDE w:val="0"/>
        <w:autoSpaceDN w:val="0"/>
        <w:adjustRightInd w:val="0"/>
        <w:spacing w:after="0" w:line="480" w:lineRule="auto"/>
        <w:rPr>
          <w:rFonts w:cstheme="minorHAnsi"/>
        </w:rPr>
      </w:pPr>
      <w:r w:rsidRPr="00A77B53">
        <w:rPr>
          <w:rFonts w:cstheme="minorHAnsi"/>
          <w:color w:val="333333"/>
          <w:lang w:val="en"/>
        </w:rPr>
        <w:t>Kowalewski, K., McLennan, J., &amp; McGrath, P, (2011)</w:t>
      </w:r>
      <w:r w:rsidR="000A2521" w:rsidRPr="00A77B53">
        <w:rPr>
          <w:rFonts w:cstheme="minorHAnsi"/>
          <w:color w:val="333333"/>
          <w:lang w:val="en"/>
        </w:rPr>
        <w:t xml:space="preserve">. </w:t>
      </w:r>
      <w:r w:rsidRPr="00A77B53">
        <w:rPr>
          <w:rFonts w:cstheme="minorHAnsi"/>
          <w:color w:val="333333"/>
          <w:lang w:val="en"/>
        </w:rPr>
        <w:t xml:space="preserve"> A preliminary investigation of wait times for child and adolescent mental health services in Canada.  </w:t>
      </w:r>
      <w:r w:rsidRPr="00A77B53">
        <w:rPr>
          <w:rFonts w:cstheme="minorHAnsi"/>
          <w:i/>
          <w:iCs/>
          <w:color w:val="333333"/>
          <w:lang w:val="en"/>
        </w:rPr>
        <w:t>Journal Of The Canadian Academy Of Child And Adolescent Psychiatry / Journal De L'académie Canadienne De Psychiatrie De L'enfant Et De L'adolescent</w:t>
      </w:r>
      <w:r w:rsidRPr="00A77B53">
        <w:rPr>
          <w:rFonts w:cstheme="minorHAnsi"/>
          <w:color w:val="333333"/>
          <w:lang w:val="en"/>
        </w:rPr>
        <w:t>. 20, (2), 112-119.</w:t>
      </w:r>
      <w:r w:rsidR="00650948" w:rsidRPr="00A77B53">
        <w:rPr>
          <w:rFonts w:cstheme="minorHAnsi"/>
        </w:rPr>
        <w:t xml:space="preserve"> </w:t>
      </w:r>
    </w:p>
    <w:p w14:paraId="24A4C39E" w14:textId="77777777" w:rsidR="00650948" w:rsidRPr="00A77B53" w:rsidRDefault="00650948" w:rsidP="001D45B4">
      <w:pPr>
        <w:autoSpaceDE w:val="0"/>
        <w:autoSpaceDN w:val="0"/>
        <w:adjustRightInd w:val="0"/>
        <w:spacing w:after="0" w:line="480" w:lineRule="auto"/>
        <w:rPr>
          <w:rFonts w:cstheme="minorHAnsi"/>
        </w:rPr>
      </w:pPr>
    </w:p>
    <w:p w14:paraId="5FF15791" w14:textId="77777777" w:rsidR="000A2521" w:rsidRDefault="00650948" w:rsidP="001D45B4">
      <w:pPr>
        <w:spacing w:line="480" w:lineRule="auto"/>
        <w:rPr>
          <w:rFonts w:cstheme="minorHAnsi"/>
        </w:rPr>
      </w:pPr>
      <w:r w:rsidRPr="00A77B53">
        <w:rPr>
          <w:rFonts w:cstheme="minorHAnsi"/>
        </w:rPr>
        <w:t>Leffmann, T., &amp; Comb-Orme, T. (2014)</w:t>
      </w:r>
      <w:r w:rsidR="000A2521" w:rsidRPr="00A77B53">
        <w:rPr>
          <w:rFonts w:cstheme="minorHAnsi"/>
        </w:rPr>
        <w:t>.</w:t>
      </w:r>
      <w:r w:rsidRPr="00A77B53">
        <w:rPr>
          <w:rFonts w:cstheme="minorHAnsi"/>
        </w:rPr>
        <w:t xml:space="preserve"> Prenatal Stress, Poverty, and Child Outcomes.</w:t>
      </w:r>
      <w:r w:rsidRPr="00A77B53">
        <w:rPr>
          <w:rFonts w:cstheme="minorHAnsi"/>
          <w:i/>
        </w:rPr>
        <w:t xml:space="preserve"> Child Adolescent Social Work Journal</w:t>
      </w:r>
      <w:r w:rsidRPr="00A77B53">
        <w:rPr>
          <w:rFonts w:cstheme="minorHAnsi"/>
        </w:rPr>
        <w:t xml:space="preserve">.  </w:t>
      </w:r>
      <w:r w:rsidR="009B247F" w:rsidRPr="00A77B53">
        <w:rPr>
          <w:rFonts w:cstheme="minorHAnsi"/>
        </w:rPr>
        <w:t>31, 577</w:t>
      </w:r>
      <w:r w:rsidRPr="00A77B53">
        <w:rPr>
          <w:rFonts w:cstheme="minorHAnsi"/>
        </w:rPr>
        <w:t>–590.</w:t>
      </w:r>
      <w:r w:rsidR="000A2521" w:rsidRPr="00A77B53">
        <w:rPr>
          <w:rFonts w:cstheme="minorHAnsi"/>
        </w:rPr>
        <w:t xml:space="preserve"> </w:t>
      </w:r>
    </w:p>
    <w:p w14:paraId="48B94757" w14:textId="77777777" w:rsidR="00164EA6" w:rsidRDefault="00164EA6" w:rsidP="001D45B4">
      <w:pPr>
        <w:spacing w:line="480" w:lineRule="auto"/>
        <w:rPr>
          <w:rFonts w:cstheme="minorHAnsi"/>
        </w:rPr>
      </w:pPr>
    </w:p>
    <w:p w14:paraId="06F2C381" w14:textId="77777777" w:rsidR="00400217" w:rsidRDefault="00400217" w:rsidP="001D45B4">
      <w:pPr>
        <w:spacing w:line="480" w:lineRule="auto"/>
        <w:rPr>
          <w:rFonts w:cstheme="minorHAnsi"/>
        </w:rPr>
      </w:pPr>
      <w:r>
        <w:rPr>
          <w:rFonts w:cstheme="minorHAnsi"/>
        </w:rPr>
        <w:t xml:space="preserve">Martin, J., McLean, G., Park, J., Martin, D., Connolly, M., Mercer, S., &amp; Smith, D. (2014) Impact of socioeconomic deprivation on rate and cause of death in severe mental illness. </w:t>
      </w:r>
      <w:r w:rsidRPr="00071CC2">
        <w:rPr>
          <w:rFonts w:cstheme="minorHAnsi"/>
          <w:i/>
        </w:rPr>
        <w:t>BMC Psychiatry</w:t>
      </w:r>
      <w:r>
        <w:rPr>
          <w:rFonts w:cstheme="minorHAnsi"/>
        </w:rPr>
        <w:t>. 14:261</w:t>
      </w:r>
    </w:p>
    <w:p w14:paraId="2A42D8BF" w14:textId="77777777" w:rsidR="00164EA6" w:rsidRPr="00A77B53" w:rsidRDefault="00164EA6" w:rsidP="001D45B4">
      <w:pPr>
        <w:spacing w:line="480" w:lineRule="auto"/>
        <w:rPr>
          <w:rFonts w:cstheme="minorHAnsi"/>
        </w:rPr>
      </w:pPr>
    </w:p>
    <w:p w14:paraId="6181E9A8" w14:textId="77777777" w:rsidR="000A2521" w:rsidRPr="00A77B53" w:rsidRDefault="000A2521" w:rsidP="001D45B4">
      <w:pPr>
        <w:spacing w:line="480" w:lineRule="auto"/>
        <w:rPr>
          <w:rFonts w:cstheme="minorHAnsi"/>
        </w:rPr>
      </w:pPr>
      <w:r w:rsidRPr="00A77B53">
        <w:rPr>
          <w:rFonts w:cstheme="minorHAnsi"/>
        </w:rPr>
        <w:t xml:space="preserve">Maschi, T., Perez, R., &amp; Gibson, S. (2010). Examining Gender Differences in Service Utilization among Children: Nature, Nurture, or Social Network? </w:t>
      </w:r>
      <w:r w:rsidRPr="00A77B53">
        <w:rPr>
          <w:rFonts w:cstheme="minorHAnsi"/>
          <w:i/>
        </w:rPr>
        <w:t>Child Adolescence Social Work Journal</w:t>
      </w:r>
      <w:r w:rsidRPr="00A77B53">
        <w:rPr>
          <w:rFonts w:cstheme="minorHAnsi"/>
        </w:rPr>
        <w:t>.  27</w:t>
      </w:r>
      <w:r w:rsidR="00562A69" w:rsidRPr="00A77B53">
        <w:rPr>
          <w:rFonts w:cstheme="minorHAnsi"/>
        </w:rPr>
        <w:t>, 177</w:t>
      </w:r>
      <w:r w:rsidRPr="00A77B53">
        <w:rPr>
          <w:rFonts w:cstheme="minorHAnsi"/>
        </w:rPr>
        <w:t>-191</w:t>
      </w:r>
    </w:p>
    <w:p w14:paraId="4FEDBCCE" w14:textId="77777777" w:rsidR="00650948" w:rsidRPr="00A77B53" w:rsidRDefault="00650948" w:rsidP="001D45B4">
      <w:pPr>
        <w:autoSpaceDE w:val="0"/>
        <w:autoSpaceDN w:val="0"/>
        <w:adjustRightInd w:val="0"/>
        <w:spacing w:after="0" w:line="480" w:lineRule="auto"/>
        <w:rPr>
          <w:rFonts w:cstheme="minorHAnsi"/>
        </w:rPr>
      </w:pPr>
    </w:p>
    <w:p w14:paraId="6E70FE74" w14:textId="77777777" w:rsidR="0042249E" w:rsidRPr="00A77B53" w:rsidRDefault="00506AC8" w:rsidP="001D45B4">
      <w:pPr>
        <w:autoSpaceDE w:val="0"/>
        <w:autoSpaceDN w:val="0"/>
        <w:adjustRightInd w:val="0"/>
        <w:spacing w:after="0" w:line="480" w:lineRule="auto"/>
        <w:rPr>
          <w:rFonts w:cstheme="minorHAnsi"/>
        </w:rPr>
      </w:pPr>
      <w:r w:rsidRPr="00A77B53">
        <w:rPr>
          <w:rFonts w:cstheme="minorHAnsi"/>
          <w:color w:val="333333"/>
          <w:lang w:val="en"/>
        </w:rPr>
        <w:t>McLennan, J</w:t>
      </w:r>
      <w:r w:rsidR="00650948" w:rsidRPr="00A77B53">
        <w:rPr>
          <w:rFonts w:cstheme="minorHAnsi"/>
          <w:color w:val="333333"/>
          <w:lang w:val="en"/>
        </w:rPr>
        <w:t>.</w:t>
      </w:r>
      <w:r w:rsidR="000A2521" w:rsidRPr="00A77B53">
        <w:rPr>
          <w:rFonts w:cstheme="minorHAnsi"/>
          <w:color w:val="333333"/>
          <w:lang w:val="en"/>
        </w:rPr>
        <w:t>, D</w:t>
      </w:r>
      <w:r w:rsidRPr="00A77B53">
        <w:rPr>
          <w:rFonts w:cstheme="minorHAnsi"/>
          <w:color w:val="333333"/>
          <w:lang w:val="en"/>
        </w:rPr>
        <w:t xml:space="preserve">. (2015) Wait time to what? Could reducing wait times for child mental health services worsen outcomes? </w:t>
      </w:r>
      <w:r w:rsidRPr="00A77B53">
        <w:rPr>
          <w:rFonts w:cstheme="minorHAnsi"/>
          <w:i/>
          <w:iCs/>
          <w:color w:val="333333"/>
          <w:lang w:val="en"/>
        </w:rPr>
        <w:t>Journal of The Canadian Academy Of Child And Adolescent Psychiatry / Journal De L'académie Canadienne De Psychiatrie De L'enfant Et De L'adolescent</w:t>
      </w:r>
      <w:r w:rsidRPr="00A77B53">
        <w:rPr>
          <w:rFonts w:cstheme="minorHAnsi"/>
          <w:color w:val="333333"/>
          <w:lang w:val="en"/>
        </w:rPr>
        <w:t>.  24, (1), 55-58.</w:t>
      </w:r>
    </w:p>
    <w:p w14:paraId="7FDE9D40" w14:textId="77777777" w:rsidR="003C1509" w:rsidRPr="00A77B53" w:rsidRDefault="003C1509" w:rsidP="001D45B4">
      <w:pPr>
        <w:autoSpaceDE w:val="0"/>
        <w:autoSpaceDN w:val="0"/>
        <w:adjustRightInd w:val="0"/>
        <w:spacing w:after="0" w:line="480" w:lineRule="auto"/>
        <w:rPr>
          <w:rFonts w:cstheme="minorHAnsi"/>
        </w:rPr>
      </w:pPr>
    </w:p>
    <w:p w14:paraId="1A439CDC" w14:textId="77777777" w:rsidR="003C1509" w:rsidRPr="00A77B53" w:rsidRDefault="003C1509" w:rsidP="001D45B4">
      <w:pPr>
        <w:pStyle w:val="Default"/>
        <w:spacing w:line="480" w:lineRule="auto"/>
        <w:rPr>
          <w:rFonts w:asciiTheme="minorHAnsi" w:hAnsiTheme="minorHAnsi" w:cstheme="minorHAnsi"/>
          <w:bCs/>
          <w:sz w:val="22"/>
          <w:szCs w:val="22"/>
        </w:rPr>
      </w:pPr>
      <w:r w:rsidRPr="00A77B53">
        <w:rPr>
          <w:rFonts w:asciiTheme="minorHAnsi" w:hAnsiTheme="minorHAnsi" w:cstheme="minorHAnsi"/>
          <w:sz w:val="22"/>
          <w:szCs w:val="22"/>
        </w:rPr>
        <w:t xml:space="preserve">NHS Scotland (2012). </w:t>
      </w:r>
      <w:r w:rsidRPr="00A77B53">
        <w:rPr>
          <w:rFonts w:asciiTheme="minorHAnsi" w:hAnsiTheme="minorHAnsi" w:cstheme="minorHAnsi"/>
          <w:i/>
          <w:sz w:val="22"/>
          <w:szCs w:val="22"/>
        </w:rPr>
        <w:t>CAMHS</w:t>
      </w:r>
      <w:r w:rsidRPr="00A77B53">
        <w:rPr>
          <w:rFonts w:asciiTheme="minorHAnsi" w:hAnsiTheme="minorHAnsi" w:cstheme="minorHAnsi"/>
          <w:bCs/>
          <w:i/>
          <w:sz w:val="22"/>
          <w:szCs w:val="22"/>
        </w:rPr>
        <w:t xml:space="preserve"> HEAT Target Updated Definitions.</w:t>
      </w:r>
      <w:r w:rsidRPr="00A77B53">
        <w:rPr>
          <w:rFonts w:asciiTheme="minorHAnsi" w:hAnsiTheme="minorHAnsi" w:cstheme="minorHAnsi"/>
          <w:bCs/>
          <w:sz w:val="22"/>
          <w:szCs w:val="22"/>
        </w:rPr>
        <w:t xml:space="preserve"> Accessed at: </w:t>
      </w:r>
      <w:hyperlink r:id="rId12" w:history="1">
        <w:r w:rsidRPr="00A77B53">
          <w:rPr>
            <w:rStyle w:val="Hyperlink"/>
            <w:rFonts w:asciiTheme="minorHAnsi" w:hAnsiTheme="minorHAnsi" w:cstheme="minorHAnsi"/>
            <w:bCs/>
            <w:sz w:val="22"/>
            <w:szCs w:val="22"/>
          </w:rPr>
          <w:t>http://www.isdscotland.org/Health-Topics/Waiting-Times/Child-and-Adolescent-Mental-Health/CAMH-Waiting-Times-Scope-and-Definitions-v1.0.pdf</w:t>
        </w:r>
      </w:hyperlink>
      <w:r w:rsidRPr="00A77B53">
        <w:rPr>
          <w:rFonts w:asciiTheme="minorHAnsi" w:hAnsiTheme="minorHAnsi" w:cstheme="minorHAnsi"/>
          <w:bCs/>
          <w:sz w:val="22"/>
          <w:szCs w:val="22"/>
        </w:rPr>
        <w:t xml:space="preserve"> </w:t>
      </w:r>
    </w:p>
    <w:p w14:paraId="2EE55A19" w14:textId="77777777" w:rsidR="003C1509" w:rsidRPr="00A77B53" w:rsidRDefault="003C1509" w:rsidP="001D45B4">
      <w:pPr>
        <w:autoSpaceDE w:val="0"/>
        <w:autoSpaceDN w:val="0"/>
        <w:adjustRightInd w:val="0"/>
        <w:spacing w:after="0" w:line="480" w:lineRule="auto"/>
        <w:rPr>
          <w:rFonts w:cstheme="minorHAnsi"/>
        </w:rPr>
      </w:pPr>
    </w:p>
    <w:p w14:paraId="2FBE3112" w14:textId="77777777" w:rsidR="0042249E" w:rsidRDefault="0042249E" w:rsidP="001D45B4">
      <w:pPr>
        <w:spacing w:line="480" w:lineRule="auto"/>
        <w:rPr>
          <w:rFonts w:cstheme="minorHAnsi"/>
        </w:rPr>
      </w:pPr>
      <w:r w:rsidRPr="00A77B53">
        <w:rPr>
          <w:rFonts w:cstheme="minorHAnsi"/>
        </w:rPr>
        <w:t xml:space="preserve">NHS Scotland (2013). </w:t>
      </w:r>
      <w:r w:rsidRPr="00A77B53">
        <w:rPr>
          <w:rFonts w:cstheme="minorHAnsi"/>
          <w:i/>
        </w:rPr>
        <w:t xml:space="preserve">Child and Adolescent Mental Health Services Waiting times in Scotland. Publication Report. Quarter ending 30 June 2013. </w:t>
      </w:r>
      <w:r w:rsidRPr="00A77B53">
        <w:rPr>
          <w:rFonts w:cstheme="minorHAnsi"/>
        </w:rPr>
        <w:t>Information Services Scotland.</w:t>
      </w:r>
    </w:p>
    <w:p w14:paraId="2E6D5E06" w14:textId="77777777" w:rsidR="00164EA6" w:rsidRDefault="00164EA6" w:rsidP="001D45B4">
      <w:pPr>
        <w:spacing w:line="480" w:lineRule="auto"/>
        <w:rPr>
          <w:rFonts w:cstheme="minorHAnsi"/>
        </w:rPr>
      </w:pPr>
    </w:p>
    <w:p w14:paraId="34BCE7E5" w14:textId="77777777" w:rsidR="00652DBB" w:rsidRPr="00A77B53" w:rsidRDefault="00652DBB" w:rsidP="001D45B4">
      <w:pPr>
        <w:spacing w:line="480" w:lineRule="auto"/>
        <w:rPr>
          <w:rFonts w:cstheme="minorHAnsi"/>
        </w:rPr>
      </w:pPr>
      <w:r>
        <w:rPr>
          <w:rFonts w:cstheme="minorHAnsi"/>
        </w:rPr>
        <w:t xml:space="preserve">Nicholson, L., &amp; Hotchin, H. (2015) The relationship between area deprivation and contact with community intellectual disability psychiatry. </w:t>
      </w:r>
      <w:r w:rsidRPr="00071CC2">
        <w:rPr>
          <w:rFonts w:cstheme="minorHAnsi"/>
          <w:i/>
        </w:rPr>
        <w:t>Journal of Intellectual Disability Research</w:t>
      </w:r>
      <w:r>
        <w:rPr>
          <w:rFonts w:cstheme="minorHAnsi"/>
        </w:rPr>
        <w:t>. 59, 5, 487 – 492.</w:t>
      </w:r>
    </w:p>
    <w:p w14:paraId="4E18FC41" w14:textId="77777777" w:rsidR="00E44986" w:rsidRDefault="0042249E" w:rsidP="001D45B4">
      <w:pPr>
        <w:spacing w:line="480" w:lineRule="auto"/>
        <w:rPr>
          <w:rFonts w:cstheme="minorHAnsi"/>
        </w:rPr>
      </w:pPr>
      <w:r w:rsidRPr="00A77B53">
        <w:rPr>
          <w:rFonts w:cstheme="minorHAnsi"/>
        </w:rPr>
        <w:t xml:space="preserve">Oruche, U, M., Downs, S., Holloway, E., Dracker, C., &amp; Aalsma, M. (2014) Barriers and facilitators to treatment participation by adolescents in a community mental health clinic. </w:t>
      </w:r>
      <w:r w:rsidRPr="00A77B53">
        <w:rPr>
          <w:rFonts w:cstheme="minorHAnsi"/>
          <w:i/>
        </w:rPr>
        <w:t>Journal of Psychiatric and Mental Health Nursing</w:t>
      </w:r>
      <w:r w:rsidRPr="00A77B53">
        <w:rPr>
          <w:rFonts w:cstheme="minorHAnsi"/>
        </w:rPr>
        <w:t>. 21, 241-248.</w:t>
      </w:r>
    </w:p>
    <w:p w14:paraId="2F922F11" w14:textId="77777777" w:rsidR="00164EA6" w:rsidRPr="00A77B53" w:rsidRDefault="00164EA6" w:rsidP="001D45B4">
      <w:pPr>
        <w:spacing w:line="480" w:lineRule="auto"/>
        <w:rPr>
          <w:rFonts w:cstheme="minorHAnsi"/>
        </w:rPr>
      </w:pPr>
    </w:p>
    <w:p w14:paraId="162476C5" w14:textId="77777777" w:rsidR="00FA58BC" w:rsidRPr="00A77B53" w:rsidRDefault="00FA58BC" w:rsidP="001D45B4">
      <w:pPr>
        <w:autoSpaceDE w:val="0"/>
        <w:autoSpaceDN w:val="0"/>
        <w:adjustRightInd w:val="0"/>
        <w:spacing w:after="0" w:line="480" w:lineRule="auto"/>
        <w:rPr>
          <w:rFonts w:cstheme="minorHAnsi"/>
        </w:rPr>
      </w:pPr>
      <w:r w:rsidRPr="00A77B53">
        <w:rPr>
          <w:rFonts w:cstheme="minorHAnsi"/>
        </w:rPr>
        <w:t>Pedrini, L.,  Sisti, D.,  Tiberti, A.,  Preti, A.,  Fabiani, M.,  Ferraresi, L., Palazzi, S.,</w:t>
      </w:r>
    </w:p>
    <w:p w14:paraId="0FED2402" w14:textId="77777777" w:rsidR="00562A69" w:rsidRDefault="00FA58BC" w:rsidP="001D45B4">
      <w:pPr>
        <w:autoSpaceDE w:val="0"/>
        <w:autoSpaceDN w:val="0"/>
        <w:adjustRightInd w:val="0"/>
        <w:spacing w:after="0" w:line="480" w:lineRule="auto"/>
        <w:rPr>
          <w:rFonts w:cstheme="minorHAnsi"/>
        </w:rPr>
      </w:pPr>
      <w:r w:rsidRPr="00A77B53">
        <w:rPr>
          <w:rFonts w:cstheme="minorHAnsi"/>
        </w:rPr>
        <w:t xml:space="preserve"> Parisi, R., Ricciutello, C.,  Marco B. L.,  Rocchi, M.B.L.,  Squarcia, A.,  Trebbi, S.,  Tullini, A.,  and  De Girolamo, G. (2015). Reasons and pathways of first-time consultations at child and adolescent mental health services in Italy: an observational study. </w:t>
      </w:r>
      <w:r w:rsidRPr="00A77B53">
        <w:rPr>
          <w:rFonts w:cstheme="minorHAnsi"/>
          <w:i/>
        </w:rPr>
        <w:t xml:space="preserve">Child and Adolescent Psychiatry and Mental Health </w:t>
      </w:r>
      <w:r w:rsidRPr="00A77B53">
        <w:rPr>
          <w:rFonts w:cstheme="minorHAnsi"/>
        </w:rPr>
        <w:t xml:space="preserve">  9 (29)</w:t>
      </w:r>
      <w:r w:rsidR="00062236" w:rsidRPr="00A77B53">
        <w:rPr>
          <w:rFonts w:cstheme="minorHAnsi"/>
        </w:rPr>
        <w:t xml:space="preserve"> 1 – 9.</w:t>
      </w:r>
    </w:p>
    <w:p w14:paraId="178B1C4C" w14:textId="77777777" w:rsidR="00164EA6" w:rsidRPr="00A77B53" w:rsidRDefault="00164EA6" w:rsidP="001D45B4">
      <w:pPr>
        <w:autoSpaceDE w:val="0"/>
        <w:autoSpaceDN w:val="0"/>
        <w:adjustRightInd w:val="0"/>
        <w:spacing w:after="0" w:line="480" w:lineRule="auto"/>
        <w:rPr>
          <w:rFonts w:cstheme="minorHAnsi"/>
        </w:rPr>
      </w:pPr>
    </w:p>
    <w:p w14:paraId="4EC95298" w14:textId="77777777" w:rsidR="00562A69" w:rsidRPr="00562A69" w:rsidRDefault="00562A69" w:rsidP="001D45B4">
      <w:pPr>
        <w:autoSpaceDE w:val="0"/>
        <w:autoSpaceDN w:val="0"/>
        <w:adjustRightInd w:val="0"/>
        <w:spacing w:after="0" w:line="480" w:lineRule="auto"/>
        <w:rPr>
          <w:rFonts w:cstheme="minorHAnsi"/>
        </w:rPr>
      </w:pPr>
      <w:r w:rsidRPr="00562A69">
        <w:rPr>
          <w:rFonts w:eastAsia="Times New Roman" w:cstheme="minorHAnsi"/>
          <w:lang w:eastAsia="en-GB"/>
        </w:rPr>
        <w:t>Power, T</w:t>
      </w:r>
      <w:r w:rsidRPr="00A77B53">
        <w:rPr>
          <w:rFonts w:eastAsia="Times New Roman" w:cstheme="minorHAnsi"/>
          <w:lang w:eastAsia="en-GB"/>
        </w:rPr>
        <w:t xml:space="preserve">. J., </w:t>
      </w:r>
      <w:r w:rsidRPr="00562A69">
        <w:rPr>
          <w:rFonts w:eastAsia="Times New Roman" w:cstheme="minorHAnsi"/>
          <w:lang w:eastAsia="en-GB"/>
        </w:rPr>
        <w:t>Eiraldi, R</w:t>
      </w:r>
      <w:r w:rsidRPr="00A77B53">
        <w:rPr>
          <w:rFonts w:eastAsia="Times New Roman" w:cstheme="minorHAnsi"/>
          <w:lang w:eastAsia="en-GB"/>
        </w:rPr>
        <w:t>. B.,</w:t>
      </w:r>
      <w:r w:rsidRPr="00562A69">
        <w:rPr>
          <w:rFonts w:eastAsia="Times New Roman" w:cstheme="minorHAnsi"/>
          <w:lang w:eastAsia="en-GB"/>
        </w:rPr>
        <w:t>Clarke, A</w:t>
      </w:r>
      <w:r w:rsidRPr="00A77B53">
        <w:rPr>
          <w:rFonts w:eastAsia="Times New Roman" w:cstheme="minorHAnsi"/>
          <w:lang w:eastAsia="en-GB"/>
        </w:rPr>
        <w:t>.</w:t>
      </w:r>
      <w:r w:rsidRPr="00562A69">
        <w:rPr>
          <w:rFonts w:eastAsia="Times New Roman" w:cstheme="minorHAnsi"/>
          <w:lang w:eastAsia="en-GB"/>
        </w:rPr>
        <w:t xml:space="preserve"> T.; Mazzuca, L</w:t>
      </w:r>
      <w:r w:rsidRPr="00A77B53">
        <w:rPr>
          <w:rFonts w:eastAsia="Times New Roman" w:cstheme="minorHAnsi"/>
          <w:lang w:eastAsia="en-GB"/>
        </w:rPr>
        <w:t>. B.,</w:t>
      </w:r>
      <w:r w:rsidRPr="00562A69">
        <w:rPr>
          <w:rFonts w:eastAsia="Times New Roman" w:cstheme="minorHAnsi"/>
          <w:lang w:eastAsia="en-GB"/>
        </w:rPr>
        <w:t xml:space="preserve"> Krain, A</w:t>
      </w:r>
      <w:r w:rsidRPr="00A77B53">
        <w:rPr>
          <w:rFonts w:eastAsia="Times New Roman" w:cstheme="minorHAnsi"/>
          <w:lang w:eastAsia="en-GB"/>
        </w:rPr>
        <w:t>.</w:t>
      </w:r>
      <w:r w:rsidRPr="00562A69">
        <w:rPr>
          <w:rFonts w:eastAsia="Times New Roman" w:cstheme="minorHAnsi"/>
          <w:lang w:eastAsia="en-GB"/>
        </w:rPr>
        <w:t xml:space="preserve"> L.</w:t>
      </w:r>
      <w:r w:rsidRPr="00A77B53">
        <w:rPr>
          <w:rFonts w:eastAsia="Times New Roman" w:cstheme="minorHAnsi"/>
          <w:lang w:eastAsia="en-GB"/>
        </w:rPr>
        <w:t xml:space="preserve"> (2005).</w:t>
      </w:r>
      <w:r w:rsidRPr="00562A69">
        <w:rPr>
          <w:rFonts w:eastAsia="Times New Roman" w:cstheme="minorHAnsi"/>
          <w:lang w:eastAsia="en-GB"/>
        </w:rPr>
        <w:t xml:space="preserve"> Improving Mental Health Service Utilization for Children and Adolescents. </w:t>
      </w:r>
    </w:p>
    <w:p w14:paraId="1C7279E5" w14:textId="77777777" w:rsidR="00562A69" w:rsidRPr="00562A69" w:rsidRDefault="00562A69" w:rsidP="001D45B4">
      <w:pPr>
        <w:spacing w:after="0" w:line="480" w:lineRule="auto"/>
        <w:rPr>
          <w:rFonts w:eastAsia="Times New Roman" w:cstheme="minorHAnsi"/>
          <w:lang w:eastAsia="en-GB"/>
        </w:rPr>
      </w:pPr>
      <w:r w:rsidRPr="00562A69">
        <w:rPr>
          <w:rFonts w:eastAsia="Times New Roman" w:cstheme="minorHAnsi"/>
          <w:i/>
          <w:lang w:eastAsia="en-GB"/>
        </w:rPr>
        <w:t>School P</w:t>
      </w:r>
      <w:r w:rsidRPr="00A77B53">
        <w:rPr>
          <w:rFonts w:eastAsia="Times New Roman" w:cstheme="minorHAnsi"/>
          <w:i/>
          <w:lang w:eastAsia="en-GB"/>
        </w:rPr>
        <w:t>sychology Quarterly</w:t>
      </w:r>
      <w:r w:rsidRPr="00A77B53">
        <w:rPr>
          <w:rFonts w:eastAsia="Times New Roman" w:cstheme="minorHAnsi"/>
          <w:lang w:eastAsia="en-GB"/>
        </w:rPr>
        <w:t>. 20 (2)</w:t>
      </w:r>
      <w:r w:rsidRPr="00562A69">
        <w:rPr>
          <w:rFonts w:eastAsia="Times New Roman" w:cstheme="minorHAnsi"/>
          <w:lang w:eastAsia="en-GB"/>
        </w:rPr>
        <w:t>187-205.</w:t>
      </w:r>
    </w:p>
    <w:p w14:paraId="6EBB1683" w14:textId="77777777" w:rsidR="00562A69" w:rsidRPr="00A77B53" w:rsidRDefault="00562A69" w:rsidP="001D45B4">
      <w:pPr>
        <w:autoSpaceDE w:val="0"/>
        <w:autoSpaceDN w:val="0"/>
        <w:adjustRightInd w:val="0"/>
        <w:spacing w:after="0" w:line="480" w:lineRule="auto"/>
        <w:rPr>
          <w:rFonts w:cstheme="minorHAnsi"/>
        </w:rPr>
      </w:pPr>
    </w:p>
    <w:p w14:paraId="1A5B9501" w14:textId="77777777" w:rsidR="009A0639" w:rsidRPr="00A77B53" w:rsidRDefault="00991A62" w:rsidP="001D45B4">
      <w:pPr>
        <w:autoSpaceDE w:val="0"/>
        <w:autoSpaceDN w:val="0"/>
        <w:adjustRightInd w:val="0"/>
        <w:spacing w:after="0" w:line="480" w:lineRule="auto"/>
        <w:rPr>
          <w:rFonts w:cstheme="minorHAnsi"/>
        </w:rPr>
      </w:pPr>
      <w:r w:rsidRPr="00A77B53">
        <w:rPr>
          <w:rFonts w:cstheme="minorHAnsi"/>
        </w:rPr>
        <w:t>Priddis, L. E., Landy, S., Moroney,D., &amp; Kane, R. (2014)</w:t>
      </w:r>
      <w:r w:rsidR="009A0639" w:rsidRPr="00A77B53">
        <w:rPr>
          <w:rFonts w:cstheme="minorHAnsi"/>
        </w:rPr>
        <w:t>. An Exploratory Study of Aggression in School-Age Children: Underlying Factors and Implications for</w:t>
      </w:r>
    </w:p>
    <w:p w14:paraId="4670131E" w14:textId="77777777" w:rsidR="00FA58BC" w:rsidRDefault="009A0639" w:rsidP="001D45B4">
      <w:pPr>
        <w:autoSpaceDE w:val="0"/>
        <w:autoSpaceDN w:val="0"/>
        <w:adjustRightInd w:val="0"/>
        <w:spacing w:after="0" w:line="480" w:lineRule="auto"/>
        <w:rPr>
          <w:rFonts w:cstheme="minorHAnsi"/>
        </w:rPr>
      </w:pPr>
      <w:r w:rsidRPr="00A77B53">
        <w:rPr>
          <w:rFonts w:cstheme="minorHAnsi"/>
        </w:rPr>
        <w:t>Treatment.</w:t>
      </w:r>
      <w:r w:rsidR="00991A62" w:rsidRPr="00A77B53">
        <w:rPr>
          <w:rFonts w:cstheme="minorHAnsi"/>
        </w:rPr>
        <w:t xml:space="preserve"> Australian Journal of Guidance and Counselling</w:t>
      </w:r>
      <w:r w:rsidRPr="00A77B53">
        <w:rPr>
          <w:rFonts w:cstheme="minorHAnsi"/>
        </w:rPr>
        <w:t xml:space="preserve">. </w:t>
      </w:r>
      <w:r w:rsidR="00991A62" w:rsidRPr="00A77B53">
        <w:rPr>
          <w:rFonts w:cstheme="minorHAnsi"/>
        </w:rPr>
        <w:t xml:space="preserve"> 24</w:t>
      </w:r>
      <w:r w:rsidRPr="00A77B53">
        <w:rPr>
          <w:rFonts w:cstheme="minorHAnsi"/>
        </w:rPr>
        <w:t>,</w:t>
      </w:r>
      <w:r w:rsidR="00991A62" w:rsidRPr="00A77B53">
        <w:rPr>
          <w:rFonts w:cstheme="minorHAnsi"/>
        </w:rPr>
        <w:t xml:space="preserve"> </w:t>
      </w:r>
      <w:r w:rsidRPr="00A77B53">
        <w:rPr>
          <w:rFonts w:cstheme="minorHAnsi"/>
        </w:rPr>
        <w:t>(1) 18–35.</w:t>
      </w:r>
    </w:p>
    <w:p w14:paraId="549A31E0" w14:textId="77777777" w:rsidR="00164EA6" w:rsidRPr="00A77B53" w:rsidRDefault="00164EA6" w:rsidP="001D45B4">
      <w:pPr>
        <w:autoSpaceDE w:val="0"/>
        <w:autoSpaceDN w:val="0"/>
        <w:adjustRightInd w:val="0"/>
        <w:spacing w:after="0" w:line="480" w:lineRule="auto"/>
        <w:rPr>
          <w:rFonts w:cstheme="minorHAnsi"/>
        </w:rPr>
      </w:pPr>
    </w:p>
    <w:p w14:paraId="3A783F42" w14:textId="77777777" w:rsidR="00E44986" w:rsidRDefault="0022022D" w:rsidP="001D45B4">
      <w:pPr>
        <w:spacing w:line="480" w:lineRule="auto"/>
        <w:rPr>
          <w:rFonts w:eastAsia="Times New Roman" w:cstheme="minorHAnsi"/>
          <w:bCs/>
          <w:color w:val="000000"/>
          <w:kern w:val="36"/>
          <w:lang w:eastAsia="en-GB"/>
        </w:rPr>
      </w:pPr>
      <w:hyperlink r:id="rId13" w:history="1">
        <w:r w:rsidR="00E44986" w:rsidRPr="00A77B53">
          <w:rPr>
            <w:rFonts w:eastAsia="Times New Roman" w:cstheme="minorHAnsi"/>
            <w:lang w:eastAsia="en-GB"/>
          </w:rPr>
          <w:t>Schraeder, K, E</w:t>
        </w:r>
      </w:hyperlink>
      <w:r w:rsidR="00E44986" w:rsidRPr="00A77B53">
        <w:rPr>
          <w:rFonts w:eastAsia="Times New Roman" w:cstheme="minorHAnsi"/>
          <w:lang w:eastAsia="en-GB"/>
        </w:rPr>
        <w:t xml:space="preserve">., &amp; </w:t>
      </w:r>
      <w:hyperlink r:id="rId14" w:history="1">
        <w:r w:rsidR="00E44986" w:rsidRPr="00A77B53">
          <w:rPr>
            <w:rFonts w:eastAsia="Times New Roman" w:cstheme="minorHAnsi"/>
            <w:lang w:eastAsia="en-GB"/>
          </w:rPr>
          <w:t>Reid, G, J</w:t>
        </w:r>
      </w:hyperlink>
      <w:r w:rsidR="00E44986" w:rsidRPr="00A77B53">
        <w:rPr>
          <w:rFonts w:eastAsia="Times New Roman" w:cstheme="minorHAnsi"/>
          <w:lang w:eastAsia="en-GB"/>
        </w:rPr>
        <w:t xml:space="preserve">. (2015). </w:t>
      </w:r>
      <w:r w:rsidR="00E44986" w:rsidRPr="00A77B53">
        <w:rPr>
          <w:rFonts w:eastAsia="Times New Roman" w:cstheme="minorHAnsi"/>
          <w:bCs/>
          <w:color w:val="000000"/>
          <w:kern w:val="36"/>
          <w:lang w:eastAsia="en-GB"/>
        </w:rPr>
        <w:t xml:space="preserve">Why wait? The effect of wait-times on subsequent help-seeking among families looking for children's mental health services. </w:t>
      </w:r>
      <w:r w:rsidR="00E44986" w:rsidRPr="00A77B53">
        <w:rPr>
          <w:rFonts w:eastAsia="Times New Roman" w:cstheme="minorHAnsi"/>
          <w:bCs/>
          <w:i/>
          <w:color w:val="000000"/>
          <w:kern w:val="36"/>
          <w:lang w:eastAsia="en-GB"/>
        </w:rPr>
        <w:t>Abnormal Child Psychology.</w:t>
      </w:r>
      <w:r w:rsidR="00E44986" w:rsidRPr="00A77B53">
        <w:rPr>
          <w:rFonts w:eastAsia="Times New Roman" w:cstheme="minorHAnsi"/>
          <w:bCs/>
          <w:color w:val="000000"/>
          <w:kern w:val="36"/>
          <w:lang w:eastAsia="en-GB"/>
        </w:rPr>
        <w:t xml:space="preserve"> 43 (3) 553 – 565.</w:t>
      </w:r>
    </w:p>
    <w:p w14:paraId="321F9B7F" w14:textId="77777777" w:rsidR="00910095" w:rsidRPr="00A77B53" w:rsidRDefault="00910095" w:rsidP="001D45B4">
      <w:pPr>
        <w:spacing w:line="480" w:lineRule="auto"/>
        <w:rPr>
          <w:rFonts w:cstheme="minorHAnsi"/>
        </w:rPr>
      </w:pPr>
      <w:r w:rsidRPr="00A77B53">
        <w:rPr>
          <w:rFonts w:cstheme="minorHAnsi"/>
        </w:rPr>
        <w:t xml:space="preserve">Scottish Government. (2012). </w:t>
      </w:r>
      <w:r w:rsidRPr="00A77B53">
        <w:rPr>
          <w:rFonts w:cstheme="minorHAnsi"/>
          <w:i/>
        </w:rPr>
        <w:t>Scottish Index of Multiple Deprivation (SIMD)</w:t>
      </w:r>
      <w:r w:rsidRPr="00A77B53">
        <w:rPr>
          <w:rFonts w:cstheme="minorHAnsi"/>
        </w:rPr>
        <w:t xml:space="preserve">. </w:t>
      </w:r>
      <w:r w:rsidR="00334139" w:rsidRPr="00A77B53">
        <w:rPr>
          <w:rFonts w:cstheme="minorHAnsi"/>
        </w:rPr>
        <w:t>Accessed</w:t>
      </w:r>
      <w:r w:rsidRPr="00A77B53">
        <w:rPr>
          <w:rFonts w:cstheme="minorHAnsi"/>
        </w:rPr>
        <w:t xml:space="preserve"> at:  </w:t>
      </w:r>
      <w:hyperlink r:id="rId15" w:history="1">
        <w:r w:rsidRPr="00A77B53">
          <w:rPr>
            <w:rStyle w:val="Hyperlink"/>
            <w:rFonts w:cstheme="minorHAnsi"/>
          </w:rPr>
          <w:t>http://simd.scotland.gov.uk/publication-2012/</w:t>
        </w:r>
      </w:hyperlink>
      <w:r w:rsidRPr="00A77B53">
        <w:rPr>
          <w:rFonts w:cstheme="minorHAnsi"/>
        </w:rPr>
        <w:t xml:space="preserve"> </w:t>
      </w:r>
    </w:p>
    <w:p w14:paraId="019D2CC9" w14:textId="77777777" w:rsidR="00C03DBA" w:rsidRDefault="00C03DBA" w:rsidP="001D45B4">
      <w:pPr>
        <w:spacing w:line="480" w:lineRule="auto"/>
        <w:rPr>
          <w:rFonts w:cstheme="minorHAnsi"/>
        </w:rPr>
      </w:pPr>
      <w:r w:rsidRPr="00A77B53">
        <w:rPr>
          <w:rFonts w:cstheme="minorHAnsi"/>
        </w:rPr>
        <w:t xml:space="preserve">Shaw, I., Clegg Smith, K., Middleton, H., &amp; Woodward, L. (2005) A Letter of Consequence: Referral Letters from General Practitioners to Secondary Mental Health Services. </w:t>
      </w:r>
      <w:r w:rsidRPr="00A77B53">
        <w:rPr>
          <w:rFonts w:cstheme="minorHAnsi"/>
          <w:i/>
        </w:rPr>
        <w:t>Qualitative Health Research.</w:t>
      </w:r>
      <w:r w:rsidRPr="00A77B53">
        <w:rPr>
          <w:rFonts w:cstheme="minorHAnsi"/>
        </w:rPr>
        <w:t xml:space="preserve"> 15,  116-128.</w:t>
      </w:r>
    </w:p>
    <w:p w14:paraId="05CBBFBD" w14:textId="77777777" w:rsidR="00164EA6" w:rsidRPr="00A77B53" w:rsidRDefault="00164EA6" w:rsidP="001D45B4">
      <w:pPr>
        <w:spacing w:line="480" w:lineRule="auto"/>
        <w:rPr>
          <w:rFonts w:cstheme="minorHAnsi"/>
        </w:rPr>
      </w:pPr>
    </w:p>
    <w:p w14:paraId="74876949" w14:textId="77777777" w:rsidR="00C67CD5" w:rsidRDefault="00C67CD5" w:rsidP="001D45B4">
      <w:pPr>
        <w:spacing w:line="480" w:lineRule="auto"/>
        <w:rPr>
          <w:rFonts w:cstheme="minorHAnsi"/>
        </w:rPr>
      </w:pPr>
      <w:r w:rsidRPr="00A77B53">
        <w:rPr>
          <w:rFonts w:cstheme="minorHAnsi"/>
        </w:rPr>
        <w:t xml:space="preserve">Slone, M., Meir, Y., &amp; Tarrasch, R. (2013) Individual differences in referral for help for severe emotional difficulties in adolescence. </w:t>
      </w:r>
      <w:r w:rsidRPr="00A77B53">
        <w:rPr>
          <w:rFonts w:cstheme="minorHAnsi"/>
          <w:i/>
        </w:rPr>
        <w:t>Children and Youth Services Review</w:t>
      </w:r>
      <w:r w:rsidRPr="00A77B53">
        <w:rPr>
          <w:rFonts w:cstheme="minorHAnsi"/>
        </w:rPr>
        <w:t>. 35, 1854 – 1861.</w:t>
      </w:r>
    </w:p>
    <w:p w14:paraId="09DF00A1" w14:textId="77777777" w:rsidR="00164EA6" w:rsidRPr="00A77B53" w:rsidRDefault="00164EA6" w:rsidP="001D45B4">
      <w:pPr>
        <w:spacing w:line="480" w:lineRule="auto"/>
        <w:rPr>
          <w:rFonts w:cstheme="minorHAnsi"/>
        </w:rPr>
      </w:pPr>
    </w:p>
    <w:p w14:paraId="4B27D251" w14:textId="77777777" w:rsidR="00C67CD5" w:rsidRDefault="0022022D" w:rsidP="001D45B4">
      <w:pPr>
        <w:spacing w:line="480" w:lineRule="auto"/>
        <w:rPr>
          <w:rFonts w:eastAsia="Times New Roman" w:cstheme="minorHAnsi"/>
          <w:bCs/>
          <w:color w:val="000000"/>
          <w:kern w:val="36"/>
          <w:lang w:eastAsia="en-GB"/>
        </w:rPr>
      </w:pPr>
      <w:hyperlink r:id="rId16" w:history="1">
        <w:r w:rsidR="00C67CD5" w:rsidRPr="00A77B53">
          <w:rPr>
            <w:rFonts w:eastAsia="Times New Roman" w:cstheme="minorHAnsi"/>
            <w:lang w:eastAsia="en-GB"/>
          </w:rPr>
          <w:t>Stasiak, K</w:t>
        </w:r>
      </w:hyperlink>
      <w:r w:rsidR="00C67CD5" w:rsidRPr="00A77B53">
        <w:rPr>
          <w:rFonts w:eastAsia="Times New Roman" w:cstheme="minorHAnsi"/>
          <w:lang w:eastAsia="en-GB"/>
        </w:rPr>
        <w:t xml:space="preserve">., </w:t>
      </w:r>
      <w:hyperlink r:id="rId17" w:history="1">
        <w:r w:rsidR="00C67CD5" w:rsidRPr="00A77B53">
          <w:rPr>
            <w:rFonts w:eastAsia="Times New Roman" w:cstheme="minorHAnsi"/>
            <w:lang w:eastAsia="en-GB"/>
          </w:rPr>
          <w:t>Parkin, A</w:t>
        </w:r>
      </w:hyperlink>
      <w:r w:rsidR="00C67CD5" w:rsidRPr="00A77B53">
        <w:rPr>
          <w:rFonts w:eastAsia="Times New Roman" w:cstheme="minorHAnsi"/>
          <w:lang w:eastAsia="en-GB"/>
        </w:rPr>
        <w:t xml:space="preserve">., </w:t>
      </w:r>
      <w:hyperlink r:id="rId18" w:history="1">
        <w:r w:rsidR="00C67CD5" w:rsidRPr="00A77B53">
          <w:rPr>
            <w:rFonts w:eastAsia="Times New Roman" w:cstheme="minorHAnsi"/>
            <w:lang w:eastAsia="en-GB"/>
          </w:rPr>
          <w:t>Seymour, F</w:t>
        </w:r>
      </w:hyperlink>
      <w:r w:rsidR="00C67CD5" w:rsidRPr="00A77B53">
        <w:rPr>
          <w:rFonts w:eastAsia="Times New Roman" w:cstheme="minorHAnsi"/>
          <w:lang w:eastAsia="en-GB"/>
        </w:rPr>
        <w:t xml:space="preserve">., </w:t>
      </w:r>
      <w:hyperlink r:id="rId19" w:history="1">
        <w:r w:rsidR="00C67CD5" w:rsidRPr="00A77B53">
          <w:rPr>
            <w:rFonts w:eastAsia="Times New Roman" w:cstheme="minorHAnsi"/>
            <w:lang w:eastAsia="en-GB"/>
          </w:rPr>
          <w:t>Lambie, I</w:t>
        </w:r>
      </w:hyperlink>
      <w:r w:rsidR="00C67CD5" w:rsidRPr="00A77B53">
        <w:rPr>
          <w:rFonts w:eastAsia="Times New Roman" w:cstheme="minorHAnsi"/>
          <w:lang w:eastAsia="en-GB"/>
        </w:rPr>
        <w:t xml:space="preserve">., </w:t>
      </w:r>
      <w:hyperlink r:id="rId20" w:history="1">
        <w:r w:rsidR="00C67CD5" w:rsidRPr="00A77B53">
          <w:rPr>
            <w:rFonts w:eastAsia="Times New Roman" w:cstheme="minorHAnsi"/>
            <w:lang w:eastAsia="en-GB"/>
          </w:rPr>
          <w:t>Crengle, S</w:t>
        </w:r>
      </w:hyperlink>
      <w:r w:rsidR="00C67CD5" w:rsidRPr="00A77B53">
        <w:rPr>
          <w:rFonts w:eastAsia="Times New Roman" w:cstheme="minorHAnsi"/>
          <w:lang w:eastAsia="en-GB"/>
        </w:rPr>
        <w:t xml:space="preserve">., </w:t>
      </w:r>
      <w:hyperlink r:id="rId21" w:history="1">
        <w:r w:rsidR="00C67CD5" w:rsidRPr="00A77B53">
          <w:rPr>
            <w:rFonts w:eastAsia="Times New Roman" w:cstheme="minorHAnsi"/>
            <w:lang w:eastAsia="en-GB"/>
          </w:rPr>
          <w:t>Pasene-Mizziebo,E</w:t>
        </w:r>
      </w:hyperlink>
      <w:r w:rsidR="00C67CD5" w:rsidRPr="00A77B53">
        <w:rPr>
          <w:rFonts w:eastAsia="Times New Roman" w:cstheme="minorHAnsi"/>
          <w:lang w:eastAsia="en-GB"/>
        </w:rPr>
        <w:t xml:space="preserve">., </w:t>
      </w:r>
      <w:hyperlink r:id="rId22" w:history="1">
        <w:r w:rsidR="00C67CD5" w:rsidRPr="00A77B53">
          <w:rPr>
            <w:rFonts w:eastAsia="Times New Roman" w:cstheme="minorHAnsi"/>
            <w:lang w:eastAsia="en-GB"/>
          </w:rPr>
          <w:t>Merry, S</w:t>
        </w:r>
      </w:hyperlink>
      <w:r w:rsidR="00C67CD5" w:rsidRPr="00A77B53">
        <w:rPr>
          <w:rFonts w:eastAsia="Times New Roman" w:cstheme="minorHAnsi"/>
          <w:lang w:eastAsia="en-GB"/>
        </w:rPr>
        <w:t>. (2013)</w:t>
      </w:r>
      <w:r w:rsidR="00C67CD5" w:rsidRPr="00A77B53">
        <w:rPr>
          <w:rFonts w:eastAsia="Times New Roman" w:cstheme="minorHAnsi"/>
          <w:bCs/>
          <w:color w:val="000000"/>
          <w:kern w:val="36"/>
          <w:lang w:eastAsia="en-GB"/>
        </w:rPr>
        <w:t xml:space="preserve"> Measuring outcome in child and adolescent mental health services: consumers' views of measures. Clinical Child Psychology &amp; Psychiatry. 18 (4) 519 – 535.</w:t>
      </w:r>
    </w:p>
    <w:p w14:paraId="51BC3F3F" w14:textId="77777777" w:rsidR="00640894" w:rsidRDefault="00640894" w:rsidP="001D45B4">
      <w:pPr>
        <w:spacing w:line="480" w:lineRule="auto"/>
        <w:rPr>
          <w:rFonts w:cstheme="minorHAnsi"/>
          <w:color w:val="333333"/>
          <w:lang w:val="en"/>
        </w:rPr>
      </w:pPr>
      <w:r w:rsidRPr="00A77B53">
        <w:rPr>
          <w:rFonts w:cstheme="minorHAnsi"/>
          <w:color w:val="333333"/>
          <w:lang w:val="en"/>
        </w:rPr>
        <w:t xml:space="preserve">Steinman, K., Shoben, A., Dembe, A., &amp; Kelleher, K. (2015).How long do adolescents wait for psychiatry appointments? </w:t>
      </w:r>
      <w:r w:rsidRPr="00A77B53">
        <w:rPr>
          <w:rFonts w:cstheme="minorHAnsi"/>
          <w:i/>
          <w:iCs/>
          <w:color w:val="333333"/>
          <w:lang w:val="en"/>
        </w:rPr>
        <w:t>Community Mental Health Journal</w:t>
      </w:r>
      <w:r w:rsidRPr="00A77B53">
        <w:rPr>
          <w:rFonts w:cstheme="minorHAnsi"/>
          <w:color w:val="333333"/>
          <w:lang w:val="en"/>
        </w:rPr>
        <w:t>. 51 (7), 782-789.</w:t>
      </w:r>
    </w:p>
    <w:p w14:paraId="3DD33B37" w14:textId="77777777" w:rsidR="00B12EF4" w:rsidRPr="00A77B53" w:rsidRDefault="00D841EC" w:rsidP="001D45B4">
      <w:pPr>
        <w:autoSpaceDE w:val="0"/>
        <w:autoSpaceDN w:val="0"/>
        <w:adjustRightInd w:val="0"/>
        <w:spacing w:after="0" w:line="480" w:lineRule="auto"/>
        <w:rPr>
          <w:rFonts w:cstheme="minorHAnsi"/>
        </w:rPr>
      </w:pPr>
      <w:r w:rsidRPr="00A77B53">
        <w:rPr>
          <w:rFonts w:cstheme="minorHAnsi"/>
        </w:rPr>
        <w:t xml:space="preserve">Sund, A. M., Larsson, B., </w:t>
      </w:r>
      <w:r w:rsidR="00B12EF4" w:rsidRPr="00A77B53">
        <w:rPr>
          <w:rFonts w:cstheme="minorHAnsi"/>
        </w:rPr>
        <w:t>and Wichstrøm</w:t>
      </w:r>
      <w:r w:rsidRPr="00A77B53">
        <w:rPr>
          <w:rFonts w:cstheme="minorHAnsi"/>
        </w:rPr>
        <w:t xml:space="preserve">, L. </w:t>
      </w:r>
      <w:r w:rsidR="00B12EF4" w:rsidRPr="00A77B53">
        <w:rPr>
          <w:rFonts w:cstheme="minorHAnsi"/>
        </w:rPr>
        <w:t xml:space="preserve">(2011) Prevalence and characteristics of depressive disorders in early adolescents in central Norway. </w:t>
      </w:r>
      <w:r w:rsidR="00B12EF4" w:rsidRPr="00A77B53">
        <w:rPr>
          <w:rFonts w:cstheme="minorHAnsi"/>
          <w:i/>
        </w:rPr>
        <w:t>Child and Adolescent Psychiatry and Mental Health</w:t>
      </w:r>
      <w:r w:rsidR="00B12EF4" w:rsidRPr="00A77B53">
        <w:rPr>
          <w:rFonts w:cstheme="minorHAnsi"/>
        </w:rPr>
        <w:t>. 5, 1 – 13.</w:t>
      </w:r>
    </w:p>
    <w:p w14:paraId="6B9372F6" w14:textId="77777777" w:rsidR="009B247F" w:rsidRDefault="009B247F" w:rsidP="001D45B4">
      <w:pPr>
        <w:autoSpaceDE w:val="0"/>
        <w:autoSpaceDN w:val="0"/>
        <w:adjustRightInd w:val="0"/>
        <w:spacing w:after="0" w:line="480" w:lineRule="auto"/>
        <w:rPr>
          <w:rFonts w:cstheme="minorHAnsi"/>
          <w:bCs/>
        </w:rPr>
      </w:pPr>
      <w:r w:rsidRPr="00A77B53">
        <w:rPr>
          <w:rFonts w:cstheme="minorHAnsi"/>
        </w:rPr>
        <w:t>Tilleczek, K.</w:t>
      </w:r>
      <w:r w:rsidR="00334139" w:rsidRPr="00A77B53">
        <w:rPr>
          <w:rFonts w:cstheme="minorHAnsi"/>
        </w:rPr>
        <w:t>, Ferguson</w:t>
      </w:r>
      <w:r w:rsidRPr="00A77B53">
        <w:rPr>
          <w:rFonts w:cstheme="minorHAnsi"/>
        </w:rPr>
        <w:t xml:space="preserve">, M., Campbell, V., &amp; Lezeu, K. (2014). </w:t>
      </w:r>
      <w:r w:rsidRPr="00A77B53">
        <w:rPr>
          <w:rFonts w:cstheme="minorHAnsi"/>
          <w:bCs/>
        </w:rPr>
        <w:t>Mental Health and Poverty in</w:t>
      </w:r>
      <w:r w:rsidRPr="00A77B53">
        <w:rPr>
          <w:rFonts w:cstheme="minorHAnsi"/>
          <w:b/>
          <w:bCs/>
        </w:rPr>
        <w:t xml:space="preserve"> </w:t>
      </w:r>
      <w:r w:rsidRPr="00A77B53">
        <w:rPr>
          <w:rFonts w:cstheme="minorHAnsi"/>
          <w:bCs/>
        </w:rPr>
        <w:t>Young Lives: Intersections and</w:t>
      </w:r>
      <w:r w:rsidRPr="00A77B53">
        <w:rPr>
          <w:rFonts w:cstheme="minorHAnsi"/>
          <w:b/>
          <w:bCs/>
        </w:rPr>
        <w:t xml:space="preserve"> </w:t>
      </w:r>
      <w:r w:rsidRPr="00A77B53">
        <w:rPr>
          <w:rFonts w:cstheme="minorHAnsi"/>
          <w:bCs/>
        </w:rPr>
        <w:t xml:space="preserve">Directions. </w:t>
      </w:r>
      <w:r w:rsidRPr="00A77B53">
        <w:rPr>
          <w:rFonts w:cstheme="minorHAnsi"/>
          <w:bCs/>
          <w:i/>
        </w:rPr>
        <w:t>Canadian Journal of Community Mental Health.</w:t>
      </w:r>
      <w:r w:rsidRPr="00A77B53">
        <w:rPr>
          <w:rFonts w:cstheme="minorHAnsi"/>
          <w:bCs/>
        </w:rPr>
        <w:t xml:space="preserve">  33, (1</w:t>
      </w:r>
      <w:r w:rsidR="00B12EF4" w:rsidRPr="00A77B53">
        <w:rPr>
          <w:rFonts w:cstheme="minorHAnsi"/>
          <w:bCs/>
        </w:rPr>
        <w:t>) 63</w:t>
      </w:r>
      <w:r w:rsidRPr="00A77B53">
        <w:rPr>
          <w:rFonts w:cstheme="minorHAnsi"/>
          <w:bCs/>
        </w:rPr>
        <w:t xml:space="preserve"> -76.</w:t>
      </w:r>
    </w:p>
    <w:p w14:paraId="12AE3A3C" w14:textId="77777777" w:rsidR="003D79FF" w:rsidRDefault="003D79FF" w:rsidP="001D45B4">
      <w:pPr>
        <w:spacing w:line="480" w:lineRule="auto"/>
        <w:rPr>
          <w:rFonts w:cstheme="minorHAnsi"/>
          <w:lang w:val="en"/>
        </w:rPr>
      </w:pPr>
    </w:p>
    <w:p w14:paraId="40FCD4CE" w14:textId="77777777" w:rsidR="00BA2B62" w:rsidRDefault="00BC1B9F" w:rsidP="0042249E">
      <w:r w:rsidRPr="00A77B53">
        <w:rPr>
          <w:rFonts w:cstheme="minorHAnsi"/>
          <w:lang w:val="en"/>
        </w:rPr>
        <w:t xml:space="preserve">Valleley, R., Kosse, S., Schemm, A., Foster, N., Polaha, J., &amp; Evans, J. (2007) Integrated Primary Care for Children in Rural Communities: An examination of Patient Attendance at Collaborative Behavioral Health Sciences. </w:t>
      </w:r>
      <w:r w:rsidRPr="00A77B53">
        <w:rPr>
          <w:rFonts w:cstheme="minorHAnsi"/>
          <w:i/>
          <w:lang w:val="en"/>
        </w:rPr>
        <w:t>Families, Systems and Health.</w:t>
      </w:r>
      <w:r w:rsidRPr="00A77B53">
        <w:rPr>
          <w:rFonts w:cstheme="minorHAnsi"/>
          <w:lang w:val="en"/>
        </w:rPr>
        <w:t xml:space="preserve"> 25 (3) 323 – 332.</w:t>
      </w:r>
    </w:p>
    <w:p w14:paraId="3E7CC7D7" w14:textId="77777777" w:rsidR="00BA2B62" w:rsidRDefault="00BA2B62" w:rsidP="0042249E"/>
    <w:p w14:paraId="540B5740" w14:textId="77777777" w:rsidR="003D79FF" w:rsidRDefault="003D79FF" w:rsidP="0042249E"/>
    <w:p w14:paraId="521F0B6A" w14:textId="77777777" w:rsidR="003D79FF" w:rsidRPr="003D79FF" w:rsidRDefault="003D79FF" w:rsidP="003D79FF"/>
    <w:p w14:paraId="0C05C132" w14:textId="77777777" w:rsidR="003D79FF" w:rsidRPr="003D79FF" w:rsidRDefault="003D79FF" w:rsidP="003D79FF"/>
    <w:p w14:paraId="53D14CEA" w14:textId="77777777" w:rsidR="003D79FF" w:rsidRPr="00215847" w:rsidRDefault="003D79FF" w:rsidP="00215847"/>
    <w:p w14:paraId="1F809E3A" w14:textId="77777777" w:rsidR="003D79FF" w:rsidRPr="00215847" w:rsidRDefault="003D79FF" w:rsidP="00215847"/>
    <w:p w14:paraId="2442DC28" w14:textId="77777777" w:rsidR="003D79FF" w:rsidRPr="00215847" w:rsidRDefault="003D79FF" w:rsidP="00215847"/>
    <w:p w14:paraId="3404B024" w14:textId="77777777" w:rsidR="003D79FF" w:rsidRPr="003D79FF" w:rsidRDefault="003D79FF"/>
    <w:p w14:paraId="32E6251A" w14:textId="77777777" w:rsidR="003D79FF" w:rsidRPr="003D79FF" w:rsidRDefault="003D79FF"/>
    <w:p w14:paraId="422A2FFC" w14:textId="77777777" w:rsidR="003D79FF" w:rsidRPr="003D79FF" w:rsidRDefault="003D79FF"/>
    <w:p w14:paraId="677FB2B5" w14:textId="77777777" w:rsidR="003D79FF" w:rsidRPr="003D79FF" w:rsidRDefault="003D79FF"/>
    <w:p w14:paraId="28F7B3A1" w14:textId="77777777" w:rsidR="003D79FF" w:rsidRPr="003D79FF" w:rsidRDefault="003D79FF"/>
    <w:p w14:paraId="41B2F437" w14:textId="77777777" w:rsidR="003D79FF" w:rsidRPr="003D79FF" w:rsidRDefault="003D79FF"/>
    <w:p w14:paraId="094FBBD3" w14:textId="77777777" w:rsidR="003D79FF" w:rsidRPr="003D79FF" w:rsidRDefault="003D79FF"/>
    <w:p w14:paraId="52E538F6" w14:textId="77777777" w:rsidR="003D79FF" w:rsidRDefault="003D79FF" w:rsidP="003D79FF"/>
    <w:p w14:paraId="3EC70EC2" w14:textId="77777777" w:rsidR="004C5DA6" w:rsidRPr="003D79FF" w:rsidRDefault="003D79FF" w:rsidP="003D79FF">
      <w:pPr>
        <w:tabs>
          <w:tab w:val="center" w:pos="4513"/>
        </w:tabs>
        <w:sectPr w:rsidR="004C5DA6" w:rsidRPr="003D79FF">
          <w:footerReference w:type="even" r:id="rId23"/>
          <w:footerReference w:type="default" r:id="rId24"/>
          <w:pgSz w:w="11906" w:h="16838"/>
          <w:pgMar w:top="1440" w:right="1440" w:bottom="1440" w:left="1440" w:header="708" w:footer="708" w:gutter="0"/>
          <w:cols w:space="708"/>
          <w:docGrid w:linePitch="360"/>
        </w:sectPr>
      </w:pPr>
      <w:r>
        <w:tab/>
      </w:r>
    </w:p>
    <w:p w14:paraId="758DF6B3" w14:textId="77777777" w:rsidR="002D2399" w:rsidRDefault="002D2399" w:rsidP="0042249E"/>
    <w:p w14:paraId="623E2324" w14:textId="77777777" w:rsidR="002D2399" w:rsidRPr="00467B9C" w:rsidRDefault="00467B9C" w:rsidP="0042249E">
      <w:pPr>
        <w:rPr>
          <w:rFonts w:ascii="Arial" w:hAnsi="Arial" w:cs="Arial"/>
        </w:rPr>
      </w:pPr>
      <w:r w:rsidRPr="00467B9C">
        <w:rPr>
          <w:rFonts w:ascii="Arial" w:hAnsi="Arial" w:cs="Arial"/>
          <w:b/>
        </w:rPr>
        <w:t>Table 1</w:t>
      </w:r>
      <w:r w:rsidRPr="00467B9C">
        <w:rPr>
          <w:rFonts w:ascii="Arial" w:hAnsi="Arial" w:cs="Arial"/>
        </w:rPr>
        <w:t>: Sample Characteristics</w:t>
      </w:r>
    </w:p>
    <w:tbl>
      <w:tblPr>
        <w:tblW w:w="0" w:type="auto"/>
        <w:tblLayout w:type="fixed"/>
        <w:tblLook w:val="04A0" w:firstRow="1" w:lastRow="0" w:firstColumn="1" w:lastColumn="0" w:noHBand="0" w:noVBand="1"/>
      </w:tblPr>
      <w:tblGrid>
        <w:gridCol w:w="3969"/>
        <w:gridCol w:w="851"/>
        <w:gridCol w:w="368"/>
        <w:gridCol w:w="549"/>
        <w:gridCol w:w="272"/>
        <w:gridCol w:w="1202"/>
        <w:gridCol w:w="1090"/>
        <w:gridCol w:w="539"/>
        <w:gridCol w:w="1202"/>
        <w:gridCol w:w="460"/>
        <w:gridCol w:w="272"/>
        <w:gridCol w:w="969"/>
        <w:gridCol w:w="506"/>
        <w:gridCol w:w="272"/>
        <w:gridCol w:w="816"/>
        <w:gridCol w:w="621"/>
      </w:tblGrid>
      <w:tr w:rsidR="00094010" w:rsidRPr="0084546B" w14:paraId="2F0B0EAC" w14:textId="77777777" w:rsidTr="00094010">
        <w:trPr>
          <w:trHeight w:val="315"/>
        </w:trPr>
        <w:tc>
          <w:tcPr>
            <w:tcW w:w="3969" w:type="dxa"/>
            <w:tcBorders>
              <w:top w:val="nil"/>
              <w:left w:val="nil"/>
              <w:bottom w:val="nil"/>
              <w:right w:val="nil"/>
            </w:tcBorders>
            <w:shd w:val="clear" w:color="auto" w:fill="auto"/>
            <w:noWrap/>
            <w:vAlign w:val="bottom"/>
            <w:hideMark/>
          </w:tcPr>
          <w:p w14:paraId="4953DFA0" w14:textId="77777777" w:rsidR="00BA2B62" w:rsidRPr="00467B9C" w:rsidRDefault="00BA2B62" w:rsidP="00E16B4D">
            <w:pPr>
              <w:spacing w:after="0"/>
              <w:rPr>
                <w:rFonts w:ascii="Arial" w:eastAsia="Times New Roman" w:hAnsi="Arial" w:cs="Arial"/>
                <w:sz w:val="20"/>
                <w:szCs w:val="20"/>
                <w:lang w:eastAsia="en-GB"/>
              </w:rPr>
            </w:pPr>
          </w:p>
        </w:tc>
        <w:tc>
          <w:tcPr>
            <w:tcW w:w="1219" w:type="dxa"/>
            <w:gridSpan w:val="2"/>
            <w:tcBorders>
              <w:top w:val="nil"/>
              <w:left w:val="nil"/>
              <w:bottom w:val="nil"/>
              <w:right w:val="nil"/>
            </w:tcBorders>
            <w:shd w:val="clear" w:color="auto" w:fill="auto"/>
            <w:noWrap/>
            <w:vAlign w:val="bottom"/>
            <w:hideMark/>
          </w:tcPr>
          <w:p w14:paraId="31B6CD86" w14:textId="77777777" w:rsidR="00BA2B62" w:rsidRPr="00467B9C" w:rsidRDefault="00BA2B62" w:rsidP="00E16B4D">
            <w:pPr>
              <w:spacing w:after="0"/>
              <w:rPr>
                <w:rFonts w:ascii="Arial" w:eastAsia="Times New Roman" w:hAnsi="Arial" w:cs="Arial"/>
                <w:sz w:val="20"/>
                <w:szCs w:val="20"/>
                <w:lang w:eastAsia="en-GB"/>
              </w:rPr>
            </w:pPr>
          </w:p>
        </w:tc>
        <w:tc>
          <w:tcPr>
            <w:tcW w:w="549" w:type="dxa"/>
            <w:tcBorders>
              <w:top w:val="nil"/>
              <w:left w:val="nil"/>
              <w:bottom w:val="nil"/>
              <w:right w:val="nil"/>
            </w:tcBorders>
            <w:shd w:val="clear" w:color="auto" w:fill="auto"/>
            <w:noWrap/>
            <w:vAlign w:val="bottom"/>
            <w:hideMark/>
          </w:tcPr>
          <w:p w14:paraId="4CF763B2"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49B89195"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auto" w:fill="auto"/>
            <w:noWrap/>
            <w:vAlign w:val="bottom"/>
            <w:hideMark/>
          </w:tcPr>
          <w:p w14:paraId="48B5ECE0" w14:textId="77777777" w:rsidR="00BA2B62" w:rsidRPr="00467B9C" w:rsidRDefault="00BA2B62" w:rsidP="00E16B4D">
            <w:pPr>
              <w:spacing w:after="0"/>
              <w:rPr>
                <w:rFonts w:ascii="Arial" w:eastAsia="Times New Roman" w:hAnsi="Arial" w:cs="Arial"/>
                <w:sz w:val="20"/>
                <w:szCs w:val="20"/>
                <w:lang w:eastAsia="en-GB"/>
              </w:rPr>
            </w:pPr>
          </w:p>
        </w:tc>
        <w:tc>
          <w:tcPr>
            <w:tcW w:w="1090" w:type="dxa"/>
            <w:tcBorders>
              <w:top w:val="nil"/>
              <w:left w:val="nil"/>
              <w:bottom w:val="nil"/>
              <w:right w:val="nil"/>
            </w:tcBorders>
            <w:shd w:val="clear" w:color="auto" w:fill="auto"/>
            <w:noWrap/>
            <w:vAlign w:val="bottom"/>
            <w:hideMark/>
          </w:tcPr>
          <w:p w14:paraId="064D2EDC" w14:textId="77777777" w:rsidR="00BA2B62" w:rsidRPr="00467B9C" w:rsidRDefault="00BA2B62" w:rsidP="00E16B4D">
            <w:pPr>
              <w:spacing w:after="0"/>
              <w:rPr>
                <w:rFonts w:ascii="Arial" w:eastAsia="Times New Roman" w:hAnsi="Arial" w:cs="Arial"/>
                <w:sz w:val="20"/>
                <w:szCs w:val="20"/>
                <w:lang w:eastAsia="en-GB"/>
              </w:rPr>
            </w:pPr>
          </w:p>
        </w:tc>
        <w:tc>
          <w:tcPr>
            <w:tcW w:w="539" w:type="dxa"/>
            <w:tcBorders>
              <w:top w:val="nil"/>
              <w:left w:val="nil"/>
              <w:bottom w:val="nil"/>
              <w:right w:val="nil"/>
            </w:tcBorders>
            <w:shd w:val="clear" w:color="auto" w:fill="auto"/>
            <w:noWrap/>
            <w:vAlign w:val="bottom"/>
            <w:hideMark/>
          </w:tcPr>
          <w:p w14:paraId="5A0B6D76"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auto" w:fill="auto"/>
            <w:noWrap/>
            <w:vAlign w:val="bottom"/>
            <w:hideMark/>
          </w:tcPr>
          <w:p w14:paraId="037322E9"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730EEC5B"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1E8E433D"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52B64F74"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3712FC3E"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6E63ADF6"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0115B599"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38E4728B"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0F3FBFA2" w14:textId="77777777" w:rsidTr="003D79FF">
        <w:trPr>
          <w:trHeight w:val="315"/>
        </w:trPr>
        <w:tc>
          <w:tcPr>
            <w:tcW w:w="3969" w:type="dxa"/>
            <w:tcBorders>
              <w:top w:val="nil"/>
              <w:left w:val="nil"/>
              <w:bottom w:val="nil"/>
              <w:right w:val="nil"/>
            </w:tcBorders>
            <w:shd w:val="clear" w:color="auto" w:fill="auto"/>
            <w:noWrap/>
            <w:vAlign w:val="bottom"/>
            <w:hideMark/>
          </w:tcPr>
          <w:p w14:paraId="563EA90F" w14:textId="77777777" w:rsidR="00BA2B62" w:rsidRPr="00467B9C" w:rsidRDefault="00BA2B62" w:rsidP="00E16B4D">
            <w:pPr>
              <w:spacing w:after="0"/>
              <w:rPr>
                <w:rFonts w:ascii="Arial" w:eastAsia="Times New Roman" w:hAnsi="Arial" w:cs="Arial"/>
                <w:sz w:val="20"/>
                <w:szCs w:val="20"/>
                <w:lang w:eastAsia="en-GB"/>
              </w:rPr>
            </w:pPr>
          </w:p>
        </w:tc>
        <w:tc>
          <w:tcPr>
            <w:tcW w:w="1219" w:type="dxa"/>
            <w:gridSpan w:val="2"/>
            <w:tcBorders>
              <w:top w:val="nil"/>
              <w:left w:val="nil"/>
              <w:bottom w:val="nil"/>
              <w:right w:val="nil"/>
            </w:tcBorders>
            <w:shd w:val="clear" w:color="auto" w:fill="auto"/>
            <w:noWrap/>
            <w:vAlign w:val="bottom"/>
            <w:hideMark/>
          </w:tcPr>
          <w:p w14:paraId="3CE896B7" w14:textId="77777777" w:rsidR="00BA2B62" w:rsidRPr="00467B9C" w:rsidRDefault="00BA2B62" w:rsidP="00E16B4D">
            <w:pPr>
              <w:spacing w:after="0"/>
              <w:rPr>
                <w:rFonts w:ascii="Arial" w:eastAsia="Times New Roman" w:hAnsi="Arial" w:cs="Arial"/>
                <w:sz w:val="20"/>
                <w:szCs w:val="20"/>
                <w:lang w:eastAsia="en-GB"/>
              </w:rPr>
            </w:pPr>
          </w:p>
        </w:tc>
        <w:tc>
          <w:tcPr>
            <w:tcW w:w="549" w:type="dxa"/>
            <w:tcBorders>
              <w:top w:val="nil"/>
              <w:left w:val="nil"/>
              <w:bottom w:val="nil"/>
              <w:right w:val="nil"/>
            </w:tcBorders>
            <w:shd w:val="clear" w:color="auto" w:fill="auto"/>
            <w:noWrap/>
            <w:vAlign w:val="bottom"/>
            <w:hideMark/>
          </w:tcPr>
          <w:p w14:paraId="41EAC465"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667D2F54" w14:textId="77777777" w:rsidR="00BA2B62" w:rsidRPr="00467B9C" w:rsidRDefault="00BA2B62" w:rsidP="00E16B4D">
            <w:pPr>
              <w:spacing w:after="0"/>
              <w:rPr>
                <w:rFonts w:ascii="Arial" w:eastAsia="Times New Roman" w:hAnsi="Arial" w:cs="Arial"/>
                <w:sz w:val="20"/>
                <w:szCs w:val="20"/>
                <w:lang w:eastAsia="en-GB"/>
              </w:rPr>
            </w:pPr>
          </w:p>
        </w:tc>
        <w:tc>
          <w:tcPr>
            <w:tcW w:w="4033" w:type="dxa"/>
            <w:gridSpan w:val="4"/>
            <w:tcBorders>
              <w:top w:val="nil"/>
              <w:left w:val="nil"/>
              <w:bottom w:val="single" w:sz="4" w:space="0" w:color="auto"/>
              <w:right w:val="nil"/>
            </w:tcBorders>
            <w:shd w:val="clear" w:color="auto" w:fill="auto"/>
            <w:noWrap/>
            <w:vAlign w:val="bottom"/>
            <w:hideMark/>
          </w:tcPr>
          <w:p w14:paraId="6B8DA525" w14:textId="77777777" w:rsidR="00BA2B62" w:rsidRPr="00467B9C" w:rsidRDefault="00094010" w:rsidP="00E16B4D">
            <w:pPr>
              <w:spacing w:after="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Referral Decision</w:t>
            </w:r>
            <w:r w:rsidR="00BA2B62" w:rsidRPr="00467B9C">
              <w:rPr>
                <w:rFonts w:ascii="Arial" w:eastAsia="Times New Roman" w:hAnsi="Arial" w:cs="Arial"/>
                <w:b/>
                <w:bCs/>
                <w:color w:val="000000"/>
                <w:sz w:val="20"/>
                <w:szCs w:val="20"/>
                <w:lang w:eastAsia="en-GB"/>
              </w:rPr>
              <w:t xml:space="preserve"> </w:t>
            </w:r>
          </w:p>
        </w:tc>
        <w:tc>
          <w:tcPr>
            <w:tcW w:w="460" w:type="dxa"/>
            <w:tcBorders>
              <w:top w:val="nil"/>
              <w:left w:val="nil"/>
              <w:bottom w:val="single" w:sz="4" w:space="0" w:color="auto"/>
              <w:right w:val="nil"/>
            </w:tcBorders>
            <w:shd w:val="clear" w:color="auto" w:fill="auto"/>
            <w:noWrap/>
            <w:vAlign w:val="bottom"/>
            <w:hideMark/>
          </w:tcPr>
          <w:p w14:paraId="34057168"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272" w:type="dxa"/>
            <w:tcBorders>
              <w:top w:val="nil"/>
              <w:left w:val="nil"/>
              <w:bottom w:val="single" w:sz="4" w:space="0" w:color="auto"/>
              <w:right w:val="nil"/>
            </w:tcBorders>
            <w:shd w:val="clear" w:color="auto" w:fill="auto"/>
            <w:noWrap/>
            <w:vAlign w:val="bottom"/>
            <w:hideMark/>
          </w:tcPr>
          <w:p w14:paraId="4FDC6B16"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969" w:type="dxa"/>
            <w:tcBorders>
              <w:top w:val="nil"/>
              <w:left w:val="nil"/>
              <w:bottom w:val="single" w:sz="4" w:space="0" w:color="auto"/>
              <w:right w:val="nil"/>
            </w:tcBorders>
            <w:shd w:val="clear" w:color="auto" w:fill="auto"/>
            <w:noWrap/>
            <w:vAlign w:val="bottom"/>
            <w:hideMark/>
          </w:tcPr>
          <w:p w14:paraId="56050FB2"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06" w:type="dxa"/>
            <w:tcBorders>
              <w:top w:val="nil"/>
              <w:left w:val="nil"/>
              <w:bottom w:val="single" w:sz="4" w:space="0" w:color="auto"/>
              <w:right w:val="nil"/>
            </w:tcBorders>
            <w:shd w:val="clear" w:color="auto" w:fill="auto"/>
            <w:noWrap/>
            <w:vAlign w:val="bottom"/>
            <w:hideMark/>
          </w:tcPr>
          <w:p w14:paraId="1B37FE4D"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272" w:type="dxa"/>
            <w:tcBorders>
              <w:top w:val="nil"/>
              <w:left w:val="nil"/>
              <w:bottom w:val="single" w:sz="4" w:space="0" w:color="auto"/>
              <w:right w:val="nil"/>
            </w:tcBorders>
            <w:shd w:val="clear" w:color="auto" w:fill="auto"/>
            <w:noWrap/>
            <w:vAlign w:val="bottom"/>
            <w:hideMark/>
          </w:tcPr>
          <w:p w14:paraId="4E239342"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816" w:type="dxa"/>
            <w:tcBorders>
              <w:top w:val="nil"/>
              <w:left w:val="nil"/>
              <w:bottom w:val="single" w:sz="4" w:space="0" w:color="auto"/>
              <w:right w:val="nil"/>
            </w:tcBorders>
            <w:shd w:val="clear" w:color="auto" w:fill="auto"/>
            <w:noWrap/>
            <w:vAlign w:val="bottom"/>
            <w:hideMark/>
          </w:tcPr>
          <w:p w14:paraId="45D52929"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621" w:type="dxa"/>
            <w:tcBorders>
              <w:top w:val="nil"/>
              <w:left w:val="nil"/>
              <w:bottom w:val="single" w:sz="4" w:space="0" w:color="auto"/>
              <w:right w:val="nil"/>
            </w:tcBorders>
            <w:shd w:val="clear" w:color="auto" w:fill="auto"/>
            <w:noWrap/>
            <w:vAlign w:val="bottom"/>
            <w:hideMark/>
          </w:tcPr>
          <w:p w14:paraId="1D98F019"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r>
      <w:tr w:rsidR="00094010" w:rsidRPr="0084546B" w14:paraId="2A912B74" w14:textId="77777777" w:rsidTr="003D79FF">
        <w:trPr>
          <w:trHeight w:val="315"/>
        </w:trPr>
        <w:tc>
          <w:tcPr>
            <w:tcW w:w="3969" w:type="dxa"/>
            <w:tcBorders>
              <w:top w:val="nil"/>
              <w:left w:val="nil"/>
              <w:bottom w:val="nil"/>
              <w:right w:val="nil"/>
            </w:tcBorders>
            <w:shd w:val="clear" w:color="auto" w:fill="auto"/>
            <w:noWrap/>
            <w:vAlign w:val="bottom"/>
            <w:hideMark/>
          </w:tcPr>
          <w:p w14:paraId="1BA76772" w14:textId="77777777" w:rsidR="00BA2B62" w:rsidRPr="00467B9C" w:rsidRDefault="00BA2B62" w:rsidP="00E16B4D">
            <w:pPr>
              <w:spacing w:after="0"/>
              <w:rPr>
                <w:rFonts w:ascii="Arial" w:eastAsia="Times New Roman" w:hAnsi="Arial" w:cs="Arial"/>
                <w:color w:val="000000"/>
                <w:sz w:val="20"/>
                <w:szCs w:val="20"/>
                <w:lang w:eastAsia="en-GB"/>
              </w:rPr>
            </w:pPr>
          </w:p>
        </w:tc>
        <w:tc>
          <w:tcPr>
            <w:tcW w:w="1219" w:type="dxa"/>
            <w:gridSpan w:val="2"/>
            <w:tcBorders>
              <w:top w:val="nil"/>
              <w:left w:val="nil"/>
              <w:bottom w:val="nil"/>
              <w:right w:val="nil"/>
            </w:tcBorders>
            <w:shd w:val="clear" w:color="auto" w:fill="auto"/>
            <w:noWrap/>
            <w:vAlign w:val="bottom"/>
            <w:hideMark/>
          </w:tcPr>
          <w:p w14:paraId="00383FBC"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Total</w:t>
            </w:r>
          </w:p>
        </w:tc>
        <w:tc>
          <w:tcPr>
            <w:tcW w:w="549" w:type="dxa"/>
            <w:tcBorders>
              <w:top w:val="nil"/>
              <w:left w:val="nil"/>
              <w:bottom w:val="nil"/>
              <w:right w:val="nil"/>
            </w:tcBorders>
            <w:shd w:val="clear" w:color="auto" w:fill="auto"/>
            <w:noWrap/>
            <w:vAlign w:val="bottom"/>
            <w:hideMark/>
          </w:tcPr>
          <w:p w14:paraId="08F1AF12"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272" w:type="dxa"/>
            <w:tcBorders>
              <w:top w:val="nil"/>
              <w:left w:val="nil"/>
              <w:bottom w:val="nil"/>
              <w:right w:val="nil"/>
            </w:tcBorders>
            <w:shd w:val="clear" w:color="auto" w:fill="auto"/>
            <w:noWrap/>
            <w:vAlign w:val="bottom"/>
            <w:hideMark/>
          </w:tcPr>
          <w:p w14:paraId="3AD5F99E" w14:textId="77777777" w:rsidR="00BA2B62" w:rsidRPr="00467B9C" w:rsidRDefault="00BA2B62" w:rsidP="00E16B4D">
            <w:pPr>
              <w:spacing w:after="0"/>
              <w:rPr>
                <w:rFonts w:ascii="Arial" w:eastAsia="Times New Roman" w:hAnsi="Arial" w:cs="Arial"/>
                <w:sz w:val="20"/>
                <w:szCs w:val="20"/>
                <w:lang w:eastAsia="en-GB"/>
              </w:rPr>
            </w:pPr>
          </w:p>
        </w:tc>
        <w:tc>
          <w:tcPr>
            <w:tcW w:w="2292" w:type="dxa"/>
            <w:gridSpan w:val="2"/>
            <w:tcBorders>
              <w:top w:val="nil"/>
              <w:left w:val="nil"/>
              <w:bottom w:val="nil"/>
              <w:right w:val="nil"/>
            </w:tcBorders>
            <w:shd w:val="clear" w:color="000000" w:fill="EDEDED"/>
            <w:noWrap/>
            <w:vAlign w:val="bottom"/>
            <w:hideMark/>
          </w:tcPr>
          <w:p w14:paraId="3DD5ED78"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Accepted</w:t>
            </w:r>
          </w:p>
        </w:tc>
        <w:tc>
          <w:tcPr>
            <w:tcW w:w="539" w:type="dxa"/>
            <w:tcBorders>
              <w:top w:val="nil"/>
              <w:left w:val="nil"/>
              <w:bottom w:val="nil"/>
              <w:right w:val="nil"/>
            </w:tcBorders>
            <w:shd w:val="clear" w:color="auto" w:fill="auto"/>
            <w:noWrap/>
            <w:vAlign w:val="bottom"/>
            <w:hideMark/>
          </w:tcPr>
          <w:p w14:paraId="5303DF4C"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1662" w:type="dxa"/>
            <w:gridSpan w:val="2"/>
            <w:tcBorders>
              <w:top w:val="nil"/>
              <w:left w:val="nil"/>
              <w:bottom w:val="nil"/>
              <w:right w:val="nil"/>
            </w:tcBorders>
            <w:shd w:val="clear" w:color="auto" w:fill="auto"/>
            <w:noWrap/>
            <w:vAlign w:val="bottom"/>
            <w:hideMark/>
          </w:tcPr>
          <w:p w14:paraId="569A441E"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Rejected</w:t>
            </w:r>
          </w:p>
        </w:tc>
        <w:tc>
          <w:tcPr>
            <w:tcW w:w="272" w:type="dxa"/>
            <w:tcBorders>
              <w:top w:val="nil"/>
              <w:left w:val="nil"/>
              <w:bottom w:val="nil"/>
              <w:right w:val="nil"/>
            </w:tcBorders>
            <w:shd w:val="clear" w:color="auto" w:fill="auto"/>
            <w:noWrap/>
            <w:vAlign w:val="bottom"/>
            <w:hideMark/>
          </w:tcPr>
          <w:p w14:paraId="7734271C"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6CD52D0"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Closed</w:t>
            </w:r>
          </w:p>
        </w:tc>
        <w:tc>
          <w:tcPr>
            <w:tcW w:w="506" w:type="dxa"/>
            <w:tcBorders>
              <w:top w:val="nil"/>
              <w:left w:val="nil"/>
              <w:bottom w:val="nil"/>
              <w:right w:val="nil"/>
            </w:tcBorders>
            <w:shd w:val="clear" w:color="auto" w:fill="auto"/>
            <w:noWrap/>
            <w:vAlign w:val="bottom"/>
            <w:hideMark/>
          </w:tcPr>
          <w:p w14:paraId="2DEEAFEF"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272" w:type="dxa"/>
            <w:tcBorders>
              <w:top w:val="nil"/>
              <w:left w:val="nil"/>
              <w:bottom w:val="nil"/>
              <w:right w:val="nil"/>
            </w:tcBorders>
            <w:shd w:val="clear" w:color="auto" w:fill="auto"/>
            <w:noWrap/>
            <w:vAlign w:val="bottom"/>
            <w:hideMark/>
          </w:tcPr>
          <w:p w14:paraId="38E02A68" w14:textId="77777777" w:rsidR="00BA2B62" w:rsidRPr="00467B9C" w:rsidRDefault="00BA2B62" w:rsidP="00E16B4D">
            <w:pPr>
              <w:spacing w:after="0"/>
              <w:rPr>
                <w:rFonts w:ascii="Arial" w:eastAsia="Times New Roman" w:hAnsi="Arial" w:cs="Arial"/>
                <w:sz w:val="20"/>
                <w:szCs w:val="20"/>
                <w:lang w:eastAsia="en-GB"/>
              </w:rPr>
            </w:pPr>
          </w:p>
        </w:tc>
        <w:tc>
          <w:tcPr>
            <w:tcW w:w="1437" w:type="dxa"/>
            <w:gridSpan w:val="2"/>
            <w:tcBorders>
              <w:top w:val="nil"/>
              <w:left w:val="nil"/>
              <w:bottom w:val="nil"/>
              <w:right w:val="nil"/>
            </w:tcBorders>
            <w:shd w:val="clear" w:color="auto" w:fill="auto"/>
            <w:noWrap/>
            <w:vAlign w:val="bottom"/>
            <w:hideMark/>
          </w:tcPr>
          <w:p w14:paraId="0AC7B5AC"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Consultation</w:t>
            </w:r>
          </w:p>
        </w:tc>
      </w:tr>
      <w:tr w:rsidR="00094010" w:rsidRPr="0084546B" w14:paraId="4B960DC2" w14:textId="77777777" w:rsidTr="00094010">
        <w:trPr>
          <w:trHeight w:val="315"/>
        </w:trPr>
        <w:tc>
          <w:tcPr>
            <w:tcW w:w="3969" w:type="dxa"/>
            <w:tcBorders>
              <w:top w:val="nil"/>
              <w:left w:val="nil"/>
              <w:bottom w:val="nil"/>
              <w:right w:val="nil"/>
            </w:tcBorders>
            <w:shd w:val="clear" w:color="auto" w:fill="auto"/>
            <w:noWrap/>
            <w:vAlign w:val="bottom"/>
            <w:hideMark/>
          </w:tcPr>
          <w:p w14:paraId="1E3CBBD0"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2040" w:type="dxa"/>
            <w:gridSpan w:val="4"/>
            <w:tcBorders>
              <w:top w:val="nil"/>
              <w:left w:val="nil"/>
              <w:bottom w:val="single" w:sz="4" w:space="0" w:color="auto"/>
              <w:right w:val="nil"/>
            </w:tcBorders>
            <w:shd w:val="clear" w:color="auto" w:fill="auto"/>
            <w:noWrap/>
            <w:vAlign w:val="bottom"/>
            <w:hideMark/>
          </w:tcPr>
          <w:p w14:paraId="1AFDD6A8"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(n=476, 100%)</w:t>
            </w:r>
          </w:p>
        </w:tc>
        <w:tc>
          <w:tcPr>
            <w:tcW w:w="2292" w:type="dxa"/>
            <w:gridSpan w:val="2"/>
            <w:tcBorders>
              <w:top w:val="nil"/>
              <w:left w:val="nil"/>
              <w:bottom w:val="single" w:sz="4" w:space="0" w:color="auto"/>
              <w:right w:val="nil"/>
            </w:tcBorders>
            <w:shd w:val="clear" w:color="000000" w:fill="EDEDED"/>
            <w:noWrap/>
            <w:vAlign w:val="bottom"/>
            <w:hideMark/>
          </w:tcPr>
          <w:p w14:paraId="1720B86F"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(n=342, 71.8%)</w:t>
            </w:r>
          </w:p>
        </w:tc>
        <w:tc>
          <w:tcPr>
            <w:tcW w:w="539" w:type="dxa"/>
            <w:tcBorders>
              <w:top w:val="nil"/>
              <w:left w:val="nil"/>
              <w:bottom w:val="nil"/>
              <w:right w:val="nil"/>
            </w:tcBorders>
            <w:shd w:val="clear" w:color="auto" w:fill="auto"/>
            <w:noWrap/>
            <w:vAlign w:val="bottom"/>
            <w:hideMark/>
          </w:tcPr>
          <w:p w14:paraId="5D504626" w14:textId="77777777" w:rsidR="00BA2B62" w:rsidRPr="00467B9C" w:rsidRDefault="00BA2B62" w:rsidP="00E16B4D">
            <w:pPr>
              <w:spacing w:after="0"/>
              <w:rPr>
                <w:rFonts w:ascii="Arial" w:eastAsia="Times New Roman" w:hAnsi="Arial" w:cs="Arial"/>
                <w:color w:val="000000"/>
                <w:sz w:val="20"/>
                <w:szCs w:val="20"/>
                <w:lang w:eastAsia="en-GB"/>
              </w:rPr>
            </w:pPr>
          </w:p>
        </w:tc>
        <w:tc>
          <w:tcPr>
            <w:tcW w:w="1662" w:type="dxa"/>
            <w:gridSpan w:val="2"/>
            <w:tcBorders>
              <w:top w:val="nil"/>
              <w:left w:val="nil"/>
              <w:bottom w:val="single" w:sz="4" w:space="0" w:color="auto"/>
              <w:right w:val="nil"/>
            </w:tcBorders>
            <w:shd w:val="clear" w:color="auto" w:fill="auto"/>
            <w:noWrap/>
            <w:vAlign w:val="bottom"/>
            <w:hideMark/>
          </w:tcPr>
          <w:p w14:paraId="6BA0191C"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(n=59, 12.4%)</w:t>
            </w:r>
          </w:p>
        </w:tc>
        <w:tc>
          <w:tcPr>
            <w:tcW w:w="272" w:type="dxa"/>
            <w:tcBorders>
              <w:top w:val="nil"/>
              <w:left w:val="nil"/>
              <w:bottom w:val="nil"/>
              <w:right w:val="nil"/>
            </w:tcBorders>
            <w:shd w:val="clear" w:color="auto" w:fill="auto"/>
            <w:noWrap/>
            <w:vAlign w:val="bottom"/>
            <w:hideMark/>
          </w:tcPr>
          <w:p w14:paraId="77F04A4B" w14:textId="77777777" w:rsidR="00BA2B62" w:rsidRPr="00467B9C" w:rsidRDefault="00BA2B62" w:rsidP="00E16B4D">
            <w:pPr>
              <w:spacing w:after="0"/>
              <w:rPr>
                <w:rFonts w:ascii="Arial" w:eastAsia="Times New Roman" w:hAnsi="Arial" w:cs="Arial"/>
                <w:color w:val="000000"/>
                <w:sz w:val="20"/>
                <w:szCs w:val="20"/>
                <w:lang w:eastAsia="en-GB"/>
              </w:rPr>
            </w:pPr>
          </w:p>
        </w:tc>
        <w:tc>
          <w:tcPr>
            <w:tcW w:w="1475" w:type="dxa"/>
            <w:gridSpan w:val="2"/>
            <w:tcBorders>
              <w:top w:val="nil"/>
              <w:left w:val="nil"/>
              <w:bottom w:val="single" w:sz="4" w:space="0" w:color="auto"/>
              <w:right w:val="nil"/>
            </w:tcBorders>
            <w:shd w:val="clear" w:color="auto" w:fill="auto"/>
            <w:noWrap/>
            <w:vAlign w:val="bottom"/>
            <w:hideMark/>
          </w:tcPr>
          <w:p w14:paraId="585F1AA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(n=66, 13.9%)</w:t>
            </w:r>
          </w:p>
        </w:tc>
        <w:tc>
          <w:tcPr>
            <w:tcW w:w="272" w:type="dxa"/>
            <w:tcBorders>
              <w:top w:val="nil"/>
              <w:left w:val="nil"/>
              <w:bottom w:val="nil"/>
              <w:right w:val="nil"/>
            </w:tcBorders>
            <w:shd w:val="clear" w:color="auto" w:fill="auto"/>
            <w:noWrap/>
            <w:vAlign w:val="bottom"/>
            <w:hideMark/>
          </w:tcPr>
          <w:p w14:paraId="538E58CD" w14:textId="77777777" w:rsidR="00BA2B62" w:rsidRPr="00467B9C" w:rsidRDefault="00BA2B62" w:rsidP="00E16B4D">
            <w:pPr>
              <w:spacing w:after="0"/>
              <w:rPr>
                <w:rFonts w:ascii="Arial" w:eastAsia="Times New Roman" w:hAnsi="Arial" w:cs="Arial"/>
                <w:color w:val="000000"/>
                <w:sz w:val="20"/>
                <w:szCs w:val="20"/>
                <w:lang w:eastAsia="en-GB"/>
              </w:rPr>
            </w:pPr>
          </w:p>
        </w:tc>
        <w:tc>
          <w:tcPr>
            <w:tcW w:w="1437" w:type="dxa"/>
            <w:gridSpan w:val="2"/>
            <w:tcBorders>
              <w:top w:val="nil"/>
              <w:left w:val="nil"/>
              <w:bottom w:val="single" w:sz="4" w:space="0" w:color="auto"/>
              <w:right w:val="nil"/>
            </w:tcBorders>
            <w:shd w:val="clear" w:color="auto" w:fill="auto"/>
            <w:noWrap/>
            <w:vAlign w:val="bottom"/>
            <w:hideMark/>
          </w:tcPr>
          <w:p w14:paraId="16F18C0A"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(n=9, 1.9%)</w:t>
            </w:r>
          </w:p>
        </w:tc>
      </w:tr>
      <w:tr w:rsidR="00094010" w:rsidRPr="0084546B" w14:paraId="08EF8967" w14:textId="77777777" w:rsidTr="003D79FF">
        <w:trPr>
          <w:trHeight w:val="315"/>
        </w:trPr>
        <w:tc>
          <w:tcPr>
            <w:tcW w:w="3969" w:type="dxa"/>
            <w:tcBorders>
              <w:top w:val="nil"/>
              <w:left w:val="nil"/>
              <w:bottom w:val="single" w:sz="4" w:space="0" w:color="auto"/>
              <w:right w:val="nil"/>
            </w:tcBorders>
            <w:shd w:val="clear" w:color="auto" w:fill="auto"/>
            <w:noWrap/>
            <w:vAlign w:val="bottom"/>
            <w:hideMark/>
          </w:tcPr>
          <w:p w14:paraId="569AB92C"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Variable</w:t>
            </w:r>
          </w:p>
        </w:tc>
        <w:tc>
          <w:tcPr>
            <w:tcW w:w="851" w:type="dxa"/>
            <w:tcBorders>
              <w:top w:val="nil"/>
              <w:left w:val="nil"/>
              <w:bottom w:val="single" w:sz="4" w:space="0" w:color="auto"/>
              <w:right w:val="nil"/>
            </w:tcBorders>
            <w:shd w:val="clear" w:color="auto" w:fill="auto"/>
            <w:noWrap/>
            <w:vAlign w:val="bottom"/>
            <w:hideMark/>
          </w:tcPr>
          <w:p w14:paraId="08BEA3D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w:t>
            </w:r>
          </w:p>
        </w:tc>
        <w:tc>
          <w:tcPr>
            <w:tcW w:w="917" w:type="dxa"/>
            <w:gridSpan w:val="2"/>
            <w:tcBorders>
              <w:top w:val="nil"/>
              <w:left w:val="nil"/>
              <w:bottom w:val="single" w:sz="4" w:space="0" w:color="auto"/>
              <w:right w:val="nil"/>
            </w:tcBorders>
            <w:shd w:val="clear" w:color="auto" w:fill="auto"/>
            <w:noWrap/>
            <w:vAlign w:val="bottom"/>
            <w:hideMark/>
          </w:tcPr>
          <w:p w14:paraId="149FC380"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w:t>
            </w:r>
          </w:p>
        </w:tc>
        <w:tc>
          <w:tcPr>
            <w:tcW w:w="272" w:type="dxa"/>
            <w:tcBorders>
              <w:top w:val="nil"/>
              <w:left w:val="nil"/>
              <w:bottom w:val="single" w:sz="4" w:space="0" w:color="auto"/>
              <w:right w:val="nil"/>
            </w:tcBorders>
            <w:shd w:val="clear" w:color="auto" w:fill="auto"/>
            <w:noWrap/>
            <w:vAlign w:val="bottom"/>
            <w:hideMark/>
          </w:tcPr>
          <w:p w14:paraId="501BC3EA"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202" w:type="dxa"/>
            <w:tcBorders>
              <w:top w:val="nil"/>
              <w:left w:val="nil"/>
              <w:bottom w:val="single" w:sz="4" w:space="0" w:color="auto"/>
              <w:right w:val="nil"/>
            </w:tcBorders>
            <w:shd w:val="clear" w:color="000000" w:fill="EDEDED"/>
            <w:noWrap/>
            <w:vAlign w:val="bottom"/>
            <w:hideMark/>
          </w:tcPr>
          <w:p w14:paraId="5437CD9C"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w:t>
            </w:r>
          </w:p>
        </w:tc>
        <w:tc>
          <w:tcPr>
            <w:tcW w:w="1090" w:type="dxa"/>
            <w:tcBorders>
              <w:top w:val="nil"/>
              <w:left w:val="nil"/>
              <w:bottom w:val="single" w:sz="4" w:space="0" w:color="auto"/>
              <w:right w:val="nil"/>
            </w:tcBorders>
            <w:shd w:val="clear" w:color="000000" w:fill="EDEDED"/>
            <w:noWrap/>
            <w:vAlign w:val="bottom"/>
            <w:hideMark/>
          </w:tcPr>
          <w:p w14:paraId="7BD7BF32"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w:t>
            </w:r>
          </w:p>
        </w:tc>
        <w:tc>
          <w:tcPr>
            <w:tcW w:w="539" w:type="dxa"/>
            <w:tcBorders>
              <w:top w:val="nil"/>
              <w:left w:val="nil"/>
              <w:bottom w:val="single" w:sz="4" w:space="0" w:color="auto"/>
              <w:right w:val="nil"/>
            </w:tcBorders>
            <w:shd w:val="clear" w:color="auto" w:fill="auto"/>
            <w:noWrap/>
            <w:vAlign w:val="bottom"/>
            <w:hideMark/>
          </w:tcPr>
          <w:p w14:paraId="1ECEE61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202" w:type="dxa"/>
            <w:tcBorders>
              <w:top w:val="nil"/>
              <w:left w:val="nil"/>
              <w:bottom w:val="single" w:sz="4" w:space="0" w:color="auto"/>
              <w:right w:val="nil"/>
            </w:tcBorders>
            <w:shd w:val="clear" w:color="auto" w:fill="auto"/>
            <w:noWrap/>
            <w:vAlign w:val="bottom"/>
            <w:hideMark/>
          </w:tcPr>
          <w:p w14:paraId="025DBCD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w:t>
            </w:r>
          </w:p>
        </w:tc>
        <w:tc>
          <w:tcPr>
            <w:tcW w:w="460" w:type="dxa"/>
            <w:tcBorders>
              <w:top w:val="nil"/>
              <w:left w:val="nil"/>
              <w:bottom w:val="single" w:sz="4" w:space="0" w:color="auto"/>
              <w:right w:val="nil"/>
            </w:tcBorders>
            <w:shd w:val="clear" w:color="auto" w:fill="auto"/>
            <w:noWrap/>
            <w:vAlign w:val="bottom"/>
            <w:hideMark/>
          </w:tcPr>
          <w:p w14:paraId="6121B488"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w:t>
            </w:r>
          </w:p>
        </w:tc>
        <w:tc>
          <w:tcPr>
            <w:tcW w:w="272" w:type="dxa"/>
            <w:tcBorders>
              <w:top w:val="nil"/>
              <w:left w:val="nil"/>
              <w:bottom w:val="single" w:sz="4" w:space="0" w:color="auto"/>
              <w:right w:val="nil"/>
            </w:tcBorders>
            <w:shd w:val="clear" w:color="auto" w:fill="auto"/>
            <w:noWrap/>
            <w:vAlign w:val="bottom"/>
            <w:hideMark/>
          </w:tcPr>
          <w:p w14:paraId="6517A2FE"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969" w:type="dxa"/>
            <w:tcBorders>
              <w:top w:val="nil"/>
              <w:left w:val="nil"/>
              <w:bottom w:val="single" w:sz="4" w:space="0" w:color="auto"/>
              <w:right w:val="nil"/>
            </w:tcBorders>
            <w:shd w:val="clear" w:color="auto" w:fill="auto"/>
            <w:noWrap/>
            <w:vAlign w:val="bottom"/>
            <w:hideMark/>
          </w:tcPr>
          <w:p w14:paraId="56D4D618"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w:t>
            </w:r>
          </w:p>
        </w:tc>
        <w:tc>
          <w:tcPr>
            <w:tcW w:w="506" w:type="dxa"/>
            <w:tcBorders>
              <w:top w:val="nil"/>
              <w:left w:val="nil"/>
              <w:bottom w:val="single" w:sz="4" w:space="0" w:color="auto"/>
              <w:right w:val="nil"/>
            </w:tcBorders>
            <w:shd w:val="clear" w:color="auto" w:fill="auto"/>
            <w:noWrap/>
            <w:vAlign w:val="bottom"/>
            <w:hideMark/>
          </w:tcPr>
          <w:p w14:paraId="3E263F2B"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w:t>
            </w:r>
          </w:p>
        </w:tc>
        <w:tc>
          <w:tcPr>
            <w:tcW w:w="272" w:type="dxa"/>
            <w:tcBorders>
              <w:top w:val="nil"/>
              <w:left w:val="nil"/>
              <w:bottom w:val="single" w:sz="4" w:space="0" w:color="auto"/>
              <w:right w:val="nil"/>
            </w:tcBorders>
            <w:shd w:val="clear" w:color="auto" w:fill="auto"/>
            <w:noWrap/>
            <w:vAlign w:val="bottom"/>
            <w:hideMark/>
          </w:tcPr>
          <w:p w14:paraId="5C52366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816" w:type="dxa"/>
            <w:tcBorders>
              <w:top w:val="nil"/>
              <w:left w:val="nil"/>
              <w:bottom w:val="single" w:sz="4" w:space="0" w:color="auto"/>
              <w:right w:val="nil"/>
            </w:tcBorders>
            <w:shd w:val="clear" w:color="auto" w:fill="auto"/>
            <w:noWrap/>
            <w:vAlign w:val="bottom"/>
            <w:hideMark/>
          </w:tcPr>
          <w:p w14:paraId="58FDE8D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w:t>
            </w:r>
          </w:p>
        </w:tc>
        <w:tc>
          <w:tcPr>
            <w:tcW w:w="621" w:type="dxa"/>
            <w:tcBorders>
              <w:top w:val="nil"/>
              <w:left w:val="nil"/>
              <w:bottom w:val="single" w:sz="4" w:space="0" w:color="auto"/>
              <w:right w:val="nil"/>
            </w:tcBorders>
            <w:shd w:val="clear" w:color="auto" w:fill="auto"/>
            <w:noWrap/>
            <w:vAlign w:val="bottom"/>
            <w:hideMark/>
          </w:tcPr>
          <w:p w14:paraId="1FD9FDEF"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(n)</w:t>
            </w:r>
          </w:p>
        </w:tc>
      </w:tr>
      <w:tr w:rsidR="00094010" w:rsidRPr="0084546B" w14:paraId="5599C75F" w14:textId="77777777" w:rsidTr="003D79FF">
        <w:trPr>
          <w:trHeight w:val="315"/>
        </w:trPr>
        <w:tc>
          <w:tcPr>
            <w:tcW w:w="3969" w:type="dxa"/>
            <w:tcBorders>
              <w:top w:val="nil"/>
              <w:left w:val="nil"/>
              <w:bottom w:val="nil"/>
              <w:right w:val="nil"/>
            </w:tcBorders>
            <w:shd w:val="clear" w:color="auto" w:fill="auto"/>
            <w:noWrap/>
            <w:vAlign w:val="bottom"/>
            <w:hideMark/>
          </w:tcPr>
          <w:p w14:paraId="6876E425"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GENDER</w:t>
            </w:r>
          </w:p>
        </w:tc>
        <w:tc>
          <w:tcPr>
            <w:tcW w:w="851" w:type="dxa"/>
            <w:tcBorders>
              <w:top w:val="nil"/>
              <w:left w:val="nil"/>
              <w:bottom w:val="nil"/>
              <w:right w:val="nil"/>
            </w:tcBorders>
            <w:shd w:val="clear" w:color="auto" w:fill="auto"/>
            <w:noWrap/>
            <w:vAlign w:val="bottom"/>
            <w:hideMark/>
          </w:tcPr>
          <w:p w14:paraId="341B5455"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917" w:type="dxa"/>
            <w:gridSpan w:val="2"/>
            <w:tcBorders>
              <w:top w:val="nil"/>
              <w:left w:val="nil"/>
              <w:bottom w:val="nil"/>
              <w:right w:val="nil"/>
            </w:tcBorders>
            <w:shd w:val="clear" w:color="auto" w:fill="auto"/>
            <w:noWrap/>
            <w:vAlign w:val="bottom"/>
            <w:hideMark/>
          </w:tcPr>
          <w:p w14:paraId="177F0225"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7E8200EE"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5C6AB33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0469BEC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67C815C1"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01F781EE"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0F4041C2"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2F276F18"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16DDBE5E"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53DCDD09"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5B1887A5"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5718BBED"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6AEE5E05"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6F999FC1" w14:textId="77777777" w:rsidTr="003D79FF">
        <w:trPr>
          <w:trHeight w:val="315"/>
        </w:trPr>
        <w:tc>
          <w:tcPr>
            <w:tcW w:w="3969" w:type="dxa"/>
            <w:tcBorders>
              <w:top w:val="nil"/>
              <w:left w:val="nil"/>
              <w:bottom w:val="nil"/>
              <w:right w:val="nil"/>
            </w:tcBorders>
            <w:shd w:val="clear" w:color="auto" w:fill="auto"/>
            <w:noWrap/>
            <w:vAlign w:val="bottom"/>
            <w:hideMark/>
          </w:tcPr>
          <w:p w14:paraId="07827489"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Male</w:t>
            </w:r>
          </w:p>
        </w:tc>
        <w:tc>
          <w:tcPr>
            <w:tcW w:w="851" w:type="dxa"/>
            <w:tcBorders>
              <w:top w:val="nil"/>
              <w:left w:val="nil"/>
              <w:bottom w:val="nil"/>
              <w:right w:val="nil"/>
            </w:tcBorders>
            <w:shd w:val="clear" w:color="auto" w:fill="auto"/>
            <w:noWrap/>
            <w:vAlign w:val="bottom"/>
            <w:hideMark/>
          </w:tcPr>
          <w:p w14:paraId="32BD6A4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56.3</w:t>
            </w:r>
          </w:p>
        </w:tc>
        <w:tc>
          <w:tcPr>
            <w:tcW w:w="917" w:type="dxa"/>
            <w:gridSpan w:val="2"/>
            <w:tcBorders>
              <w:top w:val="nil"/>
              <w:left w:val="nil"/>
              <w:bottom w:val="nil"/>
              <w:right w:val="nil"/>
            </w:tcBorders>
            <w:shd w:val="clear" w:color="auto" w:fill="auto"/>
            <w:noWrap/>
            <w:vAlign w:val="bottom"/>
            <w:hideMark/>
          </w:tcPr>
          <w:p w14:paraId="27A2528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268</w:t>
            </w:r>
          </w:p>
        </w:tc>
        <w:tc>
          <w:tcPr>
            <w:tcW w:w="272" w:type="dxa"/>
            <w:tcBorders>
              <w:top w:val="nil"/>
              <w:left w:val="nil"/>
              <w:bottom w:val="nil"/>
              <w:right w:val="nil"/>
            </w:tcBorders>
            <w:shd w:val="clear" w:color="auto" w:fill="auto"/>
            <w:noWrap/>
            <w:vAlign w:val="bottom"/>
            <w:hideMark/>
          </w:tcPr>
          <w:p w14:paraId="1945A645"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20085DA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55.8</w:t>
            </w:r>
          </w:p>
        </w:tc>
        <w:tc>
          <w:tcPr>
            <w:tcW w:w="1090" w:type="dxa"/>
            <w:tcBorders>
              <w:top w:val="nil"/>
              <w:left w:val="nil"/>
              <w:bottom w:val="nil"/>
              <w:right w:val="nil"/>
            </w:tcBorders>
            <w:shd w:val="clear" w:color="000000" w:fill="EDEDED"/>
            <w:noWrap/>
            <w:vAlign w:val="bottom"/>
            <w:hideMark/>
          </w:tcPr>
          <w:p w14:paraId="7BFD155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191</w:t>
            </w:r>
          </w:p>
        </w:tc>
        <w:tc>
          <w:tcPr>
            <w:tcW w:w="539" w:type="dxa"/>
            <w:tcBorders>
              <w:top w:val="nil"/>
              <w:left w:val="nil"/>
              <w:bottom w:val="nil"/>
              <w:right w:val="nil"/>
            </w:tcBorders>
            <w:shd w:val="clear" w:color="auto" w:fill="auto"/>
            <w:noWrap/>
            <w:vAlign w:val="bottom"/>
            <w:hideMark/>
          </w:tcPr>
          <w:p w14:paraId="3729D19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A59DC2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55.9</w:t>
            </w:r>
          </w:p>
        </w:tc>
        <w:tc>
          <w:tcPr>
            <w:tcW w:w="460" w:type="dxa"/>
            <w:tcBorders>
              <w:top w:val="nil"/>
              <w:left w:val="nil"/>
              <w:bottom w:val="nil"/>
              <w:right w:val="nil"/>
            </w:tcBorders>
            <w:shd w:val="clear" w:color="auto" w:fill="auto"/>
            <w:noWrap/>
            <w:vAlign w:val="bottom"/>
            <w:hideMark/>
          </w:tcPr>
          <w:p w14:paraId="44609A2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33</w:t>
            </w:r>
          </w:p>
        </w:tc>
        <w:tc>
          <w:tcPr>
            <w:tcW w:w="272" w:type="dxa"/>
            <w:tcBorders>
              <w:top w:val="nil"/>
              <w:left w:val="nil"/>
              <w:bottom w:val="nil"/>
              <w:right w:val="nil"/>
            </w:tcBorders>
            <w:shd w:val="clear" w:color="auto" w:fill="auto"/>
            <w:noWrap/>
            <w:vAlign w:val="bottom"/>
            <w:hideMark/>
          </w:tcPr>
          <w:p w14:paraId="49063137"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0D9AF88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56.1</w:t>
            </w:r>
          </w:p>
        </w:tc>
        <w:tc>
          <w:tcPr>
            <w:tcW w:w="506" w:type="dxa"/>
            <w:tcBorders>
              <w:top w:val="nil"/>
              <w:left w:val="nil"/>
              <w:bottom w:val="nil"/>
              <w:right w:val="nil"/>
            </w:tcBorders>
            <w:shd w:val="clear" w:color="auto" w:fill="auto"/>
            <w:noWrap/>
            <w:vAlign w:val="bottom"/>
            <w:hideMark/>
          </w:tcPr>
          <w:p w14:paraId="0D3D1BF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37</w:t>
            </w:r>
          </w:p>
        </w:tc>
        <w:tc>
          <w:tcPr>
            <w:tcW w:w="272" w:type="dxa"/>
            <w:tcBorders>
              <w:top w:val="nil"/>
              <w:left w:val="nil"/>
              <w:bottom w:val="nil"/>
              <w:right w:val="nil"/>
            </w:tcBorders>
            <w:shd w:val="clear" w:color="auto" w:fill="auto"/>
            <w:noWrap/>
            <w:vAlign w:val="bottom"/>
            <w:hideMark/>
          </w:tcPr>
          <w:p w14:paraId="7C6608FF"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7174290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77.8</w:t>
            </w:r>
          </w:p>
        </w:tc>
        <w:tc>
          <w:tcPr>
            <w:tcW w:w="621" w:type="dxa"/>
            <w:tcBorders>
              <w:top w:val="nil"/>
              <w:left w:val="nil"/>
              <w:bottom w:val="nil"/>
              <w:right w:val="nil"/>
            </w:tcBorders>
            <w:shd w:val="clear" w:color="auto" w:fill="auto"/>
            <w:noWrap/>
            <w:vAlign w:val="bottom"/>
            <w:hideMark/>
          </w:tcPr>
          <w:p w14:paraId="1056DE4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w:t>
            </w:r>
          </w:p>
        </w:tc>
      </w:tr>
      <w:tr w:rsidR="00094010" w:rsidRPr="0084546B" w14:paraId="5B7A2572" w14:textId="77777777" w:rsidTr="003D79FF">
        <w:trPr>
          <w:trHeight w:val="315"/>
        </w:trPr>
        <w:tc>
          <w:tcPr>
            <w:tcW w:w="3969" w:type="dxa"/>
            <w:tcBorders>
              <w:top w:val="nil"/>
              <w:left w:val="nil"/>
              <w:bottom w:val="nil"/>
              <w:right w:val="nil"/>
            </w:tcBorders>
            <w:shd w:val="clear" w:color="auto" w:fill="auto"/>
            <w:noWrap/>
            <w:vAlign w:val="bottom"/>
            <w:hideMark/>
          </w:tcPr>
          <w:p w14:paraId="7392B322"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Female</w:t>
            </w:r>
          </w:p>
        </w:tc>
        <w:tc>
          <w:tcPr>
            <w:tcW w:w="851" w:type="dxa"/>
            <w:tcBorders>
              <w:top w:val="nil"/>
              <w:left w:val="nil"/>
              <w:bottom w:val="nil"/>
              <w:right w:val="nil"/>
            </w:tcBorders>
            <w:shd w:val="clear" w:color="auto" w:fill="auto"/>
            <w:noWrap/>
            <w:vAlign w:val="bottom"/>
            <w:hideMark/>
          </w:tcPr>
          <w:p w14:paraId="5DEF21A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43.7</w:t>
            </w:r>
          </w:p>
        </w:tc>
        <w:tc>
          <w:tcPr>
            <w:tcW w:w="917" w:type="dxa"/>
            <w:gridSpan w:val="2"/>
            <w:tcBorders>
              <w:top w:val="nil"/>
              <w:left w:val="nil"/>
              <w:bottom w:val="nil"/>
              <w:right w:val="nil"/>
            </w:tcBorders>
            <w:shd w:val="clear" w:color="auto" w:fill="auto"/>
            <w:noWrap/>
            <w:vAlign w:val="bottom"/>
            <w:hideMark/>
          </w:tcPr>
          <w:p w14:paraId="39EAD8B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208</w:t>
            </w:r>
          </w:p>
        </w:tc>
        <w:tc>
          <w:tcPr>
            <w:tcW w:w="272" w:type="dxa"/>
            <w:tcBorders>
              <w:top w:val="nil"/>
              <w:left w:val="nil"/>
              <w:bottom w:val="nil"/>
              <w:right w:val="nil"/>
            </w:tcBorders>
            <w:shd w:val="clear" w:color="auto" w:fill="auto"/>
            <w:noWrap/>
            <w:vAlign w:val="bottom"/>
            <w:hideMark/>
          </w:tcPr>
          <w:p w14:paraId="01889E2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7128F8F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44.2</w:t>
            </w:r>
          </w:p>
        </w:tc>
        <w:tc>
          <w:tcPr>
            <w:tcW w:w="1090" w:type="dxa"/>
            <w:tcBorders>
              <w:top w:val="nil"/>
              <w:left w:val="nil"/>
              <w:bottom w:val="nil"/>
              <w:right w:val="nil"/>
            </w:tcBorders>
            <w:shd w:val="clear" w:color="000000" w:fill="EDEDED"/>
            <w:noWrap/>
            <w:vAlign w:val="bottom"/>
            <w:hideMark/>
          </w:tcPr>
          <w:p w14:paraId="4BE3122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151</w:t>
            </w:r>
          </w:p>
        </w:tc>
        <w:tc>
          <w:tcPr>
            <w:tcW w:w="539" w:type="dxa"/>
            <w:tcBorders>
              <w:top w:val="nil"/>
              <w:left w:val="nil"/>
              <w:bottom w:val="nil"/>
              <w:right w:val="nil"/>
            </w:tcBorders>
            <w:shd w:val="clear" w:color="auto" w:fill="auto"/>
            <w:noWrap/>
            <w:vAlign w:val="bottom"/>
            <w:hideMark/>
          </w:tcPr>
          <w:p w14:paraId="613CA7C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EFC706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44.1</w:t>
            </w:r>
          </w:p>
        </w:tc>
        <w:tc>
          <w:tcPr>
            <w:tcW w:w="460" w:type="dxa"/>
            <w:tcBorders>
              <w:top w:val="nil"/>
              <w:left w:val="nil"/>
              <w:bottom w:val="nil"/>
              <w:right w:val="nil"/>
            </w:tcBorders>
            <w:shd w:val="clear" w:color="auto" w:fill="auto"/>
            <w:noWrap/>
            <w:vAlign w:val="bottom"/>
            <w:hideMark/>
          </w:tcPr>
          <w:p w14:paraId="6571F33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26</w:t>
            </w:r>
          </w:p>
        </w:tc>
        <w:tc>
          <w:tcPr>
            <w:tcW w:w="272" w:type="dxa"/>
            <w:tcBorders>
              <w:top w:val="nil"/>
              <w:left w:val="nil"/>
              <w:bottom w:val="nil"/>
              <w:right w:val="nil"/>
            </w:tcBorders>
            <w:shd w:val="clear" w:color="auto" w:fill="auto"/>
            <w:noWrap/>
            <w:vAlign w:val="bottom"/>
            <w:hideMark/>
          </w:tcPr>
          <w:p w14:paraId="5F8C7B4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B62BED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43.9</w:t>
            </w:r>
          </w:p>
        </w:tc>
        <w:tc>
          <w:tcPr>
            <w:tcW w:w="506" w:type="dxa"/>
            <w:tcBorders>
              <w:top w:val="nil"/>
              <w:left w:val="nil"/>
              <w:bottom w:val="nil"/>
              <w:right w:val="nil"/>
            </w:tcBorders>
            <w:shd w:val="clear" w:color="auto" w:fill="auto"/>
            <w:noWrap/>
            <w:vAlign w:val="bottom"/>
            <w:hideMark/>
          </w:tcPr>
          <w:p w14:paraId="063F383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29</w:t>
            </w:r>
          </w:p>
        </w:tc>
        <w:tc>
          <w:tcPr>
            <w:tcW w:w="272" w:type="dxa"/>
            <w:tcBorders>
              <w:top w:val="nil"/>
              <w:left w:val="nil"/>
              <w:bottom w:val="nil"/>
              <w:right w:val="nil"/>
            </w:tcBorders>
            <w:shd w:val="clear" w:color="auto" w:fill="auto"/>
            <w:noWrap/>
            <w:vAlign w:val="bottom"/>
            <w:hideMark/>
          </w:tcPr>
          <w:p w14:paraId="425C32C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613E65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22.2</w:t>
            </w:r>
          </w:p>
        </w:tc>
        <w:tc>
          <w:tcPr>
            <w:tcW w:w="621" w:type="dxa"/>
            <w:tcBorders>
              <w:top w:val="nil"/>
              <w:left w:val="nil"/>
              <w:bottom w:val="nil"/>
              <w:right w:val="nil"/>
            </w:tcBorders>
            <w:shd w:val="clear" w:color="auto" w:fill="auto"/>
            <w:noWrap/>
            <w:vAlign w:val="bottom"/>
            <w:hideMark/>
          </w:tcPr>
          <w:p w14:paraId="247945D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r>
      <w:tr w:rsidR="00094010" w:rsidRPr="0084546B" w14:paraId="4A5CA71B" w14:textId="77777777" w:rsidTr="003D79FF">
        <w:trPr>
          <w:trHeight w:val="315"/>
        </w:trPr>
        <w:tc>
          <w:tcPr>
            <w:tcW w:w="3969" w:type="dxa"/>
            <w:tcBorders>
              <w:top w:val="nil"/>
              <w:left w:val="nil"/>
              <w:bottom w:val="nil"/>
              <w:right w:val="nil"/>
            </w:tcBorders>
            <w:shd w:val="clear" w:color="auto" w:fill="auto"/>
            <w:noWrap/>
            <w:vAlign w:val="bottom"/>
            <w:hideMark/>
          </w:tcPr>
          <w:p w14:paraId="77FB7169"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043AB1AC" w14:textId="77777777" w:rsidR="00BA2B62" w:rsidRPr="00467B9C" w:rsidRDefault="00BA2B62" w:rsidP="00E16B4D">
            <w:pPr>
              <w:spacing w:after="0"/>
              <w:rPr>
                <w:rFonts w:ascii="Arial" w:eastAsia="Times New Roman" w:hAnsi="Arial" w:cs="Arial"/>
                <w:sz w:val="20"/>
                <w:szCs w:val="20"/>
                <w:lang w:eastAsia="en-GB"/>
              </w:rPr>
            </w:pPr>
          </w:p>
        </w:tc>
        <w:tc>
          <w:tcPr>
            <w:tcW w:w="917" w:type="dxa"/>
            <w:gridSpan w:val="2"/>
            <w:tcBorders>
              <w:top w:val="nil"/>
              <w:left w:val="nil"/>
              <w:bottom w:val="nil"/>
              <w:right w:val="nil"/>
            </w:tcBorders>
            <w:shd w:val="clear" w:color="auto" w:fill="auto"/>
            <w:noWrap/>
            <w:vAlign w:val="bottom"/>
            <w:hideMark/>
          </w:tcPr>
          <w:p w14:paraId="5ABED5F2"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6622832C"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550F1C2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3FB7F6F5"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0F89F956"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3B2F1409"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1820752A"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303B8235"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75FEFCB3"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523149E0"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47EBF11D"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418DBE1A"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75C2B9BE"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15647E6C" w14:textId="77777777" w:rsidTr="003D79FF">
        <w:trPr>
          <w:trHeight w:val="315"/>
        </w:trPr>
        <w:tc>
          <w:tcPr>
            <w:tcW w:w="3969" w:type="dxa"/>
            <w:tcBorders>
              <w:top w:val="nil"/>
              <w:left w:val="nil"/>
              <w:bottom w:val="nil"/>
              <w:right w:val="nil"/>
            </w:tcBorders>
            <w:shd w:val="clear" w:color="auto" w:fill="auto"/>
            <w:noWrap/>
            <w:vAlign w:val="bottom"/>
            <w:hideMark/>
          </w:tcPr>
          <w:p w14:paraId="5F83A507"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AGE</w:t>
            </w:r>
          </w:p>
        </w:tc>
        <w:tc>
          <w:tcPr>
            <w:tcW w:w="851" w:type="dxa"/>
            <w:tcBorders>
              <w:top w:val="nil"/>
              <w:left w:val="nil"/>
              <w:bottom w:val="nil"/>
              <w:right w:val="nil"/>
            </w:tcBorders>
            <w:shd w:val="clear" w:color="auto" w:fill="auto"/>
            <w:noWrap/>
            <w:vAlign w:val="bottom"/>
            <w:hideMark/>
          </w:tcPr>
          <w:p w14:paraId="585EDECC"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917" w:type="dxa"/>
            <w:gridSpan w:val="2"/>
            <w:tcBorders>
              <w:top w:val="nil"/>
              <w:left w:val="nil"/>
              <w:bottom w:val="nil"/>
              <w:right w:val="nil"/>
            </w:tcBorders>
            <w:shd w:val="clear" w:color="auto" w:fill="auto"/>
            <w:noWrap/>
            <w:vAlign w:val="bottom"/>
            <w:hideMark/>
          </w:tcPr>
          <w:p w14:paraId="4A962F78"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7EA7F5FE"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0C95049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4BDDDD50"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19801258"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14C69FF"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4B8B4609"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390A9E69"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676C057F"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361BD3CC"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6498F9D8"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5BB5D146"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692A434B"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0857D29C" w14:textId="77777777" w:rsidTr="003D79FF">
        <w:trPr>
          <w:trHeight w:val="315"/>
        </w:trPr>
        <w:tc>
          <w:tcPr>
            <w:tcW w:w="3969" w:type="dxa"/>
            <w:tcBorders>
              <w:top w:val="nil"/>
              <w:left w:val="nil"/>
              <w:bottom w:val="nil"/>
              <w:right w:val="nil"/>
            </w:tcBorders>
            <w:shd w:val="clear" w:color="auto" w:fill="auto"/>
            <w:noWrap/>
            <w:vAlign w:val="bottom"/>
            <w:hideMark/>
          </w:tcPr>
          <w:p w14:paraId="4B52B778"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Early years (0-5 years)</w:t>
            </w:r>
          </w:p>
        </w:tc>
        <w:tc>
          <w:tcPr>
            <w:tcW w:w="851" w:type="dxa"/>
            <w:tcBorders>
              <w:top w:val="nil"/>
              <w:left w:val="nil"/>
              <w:bottom w:val="nil"/>
              <w:right w:val="nil"/>
            </w:tcBorders>
            <w:shd w:val="clear" w:color="auto" w:fill="auto"/>
            <w:noWrap/>
            <w:vAlign w:val="bottom"/>
            <w:hideMark/>
          </w:tcPr>
          <w:p w14:paraId="3F55665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10.1</w:t>
            </w:r>
          </w:p>
        </w:tc>
        <w:tc>
          <w:tcPr>
            <w:tcW w:w="917" w:type="dxa"/>
            <w:gridSpan w:val="2"/>
            <w:tcBorders>
              <w:top w:val="nil"/>
              <w:left w:val="nil"/>
              <w:bottom w:val="nil"/>
              <w:right w:val="nil"/>
            </w:tcBorders>
            <w:shd w:val="clear" w:color="auto" w:fill="auto"/>
            <w:noWrap/>
            <w:vAlign w:val="bottom"/>
            <w:hideMark/>
          </w:tcPr>
          <w:p w14:paraId="4A42DE3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48</w:t>
            </w:r>
          </w:p>
        </w:tc>
        <w:tc>
          <w:tcPr>
            <w:tcW w:w="272" w:type="dxa"/>
            <w:tcBorders>
              <w:top w:val="nil"/>
              <w:left w:val="nil"/>
              <w:bottom w:val="nil"/>
              <w:right w:val="nil"/>
            </w:tcBorders>
            <w:shd w:val="clear" w:color="auto" w:fill="auto"/>
            <w:noWrap/>
            <w:vAlign w:val="bottom"/>
            <w:hideMark/>
          </w:tcPr>
          <w:p w14:paraId="02546F1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7C3700F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10.5</w:t>
            </w:r>
          </w:p>
        </w:tc>
        <w:tc>
          <w:tcPr>
            <w:tcW w:w="1090" w:type="dxa"/>
            <w:tcBorders>
              <w:top w:val="nil"/>
              <w:left w:val="nil"/>
              <w:bottom w:val="nil"/>
              <w:right w:val="nil"/>
            </w:tcBorders>
            <w:shd w:val="clear" w:color="000000" w:fill="EDEDED"/>
            <w:noWrap/>
            <w:vAlign w:val="bottom"/>
            <w:hideMark/>
          </w:tcPr>
          <w:p w14:paraId="652D4A1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36</w:t>
            </w:r>
          </w:p>
        </w:tc>
        <w:tc>
          <w:tcPr>
            <w:tcW w:w="539" w:type="dxa"/>
            <w:tcBorders>
              <w:top w:val="nil"/>
              <w:left w:val="nil"/>
              <w:bottom w:val="nil"/>
              <w:right w:val="nil"/>
            </w:tcBorders>
            <w:shd w:val="clear" w:color="auto" w:fill="auto"/>
            <w:noWrap/>
            <w:vAlign w:val="bottom"/>
            <w:hideMark/>
          </w:tcPr>
          <w:p w14:paraId="157F577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14AB87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11.9</w:t>
            </w:r>
          </w:p>
        </w:tc>
        <w:tc>
          <w:tcPr>
            <w:tcW w:w="460" w:type="dxa"/>
            <w:tcBorders>
              <w:top w:val="nil"/>
              <w:left w:val="nil"/>
              <w:bottom w:val="nil"/>
              <w:right w:val="nil"/>
            </w:tcBorders>
            <w:shd w:val="clear" w:color="auto" w:fill="auto"/>
            <w:noWrap/>
            <w:vAlign w:val="bottom"/>
            <w:hideMark/>
          </w:tcPr>
          <w:p w14:paraId="3A94417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w:t>
            </w:r>
          </w:p>
        </w:tc>
        <w:tc>
          <w:tcPr>
            <w:tcW w:w="272" w:type="dxa"/>
            <w:tcBorders>
              <w:top w:val="nil"/>
              <w:left w:val="nil"/>
              <w:bottom w:val="nil"/>
              <w:right w:val="nil"/>
            </w:tcBorders>
            <w:shd w:val="clear" w:color="auto" w:fill="auto"/>
            <w:noWrap/>
            <w:vAlign w:val="bottom"/>
            <w:hideMark/>
          </w:tcPr>
          <w:p w14:paraId="64A14D7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1B2503F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7.6</w:t>
            </w:r>
          </w:p>
        </w:tc>
        <w:tc>
          <w:tcPr>
            <w:tcW w:w="506" w:type="dxa"/>
            <w:tcBorders>
              <w:top w:val="nil"/>
              <w:left w:val="nil"/>
              <w:bottom w:val="nil"/>
              <w:right w:val="nil"/>
            </w:tcBorders>
            <w:shd w:val="clear" w:color="auto" w:fill="auto"/>
            <w:noWrap/>
            <w:vAlign w:val="bottom"/>
            <w:hideMark/>
          </w:tcPr>
          <w:p w14:paraId="7616676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548AF07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713777F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7802392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569DFA8A" w14:textId="77777777" w:rsidTr="003D79FF">
        <w:trPr>
          <w:trHeight w:val="315"/>
        </w:trPr>
        <w:tc>
          <w:tcPr>
            <w:tcW w:w="3969" w:type="dxa"/>
            <w:tcBorders>
              <w:top w:val="nil"/>
              <w:left w:val="nil"/>
              <w:bottom w:val="nil"/>
              <w:right w:val="nil"/>
            </w:tcBorders>
            <w:shd w:val="clear" w:color="auto" w:fill="auto"/>
            <w:noWrap/>
            <w:vAlign w:val="bottom"/>
            <w:hideMark/>
          </w:tcPr>
          <w:p w14:paraId="2C374FC3"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Middle childhood (6-12 years)</w:t>
            </w:r>
          </w:p>
        </w:tc>
        <w:tc>
          <w:tcPr>
            <w:tcW w:w="851" w:type="dxa"/>
            <w:tcBorders>
              <w:top w:val="nil"/>
              <w:left w:val="nil"/>
              <w:bottom w:val="nil"/>
              <w:right w:val="nil"/>
            </w:tcBorders>
            <w:shd w:val="clear" w:color="auto" w:fill="auto"/>
            <w:noWrap/>
            <w:vAlign w:val="bottom"/>
            <w:hideMark/>
          </w:tcPr>
          <w:p w14:paraId="60FBC24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40.5</w:t>
            </w:r>
          </w:p>
        </w:tc>
        <w:tc>
          <w:tcPr>
            <w:tcW w:w="917" w:type="dxa"/>
            <w:gridSpan w:val="2"/>
            <w:tcBorders>
              <w:top w:val="nil"/>
              <w:left w:val="nil"/>
              <w:bottom w:val="nil"/>
              <w:right w:val="nil"/>
            </w:tcBorders>
            <w:shd w:val="clear" w:color="auto" w:fill="auto"/>
            <w:noWrap/>
            <w:vAlign w:val="bottom"/>
            <w:hideMark/>
          </w:tcPr>
          <w:p w14:paraId="355A1BB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193</w:t>
            </w:r>
          </w:p>
        </w:tc>
        <w:tc>
          <w:tcPr>
            <w:tcW w:w="272" w:type="dxa"/>
            <w:tcBorders>
              <w:top w:val="nil"/>
              <w:left w:val="nil"/>
              <w:bottom w:val="nil"/>
              <w:right w:val="nil"/>
            </w:tcBorders>
            <w:shd w:val="clear" w:color="auto" w:fill="auto"/>
            <w:noWrap/>
            <w:vAlign w:val="bottom"/>
            <w:hideMark/>
          </w:tcPr>
          <w:p w14:paraId="5CE59B69"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6F87EED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41.8</w:t>
            </w:r>
          </w:p>
        </w:tc>
        <w:tc>
          <w:tcPr>
            <w:tcW w:w="1090" w:type="dxa"/>
            <w:tcBorders>
              <w:top w:val="nil"/>
              <w:left w:val="nil"/>
              <w:bottom w:val="nil"/>
              <w:right w:val="nil"/>
            </w:tcBorders>
            <w:shd w:val="clear" w:color="000000" w:fill="EDEDED"/>
            <w:noWrap/>
            <w:vAlign w:val="bottom"/>
            <w:hideMark/>
          </w:tcPr>
          <w:p w14:paraId="4CE3D82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143</w:t>
            </w:r>
          </w:p>
        </w:tc>
        <w:tc>
          <w:tcPr>
            <w:tcW w:w="539" w:type="dxa"/>
            <w:tcBorders>
              <w:top w:val="nil"/>
              <w:left w:val="nil"/>
              <w:bottom w:val="nil"/>
              <w:right w:val="nil"/>
            </w:tcBorders>
            <w:shd w:val="clear" w:color="auto" w:fill="auto"/>
            <w:noWrap/>
            <w:vAlign w:val="bottom"/>
            <w:hideMark/>
          </w:tcPr>
          <w:p w14:paraId="5BE7FC7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DCCAF0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39.0</w:t>
            </w:r>
          </w:p>
        </w:tc>
        <w:tc>
          <w:tcPr>
            <w:tcW w:w="460" w:type="dxa"/>
            <w:tcBorders>
              <w:top w:val="nil"/>
              <w:left w:val="nil"/>
              <w:bottom w:val="nil"/>
              <w:right w:val="nil"/>
            </w:tcBorders>
            <w:shd w:val="clear" w:color="auto" w:fill="auto"/>
            <w:noWrap/>
            <w:vAlign w:val="bottom"/>
            <w:hideMark/>
          </w:tcPr>
          <w:p w14:paraId="606384E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w:t>
            </w:r>
          </w:p>
        </w:tc>
        <w:tc>
          <w:tcPr>
            <w:tcW w:w="272" w:type="dxa"/>
            <w:tcBorders>
              <w:top w:val="nil"/>
              <w:left w:val="nil"/>
              <w:bottom w:val="nil"/>
              <w:right w:val="nil"/>
            </w:tcBorders>
            <w:shd w:val="clear" w:color="auto" w:fill="auto"/>
            <w:noWrap/>
            <w:vAlign w:val="bottom"/>
            <w:hideMark/>
          </w:tcPr>
          <w:p w14:paraId="64EF226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4508C7D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34.8</w:t>
            </w:r>
          </w:p>
        </w:tc>
        <w:tc>
          <w:tcPr>
            <w:tcW w:w="506" w:type="dxa"/>
            <w:tcBorders>
              <w:top w:val="nil"/>
              <w:left w:val="nil"/>
              <w:bottom w:val="nil"/>
              <w:right w:val="nil"/>
            </w:tcBorders>
            <w:shd w:val="clear" w:color="auto" w:fill="auto"/>
            <w:noWrap/>
            <w:vAlign w:val="bottom"/>
            <w:hideMark/>
          </w:tcPr>
          <w:p w14:paraId="7CE7D3A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w:t>
            </w:r>
          </w:p>
        </w:tc>
        <w:tc>
          <w:tcPr>
            <w:tcW w:w="272" w:type="dxa"/>
            <w:tcBorders>
              <w:top w:val="nil"/>
              <w:left w:val="nil"/>
              <w:bottom w:val="nil"/>
              <w:right w:val="nil"/>
            </w:tcBorders>
            <w:shd w:val="clear" w:color="auto" w:fill="auto"/>
            <w:noWrap/>
            <w:vAlign w:val="bottom"/>
            <w:hideMark/>
          </w:tcPr>
          <w:p w14:paraId="64AEB4B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1D5863D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44.4</w:t>
            </w:r>
          </w:p>
        </w:tc>
        <w:tc>
          <w:tcPr>
            <w:tcW w:w="621" w:type="dxa"/>
            <w:tcBorders>
              <w:top w:val="nil"/>
              <w:left w:val="nil"/>
              <w:bottom w:val="nil"/>
              <w:right w:val="nil"/>
            </w:tcBorders>
            <w:shd w:val="clear" w:color="auto" w:fill="auto"/>
            <w:noWrap/>
            <w:vAlign w:val="bottom"/>
            <w:hideMark/>
          </w:tcPr>
          <w:p w14:paraId="62FB1D4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w:t>
            </w:r>
          </w:p>
        </w:tc>
      </w:tr>
      <w:tr w:rsidR="00094010" w:rsidRPr="0084546B" w14:paraId="29F4B2B1" w14:textId="77777777" w:rsidTr="003D79FF">
        <w:trPr>
          <w:trHeight w:val="315"/>
        </w:trPr>
        <w:tc>
          <w:tcPr>
            <w:tcW w:w="3969" w:type="dxa"/>
            <w:tcBorders>
              <w:top w:val="nil"/>
              <w:left w:val="nil"/>
              <w:bottom w:val="nil"/>
              <w:right w:val="nil"/>
            </w:tcBorders>
            <w:shd w:val="clear" w:color="auto" w:fill="auto"/>
            <w:noWrap/>
            <w:vAlign w:val="bottom"/>
            <w:hideMark/>
          </w:tcPr>
          <w:p w14:paraId="05A15541"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Adolescence (13-18 years)</w:t>
            </w:r>
          </w:p>
        </w:tc>
        <w:tc>
          <w:tcPr>
            <w:tcW w:w="851" w:type="dxa"/>
            <w:tcBorders>
              <w:top w:val="nil"/>
              <w:left w:val="nil"/>
              <w:bottom w:val="nil"/>
              <w:right w:val="nil"/>
            </w:tcBorders>
            <w:shd w:val="clear" w:color="auto" w:fill="auto"/>
            <w:noWrap/>
            <w:vAlign w:val="bottom"/>
            <w:hideMark/>
          </w:tcPr>
          <w:p w14:paraId="19505F4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49.2</w:t>
            </w:r>
          </w:p>
        </w:tc>
        <w:tc>
          <w:tcPr>
            <w:tcW w:w="917" w:type="dxa"/>
            <w:gridSpan w:val="2"/>
            <w:tcBorders>
              <w:top w:val="nil"/>
              <w:left w:val="nil"/>
              <w:bottom w:val="nil"/>
              <w:right w:val="nil"/>
            </w:tcBorders>
            <w:shd w:val="clear" w:color="auto" w:fill="auto"/>
            <w:noWrap/>
            <w:vAlign w:val="bottom"/>
            <w:hideMark/>
          </w:tcPr>
          <w:p w14:paraId="3B63F74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234</w:t>
            </w:r>
          </w:p>
        </w:tc>
        <w:tc>
          <w:tcPr>
            <w:tcW w:w="272" w:type="dxa"/>
            <w:tcBorders>
              <w:top w:val="nil"/>
              <w:left w:val="nil"/>
              <w:bottom w:val="nil"/>
              <w:right w:val="nil"/>
            </w:tcBorders>
            <w:shd w:val="clear" w:color="auto" w:fill="auto"/>
            <w:noWrap/>
            <w:vAlign w:val="bottom"/>
            <w:hideMark/>
          </w:tcPr>
          <w:p w14:paraId="0511C8B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164CF1B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47.8</w:t>
            </w:r>
          </w:p>
        </w:tc>
        <w:tc>
          <w:tcPr>
            <w:tcW w:w="1090" w:type="dxa"/>
            <w:tcBorders>
              <w:top w:val="nil"/>
              <w:left w:val="nil"/>
              <w:bottom w:val="nil"/>
              <w:right w:val="nil"/>
            </w:tcBorders>
            <w:shd w:val="clear" w:color="000000" w:fill="EDEDED"/>
            <w:noWrap/>
            <w:vAlign w:val="bottom"/>
            <w:hideMark/>
          </w:tcPr>
          <w:p w14:paraId="20E2A56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163</w:t>
            </w:r>
          </w:p>
        </w:tc>
        <w:tc>
          <w:tcPr>
            <w:tcW w:w="539" w:type="dxa"/>
            <w:tcBorders>
              <w:top w:val="nil"/>
              <w:left w:val="nil"/>
              <w:bottom w:val="nil"/>
              <w:right w:val="nil"/>
            </w:tcBorders>
            <w:shd w:val="clear" w:color="auto" w:fill="auto"/>
            <w:noWrap/>
            <w:vAlign w:val="bottom"/>
            <w:hideMark/>
          </w:tcPr>
          <w:p w14:paraId="31F0D7D5"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7F94D7A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49.2</w:t>
            </w:r>
          </w:p>
        </w:tc>
        <w:tc>
          <w:tcPr>
            <w:tcW w:w="460" w:type="dxa"/>
            <w:tcBorders>
              <w:top w:val="nil"/>
              <w:left w:val="nil"/>
              <w:bottom w:val="nil"/>
              <w:right w:val="nil"/>
            </w:tcBorders>
            <w:shd w:val="clear" w:color="auto" w:fill="auto"/>
            <w:noWrap/>
            <w:vAlign w:val="bottom"/>
            <w:hideMark/>
          </w:tcPr>
          <w:p w14:paraId="0C22E4C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29</w:t>
            </w:r>
          </w:p>
        </w:tc>
        <w:tc>
          <w:tcPr>
            <w:tcW w:w="272" w:type="dxa"/>
            <w:tcBorders>
              <w:top w:val="nil"/>
              <w:left w:val="nil"/>
              <w:bottom w:val="nil"/>
              <w:right w:val="nil"/>
            </w:tcBorders>
            <w:shd w:val="clear" w:color="auto" w:fill="auto"/>
            <w:noWrap/>
            <w:vAlign w:val="bottom"/>
            <w:hideMark/>
          </w:tcPr>
          <w:p w14:paraId="31AEC94F"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196DA59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57.6</w:t>
            </w:r>
          </w:p>
        </w:tc>
        <w:tc>
          <w:tcPr>
            <w:tcW w:w="506" w:type="dxa"/>
            <w:tcBorders>
              <w:top w:val="nil"/>
              <w:left w:val="nil"/>
              <w:bottom w:val="nil"/>
              <w:right w:val="nil"/>
            </w:tcBorders>
            <w:shd w:val="clear" w:color="auto" w:fill="auto"/>
            <w:noWrap/>
            <w:vAlign w:val="bottom"/>
            <w:hideMark/>
          </w:tcPr>
          <w:p w14:paraId="1E75FC5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38</w:t>
            </w:r>
          </w:p>
        </w:tc>
        <w:tc>
          <w:tcPr>
            <w:tcW w:w="272" w:type="dxa"/>
            <w:tcBorders>
              <w:top w:val="nil"/>
              <w:left w:val="nil"/>
              <w:bottom w:val="nil"/>
              <w:right w:val="nil"/>
            </w:tcBorders>
            <w:shd w:val="clear" w:color="auto" w:fill="auto"/>
            <w:noWrap/>
            <w:vAlign w:val="bottom"/>
            <w:hideMark/>
          </w:tcPr>
          <w:p w14:paraId="2F5EDD8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564DC1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57.6</w:t>
            </w:r>
          </w:p>
        </w:tc>
        <w:tc>
          <w:tcPr>
            <w:tcW w:w="621" w:type="dxa"/>
            <w:tcBorders>
              <w:top w:val="nil"/>
              <w:left w:val="nil"/>
              <w:bottom w:val="nil"/>
              <w:right w:val="nil"/>
            </w:tcBorders>
            <w:shd w:val="clear" w:color="auto" w:fill="auto"/>
            <w:noWrap/>
            <w:vAlign w:val="bottom"/>
            <w:hideMark/>
          </w:tcPr>
          <w:p w14:paraId="695CD8C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w:t>
            </w:r>
          </w:p>
        </w:tc>
      </w:tr>
      <w:tr w:rsidR="00094010" w:rsidRPr="0084546B" w14:paraId="4D24759A" w14:textId="77777777" w:rsidTr="003D79FF">
        <w:trPr>
          <w:trHeight w:val="315"/>
        </w:trPr>
        <w:tc>
          <w:tcPr>
            <w:tcW w:w="3969" w:type="dxa"/>
            <w:tcBorders>
              <w:top w:val="nil"/>
              <w:left w:val="nil"/>
              <w:bottom w:val="nil"/>
              <w:right w:val="nil"/>
            </w:tcBorders>
            <w:shd w:val="clear" w:color="auto" w:fill="auto"/>
            <w:noWrap/>
            <w:vAlign w:val="bottom"/>
            <w:hideMark/>
          </w:tcPr>
          <w:p w14:paraId="2B7801D3" w14:textId="77777777" w:rsidR="00BA2B62" w:rsidRPr="00467B9C" w:rsidRDefault="00BA2B62" w:rsidP="00E16B4D">
            <w:pPr>
              <w:spacing w:after="0"/>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 xml:space="preserve">    Missing</w:t>
            </w:r>
          </w:p>
        </w:tc>
        <w:tc>
          <w:tcPr>
            <w:tcW w:w="851" w:type="dxa"/>
            <w:tcBorders>
              <w:top w:val="nil"/>
              <w:left w:val="nil"/>
              <w:bottom w:val="nil"/>
              <w:right w:val="nil"/>
            </w:tcBorders>
            <w:shd w:val="clear" w:color="auto" w:fill="auto"/>
            <w:noWrap/>
            <w:vAlign w:val="bottom"/>
            <w:hideMark/>
          </w:tcPr>
          <w:p w14:paraId="35EAC71B"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0.2</w:t>
            </w:r>
          </w:p>
        </w:tc>
        <w:tc>
          <w:tcPr>
            <w:tcW w:w="917" w:type="dxa"/>
            <w:gridSpan w:val="2"/>
            <w:tcBorders>
              <w:top w:val="nil"/>
              <w:left w:val="nil"/>
              <w:bottom w:val="nil"/>
              <w:right w:val="nil"/>
            </w:tcBorders>
            <w:shd w:val="clear" w:color="auto" w:fill="auto"/>
            <w:noWrap/>
            <w:vAlign w:val="bottom"/>
            <w:hideMark/>
          </w:tcPr>
          <w:p w14:paraId="0AE52D48"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1</w:t>
            </w:r>
          </w:p>
        </w:tc>
        <w:tc>
          <w:tcPr>
            <w:tcW w:w="272" w:type="dxa"/>
            <w:tcBorders>
              <w:top w:val="nil"/>
              <w:left w:val="nil"/>
              <w:bottom w:val="nil"/>
              <w:right w:val="nil"/>
            </w:tcBorders>
            <w:shd w:val="clear" w:color="auto" w:fill="auto"/>
            <w:noWrap/>
            <w:vAlign w:val="bottom"/>
            <w:hideMark/>
          </w:tcPr>
          <w:p w14:paraId="1506C7CD"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402BB021"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0.0</w:t>
            </w:r>
          </w:p>
        </w:tc>
        <w:tc>
          <w:tcPr>
            <w:tcW w:w="1090" w:type="dxa"/>
            <w:tcBorders>
              <w:top w:val="nil"/>
              <w:left w:val="nil"/>
              <w:bottom w:val="nil"/>
              <w:right w:val="nil"/>
            </w:tcBorders>
            <w:shd w:val="clear" w:color="000000" w:fill="EDEDED"/>
            <w:noWrap/>
            <w:vAlign w:val="bottom"/>
            <w:hideMark/>
          </w:tcPr>
          <w:p w14:paraId="6710C5B7"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w:t>
            </w:r>
          </w:p>
        </w:tc>
        <w:tc>
          <w:tcPr>
            <w:tcW w:w="539" w:type="dxa"/>
            <w:tcBorders>
              <w:top w:val="nil"/>
              <w:left w:val="nil"/>
              <w:bottom w:val="nil"/>
              <w:right w:val="nil"/>
            </w:tcBorders>
            <w:shd w:val="clear" w:color="auto" w:fill="auto"/>
            <w:noWrap/>
            <w:vAlign w:val="bottom"/>
            <w:hideMark/>
          </w:tcPr>
          <w:p w14:paraId="097DF49F"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401E23E5"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5F53E181"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2FFEFF7C"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649C07EB"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50E8B456"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0A5B2BA6"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6A64210"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134159F3"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1</w:t>
            </w:r>
          </w:p>
        </w:tc>
      </w:tr>
      <w:tr w:rsidR="00094010" w:rsidRPr="0084546B" w14:paraId="745090D1" w14:textId="77777777" w:rsidTr="003D79FF">
        <w:trPr>
          <w:trHeight w:val="315"/>
        </w:trPr>
        <w:tc>
          <w:tcPr>
            <w:tcW w:w="3969" w:type="dxa"/>
            <w:tcBorders>
              <w:top w:val="nil"/>
              <w:left w:val="nil"/>
              <w:bottom w:val="nil"/>
              <w:right w:val="nil"/>
            </w:tcBorders>
            <w:shd w:val="clear" w:color="auto" w:fill="auto"/>
            <w:noWrap/>
            <w:vAlign w:val="bottom"/>
            <w:hideMark/>
          </w:tcPr>
          <w:p w14:paraId="0AC062E0"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119DDB42" w14:textId="77777777" w:rsidR="00BA2B62" w:rsidRPr="00467B9C" w:rsidRDefault="00BA2B62" w:rsidP="00E16B4D">
            <w:pPr>
              <w:spacing w:after="0"/>
              <w:rPr>
                <w:rFonts w:ascii="Arial" w:eastAsia="Times New Roman" w:hAnsi="Arial" w:cs="Arial"/>
                <w:sz w:val="20"/>
                <w:szCs w:val="20"/>
                <w:lang w:eastAsia="en-GB"/>
              </w:rPr>
            </w:pPr>
          </w:p>
        </w:tc>
        <w:tc>
          <w:tcPr>
            <w:tcW w:w="917" w:type="dxa"/>
            <w:gridSpan w:val="2"/>
            <w:tcBorders>
              <w:top w:val="nil"/>
              <w:left w:val="nil"/>
              <w:bottom w:val="nil"/>
              <w:right w:val="nil"/>
            </w:tcBorders>
            <w:shd w:val="clear" w:color="auto" w:fill="auto"/>
            <w:noWrap/>
            <w:vAlign w:val="bottom"/>
            <w:hideMark/>
          </w:tcPr>
          <w:p w14:paraId="6FF12912"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11C19D4A"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4BBBDC33"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00FB72D6"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49713B35"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17F93454"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4E5931D0"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4ED8D459"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6F5747BA"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02678BE8"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596EF4F5"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10B84542"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0845AED3"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24665DA3" w14:textId="77777777" w:rsidTr="003D79FF">
        <w:trPr>
          <w:trHeight w:val="360"/>
        </w:trPr>
        <w:tc>
          <w:tcPr>
            <w:tcW w:w="3969" w:type="dxa"/>
            <w:tcBorders>
              <w:top w:val="nil"/>
              <w:left w:val="nil"/>
              <w:bottom w:val="nil"/>
              <w:right w:val="nil"/>
            </w:tcBorders>
            <w:shd w:val="clear" w:color="auto" w:fill="auto"/>
            <w:noWrap/>
            <w:vAlign w:val="bottom"/>
            <w:hideMark/>
          </w:tcPr>
          <w:p w14:paraId="51D09CA8"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SIMD</w:t>
            </w:r>
            <w:r w:rsidRPr="00467B9C">
              <w:rPr>
                <w:rFonts w:ascii="Arial" w:eastAsia="Times New Roman" w:hAnsi="Arial" w:cs="Arial"/>
                <w:color w:val="000000"/>
                <w:sz w:val="20"/>
                <w:szCs w:val="20"/>
                <w:vertAlign w:val="superscript"/>
                <w:lang w:eastAsia="en-GB"/>
              </w:rPr>
              <w:t>1</w:t>
            </w:r>
          </w:p>
        </w:tc>
        <w:tc>
          <w:tcPr>
            <w:tcW w:w="851" w:type="dxa"/>
            <w:tcBorders>
              <w:top w:val="nil"/>
              <w:left w:val="nil"/>
              <w:bottom w:val="nil"/>
              <w:right w:val="nil"/>
            </w:tcBorders>
            <w:shd w:val="clear" w:color="auto" w:fill="auto"/>
            <w:noWrap/>
            <w:vAlign w:val="bottom"/>
            <w:hideMark/>
          </w:tcPr>
          <w:p w14:paraId="4B16C740"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917" w:type="dxa"/>
            <w:gridSpan w:val="2"/>
            <w:tcBorders>
              <w:top w:val="nil"/>
              <w:left w:val="nil"/>
              <w:bottom w:val="nil"/>
              <w:right w:val="nil"/>
            </w:tcBorders>
            <w:shd w:val="clear" w:color="auto" w:fill="auto"/>
            <w:noWrap/>
            <w:vAlign w:val="bottom"/>
            <w:hideMark/>
          </w:tcPr>
          <w:p w14:paraId="43E6C382"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06E7233A"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6C3F291B"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4E18E41F"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2BF46815"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A49B9E8"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596DCFAC"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64C4E3E1"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70672C3E"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411929E1"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7D68712E"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2ACAE6C0"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45032319"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344BFA4B" w14:textId="77777777" w:rsidTr="003D79FF">
        <w:trPr>
          <w:trHeight w:val="315"/>
        </w:trPr>
        <w:tc>
          <w:tcPr>
            <w:tcW w:w="3969" w:type="dxa"/>
            <w:tcBorders>
              <w:top w:val="nil"/>
              <w:left w:val="nil"/>
              <w:bottom w:val="nil"/>
              <w:right w:val="nil"/>
            </w:tcBorders>
            <w:shd w:val="clear" w:color="auto" w:fill="auto"/>
            <w:noWrap/>
            <w:vAlign w:val="bottom"/>
            <w:hideMark/>
          </w:tcPr>
          <w:p w14:paraId="0622EABE"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Quintile 1 - Most deprived</w:t>
            </w:r>
          </w:p>
        </w:tc>
        <w:tc>
          <w:tcPr>
            <w:tcW w:w="851" w:type="dxa"/>
            <w:tcBorders>
              <w:top w:val="nil"/>
              <w:left w:val="nil"/>
              <w:bottom w:val="nil"/>
              <w:right w:val="nil"/>
            </w:tcBorders>
            <w:shd w:val="clear" w:color="auto" w:fill="auto"/>
            <w:noWrap/>
            <w:vAlign w:val="bottom"/>
            <w:hideMark/>
          </w:tcPr>
          <w:p w14:paraId="04943B2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0.8</w:t>
            </w:r>
          </w:p>
        </w:tc>
        <w:tc>
          <w:tcPr>
            <w:tcW w:w="917" w:type="dxa"/>
            <w:gridSpan w:val="2"/>
            <w:tcBorders>
              <w:top w:val="nil"/>
              <w:left w:val="nil"/>
              <w:bottom w:val="nil"/>
              <w:right w:val="nil"/>
            </w:tcBorders>
            <w:shd w:val="clear" w:color="auto" w:fill="auto"/>
            <w:noWrap/>
            <w:vAlign w:val="bottom"/>
            <w:hideMark/>
          </w:tcPr>
          <w:p w14:paraId="45AE805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w:t>
            </w:r>
          </w:p>
        </w:tc>
        <w:tc>
          <w:tcPr>
            <w:tcW w:w="272" w:type="dxa"/>
            <w:tcBorders>
              <w:top w:val="nil"/>
              <w:left w:val="nil"/>
              <w:bottom w:val="nil"/>
              <w:right w:val="nil"/>
            </w:tcBorders>
            <w:shd w:val="clear" w:color="auto" w:fill="auto"/>
            <w:noWrap/>
            <w:vAlign w:val="bottom"/>
            <w:hideMark/>
          </w:tcPr>
          <w:p w14:paraId="527D76E5"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3247165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0.6</w:t>
            </w:r>
          </w:p>
        </w:tc>
        <w:tc>
          <w:tcPr>
            <w:tcW w:w="1090" w:type="dxa"/>
            <w:tcBorders>
              <w:top w:val="nil"/>
              <w:left w:val="nil"/>
              <w:bottom w:val="nil"/>
              <w:right w:val="nil"/>
            </w:tcBorders>
            <w:shd w:val="clear" w:color="000000" w:fill="EDEDED"/>
            <w:noWrap/>
            <w:vAlign w:val="bottom"/>
            <w:hideMark/>
          </w:tcPr>
          <w:p w14:paraId="6C31F28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539" w:type="dxa"/>
            <w:tcBorders>
              <w:top w:val="nil"/>
              <w:left w:val="nil"/>
              <w:bottom w:val="nil"/>
              <w:right w:val="nil"/>
            </w:tcBorders>
            <w:shd w:val="clear" w:color="auto" w:fill="auto"/>
            <w:noWrap/>
            <w:vAlign w:val="bottom"/>
            <w:hideMark/>
          </w:tcPr>
          <w:p w14:paraId="53332CB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D466CE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41CD85C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049220C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7501157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3.0</w:t>
            </w:r>
          </w:p>
        </w:tc>
        <w:tc>
          <w:tcPr>
            <w:tcW w:w="506" w:type="dxa"/>
            <w:tcBorders>
              <w:top w:val="nil"/>
              <w:left w:val="nil"/>
              <w:bottom w:val="nil"/>
              <w:right w:val="nil"/>
            </w:tcBorders>
            <w:shd w:val="clear" w:color="auto" w:fill="auto"/>
            <w:noWrap/>
            <w:vAlign w:val="bottom"/>
            <w:hideMark/>
          </w:tcPr>
          <w:p w14:paraId="45A14A8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57B4DDD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50AFF8F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09EF16D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2F956049" w14:textId="77777777" w:rsidTr="003D79FF">
        <w:trPr>
          <w:trHeight w:val="315"/>
        </w:trPr>
        <w:tc>
          <w:tcPr>
            <w:tcW w:w="3969" w:type="dxa"/>
            <w:tcBorders>
              <w:top w:val="nil"/>
              <w:left w:val="nil"/>
              <w:bottom w:val="nil"/>
              <w:right w:val="nil"/>
            </w:tcBorders>
            <w:shd w:val="clear" w:color="auto" w:fill="auto"/>
            <w:noWrap/>
            <w:vAlign w:val="bottom"/>
            <w:hideMark/>
          </w:tcPr>
          <w:p w14:paraId="61CDCDF6"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Quintile 2</w:t>
            </w:r>
          </w:p>
        </w:tc>
        <w:tc>
          <w:tcPr>
            <w:tcW w:w="851" w:type="dxa"/>
            <w:tcBorders>
              <w:top w:val="nil"/>
              <w:left w:val="nil"/>
              <w:bottom w:val="nil"/>
              <w:right w:val="nil"/>
            </w:tcBorders>
            <w:shd w:val="clear" w:color="auto" w:fill="auto"/>
            <w:noWrap/>
            <w:vAlign w:val="bottom"/>
            <w:hideMark/>
          </w:tcPr>
          <w:p w14:paraId="2F63317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9.7</w:t>
            </w:r>
          </w:p>
        </w:tc>
        <w:tc>
          <w:tcPr>
            <w:tcW w:w="917" w:type="dxa"/>
            <w:gridSpan w:val="2"/>
            <w:tcBorders>
              <w:top w:val="nil"/>
              <w:left w:val="nil"/>
              <w:bottom w:val="nil"/>
              <w:right w:val="nil"/>
            </w:tcBorders>
            <w:shd w:val="clear" w:color="auto" w:fill="auto"/>
            <w:noWrap/>
            <w:vAlign w:val="bottom"/>
            <w:hideMark/>
          </w:tcPr>
          <w:p w14:paraId="0B6E10B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46</w:t>
            </w:r>
          </w:p>
        </w:tc>
        <w:tc>
          <w:tcPr>
            <w:tcW w:w="272" w:type="dxa"/>
            <w:tcBorders>
              <w:top w:val="nil"/>
              <w:left w:val="nil"/>
              <w:bottom w:val="nil"/>
              <w:right w:val="nil"/>
            </w:tcBorders>
            <w:shd w:val="clear" w:color="auto" w:fill="auto"/>
            <w:noWrap/>
            <w:vAlign w:val="bottom"/>
            <w:hideMark/>
          </w:tcPr>
          <w:p w14:paraId="18848FA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3086E81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9.9</w:t>
            </w:r>
          </w:p>
        </w:tc>
        <w:tc>
          <w:tcPr>
            <w:tcW w:w="1090" w:type="dxa"/>
            <w:tcBorders>
              <w:top w:val="nil"/>
              <w:left w:val="nil"/>
              <w:bottom w:val="nil"/>
              <w:right w:val="nil"/>
            </w:tcBorders>
            <w:shd w:val="clear" w:color="000000" w:fill="EDEDED"/>
            <w:noWrap/>
            <w:vAlign w:val="bottom"/>
            <w:hideMark/>
          </w:tcPr>
          <w:p w14:paraId="42824A3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34</w:t>
            </w:r>
          </w:p>
        </w:tc>
        <w:tc>
          <w:tcPr>
            <w:tcW w:w="539" w:type="dxa"/>
            <w:tcBorders>
              <w:top w:val="nil"/>
              <w:left w:val="nil"/>
              <w:bottom w:val="nil"/>
              <w:right w:val="nil"/>
            </w:tcBorders>
            <w:shd w:val="clear" w:color="auto" w:fill="auto"/>
            <w:noWrap/>
            <w:vAlign w:val="bottom"/>
            <w:hideMark/>
          </w:tcPr>
          <w:p w14:paraId="1B66F37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797900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11.9</w:t>
            </w:r>
          </w:p>
        </w:tc>
        <w:tc>
          <w:tcPr>
            <w:tcW w:w="460" w:type="dxa"/>
            <w:tcBorders>
              <w:top w:val="nil"/>
              <w:left w:val="nil"/>
              <w:bottom w:val="nil"/>
              <w:right w:val="nil"/>
            </w:tcBorders>
            <w:shd w:val="clear" w:color="auto" w:fill="auto"/>
            <w:noWrap/>
            <w:vAlign w:val="bottom"/>
            <w:hideMark/>
          </w:tcPr>
          <w:p w14:paraId="6C7DF87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w:t>
            </w:r>
          </w:p>
        </w:tc>
        <w:tc>
          <w:tcPr>
            <w:tcW w:w="272" w:type="dxa"/>
            <w:tcBorders>
              <w:top w:val="nil"/>
              <w:left w:val="nil"/>
              <w:bottom w:val="nil"/>
              <w:right w:val="nil"/>
            </w:tcBorders>
            <w:shd w:val="clear" w:color="auto" w:fill="auto"/>
            <w:noWrap/>
            <w:vAlign w:val="bottom"/>
            <w:hideMark/>
          </w:tcPr>
          <w:p w14:paraId="37B1105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1ECBEAA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6.1</w:t>
            </w:r>
          </w:p>
        </w:tc>
        <w:tc>
          <w:tcPr>
            <w:tcW w:w="506" w:type="dxa"/>
            <w:tcBorders>
              <w:top w:val="nil"/>
              <w:left w:val="nil"/>
              <w:bottom w:val="nil"/>
              <w:right w:val="nil"/>
            </w:tcBorders>
            <w:shd w:val="clear" w:color="auto" w:fill="auto"/>
            <w:noWrap/>
            <w:vAlign w:val="bottom"/>
            <w:hideMark/>
          </w:tcPr>
          <w:p w14:paraId="0FF548A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w:t>
            </w:r>
          </w:p>
        </w:tc>
        <w:tc>
          <w:tcPr>
            <w:tcW w:w="272" w:type="dxa"/>
            <w:tcBorders>
              <w:top w:val="nil"/>
              <w:left w:val="nil"/>
              <w:bottom w:val="nil"/>
              <w:right w:val="nil"/>
            </w:tcBorders>
            <w:shd w:val="clear" w:color="auto" w:fill="auto"/>
            <w:noWrap/>
            <w:vAlign w:val="bottom"/>
            <w:hideMark/>
          </w:tcPr>
          <w:p w14:paraId="4FF21067"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146C2D6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151707D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r>
      <w:tr w:rsidR="00094010" w:rsidRPr="0084546B" w14:paraId="7EBC2C6F" w14:textId="77777777" w:rsidTr="003D79FF">
        <w:trPr>
          <w:trHeight w:val="315"/>
        </w:trPr>
        <w:tc>
          <w:tcPr>
            <w:tcW w:w="3969" w:type="dxa"/>
            <w:tcBorders>
              <w:top w:val="nil"/>
              <w:left w:val="nil"/>
              <w:bottom w:val="nil"/>
              <w:right w:val="nil"/>
            </w:tcBorders>
            <w:shd w:val="clear" w:color="auto" w:fill="auto"/>
            <w:noWrap/>
            <w:vAlign w:val="bottom"/>
            <w:hideMark/>
          </w:tcPr>
          <w:p w14:paraId="109B9070"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Qunitile 3</w:t>
            </w:r>
          </w:p>
        </w:tc>
        <w:tc>
          <w:tcPr>
            <w:tcW w:w="851" w:type="dxa"/>
            <w:tcBorders>
              <w:top w:val="nil"/>
              <w:left w:val="nil"/>
              <w:bottom w:val="nil"/>
              <w:right w:val="nil"/>
            </w:tcBorders>
            <w:shd w:val="clear" w:color="auto" w:fill="auto"/>
            <w:noWrap/>
            <w:vAlign w:val="bottom"/>
            <w:hideMark/>
          </w:tcPr>
          <w:p w14:paraId="3B00C9D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41.6</w:t>
            </w:r>
          </w:p>
        </w:tc>
        <w:tc>
          <w:tcPr>
            <w:tcW w:w="917" w:type="dxa"/>
            <w:gridSpan w:val="2"/>
            <w:tcBorders>
              <w:top w:val="nil"/>
              <w:left w:val="nil"/>
              <w:bottom w:val="nil"/>
              <w:right w:val="nil"/>
            </w:tcBorders>
            <w:shd w:val="clear" w:color="auto" w:fill="auto"/>
            <w:noWrap/>
            <w:vAlign w:val="bottom"/>
            <w:hideMark/>
          </w:tcPr>
          <w:p w14:paraId="284C1CF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198</w:t>
            </w:r>
          </w:p>
        </w:tc>
        <w:tc>
          <w:tcPr>
            <w:tcW w:w="272" w:type="dxa"/>
            <w:tcBorders>
              <w:top w:val="nil"/>
              <w:left w:val="nil"/>
              <w:bottom w:val="nil"/>
              <w:right w:val="nil"/>
            </w:tcBorders>
            <w:shd w:val="clear" w:color="auto" w:fill="auto"/>
            <w:noWrap/>
            <w:vAlign w:val="bottom"/>
            <w:hideMark/>
          </w:tcPr>
          <w:p w14:paraId="0AFF093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7512522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43.9</w:t>
            </w:r>
          </w:p>
        </w:tc>
        <w:tc>
          <w:tcPr>
            <w:tcW w:w="1090" w:type="dxa"/>
            <w:tcBorders>
              <w:top w:val="nil"/>
              <w:left w:val="nil"/>
              <w:bottom w:val="nil"/>
              <w:right w:val="nil"/>
            </w:tcBorders>
            <w:shd w:val="clear" w:color="000000" w:fill="EDEDED"/>
            <w:noWrap/>
            <w:vAlign w:val="bottom"/>
            <w:hideMark/>
          </w:tcPr>
          <w:p w14:paraId="5AE5CE8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150</w:t>
            </w:r>
          </w:p>
        </w:tc>
        <w:tc>
          <w:tcPr>
            <w:tcW w:w="539" w:type="dxa"/>
            <w:tcBorders>
              <w:top w:val="nil"/>
              <w:left w:val="nil"/>
              <w:bottom w:val="nil"/>
              <w:right w:val="nil"/>
            </w:tcBorders>
            <w:shd w:val="clear" w:color="auto" w:fill="auto"/>
            <w:noWrap/>
            <w:vAlign w:val="bottom"/>
            <w:hideMark/>
          </w:tcPr>
          <w:p w14:paraId="3D31B5C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3717D38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42.4</w:t>
            </w:r>
          </w:p>
        </w:tc>
        <w:tc>
          <w:tcPr>
            <w:tcW w:w="460" w:type="dxa"/>
            <w:tcBorders>
              <w:top w:val="nil"/>
              <w:left w:val="nil"/>
              <w:bottom w:val="nil"/>
              <w:right w:val="nil"/>
            </w:tcBorders>
            <w:shd w:val="clear" w:color="auto" w:fill="auto"/>
            <w:noWrap/>
            <w:vAlign w:val="bottom"/>
            <w:hideMark/>
          </w:tcPr>
          <w:p w14:paraId="281BF23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25</w:t>
            </w:r>
          </w:p>
        </w:tc>
        <w:tc>
          <w:tcPr>
            <w:tcW w:w="272" w:type="dxa"/>
            <w:tcBorders>
              <w:top w:val="nil"/>
              <w:left w:val="nil"/>
              <w:bottom w:val="nil"/>
              <w:right w:val="nil"/>
            </w:tcBorders>
            <w:shd w:val="clear" w:color="auto" w:fill="auto"/>
            <w:noWrap/>
            <w:vAlign w:val="bottom"/>
            <w:hideMark/>
          </w:tcPr>
          <w:p w14:paraId="5328C71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5E6B327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33.3</w:t>
            </w:r>
          </w:p>
        </w:tc>
        <w:tc>
          <w:tcPr>
            <w:tcW w:w="506" w:type="dxa"/>
            <w:tcBorders>
              <w:top w:val="nil"/>
              <w:left w:val="nil"/>
              <w:bottom w:val="nil"/>
              <w:right w:val="nil"/>
            </w:tcBorders>
            <w:shd w:val="clear" w:color="auto" w:fill="auto"/>
            <w:noWrap/>
            <w:vAlign w:val="bottom"/>
            <w:hideMark/>
          </w:tcPr>
          <w:p w14:paraId="517B1ED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22</w:t>
            </w:r>
          </w:p>
        </w:tc>
        <w:tc>
          <w:tcPr>
            <w:tcW w:w="272" w:type="dxa"/>
            <w:tcBorders>
              <w:top w:val="nil"/>
              <w:left w:val="nil"/>
              <w:bottom w:val="nil"/>
              <w:right w:val="nil"/>
            </w:tcBorders>
            <w:shd w:val="clear" w:color="auto" w:fill="auto"/>
            <w:noWrap/>
            <w:vAlign w:val="bottom"/>
            <w:hideMark/>
          </w:tcPr>
          <w:p w14:paraId="7B5C3A95"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1C4063B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6D3E011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r>
      <w:tr w:rsidR="00094010" w:rsidRPr="0084546B" w14:paraId="5F577991" w14:textId="77777777" w:rsidTr="003D79FF">
        <w:trPr>
          <w:trHeight w:val="315"/>
        </w:trPr>
        <w:tc>
          <w:tcPr>
            <w:tcW w:w="3969" w:type="dxa"/>
            <w:tcBorders>
              <w:top w:val="nil"/>
              <w:left w:val="nil"/>
              <w:bottom w:val="nil"/>
              <w:right w:val="nil"/>
            </w:tcBorders>
            <w:shd w:val="clear" w:color="auto" w:fill="auto"/>
            <w:noWrap/>
            <w:vAlign w:val="bottom"/>
            <w:hideMark/>
          </w:tcPr>
          <w:p w14:paraId="1401AC51"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Quintile 4</w:t>
            </w:r>
          </w:p>
        </w:tc>
        <w:tc>
          <w:tcPr>
            <w:tcW w:w="851" w:type="dxa"/>
            <w:tcBorders>
              <w:top w:val="nil"/>
              <w:left w:val="nil"/>
              <w:bottom w:val="nil"/>
              <w:right w:val="nil"/>
            </w:tcBorders>
            <w:shd w:val="clear" w:color="auto" w:fill="auto"/>
            <w:noWrap/>
            <w:vAlign w:val="bottom"/>
            <w:hideMark/>
          </w:tcPr>
          <w:p w14:paraId="1F3C5AF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27.3</w:t>
            </w:r>
          </w:p>
        </w:tc>
        <w:tc>
          <w:tcPr>
            <w:tcW w:w="917" w:type="dxa"/>
            <w:gridSpan w:val="2"/>
            <w:tcBorders>
              <w:top w:val="nil"/>
              <w:left w:val="nil"/>
              <w:bottom w:val="nil"/>
              <w:right w:val="nil"/>
            </w:tcBorders>
            <w:shd w:val="clear" w:color="auto" w:fill="auto"/>
            <w:noWrap/>
            <w:vAlign w:val="bottom"/>
            <w:hideMark/>
          </w:tcPr>
          <w:p w14:paraId="697BAB9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130</w:t>
            </w:r>
          </w:p>
        </w:tc>
        <w:tc>
          <w:tcPr>
            <w:tcW w:w="272" w:type="dxa"/>
            <w:tcBorders>
              <w:top w:val="nil"/>
              <w:left w:val="nil"/>
              <w:bottom w:val="nil"/>
              <w:right w:val="nil"/>
            </w:tcBorders>
            <w:shd w:val="clear" w:color="auto" w:fill="auto"/>
            <w:noWrap/>
            <w:vAlign w:val="bottom"/>
            <w:hideMark/>
          </w:tcPr>
          <w:p w14:paraId="4873DB70"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1FB6280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24.9</w:t>
            </w:r>
          </w:p>
        </w:tc>
        <w:tc>
          <w:tcPr>
            <w:tcW w:w="1090" w:type="dxa"/>
            <w:tcBorders>
              <w:top w:val="nil"/>
              <w:left w:val="nil"/>
              <w:bottom w:val="nil"/>
              <w:right w:val="nil"/>
            </w:tcBorders>
            <w:shd w:val="clear" w:color="000000" w:fill="EDEDED"/>
            <w:noWrap/>
            <w:vAlign w:val="bottom"/>
            <w:hideMark/>
          </w:tcPr>
          <w:p w14:paraId="2A29CA2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83</w:t>
            </w:r>
          </w:p>
        </w:tc>
        <w:tc>
          <w:tcPr>
            <w:tcW w:w="539" w:type="dxa"/>
            <w:tcBorders>
              <w:top w:val="nil"/>
              <w:left w:val="nil"/>
              <w:bottom w:val="nil"/>
              <w:right w:val="nil"/>
            </w:tcBorders>
            <w:shd w:val="clear" w:color="auto" w:fill="auto"/>
            <w:noWrap/>
            <w:vAlign w:val="bottom"/>
            <w:hideMark/>
          </w:tcPr>
          <w:p w14:paraId="203C92C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4ED6E17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33.9</w:t>
            </w:r>
          </w:p>
        </w:tc>
        <w:tc>
          <w:tcPr>
            <w:tcW w:w="460" w:type="dxa"/>
            <w:tcBorders>
              <w:top w:val="nil"/>
              <w:left w:val="nil"/>
              <w:bottom w:val="nil"/>
              <w:right w:val="nil"/>
            </w:tcBorders>
            <w:shd w:val="clear" w:color="auto" w:fill="auto"/>
            <w:noWrap/>
            <w:vAlign w:val="bottom"/>
            <w:hideMark/>
          </w:tcPr>
          <w:p w14:paraId="2495370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20</w:t>
            </w:r>
          </w:p>
        </w:tc>
        <w:tc>
          <w:tcPr>
            <w:tcW w:w="272" w:type="dxa"/>
            <w:tcBorders>
              <w:top w:val="nil"/>
              <w:left w:val="nil"/>
              <w:bottom w:val="nil"/>
              <w:right w:val="nil"/>
            </w:tcBorders>
            <w:shd w:val="clear" w:color="auto" w:fill="auto"/>
            <w:noWrap/>
            <w:vAlign w:val="bottom"/>
            <w:hideMark/>
          </w:tcPr>
          <w:p w14:paraId="0B6DC1DF"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0CB33AD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44.1</w:t>
            </w:r>
          </w:p>
        </w:tc>
        <w:tc>
          <w:tcPr>
            <w:tcW w:w="506" w:type="dxa"/>
            <w:tcBorders>
              <w:top w:val="nil"/>
              <w:left w:val="nil"/>
              <w:bottom w:val="nil"/>
              <w:right w:val="nil"/>
            </w:tcBorders>
            <w:shd w:val="clear" w:color="auto" w:fill="auto"/>
            <w:noWrap/>
            <w:vAlign w:val="bottom"/>
            <w:hideMark/>
          </w:tcPr>
          <w:p w14:paraId="52E41D3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26</w:t>
            </w:r>
          </w:p>
        </w:tc>
        <w:tc>
          <w:tcPr>
            <w:tcW w:w="272" w:type="dxa"/>
            <w:tcBorders>
              <w:top w:val="nil"/>
              <w:left w:val="nil"/>
              <w:bottom w:val="nil"/>
              <w:right w:val="nil"/>
            </w:tcBorders>
            <w:shd w:val="clear" w:color="auto" w:fill="auto"/>
            <w:noWrap/>
            <w:vAlign w:val="bottom"/>
            <w:hideMark/>
          </w:tcPr>
          <w:p w14:paraId="1442D20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27F3B3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460F986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r>
      <w:tr w:rsidR="00094010" w:rsidRPr="0084546B" w14:paraId="59AE36C1" w14:textId="77777777" w:rsidTr="003D79FF">
        <w:trPr>
          <w:trHeight w:val="315"/>
        </w:trPr>
        <w:tc>
          <w:tcPr>
            <w:tcW w:w="3969" w:type="dxa"/>
            <w:tcBorders>
              <w:top w:val="nil"/>
              <w:left w:val="nil"/>
              <w:bottom w:val="nil"/>
              <w:right w:val="nil"/>
            </w:tcBorders>
            <w:shd w:val="clear" w:color="auto" w:fill="auto"/>
            <w:noWrap/>
            <w:vAlign w:val="bottom"/>
            <w:hideMark/>
          </w:tcPr>
          <w:p w14:paraId="39DFA610"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Quintile 5 - Least deprived</w:t>
            </w:r>
          </w:p>
        </w:tc>
        <w:tc>
          <w:tcPr>
            <w:tcW w:w="851" w:type="dxa"/>
            <w:tcBorders>
              <w:top w:val="nil"/>
              <w:left w:val="nil"/>
              <w:bottom w:val="nil"/>
              <w:right w:val="nil"/>
            </w:tcBorders>
            <w:shd w:val="clear" w:color="auto" w:fill="auto"/>
            <w:noWrap/>
            <w:vAlign w:val="bottom"/>
            <w:hideMark/>
          </w:tcPr>
          <w:p w14:paraId="53F28D5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8.2</w:t>
            </w:r>
          </w:p>
        </w:tc>
        <w:tc>
          <w:tcPr>
            <w:tcW w:w="917" w:type="dxa"/>
            <w:gridSpan w:val="2"/>
            <w:tcBorders>
              <w:top w:val="nil"/>
              <w:left w:val="nil"/>
              <w:bottom w:val="nil"/>
              <w:right w:val="nil"/>
            </w:tcBorders>
            <w:shd w:val="clear" w:color="auto" w:fill="auto"/>
            <w:noWrap/>
            <w:vAlign w:val="bottom"/>
            <w:hideMark/>
          </w:tcPr>
          <w:p w14:paraId="1B2591D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39</w:t>
            </w:r>
          </w:p>
        </w:tc>
        <w:tc>
          <w:tcPr>
            <w:tcW w:w="272" w:type="dxa"/>
            <w:tcBorders>
              <w:top w:val="nil"/>
              <w:left w:val="nil"/>
              <w:bottom w:val="nil"/>
              <w:right w:val="nil"/>
            </w:tcBorders>
            <w:shd w:val="clear" w:color="auto" w:fill="auto"/>
            <w:noWrap/>
            <w:vAlign w:val="bottom"/>
            <w:hideMark/>
          </w:tcPr>
          <w:p w14:paraId="0B596870"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0008370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7.9</w:t>
            </w:r>
          </w:p>
        </w:tc>
        <w:tc>
          <w:tcPr>
            <w:tcW w:w="1090" w:type="dxa"/>
            <w:tcBorders>
              <w:top w:val="nil"/>
              <w:left w:val="nil"/>
              <w:bottom w:val="nil"/>
              <w:right w:val="nil"/>
            </w:tcBorders>
            <w:shd w:val="clear" w:color="000000" w:fill="EDEDED"/>
            <w:noWrap/>
            <w:vAlign w:val="bottom"/>
            <w:hideMark/>
          </w:tcPr>
          <w:p w14:paraId="5634C79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27</w:t>
            </w:r>
          </w:p>
        </w:tc>
        <w:tc>
          <w:tcPr>
            <w:tcW w:w="539" w:type="dxa"/>
            <w:tcBorders>
              <w:top w:val="nil"/>
              <w:left w:val="nil"/>
              <w:bottom w:val="nil"/>
              <w:right w:val="nil"/>
            </w:tcBorders>
            <w:shd w:val="clear" w:color="auto" w:fill="auto"/>
            <w:noWrap/>
            <w:vAlign w:val="bottom"/>
            <w:hideMark/>
          </w:tcPr>
          <w:p w14:paraId="41D8B0F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310A9A9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8.5</w:t>
            </w:r>
          </w:p>
        </w:tc>
        <w:tc>
          <w:tcPr>
            <w:tcW w:w="460" w:type="dxa"/>
            <w:tcBorders>
              <w:top w:val="nil"/>
              <w:left w:val="nil"/>
              <w:bottom w:val="nil"/>
              <w:right w:val="nil"/>
            </w:tcBorders>
            <w:shd w:val="clear" w:color="auto" w:fill="auto"/>
            <w:noWrap/>
            <w:vAlign w:val="bottom"/>
            <w:hideMark/>
          </w:tcPr>
          <w:p w14:paraId="7ED8C9D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5DC5735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7AE77A4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8.5</w:t>
            </w:r>
          </w:p>
        </w:tc>
        <w:tc>
          <w:tcPr>
            <w:tcW w:w="506" w:type="dxa"/>
            <w:tcBorders>
              <w:top w:val="nil"/>
              <w:left w:val="nil"/>
              <w:bottom w:val="nil"/>
              <w:right w:val="nil"/>
            </w:tcBorders>
            <w:shd w:val="clear" w:color="auto" w:fill="auto"/>
            <w:noWrap/>
            <w:vAlign w:val="bottom"/>
            <w:hideMark/>
          </w:tcPr>
          <w:p w14:paraId="1D4B825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74D3F71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02BAB24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22.2</w:t>
            </w:r>
          </w:p>
        </w:tc>
        <w:tc>
          <w:tcPr>
            <w:tcW w:w="621" w:type="dxa"/>
            <w:tcBorders>
              <w:top w:val="nil"/>
              <w:left w:val="nil"/>
              <w:bottom w:val="nil"/>
              <w:right w:val="nil"/>
            </w:tcBorders>
            <w:shd w:val="clear" w:color="auto" w:fill="auto"/>
            <w:noWrap/>
            <w:vAlign w:val="bottom"/>
            <w:hideMark/>
          </w:tcPr>
          <w:p w14:paraId="4F570D8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r>
      <w:tr w:rsidR="00094010" w:rsidRPr="0084546B" w14:paraId="674F7C6D" w14:textId="77777777" w:rsidTr="003D79FF">
        <w:trPr>
          <w:trHeight w:val="315"/>
        </w:trPr>
        <w:tc>
          <w:tcPr>
            <w:tcW w:w="3969" w:type="dxa"/>
            <w:tcBorders>
              <w:top w:val="nil"/>
              <w:left w:val="nil"/>
              <w:bottom w:val="nil"/>
              <w:right w:val="nil"/>
            </w:tcBorders>
            <w:shd w:val="clear" w:color="auto" w:fill="auto"/>
            <w:noWrap/>
            <w:vAlign w:val="bottom"/>
            <w:hideMark/>
          </w:tcPr>
          <w:p w14:paraId="0B7764A1" w14:textId="77777777" w:rsidR="00BA2B62" w:rsidRPr="00467B9C" w:rsidRDefault="00BA2B62" w:rsidP="00E16B4D">
            <w:pPr>
              <w:spacing w:after="0"/>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 xml:space="preserve">    Missing</w:t>
            </w:r>
          </w:p>
        </w:tc>
        <w:tc>
          <w:tcPr>
            <w:tcW w:w="851" w:type="dxa"/>
            <w:tcBorders>
              <w:top w:val="nil"/>
              <w:left w:val="nil"/>
              <w:bottom w:val="nil"/>
              <w:right w:val="nil"/>
            </w:tcBorders>
            <w:shd w:val="clear" w:color="auto" w:fill="auto"/>
            <w:noWrap/>
            <w:vAlign w:val="bottom"/>
            <w:hideMark/>
          </w:tcPr>
          <w:p w14:paraId="7E5C3825"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12.4</w:t>
            </w:r>
          </w:p>
        </w:tc>
        <w:tc>
          <w:tcPr>
            <w:tcW w:w="917" w:type="dxa"/>
            <w:gridSpan w:val="2"/>
            <w:tcBorders>
              <w:top w:val="nil"/>
              <w:left w:val="nil"/>
              <w:bottom w:val="nil"/>
              <w:right w:val="nil"/>
            </w:tcBorders>
            <w:shd w:val="clear" w:color="auto" w:fill="auto"/>
            <w:noWrap/>
            <w:vAlign w:val="bottom"/>
            <w:hideMark/>
          </w:tcPr>
          <w:p w14:paraId="32E2E478"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59</w:t>
            </w:r>
          </w:p>
        </w:tc>
        <w:tc>
          <w:tcPr>
            <w:tcW w:w="272" w:type="dxa"/>
            <w:tcBorders>
              <w:top w:val="nil"/>
              <w:left w:val="nil"/>
              <w:bottom w:val="nil"/>
              <w:right w:val="nil"/>
            </w:tcBorders>
            <w:shd w:val="clear" w:color="auto" w:fill="auto"/>
            <w:noWrap/>
            <w:vAlign w:val="bottom"/>
            <w:hideMark/>
          </w:tcPr>
          <w:p w14:paraId="4563A157"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1A3166F7"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13.5</w:t>
            </w:r>
          </w:p>
        </w:tc>
        <w:tc>
          <w:tcPr>
            <w:tcW w:w="1090" w:type="dxa"/>
            <w:tcBorders>
              <w:top w:val="nil"/>
              <w:left w:val="nil"/>
              <w:bottom w:val="nil"/>
              <w:right w:val="nil"/>
            </w:tcBorders>
            <w:shd w:val="clear" w:color="000000" w:fill="EDEDED"/>
            <w:noWrap/>
            <w:vAlign w:val="bottom"/>
            <w:hideMark/>
          </w:tcPr>
          <w:p w14:paraId="7447DBD5"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46</w:t>
            </w:r>
          </w:p>
        </w:tc>
        <w:tc>
          <w:tcPr>
            <w:tcW w:w="539" w:type="dxa"/>
            <w:tcBorders>
              <w:top w:val="nil"/>
              <w:left w:val="nil"/>
              <w:bottom w:val="nil"/>
              <w:right w:val="nil"/>
            </w:tcBorders>
            <w:shd w:val="clear" w:color="auto" w:fill="auto"/>
            <w:noWrap/>
            <w:vAlign w:val="bottom"/>
            <w:hideMark/>
          </w:tcPr>
          <w:p w14:paraId="03C96CE0"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1626F77"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3.4</w:t>
            </w:r>
          </w:p>
        </w:tc>
        <w:tc>
          <w:tcPr>
            <w:tcW w:w="460" w:type="dxa"/>
            <w:tcBorders>
              <w:top w:val="nil"/>
              <w:left w:val="nil"/>
              <w:bottom w:val="nil"/>
              <w:right w:val="nil"/>
            </w:tcBorders>
            <w:shd w:val="clear" w:color="auto" w:fill="auto"/>
            <w:noWrap/>
            <w:vAlign w:val="bottom"/>
            <w:hideMark/>
          </w:tcPr>
          <w:p w14:paraId="185B1AE0"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7A22B367"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04960D2"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10.6</w:t>
            </w:r>
          </w:p>
        </w:tc>
        <w:tc>
          <w:tcPr>
            <w:tcW w:w="506" w:type="dxa"/>
            <w:tcBorders>
              <w:top w:val="nil"/>
              <w:left w:val="nil"/>
              <w:bottom w:val="nil"/>
              <w:right w:val="nil"/>
            </w:tcBorders>
            <w:shd w:val="clear" w:color="auto" w:fill="auto"/>
            <w:noWrap/>
            <w:vAlign w:val="bottom"/>
            <w:hideMark/>
          </w:tcPr>
          <w:p w14:paraId="3A140911"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7</w:t>
            </w:r>
          </w:p>
        </w:tc>
        <w:tc>
          <w:tcPr>
            <w:tcW w:w="272" w:type="dxa"/>
            <w:tcBorders>
              <w:top w:val="nil"/>
              <w:left w:val="nil"/>
              <w:bottom w:val="nil"/>
              <w:right w:val="nil"/>
            </w:tcBorders>
            <w:shd w:val="clear" w:color="auto" w:fill="auto"/>
            <w:noWrap/>
            <w:vAlign w:val="bottom"/>
            <w:hideMark/>
          </w:tcPr>
          <w:p w14:paraId="2DACB488"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559699B3"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44.4</w:t>
            </w:r>
          </w:p>
        </w:tc>
        <w:tc>
          <w:tcPr>
            <w:tcW w:w="621" w:type="dxa"/>
            <w:tcBorders>
              <w:top w:val="nil"/>
              <w:left w:val="nil"/>
              <w:bottom w:val="nil"/>
              <w:right w:val="nil"/>
            </w:tcBorders>
            <w:shd w:val="clear" w:color="auto" w:fill="auto"/>
            <w:noWrap/>
            <w:vAlign w:val="bottom"/>
            <w:hideMark/>
          </w:tcPr>
          <w:p w14:paraId="0D934F22" w14:textId="77777777" w:rsidR="00BA2B62" w:rsidRPr="00467B9C" w:rsidRDefault="00BA2B62" w:rsidP="00E16B4D">
            <w:pPr>
              <w:spacing w:after="0"/>
              <w:jc w:val="right"/>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4</w:t>
            </w:r>
          </w:p>
        </w:tc>
      </w:tr>
      <w:tr w:rsidR="00094010" w:rsidRPr="0084546B" w14:paraId="532944CE" w14:textId="77777777" w:rsidTr="003D79FF">
        <w:trPr>
          <w:trHeight w:val="315"/>
        </w:trPr>
        <w:tc>
          <w:tcPr>
            <w:tcW w:w="3969" w:type="dxa"/>
            <w:tcBorders>
              <w:top w:val="nil"/>
              <w:left w:val="nil"/>
              <w:bottom w:val="nil"/>
              <w:right w:val="nil"/>
            </w:tcBorders>
            <w:shd w:val="clear" w:color="auto" w:fill="auto"/>
            <w:noWrap/>
            <w:vAlign w:val="bottom"/>
            <w:hideMark/>
          </w:tcPr>
          <w:p w14:paraId="6F6560D3" w14:textId="77777777" w:rsidR="00BA2B62" w:rsidRPr="00467B9C" w:rsidRDefault="00BA2B62" w:rsidP="00E16B4D">
            <w:pPr>
              <w:spacing w:after="0"/>
              <w:jc w:val="right"/>
              <w:rPr>
                <w:rFonts w:ascii="Arial" w:eastAsia="Times New Roman" w:hAnsi="Arial" w:cs="Arial"/>
                <w:i/>
                <w:iCs/>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1F4068D4" w14:textId="77777777" w:rsidR="00BA2B62" w:rsidRPr="00467B9C" w:rsidRDefault="00BA2B62" w:rsidP="00E16B4D">
            <w:pPr>
              <w:spacing w:after="0"/>
              <w:rPr>
                <w:rFonts w:ascii="Arial" w:eastAsia="Times New Roman" w:hAnsi="Arial" w:cs="Arial"/>
                <w:sz w:val="20"/>
                <w:szCs w:val="20"/>
                <w:lang w:eastAsia="en-GB"/>
              </w:rPr>
            </w:pPr>
          </w:p>
        </w:tc>
        <w:tc>
          <w:tcPr>
            <w:tcW w:w="917" w:type="dxa"/>
            <w:gridSpan w:val="2"/>
            <w:tcBorders>
              <w:top w:val="nil"/>
              <w:left w:val="nil"/>
              <w:bottom w:val="nil"/>
              <w:right w:val="nil"/>
            </w:tcBorders>
            <w:shd w:val="clear" w:color="auto" w:fill="auto"/>
            <w:noWrap/>
            <w:vAlign w:val="bottom"/>
            <w:hideMark/>
          </w:tcPr>
          <w:p w14:paraId="05024F55"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44AA19D7"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4CAE1C28"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4E7AF635"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5E443AA0"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7A89F120"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18F45323"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70261897"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008A3F83"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52B3325F"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3FA03FAE"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01B7BB00"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008D98BD"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33B4EC05" w14:textId="77777777" w:rsidTr="003D79FF">
        <w:trPr>
          <w:trHeight w:val="315"/>
        </w:trPr>
        <w:tc>
          <w:tcPr>
            <w:tcW w:w="3969" w:type="dxa"/>
            <w:tcBorders>
              <w:top w:val="nil"/>
              <w:left w:val="nil"/>
              <w:bottom w:val="nil"/>
              <w:right w:val="nil"/>
            </w:tcBorders>
            <w:shd w:val="clear" w:color="auto" w:fill="auto"/>
            <w:noWrap/>
            <w:vAlign w:val="bottom"/>
            <w:hideMark/>
          </w:tcPr>
          <w:p w14:paraId="714181DF" w14:textId="77777777" w:rsidR="00BA2B62" w:rsidRPr="00467B9C" w:rsidRDefault="00094010" w:rsidP="00E16B4D">
            <w:pPr>
              <w:spacing w:after="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REFERRAL REASON</w:t>
            </w:r>
          </w:p>
        </w:tc>
        <w:tc>
          <w:tcPr>
            <w:tcW w:w="851" w:type="dxa"/>
            <w:tcBorders>
              <w:top w:val="nil"/>
              <w:left w:val="nil"/>
              <w:bottom w:val="nil"/>
              <w:right w:val="nil"/>
            </w:tcBorders>
            <w:shd w:val="clear" w:color="auto" w:fill="auto"/>
            <w:noWrap/>
            <w:vAlign w:val="bottom"/>
            <w:hideMark/>
          </w:tcPr>
          <w:p w14:paraId="79203C72"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917" w:type="dxa"/>
            <w:gridSpan w:val="2"/>
            <w:tcBorders>
              <w:top w:val="nil"/>
              <w:left w:val="nil"/>
              <w:bottom w:val="nil"/>
              <w:right w:val="nil"/>
            </w:tcBorders>
            <w:shd w:val="clear" w:color="auto" w:fill="auto"/>
            <w:noWrap/>
            <w:vAlign w:val="bottom"/>
            <w:hideMark/>
          </w:tcPr>
          <w:p w14:paraId="64BBEC1B"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185DAA0B"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5C51207E"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2F5859F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6B802A8D"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2EED4A8D"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6051C947"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3CA3A2A0"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6CA2BB4D"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39F85762"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073D1F59"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4EE85D84"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43587608"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346ED1FC" w14:textId="77777777" w:rsidTr="003D79FF">
        <w:trPr>
          <w:trHeight w:val="315"/>
        </w:trPr>
        <w:tc>
          <w:tcPr>
            <w:tcW w:w="3969" w:type="dxa"/>
            <w:tcBorders>
              <w:top w:val="nil"/>
              <w:left w:val="nil"/>
              <w:bottom w:val="nil"/>
              <w:right w:val="nil"/>
            </w:tcBorders>
            <w:shd w:val="clear" w:color="auto" w:fill="auto"/>
            <w:noWrap/>
            <w:vAlign w:val="bottom"/>
            <w:hideMark/>
          </w:tcPr>
          <w:p w14:paraId="3ECF50DC"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Common mental health disorder</w:t>
            </w:r>
          </w:p>
        </w:tc>
        <w:tc>
          <w:tcPr>
            <w:tcW w:w="851" w:type="dxa"/>
            <w:tcBorders>
              <w:top w:val="nil"/>
              <w:left w:val="nil"/>
              <w:bottom w:val="nil"/>
              <w:right w:val="nil"/>
            </w:tcBorders>
            <w:shd w:val="clear" w:color="auto" w:fill="auto"/>
            <w:noWrap/>
            <w:vAlign w:val="bottom"/>
            <w:hideMark/>
          </w:tcPr>
          <w:p w14:paraId="325DE7F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24.8</w:t>
            </w:r>
          </w:p>
        </w:tc>
        <w:tc>
          <w:tcPr>
            <w:tcW w:w="917" w:type="dxa"/>
            <w:gridSpan w:val="2"/>
            <w:tcBorders>
              <w:top w:val="nil"/>
              <w:left w:val="nil"/>
              <w:bottom w:val="nil"/>
              <w:right w:val="nil"/>
            </w:tcBorders>
            <w:shd w:val="clear" w:color="auto" w:fill="auto"/>
            <w:noWrap/>
            <w:vAlign w:val="bottom"/>
            <w:hideMark/>
          </w:tcPr>
          <w:p w14:paraId="57995CC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118</w:t>
            </w:r>
          </w:p>
        </w:tc>
        <w:tc>
          <w:tcPr>
            <w:tcW w:w="272" w:type="dxa"/>
            <w:tcBorders>
              <w:top w:val="nil"/>
              <w:left w:val="nil"/>
              <w:bottom w:val="nil"/>
              <w:right w:val="nil"/>
            </w:tcBorders>
            <w:shd w:val="clear" w:color="auto" w:fill="auto"/>
            <w:noWrap/>
            <w:vAlign w:val="bottom"/>
            <w:hideMark/>
          </w:tcPr>
          <w:p w14:paraId="31891AE8"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73D9FD3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25.7</w:t>
            </w:r>
          </w:p>
        </w:tc>
        <w:tc>
          <w:tcPr>
            <w:tcW w:w="1090" w:type="dxa"/>
            <w:tcBorders>
              <w:top w:val="nil"/>
              <w:left w:val="nil"/>
              <w:bottom w:val="nil"/>
              <w:right w:val="nil"/>
            </w:tcBorders>
            <w:shd w:val="clear" w:color="000000" w:fill="EDEDED"/>
            <w:noWrap/>
            <w:vAlign w:val="bottom"/>
            <w:hideMark/>
          </w:tcPr>
          <w:p w14:paraId="0CD4E78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88</w:t>
            </w:r>
          </w:p>
        </w:tc>
        <w:tc>
          <w:tcPr>
            <w:tcW w:w="539" w:type="dxa"/>
            <w:tcBorders>
              <w:top w:val="nil"/>
              <w:left w:val="nil"/>
              <w:bottom w:val="nil"/>
              <w:right w:val="nil"/>
            </w:tcBorders>
            <w:shd w:val="clear" w:color="auto" w:fill="auto"/>
            <w:noWrap/>
            <w:vAlign w:val="bottom"/>
            <w:hideMark/>
          </w:tcPr>
          <w:p w14:paraId="5EC2DBE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747B90D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10.2</w:t>
            </w:r>
          </w:p>
        </w:tc>
        <w:tc>
          <w:tcPr>
            <w:tcW w:w="460" w:type="dxa"/>
            <w:tcBorders>
              <w:top w:val="nil"/>
              <w:left w:val="nil"/>
              <w:bottom w:val="nil"/>
              <w:right w:val="nil"/>
            </w:tcBorders>
            <w:shd w:val="clear" w:color="auto" w:fill="auto"/>
            <w:noWrap/>
            <w:vAlign w:val="bottom"/>
            <w:hideMark/>
          </w:tcPr>
          <w:p w14:paraId="4370C3C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w:t>
            </w:r>
          </w:p>
        </w:tc>
        <w:tc>
          <w:tcPr>
            <w:tcW w:w="272" w:type="dxa"/>
            <w:tcBorders>
              <w:top w:val="nil"/>
              <w:left w:val="nil"/>
              <w:bottom w:val="nil"/>
              <w:right w:val="nil"/>
            </w:tcBorders>
            <w:shd w:val="clear" w:color="auto" w:fill="auto"/>
            <w:noWrap/>
            <w:vAlign w:val="bottom"/>
            <w:hideMark/>
          </w:tcPr>
          <w:p w14:paraId="581469C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22A32F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34.8</w:t>
            </w:r>
          </w:p>
        </w:tc>
        <w:tc>
          <w:tcPr>
            <w:tcW w:w="506" w:type="dxa"/>
            <w:tcBorders>
              <w:top w:val="nil"/>
              <w:left w:val="nil"/>
              <w:bottom w:val="nil"/>
              <w:right w:val="nil"/>
            </w:tcBorders>
            <w:shd w:val="clear" w:color="auto" w:fill="auto"/>
            <w:noWrap/>
            <w:vAlign w:val="bottom"/>
            <w:hideMark/>
          </w:tcPr>
          <w:p w14:paraId="47F1C80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w:t>
            </w:r>
          </w:p>
        </w:tc>
        <w:tc>
          <w:tcPr>
            <w:tcW w:w="272" w:type="dxa"/>
            <w:tcBorders>
              <w:top w:val="nil"/>
              <w:left w:val="nil"/>
              <w:bottom w:val="nil"/>
              <w:right w:val="nil"/>
            </w:tcBorders>
            <w:shd w:val="clear" w:color="auto" w:fill="auto"/>
            <w:noWrap/>
            <w:vAlign w:val="bottom"/>
            <w:hideMark/>
          </w:tcPr>
          <w:p w14:paraId="2193AB6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3922853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7C5DC58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r>
      <w:tr w:rsidR="00094010" w:rsidRPr="0084546B" w14:paraId="6F315B07" w14:textId="77777777" w:rsidTr="003D79FF">
        <w:trPr>
          <w:trHeight w:val="315"/>
        </w:trPr>
        <w:tc>
          <w:tcPr>
            <w:tcW w:w="3969" w:type="dxa"/>
            <w:tcBorders>
              <w:top w:val="nil"/>
              <w:left w:val="nil"/>
              <w:bottom w:val="nil"/>
              <w:right w:val="nil"/>
            </w:tcBorders>
            <w:shd w:val="clear" w:color="auto" w:fill="auto"/>
            <w:noWrap/>
            <w:vAlign w:val="bottom"/>
            <w:hideMark/>
          </w:tcPr>
          <w:p w14:paraId="1A7A8E96"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Emotional and behavioural problem</w:t>
            </w:r>
          </w:p>
        </w:tc>
        <w:tc>
          <w:tcPr>
            <w:tcW w:w="851" w:type="dxa"/>
            <w:tcBorders>
              <w:top w:val="nil"/>
              <w:left w:val="nil"/>
              <w:bottom w:val="nil"/>
              <w:right w:val="nil"/>
            </w:tcBorders>
            <w:shd w:val="clear" w:color="auto" w:fill="auto"/>
            <w:noWrap/>
            <w:vAlign w:val="bottom"/>
            <w:hideMark/>
          </w:tcPr>
          <w:p w14:paraId="6ABCC26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30.5</w:t>
            </w:r>
          </w:p>
        </w:tc>
        <w:tc>
          <w:tcPr>
            <w:tcW w:w="917" w:type="dxa"/>
            <w:gridSpan w:val="2"/>
            <w:tcBorders>
              <w:top w:val="nil"/>
              <w:left w:val="nil"/>
              <w:bottom w:val="nil"/>
              <w:right w:val="nil"/>
            </w:tcBorders>
            <w:shd w:val="clear" w:color="auto" w:fill="auto"/>
            <w:noWrap/>
            <w:vAlign w:val="bottom"/>
            <w:hideMark/>
          </w:tcPr>
          <w:p w14:paraId="667A757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145</w:t>
            </w:r>
          </w:p>
        </w:tc>
        <w:tc>
          <w:tcPr>
            <w:tcW w:w="272" w:type="dxa"/>
            <w:tcBorders>
              <w:top w:val="nil"/>
              <w:left w:val="nil"/>
              <w:bottom w:val="nil"/>
              <w:right w:val="nil"/>
            </w:tcBorders>
            <w:shd w:val="clear" w:color="auto" w:fill="auto"/>
            <w:noWrap/>
            <w:vAlign w:val="bottom"/>
            <w:hideMark/>
          </w:tcPr>
          <w:p w14:paraId="02F9D2E5"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451C3B3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29.2</w:t>
            </w:r>
          </w:p>
        </w:tc>
        <w:tc>
          <w:tcPr>
            <w:tcW w:w="1090" w:type="dxa"/>
            <w:tcBorders>
              <w:top w:val="nil"/>
              <w:left w:val="nil"/>
              <w:bottom w:val="nil"/>
              <w:right w:val="nil"/>
            </w:tcBorders>
            <w:shd w:val="clear" w:color="000000" w:fill="EDEDED"/>
            <w:noWrap/>
            <w:vAlign w:val="bottom"/>
            <w:hideMark/>
          </w:tcPr>
          <w:p w14:paraId="6717696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100</w:t>
            </w:r>
          </w:p>
        </w:tc>
        <w:tc>
          <w:tcPr>
            <w:tcW w:w="539" w:type="dxa"/>
            <w:tcBorders>
              <w:top w:val="nil"/>
              <w:left w:val="nil"/>
              <w:bottom w:val="nil"/>
              <w:right w:val="nil"/>
            </w:tcBorders>
            <w:shd w:val="clear" w:color="auto" w:fill="auto"/>
            <w:noWrap/>
            <w:vAlign w:val="bottom"/>
            <w:hideMark/>
          </w:tcPr>
          <w:p w14:paraId="08341B9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212608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49.2</w:t>
            </w:r>
          </w:p>
        </w:tc>
        <w:tc>
          <w:tcPr>
            <w:tcW w:w="460" w:type="dxa"/>
            <w:tcBorders>
              <w:top w:val="nil"/>
              <w:left w:val="nil"/>
              <w:bottom w:val="nil"/>
              <w:right w:val="nil"/>
            </w:tcBorders>
            <w:shd w:val="clear" w:color="auto" w:fill="auto"/>
            <w:noWrap/>
            <w:vAlign w:val="bottom"/>
            <w:hideMark/>
          </w:tcPr>
          <w:p w14:paraId="260D95C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29</w:t>
            </w:r>
          </w:p>
        </w:tc>
        <w:tc>
          <w:tcPr>
            <w:tcW w:w="272" w:type="dxa"/>
            <w:tcBorders>
              <w:top w:val="nil"/>
              <w:left w:val="nil"/>
              <w:bottom w:val="nil"/>
              <w:right w:val="nil"/>
            </w:tcBorders>
            <w:shd w:val="clear" w:color="auto" w:fill="auto"/>
            <w:noWrap/>
            <w:vAlign w:val="bottom"/>
            <w:hideMark/>
          </w:tcPr>
          <w:p w14:paraId="723897E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0027C51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21.2</w:t>
            </w:r>
          </w:p>
        </w:tc>
        <w:tc>
          <w:tcPr>
            <w:tcW w:w="506" w:type="dxa"/>
            <w:tcBorders>
              <w:top w:val="nil"/>
              <w:left w:val="nil"/>
              <w:bottom w:val="nil"/>
              <w:right w:val="nil"/>
            </w:tcBorders>
            <w:shd w:val="clear" w:color="auto" w:fill="auto"/>
            <w:noWrap/>
            <w:vAlign w:val="bottom"/>
            <w:hideMark/>
          </w:tcPr>
          <w:p w14:paraId="10C002B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14</w:t>
            </w:r>
          </w:p>
        </w:tc>
        <w:tc>
          <w:tcPr>
            <w:tcW w:w="272" w:type="dxa"/>
            <w:tcBorders>
              <w:top w:val="nil"/>
              <w:left w:val="nil"/>
              <w:bottom w:val="nil"/>
              <w:right w:val="nil"/>
            </w:tcBorders>
            <w:shd w:val="clear" w:color="auto" w:fill="auto"/>
            <w:noWrap/>
            <w:vAlign w:val="bottom"/>
            <w:hideMark/>
          </w:tcPr>
          <w:p w14:paraId="313491F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48D0085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22.2</w:t>
            </w:r>
          </w:p>
        </w:tc>
        <w:tc>
          <w:tcPr>
            <w:tcW w:w="621" w:type="dxa"/>
            <w:tcBorders>
              <w:top w:val="nil"/>
              <w:left w:val="nil"/>
              <w:bottom w:val="nil"/>
              <w:right w:val="nil"/>
            </w:tcBorders>
            <w:shd w:val="clear" w:color="auto" w:fill="auto"/>
            <w:noWrap/>
            <w:vAlign w:val="bottom"/>
            <w:hideMark/>
          </w:tcPr>
          <w:p w14:paraId="6FDC3D8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r>
      <w:tr w:rsidR="00094010" w:rsidRPr="0084546B" w14:paraId="13A0CB9F" w14:textId="77777777" w:rsidTr="003D79FF">
        <w:trPr>
          <w:trHeight w:val="315"/>
        </w:trPr>
        <w:tc>
          <w:tcPr>
            <w:tcW w:w="3969" w:type="dxa"/>
            <w:tcBorders>
              <w:top w:val="nil"/>
              <w:left w:val="nil"/>
              <w:bottom w:val="nil"/>
              <w:right w:val="nil"/>
            </w:tcBorders>
            <w:shd w:val="clear" w:color="auto" w:fill="auto"/>
            <w:noWrap/>
            <w:vAlign w:val="bottom"/>
            <w:hideMark/>
          </w:tcPr>
          <w:p w14:paraId="537E067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Conduct problem</w:t>
            </w:r>
          </w:p>
        </w:tc>
        <w:tc>
          <w:tcPr>
            <w:tcW w:w="851" w:type="dxa"/>
            <w:tcBorders>
              <w:top w:val="nil"/>
              <w:left w:val="nil"/>
              <w:bottom w:val="nil"/>
              <w:right w:val="nil"/>
            </w:tcBorders>
            <w:shd w:val="clear" w:color="auto" w:fill="auto"/>
            <w:noWrap/>
            <w:vAlign w:val="bottom"/>
            <w:hideMark/>
          </w:tcPr>
          <w:p w14:paraId="24CAE4D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917" w:type="dxa"/>
            <w:gridSpan w:val="2"/>
            <w:tcBorders>
              <w:top w:val="nil"/>
              <w:left w:val="nil"/>
              <w:bottom w:val="nil"/>
              <w:right w:val="nil"/>
            </w:tcBorders>
            <w:shd w:val="clear" w:color="auto" w:fill="auto"/>
            <w:noWrap/>
            <w:vAlign w:val="bottom"/>
            <w:hideMark/>
          </w:tcPr>
          <w:p w14:paraId="16BABFC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155B6EA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6FB0320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1090" w:type="dxa"/>
            <w:tcBorders>
              <w:top w:val="nil"/>
              <w:left w:val="nil"/>
              <w:bottom w:val="nil"/>
              <w:right w:val="nil"/>
            </w:tcBorders>
            <w:shd w:val="clear" w:color="000000" w:fill="EDEDED"/>
            <w:noWrap/>
            <w:vAlign w:val="bottom"/>
            <w:hideMark/>
          </w:tcPr>
          <w:p w14:paraId="557C86C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539" w:type="dxa"/>
            <w:tcBorders>
              <w:top w:val="nil"/>
              <w:left w:val="nil"/>
              <w:bottom w:val="nil"/>
              <w:right w:val="nil"/>
            </w:tcBorders>
            <w:shd w:val="clear" w:color="auto" w:fill="auto"/>
            <w:noWrap/>
            <w:vAlign w:val="bottom"/>
            <w:hideMark/>
          </w:tcPr>
          <w:p w14:paraId="254B050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4A0C2EF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507187C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2E72A7E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7FA0DF4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59A278C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48FFC64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1765774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2A9E3D4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51780B87" w14:textId="77777777" w:rsidTr="003D79FF">
        <w:trPr>
          <w:trHeight w:val="315"/>
        </w:trPr>
        <w:tc>
          <w:tcPr>
            <w:tcW w:w="3969" w:type="dxa"/>
            <w:tcBorders>
              <w:top w:val="nil"/>
              <w:left w:val="nil"/>
              <w:bottom w:val="nil"/>
              <w:right w:val="nil"/>
            </w:tcBorders>
            <w:shd w:val="clear" w:color="auto" w:fill="auto"/>
            <w:noWrap/>
            <w:vAlign w:val="bottom"/>
            <w:hideMark/>
          </w:tcPr>
          <w:p w14:paraId="1AB0408C"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Hyperactivity/Inattention</w:t>
            </w:r>
          </w:p>
        </w:tc>
        <w:tc>
          <w:tcPr>
            <w:tcW w:w="851" w:type="dxa"/>
            <w:tcBorders>
              <w:top w:val="nil"/>
              <w:left w:val="nil"/>
              <w:bottom w:val="nil"/>
              <w:right w:val="nil"/>
            </w:tcBorders>
            <w:shd w:val="clear" w:color="auto" w:fill="auto"/>
            <w:noWrap/>
            <w:vAlign w:val="bottom"/>
            <w:hideMark/>
          </w:tcPr>
          <w:p w14:paraId="76A8EDA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16.4</w:t>
            </w:r>
          </w:p>
        </w:tc>
        <w:tc>
          <w:tcPr>
            <w:tcW w:w="917" w:type="dxa"/>
            <w:gridSpan w:val="2"/>
            <w:tcBorders>
              <w:top w:val="nil"/>
              <w:left w:val="nil"/>
              <w:bottom w:val="nil"/>
              <w:right w:val="nil"/>
            </w:tcBorders>
            <w:shd w:val="clear" w:color="auto" w:fill="auto"/>
            <w:noWrap/>
            <w:vAlign w:val="bottom"/>
            <w:hideMark/>
          </w:tcPr>
          <w:p w14:paraId="49B24C1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78</w:t>
            </w:r>
          </w:p>
        </w:tc>
        <w:tc>
          <w:tcPr>
            <w:tcW w:w="272" w:type="dxa"/>
            <w:tcBorders>
              <w:top w:val="nil"/>
              <w:left w:val="nil"/>
              <w:bottom w:val="nil"/>
              <w:right w:val="nil"/>
            </w:tcBorders>
            <w:shd w:val="clear" w:color="auto" w:fill="auto"/>
            <w:noWrap/>
            <w:vAlign w:val="bottom"/>
            <w:hideMark/>
          </w:tcPr>
          <w:p w14:paraId="581D7375"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7CE3215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17.8</w:t>
            </w:r>
          </w:p>
        </w:tc>
        <w:tc>
          <w:tcPr>
            <w:tcW w:w="1090" w:type="dxa"/>
            <w:tcBorders>
              <w:top w:val="nil"/>
              <w:left w:val="nil"/>
              <w:bottom w:val="nil"/>
              <w:right w:val="nil"/>
            </w:tcBorders>
            <w:shd w:val="clear" w:color="000000" w:fill="EDEDED"/>
            <w:noWrap/>
            <w:vAlign w:val="bottom"/>
            <w:hideMark/>
          </w:tcPr>
          <w:p w14:paraId="3082547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61</w:t>
            </w:r>
          </w:p>
        </w:tc>
        <w:tc>
          <w:tcPr>
            <w:tcW w:w="539" w:type="dxa"/>
            <w:tcBorders>
              <w:top w:val="nil"/>
              <w:left w:val="nil"/>
              <w:bottom w:val="nil"/>
              <w:right w:val="nil"/>
            </w:tcBorders>
            <w:shd w:val="clear" w:color="auto" w:fill="auto"/>
            <w:noWrap/>
            <w:vAlign w:val="bottom"/>
            <w:hideMark/>
          </w:tcPr>
          <w:p w14:paraId="12EFB8BF"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118F247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8.5</w:t>
            </w:r>
          </w:p>
        </w:tc>
        <w:tc>
          <w:tcPr>
            <w:tcW w:w="460" w:type="dxa"/>
            <w:tcBorders>
              <w:top w:val="nil"/>
              <w:left w:val="nil"/>
              <w:bottom w:val="nil"/>
              <w:right w:val="nil"/>
            </w:tcBorders>
            <w:shd w:val="clear" w:color="auto" w:fill="auto"/>
            <w:noWrap/>
            <w:vAlign w:val="bottom"/>
            <w:hideMark/>
          </w:tcPr>
          <w:p w14:paraId="3B77DCF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006434B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1F4618A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8.5</w:t>
            </w:r>
          </w:p>
        </w:tc>
        <w:tc>
          <w:tcPr>
            <w:tcW w:w="506" w:type="dxa"/>
            <w:tcBorders>
              <w:top w:val="nil"/>
              <w:left w:val="nil"/>
              <w:bottom w:val="nil"/>
              <w:right w:val="nil"/>
            </w:tcBorders>
            <w:shd w:val="clear" w:color="auto" w:fill="auto"/>
            <w:noWrap/>
            <w:vAlign w:val="bottom"/>
            <w:hideMark/>
          </w:tcPr>
          <w:p w14:paraId="5F2DB5C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77A2C6F0"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3AB6E1D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1503E51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0FE0FBFB" w14:textId="77777777" w:rsidTr="003D79FF">
        <w:trPr>
          <w:trHeight w:val="315"/>
        </w:trPr>
        <w:tc>
          <w:tcPr>
            <w:tcW w:w="3969" w:type="dxa"/>
            <w:tcBorders>
              <w:top w:val="nil"/>
              <w:left w:val="nil"/>
              <w:bottom w:val="nil"/>
              <w:right w:val="nil"/>
            </w:tcBorders>
            <w:shd w:val="clear" w:color="auto" w:fill="auto"/>
            <w:noWrap/>
            <w:vAlign w:val="bottom"/>
            <w:hideMark/>
          </w:tcPr>
          <w:p w14:paraId="055F1D07"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Self-harm and eating disorder</w:t>
            </w:r>
          </w:p>
        </w:tc>
        <w:tc>
          <w:tcPr>
            <w:tcW w:w="851" w:type="dxa"/>
            <w:tcBorders>
              <w:top w:val="nil"/>
              <w:left w:val="nil"/>
              <w:bottom w:val="nil"/>
              <w:right w:val="nil"/>
            </w:tcBorders>
            <w:shd w:val="clear" w:color="auto" w:fill="auto"/>
            <w:noWrap/>
            <w:vAlign w:val="bottom"/>
            <w:hideMark/>
          </w:tcPr>
          <w:p w14:paraId="2CE946F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15.3</w:t>
            </w:r>
          </w:p>
        </w:tc>
        <w:tc>
          <w:tcPr>
            <w:tcW w:w="917" w:type="dxa"/>
            <w:gridSpan w:val="2"/>
            <w:tcBorders>
              <w:top w:val="nil"/>
              <w:left w:val="nil"/>
              <w:bottom w:val="nil"/>
              <w:right w:val="nil"/>
            </w:tcBorders>
            <w:shd w:val="clear" w:color="auto" w:fill="auto"/>
            <w:noWrap/>
            <w:vAlign w:val="bottom"/>
            <w:hideMark/>
          </w:tcPr>
          <w:p w14:paraId="0C5579F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73</w:t>
            </w:r>
          </w:p>
        </w:tc>
        <w:tc>
          <w:tcPr>
            <w:tcW w:w="272" w:type="dxa"/>
            <w:tcBorders>
              <w:top w:val="nil"/>
              <w:left w:val="nil"/>
              <w:bottom w:val="nil"/>
              <w:right w:val="nil"/>
            </w:tcBorders>
            <w:shd w:val="clear" w:color="auto" w:fill="auto"/>
            <w:noWrap/>
            <w:vAlign w:val="bottom"/>
            <w:hideMark/>
          </w:tcPr>
          <w:p w14:paraId="463567C0"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09DA1B3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16.4</w:t>
            </w:r>
          </w:p>
        </w:tc>
        <w:tc>
          <w:tcPr>
            <w:tcW w:w="1090" w:type="dxa"/>
            <w:tcBorders>
              <w:top w:val="nil"/>
              <w:left w:val="nil"/>
              <w:bottom w:val="nil"/>
              <w:right w:val="nil"/>
            </w:tcBorders>
            <w:shd w:val="clear" w:color="000000" w:fill="EDEDED"/>
            <w:noWrap/>
            <w:vAlign w:val="bottom"/>
            <w:hideMark/>
          </w:tcPr>
          <w:p w14:paraId="0F5337D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56</w:t>
            </w:r>
          </w:p>
        </w:tc>
        <w:tc>
          <w:tcPr>
            <w:tcW w:w="539" w:type="dxa"/>
            <w:tcBorders>
              <w:top w:val="nil"/>
              <w:left w:val="nil"/>
              <w:bottom w:val="nil"/>
              <w:right w:val="nil"/>
            </w:tcBorders>
            <w:shd w:val="clear" w:color="auto" w:fill="auto"/>
            <w:noWrap/>
            <w:vAlign w:val="bottom"/>
            <w:hideMark/>
          </w:tcPr>
          <w:p w14:paraId="06912C2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0A57F59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8.5</w:t>
            </w:r>
          </w:p>
        </w:tc>
        <w:tc>
          <w:tcPr>
            <w:tcW w:w="460" w:type="dxa"/>
            <w:tcBorders>
              <w:top w:val="nil"/>
              <w:left w:val="nil"/>
              <w:bottom w:val="nil"/>
              <w:right w:val="nil"/>
            </w:tcBorders>
            <w:shd w:val="clear" w:color="auto" w:fill="auto"/>
            <w:noWrap/>
            <w:vAlign w:val="bottom"/>
            <w:hideMark/>
          </w:tcPr>
          <w:p w14:paraId="6B7478E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6E4EAC06"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5B2A634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8.5</w:t>
            </w:r>
          </w:p>
        </w:tc>
        <w:tc>
          <w:tcPr>
            <w:tcW w:w="506" w:type="dxa"/>
            <w:tcBorders>
              <w:top w:val="nil"/>
              <w:left w:val="nil"/>
              <w:bottom w:val="nil"/>
              <w:right w:val="nil"/>
            </w:tcBorders>
            <w:shd w:val="clear" w:color="auto" w:fill="auto"/>
            <w:noWrap/>
            <w:vAlign w:val="bottom"/>
            <w:hideMark/>
          </w:tcPr>
          <w:p w14:paraId="042F99C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312BFC6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7F7DE3D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1B9A775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1B873C2C" w14:textId="77777777" w:rsidTr="003D79FF">
        <w:trPr>
          <w:trHeight w:val="315"/>
        </w:trPr>
        <w:tc>
          <w:tcPr>
            <w:tcW w:w="3969" w:type="dxa"/>
            <w:tcBorders>
              <w:top w:val="nil"/>
              <w:left w:val="nil"/>
              <w:bottom w:val="nil"/>
              <w:right w:val="nil"/>
            </w:tcBorders>
            <w:shd w:val="clear" w:color="auto" w:fill="auto"/>
            <w:noWrap/>
            <w:vAlign w:val="bottom"/>
            <w:hideMark/>
          </w:tcPr>
          <w:p w14:paraId="452F8893"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Other</w:t>
            </w:r>
          </w:p>
        </w:tc>
        <w:tc>
          <w:tcPr>
            <w:tcW w:w="851" w:type="dxa"/>
            <w:tcBorders>
              <w:top w:val="nil"/>
              <w:left w:val="nil"/>
              <w:bottom w:val="nil"/>
              <w:right w:val="nil"/>
            </w:tcBorders>
            <w:shd w:val="clear" w:color="auto" w:fill="auto"/>
            <w:noWrap/>
            <w:vAlign w:val="bottom"/>
            <w:hideMark/>
          </w:tcPr>
          <w:p w14:paraId="4B9758A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13.0</w:t>
            </w:r>
          </w:p>
        </w:tc>
        <w:tc>
          <w:tcPr>
            <w:tcW w:w="917" w:type="dxa"/>
            <w:gridSpan w:val="2"/>
            <w:tcBorders>
              <w:top w:val="nil"/>
              <w:left w:val="nil"/>
              <w:bottom w:val="nil"/>
              <w:right w:val="nil"/>
            </w:tcBorders>
            <w:shd w:val="clear" w:color="auto" w:fill="auto"/>
            <w:noWrap/>
            <w:vAlign w:val="bottom"/>
            <w:hideMark/>
          </w:tcPr>
          <w:p w14:paraId="0831C68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62</w:t>
            </w:r>
          </w:p>
        </w:tc>
        <w:tc>
          <w:tcPr>
            <w:tcW w:w="272" w:type="dxa"/>
            <w:tcBorders>
              <w:top w:val="nil"/>
              <w:left w:val="nil"/>
              <w:bottom w:val="nil"/>
              <w:right w:val="nil"/>
            </w:tcBorders>
            <w:shd w:val="clear" w:color="auto" w:fill="auto"/>
            <w:noWrap/>
            <w:vAlign w:val="bottom"/>
            <w:hideMark/>
          </w:tcPr>
          <w:p w14:paraId="789B0A07"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6EDCA39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10.8</w:t>
            </w:r>
          </w:p>
        </w:tc>
        <w:tc>
          <w:tcPr>
            <w:tcW w:w="1090" w:type="dxa"/>
            <w:tcBorders>
              <w:top w:val="nil"/>
              <w:left w:val="nil"/>
              <w:bottom w:val="nil"/>
              <w:right w:val="nil"/>
            </w:tcBorders>
            <w:shd w:val="clear" w:color="000000" w:fill="EDEDED"/>
            <w:noWrap/>
            <w:vAlign w:val="bottom"/>
            <w:hideMark/>
          </w:tcPr>
          <w:p w14:paraId="217C5A7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37</w:t>
            </w:r>
          </w:p>
        </w:tc>
        <w:tc>
          <w:tcPr>
            <w:tcW w:w="539" w:type="dxa"/>
            <w:tcBorders>
              <w:top w:val="nil"/>
              <w:left w:val="nil"/>
              <w:bottom w:val="nil"/>
              <w:right w:val="nil"/>
            </w:tcBorders>
            <w:shd w:val="clear" w:color="auto" w:fill="auto"/>
            <w:noWrap/>
            <w:vAlign w:val="bottom"/>
            <w:hideMark/>
          </w:tcPr>
          <w:p w14:paraId="3AA7E1F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593E2C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23.7</w:t>
            </w:r>
          </w:p>
        </w:tc>
        <w:tc>
          <w:tcPr>
            <w:tcW w:w="460" w:type="dxa"/>
            <w:tcBorders>
              <w:top w:val="nil"/>
              <w:left w:val="nil"/>
              <w:bottom w:val="nil"/>
              <w:right w:val="nil"/>
            </w:tcBorders>
            <w:shd w:val="clear" w:color="auto" w:fill="auto"/>
            <w:noWrap/>
            <w:vAlign w:val="bottom"/>
            <w:hideMark/>
          </w:tcPr>
          <w:p w14:paraId="256F81F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14</w:t>
            </w:r>
          </w:p>
        </w:tc>
        <w:tc>
          <w:tcPr>
            <w:tcW w:w="272" w:type="dxa"/>
            <w:tcBorders>
              <w:top w:val="nil"/>
              <w:left w:val="nil"/>
              <w:bottom w:val="nil"/>
              <w:right w:val="nil"/>
            </w:tcBorders>
            <w:shd w:val="clear" w:color="auto" w:fill="auto"/>
            <w:noWrap/>
            <w:vAlign w:val="bottom"/>
            <w:hideMark/>
          </w:tcPr>
          <w:p w14:paraId="41D90DB6"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3EEFCF1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23.7</w:t>
            </w:r>
          </w:p>
        </w:tc>
        <w:tc>
          <w:tcPr>
            <w:tcW w:w="506" w:type="dxa"/>
            <w:tcBorders>
              <w:top w:val="nil"/>
              <w:left w:val="nil"/>
              <w:bottom w:val="nil"/>
              <w:right w:val="nil"/>
            </w:tcBorders>
            <w:shd w:val="clear" w:color="auto" w:fill="auto"/>
            <w:noWrap/>
            <w:vAlign w:val="bottom"/>
            <w:hideMark/>
          </w:tcPr>
          <w:p w14:paraId="10E791C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14</w:t>
            </w:r>
          </w:p>
        </w:tc>
        <w:tc>
          <w:tcPr>
            <w:tcW w:w="272" w:type="dxa"/>
            <w:tcBorders>
              <w:top w:val="nil"/>
              <w:left w:val="nil"/>
              <w:bottom w:val="nil"/>
              <w:right w:val="nil"/>
            </w:tcBorders>
            <w:shd w:val="clear" w:color="auto" w:fill="auto"/>
            <w:noWrap/>
            <w:vAlign w:val="bottom"/>
            <w:hideMark/>
          </w:tcPr>
          <w:p w14:paraId="1ECF2CA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0CF185A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66.7</w:t>
            </w:r>
          </w:p>
        </w:tc>
        <w:tc>
          <w:tcPr>
            <w:tcW w:w="621" w:type="dxa"/>
            <w:tcBorders>
              <w:top w:val="nil"/>
              <w:left w:val="nil"/>
              <w:bottom w:val="nil"/>
              <w:right w:val="nil"/>
            </w:tcBorders>
            <w:shd w:val="clear" w:color="auto" w:fill="auto"/>
            <w:noWrap/>
            <w:vAlign w:val="bottom"/>
            <w:hideMark/>
          </w:tcPr>
          <w:p w14:paraId="289FF50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w:t>
            </w:r>
          </w:p>
        </w:tc>
      </w:tr>
      <w:tr w:rsidR="00094010" w:rsidRPr="0084546B" w14:paraId="1F8B6CB3" w14:textId="77777777" w:rsidTr="003D79FF">
        <w:trPr>
          <w:trHeight w:val="315"/>
        </w:trPr>
        <w:tc>
          <w:tcPr>
            <w:tcW w:w="3969" w:type="dxa"/>
            <w:tcBorders>
              <w:top w:val="nil"/>
              <w:left w:val="nil"/>
              <w:bottom w:val="nil"/>
              <w:right w:val="nil"/>
            </w:tcBorders>
            <w:shd w:val="clear" w:color="auto" w:fill="auto"/>
            <w:noWrap/>
            <w:vAlign w:val="bottom"/>
            <w:hideMark/>
          </w:tcPr>
          <w:p w14:paraId="2E1C33C9"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51" w:type="dxa"/>
            <w:tcBorders>
              <w:top w:val="nil"/>
              <w:left w:val="nil"/>
              <w:bottom w:val="nil"/>
              <w:right w:val="nil"/>
            </w:tcBorders>
            <w:shd w:val="clear" w:color="auto" w:fill="auto"/>
            <w:noWrap/>
            <w:vAlign w:val="bottom"/>
            <w:hideMark/>
          </w:tcPr>
          <w:p w14:paraId="0AFB6AA8" w14:textId="77777777" w:rsidR="00BA2B62" w:rsidRPr="00467B9C" w:rsidRDefault="00BA2B62" w:rsidP="00E16B4D">
            <w:pPr>
              <w:spacing w:after="0"/>
              <w:rPr>
                <w:rFonts w:ascii="Arial" w:eastAsia="Times New Roman" w:hAnsi="Arial" w:cs="Arial"/>
                <w:sz w:val="20"/>
                <w:szCs w:val="20"/>
                <w:lang w:eastAsia="en-GB"/>
              </w:rPr>
            </w:pPr>
          </w:p>
        </w:tc>
        <w:tc>
          <w:tcPr>
            <w:tcW w:w="917" w:type="dxa"/>
            <w:gridSpan w:val="2"/>
            <w:tcBorders>
              <w:top w:val="nil"/>
              <w:left w:val="nil"/>
              <w:bottom w:val="nil"/>
              <w:right w:val="nil"/>
            </w:tcBorders>
            <w:shd w:val="clear" w:color="auto" w:fill="auto"/>
            <w:noWrap/>
            <w:vAlign w:val="bottom"/>
            <w:hideMark/>
          </w:tcPr>
          <w:p w14:paraId="6A377131"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6BFE4D8C"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15F1F18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7DCB1FF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7495CD06"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31E742E9"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0FFEB57F"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39857C3D"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50FC055A"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6F663BB0"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400CC1A7"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446E011B"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4B2D2FB1"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659110FD" w14:textId="77777777" w:rsidTr="003D79FF">
        <w:trPr>
          <w:trHeight w:val="315"/>
        </w:trPr>
        <w:tc>
          <w:tcPr>
            <w:tcW w:w="3969" w:type="dxa"/>
            <w:tcBorders>
              <w:top w:val="nil"/>
              <w:left w:val="nil"/>
              <w:bottom w:val="nil"/>
              <w:right w:val="nil"/>
            </w:tcBorders>
            <w:shd w:val="clear" w:color="auto" w:fill="auto"/>
            <w:noWrap/>
            <w:vAlign w:val="bottom"/>
            <w:hideMark/>
          </w:tcPr>
          <w:p w14:paraId="42D5C8DF" w14:textId="77777777" w:rsidR="00BA2B62" w:rsidRPr="00467B9C" w:rsidRDefault="00094010" w:rsidP="00E16B4D">
            <w:pPr>
              <w:spacing w:after="0"/>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REFERRAL SOURCE</w:t>
            </w:r>
          </w:p>
        </w:tc>
        <w:tc>
          <w:tcPr>
            <w:tcW w:w="851" w:type="dxa"/>
            <w:tcBorders>
              <w:top w:val="nil"/>
              <w:left w:val="nil"/>
              <w:bottom w:val="nil"/>
              <w:right w:val="nil"/>
            </w:tcBorders>
            <w:shd w:val="clear" w:color="auto" w:fill="auto"/>
            <w:noWrap/>
            <w:vAlign w:val="bottom"/>
            <w:hideMark/>
          </w:tcPr>
          <w:p w14:paraId="1E87F58B" w14:textId="77777777" w:rsidR="00BA2B62" w:rsidRPr="00467B9C" w:rsidRDefault="00BA2B62" w:rsidP="00E16B4D">
            <w:pPr>
              <w:spacing w:after="0"/>
              <w:rPr>
                <w:rFonts w:ascii="Arial" w:eastAsia="Times New Roman" w:hAnsi="Arial" w:cs="Arial"/>
                <w:b/>
                <w:bCs/>
                <w:color w:val="000000"/>
                <w:sz w:val="20"/>
                <w:szCs w:val="20"/>
                <w:lang w:eastAsia="en-GB"/>
              </w:rPr>
            </w:pPr>
          </w:p>
        </w:tc>
        <w:tc>
          <w:tcPr>
            <w:tcW w:w="917" w:type="dxa"/>
            <w:gridSpan w:val="2"/>
            <w:tcBorders>
              <w:top w:val="nil"/>
              <w:left w:val="nil"/>
              <w:bottom w:val="nil"/>
              <w:right w:val="nil"/>
            </w:tcBorders>
            <w:shd w:val="clear" w:color="auto" w:fill="auto"/>
            <w:noWrap/>
            <w:vAlign w:val="bottom"/>
            <w:hideMark/>
          </w:tcPr>
          <w:p w14:paraId="60E3A9DD"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18F8715C" w14:textId="77777777" w:rsidR="00BA2B62" w:rsidRPr="00467B9C" w:rsidRDefault="00BA2B62" w:rsidP="00E16B4D">
            <w:pPr>
              <w:spacing w:after="0"/>
              <w:rPr>
                <w:rFonts w:ascii="Arial" w:eastAsia="Times New Roman" w:hAnsi="Arial" w:cs="Arial"/>
                <w:sz w:val="20"/>
                <w:szCs w:val="20"/>
                <w:lang w:eastAsia="en-GB"/>
              </w:rPr>
            </w:pPr>
          </w:p>
        </w:tc>
        <w:tc>
          <w:tcPr>
            <w:tcW w:w="1202" w:type="dxa"/>
            <w:tcBorders>
              <w:top w:val="nil"/>
              <w:left w:val="nil"/>
              <w:bottom w:val="nil"/>
              <w:right w:val="nil"/>
            </w:tcBorders>
            <w:shd w:val="clear" w:color="000000" w:fill="EDEDED"/>
            <w:noWrap/>
            <w:vAlign w:val="bottom"/>
            <w:hideMark/>
          </w:tcPr>
          <w:p w14:paraId="0E218362"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1090" w:type="dxa"/>
            <w:tcBorders>
              <w:top w:val="nil"/>
              <w:left w:val="nil"/>
              <w:bottom w:val="nil"/>
              <w:right w:val="nil"/>
            </w:tcBorders>
            <w:shd w:val="clear" w:color="000000" w:fill="EDEDED"/>
            <w:noWrap/>
            <w:vAlign w:val="bottom"/>
            <w:hideMark/>
          </w:tcPr>
          <w:p w14:paraId="36B9F97B"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w:t>
            </w:r>
          </w:p>
        </w:tc>
        <w:tc>
          <w:tcPr>
            <w:tcW w:w="539" w:type="dxa"/>
            <w:tcBorders>
              <w:top w:val="nil"/>
              <w:left w:val="nil"/>
              <w:bottom w:val="nil"/>
              <w:right w:val="nil"/>
            </w:tcBorders>
            <w:shd w:val="clear" w:color="auto" w:fill="auto"/>
            <w:noWrap/>
            <w:vAlign w:val="bottom"/>
            <w:hideMark/>
          </w:tcPr>
          <w:p w14:paraId="17A4A3FA" w14:textId="77777777" w:rsidR="00BA2B62" w:rsidRPr="00467B9C" w:rsidRDefault="00BA2B62" w:rsidP="00E16B4D">
            <w:pPr>
              <w:spacing w:after="0"/>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22335B74" w14:textId="77777777" w:rsidR="00BA2B62" w:rsidRPr="00467B9C" w:rsidRDefault="00BA2B62" w:rsidP="00E16B4D">
            <w:pPr>
              <w:spacing w:after="0"/>
              <w:rPr>
                <w:rFonts w:ascii="Arial" w:eastAsia="Times New Roman" w:hAnsi="Arial" w:cs="Arial"/>
                <w:sz w:val="20"/>
                <w:szCs w:val="20"/>
                <w:lang w:eastAsia="en-GB"/>
              </w:rPr>
            </w:pPr>
          </w:p>
        </w:tc>
        <w:tc>
          <w:tcPr>
            <w:tcW w:w="460" w:type="dxa"/>
            <w:tcBorders>
              <w:top w:val="nil"/>
              <w:left w:val="nil"/>
              <w:bottom w:val="nil"/>
              <w:right w:val="nil"/>
            </w:tcBorders>
            <w:shd w:val="clear" w:color="auto" w:fill="auto"/>
            <w:noWrap/>
            <w:vAlign w:val="bottom"/>
            <w:hideMark/>
          </w:tcPr>
          <w:p w14:paraId="27483C5F"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1940CA14" w14:textId="77777777" w:rsidR="00BA2B62" w:rsidRPr="00467B9C" w:rsidRDefault="00BA2B62" w:rsidP="00E16B4D">
            <w:pPr>
              <w:spacing w:after="0"/>
              <w:rPr>
                <w:rFonts w:ascii="Arial" w:eastAsia="Times New Roman" w:hAnsi="Arial" w:cs="Arial"/>
                <w:sz w:val="20"/>
                <w:szCs w:val="20"/>
                <w:lang w:eastAsia="en-GB"/>
              </w:rPr>
            </w:pPr>
          </w:p>
        </w:tc>
        <w:tc>
          <w:tcPr>
            <w:tcW w:w="969" w:type="dxa"/>
            <w:tcBorders>
              <w:top w:val="nil"/>
              <w:left w:val="nil"/>
              <w:bottom w:val="nil"/>
              <w:right w:val="nil"/>
            </w:tcBorders>
            <w:shd w:val="clear" w:color="auto" w:fill="auto"/>
            <w:noWrap/>
            <w:vAlign w:val="bottom"/>
            <w:hideMark/>
          </w:tcPr>
          <w:p w14:paraId="65951244" w14:textId="77777777" w:rsidR="00BA2B62" w:rsidRPr="00467B9C" w:rsidRDefault="00BA2B62" w:rsidP="00E16B4D">
            <w:pPr>
              <w:spacing w:after="0"/>
              <w:rPr>
                <w:rFonts w:ascii="Arial" w:eastAsia="Times New Roman" w:hAnsi="Arial" w:cs="Arial"/>
                <w:sz w:val="20"/>
                <w:szCs w:val="20"/>
                <w:lang w:eastAsia="en-GB"/>
              </w:rPr>
            </w:pPr>
          </w:p>
        </w:tc>
        <w:tc>
          <w:tcPr>
            <w:tcW w:w="506" w:type="dxa"/>
            <w:tcBorders>
              <w:top w:val="nil"/>
              <w:left w:val="nil"/>
              <w:bottom w:val="nil"/>
              <w:right w:val="nil"/>
            </w:tcBorders>
            <w:shd w:val="clear" w:color="auto" w:fill="auto"/>
            <w:noWrap/>
            <w:vAlign w:val="bottom"/>
            <w:hideMark/>
          </w:tcPr>
          <w:p w14:paraId="22EAB2F7" w14:textId="77777777" w:rsidR="00BA2B62" w:rsidRPr="00467B9C" w:rsidRDefault="00BA2B62" w:rsidP="00E16B4D">
            <w:pPr>
              <w:spacing w:after="0"/>
              <w:rPr>
                <w:rFonts w:ascii="Arial" w:eastAsia="Times New Roman" w:hAnsi="Arial" w:cs="Arial"/>
                <w:sz w:val="20"/>
                <w:szCs w:val="20"/>
                <w:lang w:eastAsia="en-GB"/>
              </w:rPr>
            </w:pPr>
          </w:p>
        </w:tc>
        <w:tc>
          <w:tcPr>
            <w:tcW w:w="272" w:type="dxa"/>
            <w:tcBorders>
              <w:top w:val="nil"/>
              <w:left w:val="nil"/>
              <w:bottom w:val="nil"/>
              <w:right w:val="nil"/>
            </w:tcBorders>
            <w:shd w:val="clear" w:color="auto" w:fill="auto"/>
            <w:noWrap/>
            <w:vAlign w:val="bottom"/>
            <w:hideMark/>
          </w:tcPr>
          <w:p w14:paraId="20E075AA"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5E0EBC9E" w14:textId="77777777" w:rsidR="00BA2B62" w:rsidRPr="00467B9C" w:rsidRDefault="00BA2B62" w:rsidP="00E16B4D">
            <w:pPr>
              <w:spacing w:after="0"/>
              <w:rPr>
                <w:rFonts w:ascii="Arial" w:eastAsia="Times New Roman" w:hAnsi="Arial" w:cs="Arial"/>
                <w:sz w:val="20"/>
                <w:szCs w:val="20"/>
                <w:lang w:eastAsia="en-GB"/>
              </w:rPr>
            </w:pPr>
          </w:p>
        </w:tc>
        <w:tc>
          <w:tcPr>
            <w:tcW w:w="621" w:type="dxa"/>
            <w:tcBorders>
              <w:top w:val="nil"/>
              <w:left w:val="nil"/>
              <w:bottom w:val="nil"/>
              <w:right w:val="nil"/>
            </w:tcBorders>
            <w:shd w:val="clear" w:color="auto" w:fill="auto"/>
            <w:noWrap/>
            <w:vAlign w:val="bottom"/>
            <w:hideMark/>
          </w:tcPr>
          <w:p w14:paraId="7666ECA3" w14:textId="77777777" w:rsidR="00BA2B62" w:rsidRPr="00467B9C" w:rsidRDefault="00BA2B62" w:rsidP="00E16B4D">
            <w:pPr>
              <w:spacing w:after="0"/>
              <w:rPr>
                <w:rFonts w:ascii="Arial" w:eastAsia="Times New Roman" w:hAnsi="Arial" w:cs="Arial"/>
                <w:sz w:val="20"/>
                <w:szCs w:val="20"/>
                <w:lang w:eastAsia="en-GB"/>
              </w:rPr>
            </w:pPr>
          </w:p>
        </w:tc>
      </w:tr>
      <w:tr w:rsidR="00094010" w:rsidRPr="0084546B" w14:paraId="009D11EC" w14:textId="77777777" w:rsidTr="003D79FF">
        <w:trPr>
          <w:trHeight w:val="315"/>
        </w:trPr>
        <w:tc>
          <w:tcPr>
            <w:tcW w:w="3969" w:type="dxa"/>
            <w:tcBorders>
              <w:top w:val="nil"/>
              <w:left w:val="nil"/>
              <w:bottom w:val="nil"/>
              <w:right w:val="nil"/>
            </w:tcBorders>
            <w:shd w:val="clear" w:color="auto" w:fill="auto"/>
            <w:noWrap/>
            <w:vAlign w:val="bottom"/>
            <w:hideMark/>
          </w:tcPr>
          <w:p w14:paraId="0945A9C8"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 xml:space="preserve">    Medical</w:t>
            </w:r>
          </w:p>
        </w:tc>
        <w:tc>
          <w:tcPr>
            <w:tcW w:w="851" w:type="dxa"/>
            <w:tcBorders>
              <w:top w:val="nil"/>
              <w:left w:val="nil"/>
              <w:bottom w:val="nil"/>
              <w:right w:val="nil"/>
            </w:tcBorders>
            <w:shd w:val="clear" w:color="auto" w:fill="auto"/>
            <w:noWrap/>
            <w:vAlign w:val="bottom"/>
            <w:hideMark/>
          </w:tcPr>
          <w:p w14:paraId="508F1866"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84.7</w:t>
            </w:r>
          </w:p>
        </w:tc>
        <w:tc>
          <w:tcPr>
            <w:tcW w:w="917" w:type="dxa"/>
            <w:gridSpan w:val="2"/>
            <w:tcBorders>
              <w:top w:val="nil"/>
              <w:left w:val="nil"/>
              <w:bottom w:val="nil"/>
              <w:right w:val="nil"/>
            </w:tcBorders>
            <w:shd w:val="clear" w:color="auto" w:fill="auto"/>
            <w:noWrap/>
            <w:vAlign w:val="bottom"/>
            <w:hideMark/>
          </w:tcPr>
          <w:p w14:paraId="1CA7EA7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403</w:t>
            </w:r>
          </w:p>
        </w:tc>
        <w:tc>
          <w:tcPr>
            <w:tcW w:w="272" w:type="dxa"/>
            <w:tcBorders>
              <w:top w:val="nil"/>
              <w:left w:val="nil"/>
              <w:bottom w:val="nil"/>
              <w:right w:val="nil"/>
            </w:tcBorders>
            <w:shd w:val="clear" w:color="auto" w:fill="auto"/>
            <w:noWrap/>
            <w:vAlign w:val="bottom"/>
            <w:hideMark/>
          </w:tcPr>
          <w:p w14:paraId="70DB39F6"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254B84EF"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86.3</w:t>
            </w:r>
          </w:p>
        </w:tc>
        <w:tc>
          <w:tcPr>
            <w:tcW w:w="1090" w:type="dxa"/>
            <w:tcBorders>
              <w:top w:val="nil"/>
              <w:left w:val="nil"/>
              <w:bottom w:val="nil"/>
              <w:right w:val="nil"/>
            </w:tcBorders>
            <w:shd w:val="clear" w:color="000000" w:fill="EDEDED"/>
            <w:noWrap/>
            <w:vAlign w:val="bottom"/>
            <w:hideMark/>
          </w:tcPr>
          <w:p w14:paraId="5D379452"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295</w:t>
            </w:r>
          </w:p>
        </w:tc>
        <w:tc>
          <w:tcPr>
            <w:tcW w:w="539" w:type="dxa"/>
            <w:tcBorders>
              <w:top w:val="nil"/>
              <w:left w:val="nil"/>
              <w:bottom w:val="nil"/>
              <w:right w:val="nil"/>
            </w:tcBorders>
            <w:shd w:val="clear" w:color="auto" w:fill="auto"/>
            <w:noWrap/>
            <w:vAlign w:val="bottom"/>
            <w:hideMark/>
          </w:tcPr>
          <w:p w14:paraId="38420347"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7848D70"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79.7</w:t>
            </w:r>
          </w:p>
        </w:tc>
        <w:tc>
          <w:tcPr>
            <w:tcW w:w="460" w:type="dxa"/>
            <w:tcBorders>
              <w:top w:val="nil"/>
              <w:left w:val="nil"/>
              <w:bottom w:val="nil"/>
              <w:right w:val="nil"/>
            </w:tcBorders>
            <w:shd w:val="clear" w:color="auto" w:fill="auto"/>
            <w:noWrap/>
            <w:vAlign w:val="bottom"/>
            <w:hideMark/>
          </w:tcPr>
          <w:p w14:paraId="1332E8F1"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47</w:t>
            </w:r>
          </w:p>
        </w:tc>
        <w:tc>
          <w:tcPr>
            <w:tcW w:w="272" w:type="dxa"/>
            <w:tcBorders>
              <w:top w:val="nil"/>
              <w:left w:val="nil"/>
              <w:bottom w:val="nil"/>
              <w:right w:val="nil"/>
            </w:tcBorders>
            <w:shd w:val="clear" w:color="auto" w:fill="auto"/>
            <w:noWrap/>
            <w:vAlign w:val="bottom"/>
            <w:hideMark/>
          </w:tcPr>
          <w:p w14:paraId="231F2491"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7CCA9F4C"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89.4</w:t>
            </w:r>
          </w:p>
        </w:tc>
        <w:tc>
          <w:tcPr>
            <w:tcW w:w="506" w:type="dxa"/>
            <w:tcBorders>
              <w:top w:val="nil"/>
              <w:left w:val="nil"/>
              <w:bottom w:val="nil"/>
              <w:right w:val="nil"/>
            </w:tcBorders>
            <w:shd w:val="clear" w:color="auto" w:fill="auto"/>
            <w:noWrap/>
            <w:vAlign w:val="bottom"/>
            <w:hideMark/>
          </w:tcPr>
          <w:p w14:paraId="044E1189" w14:textId="77777777" w:rsidR="00BA2B62" w:rsidRPr="00467B9C" w:rsidRDefault="008976C4"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59</w:t>
            </w:r>
          </w:p>
        </w:tc>
        <w:tc>
          <w:tcPr>
            <w:tcW w:w="272" w:type="dxa"/>
            <w:tcBorders>
              <w:top w:val="nil"/>
              <w:left w:val="nil"/>
              <w:bottom w:val="nil"/>
              <w:right w:val="nil"/>
            </w:tcBorders>
            <w:shd w:val="clear" w:color="auto" w:fill="auto"/>
            <w:noWrap/>
            <w:vAlign w:val="bottom"/>
            <w:hideMark/>
          </w:tcPr>
          <w:p w14:paraId="4203700A" w14:textId="77777777" w:rsidR="00BA2B62" w:rsidRPr="00467B9C" w:rsidRDefault="00BA2B62" w:rsidP="00E16B4D">
            <w:pPr>
              <w:spacing w:after="0"/>
              <w:rPr>
                <w:rFonts w:ascii="Arial" w:eastAsia="Times New Roman" w:hAnsi="Arial" w:cs="Arial"/>
                <w:sz w:val="20"/>
                <w:szCs w:val="20"/>
                <w:lang w:eastAsia="en-GB"/>
              </w:rPr>
            </w:pPr>
          </w:p>
        </w:tc>
        <w:tc>
          <w:tcPr>
            <w:tcW w:w="816" w:type="dxa"/>
            <w:tcBorders>
              <w:top w:val="nil"/>
              <w:left w:val="nil"/>
              <w:bottom w:val="nil"/>
              <w:right w:val="nil"/>
            </w:tcBorders>
            <w:shd w:val="clear" w:color="auto" w:fill="auto"/>
            <w:noWrap/>
            <w:vAlign w:val="bottom"/>
            <w:hideMark/>
          </w:tcPr>
          <w:p w14:paraId="18EDFD1D" w14:textId="77777777" w:rsidR="00BA2B62" w:rsidRPr="00071CC2" w:rsidRDefault="008976C4" w:rsidP="00071CC2">
            <w:pPr>
              <w:spacing w:after="0"/>
              <w:jc w:val="right"/>
              <w:rPr>
                <w:rFonts w:ascii="Arial" w:eastAsia="Times New Roman" w:hAnsi="Arial" w:cs="Arial"/>
                <w:b/>
                <w:sz w:val="20"/>
                <w:szCs w:val="20"/>
                <w:lang w:eastAsia="en-GB"/>
              </w:rPr>
            </w:pPr>
            <w:r w:rsidRPr="00071CC2">
              <w:rPr>
                <w:rFonts w:ascii="Arial" w:eastAsia="Times New Roman" w:hAnsi="Arial" w:cs="Arial"/>
                <w:b/>
                <w:sz w:val="20"/>
                <w:szCs w:val="20"/>
                <w:lang w:eastAsia="en-GB"/>
              </w:rPr>
              <w:t>22.2</w:t>
            </w:r>
          </w:p>
        </w:tc>
        <w:tc>
          <w:tcPr>
            <w:tcW w:w="621" w:type="dxa"/>
            <w:tcBorders>
              <w:top w:val="nil"/>
              <w:left w:val="nil"/>
              <w:bottom w:val="nil"/>
              <w:right w:val="nil"/>
            </w:tcBorders>
            <w:shd w:val="clear" w:color="auto" w:fill="auto"/>
            <w:noWrap/>
            <w:vAlign w:val="bottom"/>
            <w:hideMark/>
          </w:tcPr>
          <w:p w14:paraId="7D13EDF7" w14:textId="77777777" w:rsidR="00BA2B62" w:rsidRPr="00071CC2" w:rsidRDefault="008976C4" w:rsidP="00071CC2">
            <w:pPr>
              <w:spacing w:after="0"/>
              <w:jc w:val="right"/>
              <w:rPr>
                <w:rFonts w:ascii="Arial" w:eastAsia="Times New Roman" w:hAnsi="Arial" w:cs="Arial"/>
                <w:b/>
                <w:sz w:val="20"/>
                <w:szCs w:val="20"/>
                <w:lang w:eastAsia="en-GB"/>
              </w:rPr>
            </w:pPr>
            <w:r w:rsidRPr="00071CC2">
              <w:rPr>
                <w:rFonts w:ascii="Arial" w:eastAsia="Times New Roman" w:hAnsi="Arial" w:cs="Arial"/>
                <w:b/>
                <w:sz w:val="20"/>
                <w:szCs w:val="20"/>
                <w:lang w:eastAsia="en-GB"/>
              </w:rPr>
              <w:t>2</w:t>
            </w:r>
          </w:p>
        </w:tc>
      </w:tr>
      <w:tr w:rsidR="00094010" w:rsidRPr="0084546B" w14:paraId="53A20B3A" w14:textId="77777777" w:rsidTr="003D79FF">
        <w:trPr>
          <w:trHeight w:val="315"/>
        </w:trPr>
        <w:tc>
          <w:tcPr>
            <w:tcW w:w="3969" w:type="dxa"/>
            <w:tcBorders>
              <w:top w:val="nil"/>
              <w:left w:val="nil"/>
              <w:bottom w:val="nil"/>
              <w:right w:val="nil"/>
            </w:tcBorders>
            <w:shd w:val="clear" w:color="auto" w:fill="auto"/>
            <w:noWrap/>
            <w:vAlign w:val="bottom"/>
            <w:hideMark/>
          </w:tcPr>
          <w:p w14:paraId="24C54182"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GP</w:t>
            </w:r>
          </w:p>
        </w:tc>
        <w:tc>
          <w:tcPr>
            <w:tcW w:w="851" w:type="dxa"/>
            <w:tcBorders>
              <w:top w:val="nil"/>
              <w:left w:val="nil"/>
              <w:bottom w:val="nil"/>
              <w:right w:val="nil"/>
            </w:tcBorders>
            <w:shd w:val="clear" w:color="auto" w:fill="auto"/>
            <w:noWrap/>
            <w:vAlign w:val="bottom"/>
            <w:hideMark/>
          </w:tcPr>
          <w:p w14:paraId="3E6EE99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67.4</w:t>
            </w:r>
          </w:p>
        </w:tc>
        <w:tc>
          <w:tcPr>
            <w:tcW w:w="917" w:type="dxa"/>
            <w:gridSpan w:val="2"/>
            <w:tcBorders>
              <w:top w:val="nil"/>
              <w:left w:val="nil"/>
              <w:bottom w:val="nil"/>
              <w:right w:val="nil"/>
            </w:tcBorders>
            <w:shd w:val="clear" w:color="auto" w:fill="auto"/>
            <w:noWrap/>
            <w:vAlign w:val="bottom"/>
            <w:hideMark/>
          </w:tcPr>
          <w:p w14:paraId="400481F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321</w:t>
            </w:r>
          </w:p>
        </w:tc>
        <w:tc>
          <w:tcPr>
            <w:tcW w:w="272" w:type="dxa"/>
            <w:tcBorders>
              <w:top w:val="nil"/>
              <w:left w:val="nil"/>
              <w:bottom w:val="nil"/>
              <w:right w:val="nil"/>
            </w:tcBorders>
            <w:shd w:val="clear" w:color="auto" w:fill="auto"/>
            <w:noWrap/>
            <w:vAlign w:val="bottom"/>
            <w:hideMark/>
          </w:tcPr>
          <w:p w14:paraId="07FAA7C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3602C52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68.1</w:t>
            </w:r>
          </w:p>
        </w:tc>
        <w:tc>
          <w:tcPr>
            <w:tcW w:w="1090" w:type="dxa"/>
            <w:tcBorders>
              <w:top w:val="nil"/>
              <w:left w:val="nil"/>
              <w:bottom w:val="nil"/>
              <w:right w:val="nil"/>
            </w:tcBorders>
            <w:shd w:val="clear" w:color="000000" w:fill="EDEDED"/>
            <w:noWrap/>
            <w:vAlign w:val="bottom"/>
            <w:hideMark/>
          </w:tcPr>
          <w:p w14:paraId="235300F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233</w:t>
            </w:r>
          </w:p>
        </w:tc>
        <w:tc>
          <w:tcPr>
            <w:tcW w:w="539" w:type="dxa"/>
            <w:tcBorders>
              <w:top w:val="nil"/>
              <w:left w:val="nil"/>
              <w:bottom w:val="nil"/>
              <w:right w:val="nil"/>
            </w:tcBorders>
            <w:shd w:val="clear" w:color="auto" w:fill="auto"/>
            <w:noWrap/>
            <w:vAlign w:val="bottom"/>
            <w:hideMark/>
          </w:tcPr>
          <w:p w14:paraId="42584D8F"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0A4344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68.1</w:t>
            </w:r>
          </w:p>
        </w:tc>
        <w:tc>
          <w:tcPr>
            <w:tcW w:w="460" w:type="dxa"/>
            <w:tcBorders>
              <w:top w:val="nil"/>
              <w:left w:val="nil"/>
              <w:bottom w:val="nil"/>
              <w:right w:val="nil"/>
            </w:tcBorders>
            <w:shd w:val="clear" w:color="auto" w:fill="auto"/>
            <w:noWrap/>
            <w:vAlign w:val="bottom"/>
            <w:hideMark/>
          </w:tcPr>
          <w:p w14:paraId="46764CA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40</w:t>
            </w:r>
          </w:p>
        </w:tc>
        <w:tc>
          <w:tcPr>
            <w:tcW w:w="272" w:type="dxa"/>
            <w:tcBorders>
              <w:top w:val="nil"/>
              <w:left w:val="nil"/>
              <w:bottom w:val="nil"/>
              <w:right w:val="nil"/>
            </w:tcBorders>
            <w:shd w:val="clear" w:color="auto" w:fill="auto"/>
            <w:noWrap/>
            <w:vAlign w:val="bottom"/>
            <w:hideMark/>
          </w:tcPr>
          <w:p w14:paraId="436779B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73B5FDA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69.7</w:t>
            </w:r>
          </w:p>
        </w:tc>
        <w:tc>
          <w:tcPr>
            <w:tcW w:w="506" w:type="dxa"/>
            <w:tcBorders>
              <w:top w:val="nil"/>
              <w:left w:val="nil"/>
              <w:bottom w:val="nil"/>
              <w:right w:val="nil"/>
            </w:tcBorders>
            <w:shd w:val="clear" w:color="auto" w:fill="auto"/>
            <w:noWrap/>
            <w:vAlign w:val="bottom"/>
            <w:hideMark/>
          </w:tcPr>
          <w:p w14:paraId="27D1FAF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46</w:t>
            </w:r>
          </w:p>
        </w:tc>
        <w:tc>
          <w:tcPr>
            <w:tcW w:w="272" w:type="dxa"/>
            <w:tcBorders>
              <w:top w:val="nil"/>
              <w:left w:val="nil"/>
              <w:bottom w:val="nil"/>
              <w:right w:val="nil"/>
            </w:tcBorders>
            <w:shd w:val="clear" w:color="auto" w:fill="auto"/>
            <w:noWrap/>
            <w:vAlign w:val="bottom"/>
            <w:hideMark/>
          </w:tcPr>
          <w:p w14:paraId="3D96A2A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56EA222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22.2</w:t>
            </w:r>
          </w:p>
        </w:tc>
        <w:tc>
          <w:tcPr>
            <w:tcW w:w="621" w:type="dxa"/>
            <w:tcBorders>
              <w:top w:val="nil"/>
              <w:left w:val="nil"/>
              <w:bottom w:val="nil"/>
              <w:right w:val="nil"/>
            </w:tcBorders>
            <w:shd w:val="clear" w:color="auto" w:fill="auto"/>
            <w:noWrap/>
            <w:vAlign w:val="bottom"/>
            <w:hideMark/>
          </w:tcPr>
          <w:p w14:paraId="6F2E05D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r>
      <w:tr w:rsidR="00094010" w:rsidRPr="0084546B" w14:paraId="719A06AD" w14:textId="77777777" w:rsidTr="003D79FF">
        <w:trPr>
          <w:trHeight w:val="315"/>
        </w:trPr>
        <w:tc>
          <w:tcPr>
            <w:tcW w:w="3969" w:type="dxa"/>
            <w:tcBorders>
              <w:top w:val="nil"/>
              <w:left w:val="nil"/>
              <w:bottom w:val="nil"/>
              <w:right w:val="nil"/>
            </w:tcBorders>
            <w:shd w:val="clear" w:color="auto" w:fill="auto"/>
            <w:noWrap/>
            <w:vAlign w:val="bottom"/>
            <w:hideMark/>
          </w:tcPr>
          <w:p w14:paraId="0A9583EB"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w:t>
            </w:r>
            <w:r w:rsidR="00071CC2" w:rsidRPr="00467B9C">
              <w:rPr>
                <w:rFonts w:ascii="Arial" w:eastAsia="Times New Roman" w:hAnsi="Arial" w:cs="Arial"/>
                <w:color w:val="000000"/>
                <w:sz w:val="20"/>
                <w:szCs w:val="20"/>
                <w:lang w:eastAsia="en-GB"/>
              </w:rPr>
              <w:t>Paediatric</w:t>
            </w:r>
            <w:r w:rsidRPr="00467B9C">
              <w:rPr>
                <w:rFonts w:ascii="Arial" w:eastAsia="Times New Roman" w:hAnsi="Arial" w:cs="Arial"/>
                <w:color w:val="000000"/>
                <w:sz w:val="20"/>
                <w:szCs w:val="20"/>
                <w:lang w:eastAsia="en-GB"/>
              </w:rPr>
              <w:t xml:space="preserve"> doctor</w:t>
            </w:r>
          </w:p>
        </w:tc>
        <w:tc>
          <w:tcPr>
            <w:tcW w:w="851" w:type="dxa"/>
            <w:tcBorders>
              <w:top w:val="nil"/>
              <w:left w:val="nil"/>
              <w:bottom w:val="nil"/>
              <w:right w:val="nil"/>
            </w:tcBorders>
            <w:shd w:val="clear" w:color="auto" w:fill="auto"/>
            <w:noWrap/>
            <w:vAlign w:val="bottom"/>
            <w:hideMark/>
          </w:tcPr>
          <w:p w14:paraId="24F28BA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9.5</w:t>
            </w:r>
          </w:p>
        </w:tc>
        <w:tc>
          <w:tcPr>
            <w:tcW w:w="917" w:type="dxa"/>
            <w:gridSpan w:val="2"/>
            <w:tcBorders>
              <w:top w:val="nil"/>
              <w:left w:val="nil"/>
              <w:bottom w:val="nil"/>
              <w:right w:val="nil"/>
            </w:tcBorders>
            <w:shd w:val="clear" w:color="auto" w:fill="auto"/>
            <w:noWrap/>
            <w:vAlign w:val="bottom"/>
            <w:hideMark/>
          </w:tcPr>
          <w:p w14:paraId="07E4C29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45</w:t>
            </w:r>
          </w:p>
        </w:tc>
        <w:tc>
          <w:tcPr>
            <w:tcW w:w="272" w:type="dxa"/>
            <w:tcBorders>
              <w:top w:val="nil"/>
              <w:left w:val="nil"/>
              <w:bottom w:val="nil"/>
              <w:right w:val="nil"/>
            </w:tcBorders>
            <w:shd w:val="clear" w:color="auto" w:fill="auto"/>
            <w:noWrap/>
            <w:vAlign w:val="bottom"/>
            <w:hideMark/>
          </w:tcPr>
          <w:p w14:paraId="6E08E4E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6643576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9.6</w:t>
            </w:r>
          </w:p>
        </w:tc>
        <w:tc>
          <w:tcPr>
            <w:tcW w:w="1090" w:type="dxa"/>
            <w:tcBorders>
              <w:top w:val="nil"/>
              <w:left w:val="nil"/>
              <w:bottom w:val="nil"/>
              <w:right w:val="nil"/>
            </w:tcBorders>
            <w:shd w:val="clear" w:color="000000" w:fill="EDEDED"/>
            <w:noWrap/>
            <w:vAlign w:val="bottom"/>
            <w:hideMark/>
          </w:tcPr>
          <w:p w14:paraId="407CD54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33</w:t>
            </w:r>
          </w:p>
        </w:tc>
        <w:tc>
          <w:tcPr>
            <w:tcW w:w="539" w:type="dxa"/>
            <w:tcBorders>
              <w:top w:val="nil"/>
              <w:left w:val="nil"/>
              <w:bottom w:val="nil"/>
              <w:right w:val="nil"/>
            </w:tcBorders>
            <w:shd w:val="clear" w:color="auto" w:fill="auto"/>
            <w:noWrap/>
            <w:vAlign w:val="bottom"/>
            <w:hideMark/>
          </w:tcPr>
          <w:p w14:paraId="100EA38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1CA3C49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3.4</w:t>
            </w:r>
          </w:p>
        </w:tc>
        <w:tc>
          <w:tcPr>
            <w:tcW w:w="460" w:type="dxa"/>
            <w:tcBorders>
              <w:top w:val="nil"/>
              <w:left w:val="nil"/>
              <w:bottom w:val="nil"/>
              <w:right w:val="nil"/>
            </w:tcBorders>
            <w:shd w:val="clear" w:color="auto" w:fill="auto"/>
            <w:noWrap/>
            <w:vAlign w:val="bottom"/>
            <w:hideMark/>
          </w:tcPr>
          <w:p w14:paraId="51B8985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31B8F4C8"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1F9378D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15.2</w:t>
            </w:r>
          </w:p>
        </w:tc>
        <w:tc>
          <w:tcPr>
            <w:tcW w:w="506" w:type="dxa"/>
            <w:tcBorders>
              <w:top w:val="nil"/>
              <w:left w:val="nil"/>
              <w:bottom w:val="nil"/>
              <w:right w:val="nil"/>
            </w:tcBorders>
            <w:shd w:val="clear" w:color="auto" w:fill="auto"/>
            <w:noWrap/>
            <w:vAlign w:val="bottom"/>
            <w:hideMark/>
          </w:tcPr>
          <w:p w14:paraId="778ED3C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w:t>
            </w:r>
          </w:p>
        </w:tc>
        <w:tc>
          <w:tcPr>
            <w:tcW w:w="272" w:type="dxa"/>
            <w:tcBorders>
              <w:top w:val="nil"/>
              <w:left w:val="nil"/>
              <w:bottom w:val="nil"/>
              <w:right w:val="nil"/>
            </w:tcBorders>
            <w:shd w:val="clear" w:color="auto" w:fill="auto"/>
            <w:noWrap/>
            <w:vAlign w:val="bottom"/>
            <w:hideMark/>
          </w:tcPr>
          <w:p w14:paraId="3D602C3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2D8C7A5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013F39D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40ED599D" w14:textId="77777777" w:rsidTr="003D79FF">
        <w:trPr>
          <w:trHeight w:val="315"/>
        </w:trPr>
        <w:tc>
          <w:tcPr>
            <w:tcW w:w="3969" w:type="dxa"/>
            <w:tcBorders>
              <w:top w:val="nil"/>
              <w:left w:val="nil"/>
              <w:bottom w:val="nil"/>
              <w:right w:val="nil"/>
            </w:tcBorders>
            <w:shd w:val="clear" w:color="auto" w:fill="auto"/>
            <w:noWrap/>
            <w:vAlign w:val="bottom"/>
            <w:hideMark/>
          </w:tcPr>
          <w:p w14:paraId="3CFF0F70"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Hospital (e.g., A&amp;E, children's ward)</w:t>
            </w:r>
          </w:p>
        </w:tc>
        <w:tc>
          <w:tcPr>
            <w:tcW w:w="851" w:type="dxa"/>
            <w:tcBorders>
              <w:top w:val="nil"/>
              <w:left w:val="nil"/>
              <w:bottom w:val="nil"/>
              <w:right w:val="nil"/>
            </w:tcBorders>
            <w:shd w:val="clear" w:color="auto" w:fill="auto"/>
            <w:noWrap/>
            <w:vAlign w:val="bottom"/>
            <w:hideMark/>
          </w:tcPr>
          <w:p w14:paraId="200012F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3.2</w:t>
            </w:r>
          </w:p>
        </w:tc>
        <w:tc>
          <w:tcPr>
            <w:tcW w:w="917" w:type="dxa"/>
            <w:gridSpan w:val="2"/>
            <w:tcBorders>
              <w:top w:val="nil"/>
              <w:left w:val="nil"/>
              <w:bottom w:val="nil"/>
              <w:right w:val="nil"/>
            </w:tcBorders>
            <w:shd w:val="clear" w:color="auto" w:fill="auto"/>
            <w:noWrap/>
            <w:vAlign w:val="bottom"/>
            <w:hideMark/>
          </w:tcPr>
          <w:p w14:paraId="3DE4F21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w:t>
            </w:r>
          </w:p>
        </w:tc>
        <w:tc>
          <w:tcPr>
            <w:tcW w:w="272" w:type="dxa"/>
            <w:tcBorders>
              <w:top w:val="nil"/>
              <w:left w:val="nil"/>
              <w:bottom w:val="nil"/>
              <w:right w:val="nil"/>
            </w:tcBorders>
            <w:shd w:val="clear" w:color="auto" w:fill="auto"/>
            <w:noWrap/>
            <w:vAlign w:val="bottom"/>
            <w:hideMark/>
          </w:tcPr>
          <w:p w14:paraId="13290E97"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2921785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3.2</w:t>
            </w:r>
          </w:p>
        </w:tc>
        <w:tc>
          <w:tcPr>
            <w:tcW w:w="1090" w:type="dxa"/>
            <w:tcBorders>
              <w:top w:val="nil"/>
              <w:left w:val="nil"/>
              <w:bottom w:val="nil"/>
              <w:right w:val="nil"/>
            </w:tcBorders>
            <w:shd w:val="clear" w:color="000000" w:fill="EDEDED"/>
            <w:noWrap/>
            <w:vAlign w:val="bottom"/>
            <w:hideMark/>
          </w:tcPr>
          <w:p w14:paraId="0412985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w:t>
            </w:r>
          </w:p>
        </w:tc>
        <w:tc>
          <w:tcPr>
            <w:tcW w:w="539" w:type="dxa"/>
            <w:tcBorders>
              <w:top w:val="nil"/>
              <w:left w:val="nil"/>
              <w:bottom w:val="nil"/>
              <w:right w:val="nil"/>
            </w:tcBorders>
            <w:shd w:val="clear" w:color="auto" w:fill="auto"/>
            <w:noWrap/>
            <w:vAlign w:val="bottom"/>
            <w:hideMark/>
          </w:tcPr>
          <w:p w14:paraId="586C242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47B44D2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5.1</w:t>
            </w:r>
          </w:p>
        </w:tc>
        <w:tc>
          <w:tcPr>
            <w:tcW w:w="460" w:type="dxa"/>
            <w:tcBorders>
              <w:top w:val="nil"/>
              <w:left w:val="nil"/>
              <w:bottom w:val="nil"/>
              <w:right w:val="nil"/>
            </w:tcBorders>
            <w:shd w:val="clear" w:color="auto" w:fill="auto"/>
            <w:noWrap/>
            <w:vAlign w:val="bottom"/>
            <w:hideMark/>
          </w:tcPr>
          <w:p w14:paraId="6B01A31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w:t>
            </w:r>
          </w:p>
        </w:tc>
        <w:tc>
          <w:tcPr>
            <w:tcW w:w="272" w:type="dxa"/>
            <w:tcBorders>
              <w:top w:val="nil"/>
              <w:left w:val="nil"/>
              <w:bottom w:val="nil"/>
              <w:right w:val="nil"/>
            </w:tcBorders>
            <w:shd w:val="clear" w:color="auto" w:fill="auto"/>
            <w:noWrap/>
            <w:vAlign w:val="bottom"/>
            <w:hideMark/>
          </w:tcPr>
          <w:p w14:paraId="38DAB13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38CCD78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w:t>
            </w:r>
          </w:p>
        </w:tc>
        <w:tc>
          <w:tcPr>
            <w:tcW w:w="506" w:type="dxa"/>
            <w:tcBorders>
              <w:top w:val="nil"/>
              <w:left w:val="nil"/>
              <w:bottom w:val="nil"/>
              <w:right w:val="nil"/>
            </w:tcBorders>
            <w:shd w:val="clear" w:color="auto" w:fill="auto"/>
            <w:noWrap/>
            <w:vAlign w:val="bottom"/>
            <w:hideMark/>
          </w:tcPr>
          <w:p w14:paraId="257451D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c>
          <w:tcPr>
            <w:tcW w:w="272" w:type="dxa"/>
            <w:tcBorders>
              <w:top w:val="nil"/>
              <w:left w:val="nil"/>
              <w:bottom w:val="nil"/>
              <w:right w:val="nil"/>
            </w:tcBorders>
            <w:shd w:val="clear" w:color="auto" w:fill="auto"/>
            <w:noWrap/>
            <w:vAlign w:val="bottom"/>
            <w:hideMark/>
          </w:tcPr>
          <w:p w14:paraId="7A75A1F6"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0DD3654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01E1725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40FAB01D" w14:textId="77777777" w:rsidTr="003D79FF">
        <w:trPr>
          <w:trHeight w:val="315"/>
        </w:trPr>
        <w:tc>
          <w:tcPr>
            <w:tcW w:w="3969" w:type="dxa"/>
            <w:tcBorders>
              <w:top w:val="nil"/>
              <w:left w:val="nil"/>
              <w:bottom w:val="nil"/>
              <w:right w:val="nil"/>
            </w:tcBorders>
            <w:shd w:val="clear" w:color="auto" w:fill="auto"/>
            <w:noWrap/>
            <w:vAlign w:val="bottom"/>
            <w:hideMark/>
          </w:tcPr>
          <w:p w14:paraId="6C93B13B"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Psychiatrist</w:t>
            </w:r>
          </w:p>
        </w:tc>
        <w:tc>
          <w:tcPr>
            <w:tcW w:w="851" w:type="dxa"/>
            <w:tcBorders>
              <w:top w:val="nil"/>
              <w:left w:val="nil"/>
              <w:bottom w:val="nil"/>
              <w:right w:val="nil"/>
            </w:tcBorders>
            <w:shd w:val="clear" w:color="auto" w:fill="auto"/>
            <w:noWrap/>
            <w:vAlign w:val="bottom"/>
            <w:hideMark/>
          </w:tcPr>
          <w:p w14:paraId="7903031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0.4</w:t>
            </w:r>
          </w:p>
        </w:tc>
        <w:tc>
          <w:tcPr>
            <w:tcW w:w="917" w:type="dxa"/>
            <w:gridSpan w:val="2"/>
            <w:tcBorders>
              <w:top w:val="nil"/>
              <w:left w:val="nil"/>
              <w:bottom w:val="nil"/>
              <w:right w:val="nil"/>
            </w:tcBorders>
            <w:shd w:val="clear" w:color="auto" w:fill="auto"/>
            <w:noWrap/>
            <w:vAlign w:val="bottom"/>
            <w:hideMark/>
          </w:tcPr>
          <w:p w14:paraId="03998CE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34BF38C9"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26F239B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0.3</w:t>
            </w:r>
          </w:p>
        </w:tc>
        <w:tc>
          <w:tcPr>
            <w:tcW w:w="1090" w:type="dxa"/>
            <w:tcBorders>
              <w:top w:val="nil"/>
              <w:left w:val="nil"/>
              <w:bottom w:val="nil"/>
              <w:right w:val="nil"/>
            </w:tcBorders>
            <w:shd w:val="clear" w:color="000000" w:fill="EDEDED"/>
            <w:noWrap/>
            <w:vAlign w:val="bottom"/>
            <w:hideMark/>
          </w:tcPr>
          <w:p w14:paraId="359CA18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c>
          <w:tcPr>
            <w:tcW w:w="539" w:type="dxa"/>
            <w:tcBorders>
              <w:top w:val="nil"/>
              <w:left w:val="nil"/>
              <w:bottom w:val="nil"/>
              <w:right w:val="nil"/>
            </w:tcBorders>
            <w:shd w:val="clear" w:color="auto" w:fill="auto"/>
            <w:noWrap/>
            <w:vAlign w:val="bottom"/>
            <w:hideMark/>
          </w:tcPr>
          <w:p w14:paraId="54EEA56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24BE13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1.7</w:t>
            </w:r>
          </w:p>
        </w:tc>
        <w:tc>
          <w:tcPr>
            <w:tcW w:w="460" w:type="dxa"/>
            <w:tcBorders>
              <w:top w:val="nil"/>
              <w:left w:val="nil"/>
              <w:bottom w:val="nil"/>
              <w:right w:val="nil"/>
            </w:tcBorders>
            <w:shd w:val="clear" w:color="auto" w:fill="auto"/>
            <w:noWrap/>
            <w:vAlign w:val="bottom"/>
            <w:hideMark/>
          </w:tcPr>
          <w:p w14:paraId="140CE14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c>
          <w:tcPr>
            <w:tcW w:w="272" w:type="dxa"/>
            <w:tcBorders>
              <w:top w:val="nil"/>
              <w:left w:val="nil"/>
              <w:bottom w:val="nil"/>
              <w:right w:val="nil"/>
            </w:tcBorders>
            <w:shd w:val="clear" w:color="auto" w:fill="auto"/>
            <w:noWrap/>
            <w:vAlign w:val="bottom"/>
            <w:hideMark/>
          </w:tcPr>
          <w:p w14:paraId="4D2B9E96"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1D6FBE0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62D8FA3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3903DF4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498A13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4E6CDA2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6D9A8E21" w14:textId="77777777" w:rsidTr="003D79FF">
        <w:trPr>
          <w:trHeight w:val="315"/>
        </w:trPr>
        <w:tc>
          <w:tcPr>
            <w:tcW w:w="3969" w:type="dxa"/>
            <w:tcBorders>
              <w:top w:val="nil"/>
              <w:left w:val="nil"/>
              <w:bottom w:val="nil"/>
              <w:right w:val="nil"/>
            </w:tcBorders>
            <w:shd w:val="clear" w:color="auto" w:fill="auto"/>
            <w:noWrap/>
            <w:vAlign w:val="bottom"/>
            <w:hideMark/>
          </w:tcPr>
          <w:p w14:paraId="6C43121D"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School doctor</w:t>
            </w:r>
          </w:p>
        </w:tc>
        <w:tc>
          <w:tcPr>
            <w:tcW w:w="851" w:type="dxa"/>
            <w:tcBorders>
              <w:top w:val="nil"/>
              <w:left w:val="nil"/>
              <w:bottom w:val="nil"/>
              <w:right w:val="nil"/>
            </w:tcBorders>
            <w:shd w:val="clear" w:color="auto" w:fill="auto"/>
            <w:noWrap/>
            <w:vAlign w:val="bottom"/>
            <w:hideMark/>
          </w:tcPr>
          <w:p w14:paraId="641ACA9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4.2</w:t>
            </w:r>
          </w:p>
        </w:tc>
        <w:tc>
          <w:tcPr>
            <w:tcW w:w="917" w:type="dxa"/>
            <w:gridSpan w:val="2"/>
            <w:tcBorders>
              <w:top w:val="nil"/>
              <w:left w:val="nil"/>
              <w:bottom w:val="nil"/>
              <w:right w:val="nil"/>
            </w:tcBorders>
            <w:shd w:val="clear" w:color="auto" w:fill="auto"/>
            <w:noWrap/>
            <w:vAlign w:val="bottom"/>
            <w:hideMark/>
          </w:tcPr>
          <w:p w14:paraId="72DBA80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20</w:t>
            </w:r>
          </w:p>
        </w:tc>
        <w:tc>
          <w:tcPr>
            <w:tcW w:w="272" w:type="dxa"/>
            <w:tcBorders>
              <w:top w:val="nil"/>
              <w:left w:val="nil"/>
              <w:bottom w:val="nil"/>
              <w:right w:val="nil"/>
            </w:tcBorders>
            <w:shd w:val="clear" w:color="auto" w:fill="auto"/>
            <w:noWrap/>
            <w:vAlign w:val="bottom"/>
            <w:hideMark/>
          </w:tcPr>
          <w:p w14:paraId="6FCACB58"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51E7D9E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5.0</w:t>
            </w:r>
          </w:p>
        </w:tc>
        <w:tc>
          <w:tcPr>
            <w:tcW w:w="1090" w:type="dxa"/>
            <w:tcBorders>
              <w:top w:val="nil"/>
              <w:left w:val="nil"/>
              <w:bottom w:val="nil"/>
              <w:right w:val="nil"/>
            </w:tcBorders>
            <w:shd w:val="clear" w:color="000000" w:fill="EDEDED"/>
            <w:noWrap/>
            <w:vAlign w:val="bottom"/>
            <w:hideMark/>
          </w:tcPr>
          <w:p w14:paraId="469EE17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17</w:t>
            </w:r>
          </w:p>
        </w:tc>
        <w:tc>
          <w:tcPr>
            <w:tcW w:w="539" w:type="dxa"/>
            <w:tcBorders>
              <w:top w:val="nil"/>
              <w:left w:val="nil"/>
              <w:bottom w:val="nil"/>
              <w:right w:val="nil"/>
            </w:tcBorders>
            <w:shd w:val="clear" w:color="auto" w:fill="auto"/>
            <w:noWrap/>
            <w:vAlign w:val="bottom"/>
            <w:hideMark/>
          </w:tcPr>
          <w:p w14:paraId="583C3958"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1970B7C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1.7</w:t>
            </w:r>
          </w:p>
        </w:tc>
        <w:tc>
          <w:tcPr>
            <w:tcW w:w="460" w:type="dxa"/>
            <w:tcBorders>
              <w:top w:val="nil"/>
              <w:left w:val="nil"/>
              <w:bottom w:val="nil"/>
              <w:right w:val="nil"/>
            </w:tcBorders>
            <w:shd w:val="clear" w:color="auto" w:fill="auto"/>
            <w:noWrap/>
            <w:vAlign w:val="bottom"/>
            <w:hideMark/>
          </w:tcPr>
          <w:p w14:paraId="1446A90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c>
          <w:tcPr>
            <w:tcW w:w="272" w:type="dxa"/>
            <w:tcBorders>
              <w:top w:val="nil"/>
              <w:left w:val="nil"/>
              <w:bottom w:val="nil"/>
              <w:right w:val="nil"/>
            </w:tcBorders>
            <w:shd w:val="clear" w:color="auto" w:fill="auto"/>
            <w:noWrap/>
            <w:vAlign w:val="bottom"/>
            <w:hideMark/>
          </w:tcPr>
          <w:p w14:paraId="75CF4EA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D0A3A9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3.0</w:t>
            </w:r>
          </w:p>
        </w:tc>
        <w:tc>
          <w:tcPr>
            <w:tcW w:w="506" w:type="dxa"/>
            <w:tcBorders>
              <w:top w:val="nil"/>
              <w:left w:val="nil"/>
              <w:bottom w:val="nil"/>
              <w:right w:val="nil"/>
            </w:tcBorders>
            <w:shd w:val="clear" w:color="auto" w:fill="auto"/>
            <w:noWrap/>
            <w:vAlign w:val="bottom"/>
            <w:hideMark/>
          </w:tcPr>
          <w:p w14:paraId="7C764A2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6107CD2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03571FE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406E96C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4802B604" w14:textId="77777777" w:rsidTr="003D79FF">
        <w:trPr>
          <w:trHeight w:val="315"/>
        </w:trPr>
        <w:tc>
          <w:tcPr>
            <w:tcW w:w="3969" w:type="dxa"/>
            <w:tcBorders>
              <w:top w:val="nil"/>
              <w:left w:val="nil"/>
              <w:bottom w:val="nil"/>
              <w:right w:val="nil"/>
            </w:tcBorders>
            <w:shd w:val="clear" w:color="auto" w:fill="auto"/>
            <w:noWrap/>
            <w:vAlign w:val="bottom"/>
            <w:hideMark/>
          </w:tcPr>
          <w:p w14:paraId="5D4B7947"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 xml:space="preserve">    Nursing</w:t>
            </w:r>
          </w:p>
        </w:tc>
        <w:tc>
          <w:tcPr>
            <w:tcW w:w="851" w:type="dxa"/>
            <w:tcBorders>
              <w:top w:val="nil"/>
              <w:left w:val="nil"/>
              <w:bottom w:val="nil"/>
              <w:right w:val="nil"/>
            </w:tcBorders>
            <w:shd w:val="clear" w:color="auto" w:fill="auto"/>
            <w:noWrap/>
            <w:vAlign w:val="bottom"/>
            <w:hideMark/>
          </w:tcPr>
          <w:p w14:paraId="33788B36"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3.4</w:t>
            </w:r>
          </w:p>
        </w:tc>
        <w:tc>
          <w:tcPr>
            <w:tcW w:w="917" w:type="dxa"/>
            <w:gridSpan w:val="2"/>
            <w:tcBorders>
              <w:top w:val="nil"/>
              <w:left w:val="nil"/>
              <w:bottom w:val="nil"/>
              <w:right w:val="nil"/>
            </w:tcBorders>
            <w:shd w:val="clear" w:color="auto" w:fill="auto"/>
            <w:noWrap/>
            <w:vAlign w:val="bottom"/>
            <w:hideMark/>
          </w:tcPr>
          <w:p w14:paraId="3281581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16</w:t>
            </w:r>
          </w:p>
        </w:tc>
        <w:tc>
          <w:tcPr>
            <w:tcW w:w="272" w:type="dxa"/>
            <w:tcBorders>
              <w:top w:val="nil"/>
              <w:left w:val="nil"/>
              <w:bottom w:val="nil"/>
              <w:right w:val="nil"/>
            </w:tcBorders>
            <w:shd w:val="clear" w:color="auto" w:fill="auto"/>
            <w:noWrap/>
            <w:vAlign w:val="bottom"/>
            <w:hideMark/>
          </w:tcPr>
          <w:p w14:paraId="271DD435"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3E62CB46"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2.6</w:t>
            </w:r>
          </w:p>
        </w:tc>
        <w:tc>
          <w:tcPr>
            <w:tcW w:w="1090" w:type="dxa"/>
            <w:tcBorders>
              <w:top w:val="nil"/>
              <w:left w:val="nil"/>
              <w:bottom w:val="nil"/>
              <w:right w:val="nil"/>
            </w:tcBorders>
            <w:shd w:val="clear" w:color="000000" w:fill="EDEDED"/>
            <w:noWrap/>
            <w:vAlign w:val="bottom"/>
            <w:hideMark/>
          </w:tcPr>
          <w:p w14:paraId="6F1D03FC"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9</w:t>
            </w:r>
          </w:p>
        </w:tc>
        <w:tc>
          <w:tcPr>
            <w:tcW w:w="539" w:type="dxa"/>
            <w:tcBorders>
              <w:top w:val="nil"/>
              <w:left w:val="nil"/>
              <w:bottom w:val="nil"/>
              <w:right w:val="nil"/>
            </w:tcBorders>
            <w:shd w:val="clear" w:color="auto" w:fill="auto"/>
            <w:noWrap/>
            <w:vAlign w:val="bottom"/>
            <w:hideMark/>
          </w:tcPr>
          <w:p w14:paraId="472EC64B"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87A0CE0"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5.1</w:t>
            </w:r>
          </w:p>
        </w:tc>
        <w:tc>
          <w:tcPr>
            <w:tcW w:w="460" w:type="dxa"/>
            <w:tcBorders>
              <w:top w:val="nil"/>
              <w:left w:val="nil"/>
              <w:bottom w:val="nil"/>
              <w:right w:val="nil"/>
            </w:tcBorders>
            <w:shd w:val="clear" w:color="auto" w:fill="auto"/>
            <w:noWrap/>
            <w:vAlign w:val="bottom"/>
            <w:hideMark/>
          </w:tcPr>
          <w:p w14:paraId="2D4CE137"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3</w:t>
            </w:r>
          </w:p>
        </w:tc>
        <w:tc>
          <w:tcPr>
            <w:tcW w:w="272" w:type="dxa"/>
            <w:tcBorders>
              <w:top w:val="nil"/>
              <w:left w:val="nil"/>
              <w:bottom w:val="nil"/>
              <w:right w:val="nil"/>
            </w:tcBorders>
            <w:shd w:val="clear" w:color="auto" w:fill="auto"/>
            <w:noWrap/>
            <w:vAlign w:val="bottom"/>
            <w:hideMark/>
          </w:tcPr>
          <w:p w14:paraId="7968CDC6"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44AB1A1E"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4.5</w:t>
            </w:r>
          </w:p>
        </w:tc>
        <w:tc>
          <w:tcPr>
            <w:tcW w:w="506" w:type="dxa"/>
            <w:tcBorders>
              <w:top w:val="nil"/>
              <w:left w:val="nil"/>
              <w:bottom w:val="nil"/>
              <w:right w:val="nil"/>
            </w:tcBorders>
            <w:shd w:val="clear" w:color="auto" w:fill="auto"/>
            <w:noWrap/>
            <w:vAlign w:val="bottom"/>
            <w:hideMark/>
          </w:tcPr>
          <w:p w14:paraId="7315CE08"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268E00A5"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30BB779C" w14:textId="77777777" w:rsidR="00BA2B62" w:rsidRPr="00467B9C" w:rsidRDefault="00740CE1" w:rsidP="00740CE1">
            <w:pPr>
              <w:spacing w:after="0"/>
              <w:jc w:val="right"/>
              <w:rPr>
                <w:rFonts w:ascii="Arial" w:eastAsia="Times New Roman" w:hAnsi="Arial" w:cs="Arial"/>
                <w:b/>
                <w:sz w:val="20"/>
                <w:szCs w:val="20"/>
                <w:lang w:eastAsia="en-GB"/>
              </w:rPr>
            </w:pPr>
            <w:r w:rsidRPr="00467B9C">
              <w:rPr>
                <w:rFonts w:ascii="Arial" w:eastAsia="Times New Roman" w:hAnsi="Arial" w:cs="Arial"/>
                <w:b/>
                <w:sz w:val="20"/>
                <w:szCs w:val="20"/>
                <w:lang w:eastAsia="en-GB"/>
              </w:rPr>
              <w:t>11.1</w:t>
            </w:r>
          </w:p>
        </w:tc>
        <w:tc>
          <w:tcPr>
            <w:tcW w:w="621" w:type="dxa"/>
            <w:tcBorders>
              <w:top w:val="nil"/>
              <w:left w:val="nil"/>
              <w:bottom w:val="nil"/>
              <w:right w:val="nil"/>
            </w:tcBorders>
            <w:shd w:val="clear" w:color="auto" w:fill="auto"/>
            <w:noWrap/>
            <w:vAlign w:val="bottom"/>
            <w:hideMark/>
          </w:tcPr>
          <w:p w14:paraId="22E861F5" w14:textId="77777777" w:rsidR="00BA2B62" w:rsidRPr="00467B9C" w:rsidRDefault="00740CE1" w:rsidP="00740CE1">
            <w:pPr>
              <w:spacing w:after="0"/>
              <w:jc w:val="right"/>
              <w:rPr>
                <w:rFonts w:ascii="Arial" w:eastAsia="Times New Roman" w:hAnsi="Arial" w:cs="Arial"/>
                <w:b/>
                <w:sz w:val="20"/>
                <w:szCs w:val="20"/>
                <w:lang w:eastAsia="en-GB"/>
              </w:rPr>
            </w:pPr>
            <w:r w:rsidRPr="00467B9C">
              <w:rPr>
                <w:rFonts w:ascii="Arial" w:eastAsia="Times New Roman" w:hAnsi="Arial" w:cs="Arial"/>
                <w:b/>
                <w:sz w:val="20"/>
                <w:szCs w:val="20"/>
                <w:lang w:eastAsia="en-GB"/>
              </w:rPr>
              <w:t>1</w:t>
            </w:r>
          </w:p>
        </w:tc>
      </w:tr>
      <w:tr w:rsidR="00094010" w:rsidRPr="0084546B" w14:paraId="0D045885" w14:textId="77777777" w:rsidTr="003D79FF">
        <w:trPr>
          <w:trHeight w:val="315"/>
        </w:trPr>
        <w:tc>
          <w:tcPr>
            <w:tcW w:w="3969" w:type="dxa"/>
            <w:tcBorders>
              <w:top w:val="nil"/>
              <w:left w:val="nil"/>
              <w:bottom w:val="nil"/>
              <w:right w:val="nil"/>
            </w:tcBorders>
            <w:shd w:val="clear" w:color="auto" w:fill="auto"/>
            <w:noWrap/>
            <w:vAlign w:val="bottom"/>
            <w:hideMark/>
          </w:tcPr>
          <w:p w14:paraId="2B0D9245"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School Nurse</w:t>
            </w:r>
          </w:p>
        </w:tc>
        <w:tc>
          <w:tcPr>
            <w:tcW w:w="851" w:type="dxa"/>
            <w:tcBorders>
              <w:top w:val="nil"/>
              <w:left w:val="nil"/>
              <w:bottom w:val="nil"/>
              <w:right w:val="nil"/>
            </w:tcBorders>
            <w:shd w:val="clear" w:color="auto" w:fill="auto"/>
            <w:noWrap/>
            <w:vAlign w:val="bottom"/>
            <w:hideMark/>
          </w:tcPr>
          <w:p w14:paraId="42B11A3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2.7</w:t>
            </w:r>
          </w:p>
        </w:tc>
        <w:tc>
          <w:tcPr>
            <w:tcW w:w="917" w:type="dxa"/>
            <w:gridSpan w:val="2"/>
            <w:tcBorders>
              <w:top w:val="nil"/>
              <w:left w:val="nil"/>
              <w:bottom w:val="nil"/>
              <w:right w:val="nil"/>
            </w:tcBorders>
            <w:shd w:val="clear" w:color="auto" w:fill="auto"/>
            <w:noWrap/>
            <w:vAlign w:val="bottom"/>
            <w:hideMark/>
          </w:tcPr>
          <w:p w14:paraId="1F48605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13</w:t>
            </w:r>
          </w:p>
        </w:tc>
        <w:tc>
          <w:tcPr>
            <w:tcW w:w="272" w:type="dxa"/>
            <w:tcBorders>
              <w:top w:val="nil"/>
              <w:left w:val="nil"/>
              <w:bottom w:val="nil"/>
              <w:right w:val="nil"/>
            </w:tcBorders>
            <w:shd w:val="clear" w:color="auto" w:fill="auto"/>
            <w:noWrap/>
            <w:vAlign w:val="bottom"/>
            <w:hideMark/>
          </w:tcPr>
          <w:p w14:paraId="36A4BCB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68E809B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1.8</w:t>
            </w:r>
          </w:p>
        </w:tc>
        <w:tc>
          <w:tcPr>
            <w:tcW w:w="1090" w:type="dxa"/>
            <w:tcBorders>
              <w:top w:val="nil"/>
              <w:left w:val="nil"/>
              <w:bottom w:val="nil"/>
              <w:right w:val="nil"/>
            </w:tcBorders>
            <w:shd w:val="clear" w:color="000000" w:fill="EDEDED"/>
            <w:noWrap/>
            <w:vAlign w:val="bottom"/>
            <w:hideMark/>
          </w:tcPr>
          <w:p w14:paraId="28C9F13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w:t>
            </w:r>
          </w:p>
        </w:tc>
        <w:tc>
          <w:tcPr>
            <w:tcW w:w="539" w:type="dxa"/>
            <w:tcBorders>
              <w:top w:val="nil"/>
              <w:left w:val="nil"/>
              <w:bottom w:val="nil"/>
              <w:right w:val="nil"/>
            </w:tcBorders>
            <w:shd w:val="clear" w:color="auto" w:fill="auto"/>
            <w:noWrap/>
            <w:vAlign w:val="bottom"/>
            <w:hideMark/>
          </w:tcPr>
          <w:p w14:paraId="6637EA9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0A2F059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3.4</w:t>
            </w:r>
          </w:p>
        </w:tc>
        <w:tc>
          <w:tcPr>
            <w:tcW w:w="460" w:type="dxa"/>
            <w:tcBorders>
              <w:top w:val="nil"/>
              <w:left w:val="nil"/>
              <w:bottom w:val="nil"/>
              <w:right w:val="nil"/>
            </w:tcBorders>
            <w:shd w:val="clear" w:color="auto" w:fill="auto"/>
            <w:noWrap/>
            <w:vAlign w:val="bottom"/>
            <w:hideMark/>
          </w:tcPr>
          <w:p w14:paraId="48F517F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7DA53079"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454198A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4.5</w:t>
            </w:r>
          </w:p>
        </w:tc>
        <w:tc>
          <w:tcPr>
            <w:tcW w:w="506" w:type="dxa"/>
            <w:tcBorders>
              <w:top w:val="nil"/>
              <w:left w:val="nil"/>
              <w:bottom w:val="nil"/>
              <w:right w:val="nil"/>
            </w:tcBorders>
            <w:shd w:val="clear" w:color="auto" w:fill="auto"/>
            <w:noWrap/>
            <w:vAlign w:val="bottom"/>
            <w:hideMark/>
          </w:tcPr>
          <w:p w14:paraId="008B157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w:t>
            </w:r>
          </w:p>
        </w:tc>
        <w:tc>
          <w:tcPr>
            <w:tcW w:w="272" w:type="dxa"/>
            <w:tcBorders>
              <w:top w:val="nil"/>
              <w:left w:val="nil"/>
              <w:bottom w:val="nil"/>
              <w:right w:val="nil"/>
            </w:tcBorders>
            <w:shd w:val="clear" w:color="auto" w:fill="auto"/>
            <w:noWrap/>
            <w:vAlign w:val="bottom"/>
            <w:hideMark/>
          </w:tcPr>
          <w:p w14:paraId="72C3504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49EC33D3" w14:textId="77777777" w:rsidR="00BA2B62" w:rsidRPr="00467B9C" w:rsidRDefault="00740CE1" w:rsidP="00740CE1">
            <w:pPr>
              <w:spacing w:after="0"/>
              <w:jc w:val="right"/>
              <w:rPr>
                <w:rFonts w:ascii="Arial" w:eastAsia="Times New Roman" w:hAnsi="Arial" w:cs="Arial"/>
                <w:sz w:val="20"/>
                <w:szCs w:val="20"/>
                <w:lang w:eastAsia="en-GB"/>
              </w:rPr>
            </w:pPr>
            <w:r w:rsidRPr="00467B9C">
              <w:rPr>
                <w:rFonts w:ascii="Arial" w:eastAsia="Times New Roman" w:hAnsi="Arial" w:cs="Arial"/>
                <w:sz w:val="20"/>
                <w:szCs w:val="20"/>
                <w:lang w:eastAsia="en-GB"/>
              </w:rPr>
              <w:t>11.1</w:t>
            </w:r>
          </w:p>
        </w:tc>
        <w:tc>
          <w:tcPr>
            <w:tcW w:w="621" w:type="dxa"/>
            <w:tcBorders>
              <w:top w:val="nil"/>
              <w:left w:val="nil"/>
              <w:bottom w:val="nil"/>
              <w:right w:val="nil"/>
            </w:tcBorders>
            <w:shd w:val="clear" w:color="auto" w:fill="auto"/>
            <w:noWrap/>
            <w:vAlign w:val="bottom"/>
            <w:hideMark/>
          </w:tcPr>
          <w:p w14:paraId="058CFE4C" w14:textId="77777777" w:rsidR="00BA2B62" w:rsidRPr="00467B9C" w:rsidRDefault="00740CE1" w:rsidP="00740CE1">
            <w:pPr>
              <w:spacing w:after="0"/>
              <w:jc w:val="right"/>
              <w:rPr>
                <w:rFonts w:ascii="Arial" w:eastAsia="Times New Roman" w:hAnsi="Arial" w:cs="Arial"/>
                <w:sz w:val="20"/>
                <w:szCs w:val="20"/>
                <w:lang w:eastAsia="en-GB"/>
              </w:rPr>
            </w:pPr>
            <w:r w:rsidRPr="00467B9C">
              <w:rPr>
                <w:rFonts w:ascii="Arial" w:eastAsia="Times New Roman" w:hAnsi="Arial" w:cs="Arial"/>
                <w:sz w:val="20"/>
                <w:szCs w:val="20"/>
                <w:lang w:eastAsia="en-GB"/>
              </w:rPr>
              <w:t>1</w:t>
            </w:r>
          </w:p>
        </w:tc>
      </w:tr>
      <w:tr w:rsidR="00094010" w:rsidRPr="0084546B" w14:paraId="38DA7931" w14:textId="77777777" w:rsidTr="003D79FF">
        <w:trPr>
          <w:trHeight w:val="315"/>
        </w:trPr>
        <w:tc>
          <w:tcPr>
            <w:tcW w:w="3969" w:type="dxa"/>
            <w:tcBorders>
              <w:top w:val="nil"/>
              <w:left w:val="nil"/>
              <w:bottom w:val="nil"/>
              <w:right w:val="nil"/>
            </w:tcBorders>
            <w:shd w:val="clear" w:color="auto" w:fill="auto"/>
            <w:noWrap/>
            <w:vAlign w:val="bottom"/>
            <w:hideMark/>
          </w:tcPr>
          <w:p w14:paraId="7AC48E8D"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Health Visitor</w:t>
            </w:r>
          </w:p>
        </w:tc>
        <w:tc>
          <w:tcPr>
            <w:tcW w:w="851" w:type="dxa"/>
            <w:tcBorders>
              <w:top w:val="nil"/>
              <w:left w:val="nil"/>
              <w:bottom w:val="nil"/>
              <w:right w:val="nil"/>
            </w:tcBorders>
            <w:shd w:val="clear" w:color="auto" w:fill="auto"/>
            <w:noWrap/>
            <w:vAlign w:val="bottom"/>
            <w:hideMark/>
          </w:tcPr>
          <w:p w14:paraId="619DA5D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0.6</w:t>
            </w:r>
          </w:p>
        </w:tc>
        <w:tc>
          <w:tcPr>
            <w:tcW w:w="917" w:type="dxa"/>
            <w:gridSpan w:val="2"/>
            <w:tcBorders>
              <w:top w:val="nil"/>
              <w:left w:val="nil"/>
              <w:bottom w:val="nil"/>
              <w:right w:val="nil"/>
            </w:tcBorders>
            <w:shd w:val="clear" w:color="auto" w:fill="auto"/>
            <w:noWrap/>
            <w:vAlign w:val="bottom"/>
            <w:hideMark/>
          </w:tcPr>
          <w:p w14:paraId="77EF20A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w:t>
            </w:r>
          </w:p>
        </w:tc>
        <w:tc>
          <w:tcPr>
            <w:tcW w:w="272" w:type="dxa"/>
            <w:tcBorders>
              <w:top w:val="nil"/>
              <w:left w:val="nil"/>
              <w:bottom w:val="nil"/>
              <w:right w:val="nil"/>
            </w:tcBorders>
            <w:shd w:val="clear" w:color="auto" w:fill="auto"/>
            <w:noWrap/>
            <w:vAlign w:val="bottom"/>
            <w:hideMark/>
          </w:tcPr>
          <w:p w14:paraId="2BC4D627"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3958593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0.9</w:t>
            </w:r>
          </w:p>
        </w:tc>
        <w:tc>
          <w:tcPr>
            <w:tcW w:w="1090" w:type="dxa"/>
            <w:tcBorders>
              <w:top w:val="nil"/>
              <w:left w:val="nil"/>
              <w:bottom w:val="nil"/>
              <w:right w:val="nil"/>
            </w:tcBorders>
            <w:shd w:val="clear" w:color="000000" w:fill="EDEDED"/>
            <w:noWrap/>
            <w:vAlign w:val="bottom"/>
            <w:hideMark/>
          </w:tcPr>
          <w:p w14:paraId="0D63F5B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w:t>
            </w:r>
          </w:p>
        </w:tc>
        <w:tc>
          <w:tcPr>
            <w:tcW w:w="539" w:type="dxa"/>
            <w:tcBorders>
              <w:top w:val="nil"/>
              <w:left w:val="nil"/>
              <w:bottom w:val="nil"/>
              <w:right w:val="nil"/>
            </w:tcBorders>
            <w:shd w:val="clear" w:color="auto" w:fill="auto"/>
            <w:noWrap/>
            <w:vAlign w:val="bottom"/>
            <w:hideMark/>
          </w:tcPr>
          <w:p w14:paraId="4ED639AF"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0B6FBE0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58D8CE2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1069AB4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40DD697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0924A2F3"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5D8C0324"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5F616520" w14:textId="77777777" w:rsidR="00BA2B62" w:rsidRPr="00467B9C" w:rsidRDefault="00740CE1" w:rsidP="00740CE1">
            <w:pPr>
              <w:spacing w:after="0"/>
              <w:jc w:val="right"/>
              <w:rPr>
                <w:rFonts w:ascii="Arial" w:eastAsia="Times New Roman" w:hAnsi="Arial" w:cs="Arial"/>
                <w:sz w:val="20"/>
                <w:szCs w:val="20"/>
                <w:lang w:eastAsia="en-GB"/>
              </w:rPr>
            </w:pPr>
            <w:r w:rsidRPr="00467B9C">
              <w:rPr>
                <w:rFonts w:ascii="Arial" w:eastAsia="Times New Roman" w:hAnsi="Arial" w:cs="Arial"/>
                <w:sz w:val="20"/>
                <w:szCs w:val="20"/>
                <w:lang w:eastAsia="en-GB"/>
              </w:rPr>
              <w:t>0.0</w:t>
            </w:r>
          </w:p>
        </w:tc>
        <w:tc>
          <w:tcPr>
            <w:tcW w:w="621" w:type="dxa"/>
            <w:tcBorders>
              <w:top w:val="nil"/>
              <w:left w:val="nil"/>
              <w:bottom w:val="nil"/>
              <w:right w:val="nil"/>
            </w:tcBorders>
            <w:shd w:val="clear" w:color="auto" w:fill="auto"/>
            <w:noWrap/>
            <w:vAlign w:val="bottom"/>
            <w:hideMark/>
          </w:tcPr>
          <w:p w14:paraId="36716FCA" w14:textId="77777777" w:rsidR="00BA2B62" w:rsidRPr="00467B9C" w:rsidRDefault="00740CE1" w:rsidP="00740CE1">
            <w:pPr>
              <w:spacing w:after="0"/>
              <w:jc w:val="right"/>
              <w:rPr>
                <w:rFonts w:ascii="Arial" w:eastAsia="Times New Roman" w:hAnsi="Arial" w:cs="Arial"/>
                <w:sz w:val="20"/>
                <w:szCs w:val="20"/>
                <w:lang w:eastAsia="en-GB"/>
              </w:rPr>
            </w:pPr>
            <w:r w:rsidRPr="00467B9C">
              <w:rPr>
                <w:rFonts w:ascii="Arial" w:eastAsia="Times New Roman" w:hAnsi="Arial" w:cs="Arial"/>
                <w:sz w:val="20"/>
                <w:szCs w:val="20"/>
                <w:lang w:eastAsia="en-GB"/>
              </w:rPr>
              <w:t>0</w:t>
            </w:r>
          </w:p>
        </w:tc>
      </w:tr>
      <w:tr w:rsidR="00094010" w:rsidRPr="0084546B" w14:paraId="22EC080A" w14:textId="77777777" w:rsidTr="003D79FF">
        <w:trPr>
          <w:trHeight w:val="315"/>
        </w:trPr>
        <w:tc>
          <w:tcPr>
            <w:tcW w:w="3969" w:type="dxa"/>
            <w:tcBorders>
              <w:top w:val="nil"/>
              <w:left w:val="nil"/>
              <w:bottom w:val="nil"/>
              <w:right w:val="nil"/>
            </w:tcBorders>
            <w:shd w:val="clear" w:color="auto" w:fill="auto"/>
            <w:noWrap/>
            <w:vAlign w:val="bottom"/>
            <w:hideMark/>
          </w:tcPr>
          <w:p w14:paraId="30681A5A"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 xml:space="preserve">    Education</w:t>
            </w:r>
          </w:p>
        </w:tc>
        <w:tc>
          <w:tcPr>
            <w:tcW w:w="851" w:type="dxa"/>
            <w:tcBorders>
              <w:top w:val="nil"/>
              <w:left w:val="nil"/>
              <w:bottom w:val="nil"/>
              <w:right w:val="nil"/>
            </w:tcBorders>
            <w:shd w:val="clear" w:color="auto" w:fill="auto"/>
            <w:noWrap/>
            <w:vAlign w:val="bottom"/>
            <w:hideMark/>
          </w:tcPr>
          <w:p w14:paraId="24C7C876"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6.7</w:t>
            </w:r>
          </w:p>
        </w:tc>
        <w:tc>
          <w:tcPr>
            <w:tcW w:w="917" w:type="dxa"/>
            <w:gridSpan w:val="2"/>
            <w:tcBorders>
              <w:top w:val="nil"/>
              <w:left w:val="nil"/>
              <w:bottom w:val="nil"/>
              <w:right w:val="nil"/>
            </w:tcBorders>
            <w:shd w:val="clear" w:color="auto" w:fill="auto"/>
            <w:noWrap/>
            <w:vAlign w:val="bottom"/>
            <w:hideMark/>
          </w:tcPr>
          <w:p w14:paraId="1F622193"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32</w:t>
            </w:r>
          </w:p>
        </w:tc>
        <w:tc>
          <w:tcPr>
            <w:tcW w:w="272" w:type="dxa"/>
            <w:tcBorders>
              <w:top w:val="nil"/>
              <w:left w:val="nil"/>
              <w:bottom w:val="nil"/>
              <w:right w:val="nil"/>
            </w:tcBorders>
            <w:shd w:val="clear" w:color="auto" w:fill="auto"/>
            <w:noWrap/>
            <w:vAlign w:val="bottom"/>
            <w:hideMark/>
          </w:tcPr>
          <w:p w14:paraId="12AEBB8D"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545DDE12"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5.6</w:t>
            </w:r>
          </w:p>
        </w:tc>
        <w:tc>
          <w:tcPr>
            <w:tcW w:w="1090" w:type="dxa"/>
            <w:tcBorders>
              <w:top w:val="nil"/>
              <w:left w:val="nil"/>
              <w:bottom w:val="nil"/>
              <w:right w:val="nil"/>
            </w:tcBorders>
            <w:shd w:val="clear" w:color="000000" w:fill="EDEDED"/>
            <w:noWrap/>
            <w:vAlign w:val="bottom"/>
            <w:hideMark/>
          </w:tcPr>
          <w:p w14:paraId="301D4E2E"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19</w:t>
            </w:r>
          </w:p>
        </w:tc>
        <w:tc>
          <w:tcPr>
            <w:tcW w:w="539" w:type="dxa"/>
            <w:tcBorders>
              <w:top w:val="nil"/>
              <w:left w:val="nil"/>
              <w:bottom w:val="nil"/>
              <w:right w:val="nil"/>
            </w:tcBorders>
            <w:shd w:val="clear" w:color="auto" w:fill="auto"/>
            <w:noWrap/>
            <w:vAlign w:val="bottom"/>
            <w:hideMark/>
          </w:tcPr>
          <w:p w14:paraId="6F4CF4ED"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765D2D78"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13.6</w:t>
            </w:r>
          </w:p>
        </w:tc>
        <w:tc>
          <w:tcPr>
            <w:tcW w:w="460" w:type="dxa"/>
            <w:tcBorders>
              <w:top w:val="nil"/>
              <w:left w:val="nil"/>
              <w:bottom w:val="nil"/>
              <w:right w:val="nil"/>
            </w:tcBorders>
            <w:shd w:val="clear" w:color="auto" w:fill="auto"/>
            <w:noWrap/>
            <w:vAlign w:val="bottom"/>
            <w:hideMark/>
          </w:tcPr>
          <w:p w14:paraId="6FA63AB8"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8</w:t>
            </w:r>
          </w:p>
        </w:tc>
        <w:tc>
          <w:tcPr>
            <w:tcW w:w="272" w:type="dxa"/>
            <w:tcBorders>
              <w:top w:val="nil"/>
              <w:left w:val="nil"/>
              <w:bottom w:val="nil"/>
              <w:right w:val="nil"/>
            </w:tcBorders>
            <w:shd w:val="clear" w:color="auto" w:fill="auto"/>
            <w:noWrap/>
            <w:vAlign w:val="bottom"/>
            <w:hideMark/>
          </w:tcPr>
          <w:p w14:paraId="572794DC"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486AB0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6.1</w:t>
            </w:r>
          </w:p>
        </w:tc>
        <w:tc>
          <w:tcPr>
            <w:tcW w:w="506" w:type="dxa"/>
            <w:tcBorders>
              <w:top w:val="nil"/>
              <w:left w:val="nil"/>
              <w:bottom w:val="nil"/>
              <w:right w:val="nil"/>
            </w:tcBorders>
            <w:shd w:val="clear" w:color="auto" w:fill="auto"/>
            <w:noWrap/>
            <w:vAlign w:val="bottom"/>
            <w:hideMark/>
          </w:tcPr>
          <w:p w14:paraId="5D5C86C8"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4</w:t>
            </w:r>
          </w:p>
        </w:tc>
        <w:tc>
          <w:tcPr>
            <w:tcW w:w="272" w:type="dxa"/>
            <w:tcBorders>
              <w:top w:val="nil"/>
              <w:left w:val="nil"/>
              <w:bottom w:val="nil"/>
              <w:right w:val="nil"/>
            </w:tcBorders>
            <w:shd w:val="clear" w:color="auto" w:fill="auto"/>
            <w:noWrap/>
            <w:vAlign w:val="bottom"/>
            <w:hideMark/>
          </w:tcPr>
          <w:p w14:paraId="41AB92EE"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E3079FE"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54C4F4B1"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w:t>
            </w:r>
          </w:p>
        </w:tc>
      </w:tr>
      <w:tr w:rsidR="00094010" w:rsidRPr="0084546B" w14:paraId="46544B66" w14:textId="77777777" w:rsidTr="003D79FF">
        <w:trPr>
          <w:trHeight w:val="315"/>
        </w:trPr>
        <w:tc>
          <w:tcPr>
            <w:tcW w:w="3969" w:type="dxa"/>
            <w:tcBorders>
              <w:top w:val="nil"/>
              <w:left w:val="nil"/>
              <w:bottom w:val="nil"/>
              <w:right w:val="nil"/>
            </w:tcBorders>
            <w:shd w:val="clear" w:color="auto" w:fill="auto"/>
            <w:noWrap/>
            <w:vAlign w:val="bottom"/>
            <w:hideMark/>
          </w:tcPr>
          <w:p w14:paraId="53FD2406"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Teacher</w:t>
            </w:r>
          </w:p>
        </w:tc>
        <w:tc>
          <w:tcPr>
            <w:tcW w:w="851" w:type="dxa"/>
            <w:tcBorders>
              <w:top w:val="nil"/>
              <w:left w:val="nil"/>
              <w:bottom w:val="nil"/>
              <w:right w:val="nil"/>
            </w:tcBorders>
            <w:shd w:val="clear" w:color="auto" w:fill="auto"/>
            <w:noWrap/>
            <w:vAlign w:val="bottom"/>
            <w:hideMark/>
          </w:tcPr>
          <w:p w14:paraId="315BE37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6.7</w:t>
            </w:r>
          </w:p>
        </w:tc>
        <w:tc>
          <w:tcPr>
            <w:tcW w:w="917" w:type="dxa"/>
            <w:gridSpan w:val="2"/>
            <w:tcBorders>
              <w:top w:val="nil"/>
              <w:left w:val="nil"/>
              <w:bottom w:val="nil"/>
              <w:right w:val="nil"/>
            </w:tcBorders>
            <w:shd w:val="clear" w:color="auto" w:fill="auto"/>
            <w:noWrap/>
            <w:vAlign w:val="bottom"/>
            <w:hideMark/>
          </w:tcPr>
          <w:p w14:paraId="2D31BAD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32</w:t>
            </w:r>
          </w:p>
        </w:tc>
        <w:tc>
          <w:tcPr>
            <w:tcW w:w="272" w:type="dxa"/>
            <w:tcBorders>
              <w:top w:val="nil"/>
              <w:left w:val="nil"/>
              <w:bottom w:val="nil"/>
              <w:right w:val="nil"/>
            </w:tcBorders>
            <w:shd w:val="clear" w:color="auto" w:fill="auto"/>
            <w:noWrap/>
            <w:vAlign w:val="bottom"/>
            <w:hideMark/>
          </w:tcPr>
          <w:p w14:paraId="67D9EB46"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2E23D17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5.6</w:t>
            </w:r>
          </w:p>
        </w:tc>
        <w:tc>
          <w:tcPr>
            <w:tcW w:w="1090" w:type="dxa"/>
            <w:tcBorders>
              <w:top w:val="nil"/>
              <w:left w:val="nil"/>
              <w:bottom w:val="nil"/>
              <w:right w:val="nil"/>
            </w:tcBorders>
            <w:shd w:val="clear" w:color="000000" w:fill="EDEDED"/>
            <w:noWrap/>
            <w:vAlign w:val="bottom"/>
            <w:hideMark/>
          </w:tcPr>
          <w:p w14:paraId="2F27B7C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19</w:t>
            </w:r>
          </w:p>
        </w:tc>
        <w:tc>
          <w:tcPr>
            <w:tcW w:w="539" w:type="dxa"/>
            <w:tcBorders>
              <w:top w:val="nil"/>
              <w:left w:val="nil"/>
              <w:bottom w:val="nil"/>
              <w:right w:val="nil"/>
            </w:tcBorders>
            <w:shd w:val="clear" w:color="auto" w:fill="auto"/>
            <w:noWrap/>
            <w:vAlign w:val="bottom"/>
            <w:hideMark/>
          </w:tcPr>
          <w:p w14:paraId="21C2C05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475A6C8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13.6</w:t>
            </w:r>
          </w:p>
        </w:tc>
        <w:tc>
          <w:tcPr>
            <w:tcW w:w="460" w:type="dxa"/>
            <w:tcBorders>
              <w:top w:val="nil"/>
              <w:left w:val="nil"/>
              <w:bottom w:val="nil"/>
              <w:right w:val="nil"/>
            </w:tcBorders>
            <w:shd w:val="clear" w:color="auto" w:fill="auto"/>
            <w:noWrap/>
            <w:vAlign w:val="bottom"/>
            <w:hideMark/>
          </w:tcPr>
          <w:p w14:paraId="730342F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w:t>
            </w:r>
          </w:p>
        </w:tc>
        <w:tc>
          <w:tcPr>
            <w:tcW w:w="272" w:type="dxa"/>
            <w:tcBorders>
              <w:top w:val="nil"/>
              <w:left w:val="nil"/>
              <w:bottom w:val="nil"/>
              <w:right w:val="nil"/>
            </w:tcBorders>
            <w:shd w:val="clear" w:color="auto" w:fill="auto"/>
            <w:noWrap/>
            <w:vAlign w:val="bottom"/>
            <w:hideMark/>
          </w:tcPr>
          <w:p w14:paraId="5F2D3DE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65AD5D2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6.1</w:t>
            </w:r>
          </w:p>
        </w:tc>
        <w:tc>
          <w:tcPr>
            <w:tcW w:w="506" w:type="dxa"/>
            <w:tcBorders>
              <w:top w:val="nil"/>
              <w:left w:val="nil"/>
              <w:bottom w:val="nil"/>
              <w:right w:val="nil"/>
            </w:tcBorders>
            <w:shd w:val="clear" w:color="auto" w:fill="auto"/>
            <w:noWrap/>
            <w:vAlign w:val="bottom"/>
            <w:hideMark/>
          </w:tcPr>
          <w:p w14:paraId="46DA7F0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w:t>
            </w:r>
          </w:p>
        </w:tc>
        <w:tc>
          <w:tcPr>
            <w:tcW w:w="272" w:type="dxa"/>
            <w:tcBorders>
              <w:top w:val="nil"/>
              <w:left w:val="nil"/>
              <w:bottom w:val="nil"/>
              <w:right w:val="nil"/>
            </w:tcBorders>
            <w:shd w:val="clear" w:color="auto" w:fill="auto"/>
            <w:noWrap/>
            <w:vAlign w:val="bottom"/>
            <w:hideMark/>
          </w:tcPr>
          <w:p w14:paraId="4747E052"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2B758D2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11.1</w:t>
            </w:r>
          </w:p>
        </w:tc>
        <w:tc>
          <w:tcPr>
            <w:tcW w:w="621" w:type="dxa"/>
            <w:tcBorders>
              <w:top w:val="nil"/>
              <w:left w:val="nil"/>
              <w:bottom w:val="nil"/>
              <w:right w:val="nil"/>
            </w:tcBorders>
            <w:shd w:val="clear" w:color="auto" w:fill="auto"/>
            <w:noWrap/>
            <w:vAlign w:val="bottom"/>
            <w:hideMark/>
          </w:tcPr>
          <w:p w14:paraId="57B498B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r>
      <w:tr w:rsidR="00094010" w:rsidRPr="0084546B" w14:paraId="6811CD42" w14:textId="77777777" w:rsidTr="003D79FF">
        <w:trPr>
          <w:trHeight w:val="315"/>
        </w:trPr>
        <w:tc>
          <w:tcPr>
            <w:tcW w:w="3969" w:type="dxa"/>
            <w:tcBorders>
              <w:top w:val="nil"/>
              <w:left w:val="nil"/>
              <w:bottom w:val="nil"/>
              <w:right w:val="nil"/>
            </w:tcBorders>
            <w:shd w:val="clear" w:color="auto" w:fill="auto"/>
            <w:noWrap/>
            <w:vAlign w:val="bottom"/>
            <w:hideMark/>
          </w:tcPr>
          <w:p w14:paraId="2ADD5F7F"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 xml:space="preserve">    Social Work</w:t>
            </w:r>
          </w:p>
        </w:tc>
        <w:tc>
          <w:tcPr>
            <w:tcW w:w="851" w:type="dxa"/>
            <w:tcBorders>
              <w:top w:val="nil"/>
              <w:left w:val="nil"/>
              <w:bottom w:val="nil"/>
              <w:right w:val="nil"/>
            </w:tcBorders>
            <w:shd w:val="clear" w:color="auto" w:fill="auto"/>
            <w:noWrap/>
            <w:vAlign w:val="bottom"/>
            <w:hideMark/>
          </w:tcPr>
          <w:p w14:paraId="09A56401"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2.1</w:t>
            </w:r>
          </w:p>
        </w:tc>
        <w:tc>
          <w:tcPr>
            <w:tcW w:w="917" w:type="dxa"/>
            <w:gridSpan w:val="2"/>
            <w:tcBorders>
              <w:top w:val="nil"/>
              <w:left w:val="nil"/>
              <w:bottom w:val="nil"/>
              <w:right w:val="nil"/>
            </w:tcBorders>
            <w:shd w:val="clear" w:color="auto" w:fill="auto"/>
            <w:noWrap/>
            <w:vAlign w:val="bottom"/>
            <w:hideMark/>
          </w:tcPr>
          <w:p w14:paraId="28FA3E2D"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10</w:t>
            </w:r>
          </w:p>
        </w:tc>
        <w:tc>
          <w:tcPr>
            <w:tcW w:w="272" w:type="dxa"/>
            <w:tcBorders>
              <w:top w:val="nil"/>
              <w:left w:val="nil"/>
              <w:bottom w:val="nil"/>
              <w:right w:val="nil"/>
            </w:tcBorders>
            <w:shd w:val="clear" w:color="auto" w:fill="auto"/>
            <w:noWrap/>
            <w:vAlign w:val="bottom"/>
            <w:hideMark/>
          </w:tcPr>
          <w:p w14:paraId="23300696"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047971DA"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1.5</w:t>
            </w:r>
          </w:p>
        </w:tc>
        <w:tc>
          <w:tcPr>
            <w:tcW w:w="1090" w:type="dxa"/>
            <w:tcBorders>
              <w:top w:val="nil"/>
              <w:left w:val="nil"/>
              <w:bottom w:val="nil"/>
              <w:right w:val="nil"/>
            </w:tcBorders>
            <w:shd w:val="clear" w:color="000000" w:fill="EDEDED"/>
            <w:noWrap/>
            <w:vAlign w:val="bottom"/>
            <w:hideMark/>
          </w:tcPr>
          <w:p w14:paraId="42116501"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5</w:t>
            </w:r>
          </w:p>
        </w:tc>
        <w:tc>
          <w:tcPr>
            <w:tcW w:w="539" w:type="dxa"/>
            <w:tcBorders>
              <w:top w:val="nil"/>
              <w:left w:val="nil"/>
              <w:bottom w:val="nil"/>
              <w:right w:val="nil"/>
            </w:tcBorders>
            <w:shd w:val="clear" w:color="auto" w:fill="auto"/>
            <w:noWrap/>
            <w:vAlign w:val="bottom"/>
            <w:hideMark/>
          </w:tcPr>
          <w:p w14:paraId="305CA2AB"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6CD942A6"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65DED3E9"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30748A5B"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01EC9071"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6B6DE82F"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72714890"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7EF9A608"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55.6</w:t>
            </w:r>
          </w:p>
        </w:tc>
        <w:tc>
          <w:tcPr>
            <w:tcW w:w="621" w:type="dxa"/>
            <w:tcBorders>
              <w:top w:val="nil"/>
              <w:left w:val="nil"/>
              <w:bottom w:val="nil"/>
              <w:right w:val="nil"/>
            </w:tcBorders>
            <w:shd w:val="clear" w:color="auto" w:fill="auto"/>
            <w:noWrap/>
            <w:vAlign w:val="bottom"/>
            <w:hideMark/>
          </w:tcPr>
          <w:p w14:paraId="4A638C7F"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5</w:t>
            </w:r>
          </w:p>
        </w:tc>
      </w:tr>
      <w:tr w:rsidR="00094010" w:rsidRPr="0084546B" w14:paraId="56A55E31" w14:textId="77777777" w:rsidTr="003D79FF">
        <w:trPr>
          <w:trHeight w:val="315"/>
        </w:trPr>
        <w:tc>
          <w:tcPr>
            <w:tcW w:w="3969" w:type="dxa"/>
            <w:tcBorders>
              <w:top w:val="nil"/>
              <w:left w:val="nil"/>
              <w:bottom w:val="nil"/>
              <w:right w:val="nil"/>
            </w:tcBorders>
            <w:shd w:val="clear" w:color="auto" w:fill="auto"/>
            <w:noWrap/>
            <w:vAlign w:val="bottom"/>
            <w:hideMark/>
          </w:tcPr>
          <w:p w14:paraId="0DFC571D"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Social worker</w:t>
            </w:r>
          </w:p>
        </w:tc>
        <w:tc>
          <w:tcPr>
            <w:tcW w:w="851" w:type="dxa"/>
            <w:tcBorders>
              <w:top w:val="nil"/>
              <w:left w:val="nil"/>
              <w:bottom w:val="nil"/>
              <w:right w:val="nil"/>
            </w:tcBorders>
            <w:shd w:val="clear" w:color="auto" w:fill="auto"/>
            <w:noWrap/>
            <w:vAlign w:val="bottom"/>
            <w:hideMark/>
          </w:tcPr>
          <w:p w14:paraId="24A6A9D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2.1</w:t>
            </w:r>
          </w:p>
        </w:tc>
        <w:tc>
          <w:tcPr>
            <w:tcW w:w="917" w:type="dxa"/>
            <w:gridSpan w:val="2"/>
            <w:tcBorders>
              <w:top w:val="nil"/>
              <w:left w:val="nil"/>
              <w:bottom w:val="nil"/>
              <w:right w:val="nil"/>
            </w:tcBorders>
            <w:shd w:val="clear" w:color="auto" w:fill="auto"/>
            <w:noWrap/>
            <w:vAlign w:val="bottom"/>
            <w:hideMark/>
          </w:tcPr>
          <w:p w14:paraId="28CF2AD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10</w:t>
            </w:r>
          </w:p>
        </w:tc>
        <w:tc>
          <w:tcPr>
            <w:tcW w:w="272" w:type="dxa"/>
            <w:tcBorders>
              <w:top w:val="nil"/>
              <w:left w:val="nil"/>
              <w:bottom w:val="nil"/>
              <w:right w:val="nil"/>
            </w:tcBorders>
            <w:shd w:val="clear" w:color="auto" w:fill="auto"/>
            <w:noWrap/>
            <w:vAlign w:val="bottom"/>
            <w:hideMark/>
          </w:tcPr>
          <w:p w14:paraId="2EAB9D13"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08B5BE5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1.5</w:t>
            </w:r>
          </w:p>
        </w:tc>
        <w:tc>
          <w:tcPr>
            <w:tcW w:w="1090" w:type="dxa"/>
            <w:tcBorders>
              <w:top w:val="nil"/>
              <w:left w:val="nil"/>
              <w:bottom w:val="nil"/>
              <w:right w:val="nil"/>
            </w:tcBorders>
            <w:shd w:val="clear" w:color="000000" w:fill="EDEDED"/>
            <w:noWrap/>
            <w:vAlign w:val="bottom"/>
            <w:hideMark/>
          </w:tcPr>
          <w:p w14:paraId="3F54D52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539" w:type="dxa"/>
            <w:tcBorders>
              <w:top w:val="nil"/>
              <w:left w:val="nil"/>
              <w:bottom w:val="nil"/>
              <w:right w:val="nil"/>
            </w:tcBorders>
            <w:shd w:val="clear" w:color="auto" w:fill="auto"/>
            <w:noWrap/>
            <w:vAlign w:val="bottom"/>
            <w:hideMark/>
          </w:tcPr>
          <w:p w14:paraId="3482B53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156F4D6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69F978BA"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229971A1"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73A90334"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35ECDA4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5A7F91EA"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6B0DA4F5"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55.6</w:t>
            </w:r>
          </w:p>
        </w:tc>
        <w:tc>
          <w:tcPr>
            <w:tcW w:w="621" w:type="dxa"/>
            <w:tcBorders>
              <w:top w:val="nil"/>
              <w:left w:val="nil"/>
              <w:bottom w:val="nil"/>
              <w:right w:val="nil"/>
            </w:tcBorders>
            <w:shd w:val="clear" w:color="auto" w:fill="auto"/>
            <w:noWrap/>
            <w:vAlign w:val="bottom"/>
            <w:hideMark/>
          </w:tcPr>
          <w:p w14:paraId="057E3AE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r>
      <w:tr w:rsidR="00094010" w:rsidRPr="0084546B" w14:paraId="6A6679CC" w14:textId="77777777" w:rsidTr="003D79FF">
        <w:trPr>
          <w:trHeight w:val="315"/>
        </w:trPr>
        <w:tc>
          <w:tcPr>
            <w:tcW w:w="3969" w:type="dxa"/>
            <w:tcBorders>
              <w:top w:val="nil"/>
              <w:left w:val="nil"/>
              <w:bottom w:val="nil"/>
              <w:right w:val="nil"/>
            </w:tcBorders>
            <w:shd w:val="clear" w:color="auto" w:fill="auto"/>
            <w:noWrap/>
            <w:vAlign w:val="bottom"/>
            <w:hideMark/>
          </w:tcPr>
          <w:p w14:paraId="211B6E32" w14:textId="77777777" w:rsidR="00BA2B62" w:rsidRPr="00467B9C" w:rsidRDefault="00BA2B62" w:rsidP="00E16B4D">
            <w:pPr>
              <w:spacing w:after="0"/>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 xml:space="preserve">    Allied Health Professional (AHP)</w:t>
            </w:r>
          </w:p>
        </w:tc>
        <w:tc>
          <w:tcPr>
            <w:tcW w:w="851" w:type="dxa"/>
            <w:tcBorders>
              <w:top w:val="nil"/>
              <w:left w:val="nil"/>
              <w:bottom w:val="nil"/>
              <w:right w:val="nil"/>
            </w:tcBorders>
            <w:shd w:val="clear" w:color="auto" w:fill="auto"/>
            <w:noWrap/>
            <w:vAlign w:val="bottom"/>
            <w:hideMark/>
          </w:tcPr>
          <w:p w14:paraId="345F3953"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2.7</w:t>
            </w:r>
          </w:p>
        </w:tc>
        <w:tc>
          <w:tcPr>
            <w:tcW w:w="917" w:type="dxa"/>
            <w:gridSpan w:val="2"/>
            <w:tcBorders>
              <w:top w:val="nil"/>
              <w:left w:val="nil"/>
              <w:bottom w:val="nil"/>
              <w:right w:val="nil"/>
            </w:tcBorders>
            <w:shd w:val="clear" w:color="auto" w:fill="auto"/>
            <w:noWrap/>
            <w:vAlign w:val="bottom"/>
            <w:hideMark/>
          </w:tcPr>
          <w:p w14:paraId="4426F1B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13</w:t>
            </w:r>
          </w:p>
        </w:tc>
        <w:tc>
          <w:tcPr>
            <w:tcW w:w="272" w:type="dxa"/>
            <w:tcBorders>
              <w:top w:val="nil"/>
              <w:left w:val="nil"/>
              <w:bottom w:val="nil"/>
              <w:right w:val="nil"/>
            </w:tcBorders>
            <w:shd w:val="clear" w:color="auto" w:fill="auto"/>
            <w:noWrap/>
            <w:vAlign w:val="bottom"/>
            <w:hideMark/>
          </w:tcPr>
          <w:p w14:paraId="25145ED7"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198711A9"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3.5</w:t>
            </w:r>
          </w:p>
        </w:tc>
        <w:tc>
          <w:tcPr>
            <w:tcW w:w="1090" w:type="dxa"/>
            <w:tcBorders>
              <w:top w:val="nil"/>
              <w:left w:val="nil"/>
              <w:bottom w:val="nil"/>
              <w:right w:val="nil"/>
            </w:tcBorders>
            <w:shd w:val="clear" w:color="000000" w:fill="EDEDED"/>
            <w:noWrap/>
            <w:vAlign w:val="bottom"/>
            <w:hideMark/>
          </w:tcPr>
          <w:p w14:paraId="6DBD32A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12</w:t>
            </w:r>
          </w:p>
        </w:tc>
        <w:tc>
          <w:tcPr>
            <w:tcW w:w="539" w:type="dxa"/>
            <w:tcBorders>
              <w:top w:val="nil"/>
              <w:left w:val="nil"/>
              <w:bottom w:val="nil"/>
              <w:right w:val="nil"/>
            </w:tcBorders>
            <w:shd w:val="clear" w:color="auto" w:fill="auto"/>
            <w:noWrap/>
            <w:vAlign w:val="bottom"/>
            <w:hideMark/>
          </w:tcPr>
          <w:p w14:paraId="0E4DC5C2"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58A84BDD"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1.7</w:t>
            </w:r>
          </w:p>
        </w:tc>
        <w:tc>
          <w:tcPr>
            <w:tcW w:w="460" w:type="dxa"/>
            <w:tcBorders>
              <w:top w:val="nil"/>
              <w:left w:val="nil"/>
              <w:bottom w:val="nil"/>
              <w:right w:val="nil"/>
            </w:tcBorders>
            <w:shd w:val="clear" w:color="auto" w:fill="auto"/>
            <w:noWrap/>
            <w:vAlign w:val="bottom"/>
            <w:hideMark/>
          </w:tcPr>
          <w:p w14:paraId="4B733374"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1</w:t>
            </w:r>
          </w:p>
        </w:tc>
        <w:tc>
          <w:tcPr>
            <w:tcW w:w="272" w:type="dxa"/>
            <w:tcBorders>
              <w:top w:val="nil"/>
              <w:left w:val="nil"/>
              <w:bottom w:val="nil"/>
              <w:right w:val="nil"/>
            </w:tcBorders>
            <w:shd w:val="clear" w:color="auto" w:fill="auto"/>
            <w:noWrap/>
            <w:vAlign w:val="bottom"/>
            <w:hideMark/>
          </w:tcPr>
          <w:p w14:paraId="1D89BEA3"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4863305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2042F54B"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43C8F6BE" w14:textId="77777777" w:rsidR="00BA2B62" w:rsidRPr="00467B9C" w:rsidRDefault="00BA2B62" w:rsidP="00E16B4D">
            <w:pPr>
              <w:spacing w:after="0"/>
              <w:jc w:val="right"/>
              <w:rPr>
                <w:rFonts w:ascii="Arial" w:eastAsia="Times New Roman" w:hAnsi="Arial" w:cs="Arial"/>
                <w:b/>
                <w:bCs/>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0FAEAF38"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3B84A2CE" w14:textId="77777777" w:rsidR="00BA2B62" w:rsidRPr="00467B9C" w:rsidRDefault="00BA2B62" w:rsidP="00E16B4D">
            <w:pPr>
              <w:spacing w:after="0"/>
              <w:jc w:val="right"/>
              <w:rPr>
                <w:rFonts w:ascii="Arial" w:eastAsia="Times New Roman" w:hAnsi="Arial" w:cs="Arial"/>
                <w:b/>
                <w:bCs/>
                <w:color w:val="000000"/>
                <w:sz w:val="20"/>
                <w:szCs w:val="20"/>
                <w:lang w:eastAsia="en-GB"/>
              </w:rPr>
            </w:pPr>
            <w:r w:rsidRPr="00467B9C">
              <w:rPr>
                <w:rFonts w:ascii="Arial" w:eastAsia="Times New Roman" w:hAnsi="Arial" w:cs="Arial"/>
                <w:b/>
                <w:bCs/>
                <w:color w:val="000000"/>
                <w:sz w:val="20"/>
                <w:szCs w:val="20"/>
                <w:lang w:eastAsia="en-GB"/>
              </w:rPr>
              <w:t>0</w:t>
            </w:r>
          </w:p>
        </w:tc>
      </w:tr>
      <w:tr w:rsidR="00094010" w:rsidRPr="0084546B" w14:paraId="062A9032" w14:textId="77777777" w:rsidTr="003D79FF">
        <w:trPr>
          <w:trHeight w:val="315"/>
        </w:trPr>
        <w:tc>
          <w:tcPr>
            <w:tcW w:w="3969" w:type="dxa"/>
            <w:tcBorders>
              <w:top w:val="nil"/>
              <w:left w:val="nil"/>
              <w:bottom w:val="nil"/>
              <w:right w:val="nil"/>
            </w:tcBorders>
            <w:shd w:val="clear" w:color="auto" w:fill="auto"/>
            <w:noWrap/>
            <w:vAlign w:val="bottom"/>
            <w:hideMark/>
          </w:tcPr>
          <w:p w14:paraId="785B737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Educational psychologist</w:t>
            </w:r>
          </w:p>
        </w:tc>
        <w:tc>
          <w:tcPr>
            <w:tcW w:w="851" w:type="dxa"/>
            <w:tcBorders>
              <w:top w:val="nil"/>
              <w:left w:val="nil"/>
              <w:bottom w:val="nil"/>
              <w:right w:val="nil"/>
            </w:tcBorders>
            <w:shd w:val="clear" w:color="auto" w:fill="auto"/>
            <w:noWrap/>
            <w:vAlign w:val="bottom"/>
            <w:hideMark/>
          </w:tcPr>
          <w:p w14:paraId="67691C0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1.7</w:t>
            </w:r>
          </w:p>
        </w:tc>
        <w:tc>
          <w:tcPr>
            <w:tcW w:w="917" w:type="dxa"/>
            <w:gridSpan w:val="2"/>
            <w:tcBorders>
              <w:top w:val="nil"/>
              <w:left w:val="nil"/>
              <w:bottom w:val="nil"/>
              <w:right w:val="nil"/>
            </w:tcBorders>
            <w:shd w:val="clear" w:color="auto" w:fill="auto"/>
            <w:noWrap/>
            <w:vAlign w:val="bottom"/>
            <w:hideMark/>
          </w:tcPr>
          <w:p w14:paraId="46643DB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w:t>
            </w:r>
          </w:p>
        </w:tc>
        <w:tc>
          <w:tcPr>
            <w:tcW w:w="272" w:type="dxa"/>
            <w:tcBorders>
              <w:top w:val="nil"/>
              <w:left w:val="nil"/>
              <w:bottom w:val="nil"/>
              <w:right w:val="nil"/>
            </w:tcBorders>
            <w:shd w:val="clear" w:color="auto" w:fill="auto"/>
            <w:noWrap/>
            <w:vAlign w:val="bottom"/>
            <w:hideMark/>
          </w:tcPr>
          <w:p w14:paraId="0EA13A4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5A46701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2.3</w:t>
            </w:r>
          </w:p>
        </w:tc>
        <w:tc>
          <w:tcPr>
            <w:tcW w:w="1090" w:type="dxa"/>
            <w:tcBorders>
              <w:top w:val="nil"/>
              <w:left w:val="nil"/>
              <w:bottom w:val="nil"/>
              <w:right w:val="nil"/>
            </w:tcBorders>
            <w:shd w:val="clear" w:color="000000" w:fill="EDEDED"/>
            <w:noWrap/>
            <w:vAlign w:val="bottom"/>
            <w:hideMark/>
          </w:tcPr>
          <w:p w14:paraId="5B48081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8</w:t>
            </w:r>
          </w:p>
        </w:tc>
        <w:tc>
          <w:tcPr>
            <w:tcW w:w="539" w:type="dxa"/>
            <w:tcBorders>
              <w:top w:val="nil"/>
              <w:left w:val="nil"/>
              <w:bottom w:val="nil"/>
              <w:right w:val="nil"/>
            </w:tcBorders>
            <w:shd w:val="clear" w:color="auto" w:fill="auto"/>
            <w:noWrap/>
            <w:vAlign w:val="bottom"/>
            <w:hideMark/>
          </w:tcPr>
          <w:p w14:paraId="756A2D7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0560394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57813D7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141FE9A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7547DD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6F6BB14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117E239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2F28A72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45A2808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125F163E" w14:textId="77777777" w:rsidTr="003D79FF">
        <w:trPr>
          <w:trHeight w:val="315"/>
        </w:trPr>
        <w:tc>
          <w:tcPr>
            <w:tcW w:w="3969" w:type="dxa"/>
            <w:tcBorders>
              <w:top w:val="nil"/>
              <w:left w:val="nil"/>
              <w:bottom w:val="nil"/>
              <w:right w:val="nil"/>
            </w:tcBorders>
            <w:shd w:val="clear" w:color="auto" w:fill="auto"/>
            <w:noWrap/>
            <w:vAlign w:val="bottom"/>
            <w:hideMark/>
          </w:tcPr>
          <w:p w14:paraId="29EA8204" w14:textId="77777777" w:rsidR="00BA2B62" w:rsidRPr="00467B9C" w:rsidRDefault="00BA2B62" w:rsidP="00E16B4D">
            <w:pPr>
              <w:spacing w:after="0"/>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 xml:space="preserve">        AHP</w:t>
            </w:r>
          </w:p>
        </w:tc>
        <w:tc>
          <w:tcPr>
            <w:tcW w:w="851" w:type="dxa"/>
            <w:tcBorders>
              <w:top w:val="nil"/>
              <w:left w:val="nil"/>
              <w:bottom w:val="nil"/>
              <w:right w:val="nil"/>
            </w:tcBorders>
            <w:shd w:val="clear" w:color="auto" w:fill="auto"/>
            <w:noWrap/>
            <w:vAlign w:val="bottom"/>
            <w:hideMark/>
          </w:tcPr>
          <w:p w14:paraId="248AA19B"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1.1</w:t>
            </w:r>
          </w:p>
        </w:tc>
        <w:tc>
          <w:tcPr>
            <w:tcW w:w="917" w:type="dxa"/>
            <w:gridSpan w:val="2"/>
            <w:tcBorders>
              <w:top w:val="nil"/>
              <w:left w:val="nil"/>
              <w:bottom w:val="nil"/>
              <w:right w:val="nil"/>
            </w:tcBorders>
            <w:shd w:val="clear" w:color="auto" w:fill="auto"/>
            <w:noWrap/>
            <w:vAlign w:val="bottom"/>
            <w:hideMark/>
          </w:tcPr>
          <w:p w14:paraId="75667C1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5</w:t>
            </w:r>
          </w:p>
        </w:tc>
        <w:tc>
          <w:tcPr>
            <w:tcW w:w="272" w:type="dxa"/>
            <w:tcBorders>
              <w:top w:val="nil"/>
              <w:left w:val="nil"/>
              <w:bottom w:val="nil"/>
              <w:right w:val="nil"/>
            </w:tcBorders>
            <w:shd w:val="clear" w:color="auto" w:fill="auto"/>
            <w:noWrap/>
            <w:vAlign w:val="bottom"/>
            <w:hideMark/>
          </w:tcPr>
          <w:p w14:paraId="77B374D0"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3A95568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1.2</w:t>
            </w:r>
          </w:p>
        </w:tc>
        <w:tc>
          <w:tcPr>
            <w:tcW w:w="1090" w:type="dxa"/>
            <w:tcBorders>
              <w:top w:val="nil"/>
              <w:left w:val="nil"/>
              <w:bottom w:val="nil"/>
              <w:right w:val="nil"/>
            </w:tcBorders>
            <w:shd w:val="clear" w:color="000000" w:fill="EDEDED"/>
            <w:noWrap/>
            <w:vAlign w:val="bottom"/>
            <w:hideMark/>
          </w:tcPr>
          <w:p w14:paraId="0E249850"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4</w:t>
            </w:r>
          </w:p>
        </w:tc>
        <w:tc>
          <w:tcPr>
            <w:tcW w:w="539" w:type="dxa"/>
            <w:tcBorders>
              <w:top w:val="nil"/>
              <w:left w:val="nil"/>
              <w:bottom w:val="nil"/>
              <w:right w:val="nil"/>
            </w:tcBorders>
            <w:shd w:val="clear" w:color="auto" w:fill="auto"/>
            <w:noWrap/>
            <w:vAlign w:val="bottom"/>
            <w:hideMark/>
          </w:tcPr>
          <w:p w14:paraId="2CF3FBC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270F869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1.7</w:t>
            </w:r>
          </w:p>
        </w:tc>
        <w:tc>
          <w:tcPr>
            <w:tcW w:w="460" w:type="dxa"/>
            <w:tcBorders>
              <w:top w:val="nil"/>
              <w:left w:val="nil"/>
              <w:bottom w:val="nil"/>
              <w:right w:val="nil"/>
            </w:tcBorders>
            <w:shd w:val="clear" w:color="auto" w:fill="auto"/>
            <w:noWrap/>
            <w:vAlign w:val="bottom"/>
            <w:hideMark/>
          </w:tcPr>
          <w:p w14:paraId="19AA512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1</w:t>
            </w:r>
          </w:p>
        </w:tc>
        <w:tc>
          <w:tcPr>
            <w:tcW w:w="272" w:type="dxa"/>
            <w:tcBorders>
              <w:top w:val="nil"/>
              <w:left w:val="nil"/>
              <w:bottom w:val="nil"/>
              <w:right w:val="nil"/>
            </w:tcBorders>
            <w:shd w:val="clear" w:color="auto" w:fill="auto"/>
            <w:noWrap/>
            <w:vAlign w:val="bottom"/>
            <w:hideMark/>
          </w:tcPr>
          <w:p w14:paraId="35F71A68"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63BCE331"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6064BFB7"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141BC56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08716FF8"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02E12542"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r w:rsidR="00094010" w:rsidRPr="0084546B" w14:paraId="0A925AAD" w14:textId="77777777" w:rsidTr="003D79FF">
        <w:trPr>
          <w:trHeight w:val="315"/>
        </w:trPr>
        <w:tc>
          <w:tcPr>
            <w:tcW w:w="3969" w:type="dxa"/>
            <w:tcBorders>
              <w:top w:val="nil"/>
              <w:left w:val="nil"/>
              <w:bottom w:val="nil"/>
              <w:right w:val="nil"/>
            </w:tcBorders>
            <w:shd w:val="clear" w:color="auto" w:fill="auto"/>
            <w:noWrap/>
            <w:vAlign w:val="bottom"/>
            <w:hideMark/>
          </w:tcPr>
          <w:p w14:paraId="64E50404" w14:textId="77777777" w:rsidR="00BA2B62" w:rsidRPr="00467B9C" w:rsidRDefault="00BA2B62" w:rsidP="00E16B4D">
            <w:pPr>
              <w:spacing w:after="0"/>
              <w:rPr>
                <w:rFonts w:ascii="Arial" w:eastAsia="Times New Roman" w:hAnsi="Arial" w:cs="Arial"/>
                <w:i/>
                <w:iCs/>
                <w:color w:val="000000"/>
                <w:sz w:val="20"/>
                <w:szCs w:val="20"/>
                <w:lang w:eastAsia="en-GB"/>
              </w:rPr>
            </w:pPr>
            <w:r w:rsidRPr="00467B9C">
              <w:rPr>
                <w:rFonts w:ascii="Arial" w:eastAsia="Times New Roman" w:hAnsi="Arial" w:cs="Arial"/>
                <w:i/>
                <w:iCs/>
                <w:color w:val="000000"/>
                <w:sz w:val="20"/>
                <w:szCs w:val="20"/>
                <w:lang w:eastAsia="en-GB"/>
              </w:rPr>
              <w:t>missing</w:t>
            </w:r>
          </w:p>
        </w:tc>
        <w:tc>
          <w:tcPr>
            <w:tcW w:w="851" w:type="dxa"/>
            <w:tcBorders>
              <w:top w:val="nil"/>
              <w:left w:val="nil"/>
              <w:bottom w:val="nil"/>
              <w:right w:val="nil"/>
            </w:tcBorders>
            <w:shd w:val="clear" w:color="auto" w:fill="auto"/>
            <w:noWrap/>
            <w:vAlign w:val="bottom"/>
            <w:hideMark/>
          </w:tcPr>
          <w:p w14:paraId="40D806D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0.4</w:t>
            </w:r>
          </w:p>
        </w:tc>
        <w:tc>
          <w:tcPr>
            <w:tcW w:w="917" w:type="dxa"/>
            <w:gridSpan w:val="2"/>
            <w:tcBorders>
              <w:top w:val="nil"/>
              <w:left w:val="nil"/>
              <w:bottom w:val="nil"/>
              <w:right w:val="nil"/>
            </w:tcBorders>
            <w:shd w:val="clear" w:color="auto" w:fill="auto"/>
            <w:noWrap/>
            <w:vAlign w:val="bottom"/>
            <w:hideMark/>
          </w:tcPr>
          <w:p w14:paraId="3A8B2379"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272" w:type="dxa"/>
            <w:tcBorders>
              <w:top w:val="nil"/>
              <w:left w:val="nil"/>
              <w:bottom w:val="nil"/>
              <w:right w:val="nil"/>
            </w:tcBorders>
            <w:shd w:val="clear" w:color="auto" w:fill="auto"/>
            <w:noWrap/>
            <w:vAlign w:val="bottom"/>
            <w:hideMark/>
          </w:tcPr>
          <w:p w14:paraId="06DCA9BC"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000000" w:fill="EDEDED"/>
            <w:noWrap/>
            <w:vAlign w:val="bottom"/>
            <w:hideMark/>
          </w:tcPr>
          <w:p w14:paraId="5A683D6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0.6</w:t>
            </w:r>
          </w:p>
        </w:tc>
        <w:tc>
          <w:tcPr>
            <w:tcW w:w="1090" w:type="dxa"/>
            <w:tcBorders>
              <w:top w:val="nil"/>
              <w:left w:val="nil"/>
              <w:bottom w:val="nil"/>
              <w:right w:val="nil"/>
            </w:tcBorders>
            <w:shd w:val="clear" w:color="000000" w:fill="EDEDED"/>
            <w:noWrap/>
            <w:vAlign w:val="bottom"/>
            <w:hideMark/>
          </w:tcPr>
          <w:p w14:paraId="6C097E4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2</w:t>
            </w:r>
          </w:p>
        </w:tc>
        <w:tc>
          <w:tcPr>
            <w:tcW w:w="539" w:type="dxa"/>
            <w:tcBorders>
              <w:top w:val="nil"/>
              <w:left w:val="nil"/>
              <w:bottom w:val="nil"/>
              <w:right w:val="nil"/>
            </w:tcBorders>
            <w:shd w:val="clear" w:color="auto" w:fill="auto"/>
            <w:noWrap/>
            <w:vAlign w:val="bottom"/>
            <w:hideMark/>
          </w:tcPr>
          <w:p w14:paraId="433E310D"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1202" w:type="dxa"/>
            <w:tcBorders>
              <w:top w:val="nil"/>
              <w:left w:val="nil"/>
              <w:bottom w:val="nil"/>
              <w:right w:val="nil"/>
            </w:tcBorders>
            <w:shd w:val="clear" w:color="auto" w:fill="auto"/>
            <w:noWrap/>
            <w:vAlign w:val="bottom"/>
            <w:hideMark/>
          </w:tcPr>
          <w:p w14:paraId="43EC8FA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460" w:type="dxa"/>
            <w:tcBorders>
              <w:top w:val="nil"/>
              <w:left w:val="nil"/>
              <w:bottom w:val="nil"/>
              <w:right w:val="nil"/>
            </w:tcBorders>
            <w:shd w:val="clear" w:color="auto" w:fill="auto"/>
            <w:noWrap/>
            <w:vAlign w:val="bottom"/>
            <w:hideMark/>
          </w:tcPr>
          <w:p w14:paraId="65508C0E"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5E19D55E"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969" w:type="dxa"/>
            <w:tcBorders>
              <w:top w:val="nil"/>
              <w:left w:val="nil"/>
              <w:bottom w:val="nil"/>
              <w:right w:val="nil"/>
            </w:tcBorders>
            <w:shd w:val="clear" w:color="auto" w:fill="auto"/>
            <w:noWrap/>
            <w:vAlign w:val="bottom"/>
            <w:hideMark/>
          </w:tcPr>
          <w:p w14:paraId="201B60A6"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506" w:type="dxa"/>
            <w:tcBorders>
              <w:top w:val="nil"/>
              <w:left w:val="nil"/>
              <w:bottom w:val="nil"/>
              <w:right w:val="nil"/>
            </w:tcBorders>
            <w:shd w:val="clear" w:color="auto" w:fill="auto"/>
            <w:noWrap/>
            <w:vAlign w:val="bottom"/>
            <w:hideMark/>
          </w:tcPr>
          <w:p w14:paraId="5557908D"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c>
          <w:tcPr>
            <w:tcW w:w="272" w:type="dxa"/>
            <w:tcBorders>
              <w:top w:val="nil"/>
              <w:left w:val="nil"/>
              <w:bottom w:val="nil"/>
              <w:right w:val="nil"/>
            </w:tcBorders>
            <w:shd w:val="clear" w:color="auto" w:fill="auto"/>
            <w:noWrap/>
            <w:vAlign w:val="bottom"/>
            <w:hideMark/>
          </w:tcPr>
          <w:p w14:paraId="1B515FAB" w14:textId="77777777" w:rsidR="00BA2B62" w:rsidRPr="00467B9C" w:rsidRDefault="00BA2B62" w:rsidP="00E16B4D">
            <w:pPr>
              <w:spacing w:after="0"/>
              <w:jc w:val="right"/>
              <w:rPr>
                <w:rFonts w:ascii="Arial" w:eastAsia="Times New Roman" w:hAnsi="Arial" w:cs="Arial"/>
                <w:color w:val="000000"/>
                <w:sz w:val="20"/>
                <w:szCs w:val="20"/>
                <w:lang w:eastAsia="en-GB"/>
              </w:rPr>
            </w:pPr>
          </w:p>
        </w:tc>
        <w:tc>
          <w:tcPr>
            <w:tcW w:w="816" w:type="dxa"/>
            <w:tcBorders>
              <w:top w:val="nil"/>
              <w:left w:val="nil"/>
              <w:bottom w:val="nil"/>
              <w:right w:val="nil"/>
            </w:tcBorders>
            <w:shd w:val="clear" w:color="auto" w:fill="auto"/>
            <w:noWrap/>
            <w:vAlign w:val="bottom"/>
            <w:hideMark/>
          </w:tcPr>
          <w:p w14:paraId="1BCFF2EC"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0.0</w:t>
            </w:r>
          </w:p>
        </w:tc>
        <w:tc>
          <w:tcPr>
            <w:tcW w:w="621" w:type="dxa"/>
            <w:tcBorders>
              <w:top w:val="nil"/>
              <w:left w:val="nil"/>
              <w:bottom w:val="nil"/>
              <w:right w:val="nil"/>
            </w:tcBorders>
            <w:shd w:val="clear" w:color="auto" w:fill="auto"/>
            <w:noWrap/>
            <w:vAlign w:val="bottom"/>
            <w:hideMark/>
          </w:tcPr>
          <w:p w14:paraId="13A70C5F" w14:textId="77777777" w:rsidR="00BA2B62" w:rsidRPr="00467B9C" w:rsidRDefault="00BA2B62" w:rsidP="00E16B4D">
            <w:pPr>
              <w:spacing w:after="0"/>
              <w:jc w:val="right"/>
              <w:rPr>
                <w:rFonts w:ascii="Arial" w:eastAsia="Times New Roman" w:hAnsi="Arial" w:cs="Arial"/>
                <w:color w:val="000000"/>
                <w:sz w:val="20"/>
                <w:szCs w:val="20"/>
                <w:lang w:eastAsia="en-GB"/>
              </w:rPr>
            </w:pPr>
            <w:r w:rsidRPr="00467B9C">
              <w:rPr>
                <w:rFonts w:ascii="Arial" w:eastAsia="Times New Roman" w:hAnsi="Arial" w:cs="Arial"/>
                <w:color w:val="000000"/>
                <w:sz w:val="20"/>
                <w:szCs w:val="20"/>
                <w:lang w:eastAsia="en-GB"/>
              </w:rPr>
              <w:t>0</w:t>
            </w:r>
          </w:p>
        </w:tc>
      </w:tr>
    </w:tbl>
    <w:p w14:paraId="2BAD613C" w14:textId="77777777" w:rsidR="00BA2B62" w:rsidRDefault="00BA2B62" w:rsidP="0042249E"/>
    <w:p w14:paraId="35781217" w14:textId="77777777" w:rsidR="00BA2B62" w:rsidRDefault="00BA2B62" w:rsidP="0042249E"/>
    <w:p w14:paraId="5A5AC748" w14:textId="77777777" w:rsidR="00BA2B62" w:rsidRDefault="00BA2B62" w:rsidP="00BA2B62">
      <w:pPr>
        <w:rPr>
          <w:rFonts w:ascii="Arial" w:hAnsi="Arial" w:cs="Arial"/>
          <w:b/>
          <w:sz w:val="20"/>
          <w:szCs w:val="20"/>
        </w:rPr>
      </w:pPr>
    </w:p>
    <w:p w14:paraId="679C0792" w14:textId="77777777" w:rsidR="00BA2B62" w:rsidRPr="00467B9C" w:rsidRDefault="00BA2B62" w:rsidP="00BA2B62">
      <w:pPr>
        <w:rPr>
          <w:rFonts w:ascii="Arial" w:hAnsi="Arial" w:cs="Arial"/>
        </w:rPr>
      </w:pPr>
      <w:r w:rsidRPr="00467B9C">
        <w:rPr>
          <w:rFonts w:ascii="Arial" w:hAnsi="Arial" w:cs="Arial"/>
          <w:b/>
        </w:rPr>
        <w:t>Table 2:</w:t>
      </w:r>
      <w:r w:rsidRPr="00467B9C">
        <w:rPr>
          <w:rFonts w:ascii="Arial" w:hAnsi="Arial" w:cs="Arial"/>
        </w:rPr>
        <w:t xml:space="preserve"> Rejection Reason</w:t>
      </w:r>
    </w:p>
    <w:p w14:paraId="67DB53E3" w14:textId="77777777" w:rsidR="00BA2B62" w:rsidRDefault="00BA2B62" w:rsidP="00BA2B62">
      <w:pPr>
        <w:rPr>
          <w:rFonts w:ascii="Arial" w:hAnsi="Arial" w:cs="Arial"/>
          <w:b/>
          <w:sz w:val="20"/>
          <w:szCs w:val="20"/>
        </w:rPr>
      </w:pPr>
    </w:p>
    <w:tbl>
      <w:tblPr>
        <w:tblW w:w="5500" w:type="dxa"/>
        <w:tblInd w:w="93" w:type="dxa"/>
        <w:tblLook w:val="04A0" w:firstRow="1" w:lastRow="0" w:firstColumn="1" w:lastColumn="0" w:noHBand="0" w:noVBand="1"/>
      </w:tblPr>
      <w:tblGrid>
        <w:gridCol w:w="3380"/>
        <w:gridCol w:w="1060"/>
        <w:gridCol w:w="1060"/>
      </w:tblGrid>
      <w:tr w:rsidR="00BA2B62" w:rsidRPr="006919C8" w14:paraId="3F933464" w14:textId="77777777" w:rsidTr="00612E2F">
        <w:trPr>
          <w:trHeight w:val="73"/>
        </w:trPr>
        <w:tc>
          <w:tcPr>
            <w:tcW w:w="3380" w:type="dxa"/>
            <w:tcBorders>
              <w:top w:val="nil"/>
              <w:left w:val="nil"/>
              <w:bottom w:val="nil"/>
              <w:right w:val="nil"/>
            </w:tcBorders>
            <w:shd w:val="clear" w:color="auto" w:fill="auto"/>
            <w:noWrap/>
            <w:vAlign w:val="bottom"/>
            <w:hideMark/>
          </w:tcPr>
          <w:p w14:paraId="642E2239" w14:textId="77777777" w:rsidR="00BA2B62" w:rsidRPr="006919C8" w:rsidRDefault="00BA2B62" w:rsidP="00612E2F">
            <w:pPr>
              <w:rPr>
                <w:rFonts w:ascii="Arial" w:eastAsia="Times New Roman" w:hAnsi="Arial" w:cs="Arial"/>
                <w:color w:val="000000"/>
                <w:sz w:val="20"/>
                <w:szCs w:val="20"/>
              </w:rPr>
            </w:pPr>
          </w:p>
        </w:tc>
        <w:tc>
          <w:tcPr>
            <w:tcW w:w="1060" w:type="dxa"/>
            <w:tcBorders>
              <w:top w:val="nil"/>
              <w:left w:val="nil"/>
              <w:bottom w:val="single" w:sz="4" w:space="0" w:color="auto"/>
              <w:right w:val="nil"/>
            </w:tcBorders>
            <w:shd w:val="clear" w:color="auto" w:fill="auto"/>
            <w:noWrap/>
            <w:vAlign w:val="bottom"/>
            <w:hideMark/>
          </w:tcPr>
          <w:p w14:paraId="58E3E116" w14:textId="77777777" w:rsidR="00BA2B62" w:rsidRPr="006919C8" w:rsidRDefault="00BA2B62" w:rsidP="00612E2F">
            <w:pPr>
              <w:rPr>
                <w:rFonts w:ascii="Arial" w:eastAsia="Times New Roman" w:hAnsi="Arial" w:cs="Arial"/>
                <w:b/>
                <w:bCs/>
                <w:color w:val="000000"/>
                <w:sz w:val="20"/>
                <w:szCs w:val="20"/>
              </w:rPr>
            </w:pPr>
            <w:r w:rsidRPr="006919C8">
              <w:rPr>
                <w:rFonts w:ascii="Arial" w:eastAsia="Times New Roman" w:hAnsi="Arial" w:cs="Arial"/>
                <w:b/>
                <w:bCs/>
                <w:color w:val="000000"/>
                <w:sz w:val="20"/>
                <w:szCs w:val="20"/>
              </w:rPr>
              <w:t>Rejected</w:t>
            </w:r>
          </w:p>
        </w:tc>
        <w:tc>
          <w:tcPr>
            <w:tcW w:w="1060" w:type="dxa"/>
            <w:tcBorders>
              <w:top w:val="nil"/>
              <w:left w:val="nil"/>
              <w:bottom w:val="single" w:sz="4" w:space="0" w:color="auto"/>
              <w:right w:val="nil"/>
            </w:tcBorders>
            <w:shd w:val="clear" w:color="auto" w:fill="auto"/>
            <w:noWrap/>
            <w:vAlign w:val="bottom"/>
            <w:hideMark/>
          </w:tcPr>
          <w:p w14:paraId="393EF6EA"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 </w:t>
            </w:r>
          </w:p>
        </w:tc>
      </w:tr>
      <w:tr w:rsidR="00BA2B62" w:rsidRPr="006919C8" w14:paraId="17FC6B33" w14:textId="77777777" w:rsidTr="00612E2F">
        <w:trPr>
          <w:trHeight w:val="104"/>
        </w:trPr>
        <w:tc>
          <w:tcPr>
            <w:tcW w:w="3380" w:type="dxa"/>
            <w:tcBorders>
              <w:top w:val="nil"/>
              <w:left w:val="nil"/>
              <w:bottom w:val="single" w:sz="4" w:space="0" w:color="auto"/>
              <w:right w:val="nil"/>
            </w:tcBorders>
            <w:shd w:val="clear" w:color="auto" w:fill="auto"/>
            <w:noWrap/>
            <w:vAlign w:val="bottom"/>
            <w:hideMark/>
          </w:tcPr>
          <w:p w14:paraId="0D4DC1D0" w14:textId="77777777" w:rsidR="00BA2B62" w:rsidRPr="006919C8" w:rsidRDefault="00BA2B62" w:rsidP="00612E2F">
            <w:pPr>
              <w:rPr>
                <w:rFonts w:ascii="Arial" w:eastAsia="Times New Roman" w:hAnsi="Arial" w:cs="Arial"/>
                <w:b/>
                <w:bCs/>
                <w:color w:val="000000"/>
                <w:sz w:val="20"/>
                <w:szCs w:val="20"/>
              </w:rPr>
            </w:pPr>
            <w:r w:rsidRPr="006919C8">
              <w:rPr>
                <w:rFonts w:ascii="Arial" w:eastAsia="Times New Roman" w:hAnsi="Arial" w:cs="Arial"/>
                <w:b/>
                <w:bCs/>
                <w:color w:val="000000"/>
                <w:sz w:val="20"/>
                <w:szCs w:val="20"/>
              </w:rPr>
              <w:t>Reason</w:t>
            </w:r>
          </w:p>
        </w:tc>
        <w:tc>
          <w:tcPr>
            <w:tcW w:w="1060" w:type="dxa"/>
            <w:tcBorders>
              <w:top w:val="nil"/>
              <w:left w:val="nil"/>
              <w:bottom w:val="single" w:sz="4" w:space="0" w:color="auto"/>
              <w:right w:val="nil"/>
            </w:tcBorders>
            <w:shd w:val="clear" w:color="auto" w:fill="auto"/>
            <w:noWrap/>
            <w:vAlign w:val="bottom"/>
            <w:hideMark/>
          </w:tcPr>
          <w:p w14:paraId="7B110819"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w:t>
            </w:r>
          </w:p>
        </w:tc>
        <w:tc>
          <w:tcPr>
            <w:tcW w:w="1060" w:type="dxa"/>
            <w:tcBorders>
              <w:top w:val="nil"/>
              <w:left w:val="nil"/>
              <w:bottom w:val="single" w:sz="4" w:space="0" w:color="auto"/>
              <w:right w:val="nil"/>
            </w:tcBorders>
            <w:shd w:val="clear" w:color="auto" w:fill="auto"/>
            <w:noWrap/>
            <w:vAlign w:val="bottom"/>
            <w:hideMark/>
          </w:tcPr>
          <w:p w14:paraId="5770A87B"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n</w:t>
            </w:r>
          </w:p>
        </w:tc>
      </w:tr>
      <w:tr w:rsidR="00BA2B62" w:rsidRPr="006919C8" w14:paraId="55237575" w14:textId="77777777" w:rsidTr="00612E2F">
        <w:trPr>
          <w:trHeight w:val="63"/>
        </w:trPr>
        <w:tc>
          <w:tcPr>
            <w:tcW w:w="3380" w:type="dxa"/>
            <w:tcBorders>
              <w:top w:val="nil"/>
              <w:left w:val="nil"/>
              <w:bottom w:val="nil"/>
              <w:right w:val="nil"/>
            </w:tcBorders>
            <w:shd w:val="clear" w:color="auto" w:fill="auto"/>
            <w:noWrap/>
            <w:vAlign w:val="bottom"/>
            <w:hideMark/>
          </w:tcPr>
          <w:p w14:paraId="49A94850"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Not Mental Health</w:t>
            </w:r>
          </w:p>
        </w:tc>
        <w:tc>
          <w:tcPr>
            <w:tcW w:w="1060" w:type="dxa"/>
            <w:tcBorders>
              <w:top w:val="nil"/>
              <w:left w:val="nil"/>
              <w:bottom w:val="nil"/>
              <w:right w:val="nil"/>
            </w:tcBorders>
            <w:shd w:val="clear" w:color="auto" w:fill="auto"/>
            <w:noWrap/>
            <w:vAlign w:val="bottom"/>
            <w:hideMark/>
          </w:tcPr>
          <w:p w14:paraId="7E47F528"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67.8</w:t>
            </w:r>
          </w:p>
        </w:tc>
        <w:tc>
          <w:tcPr>
            <w:tcW w:w="1060" w:type="dxa"/>
            <w:tcBorders>
              <w:top w:val="nil"/>
              <w:left w:val="nil"/>
              <w:bottom w:val="nil"/>
              <w:right w:val="nil"/>
            </w:tcBorders>
            <w:shd w:val="clear" w:color="auto" w:fill="auto"/>
            <w:noWrap/>
            <w:vAlign w:val="bottom"/>
            <w:hideMark/>
          </w:tcPr>
          <w:p w14:paraId="29950667"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40</w:t>
            </w:r>
          </w:p>
        </w:tc>
      </w:tr>
      <w:tr w:rsidR="00BA2B62" w:rsidRPr="006919C8" w14:paraId="017008BB" w14:textId="77777777" w:rsidTr="00612E2F">
        <w:trPr>
          <w:trHeight w:val="73"/>
        </w:trPr>
        <w:tc>
          <w:tcPr>
            <w:tcW w:w="3380" w:type="dxa"/>
            <w:tcBorders>
              <w:top w:val="nil"/>
              <w:left w:val="nil"/>
              <w:bottom w:val="nil"/>
              <w:right w:val="nil"/>
            </w:tcBorders>
            <w:shd w:val="clear" w:color="auto" w:fill="auto"/>
            <w:noWrap/>
            <w:vAlign w:val="bottom"/>
            <w:hideMark/>
          </w:tcPr>
          <w:p w14:paraId="4C5DF3C0"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Over 16 / not in school</w:t>
            </w:r>
          </w:p>
        </w:tc>
        <w:tc>
          <w:tcPr>
            <w:tcW w:w="1060" w:type="dxa"/>
            <w:tcBorders>
              <w:top w:val="nil"/>
              <w:left w:val="nil"/>
              <w:bottom w:val="nil"/>
              <w:right w:val="nil"/>
            </w:tcBorders>
            <w:shd w:val="clear" w:color="auto" w:fill="auto"/>
            <w:noWrap/>
            <w:vAlign w:val="bottom"/>
            <w:hideMark/>
          </w:tcPr>
          <w:p w14:paraId="4B5CFC51"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10.2</w:t>
            </w:r>
          </w:p>
        </w:tc>
        <w:tc>
          <w:tcPr>
            <w:tcW w:w="1060" w:type="dxa"/>
            <w:tcBorders>
              <w:top w:val="nil"/>
              <w:left w:val="nil"/>
              <w:bottom w:val="nil"/>
              <w:right w:val="nil"/>
            </w:tcBorders>
            <w:shd w:val="clear" w:color="auto" w:fill="auto"/>
            <w:noWrap/>
            <w:vAlign w:val="bottom"/>
            <w:hideMark/>
          </w:tcPr>
          <w:p w14:paraId="49489B06"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6</w:t>
            </w:r>
          </w:p>
        </w:tc>
      </w:tr>
      <w:tr w:rsidR="00BA2B62" w:rsidRPr="006919C8" w14:paraId="12ECB600" w14:textId="77777777" w:rsidTr="00612E2F">
        <w:trPr>
          <w:trHeight w:val="73"/>
        </w:trPr>
        <w:tc>
          <w:tcPr>
            <w:tcW w:w="3380" w:type="dxa"/>
            <w:tcBorders>
              <w:top w:val="nil"/>
              <w:left w:val="nil"/>
              <w:bottom w:val="nil"/>
              <w:right w:val="nil"/>
            </w:tcBorders>
            <w:shd w:val="clear" w:color="auto" w:fill="auto"/>
            <w:noWrap/>
            <w:vAlign w:val="bottom"/>
            <w:hideMark/>
          </w:tcPr>
          <w:p w14:paraId="420B8F5A"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Not enough information</w:t>
            </w:r>
          </w:p>
        </w:tc>
        <w:tc>
          <w:tcPr>
            <w:tcW w:w="1060" w:type="dxa"/>
            <w:tcBorders>
              <w:top w:val="nil"/>
              <w:left w:val="nil"/>
              <w:bottom w:val="nil"/>
              <w:right w:val="nil"/>
            </w:tcBorders>
            <w:shd w:val="clear" w:color="auto" w:fill="auto"/>
            <w:noWrap/>
            <w:vAlign w:val="bottom"/>
            <w:hideMark/>
          </w:tcPr>
          <w:p w14:paraId="508749FC"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6.8</w:t>
            </w:r>
          </w:p>
        </w:tc>
        <w:tc>
          <w:tcPr>
            <w:tcW w:w="1060" w:type="dxa"/>
            <w:tcBorders>
              <w:top w:val="nil"/>
              <w:left w:val="nil"/>
              <w:bottom w:val="nil"/>
              <w:right w:val="nil"/>
            </w:tcBorders>
            <w:shd w:val="clear" w:color="auto" w:fill="auto"/>
            <w:noWrap/>
            <w:vAlign w:val="bottom"/>
            <w:hideMark/>
          </w:tcPr>
          <w:p w14:paraId="712E2920"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4</w:t>
            </w:r>
          </w:p>
        </w:tc>
      </w:tr>
      <w:tr w:rsidR="00BA2B62" w:rsidRPr="006919C8" w14:paraId="7C90043C" w14:textId="77777777" w:rsidTr="00612E2F">
        <w:trPr>
          <w:trHeight w:val="73"/>
        </w:trPr>
        <w:tc>
          <w:tcPr>
            <w:tcW w:w="3380" w:type="dxa"/>
            <w:tcBorders>
              <w:top w:val="nil"/>
              <w:left w:val="nil"/>
              <w:bottom w:val="nil"/>
              <w:right w:val="nil"/>
            </w:tcBorders>
            <w:shd w:val="clear" w:color="auto" w:fill="auto"/>
            <w:noWrap/>
            <w:vAlign w:val="bottom"/>
            <w:hideMark/>
          </w:tcPr>
          <w:p w14:paraId="1E0EDDC4"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Out of area</w:t>
            </w:r>
          </w:p>
        </w:tc>
        <w:tc>
          <w:tcPr>
            <w:tcW w:w="1060" w:type="dxa"/>
            <w:tcBorders>
              <w:top w:val="nil"/>
              <w:left w:val="nil"/>
              <w:bottom w:val="nil"/>
              <w:right w:val="nil"/>
            </w:tcBorders>
            <w:shd w:val="clear" w:color="auto" w:fill="auto"/>
            <w:noWrap/>
            <w:vAlign w:val="bottom"/>
            <w:hideMark/>
          </w:tcPr>
          <w:p w14:paraId="3B5E71C9"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1.7</w:t>
            </w:r>
          </w:p>
        </w:tc>
        <w:tc>
          <w:tcPr>
            <w:tcW w:w="1060" w:type="dxa"/>
            <w:tcBorders>
              <w:top w:val="nil"/>
              <w:left w:val="nil"/>
              <w:bottom w:val="nil"/>
              <w:right w:val="nil"/>
            </w:tcBorders>
            <w:shd w:val="clear" w:color="auto" w:fill="auto"/>
            <w:noWrap/>
            <w:vAlign w:val="bottom"/>
            <w:hideMark/>
          </w:tcPr>
          <w:p w14:paraId="313FEDBC"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1</w:t>
            </w:r>
          </w:p>
        </w:tc>
      </w:tr>
      <w:tr w:rsidR="00BA2B62" w:rsidRPr="006919C8" w14:paraId="2F1D33B2" w14:textId="77777777" w:rsidTr="00612E2F">
        <w:trPr>
          <w:trHeight w:val="73"/>
        </w:trPr>
        <w:tc>
          <w:tcPr>
            <w:tcW w:w="3380" w:type="dxa"/>
            <w:tcBorders>
              <w:top w:val="nil"/>
              <w:left w:val="nil"/>
              <w:bottom w:val="nil"/>
              <w:right w:val="nil"/>
            </w:tcBorders>
            <w:shd w:val="clear" w:color="auto" w:fill="auto"/>
            <w:noWrap/>
            <w:vAlign w:val="bottom"/>
            <w:hideMark/>
          </w:tcPr>
          <w:p w14:paraId="3BFF61D1"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Transferred to another CAMHS</w:t>
            </w:r>
          </w:p>
        </w:tc>
        <w:tc>
          <w:tcPr>
            <w:tcW w:w="1060" w:type="dxa"/>
            <w:tcBorders>
              <w:top w:val="nil"/>
              <w:left w:val="nil"/>
              <w:bottom w:val="nil"/>
              <w:right w:val="nil"/>
            </w:tcBorders>
            <w:shd w:val="clear" w:color="auto" w:fill="auto"/>
            <w:noWrap/>
            <w:vAlign w:val="bottom"/>
            <w:hideMark/>
          </w:tcPr>
          <w:p w14:paraId="4F5857AE"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1.7</w:t>
            </w:r>
          </w:p>
        </w:tc>
        <w:tc>
          <w:tcPr>
            <w:tcW w:w="1060" w:type="dxa"/>
            <w:tcBorders>
              <w:top w:val="nil"/>
              <w:left w:val="nil"/>
              <w:bottom w:val="nil"/>
              <w:right w:val="nil"/>
            </w:tcBorders>
            <w:shd w:val="clear" w:color="auto" w:fill="auto"/>
            <w:noWrap/>
            <w:vAlign w:val="bottom"/>
            <w:hideMark/>
          </w:tcPr>
          <w:p w14:paraId="0B28965D"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1</w:t>
            </w:r>
          </w:p>
        </w:tc>
      </w:tr>
      <w:tr w:rsidR="00BA2B62" w:rsidRPr="006919C8" w14:paraId="3FED6052" w14:textId="77777777" w:rsidTr="00612E2F">
        <w:trPr>
          <w:trHeight w:val="77"/>
        </w:trPr>
        <w:tc>
          <w:tcPr>
            <w:tcW w:w="3380" w:type="dxa"/>
            <w:tcBorders>
              <w:top w:val="nil"/>
              <w:left w:val="nil"/>
              <w:bottom w:val="single" w:sz="4" w:space="0" w:color="auto"/>
              <w:right w:val="nil"/>
            </w:tcBorders>
            <w:shd w:val="clear" w:color="auto" w:fill="auto"/>
            <w:noWrap/>
            <w:vAlign w:val="bottom"/>
            <w:hideMark/>
          </w:tcPr>
          <w:p w14:paraId="0E54F933" w14:textId="77777777" w:rsidR="00BA2B62" w:rsidRPr="006919C8" w:rsidRDefault="00BA2B62" w:rsidP="00612E2F">
            <w:pPr>
              <w:rPr>
                <w:rFonts w:ascii="Arial" w:eastAsia="Times New Roman" w:hAnsi="Arial" w:cs="Arial"/>
                <w:color w:val="000000"/>
                <w:sz w:val="20"/>
                <w:szCs w:val="20"/>
              </w:rPr>
            </w:pPr>
            <w:r w:rsidRPr="006919C8">
              <w:rPr>
                <w:rFonts w:ascii="Arial" w:eastAsia="Times New Roman" w:hAnsi="Arial" w:cs="Arial"/>
                <w:color w:val="000000"/>
                <w:sz w:val="20"/>
                <w:szCs w:val="20"/>
              </w:rPr>
              <w:t>No reason given</w:t>
            </w:r>
          </w:p>
        </w:tc>
        <w:tc>
          <w:tcPr>
            <w:tcW w:w="1060" w:type="dxa"/>
            <w:tcBorders>
              <w:top w:val="nil"/>
              <w:left w:val="nil"/>
              <w:bottom w:val="single" w:sz="4" w:space="0" w:color="auto"/>
              <w:right w:val="nil"/>
            </w:tcBorders>
            <w:shd w:val="clear" w:color="auto" w:fill="auto"/>
            <w:noWrap/>
            <w:vAlign w:val="bottom"/>
            <w:hideMark/>
          </w:tcPr>
          <w:p w14:paraId="6CE8E294"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11.9</w:t>
            </w:r>
          </w:p>
        </w:tc>
        <w:tc>
          <w:tcPr>
            <w:tcW w:w="1060" w:type="dxa"/>
            <w:tcBorders>
              <w:top w:val="nil"/>
              <w:left w:val="nil"/>
              <w:bottom w:val="single" w:sz="4" w:space="0" w:color="auto"/>
              <w:right w:val="nil"/>
            </w:tcBorders>
            <w:shd w:val="clear" w:color="auto" w:fill="auto"/>
            <w:noWrap/>
            <w:vAlign w:val="bottom"/>
            <w:hideMark/>
          </w:tcPr>
          <w:p w14:paraId="3D494BCA" w14:textId="77777777" w:rsidR="00BA2B62" w:rsidRPr="006919C8" w:rsidRDefault="00BA2B62" w:rsidP="00612E2F">
            <w:pPr>
              <w:jc w:val="right"/>
              <w:rPr>
                <w:rFonts w:ascii="Arial" w:eastAsia="Times New Roman" w:hAnsi="Arial" w:cs="Arial"/>
                <w:color w:val="000000"/>
                <w:sz w:val="20"/>
                <w:szCs w:val="20"/>
              </w:rPr>
            </w:pPr>
            <w:r w:rsidRPr="006919C8">
              <w:rPr>
                <w:rFonts w:ascii="Arial" w:eastAsia="Times New Roman" w:hAnsi="Arial" w:cs="Arial"/>
                <w:color w:val="000000"/>
                <w:sz w:val="20"/>
                <w:szCs w:val="20"/>
              </w:rPr>
              <w:t>7</w:t>
            </w:r>
          </w:p>
        </w:tc>
      </w:tr>
      <w:tr w:rsidR="00BA2B62" w:rsidRPr="006919C8" w14:paraId="473EB891" w14:textId="77777777" w:rsidTr="00612E2F">
        <w:trPr>
          <w:trHeight w:val="63"/>
        </w:trPr>
        <w:tc>
          <w:tcPr>
            <w:tcW w:w="3380" w:type="dxa"/>
            <w:tcBorders>
              <w:top w:val="nil"/>
              <w:left w:val="nil"/>
              <w:bottom w:val="nil"/>
              <w:right w:val="nil"/>
            </w:tcBorders>
            <w:shd w:val="clear" w:color="auto" w:fill="auto"/>
            <w:noWrap/>
            <w:vAlign w:val="bottom"/>
            <w:hideMark/>
          </w:tcPr>
          <w:p w14:paraId="1094FEC3" w14:textId="77777777" w:rsidR="00BA2B62" w:rsidRPr="006919C8" w:rsidRDefault="00BA2B62" w:rsidP="00612E2F">
            <w:pPr>
              <w:rPr>
                <w:rFonts w:ascii="Arial" w:eastAsia="Times New Roman" w:hAnsi="Arial" w:cs="Arial"/>
                <w:b/>
                <w:bCs/>
                <w:color w:val="000000"/>
                <w:sz w:val="20"/>
                <w:szCs w:val="20"/>
              </w:rPr>
            </w:pPr>
            <w:r w:rsidRPr="006919C8">
              <w:rPr>
                <w:rFonts w:ascii="Arial" w:eastAsia="Times New Roman" w:hAnsi="Arial" w:cs="Arial"/>
                <w:b/>
                <w:bCs/>
                <w:color w:val="000000"/>
                <w:sz w:val="20"/>
                <w:szCs w:val="20"/>
              </w:rPr>
              <w:t>Total</w:t>
            </w:r>
          </w:p>
        </w:tc>
        <w:tc>
          <w:tcPr>
            <w:tcW w:w="1060" w:type="dxa"/>
            <w:tcBorders>
              <w:top w:val="nil"/>
              <w:left w:val="nil"/>
              <w:bottom w:val="nil"/>
              <w:right w:val="nil"/>
            </w:tcBorders>
            <w:shd w:val="clear" w:color="auto" w:fill="auto"/>
            <w:noWrap/>
            <w:vAlign w:val="bottom"/>
            <w:hideMark/>
          </w:tcPr>
          <w:p w14:paraId="3EFE3191" w14:textId="77777777" w:rsidR="00BA2B62" w:rsidRPr="006919C8" w:rsidRDefault="00BA2B62" w:rsidP="00612E2F">
            <w:pPr>
              <w:jc w:val="right"/>
              <w:rPr>
                <w:rFonts w:ascii="Arial" w:eastAsia="Times New Roman" w:hAnsi="Arial" w:cs="Arial"/>
                <w:b/>
                <w:bCs/>
                <w:color w:val="000000"/>
                <w:sz w:val="20"/>
                <w:szCs w:val="20"/>
              </w:rPr>
            </w:pPr>
            <w:r w:rsidRPr="006919C8">
              <w:rPr>
                <w:rFonts w:ascii="Arial" w:eastAsia="Times New Roman" w:hAnsi="Arial" w:cs="Arial"/>
                <w:b/>
                <w:bCs/>
                <w:color w:val="000000"/>
                <w:sz w:val="20"/>
                <w:szCs w:val="20"/>
              </w:rPr>
              <w:t>100</w:t>
            </w:r>
          </w:p>
        </w:tc>
        <w:tc>
          <w:tcPr>
            <w:tcW w:w="1060" w:type="dxa"/>
            <w:tcBorders>
              <w:top w:val="nil"/>
              <w:left w:val="nil"/>
              <w:bottom w:val="nil"/>
              <w:right w:val="nil"/>
            </w:tcBorders>
            <w:shd w:val="clear" w:color="auto" w:fill="auto"/>
            <w:noWrap/>
            <w:vAlign w:val="bottom"/>
            <w:hideMark/>
          </w:tcPr>
          <w:p w14:paraId="38C06064" w14:textId="77777777" w:rsidR="00BA2B62" w:rsidRPr="006919C8" w:rsidRDefault="00BA2B62" w:rsidP="00612E2F">
            <w:pPr>
              <w:jc w:val="right"/>
              <w:rPr>
                <w:rFonts w:ascii="Arial" w:eastAsia="Times New Roman" w:hAnsi="Arial" w:cs="Arial"/>
                <w:b/>
                <w:bCs/>
                <w:color w:val="000000"/>
                <w:sz w:val="20"/>
                <w:szCs w:val="20"/>
              </w:rPr>
            </w:pPr>
            <w:r w:rsidRPr="006919C8">
              <w:rPr>
                <w:rFonts w:ascii="Arial" w:eastAsia="Times New Roman" w:hAnsi="Arial" w:cs="Arial"/>
                <w:b/>
                <w:bCs/>
                <w:color w:val="000000"/>
                <w:sz w:val="20"/>
                <w:szCs w:val="20"/>
              </w:rPr>
              <w:t>59</w:t>
            </w:r>
          </w:p>
        </w:tc>
      </w:tr>
    </w:tbl>
    <w:p w14:paraId="4C3B5D27" w14:textId="77777777" w:rsidR="00BA2B62" w:rsidRDefault="00BA2B62" w:rsidP="0042249E"/>
    <w:p w14:paraId="1C719024" w14:textId="77777777" w:rsidR="00BA2B62" w:rsidRDefault="00BA2B62" w:rsidP="0042249E"/>
    <w:p w14:paraId="4BB368EE" w14:textId="77777777" w:rsidR="00BA2B62" w:rsidRDefault="00BA2B62" w:rsidP="0042249E"/>
    <w:p w14:paraId="3CCD409D" w14:textId="77777777" w:rsidR="00BA2B62" w:rsidRDefault="00BA2B62" w:rsidP="0042249E"/>
    <w:p w14:paraId="29348BD2" w14:textId="77777777" w:rsidR="00BA2B62" w:rsidRDefault="00BA2B62" w:rsidP="0042249E"/>
    <w:p w14:paraId="5FE4C763" w14:textId="77777777" w:rsidR="00BA2B62" w:rsidRDefault="00BA2B62" w:rsidP="0042249E"/>
    <w:p w14:paraId="66C20178" w14:textId="77777777" w:rsidR="00BA2B62" w:rsidRDefault="00BA2B62" w:rsidP="0042249E"/>
    <w:p w14:paraId="3BBF5700" w14:textId="77777777" w:rsidR="00BA2B62" w:rsidRDefault="00BA2B62" w:rsidP="00BA2B62"/>
    <w:p w14:paraId="36795EE3" w14:textId="77777777" w:rsidR="00467B9C" w:rsidRDefault="00467B9C" w:rsidP="00BA2B62"/>
    <w:p w14:paraId="6939F3AB" w14:textId="77777777" w:rsidR="00467B9C" w:rsidRDefault="00467B9C" w:rsidP="00BA2B62"/>
    <w:p w14:paraId="6F45D2B7" w14:textId="77777777" w:rsidR="00BA2B62" w:rsidRPr="00467B9C" w:rsidRDefault="00BA2B62" w:rsidP="00BA2B62">
      <w:pPr>
        <w:rPr>
          <w:rFonts w:ascii="Arial" w:hAnsi="Arial" w:cs="Arial"/>
        </w:rPr>
      </w:pPr>
      <w:r w:rsidRPr="00467B9C">
        <w:rPr>
          <w:rFonts w:ascii="Arial" w:hAnsi="Arial" w:cs="Arial"/>
          <w:b/>
        </w:rPr>
        <w:t>Table 3</w:t>
      </w:r>
      <w:r w:rsidRPr="00467B9C">
        <w:rPr>
          <w:rFonts w:ascii="Arial" w:hAnsi="Arial" w:cs="Arial"/>
        </w:rPr>
        <w:t>: Binary Logistic Regression Model (Rejected/Not Rejected by CAMHS)</w:t>
      </w:r>
    </w:p>
    <w:p w14:paraId="64B1B063" w14:textId="77777777" w:rsidR="00BA2B62" w:rsidRPr="00F35246" w:rsidRDefault="00BA2B62" w:rsidP="00BA2B62">
      <w:pPr>
        <w:rPr>
          <w:rFonts w:ascii="Arial" w:hAnsi="Arial" w:cs="Arial"/>
          <w:sz w:val="20"/>
          <w:szCs w:val="20"/>
        </w:rPr>
      </w:pPr>
    </w:p>
    <w:tbl>
      <w:tblPr>
        <w:tblStyle w:val="TableGrid"/>
        <w:tblW w:w="120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410"/>
        <w:gridCol w:w="2868"/>
        <w:gridCol w:w="2977"/>
      </w:tblGrid>
      <w:tr w:rsidR="004A3951" w:rsidRPr="00F35246" w14:paraId="770F7C3E" w14:textId="77777777" w:rsidTr="00071CC2">
        <w:tc>
          <w:tcPr>
            <w:tcW w:w="3794" w:type="dxa"/>
          </w:tcPr>
          <w:p w14:paraId="0FC8B430" w14:textId="77777777" w:rsidR="00BA2B62" w:rsidRPr="00F35246" w:rsidRDefault="00BA2B62" w:rsidP="00612E2F">
            <w:pPr>
              <w:rPr>
                <w:rFonts w:ascii="Arial" w:hAnsi="Arial" w:cs="Arial"/>
                <w:sz w:val="20"/>
                <w:szCs w:val="20"/>
              </w:rPr>
            </w:pPr>
          </w:p>
        </w:tc>
        <w:tc>
          <w:tcPr>
            <w:tcW w:w="2410" w:type="dxa"/>
          </w:tcPr>
          <w:p w14:paraId="21B55055" w14:textId="77777777" w:rsidR="00BA2B62" w:rsidRPr="00F35246" w:rsidRDefault="00BA2B62" w:rsidP="00612E2F">
            <w:pPr>
              <w:rPr>
                <w:rFonts w:ascii="Arial" w:hAnsi="Arial" w:cs="Arial"/>
                <w:sz w:val="20"/>
                <w:szCs w:val="20"/>
              </w:rPr>
            </w:pPr>
            <w:r w:rsidRPr="00F35246">
              <w:rPr>
                <w:rFonts w:ascii="Arial" w:hAnsi="Arial" w:cs="Arial"/>
                <w:sz w:val="20"/>
                <w:szCs w:val="20"/>
              </w:rPr>
              <w:t>Rejected</w:t>
            </w:r>
          </w:p>
        </w:tc>
        <w:tc>
          <w:tcPr>
            <w:tcW w:w="2868" w:type="dxa"/>
          </w:tcPr>
          <w:p w14:paraId="43D79DE0" w14:textId="77777777" w:rsidR="00BA2B62" w:rsidRPr="00F35246" w:rsidRDefault="00BA2B62" w:rsidP="00612E2F">
            <w:pPr>
              <w:rPr>
                <w:rFonts w:ascii="Arial" w:hAnsi="Arial" w:cs="Arial"/>
                <w:sz w:val="20"/>
                <w:szCs w:val="20"/>
              </w:rPr>
            </w:pPr>
          </w:p>
        </w:tc>
        <w:tc>
          <w:tcPr>
            <w:tcW w:w="2977" w:type="dxa"/>
          </w:tcPr>
          <w:p w14:paraId="41D081C7" w14:textId="77777777" w:rsidR="00BA2B62" w:rsidRPr="00F35246" w:rsidRDefault="00BA2B62" w:rsidP="00612E2F">
            <w:pPr>
              <w:rPr>
                <w:rFonts w:ascii="Arial" w:hAnsi="Arial" w:cs="Arial"/>
                <w:sz w:val="20"/>
                <w:szCs w:val="20"/>
              </w:rPr>
            </w:pPr>
          </w:p>
        </w:tc>
      </w:tr>
      <w:tr w:rsidR="004A3951" w:rsidRPr="00F35246" w14:paraId="38728DFB" w14:textId="77777777" w:rsidTr="00071CC2">
        <w:tc>
          <w:tcPr>
            <w:tcW w:w="3794" w:type="dxa"/>
          </w:tcPr>
          <w:p w14:paraId="281E4545" w14:textId="77777777" w:rsidR="00BA2B62" w:rsidRPr="00F35246" w:rsidRDefault="00BA2B62" w:rsidP="00612E2F">
            <w:pPr>
              <w:rPr>
                <w:rFonts w:ascii="Arial" w:hAnsi="Arial" w:cs="Arial"/>
                <w:sz w:val="20"/>
                <w:szCs w:val="20"/>
              </w:rPr>
            </w:pPr>
          </w:p>
        </w:tc>
        <w:tc>
          <w:tcPr>
            <w:tcW w:w="2410" w:type="dxa"/>
          </w:tcPr>
          <w:p w14:paraId="2C542D87" w14:textId="77777777" w:rsidR="00BA2B62" w:rsidRPr="00F35246" w:rsidRDefault="00BA2B62" w:rsidP="00612E2F">
            <w:pPr>
              <w:rPr>
                <w:rFonts w:ascii="Arial" w:hAnsi="Arial" w:cs="Arial"/>
                <w:sz w:val="20"/>
                <w:szCs w:val="20"/>
              </w:rPr>
            </w:pPr>
            <w:r w:rsidRPr="00F35246">
              <w:rPr>
                <w:rFonts w:ascii="Arial" w:hAnsi="Arial" w:cs="Arial"/>
                <w:sz w:val="20"/>
                <w:szCs w:val="20"/>
              </w:rPr>
              <w:t>Unadjusted</w:t>
            </w:r>
          </w:p>
        </w:tc>
        <w:tc>
          <w:tcPr>
            <w:tcW w:w="2868" w:type="dxa"/>
            <w:tcBorders>
              <w:bottom w:val="single" w:sz="4" w:space="0" w:color="auto"/>
            </w:tcBorders>
          </w:tcPr>
          <w:p w14:paraId="34635621" w14:textId="77777777" w:rsidR="00BA2B62" w:rsidRDefault="00BA2B62" w:rsidP="004A3951">
            <w:pPr>
              <w:rPr>
                <w:rFonts w:ascii="Arial" w:hAnsi="Arial" w:cs="Arial"/>
                <w:sz w:val="20"/>
                <w:szCs w:val="20"/>
              </w:rPr>
            </w:pPr>
            <w:r>
              <w:rPr>
                <w:rFonts w:ascii="Arial" w:hAnsi="Arial" w:cs="Arial"/>
                <w:sz w:val="20"/>
                <w:szCs w:val="20"/>
              </w:rPr>
              <w:t>Adjusted</w:t>
            </w:r>
          </w:p>
        </w:tc>
        <w:tc>
          <w:tcPr>
            <w:tcW w:w="2977" w:type="dxa"/>
            <w:tcBorders>
              <w:bottom w:val="single" w:sz="4" w:space="0" w:color="auto"/>
            </w:tcBorders>
          </w:tcPr>
          <w:p w14:paraId="61EC11C5" w14:textId="77777777" w:rsidR="00BA2B62" w:rsidRPr="00F35246" w:rsidRDefault="00BA2B62" w:rsidP="00612E2F">
            <w:pPr>
              <w:rPr>
                <w:rFonts w:ascii="Arial" w:hAnsi="Arial" w:cs="Arial"/>
                <w:sz w:val="20"/>
                <w:szCs w:val="20"/>
              </w:rPr>
            </w:pPr>
          </w:p>
        </w:tc>
      </w:tr>
      <w:tr w:rsidR="004A3951" w:rsidRPr="00F35246" w14:paraId="0597CE53" w14:textId="77777777" w:rsidTr="00071CC2">
        <w:tc>
          <w:tcPr>
            <w:tcW w:w="3794" w:type="dxa"/>
            <w:tcBorders>
              <w:bottom w:val="single" w:sz="4" w:space="0" w:color="auto"/>
            </w:tcBorders>
          </w:tcPr>
          <w:p w14:paraId="1DBDA0BD" w14:textId="77777777" w:rsidR="00BA2B62" w:rsidRPr="00F35246" w:rsidRDefault="00BA2B62" w:rsidP="004A3951">
            <w:pPr>
              <w:rPr>
                <w:rFonts w:ascii="Arial" w:hAnsi="Arial" w:cs="Arial"/>
                <w:sz w:val="20"/>
                <w:szCs w:val="20"/>
              </w:rPr>
            </w:pPr>
            <w:r w:rsidRPr="00F35246">
              <w:rPr>
                <w:rFonts w:ascii="Arial" w:hAnsi="Arial" w:cs="Arial"/>
                <w:sz w:val="20"/>
                <w:szCs w:val="20"/>
              </w:rPr>
              <w:t>Variable</w:t>
            </w:r>
          </w:p>
        </w:tc>
        <w:tc>
          <w:tcPr>
            <w:tcW w:w="2410" w:type="dxa"/>
            <w:tcBorders>
              <w:bottom w:val="single" w:sz="4" w:space="0" w:color="auto"/>
            </w:tcBorders>
          </w:tcPr>
          <w:p w14:paraId="0ECC423D" w14:textId="77777777" w:rsidR="00BA2B62" w:rsidRPr="00F35246" w:rsidRDefault="00BA2B62" w:rsidP="00612E2F">
            <w:pPr>
              <w:rPr>
                <w:rFonts w:ascii="Arial" w:hAnsi="Arial" w:cs="Arial"/>
                <w:sz w:val="20"/>
                <w:szCs w:val="20"/>
              </w:rPr>
            </w:pPr>
          </w:p>
        </w:tc>
        <w:tc>
          <w:tcPr>
            <w:tcW w:w="2868" w:type="dxa"/>
            <w:tcBorders>
              <w:top w:val="single" w:sz="4" w:space="0" w:color="auto"/>
              <w:bottom w:val="single" w:sz="4" w:space="0" w:color="auto"/>
            </w:tcBorders>
          </w:tcPr>
          <w:p w14:paraId="4D15CDE4" w14:textId="77777777" w:rsidR="00BA2B62" w:rsidRPr="00F35246" w:rsidRDefault="004A3951" w:rsidP="00612E2F">
            <w:pPr>
              <w:rPr>
                <w:rFonts w:ascii="Arial" w:hAnsi="Arial" w:cs="Arial"/>
                <w:sz w:val="20"/>
                <w:szCs w:val="20"/>
              </w:rPr>
            </w:pPr>
            <w:r>
              <w:rPr>
                <w:rFonts w:ascii="Arial" w:hAnsi="Arial" w:cs="Arial"/>
                <w:sz w:val="20"/>
                <w:szCs w:val="20"/>
              </w:rPr>
              <w:t>Model 1 (</w:t>
            </w:r>
            <w:r w:rsidR="00BA2B62">
              <w:rPr>
                <w:rFonts w:ascii="Arial" w:hAnsi="Arial" w:cs="Arial"/>
                <w:sz w:val="20"/>
                <w:szCs w:val="20"/>
              </w:rPr>
              <w:t>Excluding SIMD</w:t>
            </w:r>
            <w:r>
              <w:rPr>
                <w:rFonts w:ascii="Arial" w:hAnsi="Arial" w:cs="Arial"/>
                <w:sz w:val="20"/>
                <w:szCs w:val="20"/>
              </w:rPr>
              <w:t>)</w:t>
            </w:r>
            <w:r w:rsidRPr="00071CC2">
              <w:rPr>
                <w:rFonts w:ascii="Arial" w:hAnsi="Arial" w:cs="Arial"/>
                <w:sz w:val="20"/>
                <w:szCs w:val="20"/>
                <w:vertAlign w:val="superscript"/>
              </w:rPr>
              <w:t>1</w:t>
            </w:r>
          </w:p>
        </w:tc>
        <w:tc>
          <w:tcPr>
            <w:tcW w:w="2977" w:type="dxa"/>
            <w:tcBorders>
              <w:top w:val="single" w:sz="4" w:space="0" w:color="auto"/>
              <w:bottom w:val="single" w:sz="4" w:space="0" w:color="auto"/>
            </w:tcBorders>
          </w:tcPr>
          <w:p w14:paraId="5888725A" w14:textId="77777777" w:rsidR="00BA2B62" w:rsidRPr="00F35246" w:rsidRDefault="004A3951" w:rsidP="00612E2F">
            <w:pPr>
              <w:rPr>
                <w:rFonts w:ascii="Arial" w:hAnsi="Arial" w:cs="Arial"/>
                <w:sz w:val="20"/>
                <w:szCs w:val="20"/>
              </w:rPr>
            </w:pPr>
            <w:r>
              <w:rPr>
                <w:rFonts w:ascii="Arial" w:hAnsi="Arial" w:cs="Arial"/>
                <w:sz w:val="20"/>
                <w:szCs w:val="20"/>
              </w:rPr>
              <w:t>Model 2 (</w:t>
            </w:r>
            <w:r w:rsidR="00BA2B62">
              <w:rPr>
                <w:rFonts w:ascii="Arial" w:hAnsi="Arial" w:cs="Arial"/>
                <w:sz w:val="20"/>
                <w:szCs w:val="20"/>
              </w:rPr>
              <w:t>Including SIMD</w:t>
            </w:r>
            <w:r>
              <w:rPr>
                <w:rFonts w:ascii="Arial" w:hAnsi="Arial" w:cs="Arial"/>
                <w:sz w:val="20"/>
                <w:szCs w:val="20"/>
              </w:rPr>
              <w:t>)</w:t>
            </w:r>
            <w:r w:rsidRPr="00071CC2">
              <w:rPr>
                <w:rFonts w:ascii="Arial" w:hAnsi="Arial" w:cs="Arial"/>
                <w:sz w:val="20"/>
                <w:szCs w:val="20"/>
                <w:vertAlign w:val="superscript"/>
              </w:rPr>
              <w:t>2</w:t>
            </w:r>
          </w:p>
        </w:tc>
      </w:tr>
      <w:tr w:rsidR="004A3951" w:rsidRPr="0099221B" w14:paraId="2BDBE6B3" w14:textId="77777777" w:rsidTr="00071CC2">
        <w:tc>
          <w:tcPr>
            <w:tcW w:w="3794" w:type="dxa"/>
            <w:tcBorders>
              <w:top w:val="single" w:sz="4" w:space="0" w:color="auto"/>
            </w:tcBorders>
          </w:tcPr>
          <w:p w14:paraId="2BD301A6" w14:textId="77777777" w:rsidR="00BA2B62" w:rsidRPr="0099221B" w:rsidRDefault="00BA2B62" w:rsidP="00612E2F">
            <w:pPr>
              <w:rPr>
                <w:rFonts w:ascii="Arial" w:hAnsi="Arial" w:cs="Arial"/>
                <w:sz w:val="10"/>
                <w:szCs w:val="10"/>
              </w:rPr>
            </w:pPr>
          </w:p>
        </w:tc>
        <w:tc>
          <w:tcPr>
            <w:tcW w:w="2410" w:type="dxa"/>
            <w:tcBorders>
              <w:top w:val="single" w:sz="4" w:space="0" w:color="auto"/>
            </w:tcBorders>
          </w:tcPr>
          <w:p w14:paraId="58F2F952" w14:textId="77777777" w:rsidR="00BA2B62" w:rsidRPr="0099221B" w:rsidRDefault="00BA2B62" w:rsidP="00612E2F">
            <w:pPr>
              <w:rPr>
                <w:rFonts w:ascii="Arial" w:hAnsi="Arial" w:cs="Arial"/>
                <w:sz w:val="10"/>
                <w:szCs w:val="10"/>
              </w:rPr>
            </w:pPr>
          </w:p>
        </w:tc>
        <w:tc>
          <w:tcPr>
            <w:tcW w:w="2868" w:type="dxa"/>
            <w:tcBorders>
              <w:top w:val="single" w:sz="4" w:space="0" w:color="auto"/>
            </w:tcBorders>
          </w:tcPr>
          <w:p w14:paraId="7C53AB95" w14:textId="77777777" w:rsidR="00BA2B62" w:rsidRPr="0099221B" w:rsidRDefault="00BA2B62" w:rsidP="00612E2F">
            <w:pPr>
              <w:rPr>
                <w:rFonts w:ascii="Arial" w:hAnsi="Arial" w:cs="Arial"/>
                <w:sz w:val="10"/>
                <w:szCs w:val="10"/>
              </w:rPr>
            </w:pPr>
          </w:p>
        </w:tc>
        <w:tc>
          <w:tcPr>
            <w:tcW w:w="2977" w:type="dxa"/>
            <w:tcBorders>
              <w:top w:val="single" w:sz="4" w:space="0" w:color="auto"/>
            </w:tcBorders>
          </w:tcPr>
          <w:p w14:paraId="30EA6971" w14:textId="77777777" w:rsidR="00BA2B62" w:rsidRPr="0099221B" w:rsidRDefault="00BA2B62" w:rsidP="00612E2F">
            <w:pPr>
              <w:rPr>
                <w:rFonts w:ascii="Arial" w:hAnsi="Arial" w:cs="Arial"/>
                <w:sz w:val="10"/>
                <w:szCs w:val="10"/>
              </w:rPr>
            </w:pPr>
          </w:p>
        </w:tc>
      </w:tr>
      <w:tr w:rsidR="004A3951" w:rsidRPr="00F35246" w14:paraId="69498A10" w14:textId="77777777" w:rsidTr="00071CC2">
        <w:tc>
          <w:tcPr>
            <w:tcW w:w="3794" w:type="dxa"/>
          </w:tcPr>
          <w:p w14:paraId="2E2E21EB" w14:textId="77777777" w:rsidR="00BA2B62" w:rsidRPr="00F35246" w:rsidRDefault="00BA2B62" w:rsidP="00612E2F">
            <w:pPr>
              <w:rPr>
                <w:rFonts w:ascii="Arial" w:hAnsi="Arial" w:cs="Arial"/>
                <w:b/>
                <w:sz w:val="20"/>
                <w:szCs w:val="20"/>
              </w:rPr>
            </w:pPr>
            <w:r w:rsidRPr="00F35246">
              <w:rPr>
                <w:rFonts w:ascii="Arial" w:hAnsi="Arial" w:cs="Arial"/>
                <w:b/>
                <w:sz w:val="20"/>
                <w:szCs w:val="20"/>
              </w:rPr>
              <w:t>Age</w:t>
            </w:r>
          </w:p>
        </w:tc>
        <w:tc>
          <w:tcPr>
            <w:tcW w:w="2410" w:type="dxa"/>
          </w:tcPr>
          <w:p w14:paraId="3AD7F363" w14:textId="77777777" w:rsidR="00BA2B62" w:rsidRPr="00F35246" w:rsidRDefault="00BA2B62" w:rsidP="00612E2F">
            <w:pPr>
              <w:rPr>
                <w:rFonts w:ascii="Arial" w:hAnsi="Arial" w:cs="Arial"/>
                <w:sz w:val="20"/>
                <w:szCs w:val="20"/>
              </w:rPr>
            </w:pPr>
          </w:p>
        </w:tc>
        <w:tc>
          <w:tcPr>
            <w:tcW w:w="2868" w:type="dxa"/>
          </w:tcPr>
          <w:p w14:paraId="09A0ED97" w14:textId="77777777" w:rsidR="00BA2B62" w:rsidRPr="00F35246" w:rsidRDefault="00BA2B62" w:rsidP="00612E2F">
            <w:pPr>
              <w:rPr>
                <w:rFonts w:ascii="Arial" w:hAnsi="Arial" w:cs="Arial"/>
                <w:sz w:val="20"/>
                <w:szCs w:val="20"/>
              </w:rPr>
            </w:pPr>
          </w:p>
        </w:tc>
        <w:tc>
          <w:tcPr>
            <w:tcW w:w="2977" w:type="dxa"/>
          </w:tcPr>
          <w:p w14:paraId="7DC77E69" w14:textId="77777777" w:rsidR="00BA2B62" w:rsidRPr="00F35246" w:rsidRDefault="00BA2B62" w:rsidP="00612E2F">
            <w:pPr>
              <w:rPr>
                <w:rFonts w:ascii="Arial" w:hAnsi="Arial" w:cs="Arial"/>
                <w:sz w:val="20"/>
                <w:szCs w:val="20"/>
              </w:rPr>
            </w:pPr>
          </w:p>
        </w:tc>
      </w:tr>
      <w:tr w:rsidR="004A3951" w:rsidRPr="00F35246" w14:paraId="32079780" w14:textId="77777777" w:rsidTr="00071CC2">
        <w:tc>
          <w:tcPr>
            <w:tcW w:w="3794" w:type="dxa"/>
          </w:tcPr>
          <w:p w14:paraId="454274D5"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Early years (0 to 5)</w:t>
            </w:r>
          </w:p>
        </w:tc>
        <w:tc>
          <w:tcPr>
            <w:tcW w:w="2410" w:type="dxa"/>
            <w:shd w:val="clear" w:color="auto" w:fill="auto"/>
          </w:tcPr>
          <w:p w14:paraId="2188F43C" w14:textId="77777777" w:rsidR="00BA2B62" w:rsidRPr="009B335C" w:rsidRDefault="00BA2B62" w:rsidP="00612E2F">
            <w:pPr>
              <w:rPr>
                <w:rFonts w:ascii="Arial" w:hAnsi="Arial" w:cs="Arial"/>
                <w:sz w:val="20"/>
                <w:szCs w:val="20"/>
              </w:rPr>
            </w:pPr>
            <w:r w:rsidRPr="009B335C">
              <w:rPr>
                <w:rFonts w:ascii="Arial" w:hAnsi="Arial" w:cs="Arial"/>
                <w:sz w:val="20"/>
                <w:szCs w:val="20"/>
              </w:rPr>
              <w:t>1.09 (0.44-2.69)</w:t>
            </w:r>
          </w:p>
        </w:tc>
        <w:tc>
          <w:tcPr>
            <w:tcW w:w="2868" w:type="dxa"/>
          </w:tcPr>
          <w:p w14:paraId="1E0E6802" w14:textId="77777777" w:rsidR="00BA2B62" w:rsidRPr="00023B92" w:rsidRDefault="00BA2B62" w:rsidP="00612E2F">
            <w:pPr>
              <w:rPr>
                <w:rFonts w:ascii="Arial" w:hAnsi="Arial" w:cs="Arial"/>
                <w:sz w:val="20"/>
                <w:szCs w:val="20"/>
              </w:rPr>
            </w:pPr>
            <w:r w:rsidRPr="00023B92">
              <w:rPr>
                <w:rFonts w:ascii="Arial" w:hAnsi="Arial" w:cs="Arial"/>
                <w:sz w:val="20"/>
                <w:szCs w:val="20"/>
              </w:rPr>
              <w:t>0.76 (0.26-2.25)</w:t>
            </w:r>
          </w:p>
        </w:tc>
        <w:tc>
          <w:tcPr>
            <w:tcW w:w="2977" w:type="dxa"/>
          </w:tcPr>
          <w:p w14:paraId="29B8CFC6" w14:textId="77777777" w:rsidR="00BA2B62" w:rsidRPr="0018511C" w:rsidRDefault="00BA2B62" w:rsidP="00612E2F">
            <w:pPr>
              <w:rPr>
                <w:rFonts w:ascii="Arial" w:hAnsi="Arial" w:cs="Arial"/>
                <w:sz w:val="20"/>
                <w:szCs w:val="20"/>
              </w:rPr>
            </w:pPr>
            <w:r w:rsidRPr="0018511C">
              <w:rPr>
                <w:rFonts w:ascii="Arial" w:hAnsi="Arial" w:cs="Arial"/>
                <w:sz w:val="20"/>
                <w:szCs w:val="20"/>
              </w:rPr>
              <w:t>0.80 (0.27-2.39)</w:t>
            </w:r>
          </w:p>
        </w:tc>
      </w:tr>
      <w:tr w:rsidR="004A3951" w:rsidRPr="00F35246" w14:paraId="63BCA4EC" w14:textId="77777777" w:rsidTr="00071CC2">
        <w:tc>
          <w:tcPr>
            <w:tcW w:w="3794" w:type="dxa"/>
          </w:tcPr>
          <w:p w14:paraId="684BE8A8"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Middle childhood (6 to 12)</w:t>
            </w:r>
          </w:p>
        </w:tc>
        <w:tc>
          <w:tcPr>
            <w:tcW w:w="2410" w:type="dxa"/>
            <w:shd w:val="clear" w:color="auto" w:fill="auto"/>
          </w:tcPr>
          <w:p w14:paraId="43296918" w14:textId="77777777" w:rsidR="00BA2B62" w:rsidRPr="009B335C" w:rsidRDefault="00BA2B62" w:rsidP="00612E2F">
            <w:pPr>
              <w:rPr>
                <w:rFonts w:ascii="Arial" w:hAnsi="Arial" w:cs="Arial"/>
                <w:sz w:val="20"/>
                <w:szCs w:val="20"/>
              </w:rPr>
            </w:pPr>
            <w:r w:rsidRPr="009B335C">
              <w:rPr>
                <w:rFonts w:ascii="Arial" w:hAnsi="Arial" w:cs="Arial"/>
                <w:sz w:val="20"/>
                <w:szCs w:val="20"/>
              </w:rPr>
              <w:t>0.90 (0.50-1.63)</w:t>
            </w:r>
          </w:p>
        </w:tc>
        <w:tc>
          <w:tcPr>
            <w:tcW w:w="2868" w:type="dxa"/>
          </w:tcPr>
          <w:p w14:paraId="26B1A56C" w14:textId="77777777" w:rsidR="00BA2B62" w:rsidRPr="00023B92" w:rsidRDefault="00BA2B62" w:rsidP="00612E2F">
            <w:pPr>
              <w:rPr>
                <w:rFonts w:ascii="Arial" w:hAnsi="Arial" w:cs="Arial"/>
                <w:sz w:val="20"/>
                <w:szCs w:val="20"/>
              </w:rPr>
            </w:pPr>
            <w:r w:rsidRPr="00023B92">
              <w:rPr>
                <w:rFonts w:ascii="Arial" w:hAnsi="Arial" w:cs="Arial"/>
                <w:sz w:val="20"/>
                <w:szCs w:val="20"/>
              </w:rPr>
              <w:t>0.73 (0.36-1.48)</w:t>
            </w:r>
          </w:p>
        </w:tc>
        <w:tc>
          <w:tcPr>
            <w:tcW w:w="2977" w:type="dxa"/>
          </w:tcPr>
          <w:p w14:paraId="0823E2B3" w14:textId="77777777" w:rsidR="00BA2B62" w:rsidRPr="0018511C" w:rsidRDefault="00BA2B62" w:rsidP="00612E2F">
            <w:pPr>
              <w:rPr>
                <w:rFonts w:ascii="Arial" w:hAnsi="Arial" w:cs="Arial"/>
                <w:sz w:val="20"/>
                <w:szCs w:val="20"/>
              </w:rPr>
            </w:pPr>
            <w:r w:rsidRPr="0018511C">
              <w:rPr>
                <w:rFonts w:ascii="Arial" w:hAnsi="Arial" w:cs="Arial"/>
                <w:sz w:val="20"/>
                <w:szCs w:val="20"/>
              </w:rPr>
              <w:t>0.74 (0.37-1.49)</w:t>
            </w:r>
          </w:p>
        </w:tc>
      </w:tr>
      <w:tr w:rsidR="004A3951" w:rsidRPr="00F35246" w14:paraId="411AB3E9" w14:textId="77777777" w:rsidTr="00071CC2">
        <w:tc>
          <w:tcPr>
            <w:tcW w:w="3794" w:type="dxa"/>
          </w:tcPr>
          <w:p w14:paraId="570FDEE7" w14:textId="75C740BA" w:rsidR="00BA2B62" w:rsidRPr="00F35246" w:rsidRDefault="00BA2B62" w:rsidP="00612E2F">
            <w:pPr>
              <w:rPr>
                <w:rFonts w:ascii="Arial" w:hAnsi="Arial" w:cs="Arial"/>
                <w:sz w:val="20"/>
                <w:szCs w:val="20"/>
              </w:rPr>
            </w:pPr>
            <w:r w:rsidRPr="00F35246">
              <w:rPr>
                <w:rFonts w:ascii="Arial" w:hAnsi="Arial" w:cs="Arial"/>
                <w:sz w:val="20"/>
                <w:szCs w:val="20"/>
              </w:rPr>
              <w:t xml:space="preserve">    Adolescence (13 to 18)</w:t>
            </w:r>
          </w:p>
        </w:tc>
        <w:tc>
          <w:tcPr>
            <w:tcW w:w="2410" w:type="dxa"/>
            <w:shd w:val="clear" w:color="auto" w:fill="auto"/>
          </w:tcPr>
          <w:p w14:paraId="16E736B6" w14:textId="77777777" w:rsidR="00BA2B62" w:rsidRPr="009B335C" w:rsidRDefault="00BA2B62" w:rsidP="00612E2F">
            <w:pPr>
              <w:rPr>
                <w:rFonts w:ascii="Arial" w:hAnsi="Arial" w:cs="Arial"/>
                <w:sz w:val="20"/>
                <w:szCs w:val="20"/>
              </w:rPr>
            </w:pPr>
            <w:r w:rsidRPr="009B335C">
              <w:rPr>
                <w:rFonts w:ascii="Arial" w:hAnsi="Arial" w:cs="Arial"/>
                <w:sz w:val="20"/>
                <w:szCs w:val="20"/>
              </w:rPr>
              <w:t>Reference</w:t>
            </w:r>
          </w:p>
        </w:tc>
        <w:tc>
          <w:tcPr>
            <w:tcW w:w="2868" w:type="dxa"/>
          </w:tcPr>
          <w:p w14:paraId="3F2AA215" w14:textId="77777777" w:rsidR="00BA2B62" w:rsidRPr="00023B92" w:rsidRDefault="00BA2B62" w:rsidP="00612E2F">
            <w:pPr>
              <w:rPr>
                <w:rFonts w:ascii="Arial" w:hAnsi="Arial" w:cs="Arial"/>
                <w:sz w:val="20"/>
                <w:szCs w:val="20"/>
              </w:rPr>
            </w:pPr>
            <w:r w:rsidRPr="00023B92">
              <w:rPr>
                <w:rFonts w:ascii="Arial" w:hAnsi="Arial" w:cs="Arial"/>
                <w:sz w:val="20"/>
                <w:szCs w:val="20"/>
              </w:rPr>
              <w:t>Reference</w:t>
            </w:r>
          </w:p>
        </w:tc>
        <w:tc>
          <w:tcPr>
            <w:tcW w:w="2977" w:type="dxa"/>
          </w:tcPr>
          <w:p w14:paraId="6198E1C9" w14:textId="77777777" w:rsidR="00BA2B62" w:rsidRPr="0018511C" w:rsidRDefault="00BA2B62" w:rsidP="00612E2F">
            <w:pPr>
              <w:rPr>
                <w:rFonts w:ascii="Arial" w:hAnsi="Arial" w:cs="Arial"/>
                <w:sz w:val="20"/>
                <w:szCs w:val="20"/>
              </w:rPr>
            </w:pPr>
            <w:r w:rsidRPr="0018511C">
              <w:rPr>
                <w:rFonts w:ascii="Arial" w:hAnsi="Arial" w:cs="Arial"/>
                <w:sz w:val="20"/>
                <w:szCs w:val="20"/>
              </w:rPr>
              <w:t>Reference</w:t>
            </w:r>
          </w:p>
        </w:tc>
      </w:tr>
      <w:tr w:rsidR="004A3951" w:rsidRPr="0099221B" w14:paraId="5DCED5D9" w14:textId="77777777" w:rsidTr="00071CC2">
        <w:tc>
          <w:tcPr>
            <w:tcW w:w="3794" w:type="dxa"/>
          </w:tcPr>
          <w:p w14:paraId="3874CDF5" w14:textId="77777777" w:rsidR="00BA2B62" w:rsidRPr="0099221B" w:rsidRDefault="00BA2B62" w:rsidP="00612E2F">
            <w:pPr>
              <w:rPr>
                <w:rFonts w:ascii="Arial" w:hAnsi="Arial" w:cs="Arial"/>
                <w:sz w:val="10"/>
                <w:szCs w:val="10"/>
              </w:rPr>
            </w:pPr>
          </w:p>
        </w:tc>
        <w:tc>
          <w:tcPr>
            <w:tcW w:w="2410" w:type="dxa"/>
            <w:shd w:val="clear" w:color="auto" w:fill="auto"/>
          </w:tcPr>
          <w:p w14:paraId="740E0173" w14:textId="77777777" w:rsidR="00BA2B62" w:rsidRPr="009B335C" w:rsidRDefault="00BA2B62" w:rsidP="00612E2F">
            <w:pPr>
              <w:rPr>
                <w:rFonts w:ascii="Arial" w:hAnsi="Arial" w:cs="Arial"/>
                <w:sz w:val="10"/>
                <w:szCs w:val="10"/>
              </w:rPr>
            </w:pPr>
          </w:p>
        </w:tc>
        <w:tc>
          <w:tcPr>
            <w:tcW w:w="2868" w:type="dxa"/>
          </w:tcPr>
          <w:p w14:paraId="585A83A0" w14:textId="77777777" w:rsidR="00BA2B62" w:rsidRPr="00321109" w:rsidRDefault="00BA2B62" w:rsidP="00612E2F">
            <w:pPr>
              <w:rPr>
                <w:rFonts w:ascii="Arial" w:hAnsi="Arial" w:cs="Arial"/>
                <w:sz w:val="10"/>
                <w:szCs w:val="10"/>
                <w:highlight w:val="yellow"/>
              </w:rPr>
            </w:pPr>
          </w:p>
        </w:tc>
        <w:tc>
          <w:tcPr>
            <w:tcW w:w="2977" w:type="dxa"/>
          </w:tcPr>
          <w:p w14:paraId="23786BDD" w14:textId="77777777" w:rsidR="00BA2B62" w:rsidRPr="00321109" w:rsidRDefault="00BA2B62" w:rsidP="00612E2F">
            <w:pPr>
              <w:rPr>
                <w:rFonts w:ascii="Arial" w:hAnsi="Arial" w:cs="Arial"/>
                <w:sz w:val="10"/>
                <w:szCs w:val="10"/>
                <w:highlight w:val="yellow"/>
              </w:rPr>
            </w:pPr>
          </w:p>
        </w:tc>
      </w:tr>
      <w:tr w:rsidR="004A3951" w:rsidRPr="00F35246" w14:paraId="24CA3A9C" w14:textId="77777777" w:rsidTr="00071CC2">
        <w:tc>
          <w:tcPr>
            <w:tcW w:w="3794" w:type="dxa"/>
          </w:tcPr>
          <w:p w14:paraId="62EEDA7E" w14:textId="77777777" w:rsidR="00BA2B62" w:rsidRPr="00F35246" w:rsidRDefault="00BA2B62" w:rsidP="00612E2F">
            <w:pPr>
              <w:rPr>
                <w:rFonts w:ascii="Arial" w:hAnsi="Arial" w:cs="Arial"/>
                <w:b/>
                <w:sz w:val="20"/>
                <w:szCs w:val="20"/>
              </w:rPr>
            </w:pPr>
            <w:r w:rsidRPr="00F35246">
              <w:rPr>
                <w:rFonts w:ascii="Arial" w:hAnsi="Arial" w:cs="Arial"/>
                <w:b/>
                <w:sz w:val="20"/>
                <w:szCs w:val="20"/>
              </w:rPr>
              <w:t>Gender</w:t>
            </w:r>
          </w:p>
        </w:tc>
        <w:tc>
          <w:tcPr>
            <w:tcW w:w="2410" w:type="dxa"/>
            <w:shd w:val="clear" w:color="auto" w:fill="auto"/>
          </w:tcPr>
          <w:p w14:paraId="00410CDD" w14:textId="77777777" w:rsidR="00BA2B62" w:rsidRPr="009B335C" w:rsidRDefault="00BA2B62" w:rsidP="00612E2F">
            <w:pPr>
              <w:rPr>
                <w:rFonts w:ascii="Arial" w:hAnsi="Arial" w:cs="Arial"/>
                <w:sz w:val="20"/>
                <w:szCs w:val="20"/>
              </w:rPr>
            </w:pPr>
          </w:p>
        </w:tc>
        <w:tc>
          <w:tcPr>
            <w:tcW w:w="2868" w:type="dxa"/>
          </w:tcPr>
          <w:p w14:paraId="5A971BC7" w14:textId="77777777" w:rsidR="00BA2B62" w:rsidRPr="00321109" w:rsidRDefault="00BA2B62" w:rsidP="00612E2F">
            <w:pPr>
              <w:rPr>
                <w:rFonts w:ascii="Arial" w:hAnsi="Arial" w:cs="Arial"/>
                <w:sz w:val="20"/>
                <w:szCs w:val="20"/>
                <w:highlight w:val="yellow"/>
              </w:rPr>
            </w:pPr>
          </w:p>
        </w:tc>
        <w:tc>
          <w:tcPr>
            <w:tcW w:w="2977" w:type="dxa"/>
          </w:tcPr>
          <w:p w14:paraId="7211828C" w14:textId="77777777" w:rsidR="00BA2B62" w:rsidRPr="00321109" w:rsidRDefault="00BA2B62" w:rsidP="00612E2F">
            <w:pPr>
              <w:rPr>
                <w:rFonts w:ascii="Arial" w:hAnsi="Arial" w:cs="Arial"/>
                <w:sz w:val="20"/>
                <w:szCs w:val="20"/>
                <w:highlight w:val="yellow"/>
              </w:rPr>
            </w:pPr>
          </w:p>
        </w:tc>
      </w:tr>
      <w:tr w:rsidR="004A3951" w:rsidRPr="00F35246" w14:paraId="00970344" w14:textId="77777777" w:rsidTr="00071CC2">
        <w:tc>
          <w:tcPr>
            <w:tcW w:w="3794" w:type="dxa"/>
          </w:tcPr>
          <w:p w14:paraId="7D372EFC"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w:t>
            </w:r>
            <w:r>
              <w:rPr>
                <w:rFonts w:ascii="Arial" w:hAnsi="Arial" w:cs="Arial"/>
                <w:sz w:val="20"/>
                <w:szCs w:val="20"/>
              </w:rPr>
              <w:t>Male</w:t>
            </w:r>
          </w:p>
        </w:tc>
        <w:tc>
          <w:tcPr>
            <w:tcW w:w="2410" w:type="dxa"/>
            <w:shd w:val="clear" w:color="auto" w:fill="auto"/>
          </w:tcPr>
          <w:p w14:paraId="49128237" w14:textId="77777777" w:rsidR="00BA2B62" w:rsidRPr="009B335C" w:rsidRDefault="00BA2B62" w:rsidP="00612E2F">
            <w:pPr>
              <w:rPr>
                <w:rFonts w:ascii="Arial" w:hAnsi="Arial" w:cs="Arial"/>
                <w:sz w:val="20"/>
                <w:szCs w:val="20"/>
              </w:rPr>
            </w:pPr>
            <w:r w:rsidRPr="009B335C">
              <w:rPr>
                <w:rFonts w:ascii="Arial" w:hAnsi="Arial" w:cs="Arial"/>
                <w:sz w:val="20"/>
                <w:szCs w:val="20"/>
              </w:rPr>
              <w:t>1.00 (0.58-1.75)</w:t>
            </w:r>
          </w:p>
        </w:tc>
        <w:tc>
          <w:tcPr>
            <w:tcW w:w="2868" w:type="dxa"/>
          </w:tcPr>
          <w:p w14:paraId="661A5DCE" w14:textId="77777777" w:rsidR="00BA2B62" w:rsidRPr="00023B92" w:rsidRDefault="00BA2B62" w:rsidP="00612E2F">
            <w:pPr>
              <w:rPr>
                <w:rFonts w:ascii="Arial" w:hAnsi="Arial" w:cs="Arial"/>
                <w:sz w:val="20"/>
                <w:szCs w:val="20"/>
              </w:rPr>
            </w:pPr>
            <w:r w:rsidRPr="00023B92">
              <w:rPr>
                <w:rFonts w:ascii="Arial" w:hAnsi="Arial" w:cs="Arial"/>
                <w:sz w:val="20"/>
                <w:szCs w:val="20"/>
              </w:rPr>
              <w:t>0.80 (0.41-1.56)</w:t>
            </w:r>
          </w:p>
        </w:tc>
        <w:tc>
          <w:tcPr>
            <w:tcW w:w="2977" w:type="dxa"/>
          </w:tcPr>
          <w:p w14:paraId="1C8DA245" w14:textId="77777777" w:rsidR="00BA2B62" w:rsidRPr="0018511C" w:rsidRDefault="00BA2B62" w:rsidP="00612E2F">
            <w:pPr>
              <w:rPr>
                <w:rFonts w:ascii="Arial" w:hAnsi="Arial" w:cs="Arial"/>
                <w:sz w:val="20"/>
                <w:szCs w:val="20"/>
              </w:rPr>
            </w:pPr>
            <w:r w:rsidRPr="0018511C">
              <w:rPr>
                <w:rFonts w:ascii="Arial" w:hAnsi="Arial" w:cs="Arial"/>
                <w:sz w:val="20"/>
                <w:szCs w:val="20"/>
              </w:rPr>
              <w:t>0.81 (0.41-1.57)</w:t>
            </w:r>
          </w:p>
        </w:tc>
      </w:tr>
      <w:tr w:rsidR="004A3951" w:rsidRPr="00F35246" w14:paraId="363A0E9A" w14:textId="77777777" w:rsidTr="00071CC2">
        <w:tc>
          <w:tcPr>
            <w:tcW w:w="3794" w:type="dxa"/>
          </w:tcPr>
          <w:p w14:paraId="3C650525" w14:textId="77777777" w:rsidR="00BA2B62" w:rsidRPr="00F35246" w:rsidRDefault="00BA2B62" w:rsidP="00612E2F">
            <w:pPr>
              <w:rPr>
                <w:rFonts w:ascii="Arial" w:hAnsi="Arial" w:cs="Arial"/>
                <w:sz w:val="20"/>
                <w:szCs w:val="20"/>
              </w:rPr>
            </w:pPr>
            <w:r>
              <w:rPr>
                <w:rFonts w:ascii="Arial" w:hAnsi="Arial" w:cs="Arial"/>
                <w:sz w:val="20"/>
                <w:szCs w:val="20"/>
              </w:rPr>
              <w:t xml:space="preserve">    </w:t>
            </w:r>
            <w:r w:rsidRPr="00F35246">
              <w:rPr>
                <w:rFonts w:ascii="Arial" w:hAnsi="Arial" w:cs="Arial"/>
                <w:sz w:val="20"/>
                <w:szCs w:val="20"/>
              </w:rPr>
              <w:t>Female</w:t>
            </w:r>
          </w:p>
        </w:tc>
        <w:tc>
          <w:tcPr>
            <w:tcW w:w="2410" w:type="dxa"/>
            <w:shd w:val="clear" w:color="auto" w:fill="auto"/>
          </w:tcPr>
          <w:p w14:paraId="0A833430" w14:textId="77777777" w:rsidR="00BA2B62" w:rsidRPr="009B335C" w:rsidRDefault="00BA2B62" w:rsidP="00612E2F">
            <w:pPr>
              <w:rPr>
                <w:rFonts w:ascii="Arial" w:hAnsi="Arial" w:cs="Arial"/>
                <w:sz w:val="20"/>
                <w:szCs w:val="20"/>
              </w:rPr>
            </w:pPr>
            <w:r w:rsidRPr="009B335C">
              <w:rPr>
                <w:rFonts w:ascii="Arial" w:hAnsi="Arial" w:cs="Arial"/>
                <w:sz w:val="20"/>
                <w:szCs w:val="20"/>
              </w:rPr>
              <w:t>Reference</w:t>
            </w:r>
          </w:p>
        </w:tc>
        <w:tc>
          <w:tcPr>
            <w:tcW w:w="2868" w:type="dxa"/>
          </w:tcPr>
          <w:p w14:paraId="6675C8E9" w14:textId="77777777" w:rsidR="00BA2B62" w:rsidRPr="00023B92" w:rsidRDefault="00BA2B62" w:rsidP="00612E2F">
            <w:pPr>
              <w:rPr>
                <w:rFonts w:ascii="Arial" w:hAnsi="Arial" w:cs="Arial"/>
                <w:sz w:val="20"/>
                <w:szCs w:val="20"/>
              </w:rPr>
            </w:pPr>
            <w:r w:rsidRPr="00023B92">
              <w:rPr>
                <w:rFonts w:ascii="Arial" w:hAnsi="Arial" w:cs="Arial"/>
                <w:sz w:val="20"/>
                <w:szCs w:val="20"/>
              </w:rPr>
              <w:t>Reference</w:t>
            </w:r>
          </w:p>
        </w:tc>
        <w:tc>
          <w:tcPr>
            <w:tcW w:w="2977" w:type="dxa"/>
          </w:tcPr>
          <w:p w14:paraId="4FA98AAE" w14:textId="77777777" w:rsidR="00BA2B62" w:rsidRPr="0018511C" w:rsidRDefault="00BA2B62" w:rsidP="00612E2F">
            <w:pPr>
              <w:rPr>
                <w:rFonts w:ascii="Arial" w:hAnsi="Arial" w:cs="Arial"/>
                <w:sz w:val="20"/>
                <w:szCs w:val="20"/>
              </w:rPr>
            </w:pPr>
            <w:r w:rsidRPr="0018511C">
              <w:rPr>
                <w:rFonts w:ascii="Arial" w:hAnsi="Arial" w:cs="Arial"/>
                <w:sz w:val="20"/>
                <w:szCs w:val="20"/>
              </w:rPr>
              <w:t>Reference</w:t>
            </w:r>
          </w:p>
        </w:tc>
      </w:tr>
      <w:tr w:rsidR="004A3951" w:rsidRPr="0099221B" w14:paraId="77E0487D" w14:textId="77777777" w:rsidTr="00071CC2">
        <w:tc>
          <w:tcPr>
            <w:tcW w:w="3794" w:type="dxa"/>
          </w:tcPr>
          <w:p w14:paraId="6C4EF82B" w14:textId="77777777" w:rsidR="00BA2B62" w:rsidRPr="0099221B" w:rsidRDefault="00BA2B62" w:rsidP="00612E2F">
            <w:pPr>
              <w:rPr>
                <w:rFonts w:ascii="Arial" w:hAnsi="Arial" w:cs="Arial"/>
                <w:sz w:val="10"/>
                <w:szCs w:val="10"/>
              </w:rPr>
            </w:pPr>
          </w:p>
        </w:tc>
        <w:tc>
          <w:tcPr>
            <w:tcW w:w="2410" w:type="dxa"/>
            <w:shd w:val="clear" w:color="auto" w:fill="auto"/>
          </w:tcPr>
          <w:p w14:paraId="2C937BBD" w14:textId="77777777" w:rsidR="00BA2B62" w:rsidRPr="009B335C" w:rsidRDefault="00BA2B62" w:rsidP="00612E2F">
            <w:pPr>
              <w:rPr>
                <w:rFonts w:ascii="Arial" w:hAnsi="Arial" w:cs="Arial"/>
                <w:sz w:val="10"/>
                <w:szCs w:val="10"/>
              </w:rPr>
            </w:pPr>
          </w:p>
        </w:tc>
        <w:tc>
          <w:tcPr>
            <w:tcW w:w="2868" w:type="dxa"/>
          </w:tcPr>
          <w:p w14:paraId="30FECDB7" w14:textId="77777777" w:rsidR="00BA2B62" w:rsidRPr="00321109" w:rsidRDefault="00BA2B62" w:rsidP="00612E2F">
            <w:pPr>
              <w:rPr>
                <w:rFonts w:ascii="Arial" w:hAnsi="Arial" w:cs="Arial"/>
                <w:sz w:val="10"/>
                <w:szCs w:val="10"/>
                <w:highlight w:val="yellow"/>
              </w:rPr>
            </w:pPr>
          </w:p>
        </w:tc>
        <w:tc>
          <w:tcPr>
            <w:tcW w:w="2977" w:type="dxa"/>
          </w:tcPr>
          <w:p w14:paraId="3A26A6F8" w14:textId="77777777" w:rsidR="00BA2B62" w:rsidRPr="00321109" w:rsidRDefault="00BA2B62" w:rsidP="00612E2F">
            <w:pPr>
              <w:rPr>
                <w:rFonts w:ascii="Arial" w:hAnsi="Arial" w:cs="Arial"/>
                <w:sz w:val="10"/>
                <w:szCs w:val="10"/>
                <w:highlight w:val="yellow"/>
              </w:rPr>
            </w:pPr>
          </w:p>
        </w:tc>
      </w:tr>
      <w:tr w:rsidR="004A3951" w:rsidRPr="00F35246" w14:paraId="3F96CEF2" w14:textId="77777777" w:rsidTr="00071CC2">
        <w:tc>
          <w:tcPr>
            <w:tcW w:w="3794" w:type="dxa"/>
          </w:tcPr>
          <w:p w14:paraId="7249DFCA" w14:textId="77777777" w:rsidR="00BA2B62" w:rsidRPr="00F35246" w:rsidRDefault="00094010" w:rsidP="00612E2F">
            <w:pPr>
              <w:rPr>
                <w:rFonts w:ascii="Arial" w:hAnsi="Arial" w:cs="Arial"/>
                <w:b/>
                <w:sz w:val="20"/>
                <w:szCs w:val="20"/>
              </w:rPr>
            </w:pPr>
            <w:r>
              <w:rPr>
                <w:rFonts w:ascii="Arial" w:hAnsi="Arial" w:cs="Arial"/>
                <w:b/>
                <w:sz w:val="20"/>
                <w:szCs w:val="20"/>
              </w:rPr>
              <w:t>Referral Reason</w:t>
            </w:r>
          </w:p>
        </w:tc>
        <w:tc>
          <w:tcPr>
            <w:tcW w:w="2410" w:type="dxa"/>
            <w:shd w:val="clear" w:color="auto" w:fill="auto"/>
          </w:tcPr>
          <w:p w14:paraId="171B364E" w14:textId="77777777" w:rsidR="00BA2B62" w:rsidRPr="009B335C" w:rsidRDefault="00BA2B62" w:rsidP="00612E2F">
            <w:pPr>
              <w:rPr>
                <w:rFonts w:ascii="Arial" w:hAnsi="Arial" w:cs="Arial"/>
                <w:sz w:val="20"/>
                <w:szCs w:val="20"/>
              </w:rPr>
            </w:pPr>
          </w:p>
        </w:tc>
        <w:tc>
          <w:tcPr>
            <w:tcW w:w="2868" w:type="dxa"/>
          </w:tcPr>
          <w:p w14:paraId="09FF13CC" w14:textId="77777777" w:rsidR="00BA2B62" w:rsidRPr="00321109" w:rsidRDefault="00BA2B62" w:rsidP="00612E2F">
            <w:pPr>
              <w:rPr>
                <w:rFonts w:ascii="Arial" w:hAnsi="Arial" w:cs="Arial"/>
                <w:sz w:val="20"/>
                <w:szCs w:val="20"/>
                <w:highlight w:val="yellow"/>
              </w:rPr>
            </w:pPr>
          </w:p>
        </w:tc>
        <w:tc>
          <w:tcPr>
            <w:tcW w:w="2977" w:type="dxa"/>
          </w:tcPr>
          <w:p w14:paraId="19A73B33" w14:textId="77777777" w:rsidR="00BA2B62" w:rsidRPr="00321109" w:rsidRDefault="00BA2B62" w:rsidP="00612E2F">
            <w:pPr>
              <w:rPr>
                <w:rFonts w:ascii="Arial" w:hAnsi="Arial" w:cs="Arial"/>
                <w:sz w:val="20"/>
                <w:szCs w:val="20"/>
                <w:highlight w:val="yellow"/>
              </w:rPr>
            </w:pPr>
          </w:p>
        </w:tc>
      </w:tr>
      <w:tr w:rsidR="004A3951" w:rsidRPr="00F35246" w14:paraId="741CA103" w14:textId="77777777" w:rsidTr="00071CC2">
        <w:tc>
          <w:tcPr>
            <w:tcW w:w="3794" w:type="dxa"/>
          </w:tcPr>
          <w:p w14:paraId="178DF554"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Common mental health disorder</w:t>
            </w:r>
          </w:p>
        </w:tc>
        <w:tc>
          <w:tcPr>
            <w:tcW w:w="2410" w:type="dxa"/>
            <w:shd w:val="clear" w:color="auto" w:fill="auto"/>
          </w:tcPr>
          <w:p w14:paraId="3C096212" w14:textId="77777777" w:rsidR="00BA2B62" w:rsidRPr="009B335C" w:rsidRDefault="00BA2B62" w:rsidP="00612E2F">
            <w:pPr>
              <w:rPr>
                <w:rFonts w:ascii="Arial" w:hAnsi="Arial" w:cs="Arial"/>
                <w:sz w:val="20"/>
                <w:szCs w:val="20"/>
              </w:rPr>
            </w:pPr>
            <w:r w:rsidRPr="009B335C">
              <w:rPr>
                <w:rFonts w:ascii="Arial" w:hAnsi="Arial" w:cs="Arial"/>
                <w:sz w:val="20"/>
                <w:szCs w:val="20"/>
              </w:rPr>
              <w:t>Reference</w:t>
            </w:r>
          </w:p>
        </w:tc>
        <w:tc>
          <w:tcPr>
            <w:tcW w:w="2868" w:type="dxa"/>
          </w:tcPr>
          <w:p w14:paraId="4F041C1D" w14:textId="77777777" w:rsidR="00BA2B62" w:rsidRPr="007B781F" w:rsidRDefault="00BA2B62" w:rsidP="00612E2F">
            <w:pPr>
              <w:rPr>
                <w:rFonts w:ascii="Arial" w:hAnsi="Arial" w:cs="Arial"/>
                <w:sz w:val="20"/>
                <w:szCs w:val="20"/>
              </w:rPr>
            </w:pPr>
            <w:r w:rsidRPr="007B781F">
              <w:rPr>
                <w:rFonts w:ascii="Arial" w:hAnsi="Arial" w:cs="Arial"/>
                <w:sz w:val="20"/>
                <w:szCs w:val="20"/>
              </w:rPr>
              <w:t>Reference</w:t>
            </w:r>
          </w:p>
        </w:tc>
        <w:tc>
          <w:tcPr>
            <w:tcW w:w="2977" w:type="dxa"/>
          </w:tcPr>
          <w:p w14:paraId="6BB75AA0" w14:textId="77777777" w:rsidR="00BA2B62" w:rsidRPr="0018511C" w:rsidRDefault="00BA2B62" w:rsidP="00612E2F">
            <w:pPr>
              <w:rPr>
                <w:rFonts w:ascii="Arial" w:hAnsi="Arial" w:cs="Arial"/>
                <w:sz w:val="20"/>
                <w:szCs w:val="20"/>
              </w:rPr>
            </w:pPr>
            <w:r w:rsidRPr="0018511C">
              <w:rPr>
                <w:rFonts w:ascii="Arial" w:hAnsi="Arial" w:cs="Arial"/>
                <w:sz w:val="20"/>
                <w:szCs w:val="20"/>
              </w:rPr>
              <w:t>Reference</w:t>
            </w:r>
          </w:p>
        </w:tc>
      </w:tr>
      <w:tr w:rsidR="004A3951" w:rsidRPr="00F35246" w14:paraId="2E88081A" w14:textId="77777777" w:rsidTr="00071CC2">
        <w:tc>
          <w:tcPr>
            <w:tcW w:w="3794" w:type="dxa"/>
          </w:tcPr>
          <w:p w14:paraId="0959D7B8" w14:textId="77777777" w:rsidR="00BA2B62" w:rsidRPr="00851CE5" w:rsidRDefault="00BA2B62" w:rsidP="00612E2F">
            <w:pPr>
              <w:rPr>
                <w:rFonts w:ascii="Arial" w:hAnsi="Arial" w:cs="Arial"/>
                <w:sz w:val="20"/>
                <w:szCs w:val="20"/>
                <w:highlight w:val="yellow"/>
              </w:rPr>
            </w:pPr>
            <w:r w:rsidRPr="00F35246">
              <w:rPr>
                <w:rFonts w:ascii="Arial" w:hAnsi="Arial" w:cs="Arial"/>
                <w:sz w:val="20"/>
                <w:szCs w:val="20"/>
              </w:rPr>
              <w:t xml:space="preserve">    </w:t>
            </w:r>
            <w:r w:rsidRPr="002B4BAE">
              <w:rPr>
                <w:rFonts w:ascii="Arial" w:hAnsi="Arial" w:cs="Arial"/>
                <w:sz w:val="20"/>
                <w:szCs w:val="20"/>
              </w:rPr>
              <w:t>Emotional and behavioural problem</w:t>
            </w:r>
          </w:p>
        </w:tc>
        <w:tc>
          <w:tcPr>
            <w:tcW w:w="2410" w:type="dxa"/>
            <w:shd w:val="clear" w:color="auto" w:fill="auto"/>
          </w:tcPr>
          <w:p w14:paraId="56B56969" w14:textId="77777777" w:rsidR="00BA2B62" w:rsidRPr="009A3FCB" w:rsidRDefault="00BA2B62" w:rsidP="00612E2F">
            <w:pPr>
              <w:rPr>
                <w:rFonts w:ascii="Arial" w:hAnsi="Arial" w:cs="Arial"/>
                <w:sz w:val="20"/>
                <w:szCs w:val="20"/>
              </w:rPr>
            </w:pPr>
            <w:r w:rsidRPr="009A3FCB">
              <w:rPr>
                <w:rFonts w:ascii="Arial" w:hAnsi="Arial" w:cs="Arial"/>
                <w:sz w:val="20"/>
                <w:szCs w:val="20"/>
              </w:rPr>
              <w:t>4.25 (1.69-10.72) *</w:t>
            </w:r>
          </w:p>
        </w:tc>
        <w:tc>
          <w:tcPr>
            <w:tcW w:w="2868" w:type="dxa"/>
          </w:tcPr>
          <w:p w14:paraId="0899CA7F" w14:textId="77777777" w:rsidR="00BA2B62" w:rsidRPr="009A3FCB" w:rsidRDefault="00BA2B62" w:rsidP="00612E2F">
            <w:pPr>
              <w:rPr>
                <w:rFonts w:ascii="Arial" w:hAnsi="Arial" w:cs="Arial"/>
                <w:sz w:val="20"/>
                <w:szCs w:val="20"/>
              </w:rPr>
            </w:pPr>
            <w:r w:rsidRPr="009A3FCB">
              <w:rPr>
                <w:rFonts w:ascii="Arial" w:hAnsi="Arial" w:cs="Arial"/>
                <w:sz w:val="20"/>
                <w:szCs w:val="20"/>
              </w:rPr>
              <w:t>4.48 (1.68-11.95) *</w:t>
            </w:r>
          </w:p>
        </w:tc>
        <w:tc>
          <w:tcPr>
            <w:tcW w:w="2977" w:type="dxa"/>
          </w:tcPr>
          <w:p w14:paraId="0EFA2C74" w14:textId="77777777" w:rsidR="00BA2B62" w:rsidRPr="009A3FCB" w:rsidRDefault="00BA2B62" w:rsidP="00612E2F">
            <w:pPr>
              <w:rPr>
                <w:rFonts w:ascii="Arial" w:hAnsi="Arial" w:cs="Arial"/>
                <w:sz w:val="20"/>
                <w:szCs w:val="20"/>
              </w:rPr>
            </w:pPr>
            <w:r w:rsidRPr="009A3FCB">
              <w:rPr>
                <w:rFonts w:ascii="Arial" w:hAnsi="Arial" w:cs="Arial"/>
                <w:sz w:val="20"/>
                <w:szCs w:val="20"/>
              </w:rPr>
              <w:t>4.35 (1.62-11.70) *</w:t>
            </w:r>
          </w:p>
        </w:tc>
      </w:tr>
      <w:tr w:rsidR="004A3951" w:rsidRPr="00F35246" w14:paraId="0AED1B2A" w14:textId="77777777" w:rsidTr="00071CC2">
        <w:tc>
          <w:tcPr>
            <w:tcW w:w="3794" w:type="dxa"/>
          </w:tcPr>
          <w:p w14:paraId="33AB9C7F"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Hyperactivity/inattention</w:t>
            </w:r>
          </w:p>
        </w:tc>
        <w:tc>
          <w:tcPr>
            <w:tcW w:w="2410" w:type="dxa"/>
            <w:shd w:val="clear" w:color="auto" w:fill="auto"/>
          </w:tcPr>
          <w:p w14:paraId="599F7FD0" w14:textId="77777777" w:rsidR="00BA2B62" w:rsidRPr="009B335C" w:rsidRDefault="00BA2B62" w:rsidP="00612E2F">
            <w:pPr>
              <w:rPr>
                <w:rFonts w:ascii="Arial" w:hAnsi="Arial" w:cs="Arial"/>
                <w:sz w:val="20"/>
                <w:szCs w:val="20"/>
              </w:rPr>
            </w:pPr>
            <w:r w:rsidRPr="009B335C">
              <w:rPr>
                <w:rFonts w:ascii="Arial" w:hAnsi="Arial" w:cs="Arial"/>
                <w:sz w:val="20"/>
                <w:szCs w:val="20"/>
              </w:rPr>
              <w:t>1.20 (0.25-4.12)</w:t>
            </w:r>
          </w:p>
        </w:tc>
        <w:tc>
          <w:tcPr>
            <w:tcW w:w="2868" w:type="dxa"/>
          </w:tcPr>
          <w:p w14:paraId="56F739EF" w14:textId="77777777" w:rsidR="00BA2B62" w:rsidRPr="007B781F" w:rsidRDefault="00BA2B62" w:rsidP="00612E2F">
            <w:pPr>
              <w:rPr>
                <w:rFonts w:ascii="Arial" w:hAnsi="Arial" w:cs="Arial"/>
                <w:sz w:val="20"/>
                <w:szCs w:val="20"/>
              </w:rPr>
            </w:pPr>
            <w:r w:rsidRPr="007B781F">
              <w:rPr>
                <w:rFonts w:ascii="Arial" w:hAnsi="Arial" w:cs="Arial"/>
                <w:sz w:val="20"/>
                <w:szCs w:val="20"/>
              </w:rPr>
              <w:t>1.43 (0.38-5.41)</w:t>
            </w:r>
          </w:p>
        </w:tc>
        <w:tc>
          <w:tcPr>
            <w:tcW w:w="2977" w:type="dxa"/>
          </w:tcPr>
          <w:p w14:paraId="65766AD3" w14:textId="77777777" w:rsidR="00BA2B62" w:rsidRPr="0018511C" w:rsidRDefault="00BA2B62" w:rsidP="00612E2F">
            <w:pPr>
              <w:rPr>
                <w:rFonts w:ascii="Arial" w:hAnsi="Arial" w:cs="Arial"/>
                <w:sz w:val="20"/>
                <w:szCs w:val="20"/>
              </w:rPr>
            </w:pPr>
            <w:r w:rsidRPr="0018511C">
              <w:rPr>
                <w:rFonts w:ascii="Arial" w:hAnsi="Arial" w:cs="Arial"/>
                <w:sz w:val="20"/>
                <w:szCs w:val="20"/>
              </w:rPr>
              <w:t>1.41 (0.37-5.36)</w:t>
            </w:r>
          </w:p>
        </w:tc>
      </w:tr>
      <w:tr w:rsidR="004A3951" w:rsidRPr="00F35246" w14:paraId="108256DD" w14:textId="77777777" w:rsidTr="00071CC2">
        <w:tc>
          <w:tcPr>
            <w:tcW w:w="3794" w:type="dxa"/>
          </w:tcPr>
          <w:p w14:paraId="4537CD0F"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Self-harm and eating disorder</w:t>
            </w:r>
          </w:p>
        </w:tc>
        <w:tc>
          <w:tcPr>
            <w:tcW w:w="2410" w:type="dxa"/>
            <w:shd w:val="clear" w:color="auto" w:fill="auto"/>
          </w:tcPr>
          <w:p w14:paraId="08C29823" w14:textId="77777777" w:rsidR="00BA2B62" w:rsidRPr="009B335C" w:rsidRDefault="00BA2B62" w:rsidP="00612E2F">
            <w:pPr>
              <w:rPr>
                <w:rFonts w:ascii="Arial" w:hAnsi="Arial" w:cs="Arial"/>
                <w:sz w:val="20"/>
                <w:szCs w:val="20"/>
              </w:rPr>
            </w:pPr>
            <w:r w:rsidRPr="009B335C">
              <w:rPr>
                <w:rFonts w:ascii="Arial" w:hAnsi="Arial" w:cs="Arial"/>
                <w:sz w:val="20"/>
                <w:szCs w:val="20"/>
              </w:rPr>
              <w:t>1.31 (0.38-4.50)</w:t>
            </w:r>
          </w:p>
        </w:tc>
        <w:tc>
          <w:tcPr>
            <w:tcW w:w="2868" w:type="dxa"/>
          </w:tcPr>
          <w:p w14:paraId="2C532878" w14:textId="77777777" w:rsidR="00BA2B62" w:rsidRPr="007B781F" w:rsidRDefault="00BA2B62" w:rsidP="00612E2F">
            <w:pPr>
              <w:rPr>
                <w:rFonts w:ascii="Arial" w:hAnsi="Arial" w:cs="Arial"/>
                <w:sz w:val="20"/>
                <w:szCs w:val="20"/>
              </w:rPr>
            </w:pPr>
            <w:r w:rsidRPr="007B781F">
              <w:rPr>
                <w:rFonts w:ascii="Arial" w:hAnsi="Arial" w:cs="Arial"/>
                <w:sz w:val="20"/>
                <w:szCs w:val="20"/>
              </w:rPr>
              <w:t>1.08 (0.30-3.86)</w:t>
            </w:r>
          </w:p>
        </w:tc>
        <w:tc>
          <w:tcPr>
            <w:tcW w:w="2977" w:type="dxa"/>
          </w:tcPr>
          <w:p w14:paraId="0D444E73" w14:textId="77777777" w:rsidR="00BA2B62" w:rsidRPr="0018511C" w:rsidRDefault="00BA2B62" w:rsidP="00612E2F">
            <w:pPr>
              <w:rPr>
                <w:rFonts w:ascii="Arial" w:hAnsi="Arial" w:cs="Arial"/>
                <w:sz w:val="20"/>
                <w:szCs w:val="20"/>
              </w:rPr>
            </w:pPr>
            <w:r w:rsidRPr="0018511C">
              <w:rPr>
                <w:rFonts w:ascii="Arial" w:hAnsi="Arial" w:cs="Arial"/>
                <w:sz w:val="20"/>
                <w:szCs w:val="20"/>
              </w:rPr>
              <w:t>1.06 (0.30-3.80)</w:t>
            </w:r>
          </w:p>
        </w:tc>
      </w:tr>
      <w:tr w:rsidR="004A3951" w:rsidRPr="00F35246" w14:paraId="59DF3931" w14:textId="77777777" w:rsidTr="00071CC2">
        <w:tc>
          <w:tcPr>
            <w:tcW w:w="3794" w:type="dxa"/>
          </w:tcPr>
          <w:p w14:paraId="734B21E4"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Other</w:t>
            </w:r>
          </w:p>
        </w:tc>
        <w:tc>
          <w:tcPr>
            <w:tcW w:w="2410" w:type="dxa"/>
            <w:shd w:val="clear" w:color="auto" w:fill="auto"/>
          </w:tcPr>
          <w:p w14:paraId="24601E38" w14:textId="77777777" w:rsidR="00BA2B62" w:rsidRPr="009A3FCB" w:rsidRDefault="00BA2B62" w:rsidP="00612E2F">
            <w:pPr>
              <w:rPr>
                <w:rFonts w:ascii="Arial" w:hAnsi="Arial" w:cs="Arial"/>
                <w:sz w:val="20"/>
                <w:szCs w:val="20"/>
              </w:rPr>
            </w:pPr>
            <w:r w:rsidRPr="009A3FCB">
              <w:rPr>
                <w:rFonts w:ascii="Arial" w:hAnsi="Arial" w:cs="Arial"/>
                <w:sz w:val="20"/>
                <w:szCs w:val="20"/>
              </w:rPr>
              <w:t>5.55 (1.98-15.55) *</w:t>
            </w:r>
          </w:p>
        </w:tc>
        <w:tc>
          <w:tcPr>
            <w:tcW w:w="2868" w:type="dxa"/>
          </w:tcPr>
          <w:p w14:paraId="1673FD86" w14:textId="77777777" w:rsidR="00BA2B62" w:rsidRPr="009A3FCB" w:rsidRDefault="00BA2B62" w:rsidP="00612E2F">
            <w:pPr>
              <w:rPr>
                <w:rFonts w:ascii="Arial" w:hAnsi="Arial" w:cs="Arial"/>
                <w:sz w:val="20"/>
                <w:szCs w:val="20"/>
              </w:rPr>
            </w:pPr>
            <w:r w:rsidRPr="009A3FCB">
              <w:rPr>
                <w:rFonts w:ascii="Arial" w:hAnsi="Arial" w:cs="Arial"/>
                <w:sz w:val="20"/>
                <w:szCs w:val="20"/>
              </w:rPr>
              <w:t>5.63 (1.95-16.21) *</w:t>
            </w:r>
          </w:p>
        </w:tc>
        <w:tc>
          <w:tcPr>
            <w:tcW w:w="2977" w:type="dxa"/>
          </w:tcPr>
          <w:p w14:paraId="7AD1B37A" w14:textId="77777777" w:rsidR="00BA2B62" w:rsidRPr="009A3FCB" w:rsidRDefault="00BA2B62" w:rsidP="00612E2F">
            <w:pPr>
              <w:rPr>
                <w:rFonts w:ascii="Arial" w:hAnsi="Arial" w:cs="Arial"/>
                <w:sz w:val="20"/>
                <w:szCs w:val="20"/>
              </w:rPr>
            </w:pPr>
            <w:r w:rsidRPr="009A3FCB">
              <w:rPr>
                <w:rFonts w:ascii="Arial" w:hAnsi="Arial" w:cs="Arial"/>
                <w:sz w:val="20"/>
                <w:szCs w:val="20"/>
              </w:rPr>
              <w:t>5.59 (1.93-16.20) *</w:t>
            </w:r>
          </w:p>
        </w:tc>
      </w:tr>
      <w:tr w:rsidR="004A3951" w:rsidRPr="0099221B" w14:paraId="6229F175" w14:textId="77777777" w:rsidTr="00071CC2">
        <w:tc>
          <w:tcPr>
            <w:tcW w:w="3794" w:type="dxa"/>
          </w:tcPr>
          <w:p w14:paraId="63A1FFF7" w14:textId="77777777" w:rsidR="00BA2B62" w:rsidRPr="0099221B" w:rsidRDefault="00BA2B62" w:rsidP="00612E2F">
            <w:pPr>
              <w:rPr>
                <w:rFonts w:ascii="Arial" w:hAnsi="Arial" w:cs="Arial"/>
                <w:sz w:val="10"/>
                <w:szCs w:val="10"/>
              </w:rPr>
            </w:pPr>
          </w:p>
        </w:tc>
        <w:tc>
          <w:tcPr>
            <w:tcW w:w="2410" w:type="dxa"/>
          </w:tcPr>
          <w:p w14:paraId="58E58789" w14:textId="77777777" w:rsidR="00BA2B62" w:rsidRPr="0099221B" w:rsidRDefault="00BA2B62" w:rsidP="00612E2F">
            <w:pPr>
              <w:rPr>
                <w:rFonts w:ascii="Arial" w:hAnsi="Arial" w:cs="Arial"/>
                <w:sz w:val="10"/>
                <w:szCs w:val="10"/>
              </w:rPr>
            </w:pPr>
          </w:p>
        </w:tc>
        <w:tc>
          <w:tcPr>
            <w:tcW w:w="2868" w:type="dxa"/>
          </w:tcPr>
          <w:p w14:paraId="788D86AE" w14:textId="77777777" w:rsidR="00BA2B62" w:rsidRPr="00321109" w:rsidRDefault="00BA2B62" w:rsidP="00612E2F">
            <w:pPr>
              <w:rPr>
                <w:rFonts w:ascii="Arial" w:hAnsi="Arial" w:cs="Arial"/>
                <w:sz w:val="10"/>
                <w:szCs w:val="10"/>
                <w:highlight w:val="yellow"/>
              </w:rPr>
            </w:pPr>
          </w:p>
        </w:tc>
        <w:tc>
          <w:tcPr>
            <w:tcW w:w="2977" w:type="dxa"/>
          </w:tcPr>
          <w:p w14:paraId="6874C156" w14:textId="77777777" w:rsidR="00BA2B62" w:rsidRPr="00321109" w:rsidRDefault="00BA2B62" w:rsidP="00612E2F">
            <w:pPr>
              <w:rPr>
                <w:rFonts w:ascii="Arial" w:hAnsi="Arial" w:cs="Arial"/>
                <w:sz w:val="10"/>
                <w:szCs w:val="10"/>
                <w:highlight w:val="yellow"/>
              </w:rPr>
            </w:pPr>
          </w:p>
        </w:tc>
      </w:tr>
      <w:tr w:rsidR="004A3951" w:rsidRPr="00F35246" w14:paraId="34703B26" w14:textId="77777777" w:rsidTr="00071CC2">
        <w:tc>
          <w:tcPr>
            <w:tcW w:w="3794" w:type="dxa"/>
          </w:tcPr>
          <w:p w14:paraId="7E2100F3" w14:textId="77777777" w:rsidR="00BA2B62" w:rsidRPr="00F35246" w:rsidRDefault="00094010" w:rsidP="00612E2F">
            <w:pPr>
              <w:rPr>
                <w:rFonts w:ascii="Arial" w:hAnsi="Arial" w:cs="Arial"/>
                <w:b/>
                <w:sz w:val="20"/>
                <w:szCs w:val="20"/>
              </w:rPr>
            </w:pPr>
            <w:r>
              <w:rPr>
                <w:rFonts w:ascii="Arial" w:hAnsi="Arial" w:cs="Arial"/>
                <w:b/>
                <w:sz w:val="20"/>
                <w:szCs w:val="20"/>
              </w:rPr>
              <w:t>Referral Source</w:t>
            </w:r>
          </w:p>
        </w:tc>
        <w:tc>
          <w:tcPr>
            <w:tcW w:w="2410" w:type="dxa"/>
          </w:tcPr>
          <w:p w14:paraId="532E5640" w14:textId="77777777" w:rsidR="00BA2B62" w:rsidRPr="00F35246" w:rsidRDefault="00BA2B62" w:rsidP="00612E2F">
            <w:pPr>
              <w:rPr>
                <w:rFonts w:ascii="Arial" w:hAnsi="Arial" w:cs="Arial"/>
                <w:sz w:val="20"/>
                <w:szCs w:val="20"/>
              </w:rPr>
            </w:pPr>
          </w:p>
        </w:tc>
        <w:tc>
          <w:tcPr>
            <w:tcW w:w="2868" w:type="dxa"/>
          </w:tcPr>
          <w:p w14:paraId="33AFA559" w14:textId="77777777" w:rsidR="00BA2B62" w:rsidRPr="00321109" w:rsidRDefault="00BA2B62" w:rsidP="00612E2F">
            <w:pPr>
              <w:rPr>
                <w:rFonts w:ascii="Arial" w:hAnsi="Arial" w:cs="Arial"/>
                <w:sz w:val="20"/>
                <w:szCs w:val="20"/>
                <w:highlight w:val="yellow"/>
              </w:rPr>
            </w:pPr>
          </w:p>
        </w:tc>
        <w:tc>
          <w:tcPr>
            <w:tcW w:w="2977" w:type="dxa"/>
          </w:tcPr>
          <w:p w14:paraId="746727D6" w14:textId="77777777" w:rsidR="00BA2B62" w:rsidRPr="00321109" w:rsidRDefault="00BA2B62" w:rsidP="00612E2F">
            <w:pPr>
              <w:rPr>
                <w:rFonts w:ascii="Arial" w:hAnsi="Arial" w:cs="Arial"/>
                <w:sz w:val="20"/>
                <w:szCs w:val="20"/>
                <w:highlight w:val="yellow"/>
              </w:rPr>
            </w:pPr>
          </w:p>
        </w:tc>
      </w:tr>
      <w:tr w:rsidR="004A3951" w:rsidRPr="00F35246" w14:paraId="718CAAA8" w14:textId="77777777" w:rsidTr="00071CC2">
        <w:tc>
          <w:tcPr>
            <w:tcW w:w="3794" w:type="dxa"/>
          </w:tcPr>
          <w:p w14:paraId="5099E4C4" w14:textId="77777777" w:rsidR="00BA2B62" w:rsidRPr="00F35246" w:rsidRDefault="00BA2B62" w:rsidP="00612E2F">
            <w:pPr>
              <w:rPr>
                <w:rFonts w:ascii="Arial" w:hAnsi="Arial" w:cs="Arial"/>
                <w:sz w:val="20"/>
                <w:szCs w:val="20"/>
              </w:rPr>
            </w:pPr>
            <w:r>
              <w:rPr>
                <w:rFonts w:ascii="Arial" w:hAnsi="Arial" w:cs="Arial"/>
                <w:sz w:val="20"/>
                <w:szCs w:val="20"/>
              </w:rPr>
              <w:t xml:space="preserve">    Medical</w:t>
            </w:r>
          </w:p>
        </w:tc>
        <w:tc>
          <w:tcPr>
            <w:tcW w:w="2410" w:type="dxa"/>
            <w:shd w:val="clear" w:color="auto" w:fill="auto"/>
          </w:tcPr>
          <w:p w14:paraId="3AEA0361" w14:textId="77777777" w:rsidR="00BA2B62" w:rsidRPr="00F35246" w:rsidRDefault="00BA2B62" w:rsidP="00612E2F">
            <w:pPr>
              <w:rPr>
                <w:rFonts w:ascii="Arial" w:hAnsi="Arial" w:cs="Arial"/>
                <w:sz w:val="20"/>
                <w:szCs w:val="20"/>
              </w:rPr>
            </w:pPr>
            <w:r>
              <w:rPr>
                <w:rFonts w:ascii="Arial" w:hAnsi="Arial" w:cs="Arial"/>
                <w:sz w:val="20"/>
                <w:szCs w:val="20"/>
              </w:rPr>
              <w:t>Reference</w:t>
            </w:r>
          </w:p>
        </w:tc>
        <w:tc>
          <w:tcPr>
            <w:tcW w:w="2868" w:type="dxa"/>
          </w:tcPr>
          <w:p w14:paraId="3E90615A" w14:textId="77777777" w:rsidR="00BA2B62" w:rsidRPr="007B781F" w:rsidRDefault="00BA2B62" w:rsidP="00612E2F">
            <w:pPr>
              <w:rPr>
                <w:rFonts w:ascii="Arial" w:hAnsi="Arial" w:cs="Arial"/>
                <w:sz w:val="20"/>
                <w:szCs w:val="20"/>
              </w:rPr>
            </w:pPr>
            <w:r w:rsidRPr="007B781F">
              <w:rPr>
                <w:rFonts w:ascii="Arial" w:hAnsi="Arial" w:cs="Arial"/>
                <w:sz w:val="20"/>
                <w:szCs w:val="20"/>
              </w:rPr>
              <w:t>Reference</w:t>
            </w:r>
          </w:p>
        </w:tc>
        <w:tc>
          <w:tcPr>
            <w:tcW w:w="2977" w:type="dxa"/>
          </w:tcPr>
          <w:p w14:paraId="43F38D9D" w14:textId="77777777" w:rsidR="00BA2B62" w:rsidRPr="00C008F3" w:rsidRDefault="00BA2B62" w:rsidP="00612E2F">
            <w:pPr>
              <w:rPr>
                <w:rFonts w:ascii="Arial" w:hAnsi="Arial" w:cs="Arial"/>
                <w:sz w:val="20"/>
                <w:szCs w:val="20"/>
              </w:rPr>
            </w:pPr>
            <w:r w:rsidRPr="00C008F3">
              <w:rPr>
                <w:rFonts w:ascii="Arial" w:hAnsi="Arial" w:cs="Arial"/>
                <w:sz w:val="20"/>
                <w:szCs w:val="20"/>
              </w:rPr>
              <w:t>Reference</w:t>
            </w:r>
          </w:p>
        </w:tc>
      </w:tr>
      <w:tr w:rsidR="004A3951" w:rsidRPr="00F35246" w14:paraId="13DFD492" w14:textId="77777777" w:rsidTr="00071CC2">
        <w:tc>
          <w:tcPr>
            <w:tcW w:w="3794" w:type="dxa"/>
          </w:tcPr>
          <w:p w14:paraId="3C7BDB14" w14:textId="77777777" w:rsidR="00BA2B62" w:rsidRPr="00F35246" w:rsidRDefault="00BA2B62" w:rsidP="00612E2F">
            <w:pPr>
              <w:rPr>
                <w:rFonts w:ascii="Arial" w:hAnsi="Arial" w:cs="Arial"/>
                <w:sz w:val="20"/>
                <w:szCs w:val="20"/>
              </w:rPr>
            </w:pPr>
            <w:r>
              <w:rPr>
                <w:rFonts w:ascii="Arial" w:hAnsi="Arial" w:cs="Arial"/>
                <w:sz w:val="20"/>
                <w:szCs w:val="20"/>
              </w:rPr>
              <w:t xml:space="preserve">    Nursing</w:t>
            </w:r>
          </w:p>
        </w:tc>
        <w:tc>
          <w:tcPr>
            <w:tcW w:w="2410" w:type="dxa"/>
            <w:shd w:val="clear" w:color="auto" w:fill="auto"/>
          </w:tcPr>
          <w:p w14:paraId="76906567" w14:textId="77777777" w:rsidR="00BA2B62" w:rsidRPr="00F35246" w:rsidRDefault="00BA2B62" w:rsidP="00612E2F">
            <w:pPr>
              <w:rPr>
                <w:rFonts w:ascii="Arial" w:hAnsi="Arial" w:cs="Arial"/>
                <w:sz w:val="20"/>
                <w:szCs w:val="20"/>
              </w:rPr>
            </w:pPr>
            <w:r>
              <w:rPr>
                <w:rFonts w:ascii="Arial" w:hAnsi="Arial" w:cs="Arial"/>
                <w:sz w:val="20"/>
                <w:szCs w:val="20"/>
              </w:rPr>
              <w:t>2.09 (0.55-8.01)</w:t>
            </w:r>
          </w:p>
        </w:tc>
        <w:tc>
          <w:tcPr>
            <w:tcW w:w="2868" w:type="dxa"/>
          </w:tcPr>
          <w:p w14:paraId="1C8F2A23" w14:textId="77777777" w:rsidR="00BA2B62" w:rsidRPr="007B781F" w:rsidRDefault="00BA2B62" w:rsidP="00612E2F">
            <w:pPr>
              <w:rPr>
                <w:rFonts w:ascii="Arial" w:hAnsi="Arial" w:cs="Arial"/>
                <w:sz w:val="20"/>
                <w:szCs w:val="20"/>
              </w:rPr>
            </w:pPr>
            <w:r w:rsidRPr="007B781F">
              <w:rPr>
                <w:rFonts w:ascii="Arial" w:hAnsi="Arial" w:cs="Arial"/>
                <w:sz w:val="20"/>
                <w:szCs w:val="20"/>
              </w:rPr>
              <w:t>1.74 (0.42-7.26)</w:t>
            </w:r>
          </w:p>
        </w:tc>
        <w:tc>
          <w:tcPr>
            <w:tcW w:w="2977" w:type="dxa"/>
          </w:tcPr>
          <w:p w14:paraId="3B505529" w14:textId="77777777" w:rsidR="00BA2B62" w:rsidRPr="00C008F3" w:rsidRDefault="00BA2B62" w:rsidP="00612E2F">
            <w:pPr>
              <w:rPr>
                <w:rFonts w:ascii="Arial" w:hAnsi="Arial" w:cs="Arial"/>
                <w:sz w:val="20"/>
                <w:szCs w:val="20"/>
              </w:rPr>
            </w:pPr>
            <w:r w:rsidRPr="00C008F3">
              <w:rPr>
                <w:rFonts w:ascii="Arial" w:hAnsi="Arial" w:cs="Arial"/>
                <w:sz w:val="20"/>
                <w:szCs w:val="20"/>
              </w:rPr>
              <w:t>1.79 (0.42-7.65)</w:t>
            </w:r>
          </w:p>
        </w:tc>
      </w:tr>
      <w:tr w:rsidR="004A3951" w:rsidRPr="00F35246" w14:paraId="562F3524" w14:textId="77777777" w:rsidTr="00071CC2">
        <w:tc>
          <w:tcPr>
            <w:tcW w:w="3794" w:type="dxa"/>
          </w:tcPr>
          <w:p w14:paraId="0CEAB43E" w14:textId="77777777" w:rsidR="00BA2B62" w:rsidRPr="002B4BAE" w:rsidRDefault="00BA2B62" w:rsidP="00612E2F">
            <w:pPr>
              <w:rPr>
                <w:rFonts w:ascii="Arial" w:hAnsi="Arial" w:cs="Arial"/>
                <w:sz w:val="20"/>
                <w:szCs w:val="20"/>
              </w:rPr>
            </w:pPr>
            <w:r w:rsidRPr="002B4BAE">
              <w:rPr>
                <w:rFonts w:ascii="Arial" w:hAnsi="Arial" w:cs="Arial"/>
                <w:sz w:val="20"/>
                <w:szCs w:val="20"/>
              </w:rPr>
              <w:t xml:space="preserve">    Education</w:t>
            </w:r>
          </w:p>
        </w:tc>
        <w:tc>
          <w:tcPr>
            <w:tcW w:w="2410" w:type="dxa"/>
            <w:shd w:val="clear" w:color="auto" w:fill="auto"/>
          </w:tcPr>
          <w:p w14:paraId="231161C7" w14:textId="77777777" w:rsidR="00BA2B62" w:rsidRPr="009A3FCB" w:rsidRDefault="00BA2B62" w:rsidP="00612E2F">
            <w:pPr>
              <w:rPr>
                <w:rFonts w:ascii="Arial" w:hAnsi="Arial" w:cs="Arial"/>
                <w:sz w:val="20"/>
                <w:szCs w:val="20"/>
              </w:rPr>
            </w:pPr>
            <w:r w:rsidRPr="009A3FCB">
              <w:rPr>
                <w:rFonts w:ascii="Arial" w:hAnsi="Arial" w:cs="Arial"/>
                <w:sz w:val="20"/>
                <w:szCs w:val="20"/>
              </w:rPr>
              <w:t>2.64 (1.09-6.38) *</w:t>
            </w:r>
          </w:p>
        </w:tc>
        <w:tc>
          <w:tcPr>
            <w:tcW w:w="2868" w:type="dxa"/>
          </w:tcPr>
          <w:p w14:paraId="6CE0CC0F" w14:textId="77777777" w:rsidR="00BA2B62" w:rsidRPr="009A3FCB" w:rsidRDefault="00BA2B62" w:rsidP="00612E2F">
            <w:pPr>
              <w:rPr>
                <w:rFonts w:ascii="Arial" w:hAnsi="Arial" w:cs="Arial"/>
                <w:sz w:val="20"/>
                <w:szCs w:val="20"/>
              </w:rPr>
            </w:pPr>
            <w:r w:rsidRPr="009A3FCB">
              <w:rPr>
                <w:rFonts w:ascii="Arial" w:hAnsi="Arial" w:cs="Arial"/>
                <w:sz w:val="20"/>
                <w:szCs w:val="20"/>
              </w:rPr>
              <w:t>3.13 (1.19-8.24) *</w:t>
            </w:r>
          </w:p>
        </w:tc>
        <w:tc>
          <w:tcPr>
            <w:tcW w:w="2977" w:type="dxa"/>
          </w:tcPr>
          <w:p w14:paraId="07014135" w14:textId="77777777" w:rsidR="00BA2B62" w:rsidRPr="009A3FCB" w:rsidRDefault="00BA2B62" w:rsidP="00612E2F">
            <w:pPr>
              <w:rPr>
                <w:rFonts w:ascii="Arial" w:hAnsi="Arial" w:cs="Arial"/>
                <w:sz w:val="20"/>
                <w:szCs w:val="20"/>
              </w:rPr>
            </w:pPr>
            <w:r w:rsidRPr="009A3FCB">
              <w:rPr>
                <w:rFonts w:ascii="Arial" w:hAnsi="Arial" w:cs="Arial"/>
                <w:sz w:val="20"/>
                <w:szCs w:val="20"/>
              </w:rPr>
              <w:t>3.18 (1.20-8.44) *</w:t>
            </w:r>
          </w:p>
        </w:tc>
      </w:tr>
      <w:tr w:rsidR="004A3951" w:rsidRPr="00F35246" w14:paraId="6EA5A4BB" w14:textId="77777777" w:rsidTr="00071CC2">
        <w:tc>
          <w:tcPr>
            <w:tcW w:w="3794" w:type="dxa"/>
          </w:tcPr>
          <w:p w14:paraId="6C168A54" w14:textId="77777777" w:rsidR="00BA2B62" w:rsidRPr="00F35246" w:rsidRDefault="00BA2B62" w:rsidP="00071CC2">
            <w:pPr>
              <w:rPr>
                <w:rFonts w:ascii="Arial" w:hAnsi="Arial" w:cs="Arial"/>
                <w:sz w:val="20"/>
                <w:szCs w:val="20"/>
              </w:rPr>
            </w:pPr>
            <w:r>
              <w:rPr>
                <w:rFonts w:ascii="Arial" w:hAnsi="Arial" w:cs="Arial"/>
                <w:sz w:val="20"/>
                <w:szCs w:val="20"/>
              </w:rPr>
              <w:t>Allied Health Professional</w:t>
            </w:r>
            <w:r w:rsidR="00283286">
              <w:rPr>
                <w:rFonts w:ascii="Arial" w:hAnsi="Arial" w:cs="Arial"/>
                <w:sz w:val="20"/>
                <w:szCs w:val="20"/>
                <w:vertAlign w:val="superscript"/>
              </w:rPr>
              <w:t>3</w:t>
            </w:r>
          </w:p>
        </w:tc>
        <w:tc>
          <w:tcPr>
            <w:tcW w:w="2410" w:type="dxa"/>
            <w:shd w:val="clear" w:color="auto" w:fill="auto"/>
          </w:tcPr>
          <w:p w14:paraId="37C5BA11" w14:textId="77777777" w:rsidR="00BA2B62" w:rsidRPr="00145C6D" w:rsidRDefault="00BA2B62" w:rsidP="00612E2F">
            <w:pPr>
              <w:rPr>
                <w:rFonts w:ascii="Arial" w:hAnsi="Arial" w:cs="Arial"/>
                <w:sz w:val="20"/>
                <w:szCs w:val="20"/>
              </w:rPr>
            </w:pPr>
            <w:r>
              <w:rPr>
                <w:rFonts w:ascii="Arial" w:hAnsi="Arial" w:cs="Arial"/>
                <w:sz w:val="20"/>
                <w:szCs w:val="20"/>
              </w:rPr>
              <w:t>0.33 (0.04-2.53)</w:t>
            </w:r>
          </w:p>
        </w:tc>
        <w:tc>
          <w:tcPr>
            <w:tcW w:w="2868" w:type="dxa"/>
          </w:tcPr>
          <w:p w14:paraId="377FFA43" w14:textId="77777777" w:rsidR="00BA2B62" w:rsidRPr="007B781F" w:rsidRDefault="00BA2B62" w:rsidP="00612E2F">
            <w:pPr>
              <w:rPr>
                <w:rFonts w:ascii="Arial" w:hAnsi="Arial" w:cs="Arial"/>
                <w:sz w:val="20"/>
                <w:szCs w:val="20"/>
              </w:rPr>
            </w:pPr>
            <w:r w:rsidRPr="007B781F">
              <w:rPr>
                <w:rFonts w:ascii="Arial" w:hAnsi="Arial" w:cs="Arial"/>
                <w:sz w:val="20"/>
                <w:szCs w:val="20"/>
              </w:rPr>
              <w:t>0.25 (0.03-1.95)</w:t>
            </w:r>
          </w:p>
        </w:tc>
        <w:tc>
          <w:tcPr>
            <w:tcW w:w="2977" w:type="dxa"/>
          </w:tcPr>
          <w:p w14:paraId="43B0BF3F" w14:textId="77777777" w:rsidR="00BA2B62" w:rsidRPr="00C008F3" w:rsidRDefault="00BA2B62" w:rsidP="00612E2F">
            <w:pPr>
              <w:rPr>
                <w:rFonts w:ascii="Arial" w:hAnsi="Arial" w:cs="Arial"/>
                <w:sz w:val="20"/>
                <w:szCs w:val="20"/>
              </w:rPr>
            </w:pPr>
            <w:r w:rsidRPr="00C008F3">
              <w:rPr>
                <w:rFonts w:ascii="Arial" w:hAnsi="Arial" w:cs="Arial"/>
                <w:sz w:val="20"/>
                <w:szCs w:val="20"/>
              </w:rPr>
              <w:t>0.26 (0.03-2.08)</w:t>
            </w:r>
          </w:p>
        </w:tc>
      </w:tr>
      <w:tr w:rsidR="004A3951" w:rsidRPr="0099221B" w14:paraId="5D67A5D5" w14:textId="77777777" w:rsidTr="00071CC2">
        <w:tc>
          <w:tcPr>
            <w:tcW w:w="3794" w:type="dxa"/>
          </w:tcPr>
          <w:p w14:paraId="63AD99C2" w14:textId="77777777" w:rsidR="00BA2B62" w:rsidRPr="0099221B" w:rsidRDefault="00BA2B62" w:rsidP="00612E2F">
            <w:pPr>
              <w:rPr>
                <w:rFonts w:ascii="Arial" w:hAnsi="Arial" w:cs="Arial"/>
                <w:sz w:val="10"/>
                <w:szCs w:val="10"/>
              </w:rPr>
            </w:pPr>
          </w:p>
        </w:tc>
        <w:tc>
          <w:tcPr>
            <w:tcW w:w="2410" w:type="dxa"/>
            <w:shd w:val="clear" w:color="auto" w:fill="auto"/>
          </w:tcPr>
          <w:p w14:paraId="15F0A330" w14:textId="77777777" w:rsidR="00BA2B62" w:rsidRPr="00145C6D" w:rsidRDefault="00BA2B62" w:rsidP="00612E2F">
            <w:pPr>
              <w:rPr>
                <w:rFonts w:ascii="Arial" w:hAnsi="Arial" w:cs="Arial"/>
                <w:sz w:val="10"/>
                <w:szCs w:val="10"/>
              </w:rPr>
            </w:pPr>
          </w:p>
        </w:tc>
        <w:tc>
          <w:tcPr>
            <w:tcW w:w="2868" w:type="dxa"/>
          </w:tcPr>
          <w:p w14:paraId="4BB117A4" w14:textId="77777777" w:rsidR="00BA2B62" w:rsidRPr="007B781F" w:rsidRDefault="00BA2B62" w:rsidP="00612E2F">
            <w:pPr>
              <w:rPr>
                <w:rFonts w:ascii="Arial" w:hAnsi="Arial" w:cs="Arial"/>
                <w:sz w:val="10"/>
                <w:szCs w:val="10"/>
              </w:rPr>
            </w:pPr>
          </w:p>
        </w:tc>
        <w:tc>
          <w:tcPr>
            <w:tcW w:w="2977" w:type="dxa"/>
          </w:tcPr>
          <w:p w14:paraId="63E4D90D" w14:textId="77777777" w:rsidR="00BA2B62" w:rsidRPr="00321109" w:rsidRDefault="00BA2B62" w:rsidP="00612E2F">
            <w:pPr>
              <w:rPr>
                <w:rFonts w:ascii="Arial" w:hAnsi="Arial" w:cs="Arial"/>
                <w:sz w:val="10"/>
                <w:szCs w:val="10"/>
                <w:highlight w:val="yellow"/>
              </w:rPr>
            </w:pPr>
          </w:p>
        </w:tc>
      </w:tr>
      <w:tr w:rsidR="004A3951" w:rsidRPr="00F35246" w14:paraId="4C2400C4" w14:textId="77777777" w:rsidTr="00071CC2">
        <w:tc>
          <w:tcPr>
            <w:tcW w:w="3794" w:type="dxa"/>
          </w:tcPr>
          <w:p w14:paraId="6C51BB9C" w14:textId="77777777" w:rsidR="00BA2B62" w:rsidRPr="00F35246" w:rsidRDefault="00BA2B62" w:rsidP="00612E2F">
            <w:pPr>
              <w:rPr>
                <w:rFonts w:ascii="Arial" w:hAnsi="Arial" w:cs="Arial"/>
                <w:b/>
                <w:sz w:val="20"/>
                <w:szCs w:val="20"/>
              </w:rPr>
            </w:pPr>
            <w:r w:rsidRPr="00F35246">
              <w:rPr>
                <w:rFonts w:ascii="Arial" w:hAnsi="Arial" w:cs="Arial"/>
                <w:b/>
                <w:sz w:val="20"/>
                <w:szCs w:val="20"/>
              </w:rPr>
              <w:t>SIMD Quintile</w:t>
            </w:r>
          </w:p>
        </w:tc>
        <w:tc>
          <w:tcPr>
            <w:tcW w:w="2410" w:type="dxa"/>
            <w:shd w:val="clear" w:color="auto" w:fill="auto"/>
          </w:tcPr>
          <w:p w14:paraId="16974AB5" w14:textId="77777777" w:rsidR="00BA2B62" w:rsidRPr="00145C6D" w:rsidRDefault="00BA2B62" w:rsidP="00612E2F">
            <w:pPr>
              <w:rPr>
                <w:rFonts w:ascii="Arial" w:hAnsi="Arial" w:cs="Arial"/>
                <w:sz w:val="20"/>
                <w:szCs w:val="20"/>
              </w:rPr>
            </w:pPr>
          </w:p>
        </w:tc>
        <w:tc>
          <w:tcPr>
            <w:tcW w:w="2868" w:type="dxa"/>
          </w:tcPr>
          <w:p w14:paraId="4519BF1F" w14:textId="77777777" w:rsidR="00BA2B62" w:rsidRPr="007B781F" w:rsidRDefault="00BA2B62" w:rsidP="00612E2F">
            <w:pPr>
              <w:rPr>
                <w:rFonts w:ascii="Arial" w:hAnsi="Arial" w:cs="Arial"/>
                <w:sz w:val="20"/>
                <w:szCs w:val="20"/>
              </w:rPr>
            </w:pPr>
          </w:p>
        </w:tc>
        <w:tc>
          <w:tcPr>
            <w:tcW w:w="2977" w:type="dxa"/>
          </w:tcPr>
          <w:p w14:paraId="07C5D90A" w14:textId="77777777" w:rsidR="00BA2B62" w:rsidRPr="00321109" w:rsidRDefault="00BA2B62" w:rsidP="00612E2F">
            <w:pPr>
              <w:rPr>
                <w:rFonts w:ascii="Arial" w:hAnsi="Arial" w:cs="Arial"/>
                <w:sz w:val="20"/>
                <w:szCs w:val="20"/>
                <w:highlight w:val="yellow"/>
              </w:rPr>
            </w:pPr>
          </w:p>
        </w:tc>
      </w:tr>
      <w:tr w:rsidR="004A3951" w:rsidRPr="00F35246" w14:paraId="388E6A19" w14:textId="77777777" w:rsidTr="00071CC2">
        <w:tc>
          <w:tcPr>
            <w:tcW w:w="3794" w:type="dxa"/>
          </w:tcPr>
          <w:p w14:paraId="1C3E3885"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w:t>
            </w:r>
            <w:r>
              <w:rPr>
                <w:rFonts w:ascii="Arial" w:hAnsi="Arial" w:cs="Arial"/>
                <w:sz w:val="20"/>
                <w:szCs w:val="20"/>
              </w:rPr>
              <w:t>1/</w:t>
            </w:r>
            <w:r w:rsidRPr="00F35246">
              <w:rPr>
                <w:rFonts w:ascii="Arial" w:hAnsi="Arial" w:cs="Arial"/>
                <w:sz w:val="20"/>
                <w:szCs w:val="20"/>
              </w:rPr>
              <w:t>2</w:t>
            </w:r>
            <w:r>
              <w:rPr>
                <w:rFonts w:ascii="Arial" w:hAnsi="Arial" w:cs="Arial"/>
                <w:sz w:val="20"/>
                <w:szCs w:val="20"/>
              </w:rPr>
              <w:t xml:space="preserve"> – Most Deprived</w:t>
            </w:r>
            <w:r w:rsidR="00283286">
              <w:rPr>
                <w:rFonts w:ascii="Arial" w:hAnsi="Arial" w:cs="Arial"/>
                <w:sz w:val="20"/>
                <w:szCs w:val="20"/>
                <w:vertAlign w:val="superscript"/>
              </w:rPr>
              <w:t>4</w:t>
            </w:r>
          </w:p>
        </w:tc>
        <w:tc>
          <w:tcPr>
            <w:tcW w:w="2410" w:type="dxa"/>
            <w:shd w:val="clear" w:color="auto" w:fill="auto"/>
          </w:tcPr>
          <w:p w14:paraId="1A0B0D93" w14:textId="77777777" w:rsidR="00BA2B62" w:rsidRPr="00145C6D" w:rsidRDefault="00BA2B62" w:rsidP="00612E2F">
            <w:pPr>
              <w:rPr>
                <w:rFonts w:ascii="Arial" w:hAnsi="Arial" w:cs="Arial"/>
                <w:sz w:val="20"/>
                <w:szCs w:val="20"/>
              </w:rPr>
            </w:pPr>
            <w:r>
              <w:rPr>
                <w:rFonts w:ascii="Arial" w:hAnsi="Arial" w:cs="Arial"/>
                <w:sz w:val="20"/>
                <w:szCs w:val="20"/>
              </w:rPr>
              <w:t>1.05 (0.30-3.67)</w:t>
            </w:r>
          </w:p>
        </w:tc>
        <w:tc>
          <w:tcPr>
            <w:tcW w:w="2868" w:type="dxa"/>
          </w:tcPr>
          <w:p w14:paraId="35149047" w14:textId="77777777" w:rsidR="00BA2B62" w:rsidRPr="007B781F" w:rsidRDefault="00BA2B62" w:rsidP="00612E2F">
            <w:pPr>
              <w:rPr>
                <w:rFonts w:ascii="Arial" w:hAnsi="Arial" w:cs="Arial"/>
                <w:sz w:val="20"/>
                <w:szCs w:val="20"/>
              </w:rPr>
            </w:pPr>
            <w:r w:rsidRPr="007B781F">
              <w:rPr>
                <w:rFonts w:ascii="Arial" w:hAnsi="Arial" w:cs="Arial"/>
                <w:sz w:val="20"/>
                <w:szCs w:val="20"/>
              </w:rPr>
              <w:t>–</w:t>
            </w:r>
          </w:p>
        </w:tc>
        <w:tc>
          <w:tcPr>
            <w:tcW w:w="2977" w:type="dxa"/>
          </w:tcPr>
          <w:p w14:paraId="70EFBF65" w14:textId="77777777" w:rsidR="00BA2B62" w:rsidRPr="00C008F3" w:rsidRDefault="00BA2B62" w:rsidP="00612E2F">
            <w:pPr>
              <w:rPr>
                <w:rFonts w:ascii="Arial" w:hAnsi="Arial" w:cs="Arial"/>
                <w:sz w:val="20"/>
                <w:szCs w:val="20"/>
              </w:rPr>
            </w:pPr>
            <w:r w:rsidRPr="00C008F3">
              <w:rPr>
                <w:rFonts w:ascii="Arial" w:hAnsi="Arial" w:cs="Arial"/>
                <w:sz w:val="20"/>
                <w:szCs w:val="20"/>
              </w:rPr>
              <w:t>1.05 (0.28-3.95)</w:t>
            </w:r>
          </w:p>
        </w:tc>
      </w:tr>
      <w:tr w:rsidR="004A3951" w:rsidRPr="00F35246" w14:paraId="1E151FB9" w14:textId="77777777" w:rsidTr="00071CC2">
        <w:tc>
          <w:tcPr>
            <w:tcW w:w="3794" w:type="dxa"/>
          </w:tcPr>
          <w:p w14:paraId="4A8903D8"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3</w:t>
            </w:r>
          </w:p>
        </w:tc>
        <w:tc>
          <w:tcPr>
            <w:tcW w:w="2410" w:type="dxa"/>
            <w:shd w:val="clear" w:color="auto" w:fill="auto"/>
          </w:tcPr>
          <w:p w14:paraId="0565493E" w14:textId="77777777" w:rsidR="00BA2B62" w:rsidRPr="00145C6D" w:rsidRDefault="00BA2B62" w:rsidP="00612E2F">
            <w:pPr>
              <w:rPr>
                <w:rFonts w:ascii="Arial" w:hAnsi="Arial" w:cs="Arial"/>
                <w:sz w:val="20"/>
                <w:szCs w:val="20"/>
              </w:rPr>
            </w:pPr>
            <w:r>
              <w:rPr>
                <w:rFonts w:ascii="Arial" w:hAnsi="Arial" w:cs="Arial"/>
                <w:sz w:val="20"/>
                <w:szCs w:val="20"/>
              </w:rPr>
              <w:t>0.90 (0.32-2.56)</w:t>
            </w:r>
          </w:p>
        </w:tc>
        <w:tc>
          <w:tcPr>
            <w:tcW w:w="2868" w:type="dxa"/>
          </w:tcPr>
          <w:p w14:paraId="19B785D9" w14:textId="77777777" w:rsidR="00BA2B62" w:rsidRPr="007B781F" w:rsidRDefault="00BA2B62" w:rsidP="00612E2F">
            <w:pPr>
              <w:rPr>
                <w:rFonts w:ascii="Arial" w:hAnsi="Arial" w:cs="Arial"/>
                <w:sz w:val="20"/>
                <w:szCs w:val="20"/>
              </w:rPr>
            </w:pPr>
            <w:r w:rsidRPr="007B781F">
              <w:rPr>
                <w:rFonts w:ascii="Arial" w:hAnsi="Arial" w:cs="Arial"/>
                <w:sz w:val="20"/>
                <w:szCs w:val="20"/>
              </w:rPr>
              <w:t>–</w:t>
            </w:r>
          </w:p>
        </w:tc>
        <w:tc>
          <w:tcPr>
            <w:tcW w:w="2977" w:type="dxa"/>
          </w:tcPr>
          <w:p w14:paraId="3096A3C2" w14:textId="77777777" w:rsidR="00BA2B62" w:rsidRPr="00C008F3" w:rsidRDefault="00BA2B62" w:rsidP="00612E2F">
            <w:pPr>
              <w:rPr>
                <w:rFonts w:ascii="Arial" w:hAnsi="Arial" w:cs="Arial"/>
                <w:sz w:val="20"/>
                <w:szCs w:val="20"/>
              </w:rPr>
            </w:pPr>
            <w:r w:rsidRPr="00C008F3">
              <w:rPr>
                <w:rFonts w:ascii="Arial" w:hAnsi="Arial" w:cs="Arial"/>
                <w:sz w:val="20"/>
                <w:szCs w:val="20"/>
              </w:rPr>
              <w:t>1.07 (0.35-3.23)</w:t>
            </w:r>
          </w:p>
        </w:tc>
      </w:tr>
      <w:tr w:rsidR="004A3951" w:rsidRPr="00F35246" w14:paraId="3BBE977C" w14:textId="77777777" w:rsidTr="00071CC2">
        <w:tc>
          <w:tcPr>
            <w:tcW w:w="3794" w:type="dxa"/>
          </w:tcPr>
          <w:p w14:paraId="2B6EB24F"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4</w:t>
            </w:r>
          </w:p>
        </w:tc>
        <w:tc>
          <w:tcPr>
            <w:tcW w:w="2410" w:type="dxa"/>
            <w:shd w:val="clear" w:color="auto" w:fill="auto"/>
          </w:tcPr>
          <w:p w14:paraId="50BB39B8" w14:textId="77777777" w:rsidR="00BA2B62" w:rsidRPr="00145C6D" w:rsidRDefault="00BA2B62" w:rsidP="00612E2F">
            <w:pPr>
              <w:rPr>
                <w:rFonts w:ascii="Arial" w:hAnsi="Arial" w:cs="Arial"/>
                <w:sz w:val="20"/>
                <w:szCs w:val="20"/>
              </w:rPr>
            </w:pPr>
            <w:r>
              <w:rPr>
                <w:rFonts w:ascii="Arial" w:hAnsi="Arial" w:cs="Arial"/>
                <w:sz w:val="20"/>
                <w:szCs w:val="20"/>
              </w:rPr>
              <w:t>1.30 (0.45-3.80)</w:t>
            </w:r>
          </w:p>
        </w:tc>
        <w:tc>
          <w:tcPr>
            <w:tcW w:w="2868" w:type="dxa"/>
          </w:tcPr>
          <w:p w14:paraId="39A22A73" w14:textId="77777777" w:rsidR="00BA2B62" w:rsidRPr="007B781F" w:rsidRDefault="00BA2B62" w:rsidP="00612E2F">
            <w:pPr>
              <w:rPr>
                <w:rFonts w:ascii="Arial" w:hAnsi="Arial" w:cs="Arial"/>
                <w:sz w:val="20"/>
                <w:szCs w:val="20"/>
              </w:rPr>
            </w:pPr>
            <w:r w:rsidRPr="007B781F">
              <w:rPr>
                <w:rFonts w:ascii="Arial" w:hAnsi="Arial" w:cs="Arial"/>
                <w:sz w:val="20"/>
                <w:szCs w:val="20"/>
              </w:rPr>
              <w:t>–</w:t>
            </w:r>
          </w:p>
        </w:tc>
        <w:tc>
          <w:tcPr>
            <w:tcW w:w="2977" w:type="dxa"/>
          </w:tcPr>
          <w:p w14:paraId="1D43591E" w14:textId="77777777" w:rsidR="00BA2B62" w:rsidRPr="00C008F3" w:rsidRDefault="00BA2B62" w:rsidP="00612E2F">
            <w:pPr>
              <w:rPr>
                <w:rFonts w:ascii="Arial" w:hAnsi="Arial" w:cs="Arial"/>
                <w:sz w:val="20"/>
                <w:szCs w:val="20"/>
              </w:rPr>
            </w:pPr>
            <w:r w:rsidRPr="00C008F3">
              <w:rPr>
                <w:rFonts w:ascii="Arial" w:hAnsi="Arial" w:cs="Arial"/>
                <w:sz w:val="20"/>
                <w:szCs w:val="20"/>
              </w:rPr>
              <w:t>1.39 (0.45-4.34)</w:t>
            </w:r>
          </w:p>
        </w:tc>
      </w:tr>
      <w:tr w:rsidR="004A3951" w:rsidRPr="00F35246" w14:paraId="494BF9C4" w14:textId="77777777" w:rsidTr="00071CC2">
        <w:tc>
          <w:tcPr>
            <w:tcW w:w="3794" w:type="dxa"/>
          </w:tcPr>
          <w:p w14:paraId="19C643BF" w14:textId="77777777" w:rsidR="00BA2B62" w:rsidRPr="00F35246" w:rsidRDefault="00BA2B62" w:rsidP="00612E2F">
            <w:pPr>
              <w:rPr>
                <w:rFonts w:ascii="Arial" w:hAnsi="Arial" w:cs="Arial"/>
                <w:sz w:val="20"/>
                <w:szCs w:val="20"/>
              </w:rPr>
            </w:pPr>
            <w:r w:rsidRPr="00F35246">
              <w:rPr>
                <w:rFonts w:ascii="Arial" w:hAnsi="Arial" w:cs="Arial"/>
                <w:sz w:val="20"/>
                <w:szCs w:val="20"/>
              </w:rPr>
              <w:t xml:space="preserve">    5 – Least Deprived</w:t>
            </w:r>
          </w:p>
        </w:tc>
        <w:tc>
          <w:tcPr>
            <w:tcW w:w="2410" w:type="dxa"/>
          </w:tcPr>
          <w:p w14:paraId="6621A5BD" w14:textId="77777777" w:rsidR="00BA2B62" w:rsidRPr="00F35246" w:rsidRDefault="00BA2B62" w:rsidP="00612E2F">
            <w:pPr>
              <w:rPr>
                <w:rFonts w:ascii="Arial" w:hAnsi="Arial" w:cs="Arial"/>
                <w:sz w:val="20"/>
                <w:szCs w:val="20"/>
              </w:rPr>
            </w:pPr>
            <w:r w:rsidRPr="00F35246">
              <w:rPr>
                <w:rFonts w:ascii="Arial" w:hAnsi="Arial" w:cs="Arial"/>
                <w:sz w:val="20"/>
                <w:szCs w:val="20"/>
              </w:rPr>
              <w:t>Reference</w:t>
            </w:r>
          </w:p>
        </w:tc>
        <w:tc>
          <w:tcPr>
            <w:tcW w:w="2868" w:type="dxa"/>
          </w:tcPr>
          <w:p w14:paraId="33E03C12" w14:textId="77777777" w:rsidR="00BA2B62" w:rsidRPr="00F35246" w:rsidRDefault="00BA2B62" w:rsidP="00612E2F">
            <w:pPr>
              <w:rPr>
                <w:rFonts w:ascii="Arial" w:hAnsi="Arial" w:cs="Arial"/>
                <w:sz w:val="20"/>
                <w:szCs w:val="20"/>
              </w:rPr>
            </w:pPr>
          </w:p>
        </w:tc>
        <w:tc>
          <w:tcPr>
            <w:tcW w:w="2977" w:type="dxa"/>
          </w:tcPr>
          <w:p w14:paraId="3C6D5468" w14:textId="77777777" w:rsidR="00BA2B62" w:rsidRPr="00C008F3" w:rsidRDefault="00BA2B62" w:rsidP="00612E2F">
            <w:pPr>
              <w:rPr>
                <w:rFonts w:ascii="Arial" w:hAnsi="Arial" w:cs="Arial"/>
                <w:sz w:val="20"/>
                <w:szCs w:val="20"/>
              </w:rPr>
            </w:pPr>
            <w:r w:rsidRPr="00C008F3">
              <w:rPr>
                <w:rFonts w:ascii="Arial" w:hAnsi="Arial" w:cs="Arial"/>
                <w:sz w:val="20"/>
                <w:szCs w:val="20"/>
              </w:rPr>
              <w:t>Reference</w:t>
            </w:r>
          </w:p>
        </w:tc>
      </w:tr>
      <w:tr w:rsidR="004A3951" w:rsidRPr="0099221B" w14:paraId="28DB29D5" w14:textId="77777777" w:rsidTr="00071CC2">
        <w:tc>
          <w:tcPr>
            <w:tcW w:w="3794" w:type="dxa"/>
            <w:tcBorders>
              <w:bottom w:val="single" w:sz="4" w:space="0" w:color="auto"/>
            </w:tcBorders>
          </w:tcPr>
          <w:p w14:paraId="02B9A1D5" w14:textId="77777777" w:rsidR="00BA2B62" w:rsidRPr="0099221B" w:rsidRDefault="00BA2B62" w:rsidP="00612E2F">
            <w:pPr>
              <w:rPr>
                <w:rFonts w:ascii="Arial" w:hAnsi="Arial" w:cs="Arial"/>
                <w:sz w:val="10"/>
                <w:szCs w:val="10"/>
              </w:rPr>
            </w:pPr>
          </w:p>
        </w:tc>
        <w:tc>
          <w:tcPr>
            <w:tcW w:w="2410" w:type="dxa"/>
            <w:tcBorders>
              <w:bottom w:val="single" w:sz="4" w:space="0" w:color="auto"/>
            </w:tcBorders>
          </w:tcPr>
          <w:p w14:paraId="268222C0" w14:textId="77777777" w:rsidR="00BA2B62" w:rsidRPr="0099221B" w:rsidRDefault="00BA2B62" w:rsidP="00612E2F">
            <w:pPr>
              <w:rPr>
                <w:rFonts w:ascii="Arial" w:hAnsi="Arial" w:cs="Arial"/>
                <w:sz w:val="10"/>
                <w:szCs w:val="10"/>
              </w:rPr>
            </w:pPr>
          </w:p>
        </w:tc>
        <w:tc>
          <w:tcPr>
            <w:tcW w:w="2868" w:type="dxa"/>
            <w:tcBorders>
              <w:bottom w:val="single" w:sz="4" w:space="0" w:color="auto"/>
            </w:tcBorders>
          </w:tcPr>
          <w:p w14:paraId="697BE655" w14:textId="77777777" w:rsidR="00BA2B62" w:rsidRPr="0099221B" w:rsidRDefault="00BA2B62" w:rsidP="00612E2F">
            <w:pPr>
              <w:rPr>
                <w:rFonts w:ascii="Arial" w:hAnsi="Arial" w:cs="Arial"/>
                <w:sz w:val="10"/>
                <w:szCs w:val="10"/>
              </w:rPr>
            </w:pPr>
          </w:p>
        </w:tc>
        <w:tc>
          <w:tcPr>
            <w:tcW w:w="2977" w:type="dxa"/>
            <w:tcBorders>
              <w:bottom w:val="single" w:sz="4" w:space="0" w:color="auto"/>
            </w:tcBorders>
          </w:tcPr>
          <w:p w14:paraId="51403FC4" w14:textId="77777777" w:rsidR="00BA2B62" w:rsidRPr="0099221B" w:rsidRDefault="00BA2B62" w:rsidP="00612E2F">
            <w:pPr>
              <w:rPr>
                <w:rFonts w:ascii="Arial" w:hAnsi="Arial" w:cs="Arial"/>
                <w:sz w:val="10"/>
                <w:szCs w:val="10"/>
              </w:rPr>
            </w:pPr>
          </w:p>
        </w:tc>
      </w:tr>
    </w:tbl>
    <w:p w14:paraId="7AE08BDE" w14:textId="77777777" w:rsidR="00BA2B62" w:rsidRDefault="00BA2B62" w:rsidP="00071CC2">
      <w:pPr>
        <w:spacing w:after="0" w:line="240" w:lineRule="auto"/>
        <w:rPr>
          <w:rFonts w:ascii="Arial" w:hAnsi="Arial" w:cs="Arial"/>
          <w:sz w:val="20"/>
          <w:szCs w:val="20"/>
        </w:rPr>
      </w:pPr>
      <w:r w:rsidRPr="00321109">
        <w:rPr>
          <w:rFonts w:ascii="Arial" w:hAnsi="Arial" w:cs="Arial"/>
          <w:sz w:val="20"/>
          <w:szCs w:val="20"/>
        </w:rPr>
        <w:t xml:space="preserve">Notes: </w:t>
      </w:r>
    </w:p>
    <w:p w14:paraId="1362CC65" w14:textId="77777777" w:rsidR="008976C4" w:rsidRPr="006A62C0" w:rsidRDefault="008976C4" w:rsidP="00071CC2">
      <w:pPr>
        <w:spacing w:after="0" w:line="240" w:lineRule="auto"/>
        <w:rPr>
          <w:rFonts w:ascii="Arial" w:hAnsi="Arial" w:cs="Arial"/>
          <w:sz w:val="20"/>
          <w:szCs w:val="20"/>
        </w:rPr>
      </w:pPr>
      <w:r>
        <w:rPr>
          <w:rFonts w:ascii="Arial" w:hAnsi="Arial" w:cs="Arial"/>
          <w:sz w:val="20"/>
          <w:szCs w:val="20"/>
          <w:vertAlign w:val="superscript"/>
        </w:rPr>
        <w:t>1</w:t>
      </w:r>
      <w:r>
        <w:rPr>
          <w:rFonts w:ascii="Arial" w:hAnsi="Arial" w:cs="Arial"/>
          <w:sz w:val="20"/>
          <w:szCs w:val="20"/>
        </w:rPr>
        <w:t xml:space="preserve"> Variables included in </w:t>
      </w:r>
      <w:r w:rsidR="004A3951">
        <w:rPr>
          <w:rFonts w:ascii="Arial" w:hAnsi="Arial" w:cs="Arial"/>
          <w:sz w:val="20"/>
          <w:szCs w:val="20"/>
        </w:rPr>
        <w:t>Model 1</w:t>
      </w:r>
      <w:r>
        <w:rPr>
          <w:rFonts w:ascii="Arial" w:hAnsi="Arial" w:cs="Arial"/>
          <w:sz w:val="20"/>
          <w:szCs w:val="20"/>
        </w:rPr>
        <w:t xml:space="preserve"> and variable coding were as follows: Target: Rejected = 1 / Not rejected = 0; Predictors: Age (</w:t>
      </w:r>
      <w:r w:rsidR="004A3951">
        <w:rPr>
          <w:rFonts w:ascii="Arial" w:hAnsi="Arial" w:cs="Arial"/>
          <w:sz w:val="20"/>
          <w:szCs w:val="20"/>
        </w:rPr>
        <w:t>early years = 1, middle childhood = 2, adolescence = reference); Gender (male = 1, female = reference)</w:t>
      </w:r>
      <w:r>
        <w:rPr>
          <w:rFonts w:ascii="Arial" w:hAnsi="Arial" w:cs="Arial"/>
          <w:sz w:val="20"/>
          <w:szCs w:val="20"/>
        </w:rPr>
        <w:t>; Mental Health Category (common mental health disorder = reference, Emotional and behavioural problem = 1, hyperactivity/inattention = 2, self-harm and eating disorder = 3, other = 4)</w:t>
      </w:r>
      <w:r w:rsidR="004A3951">
        <w:rPr>
          <w:rFonts w:ascii="Arial" w:hAnsi="Arial" w:cs="Arial"/>
          <w:sz w:val="20"/>
          <w:szCs w:val="20"/>
        </w:rPr>
        <w:t>; Professional Category (medical = reference, nursing = 1, education = 2, allied health professional = 3).</w:t>
      </w:r>
      <w:r w:rsidR="00F0235C">
        <w:rPr>
          <w:rFonts w:ascii="Arial" w:hAnsi="Arial" w:cs="Arial"/>
          <w:sz w:val="20"/>
          <w:szCs w:val="20"/>
        </w:rPr>
        <w:t xml:space="preserve">  </w:t>
      </w:r>
      <w:r w:rsidR="006A62C0">
        <w:rPr>
          <w:rFonts w:ascii="Arial" w:hAnsi="Arial" w:cs="Arial"/>
          <w:sz w:val="20"/>
          <w:szCs w:val="20"/>
        </w:rPr>
        <w:t xml:space="preserve">Hosmer and Lemeshow </w:t>
      </w:r>
      <w:r w:rsidR="006A62C0">
        <w:rPr>
          <w:rFonts w:ascii="Arial" w:hAnsi="Arial" w:cs="Arial"/>
          <w:sz w:val="20"/>
          <w:szCs w:val="20"/>
        </w:rPr>
        <w:sym w:font="Symbol" w:char="F063"/>
      </w:r>
      <w:r w:rsidR="006A62C0" w:rsidRPr="00071CC2">
        <w:rPr>
          <w:rFonts w:ascii="Arial" w:hAnsi="Arial" w:cs="Arial"/>
          <w:sz w:val="20"/>
          <w:szCs w:val="20"/>
          <w:vertAlign w:val="superscript"/>
        </w:rPr>
        <w:t>2</w:t>
      </w:r>
      <w:r w:rsidR="006A62C0">
        <w:rPr>
          <w:rFonts w:ascii="Arial" w:hAnsi="Arial" w:cs="Arial"/>
          <w:sz w:val="20"/>
          <w:szCs w:val="20"/>
        </w:rPr>
        <w:t xml:space="preserve"> = 3.91, p=0.866.</w:t>
      </w:r>
    </w:p>
    <w:p w14:paraId="50480533" w14:textId="77777777" w:rsidR="004A3951" w:rsidRPr="00071CC2" w:rsidRDefault="004A3951" w:rsidP="00071CC2">
      <w:pPr>
        <w:spacing w:after="0" w:line="240" w:lineRule="auto"/>
        <w:rPr>
          <w:rFonts w:ascii="Arial" w:hAnsi="Arial" w:cs="Arial"/>
          <w:sz w:val="20"/>
          <w:szCs w:val="20"/>
        </w:rPr>
      </w:pPr>
      <w:r>
        <w:rPr>
          <w:rFonts w:ascii="Arial" w:hAnsi="Arial" w:cs="Arial"/>
          <w:sz w:val="20"/>
          <w:szCs w:val="20"/>
        </w:rPr>
        <w:t xml:space="preserve">2 Variable included in Model 2 and variable coding as above with the addition of SIMD (quintile 1 = </w:t>
      </w:r>
      <w:r w:rsidR="00283286">
        <w:rPr>
          <w:rFonts w:ascii="Arial" w:hAnsi="Arial" w:cs="Arial"/>
          <w:sz w:val="20"/>
          <w:szCs w:val="20"/>
        </w:rPr>
        <w:t>1, quintile 2 = 2, quintile 3 = 3, quintile 4 = 4, quintile 5 = 5).</w:t>
      </w:r>
      <w:r w:rsidR="006A62C0">
        <w:rPr>
          <w:rFonts w:ascii="Arial" w:hAnsi="Arial" w:cs="Arial"/>
          <w:sz w:val="20"/>
          <w:szCs w:val="20"/>
        </w:rPr>
        <w:t xml:space="preserve"> Hosmer and Lemeshow </w:t>
      </w:r>
      <w:r w:rsidR="006A62C0">
        <w:rPr>
          <w:rFonts w:ascii="Arial" w:hAnsi="Arial" w:cs="Arial"/>
          <w:sz w:val="20"/>
          <w:szCs w:val="20"/>
        </w:rPr>
        <w:sym w:font="Symbol" w:char="F063"/>
      </w:r>
      <w:r w:rsidR="006A62C0" w:rsidRPr="00393A07">
        <w:rPr>
          <w:rFonts w:ascii="Arial" w:hAnsi="Arial" w:cs="Arial"/>
          <w:sz w:val="20"/>
          <w:szCs w:val="20"/>
          <w:vertAlign w:val="superscript"/>
        </w:rPr>
        <w:t>2</w:t>
      </w:r>
      <w:r w:rsidR="006A62C0">
        <w:rPr>
          <w:rFonts w:ascii="Arial" w:hAnsi="Arial" w:cs="Arial"/>
          <w:sz w:val="20"/>
          <w:szCs w:val="20"/>
        </w:rPr>
        <w:t xml:space="preserve"> = 5.42, p=0.712.</w:t>
      </w:r>
    </w:p>
    <w:p w14:paraId="75FC4C71" w14:textId="780B1DF9" w:rsidR="00BA2B62" w:rsidRDefault="00283286" w:rsidP="00071CC2">
      <w:pPr>
        <w:spacing w:after="0" w:line="240" w:lineRule="auto"/>
        <w:rPr>
          <w:rFonts w:ascii="Arial" w:hAnsi="Arial" w:cs="Arial"/>
          <w:sz w:val="20"/>
          <w:szCs w:val="20"/>
        </w:rPr>
      </w:pPr>
      <w:r>
        <w:rPr>
          <w:rFonts w:ascii="Arial" w:hAnsi="Arial" w:cs="Arial"/>
          <w:sz w:val="20"/>
          <w:szCs w:val="20"/>
          <w:vertAlign w:val="superscript"/>
        </w:rPr>
        <w:t>3</w:t>
      </w:r>
      <w:r w:rsidR="00BA2B62" w:rsidRPr="00321109">
        <w:rPr>
          <w:rFonts w:ascii="Arial" w:hAnsi="Arial" w:cs="Arial"/>
          <w:sz w:val="20"/>
          <w:szCs w:val="20"/>
        </w:rPr>
        <w:t xml:space="preserve"> Due to small numbers</w:t>
      </w:r>
      <w:r w:rsidR="00BA2B62">
        <w:rPr>
          <w:rFonts w:ascii="Arial" w:hAnsi="Arial" w:cs="Arial"/>
          <w:sz w:val="20"/>
          <w:szCs w:val="20"/>
        </w:rPr>
        <w:t xml:space="preserve"> in the</w:t>
      </w:r>
      <w:r w:rsidR="00BA2B62" w:rsidRPr="00321109">
        <w:rPr>
          <w:rFonts w:ascii="Arial" w:hAnsi="Arial" w:cs="Arial"/>
          <w:sz w:val="20"/>
          <w:szCs w:val="20"/>
        </w:rPr>
        <w:t xml:space="preserve"> ‘Social Worker’</w:t>
      </w:r>
      <w:r w:rsidR="00BA2B62">
        <w:rPr>
          <w:rFonts w:ascii="Arial" w:hAnsi="Arial" w:cs="Arial"/>
          <w:sz w:val="20"/>
          <w:szCs w:val="20"/>
        </w:rPr>
        <w:t xml:space="preserve"> (n=5)</w:t>
      </w:r>
      <w:r w:rsidR="00BA2B62" w:rsidRPr="00321109">
        <w:rPr>
          <w:rFonts w:ascii="Arial" w:hAnsi="Arial" w:cs="Arial"/>
          <w:sz w:val="20"/>
          <w:szCs w:val="20"/>
        </w:rPr>
        <w:t xml:space="preserve"> and ‘Other’</w:t>
      </w:r>
      <w:r w:rsidR="00BA2B62">
        <w:rPr>
          <w:rFonts w:ascii="Arial" w:hAnsi="Arial" w:cs="Arial"/>
          <w:sz w:val="20"/>
          <w:szCs w:val="20"/>
        </w:rPr>
        <w:t xml:space="preserve"> (n=3)</w:t>
      </w:r>
      <w:r w:rsidR="00BA2B62" w:rsidRPr="00321109">
        <w:rPr>
          <w:rFonts w:ascii="Arial" w:hAnsi="Arial" w:cs="Arial"/>
          <w:sz w:val="20"/>
          <w:szCs w:val="20"/>
        </w:rPr>
        <w:t xml:space="preserve"> categories </w:t>
      </w:r>
      <w:r w:rsidR="00BA2B62">
        <w:rPr>
          <w:rFonts w:ascii="Arial" w:hAnsi="Arial" w:cs="Arial"/>
          <w:sz w:val="20"/>
          <w:szCs w:val="20"/>
        </w:rPr>
        <w:t>these have been</w:t>
      </w:r>
      <w:r w:rsidR="00BA2B62" w:rsidRPr="00321109">
        <w:rPr>
          <w:rFonts w:ascii="Arial" w:hAnsi="Arial" w:cs="Arial"/>
          <w:sz w:val="20"/>
          <w:szCs w:val="20"/>
        </w:rPr>
        <w:t xml:space="preserve"> included in the ‘Allied Health Professional’ category.</w:t>
      </w:r>
    </w:p>
    <w:p w14:paraId="6B0D7FDD" w14:textId="5D89C3C7" w:rsidR="00BA2B62" w:rsidRPr="00321109" w:rsidRDefault="00283286" w:rsidP="00071CC2">
      <w:pPr>
        <w:spacing w:after="0" w:line="240" w:lineRule="auto"/>
        <w:rPr>
          <w:rFonts w:ascii="Arial" w:hAnsi="Arial" w:cs="Arial"/>
          <w:sz w:val="20"/>
          <w:szCs w:val="20"/>
        </w:rPr>
      </w:pPr>
      <w:r>
        <w:rPr>
          <w:rFonts w:ascii="Arial" w:hAnsi="Arial" w:cs="Arial"/>
          <w:sz w:val="20"/>
          <w:szCs w:val="20"/>
          <w:vertAlign w:val="superscript"/>
        </w:rPr>
        <w:t>4</w:t>
      </w:r>
      <w:r w:rsidR="00BA2B62">
        <w:rPr>
          <w:rFonts w:ascii="Arial" w:hAnsi="Arial" w:cs="Arial"/>
          <w:sz w:val="20"/>
          <w:szCs w:val="20"/>
        </w:rPr>
        <w:t xml:space="preserve"> Due to small numbers ‘Quintile 1’ (n=2) this has been aggregated with ‘Quintile 2’.</w:t>
      </w:r>
    </w:p>
    <w:p w14:paraId="7FEF2204" w14:textId="77777777" w:rsidR="00BA2B62" w:rsidRPr="006919C8" w:rsidRDefault="00BA2B62" w:rsidP="00071CC2">
      <w:pPr>
        <w:spacing w:after="0" w:line="240" w:lineRule="auto"/>
        <w:rPr>
          <w:rFonts w:ascii="Arial" w:hAnsi="Arial" w:cs="Arial"/>
          <w:sz w:val="20"/>
          <w:szCs w:val="20"/>
        </w:rPr>
      </w:pPr>
      <w:r w:rsidRPr="00321109">
        <w:rPr>
          <w:rFonts w:ascii="Arial" w:hAnsi="Arial" w:cs="Arial"/>
          <w:sz w:val="20"/>
          <w:szCs w:val="20"/>
        </w:rPr>
        <w:t>* p &lt; 0.05</w:t>
      </w:r>
    </w:p>
    <w:p w14:paraId="13F8E07A" w14:textId="77777777" w:rsidR="00BA2B62" w:rsidRDefault="00BA2B62" w:rsidP="00BA2B62">
      <w:pPr>
        <w:rPr>
          <w:rFonts w:ascii="Arial" w:hAnsi="Arial" w:cs="Arial"/>
          <w:b/>
        </w:rPr>
      </w:pPr>
    </w:p>
    <w:p w14:paraId="4DC866E3" w14:textId="77777777" w:rsidR="00BA2B62" w:rsidRDefault="00BA2B62" w:rsidP="0042249E"/>
    <w:p w14:paraId="1C1FDFA5" w14:textId="77777777" w:rsidR="00BA2B62" w:rsidRDefault="00BA2B62" w:rsidP="0042249E"/>
    <w:p w14:paraId="0DD373DE" w14:textId="77777777" w:rsidR="00BA2B62" w:rsidRDefault="00BA2B62" w:rsidP="0042249E"/>
    <w:p w14:paraId="0410C499" w14:textId="77777777" w:rsidR="00BA2B62" w:rsidRDefault="00BA2B62" w:rsidP="0042249E"/>
    <w:p w14:paraId="1252D6DC" w14:textId="77777777" w:rsidR="00BA2B62" w:rsidRDefault="00BA2B62" w:rsidP="0042249E"/>
    <w:p w14:paraId="0F096F05" w14:textId="77777777" w:rsidR="00BA2B62" w:rsidRDefault="00BA2B62" w:rsidP="0042249E"/>
    <w:p w14:paraId="77F4D606" w14:textId="77777777" w:rsidR="00BA2B62" w:rsidRDefault="00BA2B62" w:rsidP="0042249E"/>
    <w:p w14:paraId="06C3A1C3" w14:textId="77777777" w:rsidR="00BA2B62" w:rsidRDefault="00BA2B62" w:rsidP="0042249E"/>
    <w:p w14:paraId="1A2179CD" w14:textId="77777777" w:rsidR="00BA2B62" w:rsidRDefault="00BA2B62" w:rsidP="0042249E"/>
    <w:p w14:paraId="114A7DA6" w14:textId="77777777" w:rsidR="00DA705D" w:rsidRDefault="00DA705D" w:rsidP="00BA2B62">
      <w:pPr>
        <w:rPr>
          <w:rFonts w:ascii="Arial" w:hAnsi="Arial" w:cs="Arial"/>
          <w:b/>
          <w:sz w:val="20"/>
          <w:szCs w:val="20"/>
        </w:rPr>
      </w:pPr>
    </w:p>
    <w:p w14:paraId="71C30A6A" w14:textId="77777777" w:rsidR="00DA705D" w:rsidRDefault="00DA705D" w:rsidP="00BA2B62">
      <w:pPr>
        <w:rPr>
          <w:rFonts w:ascii="Arial" w:hAnsi="Arial" w:cs="Arial"/>
          <w:b/>
          <w:sz w:val="20"/>
          <w:szCs w:val="20"/>
        </w:rPr>
      </w:pPr>
    </w:p>
    <w:p w14:paraId="62737ECA" w14:textId="77777777" w:rsidR="00DA705D" w:rsidRDefault="00DA705D" w:rsidP="00BA2B62">
      <w:pPr>
        <w:rPr>
          <w:rFonts w:ascii="Arial" w:hAnsi="Arial" w:cs="Arial"/>
          <w:b/>
          <w:sz w:val="20"/>
          <w:szCs w:val="20"/>
        </w:rPr>
      </w:pPr>
    </w:p>
    <w:p w14:paraId="03D3F603" w14:textId="77777777" w:rsidR="00DA705D" w:rsidRDefault="00DA705D" w:rsidP="00BA2B62">
      <w:pPr>
        <w:rPr>
          <w:rFonts w:ascii="Arial" w:hAnsi="Arial" w:cs="Arial"/>
          <w:b/>
          <w:sz w:val="20"/>
          <w:szCs w:val="20"/>
        </w:rPr>
      </w:pPr>
    </w:p>
    <w:p w14:paraId="75917068" w14:textId="77777777" w:rsidR="00DA705D" w:rsidRDefault="00DA705D" w:rsidP="00BA2B62">
      <w:pPr>
        <w:rPr>
          <w:rFonts w:ascii="Arial" w:hAnsi="Arial" w:cs="Arial"/>
          <w:b/>
          <w:sz w:val="20"/>
          <w:szCs w:val="20"/>
        </w:rPr>
      </w:pPr>
    </w:p>
    <w:p w14:paraId="67924322" w14:textId="77777777" w:rsidR="00DA705D" w:rsidRDefault="00DA705D" w:rsidP="00BA2B62">
      <w:pPr>
        <w:rPr>
          <w:rFonts w:ascii="Arial" w:hAnsi="Arial" w:cs="Arial"/>
          <w:b/>
          <w:sz w:val="20"/>
          <w:szCs w:val="20"/>
        </w:rPr>
      </w:pPr>
    </w:p>
    <w:p w14:paraId="71266B35" w14:textId="77777777" w:rsidR="00DA705D" w:rsidRDefault="00DA705D" w:rsidP="00BA2B62">
      <w:pPr>
        <w:rPr>
          <w:rFonts w:ascii="Arial" w:hAnsi="Arial" w:cs="Arial"/>
          <w:b/>
          <w:sz w:val="20"/>
          <w:szCs w:val="20"/>
        </w:rPr>
      </w:pPr>
    </w:p>
    <w:p w14:paraId="69EBB3C2" w14:textId="77777777" w:rsidR="00DA705D" w:rsidRDefault="00DA705D" w:rsidP="00BA2B62">
      <w:pPr>
        <w:rPr>
          <w:rFonts w:ascii="Arial" w:hAnsi="Arial" w:cs="Arial"/>
          <w:b/>
          <w:sz w:val="20"/>
          <w:szCs w:val="20"/>
        </w:rPr>
      </w:pPr>
    </w:p>
    <w:p w14:paraId="125BFBB6" w14:textId="77777777" w:rsidR="00BA2B62" w:rsidRPr="00467B9C" w:rsidRDefault="00BA2B62" w:rsidP="00BA2B62">
      <w:pPr>
        <w:rPr>
          <w:rFonts w:ascii="Arial" w:hAnsi="Arial" w:cs="Arial"/>
        </w:rPr>
      </w:pPr>
      <w:r w:rsidRPr="00467B9C">
        <w:rPr>
          <w:rFonts w:ascii="Arial" w:hAnsi="Arial" w:cs="Arial"/>
          <w:b/>
        </w:rPr>
        <w:t>Table 4</w:t>
      </w:r>
      <w:r w:rsidRPr="00467B9C">
        <w:rPr>
          <w:rFonts w:ascii="Arial" w:hAnsi="Arial" w:cs="Arial"/>
        </w:rPr>
        <w:t>: Unadjusted and Adjusted Mean Waiting Time</w:t>
      </w:r>
    </w:p>
    <w:p w14:paraId="6DD42D9C" w14:textId="77777777" w:rsidR="00BA2B62" w:rsidRDefault="00BA2B62" w:rsidP="00BA2B62">
      <w:pPr>
        <w:rPr>
          <w:rFonts w:ascii="Arial" w:hAnsi="Arial" w:cs="Arial"/>
        </w:rPr>
      </w:pPr>
    </w:p>
    <w:tbl>
      <w:tblPr>
        <w:tblStyle w:val="TableGrid"/>
        <w:tblW w:w="15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851"/>
        <w:gridCol w:w="850"/>
        <w:gridCol w:w="851"/>
        <w:gridCol w:w="850"/>
        <w:gridCol w:w="993"/>
        <w:gridCol w:w="239"/>
        <w:gridCol w:w="1178"/>
        <w:gridCol w:w="851"/>
        <w:gridCol w:w="850"/>
        <w:gridCol w:w="851"/>
        <w:gridCol w:w="850"/>
        <w:gridCol w:w="992"/>
        <w:gridCol w:w="709"/>
        <w:gridCol w:w="2094"/>
      </w:tblGrid>
      <w:tr w:rsidR="00B642EC" w:rsidRPr="00F35246" w14:paraId="19A4FD4C" w14:textId="77777777" w:rsidTr="00B642EC">
        <w:tc>
          <w:tcPr>
            <w:tcW w:w="2835" w:type="dxa"/>
          </w:tcPr>
          <w:p w14:paraId="7FE6B839" w14:textId="77777777" w:rsidR="00B642EC" w:rsidRPr="00F35246" w:rsidRDefault="00B642EC" w:rsidP="00612E2F">
            <w:pPr>
              <w:rPr>
                <w:rFonts w:ascii="Arial" w:hAnsi="Arial" w:cs="Arial"/>
                <w:sz w:val="20"/>
                <w:szCs w:val="20"/>
              </w:rPr>
            </w:pPr>
          </w:p>
        </w:tc>
        <w:tc>
          <w:tcPr>
            <w:tcW w:w="7513" w:type="dxa"/>
            <w:gridSpan w:val="9"/>
            <w:tcBorders>
              <w:bottom w:val="single" w:sz="4" w:space="0" w:color="auto"/>
            </w:tcBorders>
          </w:tcPr>
          <w:p w14:paraId="51365AF7" w14:textId="77777777" w:rsidR="00B642EC" w:rsidRPr="00F35246" w:rsidRDefault="00B642EC" w:rsidP="00612E2F">
            <w:pPr>
              <w:rPr>
                <w:rFonts w:ascii="Arial" w:hAnsi="Arial" w:cs="Arial"/>
                <w:sz w:val="20"/>
                <w:szCs w:val="20"/>
              </w:rPr>
            </w:pPr>
            <w:r>
              <w:rPr>
                <w:rFonts w:ascii="Arial" w:hAnsi="Arial" w:cs="Arial"/>
                <w:sz w:val="20"/>
                <w:szCs w:val="20"/>
              </w:rPr>
              <w:t>Waiting Time (weeks)</w:t>
            </w:r>
          </w:p>
        </w:tc>
        <w:tc>
          <w:tcPr>
            <w:tcW w:w="851" w:type="dxa"/>
            <w:tcBorders>
              <w:bottom w:val="single" w:sz="4" w:space="0" w:color="auto"/>
            </w:tcBorders>
          </w:tcPr>
          <w:p w14:paraId="2D4CA41A" w14:textId="77777777" w:rsidR="00B642EC" w:rsidRPr="00F35246" w:rsidRDefault="00B642EC" w:rsidP="00612E2F">
            <w:pPr>
              <w:rPr>
                <w:rFonts w:ascii="Arial" w:hAnsi="Arial" w:cs="Arial"/>
                <w:sz w:val="20"/>
                <w:szCs w:val="20"/>
              </w:rPr>
            </w:pPr>
          </w:p>
        </w:tc>
        <w:tc>
          <w:tcPr>
            <w:tcW w:w="850" w:type="dxa"/>
            <w:tcBorders>
              <w:bottom w:val="single" w:sz="4" w:space="0" w:color="auto"/>
            </w:tcBorders>
          </w:tcPr>
          <w:p w14:paraId="70404246" w14:textId="77777777" w:rsidR="00B642EC" w:rsidRPr="00F35246" w:rsidRDefault="00B642EC" w:rsidP="00612E2F">
            <w:pPr>
              <w:rPr>
                <w:rFonts w:ascii="Arial" w:hAnsi="Arial" w:cs="Arial"/>
                <w:sz w:val="20"/>
                <w:szCs w:val="20"/>
              </w:rPr>
            </w:pPr>
          </w:p>
        </w:tc>
        <w:tc>
          <w:tcPr>
            <w:tcW w:w="992" w:type="dxa"/>
            <w:tcBorders>
              <w:bottom w:val="single" w:sz="4" w:space="0" w:color="auto"/>
            </w:tcBorders>
          </w:tcPr>
          <w:p w14:paraId="6C3B668C" w14:textId="77777777" w:rsidR="00B642EC" w:rsidRPr="00F35246" w:rsidRDefault="00B642EC" w:rsidP="00612E2F">
            <w:pPr>
              <w:rPr>
                <w:rFonts w:ascii="Arial" w:hAnsi="Arial" w:cs="Arial"/>
                <w:sz w:val="20"/>
                <w:szCs w:val="20"/>
              </w:rPr>
            </w:pPr>
          </w:p>
        </w:tc>
        <w:tc>
          <w:tcPr>
            <w:tcW w:w="709" w:type="dxa"/>
            <w:tcBorders>
              <w:bottom w:val="single" w:sz="4" w:space="0" w:color="auto"/>
            </w:tcBorders>
          </w:tcPr>
          <w:p w14:paraId="3DD9F116" w14:textId="77777777" w:rsidR="00B642EC" w:rsidRPr="00F35246" w:rsidRDefault="00B642EC" w:rsidP="00612E2F">
            <w:pPr>
              <w:rPr>
                <w:rFonts w:ascii="Arial" w:hAnsi="Arial" w:cs="Arial"/>
                <w:sz w:val="20"/>
                <w:szCs w:val="20"/>
              </w:rPr>
            </w:pPr>
          </w:p>
        </w:tc>
        <w:tc>
          <w:tcPr>
            <w:tcW w:w="2094" w:type="dxa"/>
            <w:tcBorders>
              <w:bottom w:val="single" w:sz="4" w:space="0" w:color="auto"/>
            </w:tcBorders>
          </w:tcPr>
          <w:p w14:paraId="6D02A5F1" w14:textId="77777777" w:rsidR="00B642EC" w:rsidRPr="00F35246" w:rsidRDefault="00B642EC" w:rsidP="00612E2F">
            <w:pPr>
              <w:rPr>
                <w:rFonts w:ascii="Arial" w:hAnsi="Arial" w:cs="Arial"/>
                <w:sz w:val="20"/>
                <w:szCs w:val="20"/>
              </w:rPr>
            </w:pPr>
          </w:p>
        </w:tc>
      </w:tr>
      <w:tr w:rsidR="00B642EC" w:rsidRPr="00F35246" w14:paraId="5A127AD3" w14:textId="77777777" w:rsidTr="00B642EC">
        <w:tc>
          <w:tcPr>
            <w:tcW w:w="2835" w:type="dxa"/>
          </w:tcPr>
          <w:p w14:paraId="69961211" w14:textId="77777777" w:rsidR="00B642EC" w:rsidRPr="00F35246" w:rsidRDefault="00B642EC" w:rsidP="00612E2F">
            <w:pPr>
              <w:rPr>
                <w:rFonts w:ascii="Arial" w:hAnsi="Arial" w:cs="Arial"/>
                <w:sz w:val="20"/>
                <w:szCs w:val="20"/>
              </w:rPr>
            </w:pPr>
            <w:r w:rsidRPr="00F35246">
              <w:rPr>
                <w:rFonts w:ascii="Arial" w:hAnsi="Arial" w:cs="Arial"/>
                <w:sz w:val="20"/>
                <w:szCs w:val="20"/>
              </w:rPr>
              <w:t>Variable</w:t>
            </w:r>
          </w:p>
        </w:tc>
        <w:tc>
          <w:tcPr>
            <w:tcW w:w="4395" w:type="dxa"/>
            <w:gridSpan w:val="5"/>
            <w:tcBorders>
              <w:top w:val="single" w:sz="4" w:space="0" w:color="auto"/>
              <w:bottom w:val="single" w:sz="4" w:space="0" w:color="auto"/>
            </w:tcBorders>
          </w:tcPr>
          <w:p w14:paraId="3D3FFEA0" w14:textId="77777777" w:rsidR="00B642EC" w:rsidRDefault="00B642EC" w:rsidP="00612E2F">
            <w:pPr>
              <w:rPr>
                <w:rFonts w:ascii="Arial" w:hAnsi="Arial" w:cs="Arial"/>
                <w:sz w:val="20"/>
                <w:szCs w:val="20"/>
              </w:rPr>
            </w:pPr>
            <w:r w:rsidRPr="00F35246">
              <w:rPr>
                <w:rFonts w:ascii="Arial" w:hAnsi="Arial" w:cs="Arial"/>
                <w:sz w:val="20"/>
                <w:szCs w:val="20"/>
              </w:rPr>
              <w:t>Unadjusted</w:t>
            </w:r>
          </w:p>
        </w:tc>
        <w:tc>
          <w:tcPr>
            <w:tcW w:w="239" w:type="dxa"/>
            <w:tcBorders>
              <w:top w:val="single" w:sz="4" w:space="0" w:color="auto"/>
            </w:tcBorders>
          </w:tcPr>
          <w:p w14:paraId="5B1821E8" w14:textId="77777777" w:rsidR="00B642EC" w:rsidRDefault="00B642EC" w:rsidP="00612E2F">
            <w:pPr>
              <w:rPr>
                <w:rFonts w:ascii="Arial" w:hAnsi="Arial" w:cs="Arial"/>
                <w:sz w:val="20"/>
                <w:szCs w:val="20"/>
              </w:rPr>
            </w:pPr>
          </w:p>
        </w:tc>
        <w:tc>
          <w:tcPr>
            <w:tcW w:w="1178" w:type="dxa"/>
            <w:tcBorders>
              <w:top w:val="single" w:sz="4" w:space="0" w:color="auto"/>
              <w:bottom w:val="single" w:sz="4" w:space="0" w:color="auto"/>
            </w:tcBorders>
          </w:tcPr>
          <w:p w14:paraId="47D99CB2" w14:textId="77777777" w:rsidR="00B642EC" w:rsidRPr="00F35246" w:rsidRDefault="00B642EC" w:rsidP="00612E2F">
            <w:pPr>
              <w:rPr>
                <w:rFonts w:ascii="Arial" w:hAnsi="Arial" w:cs="Arial"/>
                <w:sz w:val="20"/>
                <w:szCs w:val="20"/>
              </w:rPr>
            </w:pPr>
            <w:r>
              <w:rPr>
                <w:rFonts w:ascii="Arial" w:hAnsi="Arial" w:cs="Arial"/>
                <w:sz w:val="20"/>
                <w:szCs w:val="20"/>
              </w:rPr>
              <w:t>Adjusted</w:t>
            </w:r>
            <w:r w:rsidRPr="001A4A03">
              <w:rPr>
                <w:rFonts w:ascii="Arial" w:hAnsi="Arial" w:cs="Arial"/>
                <w:sz w:val="20"/>
                <w:szCs w:val="20"/>
                <w:vertAlign w:val="superscript"/>
              </w:rPr>
              <w:t>1</w:t>
            </w:r>
          </w:p>
        </w:tc>
        <w:tc>
          <w:tcPr>
            <w:tcW w:w="851" w:type="dxa"/>
            <w:tcBorders>
              <w:top w:val="single" w:sz="4" w:space="0" w:color="auto"/>
              <w:bottom w:val="single" w:sz="4" w:space="0" w:color="auto"/>
            </w:tcBorders>
          </w:tcPr>
          <w:p w14:paraId="025D2339" w14:textId="77777777" w:rsidR="00B642EC" w:rsidRPr="00F35246" w:rsidRDefault="00B642EC" w:rsidP="00612E2F">
            <w:pPr>
              <w:rPr>
                <w:rFonts w:ascii="Arial" w:hAnsi="Arial" w:cs="Arial"/>
                <w:sz w:val="20"/>
                <w:szCs w:val="20"/>
              </w:rPr>
            </w:pPr>
          </w:p>
        </w:tc>
        <w:tc>
          <w:tcPr>
            <w:tcW w:w="850" w:type="dxa"/>
            <w:tcBorders>
              <w:top w:val="single" w:sz="4" w:space="0" w:color="auto"/>
              <w:bottom w:val="single" w:sz="4" w:space="0" w:color="auto"/>
            </w:tcBorders>
          </w:tcPr>
          <w:p w14:paraId="4A1CEAEB" w14:textId="77777777" w:rsidR="00B642EC" w:rsidRPr="00F35246" w:rsidRDefault="00B642EC" w:rsidP="00612E2F">
            <w:pPr>
              <w:rPr>
                <w:rFonts w:ascii="Arial" w:hAnsi="Arial" w:cs="Arial"/>
                <w:sz w:val="20"/>
                <w:szCs w:val="20"/>
              </w:rPr>
            </w:pPr>
          </w:p>
        </w:tc>
        <w:tc>
          <w:tcPr>
            <w:tcW w:w="851" w:type="dxa"/>
            <w:tcBorders>
              <w:top w:val="single" w:sz="4" w:space="0" w:color="auto"/>
              <w:bottom w:val="single" w:sz="4" w:space="0" w:color="auto"/>
            </w:tcBorders>
          </w:tcPr>
          <w:p w14:paraId="526D0F77" w14:textId="77777777" w:rsidR="00B642EC" w:rsidRPr="00F35246" w:rsidRDefault="00B642EC" w:rsidP="00612E2F">
            <w:pPr>
              <w:rPr>
                <w:rFonts w:ascii="Arial" w:hAnsi="Arial" w:cs="Arial"/>
                <w:sz w:val="20"/>
                <w:szCs w:val="20"/>
              </w:rPr>
            </w:pPr>
          </w:p>
        </w:tc>
        <w:tc>
          <w:tcPr>
            <w:tcW w:w="850" w:type="dxa"/>
            <w:tcBorders>
              <w:top w:val="single" w:sz="4" w:space="0" w:color="auto"/>
              <w:bottom w:val="single" w:sz="4" w:space="0" w:color="auto"/>
            </w:tcBorders>
          </w:tcPr>
          <w:p w14:paraId="3CF72DC2" w14:textId="77777777" w:rsidR="00B642EC" w:rsidRPr="00F35246" w:rsidRDefault="00B642EC" w:rsidP="00612E2F">
            <w:pPr>
              <w:rPr>
                <w:rFonts w:ascii="Arial" w:hAnsi="Arial" w:cs="Arial"/>
                <w:sz w:val="20"/>
                <w:szCs w:val="20"/>
              </w:rPr>
            </w:pPr>
          </w:p>
        </w:tc>
        <w:tc>
          <w:tcPr>
            <w:tcW w:w="992" w:type="dxa"/>
            <w:tcBorders>
              <w:top w:val="single" w:sz="4" w:space="0" w:color="auto"/>
              <w:bottom w:val="single" w:sz="4" w:space="0" w:color="auto"/>
            </w:tcBorders>
          </w:tcPr>
          <w:p w14:paraId="71A34A09" w14:textId="77777777" w:rsidR="00B642EC" w:rsidRPr="00F35246" w:rsidRDefault="00B642EC" w:rsidP="00612E2F">
            <w:pPr>
              <w:rPr>
                <w:rFonts w:ascii="Arial" w:hAnsi="Arial" w:cs="Arial"/>
                <w:sz w:val="20"/>
                <w:szCs w:val="20"/>
              </w:rPr>
            </w:pPr>
          </w:p>
        </w:tc>
        <w:tc>
          <w:tcPr>
            <w:tcW w:w="709" w:type="dxa"/>
            <w:tcBorders>
              <w:top w:val="single" w:sz="4" w:space="0" w:color="auto"/>
              <w:bottom w:val="single" w:sz="4" w:space="0" w:color="auto"/>
            </w:tcBorders>
          </w:tcPr>
          <w:p w14:paraId="205C1DF4" w14:textId="77777777" w:rsidR="00B642EC" w:rsidRPr="00F35246" w:rsidRDefault="00B642EC" w:rsidP="00612E2F">
            <w:pPr>
              <w:rPr>
                <w:rFonts w:ascii="Arial" w:hAnsi="Arial" w:cs="Arial"/>
                <w:sz w:val="20"/>
                <w:szCs w:val="20"/>
              </w:rPr>
            </w:pPr>
          </w:p>
        </w:tc>
        <w:tc>
          <w:tcPr>
            <w:tcW w:w="2094" w:type="dxa"/>
            <w:tcBorders>
              <w:top w:val="single" w:sz="4" w:space="0" w:color="auto"/>
              <w:bottom w:val="single" w:sz="4" w:space="0" w:color="auto"/>
            </w:tcBorders>
          </w:tcPr>
          <w:p w14:paraId="08F5D5A9" w14:textId="77777777" w:rsidR="00B642EC" w:rsidRPr="00F35246" w:rsidRDefault="00B642EC" w:rsidP="00612E2F">
            <w:pPr>
              <w:rPr>
                <w:rFonts w:ascii="Arial" w:hAnsi="Arial" w:cs="Arial"/>
                <w:sz w:val="20"/>
                <w:szCs w:val="20"/>
              </w:rPr>
            </w:pPr>
          </w:p>
        </w:tc>
      </w:tr>
      <w:tr w:rsidR="00B642EC" w:rsidRPr="00F35246" w14:paraId="5C61FEB4" w14:textId="77777777" w:rsidTr="00B642EC">
        <w:tc>
          <w:tcPr>
            <w:tcW w:w="2835" w:type="dxa"/>
          </w:tcPr>
          <w:p w14:paraId="11FEE6F8" w14:textId="77777777" w:rsidR="00B642EC" w:rsidRPr="00F35246" w:rsidRDefault="00B642EC" w:rsidP="00612E2F">
            <w:pPr>
              <w:rPr>
                <w:rFonts w:ascii="Arial" w:hAnsi="Arial" w:cs="Arial"/>
                <w:sz w:val="20"/>
                <w:szCs w:val="20"/>
              </w:rPr>
            </w:pPr>
          </w:p>
        </w:tc>
        <w:tc>
          <w:tcPr>
            <w:tcW w:w="851" w:type="dxa"/>
            <w:tcBorders>
              <w:top w:val="single" w:sz="4" w:space="0" w:color="auto"/>
            </w:tcBorders>
          </w:tcPr>
          <w:p w14:paraId="7AEF644C" w14:textId="77777777" w:rsidR="00B642EC" w:rsidRPr="00F35246" w:rsidRDefault="00B642EC" w:rsidP="00612E2F">
            <w:pPr>
              <w:rPr>
                <w:rFonts w:ascii="Arial" w:hAnsi="Arial" w:cs="Arial"/>
                <w:sz w:val="20"/>
                <w:szCs w:val="20"/>
              </w:rPr>
            </w:pPr>
          </w:p>
        </w:tc>
        <w:tc>
          <w:tcPr>
            <w:tcW w:w="1701" w:type="dxa"/>
            <w:gridSpan w:val="2"/>
            <w:tcBorders>
              <w:top w:val="single" w:sz="4" w:space="0" w:color="auto"/>
              <w:bottom w:val="single" w:sz="4" w:space="0" w:color="auto"/>
            </w:tcBorders>
          </w:tcPr>
          <w:p w14:paraId="4CE7BE41" w14:textId="77777777" w:rsidR="00B642EC" w:rsidRPr="00F35246" w:rsidRDefault="00B642EC" w:rsidP="00612E2F">
            <w:pPr>
              <w:rPr>
                <w:rFonts w:ascii="Arial" w:hAnsi="Arial" w:cs="Arial"/>
                <w:sz w:val="20"/>
                <w:szCs w:val="20"/>
              </w:rPr>
            </w:pPr>
            <w:r>
              <w:rPr>
                <w:rFonts w:ascii="Arial" w:hAnsi="Arial" w:cs="Arial"/>
                <w:sz w:val="20"/>
                <w:szCs w:val="20"/>
              </w:rPr>
              <w:t>95% CI</w:t>
            </w:r>
          </w:p>
        </w:tc>
        <w:tc>
          <w:tcPr>
            <w:tcW w:w="850" w:type="dxa"/>
            <w:tcBorders>
              <w:top w:val="single" w:sz="4" w:space="0" w:color="auto"/>
            </w:tcBorders>
          </w:tcPr>
          <w:p w14:paraId="717AAD2F" w14:textId="77777777" w:rsidR="00B642EC" w:rsidRPr="00F35246" w:rsidRDefault="00B642EC" w:rsidP="00612E2F">
            <w:pPr>
              <w:rPr>
                <w:rFonts w:ascii="Arial" w:hAnsi="Arial" w:cs="Arial"/>
                <w:sz w:val="20"/>
                <w:szCs w:val="20"/>
              </w:rPr>
            </w:pPr>
          </w:p>
        </w:tc>
        <w:tc>
          <w:tcPr>
            <w:tcW w:w="993" w:type="dxa"/>
            <w:tcBorders>
              <w:top w:val="single" w:sz="4" w:space="0" w:color="auto"/>
            </w:tcBorders>
          </w:tcPr>
          <w:p w14:paraId="0A52E1A8" w14:textId="77777777" w:rsidR="00B642EC" w:rsidRPr="00F35246" w:rsidRDefault="00B642EC" w:rsidP="00612E2F">
            <w:pPr>
              <w:rPr>
                <w:rFonts w:ascii="Arial" w:hAnsi="Arial" w:cs="Arial"/>
                <w:sz w:val="20"/>
                <w:szCs w:val="20"/>
              </w:rPr>
            </w:pPr>
          </w:p>
        </w:tc>
        <w:tc>
          <w:tcPr>
            <w:tcW w:w="239" w:type="dxa"/>
          </w:tcPr>
          <w:p w14:paraId="28A7ADFE" w14:textId="77777777" w:rsidR="00B642EC" w:rsidRPr="00F35246" w:rsidRDefault="00B642EC" w:rsidP="00612E2F">
            <w:pPr>
              <w:rPr>
                <w:rFonts w:ascii="Arial" w:hAnsi="Arial" w:cs="Arial"/>
                <w:sz w:val="20"/>
                <w:szCs w:val="20"/>
              </w:rPr>
            </w:pPr>
          </w:p>
        </w:tc>
        <w:tc>
          <w:tcPr>
            <w:tcW w:w="1178" w:type="dxa"/>
          </w:tcPr>
          <w:p w14:paraId="43CAB972" w14:textId="77777777" w:rsidR="00B642EC" w:rsidRPr="00F35246" w:rsidRDefault="00B642EC" w:rsidP="00612E2F">
            <w:pPr>
              <w:rPr>
                <w:rFonts w:ascii="Arial" w:hAnsi="Arial" w:cs="Arial"/>
                <w:sz w:val="20"/>
                <w:szCs w:val="20"/>
              </w:rPr>
            </w:pPr>
          </w:p>
        </w:tc>
        <w:tc>
          <w:tcPr>
            <w:tcW w:w="1701" w:type="dxa"/>
            <w:gridSpan w:val="2"/>
            <w:tcBorders>
              <w:bottom w:val="single" w:sz="4" w:space="0" w:color="auto"/>
            </w:tcBorders>
          </w:tcPr>
          <w:p w14:paraId="533931E4" w14:textId="77777777" w:rsidR="00B642EC" w:rsidRPr="00F35246" w:rsidRDefault="00B642EC" w:rsidP="00612E2F">
            <w:pPr>
              <w:rPr>
                <w:rFonts w:ascii="Arial" w:hAnsi="Arial" w:cs="Arial"/>
                <w:sz w:val="20"/>
                <w:szCs w:val="20"/>
              </w:rPr>
            </w:pPr>
            <w:r>
              <w:rPr>
                <w:rFonts w:ascii="Arial" w:hAnsi="Arial" w:cs="Arial"/>
                <w:sz w:val="20"/>
                <w:szCs w:val="20"/>
              </w:rPr>
              <w:t>95% CI</w:t>
            </w:r>
          </w:p>
        </w:tc>
        <w:tc>
          <w:tcPr>
            <w:tcW w:w="851" w:type="dxa"/>
          </w:tcPr>
          <w:p w14:paraId="543BCBBF" w14:textId="77777777" w:rsidR="00B642EC" w:rsidRPr="00F35246" w:rsidRDefault="00B642EC" w:rsidP="00612E2F">
            <w:pPr>
              <w:rPr>
                <w:rFonts w:ascii="Arial" w:hAnsi="Arial" w:cs="Arial"/>
                <w:sz w:val="20"/>
                <w:szCs w:val="20"/>
              </w:rPr>
            </w:pPr>
          </w:p>
        </w:tc>
        <w:tc>
          <w:tcPr>
            <w:tcW w:w="850" w:type="dxa"/>
          </w:tcPr>
          <w:p w14:paraId="15044903" w14:textId="77777777" w:rsidR="00B642EC" w:rsidRPr="00F35246" w:rsidRDefault="00B642EC" w:rsidP="00612E2F">
            <w:pPr>
              <w:rPr>
                <w:rFonts w:ascii="Arial" w:hAnsi="Arial" w:cs="Arial"/>
                <w:sz w:val="20"/>
                <w:szCs w:val="20"/>
              </w:rPr>
            </w:pPr>
          </w:p>
        </w:tc>
        <w:tc>
          <w:tcPr>
            <w:tcW w:w="992" w:type="dxa"/>
          </w:tcPr>
          <w:p w14:paraId="6071BDC6" w14:textId="77777777" w:rsidR="00B642EC" w:rsidRPr="00F35246" w:rsidRDefault="00B642EC" w:rsidP="00612E2F">
            <w:pPr>
              <w:rPr>
                <w:rFonts w:ascii="Arial" w:hAnsi="Arial" w:cs="Arial"/>
                <w:sz w:val="20"/>
                <w:szCs w:val="20"/>
              </w:rPr>
            </w:pPr>
          </w:p>
        </w:tc>
        <w:tc>
          <w:tcPr>
            <w:tcW w:w="709" w:type="dxa"/>
          </w:tcPr>
          <w:p w14:paraId="068A2BED" w14:textId="77777777" w:rsidR="00B642EC" w:rsidRPr="00F35246" w:rsidRDefault="00B642EC" w:rsidP="00612E2F">
            <w:pPr>
              <w:rPr>
                <w:rFonts w:ascii="Arial" w:hAnsi="Arial" w:cs="Arial"/>
                <w:sz w:val="20"/>
                <w:szCs w:val="20"/>
              </w:rPr>
            </w:pPr>
          </w:p>
        </w:tc>
        <w:tc>
          <w:tcPr>
            <w:tcW w:w="2094" w:type="dxa"/>
          </w:tcPr>
          <w:p w14:paraId="7DC3D226" w14:textId="77777777" w:rsidR="00B642EC" w:rsidRPr="00F35246" w:rsidRDefault="00B642EC" w:rsidP="00612E2F">
            <w:pPr>
              <w:rPr>
                <w:rFonts w:ascii="Arial" w:hAnsi="Arial" w:cs="Arial"/>
                <w:sz w:val="20"/>
                <w:szCs w:val="20"/>
              </w:rPr>
            </w:pPr>
          </w:p>
        </w:tc>
      </w:tr>
      <w:tr w:rsidR="00B642EC" w:rsidRPr="00F35246" w14:paraId="0D7D5B51" w14:textId="77777777" w:rsidTr="00B642EC">
        <w:tc>
          <w:tcPr>
            <w:tcW w:w="2835" w:type="dxa"/>
          </w:tcPr>
          <w:p w14:paraId="367525D2" w14:textId="77777777" w:rsidR="00B642EC" w:rsidRPr="00F35246" w:rsidRDefault="00B642EC" w:rsidP="00612E2F">
            <w:pPr>
              <w:rPr>
                <w:rFonts w:ascii="Arial" w:hAnsi="Arial" w:cs="Arial"/>
                <w:sz w:val="20"/>
                <w:szCs w:val="20"/>
              </w:rPr>
            </w:pPr>
          </w:p>
        </w:tc>
        <w:tc>
          <w:tcPr>
            <w:tcW w:w="851" w:type="dxa"/>
          </w:tcPr>
          <w:p w14:paraId="4738A861" w14:textId="77777777" w:rsidR="00B642EC" w:rsidRPr="00F35246" w:rsidRDefault="00B642EC" w:rsidP="00612E2F">
            <w:pPr>
              <w:rPr>
                <w:rFonts w:ascii="Arial" w:hAnsi="Arial" w:cs="Arial"/>
                <w:sz w:val="20"/>
                <w:szCs w:val="20"/>
              </w:rPr>
            </w:pPr>
            <w:r>
              <w:rPr>
                <w:rFonts w:ascii="Arial" w:hAnsi="Arial" w:cs="Arial"/>
                <w:sz w:val="20"/>
                <w:szCs w:val="20"/>
              </w:rPr>
              <w:t>Mean</w:t>
            </w:r>
          </w:p>
        </w:tc>
        <w:tc>
          <w:tcPr>
            <w:tcW w:w="850" w:type="dxa"/>
            <w:tcBorders>
              <w:top w:val="single" w:sz="4" w:space="0" w:color="auto"/>
            </w:tcBorders>
          </w:tcPr>
          <w:p w14:paraId="63A068D4" w14:textId="77777777" w:rsidR="00B642EC" w:rsidRPr="00F35246" w:rsidRDefault="00B642EC" w:rsidP="00612E2F">
            <w:pPr>
              <w:rPr>
                <w:rFonts w:ascii="Arial" w:hAnsi="Arial" w:cs="Arial"/>
                <w:sz w:val="20"/>
                <w:szCs w:val="20"/>
              </w:rPr>
            </w:pPr>
            <w:r>
              <w:rPr>
                <w:rFonts w:ascii="Arial" w:hAnsi="Arial" w:cs="Arial"/>
                <w:sz w:val="20"/>
                <w:szCs w:val="20"/>
              </w:rPr>
              <w:t>Lower</w:t>
            </w:r>
          </w:p>
        </w:tc>
        <w:tc>
          <w:tcPr>
            <w:tcW w:w="851" w:type="dxa"/>
            <w:tcBorders>
              <w:top w:val="single" w:sz="4" w:space="0" w:color="auto"/>
            </w:tcBorders>
          </w:tcPr>
          <w:p w14:paraId="1BE273D2" w14:textId="77777777" w:rsidR="00B642EC" w:rsidRPr="00F35246" w:rsidRDefault="00B642EC" w:rsidP="00612E2F">
            <w:pPr>
              <w:rPr>
                <w:rFonts w:ascii="Arial" w:hAnsi="Arial" w:cs="Arial"/>
                <w:sz w:val="20"/>
                <w:szCs w:val="20"/>
              </w:rPr>
            </w:pPr>
            <w:r>
              <w:rPr>
                <w:rFonts w:ascii="Arial" w:hAnsi="Arial" w:cs="Arial"/>
                <w:sz w:val="20"/>
                <w:szCs w:val="20"/>
              </w:rPr>
              <w:t xml:space="preserve">Upper </w:t>
            </w:r>
          </w:p>
        </w:tc>
        <w:tc>
          <w:tcPr>
            <w:tcW w:w="850" w:type="dxa"/>
          </w:tcPr>
          <w:p w14:paraId="5981FADB" w14:textId="77777777" w:rsidR="00B642EC" w:rsidRPr="00F35246" w:rsidRDefault="00B642EC" w:rsidP="00612E2F">
            <w:pPr>
              <w:rPr>
                <w:rFonts w:ascii="Arial" w:hAnsi="Arial" w:cs="Arial"/>
                <w:sz w:val="20"/>
                <w:szCs w:val="20"/>
              </w:rPr>
            </w:pPr>
            <w:r>
              <w:rPr>
                <w:rFonts w:ascii="Arial" w:hAnsi="Arial" w:cs="Arial"/>
                <w:sz w:val="20"/>
                <w:szCs w:val="20"/>
              </w:rPr>
              <w:t>F</w:t>
            </w:r>
          </w:p>
        </w:tc>
        <w:tc>
          <w:tcPr>
            <w:tcW w:w="993" w:type="dxa"/>
          </w:tcPr>
          <w:p w14:paraId="6A818CE8" w14:textId="77777777" w:rsidR="00B642EC" w:rsidRDefault="00B642EC" w:rsidP="00612E2F">
            <w:pPr>
              <w:rPr>
                <w:rFonts w:ascii="Arial" w:hAnsi="Arial" w:cs="Arial"/>
                <w:sz w:val="20"/>
                <w:szCs w:val="20"/>
              </w:rPr>
            </w:pPr>
            <w:r>
              <w:rPr>
                <w:rFonts w:ascii="Arial" w:hAnsi="Arial" w:cs="Arial"/>
                <w:sz w:val="20"/>
                <w:szCs w:val="20"/>
              </w:rPr>
              <w:t>P</w:t>
            </w:r>
          </w:p>
        </w:tc>
        <w:tc>
          <w:tcPr>
            <w:tcW w:w="239" w:type="dxa"/>
          </w:tcPr>
          <w:p w14:paraId="070788F6" w14:textId="77777777" w:rsidR="00B642EC" w:rsidRDefault="00B642EC" w:rsidP="00612E2F">
            <w:pPr>
              <w:rPr>
                <w:rFonts w:ascii="Arial" w:hAnsi="Arial" w:cs="Arial"/>
                <w:sz w:val="20"/>
                <w:szCs w:val="20"/>
              </w:rPr>
            </w:pPr>
          </w:p>
        </w:tc>
        <w:tc>
          <w:tcPr>
            <w:tcW w:w="1178" w:type="dxa"/>
          </w:tcPr>
          <w:p w14:paraId="471DEF54" w14:textId="77777777" w:rsidR="00B642EC" w:rsidRPr="00F35246" w:rsidRDefault="00B642EC" w:rsidP="00612E2F">
            <w:pPr>
              <w:rPr>
                <w:rFonts w:ascii="Arial" w:hAnsi="Arial" w:cs="Arial"/>
                <w:sz w:val="20"/>
                <w:szCs w:val="20"/>
              </w:rPr>
            </w:pPr>
            <w:r>
              <w:rPr>
                <w:rFonts w:ascii="Arial" w:hAnsi="Arial" w:cs="Arial"/>
                <w:sz w:val="20"/>
                <w:szCs w:val="20"/>
              </w:rPr>
              <w:t>Estimated Marginal Mean</w:t>
            </w:r>
          </w:p>
        </w:tc>
        <w:tc>
          <w:tcPr>
            <w:tcW w:w="851" w:type="dxa"/>
            <w:tcBorders>
              <w:top w:val="single" w:sz="4" w:space="0" w:color="auto"/>
            </w:tcBorders>
          </w:tcPr>
          <w:p w14:paraId="62733890" w14:textId="77777777" w:rsidR="00B642EC" w:rsidRPr="00F35246" w:rsidRDefault="00B642EC" w:rsidP="00612E2F">
            <w:pPr>
              <w:rPr>
                <w:rFonts w:ascii="Arial" w:hAnsi="Arial" w:cs="Arial"/>
                <w:sz w:val="20"/>
                <w:szCs w:val="20"/>
              </w:rPr>
            </w:pPr>
            <w:r>
              <w:rPr>
                <w:rFonts w:ascii="Arial" w:hAnsi="Arial" w:cs="Arial"/>
                <w:sz w:val="20"/>
                <w:szCs w:val="20"/>
              </w:rPr>
              <w:t>Lower</w:t>
            </w:r>
          </w:p>
        </w:tc>
        <w:tc>
          <w:tcPr>
            <w:tcW w:w="850" w:type="dxa"/>
            <w:tcBorders>
              <w:top w:val="single" w:sz="4" w:space="0" w:color="auto"/>
            </w:tcBorders>
          </w:tcPr>
          <w:p w14:paraId="794DDE5A" w14:textId="77777777" w:rsidR="00B642EC" w:rsidRPr="00F35246" w:rsidRDefault="00B642EC" w:rsidP="00612E2F">
            <w:pPr>
              <w:rPr>
                <w:rFonts w:ascii="Arial" w:hAnsi="Arial" w:cs="Arial"/>
                <w:sz w:val="20"/>
                <w:szCs w:val="20"/>
              </w:rPr>
            </w:pPr>
            <w:r>
              <w:rPr>
                <w:rFonts w:ascii="Arial" w:hAnsi="Arial" w:cs="Arial"/>
                <w:sz w:val="20"/>
                <w:szCs w:val="20"/>
              </w:rPr>
              <w:t>Upper</w:t>
            </w:r>
          </w:p>
        </w:tc>
        <w:tc>
          <w:tcPr>
            <w:tcW w:w="851" w:type="dxa"/>
          </w:tcPr>
          <w:p w14:paraId="3B580E11" w14:textId="77777777" w:rsidR="00B642EC" w:rsidRPr="00756EB2" w:rsidRDefault="00B642EC" w:rsidP="00612E2F">
            <w:pPr>
              <w:rPr>
                <w:rFonts w:ascii="Arial" w:hAnsi="Arial" w:cs="Arial"/>
                <w:color w:val="000000"/>
                <w:sz w:val="20"/>
                <w:szCs w:val="20"/>
              </w:rPr>
            </w:pPr>
            <w:r>
              <w:rPr>
                <w:rFonts w:ascii="Arial" w:hAnsi="Arial" w:cs="Arial"/>
                <w:color w:val="000000"/>
                <w:sz w:val="20"/>
                <w:szCs w:val="20"/>
              </w:rPr>
              <w:t>F</w:t>
            </w:r>
          </w:p>
        </w:tc>
        <w:tc>
          <w:tcPr>
            <w:tcW w:w="850" w:type="dxa"/>
          </w:tcPr>
          <w:p w14:paraId="3C208741" w14:textId="77777777" w:rsidR="00B642EC" w:rsidRDefault="00B642EC" w:rsidP="00612E2F">
            <w:pPr>
              <w:rPr>
                <w:rFonts w:ascii="Arial" w:hAnsi="Arial" w:cs="Arial"/>
                <w:sz w:val="20"/>
                <w:szCs w:val="20"/>
              </w:rPr>
            </w:pPr>
            <w:r>
              <w:rPr>
                <w:rFonts w:ascii="Arial" w:hAnsi="Arial" w:cs="Arial"/>
                <w:sz w:val="20"/>
                <w:szCs w:val="20"/>
              </w:rPr>
              <w:t>P</w:t>
            </w:r>
          </w:p>
        </w:tc>
        <w:tc>
          <w:tcPr>
            <w:tcW w:w="992" w:type="dxa"/>
          </w:tcPr>
          <w:p w14:paraId="46F1A3BA" w14:textId="77777777" w:rsidR="00B642EC" w:rsidRPr="008F0E51" w:rsidRDefault="00B642EC" w:rsidP="00612E2F">
            <w:pPr>
              <w:rPr>
                <w:rFonts w:ascii="Arial" w:hAnsi="Arial" w:cs="Arial"/>
                <w:i/>
                <w:sz w:val="20"/>
                <w:szCs w:val="20"/>
              </w:rPr>
            </w:pPr>
            <w:r w:rsidRPr="00756EB2">
              <w:rPr>
                <w:rFonts w:ascii="Arial" w:hAnsi="Arial" w:cs="Arial"/>
                <w:i/>
                <w:color w:val="000000"/>
                <w:sz w:val="20"/>
                <w:szCs w:val="20"/>
              </w:rPr>
              <w:t>β</w:t>
            </w:r>
          </w:p>
        </w:tc>
        <w:tc>
          <w:tcPr>
            <w:tcW w:w="709" w:type="dxa"/>
          </w:tcPr>
          <w:p w14:paraId="3F22EB9D" w14:textId="77777777" w:rsidR="00B642EC" w:rsidRPr="00F35246" w:rsidRDefault="00B642EC" w:rsidP="00612E2F">
            <w:pPr>
              <w:rPr>
                <w:rFonts w:ascii="Arial" w:hAnsi="Arial" w:cs="Arial"/>
                <w:sz w:val="20"/>
                <w:szCs w:val="20"/>
              </w:rPr>
            </w:pPr>
            <w:r>
              <w:rPr>
                <w:rFonts w:ascii="Arial" w:hAnsi="Arial" w:cs="Arial"/>
                <w:sz w:val="20"/>
                <w:szCs w:val="20"/>
              </w:rPr>
              <w:t>t</w:t>
            </w:r>
          </w:p>
        </w:tc>
        <w:tc>
          <w:tcPr>
            <w:tcW w:w="2094" w:type="dxa"/>
          </w:tcPr>
          <w:p w14:paraId="39B5C618" w14:textId="77777777" w:rsidR="00B642EC" w:rsidRPr="00F35246" w:rsidRDefault="00B642EC" w:rsidP="00612E2F">
            <w:pPr>
              <w:rPr>
                <w:rFonts w:ascii="Arial" w:hAnsi="Arial" w:cs="Arial"/>
                <w:sz w:val="20"/>
                <w:szCs w:val="20"/>
              </w:rPr>
            </w:pPr>
            <w:r>
              <w:rPr>
                <w:rFonts w:ascii="Arial" w:hAnsi="Arial" w:cs="Arial"/>
                <w:sz w:val="20"/>
                <w:szCs w:val="20"/>
              </w:rPr>
              <w:t>P</w:t>
            </w:r>
          </w:p>
        </w:tc>
      </w:tr>
      <w:tr w:rsidR="00B642EC" w:rsidRPr="001A4A03" w14:paraId="6B41BC96" w14:textId="77777777" w:rsidTr="00B642EC">
        <w:tc>
          <w:tcPr>
            <w:tcW w:w="2835" w:type="dxa"/>
            <w:tcBorders>
              <w:top w:val="single" w:sz="4" w:space="0" w:color="auto"/>
            </w:tcBorders>
          </w:tcPr>
          <w:p w14:paraId="1D24E8AD" w14:textId="77777777" w:rsidR="00B642EC" w:rsidRPr="001A4A03" w:rsidRDefault="00B642EC" w:rsidP="00612E2F">
            <w:pPr>
              <w:rPr>
                <w:rFonts w:ascii="Arial" w:hAnsi="Arial" w:cs="Arial"/>
                <w:sz w:val="10"/>
                <w:szCs w:val="10"/>
              </w:rPr>
            </w:pPr>
          </w:p>
        </w:tc>
        <w:tc>
          <w:tcPr>
            <w:tcW w:w="851" w:type="dxa"/>
            <w:tcBorders>
              <w:top w:val="single" w:sz="4" w:space="0" w:color="auto"/>
            </w:tcBorders>
          </w:tcPr>
          <w:p w14:paraId="2BFEFBCE" w14:textId="77777777" w:rsidR="00B642EC" w:rsidRPr="001A4A03" w:rsidRDefault="00B642EC" w:rsidP="00612E2F">
            <w:pPr>
              <w:rPr>
                <w:rFonts w:ascii="Arial" w:hAnsi="Arial" w:cs="Arial"/>
                <w:sz w:val="10"/>
                <w:szCs w:val="10"/>
              </w:rPr>
            </w:pPr>
          </w:p>
        </w:tc>
        <w:tc>
          <w:tcPr>
            <w:tcW w:w="850" w:type="dxa"/>
            <w:tcBorders>
              <w:top w:val="single" w:sz="4" w:space="0" w:color="auto"/>
            </w:tcBorders>
          </w:tcPr>
          <w:p w14:paraId="700EE832" w14:textId="77777777" w:rsidR="00B642EC" w:rsidRPr="001A4A03" w:rsidRDefault="00B642EC" w:rsidP="00612E2F">
            <w:pPr>
              <w:rPr>
                <w:rFonts w:ascii="Arial" w:hAnsi="Arial" w:cs="Arial"/>
                <w:sz w:val="10"/>
                <w:szCs w:val="10"/>
              </w:rPr>
            </w:pPr>
          </w:p>
        </w:tc>
        <w:tc>
          <w:tcPr>
            <w:tcW w:w="851" w:type="dxa"/>
            <w:tcBorders>
              <w:top w:val="single" w:sz="4" w:space="0" w:color="auto"/>
            </w:tcBorders>
          </w:tcPr>
          <w:p w14:paraId="06EEC89E" w14:textId="77777777" w:rsidR="00B642EC" w:rsidRPr="001A4A03" w:rsidRDefault="00B642EC" w:rsidP="00612E2F">
            <w:pPr>
              <w:rPr>
                <w:rFonts w:ascii="Arial" w:hAnsi="Arial" w:cs="Arial"/>
                <w:sz w:val="10"/>
                <w:szCs w:val="10"/>
              </w:rPr>
            </w:pPr>
          </w:p>
        </w:tc>
        <w:tc>
          <w:tcPr>
            <w:tcW w:w="850" w:type="dxa"/>
            <w:tcBorders>
              <w:top w:val="single" w:sz="4" w:space="0" w:color="auto"/>
            </w:tcBorders>
          </w:tcPr>
          <w:p w14:paraId="11931205" w14:textId="77777777" w:rsidR="00B642EC" w:rsidRPr="001A4A03" w:rsidRDefault="00B642EC" w:rsidP="00612E2F">
            <w:pPr>
              <w:rPr>
                <w:rFonts w:ascii="Arial" w:hAnsi="Arial" w:cs="Arial"/>
                <w:sz w:val="10"/>
                <w:szCs w:val="10"/>
              </w:rPr>
            </w:pPr>
          </w:p>
        </w:tc>
        <w:tc>
          <w:tcPr>
            <w:tcW w:w="993" w:type="dxa"/>
            <w:tcBorders>
              <w:top w:val="single" w:sz="4" w:space="0" w:color="auto"/>
            </w:tcBorders>
          </w:tcPr>
          <w:p w14:paraId="5226FB45" w14:textId="77777777" w:rsidR="00B642EC" w:rsidRPr="001A4A03" w:rsidRDefault="00B642EC" w:rsidP="00612E2F">
            <w:pPr>
              <w:rPr>
                <w:rFonts w:ascii="Arial" w:hAnsi="Arial" w:cs="Arial"/>
                <w:sz w:val="10"/>
                <w:szCs w:val="10"/>
              </w:rPr>
            </w:pPr>
          </w:p>
        </w:tc>
        <w:tc>
          <w:tcPr>
            <w:tcW w:w="239" w:type="dxa"/>
            <w:tcBorders>
              <w:top w:val="single" w:sz="4" w:space="0" w:color="auto"/>
            </w:tcBorders>
          </w:tcPr>
          <w:p w14:paraId="3C825B69" w14:textId="77777777" w:rsidR="00B642EC" w:rsidRPr="001A4A03" w:rsidRDefault="00B642EC" w:rsidP="00612E2F">
            <w:pPr>
              <w:rPr>
                <w:rFonts w:ascii="Arial" w:hAnsi="Arial" w:cs="Arial"/>
                <w:sz w:val="10"/>
                <w:szCs w:val="10"/>
              </w:rPr>
            </w:pPr>
          </w:p>
        </w:tc>
        <w:tc>
          <w:tcPr>
            <w:tcW w:w="1178" w:type="dxa"/>
            <w:tcBorders>
              <w:top w:val="single" w:sz="4" w:space="0" w:color="auto"/>
            </w:tcBorders>
          </w:tcPr>
          <w:p w14:paraId="6FF9A0B6" w14:textId="77777777" w:rsidR="00B642EC" w:rsidRPr="001A4A03" w:rsidRDefault="00B642EC" w:rsidP="00612E2F">
            <w:pPr>
              <w:rPr>
                <w:rFonts w:ascii="Arial" w:hAnsi="Arial" w:cs="Arial"/>
                <w:sz w:val="10"/>
                <w:szCs w:val="10"/>
              </w:rPr>
            </w:pPr>
          </w:p>
        </w:tc>
        <w:tc>
          <w:tcPr>
            <w:tcW w:w="851" w:type="dxa"/>
            <w:tcBorders>
              <w:top w:val="single" w:sz="4" w:space="0" w:color="auto"/>
            </w:tcBorders>
          </w:tcPr>
          <w:p w14:paraId="56975097" w14:textId="77777777" w:rsidR="00B642EC" w:rsidRPr="001A4A03" w:rsidRDefault="00B642EC" w:rsidP="00612E2F">
            <w:pPr>
              <w:rPr>
                <w:rFonts w:ascii="Arial" w:hAnsi="Arial" w:cs="Arial"/>
                <w:sz w:val="10"/>
                <w:szCs w:val="10"/>
              </w:rPr>
            </w:pPr>
          </w:p>
        </w:tc>
        <w:tc>
          <w:tcPr>
            <w:tcW w:w="850" w:type="dxa"/>
            <w:tcBorders>
              <w:top w:val="single" w:sz="4" w:space="0" w:color="auto"/>
            </w:tcBorders>
          </w:tcPr>
          <w:p w14:paraId="05FB8F0B" w14:textId="77777777" w:rsidR="00B642EC" w:rsidRPr="001A4A03" w:rsidRDefault="00B642EC" w:rsidP="00612E2F">
            <w:pPr>
              <w:rPr>
                <w:rFonts w:ascii="Arial" w:hAnsi="Arial" w:cs="Arial"/>
                <w:sz w:val="10"/>
                <w:szCs w:val="10"/>
              </w:rPr>
            </w:pPr>
          </w:p>
        </w:tc>
        <w:tc>
          <w:tcPr>
            <w:tcW w:w="851" w:type="dxa"/>
            <w:tcBorders>
              <w:top w:val="single" w:sz="4" w:space="0" w:color="auto"/>
            </w:tcBorders>
          </w:tcPr>
          <w:p w14:paraId="1EAB58D6" w14:textId="77777777" w:rsidR="00B642EC" w:rsidRPr="001A4A03" w:rsidRDefault="00B642EC" w:rsidP="00612E2F">
            <w:pPr>
              <w:rPr>
                <w:rFonts w:ascii="Arial" w:hAnsi="Arial" w:cs="Arial"/>
                <w:sz w:val="10"/>
                <w:szCs w:val="10"/>
              </w:rPr>
            </w:pPr>
          </w:p>
        </w:tc>
        <w:tc>
          <w:tcPr>
            <w:tcW w:w="850" w:type="dxa"/>
            <w:tcBorders>
              <w:top w:val="single" w:sz="4" w:space="0" w:color="auto"/>
            </w:tcBorders>
          </w:tcPr>
          <w:p w14:paraId="2E7BDA4B" w14:textId="77777777" w:rsidR="00B642EC" w:rsidRPr="001A4A03" w:rsidRDefault="00B642EC" w:rsidP="00612E2F">
            <w:pPr>
              <w:rPr>
                <w:rFonts w:ascii="Arial" w:hAnsi="Arial" w:cs="Arial"/>
                <w:sz w:val="10"/>
                <w:szCs w:val="10"/>
              </w:rPr>
            </w:pPr>
          </w:p>
        </w:tc>
        <w:tc>
          <w:tcPr>
            <w:tcW w:w="992" w:type="dxa"/>
            <w:tcBorders>
              <w:top w:val="single" w:sz="4" w:space="0" w:color="auto"/>
            </w:tcBorders>
          </w:tcPr>
          <w:p w14:paraId="60722CD6" w14:textId="77777777" w:rsidR="00B642EC" w:rsidRPr="001A4A03" w:rsidRDefault="00B642EC" w:rsidP="00612E2F">
            <w:pPr>
              <w:rPr>
                <w:rFonts w:ascii="Arial" w:hAnsi="Arial" w:cs="Arial"/>
                <w:sz w:val="10"/>
                <w:szCs w:val="10"/>
              </w:rPr>
            </w:pPr>
          </w:p>
        </w:tc>
        <w:tc>
          <w:tcPr>
            <w:tcW w:w="709" w:type="dxa"/>
            <w:tcBorders>
              <w:top w:val="single" w:sz="4" w:space="0" w:color="auto"/>
            </w:tcBorders>
          </w:tcPr>
          <w:p w14:paraId="172EF36C" w14:textId="77777777" w:rsidR="00B642EC" w:rsidRPr="001A4A03" w:rsidRDefault="00B642EC" w:rsidP="00612E2F">
            <w:pPr>
              <w:rPr>
                <w:rFonts w:ascii="Arial" w:hAnsi="Arial" w:cs="Arial"/>
                <w:sz w:val="10"/>
                <w:szCs w:val="10"/>
              </w:rPr>
            </w:pPr>
          </w:p>
        </w:tc>
        <w:tc>
          <w:tcPr>
            <w:tcW w:w="2094" w:type="dxa"/>
            <w:tcBorders>
              <w:top w:val="single" w:sz="4" w:space="0" w:color="auto"/>
            </w:tcBorders>
          </w:tcPr>
          <w:p w14:paraId="7F3D3C5D" w14:textId="77777777" w:rsidR="00B642EC" w:rsidRPr="001A4A03" w:rsidRDefault="00B642EC" w:rsidP="00612E2F">
            <w:pPr>
              <w:rPr>
                <w:rFonts w:ascii="Arial" w:hAnsi="Arial" w:cs="Arial"/>
                <w:sz w:val="10"/>
                <w:szCs w:val="10"/>
              </w:rPr>
            </w:pPr>
          </w:p>
        </w:tc>
      </w:tr>
      <w:tr w:rsidR="00B642EC" w:rsidRPr="00F35246" w14:paraId="2EC1E9CE" w14:textId="77777777" w:rsidTr="00B642EC">
        <w:tc>
          <w:tcPr>
            <w:tcW w:w="2835" w:type="dxa"/>
          </w:tcPr>
          <w:p w14:paraId="53ECA99F" w14:textId="77777777" w:rsidR="00B642EC" w:rsidRPr="00F35246" w:rsidRDefault="00B642EC" w:rsidP="00612E2F">
            <w:pPr>
              <w:rPr>
                <w:rFonts w:ascii="Arial" w:hAnsi="Arial" w:cs="Arial"/>
                <w:b/>
                <w:sz w:val="20"/>
                <w:szCs w:val="20"/>
              </w:rPr>
            </w:pPr>
            <w:r w:rsidRPr="00F35246">
              <w:rPr>
                <w:rFonts w:ascii="Arial" w:hAnsi="Arial" w:cs="Arial"/>
                <w:b/>
                <w:sz w:val="20"/>
                <w:szCs w:val="20"/>
              </w:rPr>
              <w:t>Age</w:t>
            </w:r>
          </w:p>
        </w:tc>
        <w:tc>
          <w:tcPr>
            <w:tcW w:w="851" w:type="dxa"/>
          </w:tcPr>
          <w:p w14:paraId="39341E97" w14:textId="77777777" w:rsidR="00B642EC" w:rsidRPr="00F35246" w:rsidRDefault="00B642EC" w:rsidP="00612E2F">
            <w:pPr>
              <w:rPr>
                <w:rFonts w:ascii="Arial" w:hAnsi="Arial" w:cs="Arial"/>
                <w:sz w:val="20"/>
                <w:szCs w:val="20"/>
              </w:rPr>
            </w:pPr>
          </w:p>
        </w:tc>
        <w:tc>
          <w:tcPr>
            <w:tcW w:w="850" w:type="dxa"/>
          </w:tcPr>
          <w:p w14:paraId="1F865AED" w14:textId="77777777" w:rsidR="00B642EC" w:rsidRPr="00F35246" w:rsidRDefault="00B642EC" w:rsidP="00612E2F">
            <w:pPr>
              <w:rPr>
                <w:rFonts w:ascii="Arial" w:hAnsi="Arial" w:cs="Arial"/>
                <w:sz w:val="20"/>
                <w:szCs w:val="20"/>
              </w:rPr>
            </w:pPr>
          </w:p>
        </w:tc>
        <w:tc>
          <w:tcPr>
            <w:tcW w:w="851" w:type="dxa"/>
          </w:tcPr>
          <w:p w14:paraId="005B084C" w14:textId="77777777" w:rsidR="00B642EC" w:rsidRPr="00F35246" w:rsidRDefault="00B642EC" w:rsidP="00612E2F">
            <w:pPr>
              <w:rPr>
                <w:rFonts w:ascii="Arial" w:hAnsi="Arial" w:cs="Arial"/>
                <w:sz w:val="20"/>
                <w:szCs w:val="20"/>
              </w:rPr>
            </w:pPr>
          </w:p>
        </w:tc>
        <w:tc>
          <w:tcPr>
            <w:tcW w:w="850" w:type="dxa"/>
          </w:tcPr>
          <w:p w14:paraId="3F5A090D" w14:textId="77777777" w:rsidR="00B642EC" w:rsidRPr="00B7025E" w:rsidRDefault="00B642EC" w:rsidP="00612E2F">
            <w:pPr>
              <w:rPr>
                <w:rFonts w:ascii="Arial" w:hAnsi="Arial" w:cs="Arial"/>
                <w:sz w:val="20"/>
                <w:szCs w:val="20"/>
              </w:rPr>
            </w:pPr>
            <w:r w:rsidRPr="00B7025E">
              <w:rPr>
                <w:rFonts w:ascii="Arial" w:hAnsi="Arial" w:cs="Arial"/>
                <w:sz w:val="20"/>
                <w:szCs w:val="20"/>
              </w:rPr>
              <w:t>13.23</w:t>
            </w:r>
          </w:p>
        </w:tc>
        <w:tc>
          <w:tcPr>
            <w:tcW w:w="993" w:type="dxa"/>
          </w:tcPr>
          <w:p w14:paraId="7C1A0F76" w14:textId="77777777" w:rsidR="00B642EC" w:rsidRPr="009A3FCB" w:rsidRDefault="00B642EC" w:rsidP="00612E2F">
            <w:pPr>
              <w:rPr>
                <w:rFonts w:ascii="Arial" w:hAnsi="Arial" w:cs="Arial"/>
                <w:sz w:val="20"/>
                <w:szCs w:val="20"/>
              </w:rPr>
            </w:pPr>
            <w:r w:rsidRPr="009A3FCB">
              <w:rPr>
                <w:rFonts w:ascii="Arial" w:hAnsi="Arial" w:cs="Arial"/>
                <w:sz w:val="20"/>
                <w:szCs w:val="20"/>
              </w:rPr>
              <w:t>&lt;0.001 *</w:t>
            </w:r>
          </w:p>
        </w:tc>
        <w:tc>
          <w:tcPr>
            <w:tcW w:w="239" w:type="dxa"/>
          </w:tcPr>
          <w:p w14:paraId="0ED024FF" w14:textId="77777777" w:rsidR="00B642EC" w:rsidRPr="00F35246" w:rsidRDefault="00B642EC" w:rsidP="00612E2F">
            <w:pPr>
              <w:rPr>
                <w:rFonts w:ascii="Arial" w:hAnsi="Arial" w:cs="Arial"/>
                <w:sz w:val="20"/>
                <w:szCs w:val="20"/>
              </w:rPr>
            </w:pPr>
          </w:p>
        </w:tc>
        <w:tc>
          <w:tcPr>
            <w:tcW w:w="1178" w:type="dxa"/>
          </w:tcPr>
          <w:p w14:paraId="6227F951" w14:textId="77777777" w:rsidR="00B642EC" w:rsidRPr="00F35246" w:rsidRDefault="00B642EC" w:rsidP="00612E2F">
            <w:pPr>
              <w:rPr>
                <w:rFonts w:ascii="Arial" w:hAnsi="Arial" w:cs="Arial"/>
                <w:sz w:val="20"/>
                <w:szCs w:val="20"/>
              </w:rPr>
            </w:pPr>
          </w:p>
        </w:tc>
        <w:tc>
          <w:tcPr>
            <w:tcW w:w="851" w:type="dxa"/>
          </w:tcPr>
          <w:p w14:paraId="3294787C" w14:textId="77777777" w:rsidR="00B642EC" w:rsidRPr="00F35246" w:rsidRDefault="00B642EC" w:rsidP="00612E2F">
            <w:pPr>
              <w:rPr>
                <w:rFonts w:ascii="Arial" w:hAnsi="Arial" w:cs="Arial"/>
                <w:sz w:val="20"/>
                <w:szCs w:val="20"/>
              </w:rPr>
            </w:pPr>
          </w:p>
        </w:tc>
        <w:tc>
          <w:tcPr>
            <w:tcW w:w="850" w:type="dxa"/>
          </w:tcPr>
          <w:p w14:paraId="04DF01A5" w14:textId="77777777" w:rsidR="00B642EC" w:rsidRPr="00F35246" w:rsidRDefault="00B642EC" w:rsidP="00612E2F">
            <w:pPr>
              <w:rPr>
                <w:rFonts w:ascii="Arial" w:hAnsi="Arial" w:cs="Arial"/>
                <w:sz w:val="20"/>
                <w:szCs w:val="20"/>
              </w:rPr>
            </w:pPr>
          </w:p>
        </w:tc>
        <w:tc>
          <w:tcPr>
            <w:tcW w:w="851" w:type="dxa"/>
          </w:tcPr>
          <w:p w14:paraId="7A4ECD30" w14:textId="77777777" w:rsidR="00B642EC" w:rsidRPr="00F35246" w:rsidRDefault="00B642EC" w:rsidP="00612E2F">
            <w:pPr>
              <w:rPr>
                <w:rFonts w:ascii="Arial" w:hAnsi="Arial" w:cs="Arial"/>
                <w:sz w:val="20"/>
                <w:szCs w:val="20"/>
              </w:rPr>
            </w:pPr>
            <w:r>
              <w:rPr>
                <w:rFonts w:ascii="Arial" w:hAnsi="Arial" w:cs="Arial"/>
                <w:sz w:val="20"/>
                <w:szCs w:val="20"/>
              </w:rPr>
              <w:t>3.21</w:t>
            </w:r>
          </w:p>
        </w:tc>
        <w:tc>
          <w:tcPr>
            <w:tcW w:w="850" w:type="dxa"/>
          </w:tcPr>
          <w:p w14:paraId="3C2297C2" w14:textId="77777777" w:rsidR="00B642EC" w:rsidRPr="00F35246" w:rsidRDefault="00B642EC" w:rsidP="00612E2F">
            <w:pPr>
              <w:rPr>
                <w:rFonts w:ascii="Arial" w:hAnsi="Arial" w:cs="Arial"/>
                <w:sz w:val="20"/>
                <w:szCs w:val="20"/>
              </w:rPr>
            </w:pPr>
            <w:r>
              <w:rPr>
                <w:rFonts w:ascii="Arial" w:hAnsi="Arial" w:cs="Arial"/>
                <w:sz w:val="20"/>
                <w:szCs w:val="20"/>
              </w:rPr>
              <w:t>0.042 *</w:t>
            </w:r>
          </w:p>
        </w:tc>
        <w:tc>
          <w:tcPr>
            <w:tcW w:w="992" w:type="dxa"/>
          </w:tcPr>
          <w:p w14:paraId="1624C7EB"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709" w:type="dxa"/>
          </w:tcPr>
          <w:p w14:paraId="1C163F11"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094" w:type="dxa"/>
          </w:tcPr>
          <w:p w14:paraId="1C7E2799"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F35246" w14:paraId="16C54B6C" w14:textId="77777777" w:rsidTr="00B642EC">
        <w:tc>
          <w:tcPr>
            <w:tcW w:w="2835" w:type="dxa"/>
          </w:tcPr>
          <w:p w14:paraId="603359C7"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Early years (0 to 5)</w:t>
            </w:r>
          </w:p>
        </w:tc>
        <w:tc>
          <w:tcPr>
            <w:tcW w:w="851" w:type="dxa"/>
            <w:shd w:val="clear" w:color="auto" w:fill="auto"/>
          </w:tcPr>
          <w:p w14:paraId="2D080E3F" w14:textId="77777777" w:rsidR="00B642EC" w:rsidRPr="00F35246" w:rsidRDefault="00B642EC" w:rsidP="00612E2F">
            <w:pPr>
              <w:rPr>
                <w:rFonts w:ascii="Arial" w:hAnsi="Arial" w:cs="Arial"/>
                <w:sz w:val="20"/>
                <w:szCs w:val="20"/>
              </w:rPr>
            </w:pPr>
            <w:r>
              <w:rPr>
                <w:rFonts w:ascii="Arial" w:hAnsi="Arial" w:cs="Arial"/>
                <w:sz w:val="20"/>
                <w:szCs w:val="20"/>
              </w:rPr>
              <w:t>22.14</w:t>
            </w:r>
          </w:p>
        </w:tc>
        <w:tc>
          <w:tcPr>
            <w:tcW w:w="850" w:type="dxa"/>
          </w:tcPr>
          <w:p w14:paraId="29175065" w14:textId="77777777" w:rsidR="00B642EC" w:rsidRPr="00F35246" w:rsidRDefault="00B642EC" w:rsidP="00612E2F">
            <w:pPr>
              <w:rPr>
                <w:rFonts w:ascii="Arial" w:hAnsi="Arial" w:cs="Arial"/>
                <w:sz w:val="20"/>
                <w:szCs w:val="20"/>
              </w:rPr>
            </w:pPr>
            <w:r>
              <w:rPr>
                <w:rFonts w:ascii="Arial" w:hAnsi="Arial" w:cs="Arial"/>
                <w:sz w:val="20"/>
                <w:szCs w:val="20"/>
              </w:rPr>
              <w:t>19.63</w:t>
            </w:r>
          </w:p>
        </w:tc>
        <w:tc>
          <w:tcPr>
            <w:tcW w:w="851" w:type="dxa"/>
          </w:tcPr>
          <w:p w14:paraId="7E73ED6F" w14:textId="77777777" w:rsidR="00B642EC" w:rsidRPr="00F35246" w:rsidRDefault="00B642EC" w:rsidP="00612E2F">
            <w:pPr>
              <w:rPr>
                <w:rFonts w:ascii="Arial" w:hAnsi="Arial" w:cs="Arial"/>
                <w:sz w:val="20"/>
                <w:szCs w:val="20"/>
              </w:rPr>
            </w:pPr>
            <w:r>
              <w:rPr>
                <w:rFonts w:ascii="Arial" w:hAnsi="Arial" w:cs="Arial"/>
                <w:sz w:val="20"/>
                <w:szCs w:val="20"/>
              </w:rPr>
              <w:t>24.65</w:t>
            </w:r>
          </w:p>
        </w:tc>
        <w:tc>
          <w:tcPr>
            <w:tcW w:w="850" w:type="dxa"/>
          </w:tcPr>
          <w:p w14:paraId="4068A4C0"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0985231C"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53A095FA" w14:textId="77777777" w:rsidR="00B642EC" w:rsidRPr="00F35246" w:rsidRDefault="00B642EC" w:rsidP="00612E2F">
            <w:pPr>
              <w:rPr>
                <w:rFonts w:ascii="Arial" w:hAnsi="Arial" w:cs="Arial"/>
                <w:sz w:val="20"/>
                <w:szCs w:val="20"/>
              </w:rPr>
            </w:pPr>
          </w:p>
        </w:tc>
        <w:tc>
          <w:tcPr>
            <w:tcW w:w="1178" w:type="dxa"/>
          </w:tcPr>
          <w:p w14:paraId="52A6897C" w14:textId="77777777" w:rsidR="00B642EC" w:rsidRPr="00F35246" w:rsidRDefault="00B642EC" w:rsidP="00612E2F">
            <w:pPr>
              <w:rPr>
                <w:rFonts w:ascii="Arial" w:hAnsi="Arial" w:cs="Arial"/>
                <w:sz w:val="20"/>
                <w:szCs w:val="20"/>
              </w:rPr>
            </w:pPr>
            <w:r>
              <w:rPr>
                <w:rFonts w:ascii="Arial" w:hAnsi="Arial" w:cs="Arial"/>
                <w:sz w:val="20"/>
                <w:szCs w:val="20"/>
              </w:rPr>
              <w:t>18.18</w:t>
            </w:r>
          </w:p>
        </w:tc>
        <w:tc>
          <w:tcPr>
            <w:tcW w:w="851" w:type="dxa"/>
          </w:tcPr>
          <w:p w14:paraId="59F548F1" w14:textId="77777777" w:rsidR="00B642EC" w:rsidRPr="00F35246" w:rsidRDefault="00B642EC" w:rsidP="00612E2F">
            <w:pPr>
              <w:rPr>
                <w:rFonts w:ascii="Arial" w:hAnsi="Arial" w:cs="Arial"/>
                <w:sz w:val="20"/>
                <w:szCs w:val="20"/>
              </w:rPr>
            </w:pPr>
            <w:r>
              <w:rPr>
                <w:rFonts w:ascii="Arial" w:hAnsi="Arial" w:cs="Arial"/>
                <w:sz w:val="20"/>
                <w:szCs w:val="20"/>
              </w:rPr>
              <w:t>13.97</w:t>
            </w:r>
          </w:p>
        </w:tc>
        <w:tc>
          <w:tcPr>
            <w:tcW w:w="850" w:type="dxa"/>
          </w:tcPr>
          <w:p w14:paraId="31FC18CC" w14:textId="77777777" w:rsidR="00B642EC" w:rsidRPr="00F35246" w:rsidRDefault="00B642EC" w:rsidP="00612E2F">
            <w:pPr>
              <w:rPr>
                <w:rFonts w:ascii="Arial" w:hAnsi="Arial" w:cs="Arial"/>
                <w:sz w:val="20"/>
                <w:szCs w:val="20"/>
              </w:rPr>
            </w:pPr>
            <w:r>
              <w:rPr>
                <w:rFonts w:ascii="Arial" w:hAnsi="Arial" w:cs="Arial"/>
                <w:sz w:val="20"/>
                <w:szCs w:val="20"/>
              </w:rPr>
              <w:t>22.39</w:t>
            </w:r>
          </w:p>
        </w:tc>
        <w:tc>
          <w:tcPr>
            <w:tcW w:w="851" w:type="dxa"/>
          </w:tcPr>
          <w:p w14:paraId="2F501C62"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2F5DA003"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35D066B6" w14:textId="77777777" w:rsidR="00B642EC" w:rsidRPr="00F35246" w:rsidRDefault="00B642EC" w:rsidP="00612E2F">
            <w:pPr>
              <w:rPr>
                <w:rFonts w:ascii="Arial" w:hAnsi="Arial" w:cs="Arial"/>
                <w:sz w:val="20"/>
                <w:szCs w:val="20"/>
              </w:rPr>
            </w:pPr>
            <w:r>
              <w:rPr>
                <w:rFonts w:ascii="Arial" w:hAnsi="Arial" w:cs="Arial"/>
                <w:sz w:val="20"/>
                <w:szCs w:val="20"/>
              </w:rPr>
              <w:t>0.11</w:t>
            </w:r>
          </w:p>
        </w:tc>
        <w:tc>
          <w:tcPr>
            <w:tcW w:w="709" w:type="dxa"/>
          </w:tcPr>
          <w:p w14:paraId="170122DF" w14:textId="77777777" w:rsidR="00B642EC" w:rsidRPr="00F35246" w:rsidRDefault="00B642EC" w:rsidP="00612E2F">
            <w:pPr>
              <w:rPr>
                <w:rFonts w:ascii="Arial" w:hAnsi="Arial" w:cs="Arial"/>
                <w:sz w:val="20"/>
                <w:szCs w:val="20"/>
              </w:rPr>
            </w:pPr>
            <w:r>
              <w:rPr>
                <w:rFonts w:ascii="Arial" w:hAnsi="Arial" w:cs="Arial"/>
                <w:sz w:val="20"/>
                <w:szCs w:val="20"/>
              </w:rPr>
              <w:t>1.88</w:t>
            </w:r>
          </w:p>
        </w:tc>
        <w:tc>
          <w:tcPr>
            <w:tcW w:w="2094" w:type="dxa"/>
          </w:tcPr>
          <w:p w14:paraId="21A374D1" w14:textId="77777777" w:rsidR="00B642EC" w:rsidRPr="009A3FCB" w:rsidRDefault="00B642EC" w:rsidP="00612E2F">
            <w:pPr>
              <w:rPr>
                <w:rFonts w:ascii="Arial" w:hAnsi="Arial" w:cs="Arial"/>
                <w:sz w:val="20"/>
                <w:szCs w:val="20"/>
              </w:rPr>
            </w:pPr>
            <w:r>
              <w:rPr>
                <w:rFonts w:ascii="Arial" w:hAnsi="Arial" w:cs="Arial"/>
                <w:sz w:val="20"/>
                <w:szCs w:val="20"/>
              </w:rPr>
              <w:t>0.061</w:t>
            </w:r>
          </w:p>
        </w:tc>
      </w:tr>
      <w:tr w:rsidR="00B642EC" w:rsidRPr="00F35246" w14:paraId="38C62B10" w14:textId="77777777" w:rsidTr="00B642EC">
        <w:tc>
          <w:tcPr>
            <w:tcW w:w="2835" w:type="dxa"/>
          </w:tcPr>
          <w:p w14:paraId="29EB2B61"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Middle childhood (6 to 12)</w:t>
            </w:r>
          </w:p>
        </w:tc>
        <w:tc>
          <w:tcPr>
            <w:tcW w:w="851" w:type="dxa"/>
            <w:shd w:val="clear" w:color="auto" w:fill="auto"/>
          </w:tcPr>
          <w:p w14:paraId="3DEBE41B" w14:textId="77777777" w:rsidR="00B642EC" w:rsidRPr="00F35246" w:rsidRDefault="00B642EC" w:rsidP="00612E2F">
            <w:pPr>
              <w:rPr>
                <w:rFonts w:ascii="Arial" w:hAnsi="Arial" w:cs="Arial"/>
                <w:sz w:val="20"/>
                <w:szCs w:val="20"/>
              </w:rPr>
            </w:pPr>
            <w:r>
              <w:rPr>
                <w:rFonts w:ascii="Arial" w:hAnsi="Arial" w:cs="Arial"/>
                <w:sz w:val="20"/>
                <w:szCs w:val="20"/>
              </w:rPr>
              <w:t>20.11</w:t>
            </w:r>
          </w:p>
        </w:tc>
        <w:tc>
          <w:tcPr>
            <w:tcW w:w="850" w:type="dxa"/>
          </w:tcPr>
          <w:p w14:paraId="1D9ABEAC" w14:textId="77777777" w:rsidR="00B642EC" w:rsidRPr="00F35246" w:rsidRDefault="00B642EC" w:rsidP="00612E2F">
            <w:pPr>
              <w:rPr>
                <w:rFonts w:ascii="Arial" w:hAnsi="Arial" w:cs="Arial"/>
                <w:sz w:val="20"/>
                <w:szCs w:val="20"/>
              </w:rPr>
            </w:pPr>
            <w:r>
              <w:rPr>
                <w:rFonts w:ascii="Arial" w:hAnsi="Arial" w:cs="Arial"/>
                <w:sz w:val="20"/>
                <w:szCs w:val="20"/>
              </w:rPr>
              <w:t>18.61</w:t>
            </w:r>
          </w:p>
        </w:tc>
        <w:tc>
          <w:tcPr>
            <w:tcW w:w="851" w:type="dxa"/>
          </w:tcPr>
          <w:p w14:paraId="54917E50" w14:textId="77777777" w:rsidR="00B642EC" w:rsidRPr="00F35246" w:rsidRDefault="00B642EC" w:rsidP="00612E2F">
            <w:pPr>
              <w:rPr>
                <w:rFonts w:ascii="Arial" w:hAnsi="Arial" w:cs="Arial"/>
                <w:sz w:val="20"/>
                <w:szCs w:val="20"/>
              </w:rPr>
            </w:pPr>
            <w:r>
              <w:rPr>
                <w:rFonts w:ascii="Arial" w:hAnsi="Arial" w:cs="Arial"/>
                <w:sz w:val="20"/>
                <w:szCs w:val="20"/>
              </w:rPr>
              <w:t>21.60</w:t>
            </w:r>
          </w:p>
        </w:tc>
        <w:tc>
          <w:tcPr>
            <w:tcW w:w="850" w:type="dxa"/>
          </w:tcPr>
          <w:p w14:paraId="6CA794E2"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7407896D"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60300704" w14:textId="77777777" w:rsidR="00B642EC" w:rsidRPr="00F35246" w:rsidRDefault="00B642EC" w:rsidP="00612E2F">
            <w:pPr>
              <w:rPr>
                <w:rFonts w:ascii="Arial" w:hAnsi="Arial" w:cs="Arial"/>
                <w:sz w:val="20"/>
                <w:szCs w:val="20"/>
              </w:rPr>
            </w:pPr>
          </w:p>
        </w:tc>
        <w:tc>
          <w:tcPr>
            <w:tcW w:w="1178" w:type="dxa"/>
          </w:tcPr>
          <w:p w14:paraId="2D8A1E5D" w14:textId="77777777" w:rsidR="00B642EC" w:rsidRPr="00F35246" w:rsidRDefault="00B642EC" w:rsidP="00612E2F">
            <w:pPr>
              <w:rPr>
                <w:rFonts w:ascii="Arial" w:hAnsi="Arial" w:cs="Arial"/>
                <w:sz w:val="20"/>
                <w:szCs w:val="20"/>
              </w:rPr>
            </w:pPr>
            <w:r>
              <w:rPr>
                <w:rFonts w:ascii="Arial" w:hAnsi="Arial" w:cs="Arial"/>
                <w:sz w:val="20"/>
                <w:szCs w:val="20"/>
              </w:rPr>
              <w:t>17.41</w:t>
            </w:r>
          </w:p>
        </w:tc>
        <w:tc>
          <w:tcPr>
            <w:tcW w:w="851" w:type="dxa"/>
          </w:tcPr>
          <w:p w14:paraId="26BB9D91" w14:textId="77777777" w:rsidR="00B642EC" w:rsidRPr="00F35246" w:rsidRDefault="00B642EC" w:rsidP="00612E2F">
            <w:pPr>
              <w:rPr>
                <w:rFonts w:ascii="Arial" w:hAnsi="Arial" w:cs="Arial"/>
                <w:sz w:val="20"/>
                <w:szCs w:val="20"/>
              </w:rPr>
            </w:pPr>
            <w:r>
              <w:rPr>
                <w:rFonts w:ascii="Arial" w:hAnsi="Arial" w:cs="Arial"/>
                <w:sz w:val="20"/>
                <w:szCs w:val="20"/>
              </w:rPr>
              <w:t>14.47</w:t>
            </w:r>
          </w:p>
        </w:tc>
        <w:tc>
          <w:tcPr>
            <w:tcW w:w="850" w:type="dxa"/>
          </w:tcPr>
          <w:p w14:paraId="06989DF8" w14:textId="77777777" w:rsidR="00B642EC" w:rsidRPr="00F35246" w:rsidRDefault="00B642EC" w:rsidP="00612E2F">
            <w:pPr>
              <w:rPr>
                <w:rFonts w:ascii="Arial" w:hAnsi="Arial" w:cs="Arial"/>
                <w:sz w:val="20"/>
                <w:szCs w:val="20"/>
              </w:rPr>
            </w:pPr>
            <w:r>
              <w:rPr>
                <w:rFonts w:ascii="Arial" w:hAnsi="Arial" w:cs="Arial"/>
                <w:sz w:val="20"/>
                <w:szCs w:val="20"/>
              </w:rPr>
              <w:t>20.35</w:t>
            </w:r>
          </w:p>
        </w:tc>
        <w:tc>
          <w:tcPr>
            <w:tcW w:w="851" w:type="dxa"/>
          </w:tcPr>
          <w:p w14:paraId="27F0E1DA"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5F1528DB"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49CD5065" w14:textId="77777777" w:rsidR="00B642EC" w:rsidRPr="00F35246" w:rsidRDefault="00B642EC" w:rsidP="00612E2F">
            <w:pPr>
              <w:rPr>
                <w:rFonts w:ascii="Arial" w:hAnsi="Arial" w:cs="Arial"/>
                <w:sz w:val="20"/>
                <w:szCs w:val="20"/>
              </w:rPr>
            </w:pPr>
            <w:r>
              <w:rPr>
                <w:rFonts w:ascii="Arial" w:hAnsi="Arial" w:cs="Arial"/>
                <w:sz w:val="20"/>
                <w:szCs w:val="20"/>
              </w:rPr>
              <w:t>0.15</w:t>
            </w:r>
          </w:p>
        </w:tc>
        <w:tc>
          <w:tcPr>
            <w:tcW w:w="709" w:type="dxa"/>
          </w:tcPr>
          <w:p w14:paraId="64920FAD" w14:textId="77777777" w:rsidR="00B642EC" w:rsidRPr="00F35246" w:rsidRDefault="00B642EC" w:rsidP="00612E2F">
            <w:pPr>
              <w:rPr>
                <w:rFonts w:ascii="Arial" w:hAnsi="Arial" w:cs="Arial"/>
                <w:sz w:val="20"/>
                <w:szCs w:val="20"/>
              </w:rPr>
            </w:pPr>
            <w:r>
              <w:rPr>
                <w:rFonts w:ascii="Arial" w:hAnsi="Arial" w:cs="Arial"/>
                <w:sz w:val="20"/>
                <w:szCs w:val="20"/>
              </w:rPr>
              <w:t>2.35</w:t>
            </w:r>
          </w:p>
        </w:tc>
        <w:tc>
          <w:tcPr>
            <w:tcW w:w="2094" w:type="dxa"/>
          </w:tcPr>
          <w:p w14:paraId="527049A5" w14:textId="77777777" w:rsidR="00B642EC" w:rsidRPr="009A3FCB" w:rsidRDefault="00B642EC" w:rsidP="00612E2F">
            <w:pPr>
              <w:rPr>
                <w:rFonts w:ascii="Arial" w:hAnsi="Arial" w:cs="Arial"/>
                <w:sz w:val="20"/>
                <w:szCs w:val="20"/>
              </w:rPr>
            </w:pPr>
            <w:r>
              <w:rPr>
                <w:rFonts w:ascii="Arial" w:hAnsi="Arial" w:cs="Arial"/>
                <w:sz w:val="20"/>
                <w:szCs w:val="20"/>
              </w:rPr>
              <w:t>0.020 *</w:t>
            </w:r>
          </w:p>
        </w:tc>
      </w:tr>
      <w:tr w:rsidR="00B642EC" w:rsidRPr="00F35246" w14:paraId="6615061C" w14:textId="77777777" w:rsidTr="00B642EC">
        <w:tc>
          <w:tcPr>
            <w:tcW w:w="2835" w:type="dxa"/>
          </w:tcPr>
          <w:p w14:paraId="256EE2C6" w14:textId="77777777" w:rsidR="00B642EC" w:rsidRPr="00F35246" w:rsidRDefault="00B642EC" w:rsidP="002E37AB">
            <w:pPr>
              <w:rPr>
                <w:rFonts w:ascii="Arial" w:hAnsi="Arial" w:cs="Arial"/>
                <w:sz w:val="20"/>
                <w:szCs w:val="20"/>
              </w:rPr>
            </w:pPr>
            <w:r w:rsidRPr="00F35246">
              <w:rPr>
                <w:rFonts w:ascii="Arial" w:hAnsi="Arial" w:cs="Arial"/>
                <w:sz w:val="20"/>
                <w:szCs w:val="20"/>
              </w:rPr>
              <w:t xml:space="preserve">    Adolescence (13 to 18)</w:t>
            </w:r>
          </w:p>
        </w:tc>
        <w:tc>
          <w:tcPr>
            <w:tcW w:w="851" w:type="dxa"/>
            <w:shd w:val="clear" w:color="auto" w:fill="auto"/>
          </w:tcPr>
          <w:p w14:paraId="29FE973B" w14:textId="77777777" w:rsidR="00B642EC" w:rsidRPr="00F35246" w:rsidRDefault="00B642EC" w:rsidP="00612E2F">
            <w:pPr>
              <w:rPr>
                <w:rFonts w:ascii="Arial" w:hAnsi="Arial" w:cs="Arial"/>
                <w:sz w:val="20"/>
                <w:szCs w:val="20"/>
              </w:rPr>
            </w:pPr>
            <w:r>
              <w:rPr>
                <w:rFonts w:ascii="Arial" w:hAnsi="Arial" w:cs="Arial"/>
                <w:sz w:val="20"/>
                <w:szCs w:val="20"/>
              </w:rPr>
              <w:t>15.06</w:t>
            </w:r>
          </w:p>
        </w:tc>
        <w:tc>
          <w:tcPr>
            <w:tcW w:w="850" w:type="dxa"/>
          </w:tcPr>
          <w:p w14:paraId="26FC68FC" w14:textId="77777777" w:rsidR="00B642EC" w:rsidRPr="00F35246" w:rsidRDefault="00B642EC" w:rsidP="00612E2F">
            <w:pPr>
              <w:rPr>
                <w:rFonts w:ascii="Arial" w:hAnsi="Arial" w:cs="Arial"/>
                <w:sz w:val="20"/>
                <w:szCs w:val="20"/>
              </w:rPr>
            </w:pPr>
            <w:r>
              <w:rPr>
                <w:rFonts w:ascii="Arial" w:hAnsi="Arial" w:cs="Arial"/>
                <w:sz w:val="20"/>
                <w:szCs w:val="20"/>
              </w:rPr>
              <w:t>13.31</w:t>
            </w:r>
          </w:p>
        </w:tc>
        <w:tc>
          <w:tcPr>
            <w:tcW w:w="851" w:type="dxa"/>
          </w:tcPr>
          <w:p w14:paraId="3C544804" w14:textId="77777777" w:rsidR="00B642EC" w:rsidRPr="00F35246" w:rsidRDefault="00B642EC" w:rsidP="00612E2F">
            <w:pPr>
              <w:rPr>
                <w:rFonts w:ascii="Arial" w:hAnsi="Arial" w:cs="Arial"/>
                <w:sz w:val="20"/>
                <w:szCs w:val="20"/>
              </w:rPr>
            </w:pPr>
            <w:r>
              <w:rPr>
                <w:rFonts w:ascii="Arial" w:hAnsi="Arial" w:cs="Arial"/>
                <w:sz w:val="20"/>
                <w:szCs w:val="20"/>
              </w:rPr>
              <w:t>16.80</w:t>
            </w:r>
          </w:p>
        </w:tc>
        <w:tc>
          <w:tcPr>
            <w:tcW w:w="850" w:type="dxa"/>
          </w:tcPr>
          <w:p w14:paraId="085B8B56"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3AFD1977"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1AC6BF0D" w14:textId="77777777" w:rsidR="00B642EC" w:rsidRPr="00F35246" w:rsidRDefault="00B642EC" w:rsidP="00612E2F">
            <w:pPr>
              <w:rPr>
                <w:rFonts w:ascii="Arial" w:hAnsi="Arial" w:cs="Arial"/>
                <w:sz w:val="20"/>
                <w:szCs w:val="20"/>
              </w:rPr>
            </w:pPr>
          </w:p>
        </w:tc>
        <w:tc>
          <w:tcPr>
            <w:tcW w:w="1178" w:type="dxa"/>
          </w:tcPr>
          <w:p w14:paraId="559C20E0" w14:textId="77777777" w:rsidR="00B642EC" w:rsidRPr="00F35246" w:rsidRDefault="00B642EC" w:rsidP="00612E2F">
            <w:pPr>
              <w:rPr>
                <w:rFonts w:ascii="Arial" w:hAnsi="Arial" w:cs="Arial"/>
                <w:sz w:val="20"/>
                <w:szCs w:val="20"/>
              </w:rPr>
            </w:pPr>
            <w:r>
              <w:rPr>
                <w:rFonts w:ascii="Arial" w:hAnsi="Arial" w:cs="Arial"/>
                <w:sz w:val="20"/>
                <w:szCs w:val="20"/>
              </w:rPr>
              <w:t>14.38</w:t>
            </w:r>
          </w:p>
        </w:tc>
        <w:tc>
          <w:tcPr>
            <w:tcW w:w="851" w:type="dxa"/>
          </w:tcPr>
          <w:p w14:paraId="61A61255" w14:textId="77777777" w:rsidR="00B642EC" w:rsidRPr="00F35246" w:rsidRDefault="00B642EC" w:rsidP="00612E2F">
            <w:pPr>
              <w:rPr>
                <w:rFonts w:ascii="Arial" w:hAnsi="Arial" w:cs="Arial"/>
                <w:sz w:val="20"/>
                <w:szCs w:val="20"/>
              </w:rPr>
            </w:pPr>
            <w:r>
              <w:rPr>
                <w:rFonts w:ascii="Arial" w:hAnsi="Arial" w:cs="Arial"/>
                <w:sz w:val="20"/>
                <w:szCs w:val="20"/>
              </w:rPr>
              <w:t>11.49</w:t>
            </w:r>
          </w:p>
        </w:tc>
        <w:tc>
          <w:tcPr>
            <w:tcW w:w="850" w:type="dxa"/>
          </w:tcPr>
          <w:p w14:paraId="3B1A225E" w14:textId="77777777" w:rsidR="00B642EC" w:rsidRPr="00F35246" w:rsidRDefault="00B642EC" w:rsidP="00612E2F">
            <w:pPr>
              <w:rPr>
                <w:rFonts w:ascii="Arial" w:hAnsi="Arial" w:cs="Arial"/>
                <w:sz w:val="20"/>
                <w:szCs w:val="20"/>
              </w:rPr>
            </w:pPr>
            <w:r>
              <w:rPr>
                <w:rFonts w:ascii="Arial" w:hAnsi="Arial" w:cs="Arial"/>
                <w:sz w:val="20"/>
                <w:szCs w:val="20"/>
              </w:rPr>
              <w:t>17.26</w:t>
            </w:r>
          </w:p>
        </w:tc>
        <w:tc>
          <w:tcPr>
            <w:tcW w:w="851" w:type="dxa"/>
          </w:tcPr>
          <w:p w14:paraId="74A541AB"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02D52EF1"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477683BB"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709" w:type="dxa"/>
          </w:tcPr>
          <w:p w14:paraId="28A86EE9"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094" w:type="dxa"/>
          </w:tcPr>
          <w:p w14:paraId="60B3A02F"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1A4A03" w14:paraId="29E7576F" w14:textId="77777777" w:rsidTr="00B642EC">
        <w:tc>
          <w:tcPr>
            <w:tcW w:w="2835" w:type="dxa"/>
          </w:tcPr>
          <w:p w14:paraId="4F98549C" w14:textId="77777777" w:rsidR="00B642EC" w:rsidRPr="001A4A03" w:rsidRDefault="00B642EC" w:rsidP="00612E2F">
            <w:pPr>
              <w:rPr>
                <w:rFonts w:ascii="Arial" w:hAnsi="Arial" w:cs="Arial"/>
                <w:sz w:val="10"/>
                <w:szCs w:val="10"/>
              </w:rPr>
            </w:pPr>
          </w:p>
        </w:tc>
        <w:tc>
          <w:tcPr>
            <w:tcW w:w="851" w:type="dxa"/>
            <w:shd w:val="clear" w:color="auto" w:fill="auto"/>
          </w:tcPr>
          <w:p w14:paraId="21F2C8DA" w14:textId="77777777" w:rsidR="00B642EC" w:rsidRPr="001A4A03" w:rsidRDefault="00B642EC" w:rsidP="00612E2F">
            <w:pPr>
              <w:rPr>
                <w:rFonts w:ascii="Arial" w:hAnsi="Arial" w:cs="Arial"/>
                <w:sz w:val="10"/>
                <w:szCs w:val="10"/>
              </w:rPr>
            </w:pPr>
          </w:p>
        </w:tc>
        <w:tc>
          <w:tcPr>
            <w:tcW w:w="850" w:type="dxa"/>
          </w:tcPr>
          <w:p w14:paraId="7A102769" w14:textId="77777777" w:rsidR="00B642EC" w:rsidRPr="001A4A03" w:rsidRDefault="00B642EC" w:rsidP="00612E2F">
            <w:pPr>
              <w:rPr>
                <w:rFonts w:ascii="Arial" w:hAnsi="Arial" w:cs="Arial"/>
                <w:sz w:val="10"/>
                <w:szCs w:val="10"/>
              </w:rPr>
            </w:pPr>
          </w:p>
        </w:tc>
        <w:tc>
          <w:tcPr>
            <w:tcW w:w="851" w:type="dxa"/>
          </w:tcPr>
          <w:p w14:paraId="58C4EDA4" w14:textId="77777777" w:rsidR="00B642EC" w:rsidRPr="001A4A03" w:rsidRDefault="00B642EC" w:rsidP="00612E2F">
            <w:pPr>
              <w:rPr>
                <w:rFonts w:ascii="Arial" w:hAnsi="Arial" w:cs="Arial"/>
                <w:sz w:val="10"/>
                <w:szCs w:val="10"/>
              </w:rPr>
            </w:pPr>
          </w:p>
        </w:tc>
        <w:tc>
          <w:tcPr>
            <w:tcW w:w="850" w:type="dxa"/>
          </w:tcPr>
          <w:p w14:paraId="15DD8838" w14:textId="77777777" w:rsidR="00B642EC" w:rsidRPr="001A4A03" w:rsidRDefault="00B642EC" w:rsidP="00612E2F">
            <w:pPr>
              <w:rPr>
                <w:rFonts w:ascii="Arial" w:hAnsi="Arial" w:cs="Arial"/>
                <w:sz w:val="10"/>
                <w:szCs w:val="10"/>
              </w:rPr>
            </w:pPr>
          </w:p>
        </w:tc>
        <w:tc>
          <w:tcPr>
            <w:tcW w:w="993" w:type="dxa"/>
          </w:tcPr>
          <w:p w14:paraId="6EBF8570" w14:textId="77777777" w:rsidR="00B642EC" w:rsidRPr="001A4A03" w:rsidRDefault="00B642EC" w:rsidP="00612E2F">
            <w:pPr>
              <w:rPr>
                <w:rFonts w:ascii="Arial" w:hAnsi="Arial" w:cs="Arial"/>
                <w:sz w:val="10"/>
                <w:szCs w:val="10"/>
              </w:rPr>
            </w:pPr>
          </w:p>
        </w:tc>
        <w:tc>
          <w:tcPr>
            <w:tcW w:w="239" w:type="dxa"/>
          </w:tcPr>
          <w:p w14:paraId="446F0343" w14:textId="77777777" w:rsidR="00B642EC" w:rsidRPr="001A4A03" w:rsidRDefault="00B642EC" w:rsidP="00612E2F">
            <w:pPr>
              <w:rPr>
                <w:rFonts w:ascii="Arial" w:hAnsi="Arial" w:cs="Arial"/>
                <w:sz w:val="10"/>
                <w:szCs w:val="10"/>
              </w:rPr>
            </w:pPr>
          </w:p>
        </w:tc>
        <w:tc>
          <w:tcPr>
            <w:tcW w:w="1178" w:type="dxa"/>
          </w:tcPr>
          <w:p w14:paraId="71DCF8A1" w14:textId="77777777" w:rsidR="00B642EC" w:rsidRPr="001A4A03" w:rsidRDefault="00B642EC" w:rsidP="00612E2F">
            <w:pPr>
              <w:rPr>
                <w:rFonts w:ascii="Arial" w:hAnsi="Arial" w:cs="Arial"/>
                <w:sz w:val="10"/>
                <w:szCs w:val="10"/>
              </w:rPr>
            </w:pPr>
          </w:p>
        </w:tc>
        <w:tc>
          <w:tcPr>
            <w:tcW w:w="851" w:type="dxa"/>
          </w:tcPr>
          <w:p w14:paraId="453B29C8" w14:textId="77777777" w:rsidR="00B642EC" w:rsidRPr="001A4A03" w:rsidRDefault="00B642EC" w:rsidP="00612E2F">
            <w:pPr>
              <w:rPr>
                <w:rFonts w:ascii="Arial" w:hAnsi="Arial" w:cs="Arial"/>
                <w:sz w:val="10"/>
                <w:szCs w:val="10"/>
              </w:rPr>
            </w:pPr>
          </w:p>
        </w:tc>
        <w:tc>
          <w:tcPr>
            <w:tcW w:w="850" w:type="dxa"/>
          </w:tcPr>
          <w:p w14:paraId="09BEA9B6" w14:textId="77777777" w:rsidR="00B642EC" w:rsidRPr="001A4A03" w:rsidRDefault="00B642EC" w:rsidP="00612E2F">
            <w:pPr>
              <w:rPr>
                <w:rFonts w:ascii="Arial" w:hAnsi="Arial" w:cs="Arial"/>
                <w:sz w:val="10"/>
                <w:szCs w:val="10"/>
              </w:rPr>
            </w:pPr>
          </w:p>
        </w:tc>
        <w:tc>
          <w:tcPr>
            <w:tcW w:w="851" w:type="dxa"/>
          </w:tcPr>
          <w:p w14:paraId="72816C9A" w14:textId="77777777" w:rsidR="00B642EC" w:rsidRPr="001A4A03" w:rsidRDefault="00B642EC" w:rsidP="00612E2F">
            <w:pPr>
              <w:rPr>
                <w:rFonts w:ascii="Arial" w:hAnsi="Arial" w:cs="Arial"/>
                <w:sz w:val="10"/>
                <w:szCs w:val="10"/>
              </w:rPr>
            </w:pPr>
          </w:p>
        </w:tc>
        <w:tc>
          <w:tcPr>
            <w:tcW w:w="850" w:type="dxa"/>
          </w:tcPr>
          <w:p w14:paraId="6A3046B4" w14:textId="77777777" w:rsidR="00B642EC" w:rsidRPr="001A4A03" w:rsidRDefault="00B642EC" w:rsidP="00612E2F">
            <w:pPr>
              <w:rPr>
                <w:rFonts w:ascii="Arial" w:hAnsi="Arial" w:cs="Arial"/>
                <w:sz w:val="10"/>
                <w:szCs w:val="10"/>
              </w:rPr>
            </w:pPr>
          </w:p>
        </w:tc>
        <w:tc>
          <w:tcPr>
            <w:tcW w:w="992" w:type="dxa"/>
          </w:tcPr>
          <w:p w14:paraId="591563D8" w14:textId="77777777" w:rsidR="00B642EC" w:rsidRPr="001A4A03" w:rsidRDefault="00B642EC" w:rsidP="00612E2F">
            <w:pPr>
              <w:rPr>
                <w:rFonts w:ascii="Arial" w:hAnsi="Arial" w:cs="Arial"/>
                <w:sz w:val="10"/>
                <w:szCs w:val="10"/>
              </w:rPr>
            </w:pPr>
          </w:p>
        </w:tc>
        <w:tc>
          <w:tcPr>
            <w:tcW w:w="709" w:type="dxa"/>
          </w:tcPr>
          <w:p w14:paraId="24A44A5C" w14:textId="77777777" w:rsidR="00B642EC" w:rsidRPr="001A4A03" w:rsidRDefault="00B642EC" w:rsidP="00612E2F">
            <w:pPr>
              <w:rPr>
                <w:rFonts w:ascii="Arial" w:hAnsi="Arial" w:cs="Arial"/>
                <w:sz w:val="10"/>
                <w:szCs w:val="10"/>
              </w:rPr>
            </w:pPr>
          </w:p>
        </w:tc>
        <w:tc>
          <w:tcPr>
            <w:tcW w:w="2094" w:type="dxa"/>
          </w:tcPr>
          <w:p w14:paraId="4DC56CAF" w14:textId="77777777" w:rsidR="00B642EC" w:rsidRPr="009A3FCB" w:rsidRDefault="00B642EC" w:rsidP="00612E2F">
            <w:pPr>
              <w:rPr>
                <w:rFonts w:ascii="Arial" w:hAnsi="Arial" w:cs="Arial"/>
                <w:sz w:val="10"/>
                <w:szCs w:val="10"/>
              </w:rPr>
            </w:pPr>
          </w:p>
        </w:tc>
      </w:tr>
      <w:tr w:rsidR="00B642EC" w:rsidRPr="00F35246" w14:paraId="3292019B" w14:textId="77777777" w:rsidTr="00B642EC">
        <w:tc>
          <w:tcPr>
            <w:tcW w:w="2835" w:type="dxa"/>
          </w:tcPr>
          <w:p w14:paraId="2B11F958" w14:textId="77777777" w:rsidR="00B642EC" w:rsidRPr="00F35246" w:rsidRDefault="00B642EC" w:rsidP="00612E2F">
            <w:pPr>
              <w:rPr>
                <w:rFonts w:ascii="Arial" w:hAnsi="Arial" w:cs="Arial"/>
                <w:b/>
                <w:sz w:val="20"/>
                <w:szCs w:val="20"/>
              </w:rPr>
            </w:pPr>
            <w:r w:rsidRPr="00F35246">
              <w:rPr>
                <w:rFonts w:ascii="Arial" w:hAnsi="Arial" w:cs="Arial"/>
                <w:b/>
                <w:sz w:val="20"/>
                <w:szCs w:val="20"/>
              </w:rPr>
              <w:t>Gender</w:t>
            </w:r>
          </w:p>
        </w:tc>
        <w:tc>
          <w:tcPr>
            <w:tcW w:w="851" w:type="dxa"/>
            <w:shd w:val="clear" w:color="auto" w:fill="auto"/>
          </w:tcPr>
          <w:p w14:paraId="6B976B66" w14:textId="77777777" w:rsidR="00B642EC" w:rsidRPr="00F35246" w:rsidRDefault="00B642EC" w:rsidP="00612E2F">
            <w:pPr>
              <w:rPr>
                <w:rFonts w:ascii="Arial" w:hAnsi="Arial" w:cs="Arial"/>
                <w:sz w:val="20"/>
                <w:szCs w:val="20"/>
              </w:rPr>
            </w:pPr>
          </w:p>
        </w:tc>
        <w:tc>
          <w:tcPr>
            <w:tcW w:w="850" w:type="dxa"/>
          </w:tcPr>
          <w:p w14:paraId="2B001E5E" w14:textId="77777777" w:rsidR="00B642EC" w:rsidRPr="00F35246" w:rsidRDefault="00B642EC" w:rsidP="00612E2F">
            <w:pPr>
              <w:rPr>
                <w:rFonts w:ascii="Arial" w:hAnsi="Arial" w:cs="Arial"/>
                <w:sz w:val="20"/>
                <w:szCs w:val="20"/>
              </w:rPr>
            </w:pPr>
          </w:p>
        </w:tc>
        <w:tc>
          <w:tcPr>
            <w:tcW w:w="851" w:type="dxa"/>
          </w:tcPr>
          <w:p w14:paraId="3E99CECB" w14:textId="77777777" w:rsidR="00B642EC" w:rsidRPr="00F35246" w:rsidRDefault="00B642EC" w:rsidP="00612E2F">
            <w:pPr>
              <w:rPr>
                <w:rFonts w:ascii="Arial" w:hAnsi="Arial" w:cs="Arial"/>
                <w:sz w:val="20"/>
                <w:szCs w:val="20"/>
              </w:rPr>
            </w:pPr>
          </w:p>
        </w:tc>
        <w:tc>
          <w:tcPr>
            <w:tcW w:w="850" w:type="dxa"/>
          </w:tcPr>
          <w:p w14:paraId="2D9F2900" w14:textId="77777777" w:rsidR="00B642EC" w:rsidRPr="00B7025E" w:rsidRDefault="00B642EC" w:rsidP="00612E2F">
            <w:pPr>
              <w:rPr>
                <w:rFonts w:ascii="Arial" w:hAnsi="Arial" w:cs="Arial"/>
                <w:sz w:val="20"/>
                <w:szCs w:val="20"/>
              </w:rPr>
            </w:pPr>
            <w:r w:rsidRPr="00B7025E">
              <w:rPr>
                <w:rFonts w:ascii="Arial" w:hAnsi="Arial" w:cs="Arial"/>
                <w:sz w:val="20"/>
                <w:szCs w:val="20"/>
              </w:rPr>
              <w:t>7.43</w:t>
            </w:r>
          </w:p>
        </w:tc>
        <w:tc>
          <w:tcPr>
            <w:tcW w:w="993" w:type="dxa"/>
          </w:tcPr>
          <w:p w14:paraId="4DF4A404" w14:textId="77777777" w:rsidR="00B642EC" w:rsidRPr="009A3FCB" w:rsidRDefault="00B642EC" w:rsidP="00612E2F">
            <w:pPr>
              <w:rPr>
                <w:rFonts w:ascii="Arial" w:hAnsi="Arial" w:cs="Arial"/>
                <w:sz w:val="20"/>
                <w:szCs w:val="20"/>
              </w:rPr>
            </w:pPr>
            <w:r w:rsidRPr="009A3FCB">
              <w:rPr>
                <w:rFonts w:ascii="Arial" w:hAnsi="Arial" w:cs="Arial"/>
                <w:sz w:val="20"/>
                <w:szCs w:val="20"/>
              </w:rPr>
              <w:t>0.007 *</w:t>
            </w:r>
          </w:p>
        </w:tc>
        <w:tc>
          <w:tcPr>
            <w:tcW w:w="239" w:type="dxa"/>
          </w:tcPr>
          <w:p w14:paraId="3D44FE14" w14:textId="77777777" w:rsidR="00B642EC" w:rsidRPr="00F35246" w:rsidRDefault="00B642EC" w:rsidP="00612E2F">
            <w:pPr>
              <w:rPr>
                <w:rFonts w:ascii="Arial" w:hAnsi="Arial" w:cs="Arial"/>
                <w:sz w:val="20"/>
                <w:szCs w:val="20"/>
              </w:rPr>
            </w:pPr>
          </w:p>
        </w:tc>
        <w:tc>
          <w:tcPr>
            <w:tcW w:w="1178" w:type="dxa"/>
          </w:tcPr>
          <w:p w14:paraId="1AD409D4" w14:textId="77777777" w:rsidR="00B642EC" w:rsidRPr="00F35246" w:rsidRDefault="00B642EC" w:rsidP="00612E2F">
            <w:pPr>
              <w:rPr>
                <w:rFonts w:ascii="Arial" w:hAnsi="Arial" w:cs="Arial"/>
                <w:sz w:val="20"/>
                <w:szCs w:val="20"/>
              </w:rPr>
            </w:pPr>
          </w:p>
        </w:tc>
        <w:tc>
          <w:tcPr>
            <w:tcW w:w="851" w:type="dxa"/>
          </w:tcPr>
          <w:p w14:paraId="5389C535" w14:textId="77777777" w:rsidR="00B642EC" w:rsidRPr="00F35246" w:rsidRDefault="00B642EC" w:rsidP="00612E2F">
            <w:pPr>
              <w:rPr>
                <w:rFonts w:ascii="Arial" w:hAnsi="Arial" w:cs="Arial"/>
                <w:sz w:val="20"/>
                <w:szCs w:val="20"/>
              </w:rPr>
            </w:pPr>
          </w:p>
        </w:tc>
        <w:tc>
          <w:tcPr>
            <w:tcW w:w="850" w:type="dxa"/>
          </w:tcPr>
          <w:p w14:paraId="675F6F1F" w14:textId="77777777" w:rsidR="00B642EC" w:rsidRPr="00F35246" w:rsidRDefault="00B642EC" w:rsidP="00612E2F">
            <w:pPr>
              <w:rPr>
                <w:rFonts w:ascii="Arial" w:hAnsi="Arial" w:cs="Arial"/>
                <w:sz w:val="20"/>
                <w:szCs w:val="20"/>
              </w:rPr>
            </w:pPr>
          </w:p>
        </w:tc>
        <w:tc>
          <w:tcPr>
            <w:tcW w:w="851" w:type="dxa"/>
          </w:tcPr>
          <w:p w14:paraId="5336F58A" w14:textId="77777777" w:rsidR="00B642EC" w:rsidRPr="00B7025E" w:rsidRDefault="00B642EC" w:rsidP="00612E2F">
            <w:pPr>
              <w:rPr>
                <w:rFonts w:ascii="Arial" w:hAnsi="Arial" w:cs="Arial"/>
                <w:sz w:val="20"/>
                <w:szCs w:val="20"/>
              </w:rPr>
            </w:pPr>
            <w:r>
              <w:rPr>
                <w:rFonts w:ascii="Arial" w:hAnsi="Arial" w:cs="Arial"/>
                <w:sz w:val="20"/>
                <w:szCs w:val="20"/>
              </w:rPr>
              <w:t>0.001</w:t>
            </w:r>
          </w:p>
        </w:tc>
        <w:tc>
          <w:tcPr>
            <w:tcW w:w="850" w:type="dxa"/>
          </w:tcPr>
          <w:p w14:paraId="7E76A3F1" w14:textId="77777777" w:rsidR="00B642EC" w:rsidRPr="00C1214E" w:rsidRDefault="00B642EC" w:rsidP="00612E2F">
            <w:pPr>
              <w:rPr>
                <w:rFonts w:ascii="Arial" w:hAnsi="Arial" w:cs="Arial"/>
                <w:sz w:val="20"/>
                <w:szCs w:val="20"/>
              </w:rPr>
            </w:pPr>
            <w:r w:rsidRPr="00C1214E">
              <w:rPr>
                <w:rFonts w:ascii="Arial" w:hAnsi="Arial" w:cs="Arial"/>
                <w:sz w:val="20"/>
                <w:szCs w:val="20"/>
              </w:rPr>
              <w:t>0.972</w:t>
            </w:r>
          </w:p>
        </w:tc>
        <w:tc>
          <w:tcPr>
            <w:tcW w:w="992" w:type="dxa"/>
          </w:tcPr>
          <w:p w14:paraId="287C5B93" w14:textId="77777777" w:rsidR="00B642EC" w:rsidRPr="009403A8" w:rsidRDefault="00B642EC" w:rsidP="00612E2F">
            <w:pPr>
              <w:rPr>
                <w:rFonts w:ascii="Arial" w:hAnsi="Arial" w:cs="Arial"/>
                <w:b/>
                <w:sz w:val="20"/>
                <w:szCs w:val="20"/>
              </w:rPr>
            </w:pPr>
            <w:r>
              <w:rPr>
                <w:rFonts w:ascii="Arial" w:hAnsi="Arial" w:cs="Arial"/>
                <w:sz w:val="20"/>
                <w:szCs w:val="20"/>
              </w:rPr>
              <w:t>–</w:t>
            </w:r>
          </w:p>
        </w:tc>
        <w:tc>
          <w:tcPr>
            <w:tcW w:w="709" w:type="dxa"/>
          </w:tcPr>
          <w:p w14:paraId="45D1D62B" w14:textId="77777777" w:rsidR="00B642EC" w:rsidRPr="009403A8" w:rsidRDefault="00B642EC" w:rsidP="00612E2F">
            <w:pPr>
              <w:rPr>
                <w:rFonts w:ascii="Arial" w:hAnsi="Arial" w:cs="Arial"/>
                <w:b/>
                <w:sz w:val="20"/>
                <w:szCs w:val="20"/>
              </w:rPr>
            </w:pPr>
            <w:r>
              <w:rPr>
                <w:rFonts w:ascii="Arial" w:hAnsi="Arial" w:cs="Arial"/>
                <w:sz w:val="20"/>
                <w:szCs w:val="20"/>
              </w:rPr>
              <w:t>–</w:t>
            </w:r>
          </w:p>
        </w:tc>
        <w:tc>
          <w:tcPr>
            <w:tcW w:w="2094" w:type="dxa"/>
          </w:tcPr>
          <w:p w14:paraId="1E11F934"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F35246" w14:paraId="37BB1BCD" w14:textId="77777777" w:rsidTr="00B642EC">
        <w:tc>
          <w:tcPr>
            <w:tcW w:w="2835" w:type="dxa"/>
          </w:tcPr>
          <w:p w14:paraId="26545640"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w:t>
            </w:r>
            <w:r>
              <w:rPr>
                <w:rFonts w:ascii="Arial" w:hAnsi="Arial" w:cs="Arial"/>
                <w:sz w:val="20"/>
                <w:szCs w:val="20"/>
              </w:rPr>
              <w:t>Male</w:t>
            </w:r>
          </w:p>
        </w:tc>
        <w:tc>
          <w:tcPr>
            <w:tcW w:w="851" w:type="dxa"/>
            <w:shd w:val="clear" w:color="auto" w:fill="auto"/>
          </w:tcPr>
          <w:p w14:paraId="0C7D9EE8" w14:textId="77777777" w:rsidR="00B642EC" w:rsidRPr="00F35246" w:rsidRDefault="00B642EC" w:rsidP="00612E2F">
            <w:pPr>
              <w:rPr>
                <w:rFonts w:ascii="Arial" w:hAnsi="Arial" w:cs="Arial"/>
                <w:sz w:val="20"/>
                <w:szCs w:val="20"/>
              </w:rPr>
            </w:pPr>
            <w:r>
              <w:rPr>
                <w:rFonts w:ascii="Arial" w:hAnsi="Arial" w:cs="Arial"/>
                <w:sz w:val="20"/>
                <w:szCs w:val="20"/>
              </w:rPr>
              <w:t>19.27</w:t>
            </w:r>
          </w:p>
        </w:tc>
        <w:tc>
          <w:tcPr>
            <w:tcW w:w="850" w:type="dxa"/>
          </w:tcPr>
          <w:p w14:paraId="4A45F2F6" w14:textId="77777777" w:rsidR="00B642EC" w:rsidRPr="00F35246" w:rsidRDefault="00B642EC" w:rsidP="00612E2F">
            <w:pPr>
              <w:rPr>
                <w:rFonts w:ascii="Arial" w:hAnsi="Arial" w:cs="Arial"/>
                <w:sz w:val="20"/>
                <w:szCs w:val="20"/>
              </w:rPr>
            </w:pPr>
            <w:r>
              <w:rPr>
                <w:rFonts w:ascii="Arial" w:hAnsi="Arial" w:cs="Arial"/>
                <w:sz w:val="20"/>
                <w:szCs w:val="20"/>
              </w:rPr>
              <w:t>17.94</w:t>
            </w:r>
          </w:p>
        </w:tc>
        <w:tc>
          <w:tcPr>
            <w:tcW w:w="851" w:type="dxa"/>
          </w:tcPr>
          <w:p w14:paraId="7886A88C" w14:textId="77777777" w:rsidR="00B642EC" w:rsidRPr="00F35246" w:rsidRDefault="00B642EC" w:rsidP="00612E2F">
            <w:pPr>
              <w:rPr>
                <w:rFonts w:ascii="Arial" w:hAnsi="Arial" w:cs="Arial"/>
                <w:sz w:val="20"/>
                <w:szCs w:val="20"/>
              </w:rPr>
            </w:pPr>
            <w:r>
              <w:rPr>
                <w:rFonts w:ascii="Arial" w:hAnsi="Arial" w:cs="Arial"/>
                <w:sz w:val="20"/>
                <w:szCs w:val="20"/>
              </w:rPr>
              <w:t>20.61</w:t>
            </w:r>
          </w:p>
        </w:tc>
        <w:tc>
          <w:tcPr>
            <w:tcW w:w="850" w:type="dxa"/>
          </w:tcPr>
          <w:p w14:paraId="60FCF340"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630CC9C5"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7CA57D81" w14:textId="77777777" w:rsidR="00B642EC" w:rsidRPr="00F35246" w:rsidRDefault="00B642EC" w:rsidP="00612E2F">
            <w:pPr>
              <w:rPr>
                <w:rFonts w:ascii="Arial" w:hAnsi="Arial" w:cs="Arial"/>
                <w:sz w:val="20"/>
                <w:szCs w:val="20"/>
              </w:rPr>
            </w:pPr>
          </w:p>
        </w:tc>
        <w:tc>
          <w:tcPr>
            <w:tcW w:w="1178" w:type="dxa"/>
          </w:tcPr>
          <w:p w14:paraId="73CCB020" w14:textId="77777777" w:rsidR="00B642EC" w:rsidRPr="00F35246" w:rsidRDefault="00B642EC" w:rsidP="00612E2F">
            <w:pPr>
              <w:rPr>
                <w:rFonts w:ascii="Arial" w:hAnsi="Arial" w:cs="Arial"/>
                <w:sz w:val="20"/>
                <w:szCs w:val="20"/>
              </w:rPr>
            </w:pPr>
            <w:r>
              <w:rPr>
                <w:rFonts w:ascii="Arial" w:hAnsi="Arial" w:cs="Arial"/>
                <w:sz w:val="20"/>
                <w:szCs w:val="20"/>
              </w:rPr>
              <w:t>16.68</w:t>
            </w:r>
          </w:p>
        </w:tc>
        <w:tc>
          <w:tcPr>
            <w:tcW w:w="851" w:type="dxa"/>
          </w:tcPr>
          <w:p w14:paraId="0E8DBBFB" w14:textId="77777777" w:rsidR="00B642EC" w:rsidRPr="00F35246" w:rsidRDefault="00B642EC" w:rsidP="00612E2F">
            <w:pPr>
              <w:rPr>
                <w:rFonts w:ascii="Arial" w:hAnsi="Arial" w:cs="Arial"/>
                <w:sz w:val="20"/>
                <w:szCs w:val="20"/>
              </w:rPr>
            </w:pPr>
            <w:r>
              <w:rPr>
                <w:rFonts w:ascii="Arial" w:hAnsi="Arial" w:cs="Arial"/>
                <w:sz w:val="20"/>
                <w:szCs w:val="20"/>
              </w:rPr>
              <w:t>13.76</w:t>
            </w:r>
          </w:p>
        </w:tc>
        <w:tc>
          <w:tcPr>
            <w:tcW w:w="850" w:type="dxa"/>
          </w:tcPr>
          <w:p w14:paraId="6E714580" w14:textId="77777777" w:rsidR="00B642EC" w:rsidRPr="00F35246" w:rsidRDefault="00B642EC" w:rsidP="00612E2F">
            <w:pPr>
              <w:rPr>
                <w:rFonts w:ascii="Arial" w:hAnsi="Arial" w:cs="Arial"/>
                <w:sz w:val="20"/>
                <w:szCs w:val="20"/>
              </w:rPr>
            </w:pPr>
            <w:r>
              <w:rPr>
                <w:rFonts w:ascii="Arial" w:hAnsi="Arial" w:cs="Arial"/>
                <w:sz w:val="20"/>
                <w:szCs w:val="20"/>
              </w:rPr>
              <w:t>19.59</w:t>
            </w:r>
          </w:p>
        </w:tc>
        <w:tc>
          <w:tcPr>
            <w:tcW w:w="851" w:type="dxa"/>
          </w:tcPr>
          <w:p w14:paraId="0A843DFC" w14:textId="77777777" w:rsidR="00B642EC" w:rsidRDefault="00B642EC" w:rsidP="00612E2F">
            <w:pPr>
              <w:rPr>
                <w:rFonts w:ascii="Arial" w:hAnsi="Arial" w:cs="Arial"/>
                <w:sz w:val="20"/>
                <w:szCs w:val="20"/>
              </w:rPr>
            </w:pPr>
            <w:r>
              <w:rPr>
                <w:rFonts w:ascii="Arial" w:hAnsi="Arial" w:cs="Arial"/>
                <w:sz w:val="20"/>
                <w:szCs w:val="20"/>
              </w:rPr>
              <w:t>–</w:t>
            </w:r>
          </w:p>
        </w:tc>
        <w:tc>
          <w:tcPr>
            <w:tcW w:w="850" w:type="dxa"/>
          </w:tcPr>
          <w:p w14:paraId="0E4A910A"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5DAAF1B7" w14:textId="77777777" w:rsidR="00B642EC" w:rsidRPr="00F35246" w:rsidRDefault="00B642EC" w:rsidP="00612E2F">
            <w:pPr>
              <w:rPr>
                <w:rFonts w:ascii="Arial" w:hAnsi="Arial" w:cs="Arial"/>
                <w:sz w:val="20"/>
                <w:szCs w:val="20"/>
              </w:rPr>
            </w:pPr>
            <w:r>
              <w:rPr>
                <w:rFonts w:ascii="Arial" w:hAnsi="Arial" w:cs="Arial"/>
                <w:sz w:val="20"/>
                <w:szCs w:val="20"/>
              </w:rPr>
              <w:t>-0.002</w:t>
            </w:r>
          </w:p>
        </w:tc>
        <w:tc>
          <w:tcPr>
            <w:tcW w:w="709" w:type="dxa"/>
          </w:tcPr>
          <w:p w14:paraId="0207E575" w14:textId="77777777" w:rsidR="00B642EC" w:rsidRPr="008F0E51" w:rsidRDefault="00B642EC" w:rsidP="00612E2F">
            <w:pPr>
              <w:rPr>
                <w:rFonts w:ascii="Arial" w:hAnsi="Arial" w:cs="Arial"/>
                <w:sz w:val="20"/>
                <w:szCs w:val="20"/>
              </w:rPr>
            </w:pPr>
            <w:r>
              <w:rPr>
                <w:rFonts w:ascii="Arial" w:hAnsi="Arial" w:cs="Arial"/>
                <w:sz w:val="20"/>
                <w:szCs w:val="20"/>
              </w:rPr>
              <w:t>-0.04</w:t>
            </w:r>
          </w:p>
        </w:tc>
        <w:tc>
          <w:tcPr>
            <w:tcW w:w="2094" w:type="dxa"/>
          </w:tcPr>
          <w:p w14:paraId="03FA632B" w14:textId="77777777" w:rsidR="00B642EC" w:rsidRPr="009A3FCB" w:rsidRDefault="00B642EC" w:rsidP="00612E2F">
            <w:pPr>
              <w:rPr>
                <w:rFonts w:ascii="Arial" w:hAnsi="Arial" w:cs="Arial"/>
                <w:sz w:val="20"/>
                <w:szCs w:val="20"/>
              </w:rPr>
            </w:pPr>
            <w:r>
              <w:rPr>
                <w:rFonts w:ascii="Arial" w:hAnsi="Arial" w:cs="Arial"/>
                <w:sz w:val="20"/>
                <w:szCs w:val="20"/>
              </w:rPr>
              <w:t>0.972</w:t>
            </w:r>
          </w:p>
        </w:tc>
      </w:tr>
      <w:tr w:rsidR="00B642EC" w:rsidRPr="00F35246" w14:paraId="49764246" w14:textId="77777777" w:rsidTr="00B642EC">
        <w:tc>
          <w:tcPr>
            <w:tcW w:w="2835" w:type="dxa"/>
          </w:tcPr>
          <w:p w14:paraId="20265444" w14:textId="77777777" w:rsidR="00B642EC" w:rsidRPr="00F35246" w:rsidRDefault="00B642EC" w:rsidP="00612E2F">
            <w:pPr>
              <w:rPr>
                <w:rFonts w:ascii="Arial" w:hAnsi="Arial" w:cs="Arial"/>
                <w:sz w:val="20"/>
                <w:szCs w:val="20"/>
              </w:rPr>
            </w:pPr>
            <w:r>
              <w:rPr>
                <w:rFonts w:ascii="Arial" w:hAnsi="Arial" w:cs="Arial"/>
                <w:sz w:val="20"/>
                <w:szCs w:val="20"/>
              </w:rPr>
              <w:t xml:space="preserve">    </w:t>
            </w:r>
            <w:r w:rsidRPr="00F35246">
              <w:rPr>
                <w:rFonts w:ascii="Arial" w:hAnsi="Arial" w:cs="Arial"/>
                <w:sz w:val="20"/>
                <w:szCs w:val="20"/>
              </w:rPr>
              <w:t>Female</w:t>
            </w:r>
          </w:p>
        </w:tc>
        <w:tc>
          <w:tcPr>
            <w:tcW w:w="851" w:type="dxa"/>
            <w:shd w:val="clear" w:color="auto" w:fill="auto"/>
          </w:tcPr>
          <w:p w14:paraId="797B8639" w14:textId="77777777" w:rsidR="00B642EC" w:rsidRPr="00F35246" w:rsidRDefault="00B642EC" w:rsidP="00612E2F">
            <w:pPr>
              <w:rPr>
                <w:rFonts w:ascii="Arial" w:hAnsi="Arial" w:cs="Arial"/>
                <w:sz w:val="20"/>
                <w:szCs w:val="20"/>
              </w:rPr>
            </w:pPr>
            <w:r>
              <w:rPr>
                <w:rFonts w:ascii="Arial" w:hAnsi="Arial" w:cs="Arial"/>
                <w:sz w:val="20"/>
                <w:szCs w:val="20"/>
              </w:rPr>
              <w:t>16.22</w:t>
            </w:r>
          </w:p>
        </w:tc>
        <w:tc>
          <w:tcPr>
            <w:tcW w:w="850" w:type="dxa"/>
          </w:tcPr>
          <w:p w14:paraId="12D92A87" w14:textId="77777777" w:rsidR="00B642EC" w:rsidRPr="00F35246" w:rsidRDefault="00B642EC" w:rsidP="00612E2F">
            <w:pPr>
              <w:rPr>
                <w:rFonts w:ascii="Arial" w:hAnsi="Arial" w:cs="Arial"/>
                <w:sz w:val="20"/>
                <w:szCs w:val="20"/>
              </w:rPr>
            </w:pPr>
            <w:r>
              <w:rPr>
                <w:rFonts w:ascii="Arial" w:hAnsi="Arial" w:cs="Arial"/>
                <w:sz w:val="20"/>
                <w:szCs w:val="20"/>
              </w:rPr>
              <w:t>14.40</w:t>
            </w:r>
          </w:p>
        </w:tc>
        <w:tc>
          <w:tcPr>
            <w:tcW w:w="851" w:type="dxa"/>
          </w:tcPr>
          <w:p w14:paraId="30412D39" w14:textId="77777777" w:rsidR="00B642EC" w:rsidRPr="00F35246" w:rsidRDefault="00B642EC" w:rsidP="00612E2F">
            <w:pPr>
              <w:rPr>
                <w:rFonts w:ascii="Arial" w:hAnsi="Arial" w:cs="Arial"/>
                <w:sz w:val="20"/>
                <w:szCs w:val="20"/>
              </w:rPr>
            </w:pPr>
            <w:r>
              <w:rPr>
                <w:rFonts w:ascii="Arial" w:hAnsi="Arial" w:cs="Arial"/>
                <w:sz w:val="20"/>
                <w:szCs w:val="20"/>
              </w:rPr>
              <w:t>18.04</w:t>
            </w:r>
          </w:p>
        </w:tc>
        <w:tc>
          <w:tcPr>
            <w:tcW w:w="850" w:type="dxa"/>
          </w:tcPr>
          <w:p w14:paraId="4F70B5AE"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31F6A31D"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5DDC4D46" w14:textId="77777777" w:rsidR="00B642EC" w:rsidRPr="00F35246" w:rsidRDefault="00B642EC" w:rsidP="00612E2F">
            <w:pPr>
              <w:rPr>
                <w:rFonts w:ascii="Arial" w:hAnsi="Arial" w:cs="Arial"/>
                <w:sz w:val="20"/>
                <w:szCs w:val="20"/>
              </w:rPr>
            </w:pPr>
          </w:p>
        </w:tc>
        <w:tc>
          <w:tcPr>
            <w:tcW w:w="1178" w:type="dxa"/>
          </w:tcPr>
          <w:p w14:paraId="678D6A0B" w14:textId="77777777" w:rsidR="00B642EC" w:rsidRPr="00F35246" w:rsidRDefault="00B642EC" w:rsidP="00612E2F">
            <w:pPr>
              <w:rPr>
                <w:rFonts w:ascii="Arial" w:hAnsi="Arial" w:cs="Arial"/>
                <w:sz w:val="20"/>
                <w:szCs w:val="20"/>
              </w:rPr>
            </w:pPr>
            <w:r>
              <w:rPr>
                <w:rFonts w:ascii="Arial" w:hAnsi="Arial" w:cs="Arial"/>
                <w:sz w:val="20"/>
                <w:szCs w:val="20"/>
              </w:rPr>
              <w:t>16.63</w:t>
            </w:r>
          </w:p>
        </w:tc>
        <w:tc>
          <w:tcPr>
            <w:tcW w:w="851" w:type="dxa"/>
          </w:tcPr>
          <w:p w14:paraId="372A0C40" w14:textId="77777777" w:rsidR="00B642EC" w:rsidRPr="00F35246" w:rsidRDefault="00B642EC" w:rsidP="00612E2F">
            <w:pPr>
              <w:rPr>
                <w:rFonts w:ascii="Arial" w:hAnsi="Arial" w:cs="Arial"/>
                <w:sz w:val="20"/>
                <w:szCs w:val="20"/>
              </w:rPr>
            </w:pPr>
            <w:r>
              <w:rPr>
                <w:rFonts w:ascii="Arial" w:hAnsi="Arial" w:cs="Arial"/>
                <w:sz w:val="20"/>
                <w:szCs w:val="20"/>
              </w:rPr>
              <w:t>13.54</w:t>
            </w:r>
          </w:p>
        </w:tc>
        <w:tc>
          <w:tcPr>
            <w:tcW w:w="850" w:type="dxa"/>
          </w:tcPr>
          <w:p w14:paraId="6324CE70" w14:textId="77777777" w:rsidR="00B642EC" w:rsidRPr="00F35246" w:rsidRDefault="00B642EC" w:rsidP="00612E2F">
            <w:pPr>
              <w:rPr>
                <w:rFonts w:ascii="Arial" w:hAnsi="Arial" w:cs="Arial"/>
                <w:sz w:val="20"/>
                <w:szCs w:val="20"/>
              </w:rPr>
            </w:pPr>
            <w:r>
              <w:rPr>
                <w:rFonts w:ascii="Arial" w:hAnsi="Arial" w:cs="Arial"/>
                <w:sz w:val="20"/>
                <w:szCs w:val="20"/>
              </w:rPr>
              <w:t>19.72</w:t>
            </w:r>
          </w:p>
        </w:tc>
        <w:tc>
          <w:tcPr>
            <w:tcW w:w="851" w:type="dxa"/>
          </w:tcPr>
          <w:p w14:paraId="16107AB4"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114000F8"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5F71D8B3"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709" w:type="dxa"/>
          </w:tcPr>
          <w:p w14:paraId="2D93241E"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094" w:type="dxa"/>
          </w:tcPr>
          <w:p w14:paraId="00DD6B9E"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1A4A03" w14:paraId="61D68634" w14:textId="77777777" w:rsidTr="00B642EC">
        <w:tc>
          <w:tcPr>
            <w:tcW w:w="2835" w:type="dxa"/>
          </w:tcPr>
          <w:p w14:paraId="58D941E9" w14:textId="77777777" w:rsidR="00B642EC" w:rsidRPr="001A4A03" w:rsidRDefault="00B642EC" w:rsidP="00612E2F">
            <w:pPr>
              <w:rPr>
                <w:rFonts w:ascii="Arial" w:hAnsi="Arial" w:cs="Arial"/>
                <w:sz w:val="10"/>
                <w:szCs w:val="10"/>
              </w:rPr>
            </w:pPr>
          </w:p>
        </w:tc>
        <w:tc>
          <w:tcPr>
            <w:tcW w:w="851" w:type="dxa"/>
            <w:shd w:val="clear" w:color="auto" w:fill="auto"/>
          </w:tcPr>
          <w:p w14:paraId="21C25BB7" w14:textId="77777777" w:rsidR="00B642EC" w:rsidRPr="001A4A03" w:rsidRDefault="00B642EC" w:rsidP="00612E2F">
            <w:pPr>
              <w:rPr>
                <w:rFonts w:ascii="Arial" w:hAnsi="Arial" w:cs="Arial"/>
                <w:sz w:val="10"/>
                <w:szCs w:val="10"/>
              </w:rPr>
            </w:pPr>
          </w:p>
        </w:tc>
        <w:tc>
          <w:tcPr>
            <w:tcW w:w="850" w:type="dxa"/>
          </w:tcPr>
          <w:p w14:paraId="38454DAD" w14:textId="77777777" w:rsidR="00B642EC" w:rsidRPr="001A4A03" w:rsidRDefault="00B642EC" w:rsidP="00612E2F">
            <w:pPr>
              <w:rPr>
                <w:rFonts w:ascii="Arial" w:hAnsi="Arial" w:cs="Arial"/>
                <w:sz w:val="10"/>
                <w:szCs w:val="10"/>
              </w:rPr>
            </w:pPr>
          </w:p>
        </w:tc>
        <w:tc>
          <w:tcPr>
            <w:tcW w:w="851" w:type="dxa"/>
          </w:tcPr>
          <w:p w14:paraId="55C1C9A7" w14:textId="77777777" w:rsidR="00B642EC" w:rsidRPr="001A4A03" w:rsidRDefault="00B642EC" w:rsidP="00612E2F">
            <w:pPr>
              <w:rPr>
                <w:rFonts w:ascii="Arial" w:hAnsi="Arial" w:cs="Arial"/>
                <w:sz w:val="10"/>
                <w:szCs w:val="10"/>
              </w:rPr>
            </w:pPr>
          </w:p>
        </w:tc>
        <w:tc>
          <w:tcPr>
            <w:tcW w:w="850" w:type="dxa"/>
          </w:tcPr>
          <w:p w14:paraId="0661E36A" w14:textId="77777777" w:rsidR="00B642EC" w:rsidRPr="001A4A03" w:rsidRDefault="00B642EC" w:rsidP="00612E2F">
            <w:pPr>
              <w:rPr>
                <w:rFonts w:ascii="Arial" w:hAnsi="Arial" w:cs="Arial"/>
                <w:sz w:val="10"/>
                <w:szCs w:val="10"/>
              </w:rPr>
            </w:pPr>
          </w:p>
        </w:tc>
        <w:tc>
          <w:tcPr>
            <w:tcW w:w="993" w:type="dxa"/>
          </w:tcPr>
          <w:p w14:paraId="745E0184" w14:textId="77777777" w:rsidR="00B642EC" w:rsidRPr="001A4A03" w:rsidRDefault="00B642EC" w:rsidP="00612E2F">
            <w:pPr>
              <w:rPr>
                <w:rFonts w:ascii="Arial" w:hAnsi="Arial" w:cs="Arial"/>
                <w:sz w:val="10"/>
                <w:szCs w:val="10"/>
              </w:rPr>
            </w:pPr>
          </w:p>
        </w:tc>
        <w:tc>
          <w:tcPr>
            <w:tcW w:w="239" w:type="dxa"/>
          </w:tcPr>
          <w:p w14:paraId="556D2501" w14:textId="77777777" w:rsidR="00B642EC" w:rsidRPr="001A4A03" w:rsidRDefault="00B642EC" w:rsidP="00612E2F">
            <w:pPr>
              <w:rPr>
                <w:rFonts w:ascii="Arial" w:hAnsi="Arial" w:cs="Arial"/>
                <w:sz w:val="10"/>
                <w:szCs w:val="10"/>
              </w:rPr>
            </w:pPr>
          </w:p>
        </w:tc>
        <w:tc>
          <w:tcPr>
            <w:tcW w:w="1178" w:type="dxa"/>
          </w:tcPr>
          <w:p w14:paraId="57318189" w14:textId="77777777" w:rsidR="00B642EC" w:rsidRPr="001A4A03" w:rsidRDefault="00B642EC" w:rsidP="00612E2F">
            <w:pPr>
              <w:rPr>
                <w:rFonts w:ascii="Arial" w:hAnsi="Arial" w:cs="Arial"/>
                <w:sz w:val="10"/>
                <w:szCs w:val="10"/>
              </w:rPr>
            </w:pPr>
          </w:p>
        </w:tc>
        <w:tc>
          <w:tcPr>
            <w:tcW w:w="851" w:type="dxa"/>
          </w:tcPr>
          <w:p w14:paraId="21434D5F" w14:textId="77777777" w:rsidR="00B642EC" w:rsidRPr="001A4A03" w:rsidRDefault="00B642EC" w:rsidP="00612E2F">
            <w:pPr>
              <w:rPr>
                <w:rFonts w:ascii="Arial" w:hAnsi="Arial" w:cs="Arial"/>
                <w:sz w:val="10"/>
                <w:szCs w:val="10"/>
              </w:rPr>
            </w:pPr>
          </w:p>
        </w:tc>
        <w:tc>
          <w:tcPr>
            <w:tcW w:w="850" w:type="dxa"/>
          </w:tcPr>
          <w:p w14:paraId="2DFBFEDE" w14:textId="77777777" w:rsidR="00B642EC" w:rsidRPr="001A4A03" w:rsidRDefault="00B642EC" w:rsidP="00612E2F">
            <w:pPr>
              <w:rPr>
                <w:rFonts w:ascii="Arial" w:hAnsi="Arial" w:cs="Arial"/>
                <w:sz w:val="10"/>
                <w:szCs w:val="10"/>
              </w:rPr>
            </w:pPr>
          </w:p>
        </w:tc>
        <w:tc>
          <w:tcPr>
            <w:tcW w:w="851" w:type="dxa"/>
          </w:tcPr>
          <w:p w14:paraId="376D5DD2" w14:textId="77777777" w:rsidR="00B642EC" w:rsidRPr="001A4A03" w:rsidRDefault="00B642EC" w:rsidP="00612E2F">
            <w:pPr>
              <w:rPr>
                <w:rFonts w:ascii="Arial" w:hAnsi="Arial" w:cs="Arial"/>
                <w:sz w:val="10"/>
                <w:szCs w:val="10"/>
              </w:rPr>
            </w:pPr>
          </w:p>
        </w:tc>
        <w:tc>
          <w:tcPr>
            <w:tcW w:w="850" w:type="dxa"/>
          </w:tcPr>
          <w:p w14:paraId="79B50C97" w14:textId="77777777" w:rsidR="00B642EC" w:rsidRPr="001A4A03" w:rsidRDefault="00B642EC" w:rsidP="00612E2F">
            <w:pPr>
              <w:rPr>
                <w:rFonts w:ascii="Arial" w:hAnsi="Arial" w:cs="Arial"/>
                <w:sz w:val="10"/>
                <w:szCs w:val="10"/>
              </w:rPr>
            </w:pPr>
          </w:p>
        </w:tc>
        <w:tc>
          <w:tcPr>
            <w:tcW w:w="992" w:type="dxa"/>
          </w:tcPr>
          <w:p w14:paraId="31B0EBC0" w14:textId="77777777" w:rsidR="00B642EC" w:rsidRPr="001A4A03" w:rsidRDefault="00B642EC" w:rsidP="00612E2F">
            <w:pPr>
              <w:rPr>
                <w:rFonts w:ascii="Arial" w:hAnsi="Arial" w:cs="Arial"/>
                <w:sz w:val="10"/>
                <w:szCs w:val="10"/>
              </w:rPr>
            </w:pPr>
          </w:p>
        </w:tc>
        <w:tc>
          <w:tcPr>
            <w:tcW w:w="709" w:type="dxa"/>
          </w:tcPr>
          <w:p w14:paraId="6B50F7FE" w14:textId="77777777" w:rsidR="00B642EC" w:rsidRPr="001A4A03" w:rsidRDefault="00B642EC" w:rsidP="00612E2F">
            <w:pPr>
              <w:rPr>
                <w:rFonts w:ascii="Arial" w:hAnsi="Arial" w:cs="Arial"/>
                <w:sz w:val="10"/>
                <w:szCs w:val="10"/>
              </w:rPr>
            </w:pPr>
          </w:p>
        </w:tc>
        <w:tc>
          <w:tcPr>
            <w:tcW w:w="2094" w:type="dxa"/>
          </w:tcPr>
          <w:p w14:paraId="1C46C3E9" w14:textId="77777777" w:rsidR="00B642EC" w:rsidRPr="009A3FCB" w:rsidRDefault="00B642EC" w:rsidP="00612E2F">
            <w:pPr>
              <w:rPr>
                <w:rFonts w:ascii="Arial" w:hAnsi="Arial" w:cs="Arial"/>
                <w:sz w:val="10"/>
                <w:szCs w:val="10"/>
              </w:rPr>
            </w:pPr>
          </w:p>
        </w:tc>
      </w:tr>
      <w:tr w:rsidR="00B642EC" w:rsidRPr="00F35246" w14:paraId="1B2B6FB2" w14:textId="77777777" w:rsidTr="00B642EC">
        <w:tc>
          <w:tcPr>
            <w:tcW w:w="2835" w:type="dxa"/>
          </w:tcPr>
          <w:p w14:paraId="7DE75A72" w14:textId="77777777" w:rsidR="00B642EC" w:rsidRPr="00F35246" w:rsidRDefault="00094010" w:rsidP="00612E2F">
            <w:pPr>
              <w:rPr>
                <w:rFonts w:ascii="Arial" w:hAnsi="Arial" w:cs="Arial"/>
                <w:b/>
                <w:sz w:val="20"/>
                <w:szCs w:val="20"/>
              </w:rPr>
            </w:pPr>
            <w:r>
              <w:rPr>
                <w:rFonts w:ascii="Arial" w:hAnsi="Arial" w:cs="Arial"/>
                <w:b/>
                <w:sz w:val="20"/>
                <w:szCs w:val="20"/>
              </w:rPr>
              <w:t>Referral Reason</w:t>
            </w:r>
          </w:p>
        </w:tc>
        <w:tc>
          <w:tcPr>
            <w:tcW w:w="851" w:type="dxa"/>
            <w:shd w:val="clear" w:color="auto" w:fill="auto"/>
          </w:tcPr>
          <w:p w14:paraId="2F85B449" w14:textId="77777777" w:rsidR="00B642EC" w:rsidRPr="00F35246" w:rsidRDefault="00B642EC" w:rsidP="00612E2F">
            <w:pPr>
              <w:rPr>
                <w:rFonts w:ascii="Arial" w:hAnsi="Arial" w:cs="Arial"/>
                <w:sz w:val="20"/>
                <w:szCs w:val="20"/>
              </w:rPr>
            </w:pPr>
          </w:p>
        </w:tc>
        <w:tc>
          <w:tcPr>
            <w:tcW w:w="850" w:type="dxa"/>
          </w:tcPr>
          <w:p w14:paraId="37622B83" w14:textId="77777777" w:rsidR="00B642EC" w:rsidRPr="00F35246" w:rsidRDefault="00B642EC" w:rsidP="00612E2F">
            <w:pPr>
              <w:rPr>
                <w:rFonts w:ascii="Arial" w:hAnsi="Arial" w:cs="Arial"/>
                <w:sz w:val="20"/>
                <w:szCs w:val="20"/>
              </w:rPr>
            </w:pPr>
          </w:p>
        </w:tc>
        <w:tc>
          <w:tcPr>
            <w:tcW w:w="851" w:type="dxa"/>
          </w:tcPr>
          <w:p w14:paraId="4C2C1602" w14:textId="77777777" w:rsidR="00B642EC" w:rsidRPr="00F35246" w:rsidRDefault="00B642EC" w:rsidP="00612E2F">
            <w:pPr>
              <w:rPr>
                <w:rFonts w:ascii="Arial" w:hAnsi="Arial" w:cs="Arial"/>
                <w:sz w:val="20"/>
                <w:szCs w:val="20"/>
              </w:rPr>
            </w:pPr>
          </w:p>
        </w:tc>
        <w:tc>
          <w:tcPr>
            <w:tcW w:w="850" w:type="dxa"/>
          </w:tcPr>
          <w:p w14:paraId="52552743" w14:textId="77777777" w:rsidR="00B642EC" w:rsidRPr="00B7025E" w:rsidRDefault="00B642EC" w:rsidP="00612E2F">
            <w:pPr>
              <w:rPr>
                <w:rFonts w:ascii="Arial" w:hAnsi="Arial" w:cs="Arial"/>
                <w:sz w:val="20"/>
                <w:szCs w:val="20"/>
              </w:rPr>
            </w:pPr>
            <w:r w:rsidRPr="00B7025E">
              <w:rPr>
                <w:rFonts w:ascii="Arial" w:hAnsi="Arial" w:cs="Arial"/>
                <w:sz w:val="20"/>
                <w:szCs w:val="20"/>
              </w:rPr>
              <w:t>8.75</w:t>
            </w:r>
          </w:p>
        </w:tc>
        <w:tc>
          <w:tcPr>
            <w:tcW w:w="993" w:type="dxa"/>
          </w:tcPr>
          <w:p w14:paraId="27D01BB2" w14:textId="77777777" w:rsidR="00B642EC" w:rsidRPr="009A3FCB" w:rsidRDefault="00B642EC" w:rsidP="00612E2F">
            <w:pPr>
              <w:rPr>
                <w:rFonts w:ascii="Arial" w:hAnsi="Arial" w:cs="Arial"/>
                <w:sz w:val="20"/>
                <w:szCs w:val="20"/>
              </w:rPr>
            </w:pPr>
            <w:r w:rsidRPr="009A3FCB">
              <w:rPr>
                <w:rFonts w:ascii="Arial" w:hAnsi="Arial" w:cs="Arial"/>
                <w:sz w:val="20"/>
                <w:szCs w:val="20"/>
              </w:rPr>
              <w:t>&lt;0.001 *</w:t>
            </w:r>
          </w:p>
        </w:tc>
        <w:tc>
          <w:tcPr>
            <w:tcW w:w="239" w:type="dxa"/>
          </w:tcPr>
          <w:p w14:paraId="75C333C8" w14:textId="77777777" w:rsidR="00B642EC" w:rsidRPr="00F35246" w:rsidRDefault="00B642EC" w:rsidP="00612E2F">
            <w:pPr>
              <w:rPr>
                <w:rFonts w:ascii="Arial" w:hAnsi="Arial" w:cs="Arial"/>
                <w:sz w:val="20"/>
                <w:szCs w:val="20"/>
              </w:rPr>
            </w:pPr>
          </w:p>
        </w:tc>
        <w:tc>
          <w:tcPr>
            <w:tcW w:w="1178" w:type="dxa"/>
          </w:tcPr>
          <w:p w14:paraId="5CA681BB" w14:textId="77777777" w:rsidR="00B642EC" w:rsidRPr="00F35246" w:rsidRDefault="00B642EC" w:rsidP="00612E2F">
            <w:pPr>
              <w:rPr>
                <w:rFonts w:ascii="Arial" w:hAnsi="Arial" w:cs="Arial"/>
                <w:sz w:val="20"/>
                <w:szCs w:val="20"/>
              </w:rPr>
            </w:pPr>
          </w:p>
        </w:tc>
        <w:tc>
          <w:tcPr>
            <w:tcW w:w="851" w:type="dxa"/>
          </w:tcPr>
          <w:p w14:paraId="7ACBC95B" w14:textId="77777777" w:rsidR="00B642EC" w:rsidRPr="00F35246" w:rsidRDefault="00B642EC" w:rsidP="00612E2F">
            <w:pPr>
              <w:rPr>
                <w:rFonts w:ascii="Arial" w:hAnsi="Arial" w:cs="Arial"/>
                <w:sz w:val="20"/>
                <w:szCs w:val="20"/>
              </w:rPr>
            </w:pPr>
          </w:p>
        </w:tc>
        <w:tc>
          <w:tcPr>
            <w:tcW w:w="850" w:type="dxa"/>
          </w:tcPr>
          <w:p w14:paraId="76F8B3DF" w14:textId="77777777" w:rsidR="00B642EC" w:rsidRPr="00F35246" w:rsidRDefault="00B642EC" w:rsidP="00612E2F">
            <w:pPr>
              <w:rPr>
                <w:rFonts w:ascii="Arial" w:hAnsi="Arial" w:cs="Arial"/>
                <w:sz w:val="20"/>
                <w:szCs w:val="20"/>
              </w:rPr>
            </w:pPr>
          </w:p>
        </w:tc>
        <w:tc>
          <w:tcPr>
            <w:tcW w:w="851" w:type="dxa"/>
          </w:tcPr>
          <w:p w14:paraId="3E19701E" w14:textId="77777777" w:rsidR="00B642EC" w:rsidRPr="00B7025E" w:rsidRDefault="00B642EC" w:rsidP="00612E2F">
            <w:pPr>
              <w:rPr>
                <w:rFonts w:ascii="Arial" w:hAnsi="Arial" w:cs="Arial"/>
                <w:sz w:val="20"/>
                <w:szCs w:val="20"/>
              </w:rPr>
            </w:pPr>
            <w:r>
              <w:rPr>
                <w:rFonts w:ascii="Arial" w:hAnsi="Arial" w:cs="Arial"/>
                <w:sz w:val="20"/>
                <w:szCs w:val="20"/>
              </w:rPr>
              <w:t>3.86</w:t>
            </w:r>
          </w:p>
        </w:tc>
        <w:tc>
          <w:tcPr>
            <w:tcW w:w="850" w:type="dxa"/>
          </w:tcPr>
          <w:p w14:paraId="70EEFD58" w14:textId="77777777" w:rsidR="00B642EC" w:rsidRPr="00F35246" w:rsidRDefault="00B642EC" w:rsidP="00612E2F">
            <w:pPr>
              <w:rPr>
                <w:rFonts w:ascii="Arial" w:hAnsi="Arial" w:cs="Arial"/>
                <w:sz w:val="20"/>
                <w:szCs w:val="20"/>
              </w:rPr>
            </w:pPr>
            <w:r>
              <w:rPr>
                <w:rFonts w:ascii="Arial" w:hAnsi="Arial" w:cs="Arial"/>
                <w:sz w:val="20"/>
                <w:szCs w:val="20"/>
              </w:rPr>
              <w:t>0.004 *</w:t>
            </w:r>
          </w:p>
        </w:tc>
        <w:tc>
          <w:tcPr>
            <w:tcW w:w="992" w:type="dxa"/>
          </w:tcPr>
          <w:p w14:paraId="1B7A1FFE"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709" w:type="dxa"/>
          </w:tcPr>
          <w:p w14:paraId="372A130A"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094" w:type="dxa"/>
          </w:tcPr>
          <w:p w14:paraId="64293036"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F35246" w14:paraId="09BBA670" w14:textId="77777777" w:rsidTr="00B642EC">
        <w:tc>
          <w:tcPr>
            <w:tcW w:w="2835" w:type="dxa"/>
          </w:tcPr>
          <w:p w14:paraId="6C68BE9A"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Common mental health disorder</w:t>
            </w:r>
          </w:p>
        </w:tc>
        <w:tc>
          <w:tcPr>
            <w:tcW w:w="851" w:type="dxa"/>
            <w:shd w:val="clear" w:color="auto" w:fill="auto"/>
          </w:tcPr>
          <w:p w14:paraId="096509F7" w14:textId="77777777" w:rsidR="00B642EC" w:rsidRPr="00F35246" w:rsidRDefault="00B642EC" w:rsidP="00612E2F">
            <w:pPr>
              <w:rPr>
                <w:rFonts w:ascii="Arial" w:hAnsi="Arial" w:cs="Arial"/>
                <w:sz w:val="20"/>
                <w:szCs w:val="20"/>
              </w:rPr>
            </w:pPr>
            <w:r>
              <w:rPr>
                <w:rFonts w:ascii="Arial" w:hAnsi="Arial" w:cs="Arial"/>
                <w:sz w:val="20"/>
                <w:szCs w:val="20"/>
              </w:rPr>
              <w:t>16.89</w:t>
            </w:r>
          </w:p>
        </w:tc>
        <w:tc>
          <w:tcPr>
            <w:tcW w:w="850" w:type="dxa"/>
          </w:tcPr>
          <w:p w14:paraId="043C117D" w14:textId="77777777" w:rsidR="00B642EC" w:rsidRPr="00F35246" w:rsidRDefault="00B642EC" w:rsidP="00612E2F">
            <w:pPr>
              <w:rPr>
                <w:rFonts w:ascii="Arial" w:hAnsi="Arial" w:cs="Arial"/>
                <w:sz w:val="20"/>
                <w:szCs w:val="20"/>
              </w:rPr>
            </w:pPr>
            <w:r>
              <w:rPr>
                <w:rFonts w:ascii="Arial" w:hAnsi="Arial" w:cs="Arial"/>
                <w:sz w:val="20"/>
                <w:szCs w:val="20"/>
              </w:rPr>
              <w:t>14.66</w:t>
            </w:r>
          </w:p>
        </w:tc>
        <w:tc>
          <w:tcPr>
            <w:tcW w:w="851" w:type="dxa"/>
          </w:tcPr>
          <w:p w14:paraId="0F77AA33" w14:textId="77777777" w:rsidR="00B642EC" w:rsidRPr="00F35246" w:rsidRDefault="00B642EC" w:rsidP="00612E2F">
            <w:pPr>
              <w:rPr>
                <w:rFonts w:ascii="Arial" w:hAnsi="Arial" w:cs="Arial"/>
                <w:sz w:val="20"/>
                <w:szCs w:val="20"/>
              </w:rPr>
            </w:pPr>
            <w:r>
              <w:rPr>
                <w:rFonts w:ascii="Arial" w:hAnsi="Arial" w:cs="Arial"/>
                <w:sz w:val="20"/>
                <w:szCs w:val="20"/>
              </w:rPr>
              <w:t>19.12</w:t>
            </w:r>
          </w:p>
        </w:tc>
        <w:tc>
          <w:tcPr>
            <w:tcW w:w="850" w:type="dxa"/>
          </w:tcPr>
          <w:p w14:paraId="7CC92C6F"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4CBA8A38"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2B5575C4" w14:textId="77777777" w:rsidR="00B642EC" w:rsidRPr="00F35246" w:rsidRDefault="00B642EC" w:rsidP="00612E2F">
            <w:pPr>
              <w:rPr>
                <w:rFonts w:ascii="Arial" w:hAnsi="Arial" w:cs="Arial"/>
                <w:sz w:val="20"/>
                <w:szCs w:val="20"/>
              </w:rPr>
            </w:pPr>
          </w:p>
        </w:tc>
        <w:tc>
          <w:tcPr>
            <w:tcW w:w="1178" w:type="dxa"/>
          </w:tcPr>
          <w:p w14:paraId="08939781" w14:textId="77777777" w:rsidR="00B642EC" w:rsidRPr="00F35246" w:rsidRDefault="00B642EC" w:rsidP="00612E2F">
            <w:pPr>
              <w:rPr>
                <w:rFonts w:ascii="Arial" w:hAnsi="Arial" w:cs="Arial"/>
                <w:sz w:val="20"/>
                <w:szCs w:val="20"/>
              </w:rPr>
            </w:pPr>
            <w:r>
              <w:rPr>
                <w:rFonts w:ascii="Arial" w:hAnsi="Arial" w:cs="Arial"/>
                <w:sz w:val="20"/>
                <w:szCs w:val="20"/>
              </w:rPr>
              <w:t>16.05</w:t>
            </w:r>
          </w:p>
        </w:tc>
        <w:tc>
          <w:tcPr>
            <w:tcW w:w="851" w:type="dxa"/>
          </w:tcPr>
          <w:p w14:paraId="2127E54A" w14:textId="77777777" w:rsidR="00B642EC" w:rsidRPr="00F35246" w:rsidRDefault="00B642EC" w:rsidP="00612E2F">
            <w:pPr>
              <w:rPr>
                <w:rFonts w:ascii="Arial" w:hAnsi="Arial" w:cs="Arial"/>
                <w:sz w:val="20"/>
                <w:szCs w:val="20"/>
              </w:rPr>
            </w:pPr>
            <w:r>
              <w:rPr>
                <w:rFonts w:ascii="Arial" w:hAnsi="Arial" w:cs="Arial"/>
                <w:sz w:val="20"/>
                <w:szCs w:val="20"/>
              </w:rPr>
              <w:t>12.51</w:t>
            </w:r>
          </w:p>
        </w:tc>
        <w:tc>
          <w:tcPr>
            <w:tcW w:w="850" w:type="dxa"/>
          </w:tcPr>
          <w:p w14:paraId="12940EEB" w14:textId="77777777" w:rsidR="00B642EC" w:rsidRPr="00F35246" w:rsidRDefault="00B642EC" w:rsidP="00612E2F">
            <w:pPr>
              <w:rPr>
                <w:rFonts w:ascii="Arial" w:hAnsi="Arial" w:cs="Arial"/>
                <w:sz w:val="20"/>
                <w:szCs w:val="20"/>
              </w:rPr>
            </w:pPr>
            <w:r>
              <w:rPr>
                <w:rFonts w:ascii="Arial" w:hAnsi="Arial" w:cs="Arial"/>
                <w:sz w:val="20"/>
                <w:szCs w:val="20"/>
              </w:rPr>
              <w:t>19.59</w:t>
            </w:r>
          </w:p>
        </w:tc>
        <w:tc>
          <w:tcPr>
            <w:tcW w:w="851" w:type="dxa"/>
          </w:tcPr>
          <w:p w14:paraId="550D0857"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7005C992"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2912C952" w14:textId="77777777" w:rsidR="00B642EC" w:rsidRPr="00F35246" w:rsidRDefault="00B642EC" w:rsidP="00612E2F">
            <w:pPr>
              <w:rPr>
                <w:rFonts w:ascii="Arial" w:hAnsi="Arial" w:cs="Arial"/>
                <w:sz w:val="20"/>
                <w:szCs w:val="20"/>
              </w:rPr>
            </w:pPr>
            <w:r>
              <w:rPr>
                <w:rFonts w:ascii="Arial" w:hAnsi="Arial" w:cs="Arial"/>
                <w:sz w:val="20"/>
                <w:szCs w:val="20"/>
              </w:rPr>
              <w:t>0.04</w:t>
            </w:r>
          </w:p>
        </w:tc>
        <w:tc>
          <w:tcPr>
            <w:tcW w:w="709" w:type="dxa"/>
          </w:tcPr>
          <w:p w14:paraId="50C21C30" w14:textId="77777777" w:rsidR="00B642EC" w:rsidRPr="00F35246" w:rsidRDefault="00B642EC" w:rsidP="00612E2F">
            <w:pPr>
              <w:rPr>
                <w:rFonts w:ascii="Arial" w:hAnsi="Arial" w:cs="Arial"/>
                <w:sz w:val="20"/>
                <w:szCs w:val="20"/>
              </w:rPr>
            </w:pPr>
            <w:r>
              <w:rPr>
                <w:rFonts w:ascii="Arial" w:hAnsi="Arial" w:cs="Arial"/>
                <w:sz w:val="20"/>
                <w:szCs w:val="20"/>
              </w:rPr>
              <w:t>0.43</w:t>
            </w:r>
          </w:p>
        </w:tc>
        <w:tc>
          <w:tcPr>
            <w:tcW w:w="2094" w:type="dxa"/>
          </w:tcPr>
          <w:p w14:paraId="41C04FA1" w14:textId="77777777" w:rsidR="00B642EC" w:rsidRPr="009A3FCB" w:rsidRDefault="00B642EC" w:rsidP="00612E2F">
            <w:pPr>
              <w:rPr>
                <w:rFonts w:ascii="Arial" w:hAnsi="Arial" w:cs="Arial"/>
                <w:sz w:val="20"/>
                <w:szCs w:val="20"/>
              </w:rPr>
            </w:pPr>
            <w:r>
              <w:rPr>
                <w:rFonts w:ascii="Arial" w:hAnsi="Arial" w:cs="Arial"/>
                <w:sz w:val="20"/>
                <w:szCs w:val="20"/>
              </w:rPr>
              <w:t>0.668</w:t>
            </w:r>
          </w:p>
        </w:tc>
      </w:tr>
      <w:tr w:rsidR="00B642EC" w:rsidRPr="00F35246" w14:paraId="0F91020E" w14:textId="77777777" w:rsidTr="00B642EC">
        <w:tc>
          <w:tcPr>
            <w:tcW w:w="2835" w:type="dxa"/>
          </w:tcPr>
          <w:p w14:paraId="7EECCD15" w14:textId="77777777" w:rsidR="00B642EC" w:rsidRPr="00851CE5" w:rsidRDefault="00B642EC" w:rsidP="00612E2F">
            <w:pPr>
              <w:rPr>
                <w:rFonts w:ascii="Arial" w:hAnsi="Arial" w:cs="Arial"/>
                <w:sz w:val="20"/>
                <w:szCs w:val="20"/>
                <w:highlight w:val="yellow"/>
              </w:rPr>
            </w:pPr>
            <w:r w:rsidRPr="00F35246">
              <w:rPr>
                <w:rFonts w:ascii="Arial" w:hAnsi="Arial" w:cs="Arial"/>
                <w:sz w:val="20"/>
                <w:szCs w:val="20"/>
              </w:rPr>
              <w:t xml:space="preserve">    </w:t>
            </w:r>
            <w:r w:rsidRPr="00C20E26">
              <w:rPr>
                <w:rFonts w:ascii="Arial" w:hAnsi="Arial" w:cs="Arial"/>
                <w:sz w:val="20"/>
                <w:szCs w:val="20"/>
              </w:rPr>
              <w:t>Emotional and behavioural problem</w:t>
            </w:r>
          </w:p>
        </w:tc>
        <w:tc>
          <w:tcPr>
            <w:tcW w:w="851" w:type="dxa"/>
            <w:shd w:val="clear" w:color="auto" w:fill="auto"/>
          </w:tcPr>
          <w:p w14:paraId="5D8499E2" w14:textId="77777777" w:rsidR="00B642EC" w:rsidRPr="00851CE5" w:rsidRDefault="00B642EC" w:rsidP="00612E2F">
            <w:pPr>
              <w:rPr>
                <w:rFonts w:ascii="Arial" w:hAnsi="Arial" w:cs="Arial"/>
                <w:sz w:val="20"/>
                <w:szCs w:val="20"/>
                <w:highlight w:val="yellow"/>
              </w:rPr>
            </w:pPr>
            <w:r w:rsidRPr="00851097">
              <w:rPr>
                <w:rFonts w:ascii="Arial" w:hAnsi="Arial" w:cs="Arial"/>
                <w:sz w:val="20"/>
                <w:szCs w:val="20"/>
              </w:rPr>
              <w:t>20.03</w:t>
            </w:r>
          </w:p>
        </w:tc>
        <w:tc>
          <w:tcPr>
            <w:tcW w:w="850" w:type="dxa"/>
          </w:tcPr>
          <w:p w14:paraId="43106BA9" w14:textId="77777777" w:rsidR="00B642EC" w:rsidRPr="00F35246" w:rsidRDefault="00B642EC" w:rsidP="00612E2F">
            <w:pPr>
              <w:rPr>
                <w:rFonts w:ascii="Arial" w:hAnsi="Arial" w:cs="Arial"/>
                <w:sz w:val="20"/>
                <w:szCs w:val="20"/>
              </w:rPr>
            </w:pPr>
            <w:r>
              <w:rPr>
                <w:rFonts w:ascii="Arial" w:hAnsi="Arial" w:cs="Arial"/>
                <w:sz w:val="20"/>
                <w:szCs w:val="20"/>
              </w:rPr>
              <w:t>18.23</w:t>
            </w:r>
          </w:p>
        </w:tc>
        <w:tc>
          <w:tcPr>
            <w:tcW w:w="851" w:type="dxa"/>
          </w:tcPr>
          <w:p w14:paraId="67FF1632" w14:textId="77777777" w:rsidR="00B642EC" w:rsidRPr="00F35246" w:rsidRDefault="00B642EC" w:rsidP="00612E2F">
            <w:pPr>
              <w:rPr>
                <w:rFonts w:ascii="Arial" w:hAnsi="Arial" w:cs="Arial"/>
                <w:sz w:val="20"/>
                <w:szCs w:val="20"/>
              </w:rPr>
            </w:pPr>
            <w:r>
              <w:rPr>
                <w:rFonts w:ascii="Arial" w:hAnsi="Arial" w:cs="Arial"/>
                <w:sz w:val="20"/>
                <w:szCs w:val="20"/>
              </w:rPr>
              <w:t>21.83</w:t>
            </w:r>
          </w:p>
        </w:tc>
        <w:tc>
          <w:tcPr>
            <w:tcW w:w="850" w:type="dxa"/>
          </w:tcPr>
          <w:p w14:paraId="40037A45"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60767771"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3BD103BE" w14:textId="77777777" w:rsidR="00B642EC" w:rsidRPr="00F35246" w:rsidRDefault="00B642EC" w:rsidP="00612E2F">
            <w:pPr>
              <w:rPr>
                <w:rFonts w:ascii="Arial" w:hAnsi="Arial" w:cs="Arial"/>
                <w:sz w:val="20"/>
                <w:szCs w:val="20"/>
              </w:rPr>
            </w:pPr>
          </w:p>
        </w:tc>
        <w:tc>
          <w:tcPr>
            <w:tcW w:w="1178" w:type="dxa"/>
          </w:tcPr>
          <w:p w14:paraId="5C8953C2" w14:textId="77777777" w:rsidR="00B642EC" w:rsidRPr="00F35246" w:rsidRDefault="00B642EC" w:rsidP="00612E2F">
            <w:pPr>
              <w:rPr>
                <w:rFonts w:ascii="Arial" w:hAnsi="Arial" w:cs="Arial"/>
                <w:sz w:val="20"/>
                <w:szCs w:val="20"/>
              </w:rPr>
            </w:pPr>
            <w:r>
              <w:rPr>
                <w:rFonts w:ascii="Arial" w:hAnsi="Arial" w:cs="Arial"/>
                <w:sz w:val="20"/>
                <w:szCs w:val="20"/>
              </w:rPr>
              <w:t>18.70</w:t>
            </w:r>
          </w:p>
        </w:tc>
        <w:tc>
          <w:tcPr>
            <w:tcW w:w="851" w:type="dxa"/>
          </w:tcPr>
          <w:p w14:paraId="1B5F1B1C" w14:textId="77777777" w:rsidR="00B642EC" w:rsidRPr="00F35246" w:rsidRDefault="00B642EC" w:rsidP="00612E2F">
            <w:pPr>
              <w:rPr>
                <w:rFonts w:ascii="Arial" w:hAnsi="Arial" w:cs="Arial"/>
                <w:sz w:val="20"/>
                <w:szCs w:val="20"/>
              </w:rPr>
            </w:pPr>
            <w:r>
              <w:rPr>
                <w:rFonts w:ascii="Arial" w:hAnsi="Arial" w:cs="Arial"/>
                <w:sz w:val="20"/>
                <w:szCs w:val="20"/>
              </w:rPr>
              <w:t>15.56</w:t>
            </w:r>
          </w:p>
        </w:tc>
        <w:tc>
          <w:tcPr>
            <w:tcW w:w="850" w:type="dxa"/>
          </w:tcPr>
          <w:p w14:paraId="2A9FCEA6" w14:textId="77777777" w:rsidR="00B642EC" w:rsidRPr="00F35246" w:rsidRDefault="00B642EC" w:rsidP="00612E2F">
            <w:pPr>
              <w:rPr>
                <w:rFonts w:ascii="Arial" w:hAnsi="Arial" w:cs="Arial"/>
                <w:sz w:val="20"/>
                <w:szCs w:val="20"/>
              </w:rPr>
            </w:pPr>
            <w:r>
              <w:rPr>
                <w:rFonts w:ascii="Arial" w:hAnsi="Arial" w:cs="Arial"/>
                <w:sz w:val="20"/>
                <w:szCs w:val="20"/>
              </w:rPr>
              <w:t>21.84</w:t>
            </w:r>
          </w:p>
        </w:tc>
        <w:tc>
          <w:tcPr>
            <w:tcW w:w="851" w:type="dxa"/>
          </w:tcPr>
          <w:p w14:paraId="4FC7891A"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34E37945"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15B02935" w14:textId="77777777" w:rsidR="00B642EC" w:rsidRPr="00F35246" w:rsidRDefault="00B642EC" w:rsidP="00612E2F">
            <w:pPr>
              <w:rPr>
                <w:rFonts w:ascii="Arial" w:hAnsi="Arial" w:cs="Arial"/>
                <w:sz w:val="20"/>
                <w:szCs w:val="20"/>
              </w:rPr>
            </w:pPr>
            <w:r>
              <w:rPr>
                <w:rFonts w:ascii="Arial" w:hAnsi="Arial" w:cs="Arial"/>
                <w:sz w:val="20"/>
                <w:szCs w:val="20"/>
              </w:rPr>
              <w:t>0.15</w:t>
            </w:r>
          </w:p>
        </w:tc>
        <w:tc>
          <w:tcPr>
            <w:tcW w:w="709" w:type="dxa"/>
          </w:tcPr>
          <w:p w14:paraId="22298144" w14:textId="77777777" w:rsidR="00B642EC" w:rsidRPr="00F35246" w:rsidRDefault="00B642EC" w:rsidP="00612E2F">
            <w:pPr>
              <w:rPr>
                <w:rFonts w:ascii="Arial" w:hAnsi="Arial" w:cs="Arial"/>
                <w:sz w:val="20"/>
                <w:szCs w:val="20"/>
              </w:rPr>
            </w:pPr>
            <w:r>
              <w:rPr>
                <w:rFonts w:ascii="Arial" w:hAnsi="Arial" w:cs="Arial"/>
                <w:sz w:val="20"/>
                <w:szCs w:val="20"/>
              </w:rPr>
              <w:t>1.80</w:t>
            </w:r>
          </w:p>
        </w:tc>
        <w:tc>
          <w:tcPr>
            <w:tcW w:w="2094" w:type="dxa"/>
          </w:tcPr>
          <w:p w14:paraId="2D50CB39" w14:textId="77777777" w:rsidR="00B642EC" w:rsidRPr="009A3FCB" w:rsidRDefault="00B642EC" w:rsidP="00612E2F">
            <w:pPr>
              <w:rPr>
                <w:rFonts w:ascii="Arial" w:hAnsi="Arial" w:cs="Arial"/>
                <w:sz w:val="20"/>
                <w:szCs w:val="20"/>
              </w:rPr>
            </w:pPr>
            <w:r>
              <w:rPr>
                <w:rFonts w:ascii="Arial" w:hAnsi="Arial" w:cs="Arial"/>
                <w:sz w:val="20"/>
                <w:szCs w:val="20"/>
              </w:rPr>
              <w:t>0.073</w:t>
            </w:r>
          </w:p>
        </w:tc>
      </w:tr>
      <w:tr w:rsidR="00B642EC" w:rsidRPr="00F35246" w14:paraId="74DD9157" w14:textId="77777777" w:rsidTr="00B642EC">
        <w:tc>
          <w:tcPr>
            <w:tcW w:w="2835" w:type="dxa"/>
          </w:tcPr>
          <w:p w14:paraId="49089D57"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Hyperactivity/inattention</w:t>
            </w:r>
          </w:p>
        </w:tc>
        <w:tc>
          <w:tcPr>
            <w:tcW w:w="851" w:type="dxa"/>
            <w:shd w:val="clear" w:color="auto" w:fill="auto"/>
          </w:tcPr>
          <w:p w14:paraId="6A88ECAB" w14:textId="77777777" w:rsidR="00B642EC" w:rsidRPr="00F35246" w:rsidRDefault="00B642EC" w:rsidP="00612E2F">
            <w:pPr>
              <w:rPr>
                <w:rFonts w:ascii="Arial" w:hAnsi="Arial" w:cs="Arial"/>
                <w:sz w:val="20"/>
                <w:szCs w:val="20"/>
              </w:rPr>
            </w:pPr>
            <w:r>
              <w:rPr>
                <w:rFonts w:ascii="Arial" w:hAnsi="Arial" w:cs="Arial"/>
                <w:sz w:val="20"/>
                <w:szCs w:val="20"/>
              </w:rPr>
              <w:t>22.20</w:t>
            </w:r>
          </w:p>
        </w:tc>
        <w:tc>
          <w:tcPr>
            <w:tcW w:w="850" w:type="dxa"/>
          </w:tcPr>
          <w:p w14:paraId="21EC42B3" w14:textId="77777777" w:rsidR="00B642EC" w:rsidRPr="00F35246" w:rsidRDefault="00B642EC" w:rsidP="00612E2F">
            <w:pPr>
              <w:rPr>
                <w:rFonts w:ascii="Arial" w:hAnsi="Arial" w:cs="Arial"/>
                <w:sz w:val="20"/>
                <w:szCs w:val="20"/>
              </w:rPr>
            </w:pPr>
            <w:r>
              <w:rPr>
                <w:rFonts w:ascii="Arial" w:hAnsi="Arial" w:cs="Arial"/>
                <w:sz w:val="20"/>
                <w:szCs w:val="20"/>
              </w:rPr>
              <w:t>20.13</w:t>
            </w:r>
          </w:p>
        </w:tc>
        <w:tc>
          <w:tcPr>
            <w:tcW w:w="851" w:type="dxa"/>
          </w:tcPr>
          <w:p w14:paraId="7FC79A0D" w14:textId="77777777" w:rsidR="00B642EC" w:rsidRPr="00F35246" w:rsidRDefault="00B642EC" w:rsidP="00612E2F">
            <w:pPr>
              <w:rPr>
                <w:rFonts w:ascii="Arial" w:hAnsi="Arial" w:cs="Arial"/>
                <w:sz w:val="20"/>
                <w:szCs w:val="20"/>
              </w:rPr>
            </w:pPr>
            <w:r>
              <w:rPr>
                <w:rFonts w:ascii="Arial" w:hAnsi="Arial" w:cs="Arial"/>
                <w:sz w:val="20"/>
                <w:szCs w:val="20"/>
              </w:rPr>
              <w:t>24.26</w:t>
            </w:r>
          </w:p>
        </w:tc>
        <w:tc>
          <w:tcPr>
            <w:tcW w:w="850" w:type="dxa"/>
          </w:tcPr>
          <w:p w14:paraId="276DDA70"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3C61BBF3"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0C743B23" w14:textId="77777777" w:rsidR="00B642EC" w:rsidRPr="00F35246" w:rsidRDefault="00B642EC" w:rsidP="00612E2F">
            <w:pPr>
              <w:rPr>
                <w:rFonts w:ascii="Arial" w:hAnsi="Arial" w:cs="Arial"/>
                <w:sz w:val="20"/>
                <w:szCs w:val="20"/>
              </w:rPr>
            </w:pPr>
          </w:p>
        </w:tc>
        <w:tc>
          <w:tcPr>
            <w:tcW w:w="1178" w:type="dxa"/>
          </w:tcPr>
          <w:p w14:paraId="620D69BB" w14:textId="77777777" w:rsidR="00B642EC" w:rsidRPr="00F35246" w:rsidRDefault="00B642EC" w:rsidP="00612E2F">
            <w:pPr>
              <w:rPr>
                <w:rFonts w:ascii="Arial" w:hAnsi="Arial" w:cs="Arial"/>
                <w:sz w:val="20"/>
                <w:szCs w:val="20"/>
              </w:rPr>
            </w:pPr>
            <w:r>
              <w:rPr>
                <w:rFonts w:ascii="Arial" w:hAnsi="Arial" w:cs="Arial"/>
                <w:sz w:val="20"/>
                <w:szCs w:val="20"/>
              </w:rPr>
              <w:t>20.48</w:t>
            </w:r>
          </w:p>
        </w:tc>
        <w:tc>
          <w:tcPr>
            <w:tcW w:w="851" w:type="dxa"/>
          </w:tcPr>
          <w:p w14:paraId="379E17BB" w14:textId="77777777" w:rsidR="00B642EC" w:rsidRPr="00F35246" w:rsidRDefault="00B642EC" w:rsidP="00612E2F">
            <w:pPr>
              <w:rPr>
                <w:rFonts w:ascii="Arial" w:hAnsi="Arial" w:cs="Arial"/>
                <w:sz w:val="20"/>
                <w:szCs w:val="20"/>
              </w:rPr>
            </w:pPr>
            <w:r>
              <w:rPr>
                <w:rFonts w:ascii="Arial" w:hAnsi="Arial" w:cs="Arial"/>
                <w:sz w:val="20"/>
                <w:szCs w:val="20"/>
              </w:rPr>
              <w:t>16.95</w:t>
            </w:r>
          </w:p>
        </w:tc>
        <w:tc>
          <w:tcPr>
            <w:tcW w:w="850" w:type="dxa"/>
          </w:tcPr>
          <w:p w14:paraId="470130E2" w14:textId="77777777" w:rsidR="00B642EC" w:rsidRPr="00F35246" w:rsidRDefault="00B642EC" w:rsidP="00612E2F">
            <w:pPr>
              <w:rPr>
                <w:rFonts w:ascii="Arial" w:hAnsi="Arial" w:cs="Arial"/>
                <w:sz w:val="20"/>
                <w:szCs w:val="20"/>
              </w:rPr>
            </w:pPr>
            <w:r>
              <w:rPr>
                <w:rFonts w:ascii="Arial" w:hAnsi="Arial" w:cs="Arial"/>
                <w:sz w:val="20"/>
                <w:szCs w:val="20"/>
              </w:rPr>
              <w:t>24.00</w:t>
            </w:r>
          </w:p>
        </w:tc>
        <w:tc>
          <w:tcPr>
            <w:tcW w:w="851" w:type="dxa"/>
          </w:tcPr>
          <w:p w14:paraId="13BD20AD"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599B46C4"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34F6B6B4" w14:textId="77777777" w:rsidR="00B642EC" w:rsidRPr="00F35246" w:rsidRDefault="00B642EC" w:rsidP="00612E2F">
            <w:pPr>
              <w:rPr>
                <w:rFonts w:ascii="Arial" w:hAnsi="Arial" w:cs="Arial"/>
                <w:sz w:val="20"/>
                <w:szCs w:val="20"/>
              </w:rPr>
            </w:pPr>
            <w:r>
              <w:rPr>
                <w:rFonts w:ascii="Arial" w:hAnsi="Arial" w:cs="Arial"/>
                <w:sz w:val="20"/>
                <w:szCs w:val="20"/>
              </w:rPr>
              <w:t>0.20</w:t>
            </w:r>
          </w:p>
        </w:tc>
        <w:tc>
          <w:tcPr>
            <w:tcW w:w="709" w:type="dxa"/>
          </w:tcPr>
          <w:p w14:paraId="77CBE7A3" w14:textId="77777777" w:rsidR="00B642EC" w:rsidRPr="00F35246" w:rsidRDefault="00B642EC" w:rsidP="00612E2F">
            <w:pPr>
              <w:rPr>
                <w:rFonts w:ascii="Arial" w:hAnsi="Arial" w:cs="Arial"/>
                <w:sz w:val="20"/>
                <w:szCs w:val="20"/>
              </w:rPr>
            </w:pPr>
            <w:r>
              <w:rPr>
                <w:rFonts w:ascii="Arial" w:hAnsi="Arial" w:cs="Arial"/>
                <w:sz w:val="20"/>
                <w:szCs w:val="20"/>
              </w:rPr>
              <w:t>2.43</w:t>
            </w:r>
          </w:p>
        </w:tc>
        <w:tc>
          <w:tcPr>
            <w:tcW w:w="2094" w:type="dxa"/>
          </w:tcPr>
          <w:p w14:paraId="648246A8" w14:textId="77777777" w:rsidR="00B642EC" w:rsidRPr="009A3FCB" w:rsidRDefault="00B642EC" w:rsidP="00612E2F">
            <w:pPr>
              <w:rPr>
                <w:rFonts w:ascii="Arial" w:hAnsi="Arial" w:cs="Arial"/>
                <w:sz w:val="20"/>
                <w:szCs w:val="20"/>
              </w:rPr>
            </w:pPr>
            <w:r>
              <w:rPr>
                <w:rFonts w:ascii="Arial" w:hAnsi="Arial" w:cs="Arial"/>
                <w:sz w:val="20"/>
                <w:szCs w:val="20"/>
              </w:rPr>
              <w:t>0.016 *</w:t>
            </w:r>
          </w:p>
        </w:tc>
      </w:tr>
      <w:tr w:rsidR="00B642EC" w:rsidRPr="00F35246" w14:paraId="6405203C" w14:textId="77777777" w:rsidTr="00B642EC">
        <w:tc>
          <w:tcPr>
            <w:tcW w:w="2835" w:type="dxa"/>
          </w:tcPr>
          <w:p w14:paraId="731DAF89"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Self-harm and eating disorder</w:t>
            </w:r>
          </w:p>
        </w:tc>
        <w:tc>
          <w:tcPr>
            <w:tcW w:w="851" w:type="dxa"/>
            <w:shd w:val="clear" w:color="auto" w:fill="auto"/>
          </w:tcPr>
          <w:p w14:paraId="54E42191" w14:textId="77777777" w:rsidR="00B642EC" w:rsidRPr="00F35246" w:rsidRDefault="00B642EC" w:rsidP="00612E2F">
            <w:pPr>
              <w:rPr>
                <w:rFonts w:ascii="Arial" w:hAnsi="Arial" w:cs="Arial"/>
                <w:sz w:val="20"/>
                <w:szCs w:val="20"/>
              </w:rPr>
            </w:pPr>
            <w:r>
              <w:rPr>
                <w:rFonts w:ascii="Arial" w:hAnsi="Arial" w:cs="Arial"/>
                <w:sz w:val="20"/>
                <w:szCs w:val="20"/>
              </w:rPr>
              <w:t>12.55</w:t>
            </w:r>
          </w:p>
        </w:tc>
        <w:tc>
          <w:tcPr>
            <w:tcW w:w="850" w:type="dxa"/>
          </w:tcPr>
          <w:p w14:paraId="4EE888D3" w14:textId="77777777" w:rsidR="00B642EC" w:rsidRPr="00F35246" w:rsidRDefault="00B642EC" w:rsidP="00612E2F">
            <w:pPr>
              <w:rPr>
                <w:rFonts w:ascii="Arial" w:hAnsi="Arial" w:cs="Arial"/>
                <w:sz w:val="20"/>
                <w:szCs w:val="20"/>
              </w:rPr>
            </w:pPr>
            <w:r>
              <w:rPr>
                <w:rFonts w:ascii="Arial" w:hAnsi="Arial" w:cs="Arial"/>
                <w:sz w:val="20"/>
                <w:szCs w:val="20"/>
              </w:rPr>
              <w:t>9.49</w:t>
            </w:r>
          </w:p>
        </w:tc>
        <w:tc>
          <w:tcPr>
            <w:tcW w:w="851" w:type="dxa"/>
          </w:tcPr>
          <w:p w14:paraId="49D5D5A0" w14:textId="77777777" w:rsidR="00B642EC" w:rsidRPr="00F35246" w:rsidRDefault="00B642EC" w:rsidP="00612E2F">
            <w:pPr>
              <w:rPr>
                <w:rFonts w:ascii="Arial" w:hAnsi="Arial" w:cs="Arial"/>
                <w:sz w:val="20"/>
                <w:szCs w:val="20"/>
              </w:rPr>
            </w:pPr>
            <w:r>
              <w:rPr>
                <w:rFonts w:ascii="Arial" w:hAnsi="Arial" w:cs="Arial"/>
                <w:sz w:val="20"/>
                <w:szCs w:val="20"/>
              </w:rPr>
              <w:t>15.62</w:t>
            </w:r>
          </w:p>
        </w:tc>
        <w:tc>
          <w:tcPr>
            <w:tcW w:w="850" w:type="dxa"/>
          </w:tcPr>
          <w:p w14:paraId="2B714633"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339EDBA9"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705DA0A8" w14:textId="77777777" w:rsidR="00B642EC" w:rsidRPr="00F35246" w:rsidRDefault="00B642EC" w:rsidP="00612E2F">
            <w:pPr>
              <w:rPr>
                <w:rFonts w:ascii="Arial" w:hAnsi="Arial" w:cs="Arial"/>
                <w:sz w:val="20"/>
                <w:szCs w:val="20"/>
              </w:rPr>
            </w:pPr>
          </w:p>
        </w:tc>
        <w:tc>
          <w:tcPr>
            <w:tcW w:w="1178" w:type="dxa"/>
          </w:tcPr>
          <w:p w14:paraId="52E94B0F" w14:textId="77777777" w:rsidR="00B642EC" w:rsidRPr="00F35246" w:rsidRDefault="00B642EC" w:rsidP="00612E2F">
            <w:pPr>
              <w:rPr>
                <w:rFonts w:ascii="Arial" w:hAnsi="Arial" w:cs="Arial"/>
                <w:sz w:val="20"/>
                <w:szCs w:val="20"/>
              </w:rPr>
            </w:pPr>
            <w:r>
              <w:rPr>
                <w:rFonts w:ascii="Arial" w:hAnsi="Arial" w:cs="Arial"/>
                <w:sz w:val="20"/>
                <w:szCs w:val="20"/>
              </w:rPr>
              <w:t>12.86</w:t>
            </w:r>
          </w:p>
        </w:tc>
        <w:tc>
          <w:tcPr>
            <w:tcW w:w="851" w:type="dxa"/>
          </w:tcPr>
          <w:p w14:paraId="5AF16C5E" w14:textId="77777777" w:rsidR="00B642EC" w:rsidRPr="00F35246" w:rsidRDefault="00B642EC" w:rsidP="00612E2F">
            <w:pPr>
              <w:rPr>
                <w:rFonts w:ascii="Arial" w:hAnsi="Arial" w:cs="Arial"/>
                <w:sz w:val="20"/>
                <w:szCs w:val="20"/>
              </w:rPr>
            </w:pPr>
            <w:r>
              <w:rPr>
                <w:rFonts w:ascii="Arial" w:hAnsi="Arial" w:cs="Arial"/>
                <w:sz w:val="20"/>
                <w:szCs w:val="20"/>
              </w:rPr>
              <w:t>8.87</w:t>
            </w:r>
          </w:p>
        </w:tc>
        <w:tc>
          <w:tcPr>
            <w:tcW w:w="850" w:type="dxa"/>
          </w:tcPr>
          <w:p w14:paraId="7AD73DE4" w14:textId="77777777" w:rsidR="00B642EC" w:rsidRPr="00F35246" w:rsidRDefault="00B642EC" w:rsidP="00612E2F">
            <w:pPr>
              <w:rPr>
                <w:rFonts w:ascii="Arial" w:hAnsi="Arial" w:cs="Arial"/>
                <w:sz w:val="20"/>
                <w:szCs w:val="20"/>
              </w:rPr>
            </w:pPr>
            <w:r>
              <w:rPr>
                <w:rFonts w:ascii="Arial" w:hAnsi="Arial" w:cs="Arial"/>
                <w:sz w:val="20"/>
                <w:szCs w:val="20"/>
              </w:rPr>
              <w:t>16.85</w:t>
            </w:r>
          </w:p>
        </w:tc>
        <w:tc>
          <w:tcPr>
            <w:tcW w:w="851" w:type="dxa"/>
          </w:tcPr>
          <w:p w14:paraId="2E6E5BAD"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5ABFBB76"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08877FE1" w14:textId="77777777" w:rsidR="00B642EC" w:rsidRPr="00F35246" w:rsidRDefault="00B642EC" w:rsidP="00612E2F">
            <w:pPr>
              <w:rPr>
                <w:rFonts w:ascii="Arial" w:hAnsi="Arial" w:cs="Arial"/>
                <w:sz w:val="20"/>
                <w:szCs w:val="20"/>
              </w:rPr>
            </w:pPr>
            <w:r>
              <w:rPr>
                <w:rFonts w:ascii="Arial" w:hAnsi="Arial" w:cs="Arial"/>
                <w:sz w:val="20"/>
                <w:szCs w:val="20"/>
              </w:rPr>
              <w:t>-</w:t>
            </w:r>
            <w:r w:rsidR="00214FC2">
              <w:rPr>
                <w:rFonts w:ascii="Arial" w:hAnsi="Arial" w:cs="Arial"/>
                <w:sz w:val="20"/>
                <w:szCs w:val="20"/>
              </w:rPr>
              <w:t>0.08</w:t>
            </w:r>
          </w:p>
        </w:tc>
        <w:tc>
          <w:tcPr>
            <w:tcW w:w="709" w:type="dxa"/>
          </w:tcPr>
          <w:p w14:paraId="51417E54" w14:textId="77777777" w:rsidR="00B642EC" w:rsidRPr="00F35246" w:rsidRDefault="00D52BD0" w:rsidP="00612E2F">
            <w:pPr>
              <w:rPr>
                <w:rFonts w:ascii="Arial" w:hAnsi="Arial" w:cs="Arial"/>
                <w:sz w:val="20"/>
                <w:szCs w:val="20"/>
              </w:rPr>
            </w:pPr>
            <w:r>
              <w:rPr>
                <w:rFonts w:ascii="Arial" w:hAnsi="Arial" w:cs="Arial"/>
                <w:sz w:val="20"/>
                <w:szCs w:val="20"/>
              </w:rPr>
              <w:t>-1.07</w:t>
            </w:r>
          </w:p>
        </w:tc>
        <w:tc>
          <w:tcPr>
            <w:tcW w:w="2094" w:type="dxa"/>
          </w:tcPr>
          <w:p w14:paraId="58984111" w14:textId="77777777" w:rsidR="00B642EC" w:rsidRPr="009A3FCB" w:rsidRDefault="00D52BD0" w:rsidP="00612E2F">
            <w:pPr>
              <w:rPr>
                <w:rFonts w:ascii="Arial" w:hAnsi="Arial" w:cs="Arial"/>
                <w:sz w:val="20"/>
                <w:szCs w:val="20"/>
              </w:rPr>
            </w:pPr>
            <w:r>
              <w:rPr>
                <w:rFonts w:ascii="Arial" w:hAnsi="Arial" w:cs="Arial"/>
                <w:sz w:val="20"/>
                <w:szCs w:val="20"/>
              </w:rPr>
              <w:t>0.288</w:t>
            </w:r>
          </w:p>
        </w:tc>
      </w:tr>
      <w:tr w:rsidR="00B642EC" w:rsidRPr="00F35246" w14:paraId="6F389D43" w14:textId="77777777" w:rsidTr="00B642EC">
        <w:tc>
          <w:tcPr>
            <w:tcW w:w="2835" w:type="dxa"/>
          </w:tcPr>
          <w:p w14:paraId="33B28FB0" w14:textId="77777777" w:rsidR="00B642EC" w:rsidRPr="00F35246" w:rsidRDefault="00B642EC" w:rsidP="00612E2F">
            <w:pPr>
              <w:rPr>
                <w:rFonts w:ascii="Arial" w:hAnsi="Arial" w:cs="Arial"/>
                <w:sz w:val="20"/>
                <w:szCs w:val="20"/>
              </w:rPr>
            </w:pPr>
            <w:r w:rsidRPr="00F35246">
              <w:rPr>
                <w:rFonts w:ascii="Arial" w:hAnsi="Arial" w:cs="Arial"/>
                <w:sz w:val="20"/>
                <w:szCs w:val="20"/>
              </w:rPr>
              <w:t xml:space="preserve">    Other</w:t>
            </w:r>
          </w:p>
        </w:tc>
        <w:tc>
          <w:tcPr>
            <w:tcW w:w="851" w:type="dxa"/>
            <w:shd w:val="clear" w:color="auto" w:fill="auto"/>
          </w:tcPr>
          <w:p w14:paraId="643F305F" w14:textId="77777777" w:rsidR="00B642EC" w:rsidRPr="00F35246" w:rsidRDefault="00B642EC" w:rsidP="00612E2F">
            <w:pPr>
              <w:rPr>
                <w:rFonts w:ascii="Arial" w:hAnsi="Arial" w:cs="Arial"/>
                <w:sz w:val="20"/>
                <w:szCs w:val="20"/>
              </w:rPr>
            </w:pPr>
            <w:r>
              <w:rPr>
                <w:rFonts w:ascii="Arial" w:hAnsi="Arial" w:cs="Arial"/>
                <w:sz w:val="20"/>
                <w:szCs w:val="20"/>
              </w:rPr>
              <w:t>15.69</w:t>
            </w:r>
          </w:p>
        </w:tc>
        <w:tc>
          <w:tcPr>
            <w:tcW w:w="850" w:type="dxa"/>
          </w:tcPr>
          <w:p w14:paraId="672F99C1" w14:textId="77777777" w:rsidR="00B642EC" w:rsidRPr="00F35246" w:rsidRDefault="00B642EC" w:rsidP="00612E2F">
            <w:pPr>
              <w:rPr>
                <w:rFonts w:ascii="Arial" w:hAnsi="Arial" w:cs="Arial"/>
                <w:sz w:val="20"/>
                <w:szCs w:val="20"/>
              </w:rPr>
            </w:pPr>
            <w:r>
              <w:rPr>
                <w:rFonts w:ascii="Arial" w:hAnsi="Arial" w:cs="Arial"/>
                <w:sz w:val="20"/>
                <w:szCs w:val="20"/>
              </w:rPr>
              <w:t>11.97</w:t>
            </w:r>
          </w:p>
        </w:tc>
        <w:tc>
          <w:tcPr>
            <w:tcW w:w="851" w:type="dxa"/>
          </w:tcPr>
          <w:p w14:paraId="282A7AE0" w14:textId="77777777" w:rsidR="00B642EC" w:rsidRPr="00F35246" w:rsidRDefault="00B642EC" w:rsidP="00612E2F">
            <w:pPr>
              <w:rPr>
                <w:rFonts w:ascii="Arial" w:hAnsi="Arial" w:cs="Arial"/>
                <w:sz w:val="20"/>
                <w:szCs w:val="20"/>
              </w:rPr>
            </w:pPr>
            <w:r>
              <w:rPr>
                <w:rFonts w:ascii="Arial" w:hAnsi="Arial" w:cs="Arial"/>
                <w:sz w:val="20"/>
                <w:szCs w:val="20"/>
              </w:rPr>
              <w:t>19.42</w:t>
            </w:r>
          </w:p>
        </w:tc>
        <w:tc>
          <w:tcPr>
            <w:tcW w:w="850" w:type="dxa"/>
          </w:tcPr>
          <w:p w14:paraId="00B89D39"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993" w:type="dxa"/>
          </w:tcPr>
          <w:p w14:paraId="45744FE0"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39" w:type="dxa"/>
          </w:tcPr>
          <w:p w14:paraId="1A2918C0" w14:textId="77777777" w:rsidR="00B642EC" w:rsidRPr="00F35246" w:rsidRDefault="00B642EC" w:rsidP="00612E2F">
            <w:pPr>
              <w:rPr>
                <w:rFonts w:ascii="Arial" w:hAnsi="Arial" w:cs="Arial"/>
                <w:sz w:val="20"/>
                <w:szCs w:val="20"/>
              </w:rPr>
            </w:pPr>
          </w:p>
        </w:tc>
        <w:tc>
          <w:tcPr>
            <w:tcW w:w="1178" w:type="dxa"/>
          </w:tcPr>
          <w:p w14:paraId="35A72A8F" w14:textId="77777777" w:rsidR="00B642EC" w:rsidRPr="00F35246" w:rsidRDefault="00B642EC" w:rsidP="00612E2F">
            <w:pPr>
              <w:rPr>
                <w:rFonts w:ascii="Arial" w:hAnsi="Arial" w:cs="Arial"/>
                <w:sz w:val="20"/>
                <w:szCs w:val="20"/>
              </w:rPr>
            </w:pPr>
            <w:r>
              <w:rPr>
                <w:rFonts w:ascii="Arial" w:hAnsi="Arial" w:cs="Arial"/>
                <w:sz w:val="20"/>
                <w:szCs w:val="20"/>
              </w:rPr>
              <w:t>15.20</w:t>
            </w:r>
          </w:p>
        </w:tc>
        <w:tc>
          <w:tcPr>
            <w:tcW w:w="851" w:type="dxa"/>
          </w:tcPr>
          <w:p w14:paraId="69187B40" w14:textId="77777777" w:rsidR="00B642EC" w:rsidRPr="00F35246" w:rsidRDefault="00B642EC" w:rsidP="00612E2F">
            <w:pPr>
              <w:rPr>
                <w:rFonts w:ascii="Arial" w:hAnsi="Arial" w:cs="Arial"/>
                <w:sz w:val="20"/>
                <w:szCs w:val="20"/>
              </w:rPr>
            </w:pPr>
            <w:r>
              <w:rPr>
                <w:rFonts w:ascii="Arial" w:hAnsi="Arial" w:cs="Arial"/>
                <w:sz w:val="20"/>
                <w:szCs w:val="20"/>
              </w:rPr>
              <w:t>11.25</w:t>
            </w:r>
          </w:p>
        </w:tc>
        <w:tc>
          <w:tcPr>
            <w:tcW w:w="850" w:type="dxa"/>
          </w:tcPr>
          <w:p w14:paraId="6B3D3524" w14:textId="77777777" w:rsidR="00B642EC" w:rsidRPr="00F35246" w:rsidRDefault="00B642EC" w:rsidP="00612E2F">
            <w:pPr>
              <w:rPr>
                <w:rFonts w:ascii="Arial" w:hAnsi="Arial" w:cs="Arial"/>
                <w:sz w:val="20"/>
                <w:szCs w:val="20"/>
              </w:rPr>
            </w:pPr>
            <w:r>
              <w:rPr>
                <w:rFonts w:ascii="Arial" w:hAnsi="Arial" w:cs="Arial"/>
                <w:sz w:val="20"/>
                <w:szCs w:val="20"/>
              </w:rPr>
              <w:t>19.14</w:t>
            </w:r>
          </w:p>
        </w:tc>
        <w:tc>
          <w:tcPr>
            <w:tcW w:w="851" w:type="dxa"/>
          </w:tcPr>
          <w:p w14:paraId="262C9FB0"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18F6F549"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552CBCE5"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709" w:type="dxa"/>
          </w:tcPr>
          <w:p w14:paraId="3057930E"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094" w:type="dxa"/>
          </w:tcPr>
          <w:p w14:paraId="2AB14F36"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1A4A03" w14:paraId="45F5252A" w14:textId="77777777" w:rsidTr="00B642EC">
        <w:tc>
          <w:tcPr>
            <w:tcW w:w="2835" w:type="dxa"/>
          </w:tcPr>
          <w:p w14:paraId="69F5FA97" w14:textId="77777777" w:rsidR="00B642EC" w:rsidRPr="001A4A03" w:rsidRDefault="00B642EC" w:rsidP="00612E2F">
            <w:pPr>
              <w:rPr>
                <w:rFonts w:ascii="Arial" w:hAnsi="Arial" w:cs="Arial"/>
                <w:sz w:val="10"/>
                <w:szCs w:val="10"/>
              </w:rPr>
            </w:pPr>
          </w:p>
        </w:tc>
        <w:tc>
          <w:tcPr>
            <w:tcW w:w="851" w:type="dxa"/>
            <w:shd w:val="clear" w:color="auto" w:fill="auto"/>
          </w:tcPr>
          <w:p w14:paraId="1C9B5863" w14:textId="77777777" w:rsidR="00B642EC" w:rsidRPr="001A4A03" w:rsidRDefault="00B642EC" w:rsidP="00612E2F">
            <w:pPr>
              <w:rPr>
                <w:rFonts w:ascii="Arial" w:hAnsi="Arial" w:cs="Arial"/>
                <w:sz w:val="10"/>
                <w:szCs w:val="10"/>
              </w:rPr>
            </w:pPr>
          </w:p>
        </w:tc>
        <w:tc>
          <w:tcPr>
            <w:tcW w:w="850" w:type="dxa"/>
          </w:tcPr>
          <w:p w14:paraId="0E9A862A" w14:textId="77777777" w:rsidR="00B642EC" w:rsidRPr="001A4A03" w:rsidRDefault="00B642EC" w:rsidP="00612E2F">
            <w:pPr>
              <w:rPr>
                <w:rFonts w:ascii="Arial" w:hAnsi="Arial" w:cs="Arial"/>
                <w:sz w:val="10"/>
                <w:szCs w:val="10"/>
              </w:rPr>
            </w:pPr>
          </w:p>
        </w:tc>
        <w:tc>
          <w:tcPr>
            <w:tcW w:w="851" w:type="dxa"/>
          </w:tcPr>
          <w:p w14:paraId="5919B593" w14:textId="77777777" w:rsidR="00B642EC" w:rsidRPr="001A4A03" w:rsidRDefault="00B642EC" w:rsidP="00612E2F">
            <w:pPr>
              <w:rPr>
                <w:rFonts w:ascii="Arial" w:hAnsi="Arial" w:cs="Arial"/>
                <w:sz w:val="10"/>
                <w:szCs w:val="10"/>
              </w:rPr>
            </w:pPr>
          </w:p>
        </w:tc>
        <w:tc>
          <w:tcPr>
            <w:tcW w:w="850" w:type="dxa"/>
          </w:tcPr>
          <w:p w14:paraId="4A57AAB5" w14:textId="77777777" w:rsidR="00B642EC" w:rsidRPr="001A4A03" w:rsidRDefault="00B642EC" w:rsidP="00612E2F">
            <w:pPr>
              <w:rPr>
                <w:rFonts w:ascii="Arial" w:hAnsi="Arial" w:cs="Arial"/>
                <w:sz w:val="10"/>
                <w:szCs w:val="10"/>
              </w:rPr>
            </w:pPr>
          </w:p>
        </w:tc>
        <w:tc>
          <w:tcPr>
            <w:tcW w:w="993" w:type="dxa"/>
          </w:tcPr>
          <w:p w14:paraId="203CC795" w14:textId="77777777" w:rsidR="00B642EC" w:rsidRPr="001A4A03" w:rsidRDefault="00B642EC" w:rsidP="00612E2F">
            <w:pPr>
              <w:rPr>
                <w:rFonts w:ascii="Arial" w:hAnsi="Arial" w:cs="Arial"/>
                <w:sz w:val="10"/>
                <w:szCs w:val="10"/>
              </w:rPr>
            </w:pPr>
          </w:p>
        </w:tc>
        <w:tc>
          <w:tcPr>
            <w:tcW w:w="239" w:type="dxa"/>
          </w:tcPr>
          <w:p w14:paraId="56C17333" w14:textId="77777777" w:rsidR="00B642EC" w:rsidRPr="001A4A03" w:rsidRDefault="00B642EC" w:rsidP="00612E2F">
            <w:pPr>
              <w:rPr>
                <w:rFonts w:ascii="Arial" w:hAnsi="Arial" w:cs="Arial"/>
                <w:sz w:val="10"/>
                <w:szCs w:val="10"/>
              </w:rPr>
            </w:pPr>
          </w:p>
        </w:tc>
        <w:tc>
          <w:tcPr>
            <w:tcW w:w="1178" w:type="dxa"/>
          </w:tcPr>
          <w:p w14:paraId="566D3DB9" w14:textId="77777777" w:rsidR="00B642EC" w:rsidRPr="001A4A03" w:rsidRDefault="00B642EC" w:rsidP="00612E2F">
            <w:pPr>
              <w:rPr>
                <w:rFonts w:ascii="Arial" w:hAnsi="Arial" w:cs="Arial"/>
                <w:sz w:val="10"/>
                <w:szCs w:val="10"/>
              </w:rPr>
            </w:pPr>
          </w:p>
        </w:tc>
        <w:tc>
          <w:tcPr>
            <w:tcW w:w="851" w:type="dxa"/>
          </w:tcPr>
          <w:p w14:paraId="37E5C603" w14:textId="77777777" w:rsidR="00B642EC" w:rsidRPr="001A4A03" w:rsidRDefault="00B642EC" w:rsidP="00612E2F">
            <w:pPr>
              <w:rPr>
                <w:rFonts w:ascii="Arial" w:hAnsi="Arial" w:cs="Arial"/>
                <w:sz w:val="10"/>
                <w:szCs w:val="10"/>
              </w:rPr>
            </w:pPr>
          </w:p>
        </w:tc>
        <w:tc>
          <w:tcPr>
            <w:tcW w:w="850" w:type="dxa"/>
          </w:tcPr>
          <w:p w14:paraId="04EA38D6" w14:textId="77777777" w:rsidR="00B642EC" w:rsidRPr="001A4A03" w:rsidRDefault="00B642EC" w:rsidP="00612E2F">
            <w:pPr>
              <w:rPr>
                <w:rFonts w:ascii="Arial" w:hAnsi="Arial" w:cs="Arial"/>
                <w:sz w:val="10"/>
                <w:szCs w:val="10"/>
              </w:rPr>
            </w:pPr>
          </w:p>
        </w:tc>
        <w:tc>
          <w:tcPr>
            <w:tcW w:w="851" w:type="dxa"/>
          </w:tcPr>
          <w:p w14:paraId="289311C1" w14:textId="77777777" w:rsidR="00B642EC" w:rsidRPr="001A4A03" w:rsidRDefault="00B642EC" w:rsidP="00612E2F">
            <w:pPr>
              <w:rPr>
                <w:rFonts w:ascii="Arial" w:hAnsi="Arial" w:cs="Arial"/>
                <w:sz w:val="10"/>
                <w:szCs w:val="10"/>
              </w:rPr>
            </w:pPr>
          </w:p>
        </w:tc>
        <w:tc>
          <w:tcPr>
            <w:tcW w:w="850" w:type="dxa"/>
          </w:tcPr>
          <w:p w14:paraId="2D1CF2CE" w14:textId="77777777" w:rsidR="00B642EC" w:rsidRPr="001A4A03" w:rsidRDefault="00B642EC" w:rsidP="00612E2F">
            <w:pPr>
              <w:rPr>
                <w:rFonts w:ascii="Arial" w:hAnsi="Arial" w:cs="Arial"/>
                <w:sz w:val="10"/>
                <w:szCs w:val="10"/>
              </w:rPr>
            </w:pPr>
          </w:p>
        </w:tc>
        <w:tc>
          <w:tcPr>
            <w:tcW w:w="992" w:type="dxa"/>
          </w:tcPr>
          <w:p w14:paraId="4A9B8C92" w14:textId="77777777" w:rsidR="00B642EC" w:rsidRPr="001A4A03" w:rsidRDefault="00B642EC" w:rsidP="00612E2F">
            <w:pPr>
              <w:rPr>
                <w:rFonts w:ascii="Arial" w:hAnsi="Arial" w:cs="Arial"/>
                <w:sz w:val="10"/>
                <w:szCs w:val="10"/>
              </w:rPr>
            </w:pPr>
          </w:p>
        </w:tc>
        <w:tc>
          <w:tcPr>
            <w:tcW w:w="709" w:type="dxa"/>
          </w:tcPr>
          <w:p w14:paraId="4C6C9EAC" w14:textId="77777777" w:rsidR="00B642EC" w:rsidRPr="001A4A03" w:rsidRDefault="00B642EC" w:rsidP="00612E2F">
            <w:pPr>
              <w:rPr>
                <w:rFonts w:ascii="Arial" w:hAnsi="Arial" w:cs="Arial"/>
                <w:sz w:val="10"/>
                <w:szCs w:val="10"/>
              </w:rPr>
            </w:pPr>
          </w:p>
        </w:tc>
        <w:tc>
          <w:tcPr>
            <w:tcW w:w="2094" w:type="dxa"/>
          </w:tcPr>
          <w:p w14:paraId="7E0FF9F5" w14:textId="77777777" w:rsidR="00B642EC" w:rsidRPr="009A3FCB" w:rsidRDefault="00B642EC" w:rsidP="00612E2F">
            <w:pPr>
              <w:rPr>
                <w:rFonts w:ascii="Arial" w:hAnsi="Arial" w:cs="Arial"/>
                <w:sz w:val="10"/>
                <w:szCs w:val="10"/>
              </w:rPr>
            </w:pPr>
          </w:p>
        </w:tc>
      </w:tr>
      <w:tr w:rsidR="00B642EC" w:rsidRPr="00F35246" w14:paraId="7B09D4F9" w14:textId="77777777" w:rsidTr="00B642EC">
        <w:tc>
          <w:tcPr>
            <w:tcW w:w="2835" w:type="dxa"/>
          </w:tcPr>
          <w:p w14:paraId="689F8B28" w14:textId="77777777" w:rsidR="00B642EC" w:rsidRPr="00C07E5C" w:rsidRDefault="00094010" w:rsidP="00612E2F">
            <w:pPr>
              <w:rPr>
                <w:rFonts w:ascii="Arial" w:hAnsi="Arial" w:cs="Arial"/>
                <w:b/>
                <w:sz w:val="20"/>
                <w:szCs w:val="20"/>
              </w:rPr>
            </w:pPr>
            <w:r>
              <w:rPr>
                <w:rFonts w:ascii="Arial" w:hAnsi="Arial" w:cs="Arial"/>
                <w:b/>
                <w:sz w:val="20"/>
                <w:szCs w:val="20"/>
              </w:rPr>
              <w:t>Referral Source</w:t>
            </w:r>
          </w:p>
        </w:tc>
        <w:tc>
          <w:tcPr>
            <w:tcW w:w="851" w:type="dxa"/>
            <w:shd w:val="clear" w:color="auto" w:fill="auto"/>
          </w:tcPr>
          <w:p w14:paraId="4BAA61A3" w14:textId="77777777" w:rsidR="00B642EC" w:rsidRPr="00C07E5C" w:rsidRDefault="00B642EC" w:rsidP="00612E2F">
            <w:pPr>
              <w:rPr>
                <w:rFonts w:ascii="Arial" w:hAnsi="Arial" w:cs="Arial"/>
                <w:sz w:val="20"/>
                <w:szCs w:val="20"/>
              </w:rPr>
            </w:pPr>
          </w:p>
        </w:tc>
        <w:tc>
          <w:tcPr>
            <w:tcW w:w="850" w:type="dxa"/>
          </w:tcPr>
          <w:p w14:paraId="62707777" w14:textId="77777777" w:rsidR="00B642EC" w:rsidRPr="00C07E5C" w:rsidRDefault="00B642EC" w:rsidP="00612E2F">
            <w:pPr>
              <w:rPr>
                <w:rFonts w:ascii="Arial" w:hAnsi="Arial" w:cs="Arial"/>
                <w:sz w:val="20"/>
                <w:szCs w:val="20"/>
              </w:rPr>
            </w:pPr>
          </w:p>
        </w:tc>
        <w:tc>
          <w:tcPr>
            <w:tcW w:w="851" w:type="dxa"/>
          </w:tcPr>
          <w:p w14:paraId="0FA3F47D" w14:textId="77777777" w:rsidR="00B642EC" w:rsidRPr="00C07E5C" w:rsidRDefault="00B642EC" w:rsidP="00612E2F">
            <w:pPr>
              <w:rPr>
                <w:rFonts w:ascii="Arial" w:hAnsi="Arial" w:cs="Arial"/>
                <w:sz w:val="20"/>
                <w:szCs w:val="20"/>
              </w:rPr>
            </w:pPr>
          </w:p>
        </w:tc>
        <w:tc>
          <w:tcPr>
            <w:tcW w:w="850" w:type="dxa"/>
          </w:tcPr>
          <w:p w14:paraId="1FE7143D" w14:textId="77777777" w:rsidR="00B642EC" w:rsidRPr="00C07E5C" w:rsidRDefault="00B642EC" w:rsidP="00612E2F">
            <w:pPr>
              <w:rPr>
                <w:rFonts w:ascii="Arial" w:hAnsi="Arial" w:cs="Arial"/>
                <w:sz w:val="20"/>
                <w:szCs w:val="20"/>
              </w:rPr>
            </w:pPr>
            <w:r w:rsidRPr="00C07E5C">
              <w:rPr>
                <w:rFonts w:ascii="Arial" w:hAnsi="Arial" w:cs="Arial"/>
                <w:sz w:val="20"/>
                <w:szCs w:val="20"/>
              </w:rPr>
              <w:t>0.44</w:t>
            </w:r>
          </w:p>
        </w:tc>
        <w:tc>
          <w:tcPr>
            <w:tcW w:w="993" w:type="dxa"/>
          </w:tcPr>
          <w:p w14:paraId="7F001DCE" w14:textId="77777777" w:rsidR="00B642EC" w:rsidRPr="00C07E5C" w:rsidRDefault="00B642EC" w:rsidP="00612E2F">
            <w:pPr>
              <w:rPr>
                <w:rFonts w:ascii="Arial" w:hAnsi="Arial" w:cs="Arial"/>
                <w:sz w:val="20"/>
                <w:szCs w:val="20"/>
              </w:rPr>
            </w:pPr>
            <w:r w:rsidRPr="00C07E5C">
              <w:rPr>
                <w:rFonts w:ascii="Arial" w:hAnsi="Arial" w:cs="Arial"/>
                <w:sz w:val="20"/>
                <w:szCs w:val="20"/>
              </w:rPr>
              <w:t>0.784</w:t>
            </w:r>
          </w:p>
        </w:tc>
        <w:tc>
          <w:tcPr>
            <w:tcW w:w="239" w:type="dxa"/>
          </w:tcPr>
          <w:p w14:paraId="42846A23" w14:textId="77777777" w:rsidR="00B642EC" w:rsidRPr="00F35246" w:rsidRDefault="00B642EC" w:rsidP="00612E2F">
            <w:pPr>
              <w:rPr>
                <w:rFonts w:ascii="Arial" w:hAnsi="Arial" w:cs="Arial"/>
                <w:sz w:val="20"/>
                <w:szCs w:val="20"/>
              </w:rPr>
            </w:pPr>
          </w:p>
        </w:tc>
        <w:tc>
          <w:tcPr>
            <w:tcW w:w="1178" w:type="dxa"/>
          </w:tcPr>
          <w:p w14:paraId="6CE895C2" w14:textId="77777777" w:rsidR="00B642EC" w:rsidRPr="00F35246" w:rsidRDefault="00B642EC" w:rsidP="00612E2F">
            <w:pPr>
              <w:rPr>
                <w:rFonts w:ascii="Arial" w:hAnsi="Arial" w:cs="Arial"/>
                <w:sz w:val="20"/>
                <w:szCs w:val="20"/>
              </w:rPr>
            </w:pPr>
          </w:p>
        </w:tc>
        <w:tc>
          <w:tcPr>
            <w:tcW w:w="851" w:type="dxa"/>
          </w:tcPr>
          <w:p w14:paraId="31C61389" w14:textId="77777777" w:rsidR="00B642EC" w:rsidRPr="00F35246" w:rsidRDefault="00B642EC" w:rsidP="00612E2F">
            <w:pPr>
              <w:rPr>
                <w:rFonts w:ascii="Arial" w:hAnsi="Arial" w:cs="Arial"/>
                <w:sz w:val="20"/>
                <w:szCs w:val="20"/>
              </w:rPr>
            </w:pPr>
          </w:p>
        </w:tc>
        <w:tc>
          <w:tcPr>
            <w:tcW w:w="850" w:type="dxa"/>
          </w:tcPr>
          <w:p w14:paraId="16E84384" w14:textId="77777777" w:rsidR="00B642EC" w:rsidRPr="00F35246" w:rsidRDefault="00B642EC" w:rsidP="00612E2F">
            <w:pPr>
              <w:rPr>
                <w:rFonts w:ascii="Arial" w:hAnsi="Arial" w:cs="Arial"/>
                <w:sz w:val="20"/>
                <w:szCs w:val="20"/>
              </w:rPr>
            </w:pPr>
          </w:p>
        </w:tc>
        <w:tc>
          <w:tcPr>
            <w:tcW w:w="851" w:type="dxa"/>
          </w:tcPr>
          <w:p w14:paraId="6772E323" w14:textId="77777777" w:rsidR="00B642EC" w:rsidRPr="00F35246" w:rsidRDefault="00B642EC" w:rsidP="00612E2F">
            <w:pPr>
              <w:rPr>
                <w:rFonts w:ascii="Arial" w:hAnsi="Arial" w:cs="Arial"/>
                <w:sz w:val="20"/>
                <w:szCs w:val="20"/>
              </w:rPr>
            </w:pPr>
            <w:r>
              <w:rPr>
                <w:rFonts w:ascii="Arial" w:hAnsi="Arial" w:cs="Arial"/>
                <w:sz w:val="20"/>
                <w:szCs w:val="20"/>
              </w:rPr>
              <w:t>1.08</w:t>
            </w:r>
          </w:p>
        </w:tc>
        <w:tc>
          <w:tcPr>
            <w:tcW w:w="850" w:type="dxa"/>
          </w:tcPr>
          <w:p w14:paraId="3D809ACB" w14:textId="77777777" w:rsidR="00B642EC" w:rsidRPr="00F35246" w:rsidRDefault="00B642EC" w:rsidP="00612E2F">
            <w:pPr>
              <w:rPr>
                <w:rFonts w:ascii="Arial" w:hAnsi="Arial" w:cs="Arial"/>
                <w:sz w:val="20"/>
                <w:szCs w:val="20"/>
              </w:rPr>
            </w:pPr>
            <w:r>
              <w:rPr>
                <w:rFonts w:ascii="Arial" w:hAnsi="Arial" w:cs="Arial"/>
                <w:sz w:val="20"/>
                <w:szCs w:val="20"/>
              </w:rPr>
              <w:t>0.367</w:t>
            </w:r>
          </w:p>
        </w:tc>
        <w:tc>
          <w:tcPr>
            <w:tcW w:w="992" w:type="dxa"/>
          </w:tcPr>
          <w:p w14:paraId="09BF38DD"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709" w:type="dxa"/>
          </w:tcPr>
          <w:p w14:paraId="07F524F8"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2094" w:type="dxa"/>
          </w:tcPr>
          <w:p w14:paraId="6297F7C9" w14:textId="77777777" w:rsidR="00B642EC" w:rsidRPr="009A3FCB" w:rsidRDefault="00B642EC" w:rsidP="00612E2F">
            <w:pPr>
              <w:rPr>
                <w:rFonts w:ascii="Arial" w:hAnsi="Arial" w:cs="Arial"/>
                <w:sz w:val="20"/>
                <w:szCs w:val="20"/>
              </w:rPr>
            </w:pPr>
            <w:r>
              <w:rPr>
                <w:rFonts w:ascii="Arial" w:hAnsi="Arial" w:cs="Arial"/>
                <w:sz w:val="20"/>
                <w:szCs w:val="20"/>
              </w:rPr>
              <w:t>–</w:t>
            </w:r>
          </w:p>
        </w:tc>
      </w:tr>
      <w:tr w:rsidR="00B642EC" w:rsidRPr="00F35246" w14:paraId="498B4581" w14:textId="77777777" w:rsidTr="00B642EC">
        <w:tc>
          <w:tcPr>
            <w:tcW w:w="2835" w:type="dxa"/>
          </w:tcPr>
          <w:p w14:paraId="433C576F" w14:textId="77777777" w:rsidR="00B642EC" w:rsidRPr="00C07E5C" w:rsidRDefault="00B642EC" w:rsidP="00612E2F">
            <w:pPr>
              <w:rPr>
                <w:rFonts w:ascii="Arial" w:hAnsi="Arial" w:cs="Arial"/>
                <w:sz w:val="20"/>
                <w:szCs w:val="20"/>
              </w:rPr>
            </w:pPr>
            <w:r w:rsidRPr="00C07E5C">
              <w:rPr>
                <w:rFonts w:ascii="Arial" w:hAnsi="Arial" w:cs="Arial"/>
                <w:sz w:val="20"/>
                <w:szCs w:val="20"/>
              </w:rPr>
              <w:t xml:space="preserve">    Medical</w:t>
            </w:r>
          </w:p>
        </w:tc>
        <w:tc>
          <w:tcPr>
            <w:tcW w:w="851" w:type="dxa"/>
            <w:shd w:val="clear" w:color="auto" w:fill="auto"/>
          </w:tcPr>
          <w:p w14:paraId="7CF30447" w14:textId="77777777" w:rsidR="00B642EC" w:rsidRPr="00C07E5C" w:rsidRDefault="00B642EC" w:rsidP="00612E2F">
            <w:pPr>
              <w:rPr>
                <w:rFonts w:ascii="Arial" w:hAnsi="Arial" w:cs="Arial"/>
                <w:sz w:val="20"/>
                <w:szCs w:val="20"/>
              </w:rPr>
            </w:pPr>
            <w:r w:rsidRPr="00C07E5C">
              <w:rPr>
                <w:rFonts w:ascii="Arial" w:hAnsi="Arial" w:cs="Arial"/>
                <w:sz w:val="20"/>
                <w:szCs w:val="20"/>
              </w:rPr>
              <w:t>18.04</w:t>
            </w:r>
          </w:p>
        </w:tc>
        <w:tc>
          <w:tcPr>
            <w:tcW w:w="850" w:type="dxa"/>
          </w:tcPr>
          <w:p w14:paraId="11F81886" w14:textId="77777777" w:rsidR="00B642EC" w:rsidRPr="00C07E5C" w:rsidRDefault="00B642EC" w:rsidP="00612E2F">
            <w:pPr>
              <w:rPr>
                <w:rFonts w:ascii="Arial" w:hAnsi="Arial" w:cs="Arial"/>
                <w:sz w:val="20"/>
                <w:szCs w:val="20"/>
              </w:rPr>
            </w:pPr>
            <w:r w:rsidRPr="00C07E5C">
              <w:rPr>
                <w:rFonts w:ascii="Arial" w:hAnsi="Arial" w:cs="Arial"/>
                <w:sz w:val="20"/>
                <w:szCs w:val="20"/>
              </w:rPr>
              <w:t>16.86</w:t>
            </w:r>
          </w:p>
        </w:tc>
        <w:tc>
          <w:tcPr>
            <w:tcW w:w="851" w:type="dxa"/>
          </w:tcPr>
          <w:p w14:paraId="75D1828D" w14:textId="77777777" w:rsidR="00B642EC" w:rsidRPr="00C07E5C" w:rsidRDefault="00B642EC" w:rsidP="00612E2F">
            <w:pPr>
              <w:rPr>
                <w:rFonts w:ascii="Arial" w:hAnsi="Arial" w:cs="Arial"/>
                <w:sz w:val="20"/>
                <w:szCs w:val="20"/>
              </w:rPr>
            </w:pPr>
            <w:r w:rsidRPr="00C07E5C">
              <w:rPr>
                <w:rFonts w:ascii="Arial" w:hAnsi="Arial" w:cs="Arial"/>
                <w:sz w:val="20"/>
                <w:szCs w:val="20"/>
              </w:rPr>
              <w:t>19.23</w:t>
            </w:r>
          </w:p>
        </w:tc>
        <w:tc>
          <w:tcPr>
            <w:tcW w:w="850" w:type="dxa"/>
          </w:tcPr>
          <w:p w14:paraId="018A4C12" w14:textId="77777777" w:rsidR="00B642EC" w:rsidRPr="00C07E5C" w:rsidRDefault="00B642EC" w:rsidP="00612E2F">
            <w:pPr>
              <w:rPr>
                <w:rFonts w:ascii="Arial" w:hAnsi="Arial" w:cs="Arial"/>
                <w:sz w:val="20"/>
                <w:szCs w:val="20"/>
              </w:rPr>
            </w:pPr>
            <w:r>
              <w:rPr>
                <w:rFonts w:ascii="Arial" w:hAnsi="Arial" w:cs="Arial"/>
                <w:sz w:val="20"/>
                <w:szCs w:val="20"/>
              </w:rPr>
              <w:t>–</w:t>
            </w:r>
          </w:p>
        </w:tc>
        <w:tc>
          <w:tcPr>
            <w:tcW w:w="993" w:type="dxa"/>
          </w:tcPr>
          <w:p w14:paraId="3194F0EF" w14:textId="77777777" w:rsidR="00B642EC" w:rsidRPr="00C07E5C" w:rsidRDefault="00B642EC" w:rsidP="00612E2F">
            <w:pPr>
              <w:rPr>
                <w:rFonts w:ascii="Arial" w:hAnsi="Arial" w:cs="Arial"/>
                <w:sz w:val="20"/>
                <w:szCs w:val="20"/>
              </w:rPr>
            </w:pPr>
            <w:r>
              <w:rPr>
                <w:rFonts w:ascii="Arial" w:hAnsi="Arial" w:cs="Arial"/>
                <w:sz w:val="20"/>
                <w:szCs w:val="20"/>
              </w:rPr>
              <w:t>–</w:t>
            </w:r>
          </w:p>
        </w:tc>
        <w:tc>
          <w:tcPr>
            <w:tcW w:w="239" w:type="dxa"/>
          </w:tcPr>
          <w:p w14:paraId="39EBC29D" w14:textId="77777777" w:rsidR="00B642EC" w:rsidRPr="00F35246" w:rsidRDefault="00B642EC" w:rsidP="00612E2F">
            <w:pPr>
              <w:rPr>
                <w:rFonts w:ascii="Arial" w:hAnsi="Arial" w:cs="Arial"/>
                <w:sz w:val="20"/>
                <w:szCs w:val="20"/>
              </w:rPr>
            </w:pPr>
          </w:p>
        </w:tc>
        <w:tc>
          <w:tcPr>
            <w:tcW w:w="1178" w:type="dxa"/>
          </w:tcPr>
          <w:p w14:paraId="2495D272" w14:textId="77777777" w:rsidR="00B642EC" w:rsidRPr="00F35246" w:rsidRDefault="00B642EC" w:rsidP="00612E2F">
            <w:pPr>
              <w:rPr>
                <w:rFonts w:ascii="Arial" w:hAnsi="Arial" w:cs="Arial"/>
                <w:sz w:val="20"/>
                <w:szCs w:val="20"/>
              </w:rPr>
            </w:pPr>
            <w:r>
              <w:rPr>
                <w:rFonts w:ascii="Arial" w:hAnsi="Arial" w:cs="Arial"/>
                <w:sz w:val="20"/>
                <w:szCs w:val="20"/>
              </w:rPr>
              <w:t>18.46</w:t>
            </w:r>
          </w:p>
        </w:tc>
        <w:tc>
          <w:tcPr>
            <w:tcW w:w="851" w:type="dxa"/>
          </w:tcPr>
          <w:p w14:paraId="22B733A3" w14:textId="77777777" w:rsidR="00B642EC" w:rsidRPr="00F35246" w:rsidRDefault="00B642EC" w:rsidP="00612E2F">
            <w:pPr>
              <w:rPr>
                <w:rFonts w:ascii="Arial" w:hAnsi="Arial" w:cs="Arial"/>
                <w:sz w:val="20"/>
                <w:szCs w:val="20"/>
              </w:rPr>
            </w:pPr>
            <w:r>
              <w:rPr>
                <w:rFonts w:ascii="Arial" w:hAnsi="Arial" w:cs="Arial"/>
                <w:sz w:val="20"/>
                <w:szCs w:val="20"/>
              </w:rPr>
              <w:t>16.95</w:t>
            </w:r>
          </w:p>
        </w:tc>
        <w:tc>
          <w:tcPr>
            <w:tcW w:w="850" w:type="dxa"/>
          </w:tcPr>
          <w:p w14:paraId="6944ADFB" w14:textId="77777777" w:rsidR="00B642EC" w:rsidRPr="00F35246" w:rsidRDefault="00B642EC" w:rsidP="00612E2F">
            <w:pPr>
              <w:rPr>
                <w:rFonts w:ascii="Arial" w:hAnsi="Arial" w:cs="Arial"/>
                <w:sz w:val="20"/>
                <w:szCs w:val="20"/>
              </w:rPr>
            </w:pPr>
            <w:r>
              <w:rPr>
                <w:rFonts w:ascii="Arial" w:hAnsi="Arial" w:cs="Arial"/>
                <w:sz w:val="20"/>
                <w:szCs w:val="20"/>
              </w:rPr>
              <w:t>19.96</w:t>
            </w:r>
          </w:p>
        </w:tc>
        <w:tc>
          <w:tcPr>
            <w:tcW w:w="851" w:type="dxa"/>
          </w:tcPr>
          <w:p w14:paraId="0AD3781D"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6DB3A2A9"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1F741B18" w14:textId="77777777" w:rsidR="00B642EC" w:rsidRPr="00F35246" w:rsidRDefault="00D52BD0" w:rsidP="00612E2F">
            <w:pPr>
              <w:rPr>
                <w:rFonts w:ascii="Arial" w:hAnsi="Arial" w:cs="Arial"/>
                <w:sz w:val="20"/>
                <w:szCs w:val="20"/>
              </w:rPr>
            </w:pPr>
            <w:r>
              <w:rPr>
                <w:rFonts w:ascii="Arial" w:hAnsi="Arial" w:cs="Arial"/>
                <w:sz w:val="20"/>
                <w:szCs w:val="20"/>
              </w:rPr>
              <w:t>0.13</w:t>
            </w:r>
          </w:p>
        </w:tc>
        <w:tc>
          <w:tcPr>
            <w:tcW w:w="709" w:type="dxa"/>
          </w:tcPr>
          <w:p w14:paraId="44401833" w14:textId="77777777" w:rsidR="00B642EC" w:rsidRPr="00F35246" w:rsidRDefault="00D52BD0" w:rsidP="00612E2F">
            <w:pPr>
              <w:rPr>
                <w:rFonts w:ascii="Arial" w:hAnsi="Arial" w:cs="Arial"/>
                <w:sz w:val="20"/>
                <w:szCs w:val="20"/>
              </w:rPr>
            </w:pPr>
            <w:r>
              <w:rPr>
                <w:rFonts w:ascii="Arial" w:hAnsi="Arial" w:cs="Arial"/>
                <w:sz w:val="20"/>
                <w:szCs w:val="20"/>
              </w:rPr>
              <w:t>1.44</w:t>
            </w:r>
          </w:p>
        </w:tc>
        <w:tc>
          <w:tcPr>
            <w:tcW w:w="2094" w:type="dxa"/>
          </w:tcPr>
          <w:p w14:paraId="69ED2402" w14:textId="77777777" w:rsidR="00B642EC" w:rsidRPr="009A3FCB" w:rsidRDefault="00D52BD0" w:rsidP="00612E2F">
            <w:pPr>
              <w:rPr>
                <w:rFonts w:ascii="Arial" w:hAnsi="Arial" w:cs="Arial"/>
                <w:sz w:val="20"/>
                <w:szCs w:val="20"/>
              </w:rPr>
            </w:pPr>
            <w:r>
              <w:rPr>
                <w:rFonts w:ascii="Arial" w:hAnsi="Arial" w:cs="Arial"/>
                <w:sz w:val="20"/>
                <w:szCs w:val="20"/>
              </w:rPr>
              <w:t>0.150</w:t>
            </w:r>
          </w:p>
        </w:tc>
      </w:tr>
      <w:tr w:rsidR="00B642EC" w:rsidRPr="00F35246" w14:paraId="7D6D2CDB" w14:textId="77777777" w:rsidTr="00B642EC">
        <w:tc>
          <w:tcPr>
            <w:tcW w:w="2835" w:type="dxa"/>
          </w:tcPr>
          <w:p w14:paraId="7EF64B76" w14:textId="77777777" w:rsidR="00B642EC" w:rsidRPr="00C07E5C" w:rsidRDefault="00B642EC" w:rsidP="00612E2F">
            <w:pPr>
              <w:rPr>
                <w:rFonts w:ascii="Arial" w:hAnsi="Arial" w:cs="Arial"/>
                <w:sz w:val="20"/>
                <w:szCs w:val="20"/>
              </w:rPr>
            </w:pPr>
            <w:r w:rsidRPr="00C07E5C">
              <w:rPr>
                <w:rFonts w:ascii="Arial" w:hAnsi="Arial" w:cs="Arial"/>
                <w:sz w:val="20"/>
                <w:szCs w:val="20"/>
              </w:rPr>
              <w:t xml:space="preserve">    Nursing</w:t>
            </w:r>
          </w:p>
        </w:tc>
        <w:tc>
          <w:tcPr>
            <w:tcW w:w="851" w:type="dxa"/>
            <w:shd w:val="clear" w:color="auto" w:fill="auto"/>
          </w:tcPr>
          <w:p w14:paraId="49B9F9C2" w14:textId="77777777" w:rsidR="00B642EC" w:rsidRPr="00C07E5C" w:rsidRDefault="00B642EC" w:rsidP="00612E2F">
            <w:pPr>
              <w:rPr>
                <w:rFonts w:ascii="Arial" w:hAnsi="Arial" w:cs="Arial"/>
                <w:sz w:val="20"/>
                <w:szCs w:val="20"/>
              </w:rPr>
            </w:pPr>
            <w:r w:rsidRPr="00C07E5C">
              <w:rPr>
                <w:rFonts w:ascii="Arial" w:hAnsi="Arial" w:cs="Arial"/>
                <w:sz w:val="20"/>
                <w:szCs w:val="20"/>
              </w:rPr>
              <w:t>19.76</w:t>
            </w:r>
          </w:p>
        </w:tc>
        <w:tc>
          <w:tcPr>
            <w:tcW w:w="850" w:type="dxa"/>
          </w:tcPr>
          <w:p w14:paraId="7EAF661C" w14:textId="77777777" w:rsidR="00B642EC" w:rsidRPr="00C07E5C" w:rsidRDefault="00B642EC" w:rsidP="00612E2F">
            <w:pPr>
              <w:rPr>
                <w:rFonts w:ascii="Arial" w:hAnsi="Arial" w:cs="Arial"/>
                <w:sz w:val="20"/>
                <w:szCs w:val="20"/>
              </w:rPr>
            </w:pPr>
            <w:r w:rsidRPr="00C07E5C">
              <w:rPr>
                <w:rFonts w:ascii="Arial" w:hAnsi="Arial" w:cs="Arial"/>
                <w:sz w:val="20"/>
                <w:szCs w:val="20"/>
              </w:rPr>
              <w:t>10.99</w:t>
            </w:r>
          </w:p>
        </w:tc>
        <w:tc>
          <w:tcPr>
            <w:tcW w:w="851" w:type="dxa"/>
          </w:tcPr>
          <w:p w14:paraId="29ED29D3" w14:textId="77777777" w:rsidR="00B642EC" w:rsidRPr="00C07E5C" w:rsidRDefault="00B642EC" w:rsidP="00612E2F">
            <w:pPr>
              <w:rPr>
                <w:rFonts w:ascii="Arial" w:hAnsi="Arial" w:cs="Arial"/>
                <w:sz w:val="20"/>
                <w:szCs w:val="20"/>
              </w:rPr>
            </w:pPr>
            <w:r w:rsidRPr="00C07E5C">
              <w:rPr>
                <w:rFonts w:ascii="Arial" w:hAnsi="Arial" w:cs="Arial"/>
                <w:sz w:val="20"/>
                <w:szCs w:val="20"/>
              </w:rPr>
              <w:t>28.54</w:t>
            </w:r>
          </w:p>
        </w:tc>
        <w:tc>
          <w:tcPr>
            <w:tcW w:w="850" w:type="dxa"/>
          </w:tcPr>
          <w:p w14:paraId="0A6A3BA1" w14:textId="77777777" w:rsidR="00B642EC" w:rsidRPr="00C07E5C" w:rsidRDefault="00B642EC" w:rsidP="00612E2F">
            <w:pPr>
              <w:rPr>
                <w:rFonts w:ascii="Arial" w:hAnsi="Arial" w:cs="Arial"/>
                <w:sz w:val="20"/>
                <w:szCs w:val="20"/>
              </w:rPr>
            </w:pPr>
            <w:r>
              <w:rPr>
                <w:rFonts w:ascii="Arial" w:hAnsi="Arial" w:cs="Arial"/>
                <w:sz w:val="20"/>
                <w:szCs w:val="20"/>
              </w:rPr>
              <w:t>–</w:t>
            </w:r>
          </w:p>
        </w:tc>
        <w:tc>
          <w:tcPr>
            <w:tcW w:w="993" w:type="dxa"/>
          </w:tcPr>
          <w:p w14:paraId="287E36E7" w14:textId="77777777" w:rsidR="00B642EC" w:rsidRPr="00C07E5C" w:rsidRDefault="00B642EC" w:rsidP="00612E2F">
            <w:pPr>
              <w:rPr>
                <w:rFonts w:ascii="Arial" w:hAnsi="Arial" w:cs="Arial"/>
                <w:sz w:val="20"/>
                <w:szCs w:val="20"/>
              </w:rPr>
            </w:pPr>
            <w:r>
              <w:rPr>
                <w:rFonts w:ascii="Arial" w:hAnsi="Arial" w:cs="Arial"/>
                <w:sz w:val="20"/>
                <w:szCs w:val="20"/>
              </w:rPr>
              <w:t>–</w:t>
            </w:r>
          </w:p>
        </w:tc>
        <w:tc>
          <w:tcPr>
            <w:tcW w:w="239" w:type="dxa"/>
          </w:tcPr>
          <w:p w14:paraId="0D0D043A" w14:textId="77777777" w:rsidR="00B642EC" w:rsidRPr="00F35246" w:rsidRDefault="00B642EC" w:rsidP="00612E2F">
            <w:pPr>
              <w:rPr>
                <w:rFonts w:ascii="Arial" w:hAnsi="Arial" w:cs="Arial"/>
                <w:sz w:val="20"/>
                <w:szCs w:val="20"/>
              </w:rPr>
            </w:pPr>
          </w:p>
        </w:tc>
        <w:tc>
          <w:tcPr>
            <w:tcW w:w="1178" w:type="dxa"/>
          </w:tcPr>
          <w:p w14:paraId="4767E369" w14:textId="77777777" w:rsidR="00B642EC" w:rsidRPr="00F35246" w:rsidRDefault="00B642EC" w:rsidP="00612E2F">
            <w:pPr>
              <w:rPr>
                <w:rFonts w:ascii="Arial" w:hAnsi="Arial" w:cs="Arial"/>
                <w:sz w:val="20"/>
                <w:szCs w:val="20"/>
              </w:rPr>
            </w:pPr>
            <w:r>
              <w:rPr>
                <w:rFonts w:ascii="Arial" w:hAnsi="Arial" w:cs="Arial"/>
                <w:sz w:val="20"/>
                <w:szCs w:val="20"/>
              </w:rPr>
              <w:t>20.62</w:t>
            </w:r>
          </w:p>
        </w:tc>
        <w:tc>
          <w:tcPr>
            <w:tcW w:w="851" w:type="dxa"/>
          </w:tcPr>
          <w:p w14:paraId="778C11C7" w14:textId="77777777" w:rsidR="00B642EC" w:rsidRPr="00F35246" w:rsidRDefault="00B642EC" w:rsidP="00612E2F">
            <w:pPr>
              <w:rPr>
                <w:rFonts w:ascii="Arial" w:hAnsi="Arial" w:cs="Arial"/>
                <w:sz w:val="20"/>
                <w:szCs w:val="20"/>
              </w:rPr>
            </w:pPr>
            <w:r>
              <w:rPr>
                <w:rFonts w:ascii="Arial" w:hAnsi="Arial" w:cs="Arial"/>
                <w:sz w:val="20"/>
                <w:szCs w:val="20"/>
              </w:rPr>
              <w:t>14.13</w:t>
            </w:r>
          </w:p>
        </w:tc>
        <w:tc>
          <w:tcPr>
            <w:tcW w:w="850" w:type="dxa"/>
          </w:tcPr>
          <w:p w14:paraId="5392E8F1" w14:textId="77777777" w:rsidR="00B642EC" w:rsidRPr="00F35246" w:rsidRDefault="00B642EC" w:rsidP="00612E2F">
            <w:pPr>
              <w:rPr>
                <w:rFonts w:ascii="Arial" w:hAnsi="Arial" w:cs="Arial"/>
                <w:sz w:val="20"/>
                <w:szCs w:val="20"/>
              </w:rPr>
            </w:pPr>
            <w:r>
              <w:rPr>
                <w:rFonts w:ascii="Arial" w:hAnsi="Arial" w:cs="Arial"/>
                <w:sz w:val="20"/>
                <w:szCs w:val="20"/>
              </w:rPr>
              <w:t>27.10</w:t>
            </w:r>
          </w:p>
        </w:tc>
        <w:tc>
          <w:tcPr>
            <w:tcW w:w="851" w:type="dxa"/>
          </w:tcPr>
          <w:p w14:paraId="45FF43E3"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6CDC293D"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5526F7D4" w14:textId="77777777" w:rsidR="00B642EC" w:rsidRPr="00F35246" w:rsidRDefault="00D52BD0" w:rsidP="00612E2F">
            <w:pPr>
              <w:rPr>
                <w:rFonts w:ascii="Arial" w:hAnsi="Arial" w:cs="Arial"/>
                <w:sz w:val="20"/>
                <w:szCs w:val="20"/>
              </w:rPr>
            </w:pPr>
            <w:r>
              <w:rPr>
                <w:rFonts w:ascii="Arial" w:hAnsi="Arial" w:cs="Arial"/>
                <w:sz w:val="20"/>
                <w:szCs w:val="20"/>
              </w:rPr>
              <w:t>0.10</w:t>
            </w:r>
          </w:p>
        </w:tc>
        <w:tc>
          <w:tcPr>
            <w:tcW w:w="709" w:type="dxa"/>
          </w:tcPr>
          <w:p w14:paraId="52FE64CB" w14:textId="77777777" w:rsidR="00B642EC" w:rsidRPr="00F35246" w:rsidRDefault="00D52BD0" w:rsidP="00612E2F">
            <w:pPr>
              <w:rPr>
                <w:rFonts w:ascii="Arial" w:hAnsi="Arial" w:cs="Arial"/>
                <w:sz w:val="20"/>
                <w:szCs w:val="20"/>
              </w:rPr>
            </w:pPr>
            <w:r>
              <w:rPr>
                <w:rFonts w:ascii="Arial" w:hAnsi="Arial" w:cs="Arial"/>
                <w:sz w:val="20"/>
                <w:szCs w:val="20"/>
              </w:rPr>
              <w:t>1.44</w:t>
            </w:r>
          </w:p>
        </w:tc>
        <w:tc>
          <w:tcPr>
            <w:tcW w:w="2094" w:type="dxa"/>
          </w:tcPr>
          <w:p w14:paraId="046DA55A" w14:textId="77777777" w:rsidR="00B642EC" w:rsidRPr="009A3FCB" w:rsidRDefault="00D52BD0" w:rsidP="00612E2F">
            <w:pPr>
              <w:rPr>
                <w:rFonts w:ascii="Arial" w:hAnsi="Arial" w:cs="Arial"/>
                <w:sz w:val="20"/>
                <w:szCs w:val="20"/>
              </w:rPr>
            </w:pPr>
            <w:r>
              <w:rPr>
                <w:rFonts w:ascii="Arial" w:hAnsi="Arial" w:cs="Arial"/>
                <w:sz w:val="20"/>
                <w:szCs w:val="20"/>
              </w:rPr>
              <w:t>0.152</w:t>
            </w:r>
          </w:p>
        </w:tc>
      </w:tr>
      <w:tr w:rsidR="00B642EC" w:rsidRPr="00F35246" w14:paraId="2773862F" w14:textId="77777777" w:rsidTr="00B642EC">
        <w:tc>
          <w:tcPr>
            <w:tcW w:w="2835" w:type="dxa"/>
          </w:tcPr>
          <w:p w14:paraId="605ED27B" w14:textId="77777777" w:rsidR="00B642EC" w:rsidRPr="00C07E5C" w:rsidRDefault="00B642EC" w:rsidP="00612E2F">
            <w:pPr>
              <w:rPr>
                <w:rFonts w:ascii="Arial" w:hAnsi="Arial" w:cs="Arial"/>
                <w:sz w:val="20"/>
                <w:szCs w:val="20"/>
              </w:rPr>
            </w:pPr>
            <w:r w:rsidRPr="00C07E5C">
              <w:rPr>
                <w:rFonts w:ascii="Arial" w:hAnsi="Arial" w:cs="Arial"/>
                <w:sz w:val="20"/>
                <w:szCs w:val="20"/>
              </w:rPr>
              <w:t xml:space="preserve">    Education</w:t>
            </w:r>
          </w:p>
        </w:tc>
        <w:tc>
          <w:tcPr>
            <w:tcW w:w="851" w:type="dxa"/>
            <w:shd w:val="clear" w:color="auto" w:fill="auto"/>
          </w:tcPr>
          <w:p w14:paraId="30BD9B84" w14:textId="77777777" w:rsidR="00B642EC" w:rsidRPr="00C07E5C" w:rsidRDefault="00B642EC" w:rsidP="00612E2F">
            <w:pPr>
              <w:rPr>
                <w:rFonts w:ascii="Arial" w:hAnsi="Arial" w:cs="Arial"/>
                <w:sz w:val="20"/>
                <w:szCs w:val="20"/>
              </w:rPr>
            </w:pPr>
            <w:r w:rsidRPr="00C07E5C">
              <w:rPr>
                <w:rFonts w:ascii="Arial" w:hAnsi="Arial" w:cs="Arial"/>
                <w:sz w:val="20"/>
                <w:szCs w:val="20"/>
              </w:rPr>
              <w:t>17.48</w:t>
            </w:r>
          </w:p>
        </w:tc>
        <w:tc>
          <w:tcPr>
            <w:tcW w:w="850" w:type="dxa"/>
          </w:tcPr>
          <w:p w14:paraId="7503E0D4" w14:textId="77777777" w:rsidR="00B642EC" w:rsidRPr="00C07E5C" w:rsidRDefault="00B642EC" w:rsidP="00612E2F">
            <w:pPr>
              <w:rPr>
                <w:rFonts w:ascii="Arial" w:hAnsi="Arial" w:cs="Arial"/>
                <w:sz w:val="20"/>
                <w:szCs w:val="20"/>
              </w:rPr>
            </w:pPr>
            <w:r w:rsidRPr="00C07E5C">
              <w:rPr>
                <w:rFonts w:ascii="Arial" w:hAnsi="Arial" w:cs="Arial"/>
                <w:sz w:val="20"/>
                <w:szCs w:val="20"/>
              </w:rPr>
              <w:t>11.77</w:t>
            </w:r>
          </w:p>
        </w:tc>
        <w:tc>
          <w:tcPr>
            <w:tcW w:w="851" w:type="dxa"/>
          </w:tcPr>
          <w:p w14:paraId="30D528F7" w14:textId="77777777" w:rsidR="00B642EC" w:rsidRPr="00C07E5C" w:rsidRDefault="00B642EC" w:rsidP="00612E2F">
            <w:pPr>
              <w:rPr>
                <w:rFonts w:ascii="Arial" w:hAnsi="Arial" w:cs="Arial"/>
                <w:sz w:val="20"/>
                <w:szCs w:val="20"/>
              </w:rPr>
            </w:pPr>
            <w:r w:rsidRPr="00C07E5C">
              <w:rPr>
                <w:rFonts w:ascii="Arial" w:hAnsi="Arial" w:cs="Arial"/>
                <w:sz w:val="20"/>
                <w:szCs w:val="20"/>
              </w:rPr>
              <w:t>23.20</w:t>
            </w:r>
          </w:p>
        </w:tc>
        <w:tc>
          <w:tcPr>
            <w:tcW w:w="850" w:type="dxa"/>
          </w:tcPr>
          <w:p w14:paraId="7C91609F" w14:textId="77777777" w:rsidR="00B642EC" w:rsidRPr="00C07E5C" w:rsidRDefault="00B642EC" w:rsidP="00612E2F">
            <w:pPr>
              <w:rPr>
                <w:rFonts w:ascii="Arial" w:hAnsi="Arial" w:cs="Arial"/>
                <w:sz w:val="20"/>
                <w:szCs w:val="20"/>
              </w:rPr>
            </w:pPr>
            <w:r>
              <w:rPr>
                <w:rFonts w:ascii="Arial" w:hAnsi="Arial" w:cs="Arial"/>
                <w:sz w:val="20"/>
                <w:szCs w:val="20"/>
              </w:rPr>
              <w:t>–</w:t>
            </w:r>
          </w:p>
        </w:tc>
        <w:tc>
          <w:tcPr>
            <w:tcW w:w="993" w:type="dxa"/>
          </w:tcPr>
          <w:p w14:paraId="7034AC3E" w14:textId="77777777" w:rsidR="00B642EC" w:rsidRPr="00C07E5C" w:rsidRDefault="00B642EC" w:rsidP="00612E2F">
            <w:pPr>
              <w:rPr>
                <w:rFonts w:ascii="Arial" w:hAnsi="Arial" w:cs="Arial"/>
                <w:sz w:val="20"/>
                <w:szCs w:val="20"/>
              </w:rPr>
            </w:pPr>
            <w:r>
              <w:rPr>
                <w:rFonts w:ascii="Arial" w:hAnsi="Arial" w:cs="Arial"/>
                <w:sz w:val="20"/>
                <w:szCs w:val="20"/>
              </w:rPr>
              <w:t>–</w:t>
            </w:r>
          </w:p>
        </w:tc>
        <w:tc>
          <w:tcPr>
            <w:tcW w:w="239" w:type="dxa"/>
          </w:tcPr>
          <w:p w14:paraId="2FC0C9B9" w14:textId="77777777" w:rsidR="00B642EC" w:rsidRPr="00F35246" w:rsidRDefault="00B642EC" w:rsidP="00612E2F">
            <w:pPr>
              <w:rPr>
                <w:rFonts w:ascii="Arial" w:hAnsi="Arial" w:cs="Arial"/>
                <w:sz w:val="20"/>
                <w:szCs w:val="20"/>
              </w:rPr>
            </w:pPr>
          </w:p>
        </w:tc>
        <w:tc>
          <w:tcPr>
            <w:tcW w:w="1178" w:type="dxa"/>
          </w:tcPr>
          <w:p w14:paraId="12079A26" w14:textId="77777777" w:rsidR="00B642EC" w:rsidRPr="00F35246" w:rsidRDefault="00B642EC" w:rsidP="00612E2F">
            <w:pPr>
              <w:rPr>
                <w:rFonts w:ascii="Arial" w:hAnsi="Arial" w:cs="Arial"/>
                <w:sz w:val="20"/>
                <w:szCs w:val="20"/>
              </w:rPr>
            </w:pPr>
            <w:r>
              <w:rPr>
                <w:rFonts w:ascii="Arial" w:hAnsi="Arial" w:cs="Arial"/>
                <w:sz w:val="20"/>
                <w:szCs w:val="20"/>
              </w:rPr>
              <w:t>16.74</w:t>
            </w:r>
          </w:p>
        </w:tc>
        <w:tc>
          <w:tcPr>
            <w:tcW w:w="851" w:type="dxa"/>
          </w:tcPr>
          <w:p w14:paraId="48B15269" w14:textId="77777777" w:rsidR="00B642EC" w:rsidRPr="00F35246" w:rsidRDefault="00B642EC" w:rsidP="00612E2F">
            <w:pPr>
              <w:rPr>
                <w:rFonts w:ascii="Arial" w:hAnsi="Arial" w:cs="Arial"/>
                <w:sz w:val="20"/>
                <w:szCs w:val="20"/>
              </w:rPr>
            </w:pPr>
            <w:r>
              <w:rPr>
                <w:rFonts w:ascii="Arial" w:hAnsi="Arial" w:cs="Arial"/>
                <w:sz w:val="20"/>
                <w:szCs w:val="20"/>
              </w:rPr>
              <w:t>12.10</w:t>
            </w:r>
          </w:p>
        </w:tc>
        <w:tc>
          <w:tcPr>
            <w:tcW w:w="850" w:type="dxa"/>
          </w:tcPr>
          <w:p w14:paraId="55B35F3C" w14:textId="77777777" w:rsidR="00B642EC" w:rsidRPr="00F35246" w:rsidRDefault="00B642EC" w:rsidP="00612E2F">
            <w:pPr>
              <w:rPr>
                <w:rFonts w:ascii="Arial" w:hAnsi="Arial" w:cs="Arial"/>
                <w:sz w:val="20"/>
                <w:szCs w:val="20"/>
              </w:rPr>
            </w:pPr>
            <w:r>
              <w:rPr>
                <w:rFonts w:ascii="Arial" w:hAnsi="Arial" w:cs="Arial"/>
                <w:sz w:val="20"/>
                <w:szCs w:val="20"/>
              </w:rPr>
              <w:t>21.38</w:t>
            </w:r>
          </w:p>
        </w:tc>
        <w:tc>
          <w:tcPr>
            <w:tcW w:w="851" w:type="dxa"/>
          </w:tcPr>
          <w:p w14:paraId="5D595983" w14:textId="77777777" w:rsidR="00B642EC" w:rsidRPr="00F35246" w:rsidRDefault="00B642EC" w:rsidP="00612E2F">
            <w:pPr>
              <w:rPr>
                <w:rFonts w:ascii="Arial" w:hAnsi="Arial" w:cs="Arial"/>
                <w:sz w:val="20"/>
                <w:szCs w:val="20"/>
              </w:rPr>
            </w:pPr>
            <w:r>
              <w:rPr>
                <w:rFonts w:ascii="Arial" w:hAnsi="Arial" w:cs="Arial"/>
                <w:sz w:val="20"/>
                <w:szCs w:val="20"/>
              </w:rPr>
              <w:t>–</w:t>
            </w:r>
          </w:p>
        </w:tc>
        <w:tc>
          <w:tcPr>
            <w:tcW w:w="850" w:type="dxa"/>
          </w:tcPr>
          <w:p w14:paraId="47CBD2D4" w14:textId="77777777" w:rsidR="00B642EC" w:rsidRDefault="00B642EC" w:rsidP="00612E2F">
            <w:pPr>
              <w:rPr>
                <w:rFonts w:ascii="Arial" w:hAnsi="Arial" w:cs="Arial"/>
                <w:sz w:val="20"/>
                <w:szCs w:val="20"/>
              </w:rPr>
            </w:pPr>
            <w:r>
              <w:rPr>
                <w:rFonts w:ascii="Arial" w:hAnsi="Arial" w:cs="Arial"/>
                <w:sz w:val="20"/>
                <w:szCs w:val="20"/>
              </w:rPr>
              <w:t>–</w:t>
            </w:r>
          </w:p>
        </w:tc>
        <w:tc>
          <w:tcPr>
            <w:tcW w:w="992" w:type="dxa"/>
          </w:tcPr>
          <w:p w14:paraId="7163D97E" w14:textId="77777777" w:rsidR="00B642EC" w:rsidRPr="00F35246" w:rsidRDefault="00D52BD0" w:rsidP="00612E2F">
            <w:pPr>
              <w:rPr>
                <w:rFonts w:ascii="Arial" w:hAnsi="Arial" w:cs="Arial"/>
                <w:sz w:val="20"/>
                <w:szCs w:val="20"/>
              </w:rPr>
            </w:pPr>
            <w:r>
              <w:rPr>
                <w:rFonts w:ascii="Arial" w:hAnsi="Arial" w:cs="Arial"/>
                <w:sz w:val="20"/>
                <w:szCs w:val="20"/>
              </w:rPr>
              <w:t>0.05</w:t>
            </w:r>
          </w:p>
        </w:tc>
        <w:tc>
          <w:tcPr>
            <w:tcW w:w="709" w:type="dxa"/>
          </w:tcPr>
          <w:p w14:paraId="1E9BA5BF" w14:textId="77777777" w:rsidR="00B642EC" w:rsidRPr="00F35246" w:rsidRDefault="00D52BD0" w:rsidP="00612E2F">
            <w:pPr>
              <w:rPr>
                <w:rFonts w:ascii="Arial" w:hAnsi="Arial" w:cs="Arial"/>
                <w:sz w:val="20"/>
                <w:szCs w:val="20"/>
              </w:rPr>
            </w:pPr>
            <w:r>
              <w:rPr>
                <w:rFonts w:ascii="Arial" w:hAnsi="Arial" w:cs="Arial"/>
                <w:sz w:val="20"/>
                <w:szCs w:val="20"/>
              </w:rPr>
              <w:t>0.64</w:t>
            </w:r>
          </w:p>
        </w:tc>
        <w:tc>
          <w:tcPr>
            <w:tcW w:w="2094" w:type="dxa"/>
          </w:tcPr>
          <w:p w14:paraId="54324450" w14:textId="77777777" w:rsidR="00B642EC" w:rsidRPr="009A3FCB" w:rsidRDefault="00D52BD0" w:rsidP="00612E2F">
            <w:pPr>
              <w:rPr>
                <w:rFonts w:ascii="Arial" w:hAnsi="Arial" w:cs="Arial"/>
                <w:sz w:val="20"/>
                <w:szCs w:val="20"/>
              </w:rPr>
            </w:pPr>
            <w:r>
              <w:rPr>
                <w:rFonts w:ascii="Arial" w:hAnsi="Arial" w:cs="Arial"/>
                <w:sz w:val="20"/>
                <w:szCs w:val="20"/>
              </w:rPr>
              <w:t>0.521</w:t>
            </w:r>
          </w:p>
        </w:tc>
      </w:tr>
      <w:tr w:rsidR="00D52BD0" w:rsidRPr="00F35246" w14:paraId="428F2124" w14:textId="77777777" w:rsidTr="00B642EC">
        <w:tc>
          <w:tcPr>
            <w:tcW w:w="2835" w:type="dxa"/>
          </w:tcPr>
          <w:p w14:paraId="15EF79BD" w14:textId="77777777" w:rsidR="00D52BD0" w:rsidRPr="00C07E5C" w:rsidRDefault="00D52BD0" w:rsidP="00612E2F">
            <w:pPr>
              <w:rPr>
                <w:rFonts w:ascii="Arial" w:hAnsi="Arial" w:cs="Arial"/>
                <w:sz w:val="20"/>
                <w:szCs w:val="20"/>
              </w:rPr>
            </w:pPr>
            <w:r w:rsidRPr="00C07E5C">
              <w:rPr>
                <w:rFonts w:ascii="Arial" w:hAnsi="Arial" w:cs="Arial"/>
                <w:sz w:val="20"/>
                <w:szCs w:val="20"/>
              </w:rPr>
              <w:t xml:space="preserve">    Social Worker</w:t>
            </w:r>
          </w:p>
        </w:tc>
        <w:tc>
          <w:tcPr>
            <w:tcW w:w="851" w:type="dxa"/>
            <w:shd w:val="clear" w:color="auto" w:fill="auto"/>
          </w:tcPr>
          <w:p w14:paraId="1F1E1823" w14:textId="77777777" w:rsidR="00D52BD0" w:rsidRPr="00C07E5C" w:rsidRDefault="00D52BD0" w:rsidP="00612E2F">
            <w:pPr>
              <w:rPr>
                <w:rFonts w:ascii="Arial" w:hAnsi="Arial" w:cs="Arial"/>
                <w:sz w:val="20"/>
                <w:szCs w:val="20"/>
              </w:rPr>
            </w:pPr>
            <w:r w:rsidRPr="00C07E5C">
              <w:rPr>
                <w:rFonts w:ascii="Arial" w:hAnsi="Arial" w:cs="Arial"/>
                <w:sz w:val="20"/>
                <w:szCs w:val="20"/>
              </w:rPr>
              <w:t>12.91</w:t>
            </w:r>
          </w:p>
        </w:tc>
        <w:tc>
          <w:tcPr>
            <w:tcW w:w="850" w:type="dxa"/>
          </w:tcPr>
          <w:p w14:paraId="6090AD56" w14:textId="77777777" w:rsidR="00D52BD0" w:rsidRPr="00C07E5C" w:rsidRDefault="00D52BD0" w:rsidP="00612E2F">
            <w:pPr>
              <w:rPr>
                <w:rFonts w:ascii="Arial" w:hAnsi="Arial" w:cs="Arial"/>
                <w:sz w:val="20"/>
                <w:szCs w:val="20"/>
              </w:rPr>
            </w:pPr>
            <w:r w:rsidRPr="00C07E5C">
              <w:rPr>
                <w:rFonts w:ascii="Arial" w:hAnsi="Arial" w:cs="Arial"/>
                <w:sz w:val="20"/>
                <w:szCs w:val="20"/>
              </w:rPr>
              <w:t>-0.22</w:t>
            </w:r>
          </w:p>
        </w:tc>
        <w:tc>
          <w:tcPr>
            <w:tcW w:w="851" w:type="dxa"/>
          </w:tcPr>
          <w:p w14:paraId="2956A60B" w14:textId="77777777" w:rsidR="00D52BD0" w:rsidRPr="00C07E5C" w:rsidRDefault="00D52BD0" w:rsidP="00612E2F">
            <w:pPr>
              <w:rPr>
                <w:rFonts w:ascii="Arial" w:hAnsi="Arial" w:cs="Arial"/>
                <w:sz w:val="20"/>
                <w:szCs w:val="20"/>
              </w:rPr>
            </w:pPr>
            <w:r w:rsidRPr="00C07E5C">
              <w:rPr>
                <w:rFonts w:ascii="Arial" w:hAnsi="Arial" w:cs="Arial"/>
                <w:sz w:val="20"/>
                <w:szCs w:val="20"/>
              </w:rPr>
              <w:t>26.05</w:t>
            </w:r>
          </w:p>
        </w:tc>
        <w:tc>
          <w:tcPr>
            <w:tcW w:w="850" w:type="dxa"/>
          </w:tcPr>
          <w:p w14:paraId="7C2CB9C0" w14:textId="77777777" w:rsidR="00D52BD0" w:rsidRPr="00C07E5C" w:rsidRDefault="00D52BD0" w:rsidP="00612E2F">
            <w:pPr>
              <w:rPr>
                <w:rFonts w:ascii="Arial" w:hAnsi="Arial" w:cs="Arial"/>
                <w:sz w:val="20"/>
                <w:szCs w:val="20"/>
              </w:rPr>
            </w:pPr>
            <w:r>
              <w:rPr>
                <w:rFonts w:ascii="Arial" w:hAnsi="Arial" w:cs="Arial"/>
                <w:sz w:val="20"/>
                <w:szCs w:val="20"/>
              </w:rPr>
              <w:t>–</w:t>
            </w:r>
          </w:p>
        </w:tc>
        <w:tc>
          <w:tcPr>
            <w:tcW w:w="993" w:type="dxa"/>
          </w:tcPr>
          <w:p w14:paraId="5ADEFF12" w14:textId="77777777" w:rsidR="00D52BD0" w:rsidRPr="00C07E5C" w:rsidRDefault="00D52BD0" w:rsidP="00612E2F">
            <w:pPr>
              <w:rPr>
                <w:rFonts w:ascii="Arial" w:hAnsi="Arial" w:cs="Arial"/>
                <w:sz w:val="20"/>
                <w:szCs w:val="20"/>
              </w:rPr>
            </w:pPr>
            <w:r>
              <w:rPr>
                <w:rFonts w:ascii="Arial" w:hAnsi="Arial" w:cs="Arial"/>
                <w:sz w:val="20"/>
                <w:szCs w:val="20"/>
              </w:rPr>
              <w:t>–</w:t>
            </w:r>
          </w:p>
        </w:tc>
        <w:tc>
          <w:tcPr>
            <w:tcW w:w="239" w:type="dxa"/>
          </w:tcPr>
          <w:p w14:paraId="37EC4D5A" w14:textId="77777777" w:rsidR="00D52BD0" w:rsidRPr="00F35246" w:rsidRDefault="00D52BD0" w:rsidP="00612E2F">
            <w:pPr>
              <w:rPr>
                <w:rFonts w:ascii="Arial" w:hAnsi="Arial" w:cs="Arial"/>
                <w:sz w:val="20"/>
                <w:szCs w:val="20"/>
              </w:rPr>
            </w:pPr>
          </w:p>
        </w:tc>
        <w:tc>
          <w:tcPr>
            <w:tcW w:w="1178" w:type="dxa"/>
          </w:tcPr>
          <w:p w14:paraId="7F603A2D" w14:textId="77777777" w:rsidR="00D52BD0" w:rsidRPr="00F35246" w:rsidRDefault="00D52BD0" w:rsidP="00612E2F">
            <w:pPr>
              <w:rPr>
                <w:rFonts w:ascii="Arial" w:hAnsi="Arial" w:cs="Arial"/>
                <w:sz w:val="20"/>
                <w:szCs w:val="20"/>
              </w:rPr>
            </w:pPr>
            <w:r>
              <w:rPr>
                <w:rFonts w:ascii="Arial" w:hAnsi="Arial" w:cs="Arial"/>
                <w:sz w:val="20"/>
                <w:szCs w:val="20"/>
              </w:rPr>
              <w:t>12.98</w:t>
            </w:r>
          </w:p>
        </w:tc>
        <w:tc>
          <w:tcPr>
            <w:tcW w:w="851" w:type="dxa"/>
          </w:tcPr>
          <w:p w14:paraId="29A4D14D" w14:textId="77777777" w:rsidR="00D52BD0" w:rsidRPr="00F35246" w:rsidRDefault="00D52BD0" w:rsidP="00612E2F">
            <w:pPr>
              <w:rPr>
                <w:rFonts w:ascii="Arial" w:hAnsi="Arial" w:cs="Arial"/>
                <w:sz w:val="20"/>
                <w:szCs w:val="20"/>
              </w:rPr>
            </w:pPr>
            <w:r>
              <w:rPr>
                <w:rFonts w:ascii="Arial" w:hAnsi="Arial" w:cs="Arial"/>
                <w:sz w:val="20"/>
                <w:szCs w:val="20"/>
              </w:rPr>
              <w:t>4.11</w:t>
            </w:r>
          </w:p>
        </w:tc>
        <w:tc>
          <w:tcPr>
            <w:tcW w:w="850" w:type="dxa"/>
          </w:tcPr>
          <w:p w14:paraId="32FE41AD" w14:textId="77777777" w:rsidR="00D52BD0" w:rsidRPr="00F35246" w:rsidRDefault="00D52BD0" w:rsidP="00612E2F">
            <w:pPr>
              <w:rPr>
                <w:rFonts w:ascii="Arial" w:hAnsi="Arial" w:cs="Arial"/>
                <w:sz w:val="20"/>
                <w:szCs w:val="20"/>
              </w:rPr>
            </w:pPr>
            <w:r>
              <w:rPr>
                <w:rFonts w:ascii="Arial" w:hAnsi="Arial" w:cs="Arial"/>
                <w:sz w:val="20"/>
                <w:szCs w:val="20"/>
              </w:rPr>
              <w:t>21.84</w:t>
            </w:r>
          </w:p>
        </w:tc>
        <w:tc>
          <w:tcPr>
            <w:tcW w:w="851" w:type="dxa"/>
          </w:tcPr>
          <w:p w14:paraId="5F2A675B"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78CC0245"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458006B4" w14:textId="77777777" w:rsidR="00D52BD0" w:rsidRPr="00F35246" w:rsidRDefault="00D52BD0" w:rsidP="00612E2F">
            <w:pPr>
              <w:rPr>
                <w:rFonts w:ascii="Arial" w:hAnsi="Arial" w:cs="Arial"/>
                <w:sz w:val="20"/>
                <w:szCs w:val="20"/>
              </w:rPr>
            </w:pPr>
            <w:r>
              <w:rPr>
                <w:rFonts w:ascii="Arial" w:hAnsi="Arial" w:cs="Arial"/>
                <w:sz w:val="20"/>
                <w:szCs w:val="20"/>
              </w:rPr>
              <w:t>-0.02</w:t>
            </w:r>
          </w:p>
        </w:tc>
        <w:tc>
          <w:tcPr>
            <w:tcW w:w="709" w:type="dxa"/>
          </w:tcPr>
          <w:p w14:paraId="5B8E081F" w14:textId="77777777" w:rsidR="00D52BD0" w:rsidRPr="00F35246" w:rsidRDefault="00D52BD0" w:rsidP="00612E2F">
            <w:pPr>
              <w:rPr>
                <w:rFonts w:ascii="Arial" w:hAnsi="Arial" w:cs="Arial"/>
                <w:sz w:val="20"/>
                <w:szCs w:val="20"/>
              </w:rPr>
            </w:pPr>
            <w:r>
              <w:rPr>
                <w:rFonts w:ascii="Arial" w:hAnsi="Arial" w:cs="Arial"/>
                <w:sz w:val="20"/>
                <w:szCs w:val="20"/>
              </w:rPr>
              <w:t>-0.29</w:t>
            </w:r>
          </w:p>
        </w:tc>
        <w:tc>
          <w:tcPr>
            <w:tcW w:w="2094" w:type="dxa"/>
          </w:tcPr>
          <w:p w14:paraId="72DA7A34" w14:textId="77777777" w:rsidR="00D52BD0" w:rsidRPr="009A3FCB" w:rsidRDefault="00D52BD0" w:rsidP="00612E2F">
            <w:pPr>
              <w:rPr>
                <w:rFonts w:ascii="Arial" w:hAnsi="Arial" w:cs="Arial"/>
                <w:sz w:val="20"/>
                <w:szCs w:val="20"/>
              </w:rPr>
            </w:pPr>
            <w:r>
              <w:rPr>
                <w:rFonts w:ascii="Arial" w:hAnsi="Arial" w:cs="Arial"/>
                <w:sz w:val="20"/>
                <w:szCs w:val="20"/>
              </w:rPr>
              <w:t>0.771</w:t>
            </w:r>
          </w:p>
        </w:tc>
      </w:tr>
      <w:tr w:rsidR="00D52BD0" w:rsidRPr="00F35246" w14:paraId="266C7A22" w14:textId="77777777" w:rsidTr="00B642EC">
        <w:tc>
          <w:tcPr>
            <w:tcW w:w="2835" w:type="dxa"/>
          </w:tcPr>
          <w:p w14:paraId="07F72C7C" w14:textId="77777777" w:rsidR="00D52BD0" w:rsidRPr="00C07E5C" w:rsidRDefault="00D52BD0" w:rsidP="00612E2F">
            <w:pPr>
              <w:rPr>
                <w:rFonts w:ascii="Arial" w:hAnsi="Arial" w:cs="Arial"/>
                <w:sz w:val="20"/>
                <w:szCs w:val="20"/>
              </w:rPr>
            </w:pPr>
            <w:r w:rsidRPr="00C07E5C">
              <w:rPr>
                <w:rFonts w:ascii="Arial" w:hAnsi="Arial" w:cs="Arial"/>
                <w:sz w:val="20"/>
                <w:szCs w:val="20"/>
              </w:rPr>
              <w:t xml:space="preserve">    Allied Health Professional</w:t>
            </w:r>
          </w:p>
        </w:tc>
        <w:tc>
          <w:tcPr>
            <w:tcW w:w="851" w:type="dxa"/>
            <w:shd w:val="clear" w:color="auto" w:fill="auto"/>
          </w:tcPr>
          <w:p w14:paraId="307252AF" w14:textId="77777777" w:rsidR="00D52BD0" w:rsidRPr="00C07E5C" w:rsidRDefault="00D52BD0" w:rsidP="00612E2F">
            <w:pPr>
              <w:rPr>
                <w:rFonts w:ascii="Arial" w:hAnsi="Arial" w:cs="Arial"/>
                <w:sz w:val="20"/>
                <w:szCs w:val="20"/>
              </w:rPr>
            </w:pPr>
            <w:r w:rsidRPr="00C07E5C">
              <w:rPr>
                <w:rFonts w:ascii="Arial" w:hAnsi="Arial" w:cs="Arial"/>
                <w:sz w:val="20"/>
                <w:szCs w:val="20"/>
              </w:rPr>
              <w:t>16.60</w:t>
            </w:r>
          </w:p>
        </w:tc>
        <w:tc>
          <w:tcPr>
            <w:tcW w:w="850" w:type="dxa"/>
          </w:tcPr>
          <w:p w14:paraId="2CDAE1E9" w14:textId="77777777" w:rsidR="00D52BD0" w:rsidRPr="00C07E5C" w:rsidRDefault="00D52BD0" w:rsidP="00612E2F">
            <w:pPr>
              <w:rPr>
                <w:rFonts w:ascii="Arial" w:hAnsi="Arial" w:cs="Arial"/>
                <w:sz w:val="20"/>
                <w:szCs w:val="20"/>
              </w:rPr>
            </w:pPr>
            <w:r w:rsidRPr="00C07E5C">
              <w:rPr>
                <w:rFonts w:ascii="Arial" w:hAnsi="Arial" w:cs="Arial"/>
                <w:sz w:val="20"/>
                <w:szCs w:val="20"/>
              </w:rPr>
              <w:t>11.31</w:t>
            </w:r>
          </w:p>
        </w:tc>
        <w:tc>
          <w:tcPr>
            <w:tcW w:w="851" w:type="dxa"/>
          </w:tcPr>
          <w:p w14:paraId="6419756B" w14:textId="77777777" w:rsidR="00D52BD0" w:rsidRPr="00C07E5C" w:rsidRDefault="00D52BD0" w:rsidP="00612E2F">
            <w:pPr>
              <w:rPr>
                <w:rFonts w:ascii="Arial" w:hAnsi="Arial" w:cs="Arial"/>
                <w:sz w:val="20"/>
                <w:szCs w:val="20"/>
              </w:rPr>
            </w:pPr>
            <w:r w:rsidRPr="00C07E5C">
              <w:rPr>
                <w:rFonts w:ascii="Arial" w:hAnsi="Arial" w:cs="Arial"/>
                <w:sz w:val="20"/>
                <w:szCs w:val="20"/>
              </w:rPr>
              <w:t>21.90</w:t>
            </w:r>
          </w:p>
        </w:tc>
        <w:tc>
          <w:tcPr>
            <w:tcW w:w="850" w:type="dxa"/>
          </w:tcPr>
          <w:p w14:paraId="3FBA788A" w14:textId="77777777" w:rsidR="00D52BD0" w:rsidRPr="00C07E5C" w:rsidRDefault="00D52BD0" w:rsidP="00612E2F">
            <w:pPr>
              <w:rPr>
                <w:rFonts w:ascii="Arial" w:hAnsi="Arial" w:cs="Arial"/>
                <w:sz w:val="20"/>
                <w:szCs w:val="20"/>
              </w:rPr>
            </w:pPr>
            <w:r>
              <w:rPr>
                <w:rFonts w:ascii="Arial" w:hAnsi="Arial" w:cs="Arial"/>
                <w:sz w:val="20"/>
                <w:szCs w:val="20"/>
              </w:rPr>
              <w:t>–</w:t>
            </w:r>
          </w:p>
        </w:tc>
        <w:tc>
          <w:tcPr>
            <w:tcW w:w="993" w:type="dxa"/>
          </w:tcPr>
          <w:p w14:paraId="6FAF2AD5" w14:textId="77777777" w:rsidR="00D52BD0" w:rsidRPr="00C07E5C" w:rsidRDefault="00D52BD0" w:rsidP="00612E2F">
            <w:pPr>
              <w:rPr>
                <w:rFonts w:ascii="Arial" w:hAnsi="Arial" w:cs="Arial"/>
                <w:sz w:val="20"/>
                <w:szCs w:val="20"/>
              </w:rPr>
            </w:pPr>
            <w:r>
              <w:rPr>
                <w:rFonts w:ascii="Arial" w:hAnsi="Arial" w:cs="Arial"/>
                <w:sz w:val="20"/>
                <w:szCs w:val="20"/>
              </w:rPr>
              <w:t>–</w:t>
            </w:r>
          </w:p>
        </w:tc>
        <w:tc>
          <w:tcPr>
            <w:tcW w:w="239" w:type="dxa"/>
          </w:tcPr>
          <w:p w14:paraId="2E0B3261" w14:textId="77777777" w:rsidR="00D52BD0" w:rsidRPr="00F35246" w:rsidRDefault="00D52BD0" w:rsidP="00612E2F">
            <w:pPr>
              <w:rPr>
                <w:rFonts w:ascii="Arial" w:hAnsi="Arial" w:cs="Arial"/>
                <w:sz w:val="20"/>
                <w:szCs w:val="20"/>
              </w:rPr>
            </w:pPr>
          </w:p>
        </w:tc>
        <w:tc>
          <w:tcPr>
            <w:tcW w:w="1178" w:type="dxa"/>
          </w:tcPr>
          <w:p w14:paraId="7E987698" w14:textId="77777777" w:rsidR="00D52BD0" w:rsidRPr="00F35246" w:rsidRDefault="00D52BD0" w:rsidP="00612E2F">
            <w:pPr>
              <w:rPr>
                <w:rFonts w:ascii="Arial" w:hAnsi="Arial" w:cs="Arial"/>
                <w:sz w:val="20"/>
                <w:szCs w:val="20"/>
              </w:rPr>
            </w:pPr>
            <w:r>
              <w:rPr>
                <w:rFonts w:ascii="Arial" w:hAnsi="Arial" w:cs="Arial"/>
                <w:sz w:val="20"/>
                <w:szCs w:val="20"/>
              </w:rPr>
              <w:t>14.49</w:t>
            </w:r>
          </w:p>
        </w:tc>
        <w:tc>
          <w:tcPr>
            <w:tcW w:w="851" w:type="dxa"/>
          </w:tcPr>
          <w:p w14:paraId="3A0AB0BC" w14:textId="77777777" w:rsidR="00D52BD0" w:rsidRPr="00F35246" w:rsidRDefault="00D52BD0" w:rsidP="00612E2F">
            <w:pPr>
              <w:rPr>
                <w:rFonts w:ascii="Arial" w:hAnsi="Arial" w:cs="Arial"/>
                <w:sz w:val="20"/>
                <w:szCs w:val="20"/>
              </w:rPr>
            </w:pPr>
            <w:r>
              <w:rPr>
                <w:rFonts w:ascii="Arial" w:hAnsi="Arial" w:cs="Arial"/>
                <w:sz w:val="20"/>
                <w:szCs w:val="20"/>
              </w:rPr>
              <w:t>9.14</w:t>
            </w:r>
          </w:p>
        </w:tc>
        <w:tc>
          <w:tcPr>
            <w:tcW w:w="850" w:type="dxa"/>
          </w:tcPr>
          <w:p w14:paraId="472AFE87" w14:textId="77777777" w:rsidR="00D52BD0" w:rsidRPr="00F35246" w:rsidRDefault="00D52BD0" w:rsidP="00612E2F">
            <w:pPr>
              <w:rPr>
                <w:rFonts w:ascii="Arial" w:hAnsi="Arial" w:cs="Arial"/>
                <w:sz w:val="20"/>
                <w:szCs w:val="20"/>
              </w:rPr>
            </w:pPr>
            <w:r>
              <w:rPr>
                <w:rFonts w:ascii="Arial" w:hAnsi="Arial" w:cs="Arial"/>
                <w:sz w:val="20"/>
                <w:szCs w:val="20"/>
              </w:rPr>
              <w:t>19.83</w:t>
            </w:r>
          </w:p>
        </w:tc>
        <w:tc>
          <w:tcPr>
            <w:tcW w:w="851" w:type="dxa"/>
          </w:tcPr>
          <w:p w14:paraId="57735FE7"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0032F91D"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3E8B78FE"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709" w:type="dxa"/>
          </w:tcPr>
          <w:p w14:paraId="07AD8F9B"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094" w:type="dxa"/>
          </w:tcPr>
          <w:p w14:paraId="286ADB51" w14:textId="77777777" w:rsidR="00D52BD0" w:rsidRPr="009A3FCB" w:rsidRDefault="00D52BD0" w:rsidP="00612E2F">
            <w:pPr>
              <w:rPr>
                <w:rFonts w:ascii="Arial" w:hAnsi="Arial" w:cs="Arial"/>
                <w:sz w:val="20"/>
                <w:szCs w:val="20"/>
              </w:rPr>
            </w:pPr>
            <w:r>
              <w:rPr>
                <w:rFonts w:ascii="Arial" w:hAnsi="Arial" w:cs="Arial"/>
                <w:sz w:val="20"/>
                <w:szCs w:val="20"/>
              </w:rPr>
              <w:t>–</w:t>
            </w:r>
          </w:p>
        </w:tc>
      </w:tr>
      <w:tr w:rsidR="00D52BD0" w:rsidRPr="001A4A03" w14:paraId="405005E6" w14:textId="77777777" w:rsidTr="00B642EC">
        <w:tc>
          <w:tcPr>
            <w:tcW w:w="2835" w:type="dxa"/>
          </w:tcPr>
          <w:p w14:paraId="2A963DAC" w14:textId="77777777" w:rsidR="00D52BD0" w:rsidRPr="001A4A03" w:rsidRDefault="00D52BD0" w:rsidP="00612E2F">
            <w:pPr>
              <w:rPr>
                <w:rFonts w:ascii="Arial" w:hAnsi="Arial" w:cs="Arial"/>
                <w:sz w:val="10"/>
                <w:szCs w:val="10"/>
              </w:rPr>
            </w:pPr>
          </w:p>
        </w:tc>
        <w:tc>
          <w:tcPr>
            <w:tcW w:w="851" w:type="dxa"/>
            <w:shd w:val="clear" w:color="auto" w:fill="auto"/>
          </w:tcPr>
          <w:p w14:paraId="60C8C8B9" w14:textId="77777777" w:rsidR="00D52BD0" w:rsidRPr="001A4A03" w:rsidRDefault="00D52BD0" w:rsidP="00612E2F">
            <w:pPr>
              <w:rPr>
                <w:rFonts w:ascii="Arial" w:hAnsi="Arial" w:cs="Arial"/>
                <w:sz w:val="10"/>
                <w:szCs w:val="10"/>
              </w:rPr>
            </w:pPr>
          </w:p>
        </w:tc>
        <w:tc>
          <w:tcPr>
            <w:tcW w:w="850" w:type="dxa"/>
          </w:tcPr>
          <w:p w14:paraId="11C947DD" w14:textId="77777777" w:rsidR="00D52BD0" w:rsidRPr="001A4A03" w:rsidRDefault="00D52BD0" w:rsidP="00612E2F">
            <w:pPr>
              <w:rPr>
                <w:rFonts w:ascii="Arial" w:hAnsi="Arial" w:cs="Arial"/>
                <w:sz w:val="10"/>
                <w:szCs w:val="10"/>
              </w:rPr>
            </w:pPr>
          </w:p>
        </w:tc>
        <w:tc>
          <w:tcPr>
            <w:tcW w:w="851" w:type="dxa"/>
          </w:tcPr>
          <w:p w14:paraId="71D696EA" w14:textId="77777777" w:rsidR="00D52BD0" w:rsidRPr="001A4A03" w:rsidRDefault="00D52BD0" w:rsidP="00612E2F">
            <w:pPr>
              <w:rPr>
                <w:rFonts w:ascii="Arial" w:hAnsi="Arial" w:cs="Arial"/>
                <w:sz w:val="10"/>
                <w:szCs w:val="10"/>
              </w:rPr>
            </w:pPr>
          </w:p>
        </w:tc>
        <w:tc>
          <w:tcPr>
            <w:tcW w:w="850" w:type="dxa"/>
          </w:tcPr>
          <w:p w14:paraId="50688099" w14:textId="77777777" w:rsidR="00D52BD0" w:rsidRPr="001A4A03" w:rsidRDefault="00D52BD0" w:rsidP="00612E2F">
            <w:pPr>
              <w:rPr>
                <w:rFonts w:ascii="Arial" w:hAnsi="Arial" w:cs="Arial"/>
                <w:sz w:val="10"/>
                <w:szCs w:val="10"/>
              </w:rPr>
            </w:pPr>
          </w:p>
        </w:tc>
        <w:tc>
          <w:tcPr>
            <w:tcW w:w="993" w:type="dxa"/>
          </w:tcPr>
          <w:p w14:paraId="541A5582" w14:textId="77777777" w:rsidR="00D52BD0" w:rsidRPr="001A4A03" w:rsidRDefault="00D52BD0" w:rsidP="00612E2F">
            <w:pPr>
              <w:rPr>
                <w:rFonts w:ascii="Arial" w:hAnsi="Arial" w:cs="Arial"/>
                <w:sz w:val="10"/>
                <w:szCs w:val="10"/>
              </w:rPr>
            </w:pPr>
          </w:p>
        </w:tc>
        <w:tc>
          <w:tcPr>
            <w:tcW w:w="239" w:type="dxa"/>
          </w:tcPr>
          <w:p w14:paraId="114F3399" w14:textId="77777777" w:rsidR="00D52BD0" w:rsidRPr="001A4A03" w:rsidRDefault="00D52BD0" w:rsidP="00612E2F">
            <w:pPr>
              <w:rPr>
                <w:rFonts w:ascii="Arial" w:hAnsi="Arial" w:cs="Arial"/>
                <w:sz w:val="10"/>
                <w:szCs w:val="10"/>
              </w:rPr>
            </w:pPr>
          </w:p>
        </w:tc>
        <w:tc>
          <w:tcPr>
            <w:tcW w:w="1178" w:type="dxa"/>
          </w:tcPr>
          <w:p w14:paraId="267B201E" w14:textId="77777777" w:rsidR="00D52BD0" w:rsidRPr="001A4A03" w:rsidRDefault="00D52BD0" w:rsidP="00612E2F">
            <w:pPr>
              <w:rPr>
                <w:rFonts w:ascii="Arial" w:hAnsi="Arial" w:cs="Arial"/>
                <w:sz w:val="10"/>
                <w:szCs w:val="10"/>
              </w:rPr>
            </w:pPr>
          </w:p>
        </w:tc>
        <w:tc>
          <w:tcPr>
            <w:tcW w:w="851" w:type="dxa"/>
          </w:tcPr>
          <w:p w14:paraId="5C8BE6D4" w14:textId="77777777" w:rsidR="00D52BD0" w:rsidRPr="001A4A03" w:rsidRDefault="00D52BD0" w:rsidP="00612E2F">
            <w:pPr>
              <w:rPr>
                <w:rFonts w:ascii="Arial" w:hAnsi="Arial" w:cs="Arial"/>
                <w:sz w:val="10"/>
                <w:szCs w:val="10"/>
              </w:rPr>
            </w:pPr>
          </w:p>
        </w:tc>
        <w:tc>
          <w:tcPr>
            <w:tcW w:w="850" w:type="dxa"/>
          </w:tcPr>
          <w:p w14:paraId="7E233B3D" w14:textId="77777777" w:rsidR="00D52BD0" w:rsidRPr="001A4A03" w:rsidRDefault="00D52BD0" w:rsidP="00612E2F">
            <w:pPr>
              <w:rPr>
                <w:rFonts w:ascii="Arial" w:hAnsi="Arial" w:cs="Arial"/>
                <w:sz w:val="10"/>
                <w:szCs w:val="10"/>
              </w:rPr>
            </w:pPr>
          </w:p>
        </w:tc>
        <w:tc>
          <w:tcPr>
            <w:tcW w:w="851" w:type="dxa"/>
          </w:tcPr>
          <w:p w14:paraId="28A48667" w14:textId="77777777" w:rsidR="00D52BD0" w:rsidRPr="001A4A03" w:rsidRDefault="00D52BD0" w:rsidP="00612E2F">
            <w:pPr>
              <w:rPr>
                <w:rFonts w:ascii="Arial" w:hAnsi="Arial" w:cs="Arial"/>
                <w:sz w:val="10"/>
                <w:szCs w:val="10"/>
              </w:rPr>
            </w:pPr>
          </w:p>
        </w:tc>
        <w:tc>
          <w:tcPr>
            <w:tcW w:w="850" w:type="dxa"/>
          </w:tcPr>
          <w:p w14:paraId="4AC4DEFB" w14:textId="77777777" w:rsidR="00D52BD0" w:rsidRPr="001A4A03" w:rsidRDefault="00D52BD0" w:rsidP="00612E2F">
            <w:pPr>
              <w:rPr>
                <w:rFonts w:ascii="Arial" w:hAnsi="Arial" w:cs="Arial"/>
                <w:sz w:val="10"/>
                <w:szCs w:val="10"/>
              </w:rPr>
            </w:pPr>
          </w:p>
        </w:tc>
        <w:tc>
          <w:tcPr>
            <w:tcW w:w="992" w:type="dxa"/>
          </w:tcPr>
          <w:p w14:paraId="7DAB1A8C" w14:textId="77777777" w:rsidR="00D52BD0" w:rsidRPr="001A4A03" w:rsidRDefault="00D52BD0" w:rsidP="00612E2F">
            <w:pPr>
              <w:rPr>
                <w:rFonts w:ascii="Arial" w:hAnsi="Arial" w:cs="Arial"/>
                <w:sz w:val="10"/>
                <w:szCs w:val="10"/>
              </w:rPr>
            </w:pPr>
          </w:p>
        </w:tc>
        <w:tc>
          <w:tcPr>
            <w:tcW w:w="709" w:type="dxa"/>
          </w:tcPr>
          <w:p w14:paraId="2826651F" w14:textId="77777777" w:rsidR="00D52BD0" w:rsidRPr="001A4A03" w:rsidRDefault="00D52BD0" w:rsidP="00612E2F">
            <w:pPr>
              <w:rPr>
                <w:rFonts w:ascii="Arial" w:hAnsi="Arial" w:cs="Arial"/>
                <w:sz w:val="10"/>
                <w:szCs w:val="10"/>
              </w:rPr>
            </w:pPr>
          </w:p>
        </w:tc>
        <w:tc>
          <w:tcPr>
            <w:tcW w:w="2094" w:type="dxa"/>
          </w:tcPr>
          <w:p w14:paraId="64021E44" w14:textId="77777777" w:rsidR="00D52BD0" w:rsidRPr="001A4A03" w:rsidRDefault="00D52BD0" w:rsidP="00612E2F">
            <w:pPr>
              <w:rPr>
                <w:rFonts w:ascii="Arial" w:hAnsi="Arial" w:cs="Arial"/>
                <w:sz w:val="10"/>
                <w:szCs w:val="10"/>
              </w:rPr>
            </w:pPr>
          </w:p>
        </w:tc>
      </w:tr>
      <w:tr w:rsidR="00D52BD0" w:rsidRPr="00F35246" w14:paraId="2C2EC586" w14:textId="77777777" w:rsidTr="00B642EC">
        <w:tc>
          <w:tcPr>
            <w:tcW w:w="2835" w:type="dxa"/>
          </w:tcPr>
          <w:p w14:paraId="58FF114F" w14:textId="77777777" w:rsidR="00D52BD0" w:rsidRPr="00F35246" w:rsidRDefault="00D52BD0" w:rsidP="00612E2F">
            <w:pPr>
              <w:rPr>
                <w:rFonts w:ascii="Arial" w:hAnsi="Arial" w:cs="Arial"/>
                <w:b/>
                <w:sz w:val="20"/>
                <w:szCs w:val="20"/>
              </w:rPr>
            </w:pPr>
            <w:r w:rsidRPr="00F35246">
              <w:rPr>
                <w:rFonts w:ascii="Arial" w:hAnsi="Arial" w:cs="Arial"/>
                <w:b/>
                <w:sz w:val="20"/>
                <w:szCs w:val="20"/>
              </w:rPr>
              <w:t>SIMD Quintile</w:t>
            </w:r>
          </w:p>
        </w:tc>
        <w:tc>
          <w:tcPr>
            <w:tcW w:w="851" w:type="dxa"/>
            <w:shd w:val="clear" w:color="auto" w:fill="auto"/>
          </w:tcPr>
          <w:p w14:paraId="4C47EBD9" w14:textId="77777777" w:rsidR="00D52BD0" w:rsidRPr="00F35246" w:rsidRDefault="00D52BD0" w:rsidP="00612E2F">
            <w:pPr>
              <w:rPr>
                <w:rFonts w:ascii="Arial" w:hAnsi="Arial" w:cs="Arial"/>
                <w:sz w:val="20"/>
                <w:szCs w:val="20"/>
              </w:rPr>
            </w:pPr>
          </w:p>
        </w:tc>
        <w:tc>
          <w:tcPr>
            <w:tcW w:w="850" w:type="dxa"/>
          </w:tcPr>
          <w:p w14:paraId="7E2FD01A" w14:textId="77777777" w:rsidR="00D52BD0" w:rsidRPr="00F35246" w:rsidRDefault="00D52BD0" w:rsidP="00612E2F">
            <w:pPr>
              <w:rPr>
                <w:rFonts w:ascii="Arial" w:hAnsi="Arial" w:cs="Arial"/>
                <w:sz w:val="20"/>
                <w:szCs w:val="20"/>
              </w:rPr>
            </w:pPr>
          </w:p>
        </w:tc>
        <w:tc>
          <w:tcPr>
            <w:tcW w:w="851" w:type="dxa"/>
          </w:tcPr>
          <w:p w14:paraId="0B4F6158" w14:textId="77777777" w:rsidR="00D52BD0" w:rsidRPr="00F35246" w:rsidRDefault="00D52BD0" w:rsidP="00612E2F">
            <w:pPr>
              <w:rPr>
                <w:rFonts w:ascii="Arial" w:hAnsi="Arial" w:cs="Arial"/>
                <w:sz w:val="20"/>
                <w:szCs w:val="20"/>
              </w:rPr>
            </w:pPr>
          </w:p>
        </w:tc>
        <w:tc>
          <w:tcPr>
            <w:tcW w:w="850" w:type="dxa"/>
          </w:tcPr>
          <w:p w14:paraId="7F563605" w14:textId="77777777" w:rsidR="00D52BD0" w:rsidRPr="00F35246" w:rsidRDefault="00D52BD0" w:rsidP="00612E2F">
            <w:pPr>
              <w:rPr>
                <w:rFonts w:ascii="Arial" w:hAnsi="Arial" w:cs="Arial"/>
                <w:sz w:val="20"/>
                <w:szCs w:val="20"/>
              </w:rPr>
            </w:pPr>
            <w:r>
              <w:rPr>
                <w:rFonts w:ascii="Arial" w:hAnsi="Arial" w:cs="Arial"/>
                <w:sz w:val="20"/>
                <w:szCs w:val="20"/>
              </w:rPr>
              <w:t>0.54</w:t>
            </w:r>
          </w:p>
        </w:tc>
        <w:tc>
          <w:tcPr>
            <w:tcW w:w="993" w:type="dxa"/>
          </w:tcPr>
          <w:p w14:paraId="296361D7" w14:textId="77777777" w:rsidR="00D52BD0" w:rsidRPr="00F35246" w:rsidRDefault="00D52BD0" w:rsidP="00612E2F">
            <w:pPr>
              <w:rPr>
                <w:rFonts w:ascii="Arial" w:hAnsi="Arial" w:cs="Arial"/>
                <w:sz w:val="20"/>
                <w:szCs w:val="20"/>
              </w:rPr>
            </w:pPr>
            <w:r>
              <w:rPr>
                <w:rFonts w:ascii="Arial" w:hAnsi="Arial" w:cs="Arial"/>
                <w:sz w:val="20"/>
                <w:szCs w:val="20"/>
              </w:rPr>
              <w:t>0.708</w:t>
            </w:r>
          </w:p>
        </w:tc>
        <w:tc>
          <w:tcPr>
            <w:tcW w:w="239" w:type="dxa"/>
          </w:tcPr>
          <w:p w14:paraId="64AD510A" w14:textId="77777777" w:rsidR="00D52BD0" w:rsidRPr="00F35246" w:rsidRDefault="00D52BD0" w:rsidP="00612E2F">
            <w:pPr>
              <w:rPr>
                <w:rFonts w:ascii="Arial" w:hAnsi="Arial" w:cs="Arial"/>
                <w:sz w:val="20"/>
                <w:szCs w:val="20"/>
              </w:rPr>
            </w:pPr>
          </w:p>
        </w:tc>
        <w:tc>
          <w:tcPr>
            <w:tcW w:w="1178" w:type="dxa"/>
          </w:tcPr>
          <w:p w14:paraId="680AE7F6" w14:textId="77777777" w:rsidR="00D52BD0" w:rsidRPr="00F35246" w:rsidRDefault="00D52BD0" w:rsidP="00612E2F">
            <w:pPr>
              <w:rPr>
                <w:rFonts w:ascii="Arial" w:hAnsi="Arial" w:cs="Arial"/>
                <w:sz w:val="20"/>
                <w:szCs w:val="20"/>
              </w:rPr>
            </w:pPr>
          </w:p>
        </w:tc>
        <w:tc>
          <w:tcPr>
            <w:tcW w:w="851" w:type="dxa"/>
          </w:tcPr>
          <w:p w14:paraId="0571C7D3" w14:textId="77777777" w:rsidR="00D52BD0" w:rsidRPr="00F35246" w:rsidRDefault="00D52BD0" w:rsidP="00612E2F">
            <w:pPr>
              <w:rPr>
                <w:rFonts w:ascii="Arial" w:hAnsi="Arial" w:cs="Arial"/>
                <w:sz w:val="20"/>
                <w:szCs w:val="20"/>
              </w:rPr>
            </w:pPr>
          </w:p>
        </w:tc>
        <w:tc>
          <w:tcPr>
            <w:tcW w:w="850" w:type="dxa"/>
          </w:tcPr>
          <w:p w14:paraId="790B9C00" w14:textId="77777777" w:rsidR="00D52BD0" w:rsidRPr="00F35246" w:rsidRDefault="00D52BD0" w:rsidP="00612E2F">
            <w:pPr>
              <w:rPr>
                <w:rFonts w:ascii="Arial" w:hAnsi="Arial" w:cs="Arial"/>
                <w:sz w:val="20"/>
                <w:szCs w:val="20"/>
              </w:rPr>
            </w:pPr>
          </w:p>
        </w:tc>
        <w:tc>
          <w:tcPr>
            <w:tcW w:w="851" w:type="dxa"/>
          </w:tcPr>
          <w:p w14:paraId="4D6CAE99"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5D73147F"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992" w:type="dxa"/>
          </w:tcPr>
          <w:p w14:paraId="22E64213" w14:textId="77777777" w:rsidR="00D52BD0" w:rsidRPr="00F35246" w:rsidRDefault="00D52BD0" w:rsidP="00612E2F">
            <w:pPr>
              <w:rPr>
                <w:rFonts w:ascii="Arial" w:hAnsi="Arial" w:cs="Arial"/>
                <w:sz w:val="20"/>
                <w:szCs w:val="20"/>
              </w:rPr>
            </w:pPr>
          </w:p>
        </w:tc>
        <w:tc>
          <w:tcPr>
            <w:tcW w:w="709" w:type="dxa"/>
          </w:tcPr>
          <w:p w14:paraId="7681A8FE" w14:textId="77777777" w:rsidR="00D52BD0" w:rsidRPr="00F35246" w:rsidRDefault="00D52BD0" w:rsidP="00612E2F">
            <w:pPr>
              <w:rPr>
                <w:rFonts w:ascii="Arial" w:hAnsi="Arial" w:cs="Arial"/>
                <w:sz w:val="20"/>
                <w:szCs w:val="20"/>
              </w:rPr>
            </w:pPr>
          </w:p>
        </w:tc>
        <w:tc>
          <w:tcPr>
            <w:tcW w:w="2094" w:type="dxa"/>
          </w:tcPr>
          <w:p w14:paraId="673D0D29" w14:textId="77777777" w:rsidR="00D52BD0" w:rsidRPr="00F35246" w:rsidRDefault="00D52BD0" w:rsidP="00612E2F">
            <w:pPr>
              <w:rPr>
                <w:rFonts w:ascii="Arial" w:hAnsi="Arial" w:cs="Arial"/>
                <w:sz w:val="20"/>
                <w:szCs w:val="20"/>
              </w:rPr>
            </w:pPr>
          </w:p>
        </w:tc>
      </w:tr>
      <w:tr w:rsidR="00D52BD0" w:rsidRPr="00F35246" w14:paraId="2FF09843" w14:textId="77777777" w:rsidTr="00B642EC">
        <w:tc>
          <w:tcPr>
            <w:tcW w:w="2835" w:type="dxa"/>
          </w:tcPr>
          <w:p w14:paraId="195C612D" w14:textId="77777777" w:rsidR="00D52BD0" w:rsidRPr="00F35246" w:rsidRDefault="00D52BD0" w:rsidP="00612E2F">
            <w:pPr>
              <w:rPr>
                <w:rFonts w:ascii="Arial" w:hAnsi="Arial" w:cs="Arial"/>
                <w:sz w:val="20"/>
                <w:szCs w:val="20"/>
              </w:rPr>
            </w:pPr>
            <w:r w:rsidRPr="00F35246">
              <w:rPr>
                <w:rFonts w:ascii="Arial" w:hAnsi="Arial" w:cs="Arial"/>
                <w:sz w:val="20"/>
                <w:szCs w:val="20"/>
              </w:rPr>
              <w:t xml:space="preserve">    1 – Most Deprived</w:t>
            </w:r>
          </w:p>
        </w:tc>
        <w:tc>
          <w:tcPr>
            <w:tcW w:w="851" w:type="dxa"/>
            <w:shd w:val="clear" w:color="auto" w:fill="auto"/>
          </w:tcPr>
          <w:p w14:paraId="0808B75E" w14:textId="77777777" w:rsidR="00D52BD0" w:rsidRPr="00F35246" w:rsidRDefault="00D52BD0" w:rsidP="00612E2F">
            <w:pPr>
              <w:rPr>
                <w:rFonts w:ascii="Arial" w:hAnsi="Arial" w:cs="Arial"/>
                <w:sz w:val="20"/>
                <w:szCs w:val="20"/>
              </w:rPr>
            </w:pPr>
            <w:r>
              <w:rPr>
                <w:rFonts w:ascii="Arial" w:hAnsi="Arial" w:cs="Arial"/>
                <w:sz w:val="20"/>
                <w:szCs w:val="20"/>
              </w:rPr>
              <w:t>25.43</w:t>
            </w:r>
          </w:p>
        </w:tc>
        <w:tc>
          <w:tcPr>
            <w:tcW w:w="850" w:type="dxa"/>
          </w:tcPr>
          <w:p w14:paraId="516F5795" w14:textId="77777777" w:rsidR="00D52BD0" w:rsidRPr="00F35246" w:rsidRDefault="00D52BD0" w:rsidP="00612E2F">
            <w:pPr>
              <w:rPr>
                <w:rFonts w:ascii="Arial" w:hAnsi="Arial" w:cs="Arial"/>
                <w:sz w:val="20"/>
                <w:szCs w:val="20"/>
              </w:rPr>
            </w:pPr>
            <w:r>
              <w:rPr>
                <w:rFonts w:ascii="Arial" w:hAnsi="Arial" w:cs="Arial"/>
                <w:sz w:val="20"/>
                <w:szCs w:val="20"/>
              </w:rPr>
              <w:t>0.02</w:t>
            </w:r>
          </w:p>
        </w:tc>
        <w:tc>
          <w:tcPr>
            <w:tcW w:w="851" w:type="dxa"/>
          </w:tcPr>
          <w:p w14:paraId="377FBF14" w14:textId="77777777" w:rsidR="00D52BD0" w:rsidRPr="00F35246" w:rsidRDefault="00D52BD0" w:rsidP="00612E2F">
            <w:pPr>
              <w:rPr>
                <w:rFonts w:ascii="Arial" w:hAnsi="Arial" w:cs="Arial"/>
                <w:sz w:val="20"/>
                <w:szCs w:val="20"/>
              </w:rPr>
            </w:pPr>
            <w:r>
              <w:rPr>
                <w:rFonts w:ascii="Arial" w:hAnsi="Arial" w:cs="Arial"/>
                <w:sz w:val="20"/>
                <w:szCs w:val="20"/>
              </w:rPr>
              <w:t>50.84</w:t>
            </w:r>
          </w:p>
        </w:tc>
        <w:tc>
          <w:tcPr>
            <w:tcW w:w="850" w:type="dxa"/>
          </w:tcPr>
          <w:p w14:paraId="3AD234D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993" w:type="dxa"/>
          </w:tcPr>
          <w:p w14:paraId="2D41D607"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39" w:type="dxa"/>
          </w:tcPr>
          <w:p w14:paraId="51BC8DAE" w14:textId="77777777" w:rsidR="00D52BD0" w:rsidRPr="00F35246" w:rsidRDefault="00D52BD0" w:rsidP="00612E2F">
            <w:pPr>
              <w:rPr>
                <w:rFonts w:ascii="Arial" w:hAnsi="Arial" w:cs="Arial"/>
                <w:sz w:val="20"/>
                <w:szCs w:val="20"/>
              </w:rPr>
            </w:pPr>
          </w:p>
        </w:tc>
        <w:tc>
          <w:tcPr>
            <w:tcW w:w="1178" w:type="dxa"/>
          </w:tcPr>
          <w:p w14:paraId="49941C75"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5214A2F3"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7CBC1413"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565B07E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7D4AEB14"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3E294704"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709" w:type="dxa"/>
          </w:tcPr>
          <w:p w14:paraId="50963BE5"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094" w:type="dxa"/>
          </w:tcPr>
          <w:p w14:paraId="2E84990F" w14:textId="77777777" w:rsidR="00D52BD0" w:rsidRPr="00F35246" w:rsidRDefault="00D52BD0" w:rsidP="00612E2F">
            <w:pPr>
              <w:rPr>
                <w:rFonts w:ascii="Arial" w:hAnsi="Arial" w:cs="Arial"/>
                <w:sz w:val="20"/>
                <w:szCs w:val="20"/>
              </w:rPr>
            </w:pPr>
            <w:r>
              <w:rPr>
                <w:rFonts w:ascii="Arial" w:hAnsi="Arial" w:cs="Arial"/>
                <w:sz w:val="20"/>
                <w:szCs w:val="20"/>
              </w:rPr>
              <w:t>–</w:t>
            </w:r>
          </w:p>
        </w:tc>
      </w:tr>
      <w:tr w:rsidR="00D52BD0" w:rsidRPr="00F35246" w14:paraId="3CDB5AFA" w14:textId="77777777" w:rsidTr="00B642EC">
        <w:tc>
          <w:tcPr>
            <w:tcW w:w="2835" w:type="dxa"/>
          </w:tcPr>
          <w:p w14:paraId="3C0E0494" w14:textId="77777777" w:rsidR="00D52BD0" w:rsidRPr="00F35246" w:rsidRDefault="00D52BD0" w:rsidP="00612E2F">
            <w:pPr>
              <w:rPr>
                <w:rFonts w:ascii="Arial" w:hAnsi="Arial" w:cs="Arial"/>
                <w:sz w:val="20"/>
                <w:szCs w:val="20"/>
              </w:rPr>
            </w:pPr>
            <w:r w:rsidRPr="00F35246">
              <w:rPr>
                <w:rFonts w:ascii="Arial" w:hAnsi="Arial" w:cs="Arial"/>
                <w:sz w:val="20"/>
                <w:szCs w:val="20"/>
              </w:rPr>
              <w:t xml:space="preserve">    2</w:t>
            </w:r>
          </w:p>
        </w:tc>
        <w:tc>
          <w:tcPr>
            <w:tcW w:w="851" w:type="dxa"/>
            <w:shd w:val="clear" w:color="auto" w:fill="auto"/>
          </w:tcPr>
          <w:p w14:paraId="00D26B20" w14:textId="77777777" w:rsidR="00D52BD0" w:rsidRPr="00F35246" w:rsidRDefault="00D52BD0" w:rsidP="00612E2F">
            <w:pPr>
              <w:rPr>
                <w:rFonts w:ascii="Arial" w:hAnsi="Arial" w:cs="Arial"/>
                <w:sz w:val="20"/>
                <w:szCs w:val="20"/>
              </w:rPr>
            </w:pPr>
            <w:r>
              <w:rPr>
                <w:rFonts w:ascii="Arial" w:hAnsi="Arial" w:cs="Arial"/>
                <w:sz w:val="20"/>
                <w:szCs w:val="20"/>
              </w:rPr>
              <w:t>18.97</w:t>
            </w:r>
          </w:p>
        </w:tc>
        <w:tc>
          <w:tcPr>
            <w:tcW w:w="850" w:type="dxa"/>
          </w:tcPr>
          <w:p w14:paraId="2364576F" w14:textId="77777777" w:rsidR="00D52BD0" w:rsidRPr="00F35246" w:rsidRDefault="00D52BD0" w:rsidP="00612E2F">
            <w:pPr>
              <w:rPr>
                <w:rFonts w:ascii="Arial" w:hAnsi="Arial" w:cs="Arial"/>
                <w:sz w:val="20"/>
                <w:szCs w:val="20"/>
              </w:rPr>
            </w:pPr>
            <w:r>
              <w:rPr>
                <w:rFonts w:ascii="Arial" w:hAnsi="Arial" w:cs="Arial"/>
                <w:sz w:val="20"/>
                <w:szCs w:val="20"/>
              </w:rPr>
              <w:t>15.27</w:t>
            </w:r>
          </w:p>
        </w:tc>
        <w:tc>
          <w:tcPr>
            <w:tcW w:w="851" w:type="dxa"/>
          </w:tcPr>
          <w:p w14:paraId="5B7B08A1" w14:textId="77777777" w:rsidR="00D52BD0" w:rsidRPr="00F35246" w:rsidRDefault="00D52BD0" w:rsidP="00612E2F">
            <w:pPr>
              <w:rPr>
                <w:rFonts w:ascii="Arial" w:hAnsi="Arial" w:cs="Arial"/>
                <w:sz w:val="20"/>
                <w:szCs w:val="20"/>
              </w:rPr>
            </w:pPr>
            <w:r>
              <w:rPr>
                <w:rFonts w:ascii="Arial" w:hAnsi="Arial" w:cs="Arial"/>
                <w:sz w:val="20"/>
                <w:szCs w:val="20"/>
              </w:rPr>
              <w:t>22.67</w:t>
            </w:r>
          </w:p>
        </w:tc>
        <w:tc>
          <w:tcPr>
            <w:tcW w:w="850" w:type="dxa"/>
          </w:tcPr>
          <w:p w14:paraId="1A06DC8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993" w:type="dxa"/>
          </w:tcPr>
          <w:p w14:paraId="1446BC2D"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39" w:type="dxa"/>
          </w:tcPr>
          <w:p w14:paraId="78ADC65D" w14:textId="77777777" w:rsidR="00D52BD0" w:rsidRPr="00F35246" w:rsidRDefault="00D52BD0" w:rsidP="00612E2F">
            <w:pPr>
              <w:rPr>
                <w:rFonts w:ascii="Arial" w:hAnsi="Arial" w:cs="Arial"/>
                <w:sz w:val="20"/>
                <w:szCs w:val="20"/>
              </w:rPr>
            </w:pPr>
          </w:p>
        </w:tc>
        <w:tc>
          <w:tcPr>
            <w:tcW w:w="1178" w:type="dxa"/>
          </w:tcPr>
          <w:p w14:paraId="3D9FCA95"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362B8614"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3EC37FD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6D0C150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038F70AF"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30E2937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709" w:type="dxa"/>
          </w:tcPr>
          <w:p w14:paraId="7F3FDDF2"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094" w:type="dxa"/>
          </w:tcPr>
          <w:p w14:paraId="50328313" w14:textId="77777777" w:rsidR="00D52BD0" w:rsidRPr="00F35246" w:rsidRDefault="00D52BD0" w:rsidP="00612E2F">
            <w:pPr>
              <w:rPr>
                <w:rFonts w:ascii="Arial" w:hAnsi="Arial" w:cs="Arial"/>
                <w:sz w:val="20"/>
                <w:szCs w:val="20"/>
              </w:rPr>
            </w:pPr>
            <w:r>
              <w:rPr>
                <w:rFonts w:ascii="Arial" w:hAnsi="Arial" w:cs="Arial"/>
                <w:sz w:val="20"/>
                <w:szCs w:val="20"/>
              </w:rPr>
              <w:t>–</w:t>
            </w:r>
          </w:p>
        </w:tc>
      </w:tr>
      <w:tr w:rsidR="00D52BD0" w:rsidRPr="00F35246" w14:paraId="75D2B3B1" w14:textId="77777777" w:rsidTr="00B642EC">
        <w:tc>
          <w:tcPr>
            <w:tcW w:w="2835" w:type="dxa"/>
          </w:tcPr>
          <w:p w14:paraId="463DF1F3" w14:textId="77777777" w:rsidR="00D52BD0" w:rsidRPr="00F35246" w:rsidRDefault="00D52BD0" w:rsidP="00612E2F">
            <w:pPr>
              <w:rPr>
                <w:rFonts w:ascii="Arial" w:hAnsi="Arial" w:cs="Arial"/>
                <w:sz w:val="20"/>
                <w:szCs w:val="20"/>
              </w:rPr>
            </w:pPr>
            <w:r w:rsidRPr="00F35246">
              <w:rPr>
                <w:rFonts w:ascii="Arial" w:hAnsi="Arial" w:cs="Arial"/>
                <w:sz w:val="20"/>
                <w:szCs w:val="20"/>
              </w:rPr>
              <w:t xml:space="preserve">    3</w:t>
            </w:r>
          </w:p>
        </w:tc>
        <w:tc>
          <w:tcPr>
            <w:tcW w:w="851" w:type="dxa"/>
            <w:shd w:val="clear" w:color="auto" w:fill="auto"/>
          </w:tcPr>
          <w:p w14:paraId="5177DBE8" w14:textId="77777777" w:rsidR="00D52BD0" w:rsidRPr="00F35246" w:rsidRDefault="00D52BD0" w:rsidP="00612E2F">
            <w:pPr>
              <w:rPr>
                <w:rFonts w:ascii="Arial" w:hAnsi="Arial" w:cs="Arial"/>
                <w:sz w:val="20"/>
                <w:szCs w:val="20"/>
              </w:rPr>
            </w:pPr>
            <w:r>
              <w:rPr>
                <w:rFonts w:ascii="Arial" w:hAnsi="Arial" w:cs="Arial"/>
                <w:sz w:val="20"/>
                <w:szCs w:val="20"/>
              </w:rPr>
              <w:t>17.79</w:t>
            </w:r>
          </w:p>
        </w:tc>
        <w:tc>
          <w:tcPr>
            <w:tcW w:w="850" w:type="dxa"/>
          </w:tcPr>
          <w:p w14:paraId="7E3C2AF2" w14:textId="77777777" w:rsidR="00D52BD0" w:rsidRPr="00F35246" w:rsidRDefault="00D52BD0" w:rsidP="00612E2F">
            <w:pPr>
              <w:rPr>
                <w:rFonts w:ascii="Arial" w:hAnsi="Arial" w:cs="Arial"/>
                <w:sz w:val="20"/>
                <w:szCs w:val="20"/>
              </w:rPr>
            </w:pPr>
            <w:r>
              <w:rPr>
                <w:rFonts w:ascii="Arial" w:hAnsi="Arial" w:cs="Arial"/>
                <w:sz w:val="20"/>
                <w:szCs w:val="20"/>
              </w:rPr>
              <w:t>16.18</w:t>
            </w:r>
          </w:p>
        </w:tc>
        <w:tc>
          <w:tcPr>
            <w:tcW w:w="851" w:type="dxa"/>
          </w:tcPr>
          <w:p w14:paraId="654873AF" w14:textId="77777777" w:rsidR="00D52BD0" w:rsidRPr="00F35246" w:rsidRDefault="00D52BD0" w:rsidP="00612E2F">
            <w:pPr>
              <w:rPr>
                <w:rFonts w:ascii="Arial" w:hAnsi="Arial" w:cs="Arial"/>
                <w:sz w:val="20"/>
                <w:szCs w:val="20"/>
              </w:rPr>
            </w:pPr>
            <w:r>
              <w:rPr>
                <w:rFonts w:ascii="Arial" w:hAnsi="Arial" w:cs="Arial"/>
                <w:sz w:val="20"/>
                <w:szCs w:val="20"/>
              </w:rPr>
              <w:t>19.39</w:t>
            </w:r>
          </w:p>
        </w:tc>
        <w:tc>
          <w:tcPr>
            <w:tcW w:w="850" w:type="dxa"/>
          </w:tcPr>
          <w:p w14:paraId="278ADE76"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993" w:type="dxa"/>
          </w:tcPr>
          <w:p w14:paraId="15851F33"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39" w:type="dxa"/>
          </w:tcPr>
          <w:p w14:paraId="2F0AA233" w14:textId="77777777" w:rsidR="00D52BD0" w:rsidRPr="00F35246" w:rsidRDefault="00D52BD0" w:rsidP="00612E2F">
            <w:pPr>
              <w:rPr>
                <w:rFonts w:ascii="Arial" w:hAnsi="Arial" w:cs="Arial"/>
                <w:sz w:val="20"/>
                <w:szCs w:val="20"/>
              </w:rPr>
            </w:pPr>
          </w:p>
        </w:tc>
        <w:tc>
          <w:tcPr>
            <w:tcW w:w="1178" w:type="dxa"/>
          </w:tcPr>
          <w:p w14:paraId="45FD3A9F"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1EBEB32A"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14EC1E17"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414B04F0"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760947F2"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5D1A0A2B"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709" w:type="dxa"/>
          </w:tcPr>
          <w:p w14:paraId="4B050C2E"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094" w:type="dxa"/>
          </w:tcPr>
          <w:p w14:paraId="1BB12485" w14:textId="77777777" w:rsidR="00D52BD0" w:rsidRPr="00F35246" w:rsidRDefault="00D52BD0" w:rsidP="00612E2F">
            <w:pPr>
              <w:rPr>
                <w:rFonts w:ascii="Arial" w:hAnsi="Arial" w:cs="Arial"/>
                <w:sz w:val="20"/>
                <w:szCs w:val="20"/>
              </w:rPr>
            </w:pPr>
            <w:r>
              <w:rPr>
                <w:rFonts w:ascii="Arial" w:hAnsi="Arial" w:cs="Arial"/>
                <w:sz w:val="20"/>
                <w:szCs w:val="20"/>
              </w:rPr>
              <w:t>–</w:t>
            </w:r>
          </w:p>
        </w:tc>
      </w:tr>
      <w:tr w:rsidR="00D52BD0" w:rsidRPr="00F35246" w14:paraId="5AD69ADC" w14:textId="77777777" w:rsidTr="00B642EC">
        <w:tc>
          <w:tcPr>
            <w:tcW w:w="2835" w:type="dxa"/>
          </w:tcPr>
          <w:p w14:paraId="2F44820A" w14:textId="77777777" w:rsidR="00D52BD0" w:rsidRPr="00F35246" w:rsidRDefault="00D52BD0" w:rsidP="00612E2F">
            <w:pPr>
              <w:rPr>
                <w:rFonts w:ascii="Arial" w:hAnsi="Arial" w:cs="Arial"/>
                <w:sz w:val="20"/>
                <w:szCs w:val="20"/>
              </w:rPr>
            </w:pPr>
            <w:r w:rsidRPr="00F35246">
              <w:rPr>
                <w:rFonts w:ascii="Arial" w:hAnsi="Arial" w:cs="Arial"/>
                <w:sz w:val="20"/>
                <w:szCs w:val="20"/>
              </w:rPr>
              <w:t xml:space="preserve">    4</w:t>
            </w:r>
          </w:p>
        </w:tc>
        <w:tc>
          <w:tcPr>
            <w:tcW w:w="851" w:type="dxa"/>
            <w:shd w:val="clear" w:color="auto" w:fill="auto"/>
          </w:tcPr>
          <w:p w14:paraId="723D9378" w14:textId="77777777" w:rsidR="00D52BD0" w:rsidRPr="00F35246" w:rsidRDefault="00D52BD0" w:rsidP="00612E2F">
            <w:pPr>
              <w:rPr>
                <w:rFonts w:ascii="Arial" w:hAnsi="Arial" w:cs="Arial"/>
                <w:sz w:val="20"/>
                <w:szCs w:val="20"/>
              </w:rPr>
            </w:pPr>
            <w:r>
              <w:rPr>
                <w:rFonts w:ascii="Arial" w:hAnsi="Arial" w:cs="Arial"/>
                <w:sz w:val="20"/>
                <w:szCs w:val="20"/>
              </w:rPr>
              <w:t>17.67</w:t>
            </w:r>
          </w:p>
        </w:tc>
        <w:tc>
          <w:tcPr>
            <w:tcW w:w="850" w:type="dxa"/>
          </w:tcPr>
          <w:p w14:paraId="3F4F5AA1" w14:textId="77777777" w:rsidR="00D52BD0" w:rsidRPr="00F35246" w:rsidRDefault="00D52BD0" w:rsidP="00612E2F">
            <w:pPr>
              <w:rPr>
                <w:rFonts w:ascii="Arial" w:hAnsi="Arial" w:cs="Arial"/>
                <w:sz w:val="20"/>
                <w:szCs w:val="20"/>
              </w:rPr>
            </w:pPr>
            <w:r>
              <w:rPr>
                <w:rFonts w:ascii="Arial" w:hAnsi="Arial" w:cs="Arial"/>
                <w:sz w:val="20"/>
                <w:szCs w:val="20"/>
              </w:rPr>
              <w:t>15.37</w:t>
            </w:r>
          </w:p>
        </w:tc>
        <w:tc>
          <w:tcPr>
            <w:tcW w:w="851" w:type="dxa"/>
          </w:tcPr>
          <w:p w14:paraId="6254AC07" w14:textId="77777777" w:rsidR="00D52BD0" w:rsidRPr="00F35246" w:rsidRDefault="00D52BD0" w:rsidP="00612E2F">
            <w:pPr>
              <w:rPr>
                <w:rFonts w:ascii="Arial" w:hAnsi="Arial" w:cs="Arial"/>
                <w:sz w:val="20"/>
                <w:szCs w:val="20"/>
              </w:rPr>
            </w:pPr>
            <w:r>
              <w:rPr>
                <w:rFonts w:ascii="Arial" w:hAnsi="Arial" w:cs="Arial"/>
                <w:sz w:val="20"/>
                <w:szCs w:val="20"/>
              </w:rPr>
              <w:t>19.96</w:t>
            </w:r>
          </w:p>
        </w:tc>
        <w:tc>
          <w:tcPr>
            <w:tcW w:w="850" w:type="dxa"/>
          </w:tcPr>
          <w:p w14:paraId="655864B4"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993" w:type="dxa"/>
          </w:tcPr>
          <w:p w14:paraId="0B1C3745"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39" w:type="dxa"/>
          </w:tcPr>
          <w:p w14:paraId="5480F86E" w14:textId="77777777" w:rsidR="00D52BD0" w:rsidRPr="00F35246" w:rsidRDefault="00D52BD0" w:rsidP="00612E2F">
            <w:pPr>
              <w:rPr>
                <w:rFonts w:ascii="Arial" w:hAnsi="Arial" w:cs="Arial"/>
                <w:sz w:val="20"/>
                <w:szCs w:val="20"/>
              </w:rPr>
            </w:pPr>
          </w:p>
        </w:tc>
        <w:tc>
          <w:tcPr>
            <w:tcW w:w="1178" w:type="dxa"/>
          </w:tcPr>
          <w:p w14:paraId="72C76DCC"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67CC2324"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1D6D1BFC"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7DD74858"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46FF41D8"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498DC845"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709" w:type="dxa"/>
          </w:tcPr>
          <w:p w14:paraId="5F48DFDF"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094" w:type="dxa"/>
          </w:tcPr>
          <w:p w14:paraId="09C161EE" w14:textId="77777777" w:rsidR="00D52BD0" w:rsidRPr="00F35246" w:rsidRDefault="00D52BD0" w:rsidP="00612E2F">
            <w:pPr>
              <w:rPr>
                <w:rFonts w:ascii="Arial" w:hAnsi="Arial" w:cs="Arial"/>
                <w:sz w:val="20"/>
                <w:szCs w:val="20"/>
              </w:rPr>
            </w:pPr>
            <w:r>
              <w:rPr>
                <w:rFonts w:ascii="Arial" w:hAnsi="Arial" w:cs="Arial"/>
                <w:sz w:val="20"/>
                <w:szCs w:val="20"/>
              </w:rPr>
              <w:t>–</w:t>
            </w:r>
          </w:p>
        </w:tc>
      </w:tr>
      <w:tr w:rsidR="00D52BD0" w:rsidRPr="00F35246" w14:paraId="7FB24B36" w14:textId="77777777" w:rsidTr="00B642EC">
        <w:tc>
          <w:tcPr>
            <w:tcW w:w="2835" w:type="dxa"/>
          </w:tcPr>
          <w:p w14:paraId="75FFDAFC" w14:textId="77777777" w:rsidR="00D52BD0" w:rsidRPr="00F35246" w:rsidRDefault="00D52BD0" w:rsidP="00612E2F">
            <w:pPr>
              <w:rPr>
                <w:rFonts w:ascii="Arial" w:hAnsi="Arial" w:cs="Arial"/>
                <w:sz w:val="20"/>
                <w:szCs w:val="20"/>
              </w:rPr>
            </w:pPr>
            <w:r w:rsidRPr="00F35246">
              <w:rPr>
                <w:rFonts w:ascii="Arial" w:hAnsi="Arial" w:cs="Arial"/>
                <w:sz w:val="20"/>
                <w:szCs w:val="20"/>
              </w:rPr>
              <w:t xml:space="preserve">    5 – Least Deprived</w:t>
            </w:r>
          </w:p>
        </w:tc>
        <w:tc>
          <w:tcPr>
            <w:tcW w:w="851" w:type="dxa"/>
          </w:tcPr>
          <w:p w14:paraId="7380F96B" w14:textId="77777777" w:rsidR="00D52BD0" w:rsidRPr="00F35246" w:rsidRDefault="00D52BD0" w:rsidP="00612E2F">
            <w:pPr>
              <w:rPr>
                <w:rFonts w:ascii="Arial" w:hAnsi="Arial" w:cs="Arial"/>
                <w:sz w:val="20"/>
                <w:szCs w:val="20"/>
              </w:rPr>
            </w:pPr>
            <w:r>
              <w:rPr>
                <w:rFonts w:ascii="Arial" w:hAnsi="Arial" w:cs="Arial"/>
                <w:sz w:val="20"/>
                <w:szCs w:val="20"/>
              </w:rPr>
              <w:t>16.35</w:t>
            </w:r>
          </w:p>
        </w:tc>
        <w:tc>
          <w:tcPr>
            <w:tcW w:w="850" w:type="dxa"/>
          </w:tcPr>
          <w:p w14:paraId="35ED7216" w14:textId="77777777" w:rsidR="00D52BD0" w:rsidRPr="00F35246" w:rsidRDefault="00D52BD0" w:rsidP="00612E2F">
            <w:pPr>
              <w:rPr>
                <w:rFonts w:ascii="Arial" w:hAnsi="Arial" w:cs="Arial"/>
                <w:sz w:val="20"/>
                <w:szCs w:val="20"/>
              </w:rPr>
            </w:pPr>
            <w:r>
              <w:rPr>
                <w:rFonts w:ascii="Arial" w:hAnsi="Arial" w:cs="Arial"/>
                <w:sz w:val="20"/>
                <w:szCs w:val="20"/>
              </w:rPr>
              <w:t>12.46</w:t>
            </w:r>
          </w:p>
        </w:tc>
        <w:tc>
          <w:tcPr>
            <w:tcW w:w="851" w:type="dxa"/>
          </w:tcPr>
          <w:p w14:paraId="713E8557" w14:textId="77777777" w:rsidR="00D52BD0" w:rsidRPr="00F35246" w:rsidRDefault="00D52BD0" w:rsidP="00612E2F">
            <w:pPr>
              <w:rPr>
                <w:rFonts w:ascii="Arial" w:hAnsi="Arial" w:cs="Arial"/>
                <w:sz w:val="20"/>
                <w:szCs w:val="20"/>
              </w:rPr>
            </w:pPr>
            <w:r>
              <w:rPr>
                <w:rFonts w:ascii="Arial" w:hAnsi="Arial" w:cs="Arial"/>
                <w:sz w:val="20"/>
                <w:szCs w:val="20"/>
              </w:rPr>
              <w:t>20.23</w:t>
            </w:r>
          </w:p>
        </w:tc>
        <w:tc>
          <w:tcPr>
            <w:tcW w:w="850" w:type="dxa"/>
          </w:tcPr>
          <w:p w14:paraId="068E4229"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993" w:type="dxa"/>
          </w:tcPr>
          <w:p w14:paraId="1A8CD392"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39" w:type="dxa"/>
          </w:tcPr>
          <w:p w14:paraId="279D561E" w14:textId="77777777" w:rsidR="00D52BD0" w:rsidRPr="00F35246" w:rsidRDefault="00D52BD0" w:rsidP="00612E2F">
            <w:pPr>
              <w:rPr>
                <w:rFonts w:ascii="Arial" w:hAnsi="Arial" w:cs="Arial"/>
                <w:sz w:val="20"/>
                <w:szCs w:val="20"/>
              </w:rPr>
            </w:pPr>
          </w:p>
        </w:tc>
        <w:tc>
          <w:tcPr>
            <w:tcW w:w="1178" w:type="dxa"/>
          </w:tcPr>
          <w:p w14:paraId="59FD7AB7"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6C5992B3"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435DBD29"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1" w:type="dxa"/>
          </w:tcPr>
          <w:p w14:paraId="7E2EA987"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850" w:type="dxa"/>
          </w:tcPr>
          <w:p w14:paraId="5F2AA5DD" w14:textId="77777777" w:rsidR="00D52BD0" w:rsidRDefault="00D52BD0" w:rsidP="00612E2F">
            <w:pPr>
              <w:rPr>
                <w:rFonts w:ascii="Arial" w:hAnsi="Arial" w:cs="Arial"/>
                <w:sz w:val="20"/>
                <w:szCs w:val="20"/>
              </w:rPr>
            </w:pPr>
            <w:r>
              <w:rPr>
                <w:rFonts w:ascii="Arial" w:hAnsi="Arial" w:cs="Arial"/>
                <w:sz w:val="20"/>
                <w:szCs w:val="20"/>
              </w:rPr>
              <w:t>–</w:t>
            </w:r>
          </w:p>
        </w:tc>
        <w:tc>
          <w:tcPr>
            <w:tcW w:w="992" w:type="dxa"/>
          </w:tcPr>
          <w:p w14:paraId="0229F903"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709" w:type="dxa"/>
          </w:tcPr>
          <w:p w14:paraId="1F42A6E2" w14:textId="77777777" w:rsidR="00D52BD0" w:rsidRPr="00F35246" w:rsidRDefault="00D52BD0" w:rsidP="00612E2F">
            <w:pPr>
              <w:rPr>
                <w:rFonts w:ascii="Arial" w:hAnsi="Arial" w:cs="Arial"/>
                <w:sz w:val="20"/>
                <w:szCs w:val="20"/>
              </w:rPr>
            </w:pPr>
            <w:r>
              <w:rPr>
                <w:rFonts w:ascii="Arial" w:hAnsi="Arial" w:cs="Arial"/>
                <w:sz w:val="20"/>
                <w:szCs w:val="20"/>
              </w:rPr>
              <w:t>–</w:t>
            </w:r>
          </w:p>
        </w:tc>
        <w:tc>
          <w:tcPr>
            <w:tcW w:w="2094" w:type="dxa"/>
          </w:tcPr>
          <w:p w14:paraId="5B08E7D2" w14:textId="77777777" w:rsidR="00D52BD0" w:rsidRPr="00F35246" w:rsidRDefault="00D52BD0" w:rsidP="00612E2F">
            <w:pPr>
              <w:rPr>
                <w:rFonts w:ascii="Arial" w:hAnsi="Arial" w:cs="Arial"/>
                <w:sz w:val="20"/>
                <w:szCs w:val="20"/>
              </w:rPr>
            </w:pPr>
            <w:r>
              <w:rPr>
                <w:rFonts w:ascii="Arial" w:hAnsi="Arial" w:cs="Arial"/>
                <w:sz w:val="20"/>
                <w:szCs w:val="20"/>
              </w:rPr>
              <w:t>–</w:t>
            </w:r>
          </w:p>
        </w:tc>
      </w:tr>
      <w:tr w:rsidR="00D52BD0" w:rsidRPr="001A4A03" w14:paraId="589B1882" w14:textId="77777777" w:rsidTr="00B642EC">
        <w:tc>
          <w:tcPr>
            <w:tcW w:w="2835" w:type="dxa"/>
            <w:tcBorders>
              <w:bottom w:val="single" w:sz="4" w:space="0" w:color="auto"/>
            </w:tcBorders>
          </w:tcPr>
          <w:p w14:paraId="75FC5458" w14:textId="77777777" w:rsidR="00D52BD0" w:rsidRPr="001A4A03" w:rsidRDefault="00D52BD0" w:rsidP="00612E2F">
            <w:pPr>
              <w:rPr>
                <w:rFonts w:ascii="Arial" w:hAnsi="Arial" w:cs="Arial"/>
                <w:sz w:val="10"/>
                <w:szCs w:val="10"/>
              </w:rPr>
            </w:pPr>
          </w:p>
        </w:tc>
        <w:tc>
          <w:tcPr>
            <w:tcW w:w="851" w:type="dxa"/>
            <w:tcBorders>
              <w:bottom w:val="single" w:sz="4" w:space="0" w:color="auto"/>
            </w:tcBorders>
          </w:tcPr>
          <w:p w14:paraId="6C3CAC60" w14:textId="77777777" w:rsidR="00D52BD0" w:rsidRPr="001A4A03" w:rsidRDefault="00D52BD0" w:rsidP="00612E2F">
            <w:pPr>
              <w:rPr>
                <w:rFonts w:ascii="Arial" w:hAnsi="Arial" w:cs="Arial"/>
                <w:sz w:val="10"/>
                <w:szCs w:val="10"/>
              </w:rPr>
            </w:pPr>
          </w:p>
        </w:tc>
        <w:tc>
          <w:tcPr>
            <w:tcW w:w="850" w:type="dxa"/>
            <w:tcBorders>
              <w:bottom w:val="single" w:sz="4" w:space="0" w:color="auto"/>
            </w:tcBorders>
          </w:tcPr>
          <w:p w14:paraId="6EADDB2E" w14:textId="77777777" w:rsidR="00D52BD0" w:rsidRPr="001A4A03" w:rsidRDefault="00D52BD0" w:rsidP="00612E2F">
            <w:pPr>
              <w:rPr>
                <w:rFonts w:ascii="Arial" w:hAnsi="Arial" w:cs="Arial"/>
                <w:sz w:val="10"/>
                <w:szCs w:val="10"/>
              </w:rPr>
            </w:pPr>
          </w:p>
        </w:tc>
        <w:tc>
          <w:tcPr>
            <w:tcW w:w="851" w:type="dxa"/>
            <w:tcBorders>
              <w:bottom w:val="single" w:sz="4" w:space="0" w:color="auto"/>
            </w:tcBorders>
          </w:tcPr>
          <w:p w14:paraId="1EBE5ABD" w14:textId="77777777" w:rsidR="00D52BD0" w:rsidRPr="001A4A03" w:rsidRDefault="00D52BD0" w:rsidP="00612E2F">
            <w:pPr>
              <w:rPr>
                <w:rFonts w:ascii="Arial" w:hAnsi="Arial" w:cs="Arial"/>
                <w:sz w:val="10"/>
                <w:szCs w:val="10"/>
              </w:rPr>
            </w:pPr>
          </w:p>
        </w:tc>
        <w:tc>
          <w:tcPr>
            <w:tcW w:w="850" w:type="dxa"/>
            <w:tcBorders>
              <w:bottom w:val="single" w:sz="4" w:space="0" w:color="auto"/>
            </w:tcBorders>
          </w:tcPr>
          <w:p w14:paraId="07ABD536" w14:textId="77777777" w:rsidR="00D52BD0" w:rsidRPr="001A4A03" w:rsidRDefault="00D52BD0" w:rsidP="00612E2F">
            <w:pPr>
              <w:rPr>
                <w:rFonts w:ascii="Arial" w:hAnsi="Arial" w:cs="Arial"/>
                <w:sz w:val="10"/>
                <w:szCs w:val="10"/>
              </w:rPr>
            </w:pPr>
          </w:p>
        </w:tc>
        <w:tc>
          <w:tcPr>
            <w:tcW w:w="993" w:type="dxa"/>
            <w:tcBorders>
              <w:bottom w:val="single" w:sz="4" w:space="0" w:color="auto"/>
            </w:tcBorders>
          </w:tcPr>
          <w:p w14:paraId="661F3635" w14:textId="77777777" w:rsidR="00D52BD0" w:rsidRPr="001A4A03" w:rsidRDefault="00D52BD0" w:rsidP="00612E2F">
            <w:pPr>
              <w:rPr>
                <w:rFonts w:ascii="Arial" w:hAnsi="Arial" w:cs="Arial"/>
                <w:sz w:val="10"/>
                <w:szCs w:val="10"/>
              </w:rPr>
            </w:pPr>
          </w:p>
        </w:tc>
        <w:tc>
          <w:tcPr>
            <w:tcW w:w="239" w:type="dxa"/>
            <w:tcBorders>
              <w:bottom w:val="single" w:sz="4" w:space="0" w:color="auto"/>
            </w:tcBorders>
          </w:tcPr>
          <w:p w14:paraId="566F74EE" w14:textId="77777777" w:rsidR="00D52BD0" w:rsidRPr="001A4A03" w:rsidRDefault="00D52BD0" w:rsidP="00612E2F">
            <w:pPr>
              <w:rPr>
                <w:rFonts w:ascii="Arial" w:hAnsi="Arial" w:cs="Arial"/>
                <w:sz w:val="10"/>
                <w:szCs w:val="10"/>
              </w:rPr>
            </w:pPr>
          </w:p>
        </w:tc>
        <w:tc>
          <w:tcPr>
            <w:tcW w:w="1178" w:type="dxa"/>
            <w:tcBorders>
              <w:bottom w:val="single" w:sz="4" w:space="0" w:color="auto"/>
            </w:tcBorders>
          </w:tcPr>
          <w:p w14:paraId="0CE5BAF6" w14:textId="77777777" w:rsidR="00D52BD0" w:rsidRPr="001A4A03" w:rsidRDefault="00D52BD0" w:rsidP="00612E2F">
            <w:pPr>
              <w:rPr>
                <w:rFonts w:ascii="Arial" w:hAnsi="Arial" w:cs="Arial"/>
                <w:sz w:val="10"/>
                <w:szCs w:val="10"/>
              </w:rPr>
            </w:pPr>
          </w:p>
        </w:tc>
        <w:tc>
          <w:tcPr>
            <w:tcW w:w="851" w:type="dxa"/>
            <w:tcBorders>
              <w:bottom w:val="single" w:sz="4" w:space="0" w:color="auto"/>
            </w:tcBorders>
          </w:tcPr>
          <w:p w14:paraId="64422371" w14:textId="77777777" w:rsidR="00D52BD0" w:rsidRPr="001A4A03" w:rsidRDefault="00D52BD0" w:rsidP="00612E2F">
            <w:pPr>
              <w:rPr>
                <w:rFonts w:ascii="Arial" w:hAnsi="Arial" w:cs="Arial"/>
                <w:sz w:val="10"/>
                <w:szCs w:val="10"/>
              </w:rPr>
            </w:pPr>
          </w:p>
        </w:tc>
        <w:tc>
          <w:tcPr>
            <w:tcW w:w="850" w:type="dxa"/>
            <w:tcBorders>
              <w:bottom w:val="single" w:sz="4" w:space="0" w:color="auto"/>
            </w:tcBorders>
          </w:tcPr>
          <w:p w14:paraId="5856891B" w14:textId="77777777" w:rsidR="00D52BD0" w:rsidRPr="001A4A03" w:rsidRDefault="00D52BD0" w:rsidP="00612E2F">
            <w:pPr>
              <w:rPr>
                <w:rFonts w:ascii="Arial" w:hAnsi="Arial" w:cs="Arial"/>
                <w:sz w:val="10"/>
                <w:szCs w:val="10"/>
              </w:rPr>
            </w:pPr>
          </w:p>
        </w:tc>
        <w:tc>
          <w:tcPr>
            <w:tcW w:w="851" w:type="dxa"/>
            <w:tcBorders>
              <w:bottom w:val="single" w:sz="4" w:space="0" w:color="auto"/>
            </w:tcBorders>
          </w:tcPr>
          <w:p w14:paraId="0AD6AF99" w14:textId="77777777" w:rsidR="00D52BD0" w:rsidRPr="001A4A03" w:rsidRDefault="00D52BD0" w:rsidP="00612E2F">
            <w:pPr>
              <w:rPr>
                <w:rFonts w:ascii="Arial" w:hAnsi="Arial" w:cs="Arial"/>
                <w:sz w:val="10"/>
                <w:szCs w:val="10"/>
              </w:rPr>
            </w:pPr>
          </w:p>
        </w:tc>
        <w:tc>
          <w:tcPr>
            <w:tcW w:w="850" w:type="dxa"/>
            <w:tcBorders>
              <w:bottom w:val="single" w:sz="4" w:space="0" w:color="auto"/>
            </w:tcBorders>
          </w:tcPr>
          <w:p w14:paraId="691B2B70" w14:textId="77777777" w:rsidR="00D52BD0" w:rsidRPr="001A4A03" w:rsidRDefault="00D52BD0" w:rsidP="00612E2F">
            <w:pPr>
              <w:rPr>
                <w:rFonts w:ascii="Arial" w:hAnsi="Arial" w:cs="Arial"/>
                <w:sz w:val="10"/>
                <w:szCs w:val="10"/>
              </w:rPr>
            </w:pPr>
          </w:p>
        </w:tc>
        <w:tc>
          <w:tcPr>
            <w:tcW w:w="992" w:type="dxa"/>
            <w:tcBorders>
              <w:bottom w:val="single" w:sz="4" w:space="0" w:color="auto"/>
            </w:tcBorders>
          </w:tcPr>
          <w:p w14:paraId="525E63FE" w14:textId="77777777" w:rsidR="00D52BD0" w:rsidRPr="001A4A03" w:rsidRDefault="00D52BD0" w:rsidP="00612E2F">
            <w:pPr>
              <w:rPr>
                <w:rFonts w:ascii="Arial" w:hAnsi="Arial" w:cs="Arial"/>
                <w:sz w:val="10"/>
                <w:szCs w:val="10"/>
              </w:rPr>
            </w:pPr>
          </w:p>
        </w:tc>
        <w:tc>
          <w:tcPr>
            <w:tcW w:w="709" w:type="dxa"/>
            <w:tcBorders>
              <w:bottom w:val="single" w:sz="4" w:space="0" w:color="auto"/>
            </w:tcBorders>
          </w:tcPr>
          <w:p w14:paraId="0A2EEE3B" w14:textId="77777777" w:rsidR="00D52BD0" w:rsidRPr="001A4A03" w:rsidRDefault="00D52BD0" w:rsidP="00612E2F">
            <w:pPr>
              <w:rPr>
                <w:rFonts w:ascii="Arial" w:hAnsi="Arial" w:cs="Arial"/>
                <w:sz w:val="10"/>
                <w:szCs w:val="10"/>
              </w:rPr>
            </w:pPr>
          </w:p>
        </w:tc>
        <w:tc>
          <w:tcPr>
            <w:tcW w:w="2094" w:type="dxa"/>
            <w:tcBorders>
              <w:bottom w:val="single" w:sz="4" w:space="0" w:color="auto"/>
            </w:tcBorders>
          </w:tcPr>
          <w:p w14:paraId="4575F093" w14:textId="77777777" w:rsidR="00D52BD0" w:rsidRPr="001A4A03" w:rsidRDefault="00D52BD0" w:rsidP="00612E2F">
            <w:pPr>
              <w:rPr>
                <w:rFonts w:ascii="Arial" w:hAnsi="Arial" w:cs="Arial"/>
                <w:sz w:val="10"/>
                <w:szCs w:val="10"/>
              </w:rPr>
            </w:pPr>
          </w:p>
        </w:tc>
      </w:tr>
    </w:tbl>
    <w:p w14:paraId="51081CA6" w14:textId="77777777" w:rsidR="00BA2B62" w:rsidRPr="004172DB" w:rsidRDefault="00BA2B62" w:rsidP="00467B9C">
      <w:pPr>
        <w:spacing w:after="0"/>
        <w:rPr>
          <w:rFonts w:ascii="Arial" w:hAnsi="Arial" w:cs="Arial"/>
          <w:sz w:val="20"/>
          <w:szCs w:val="20"/>
        </w:rPr>
      </w:pPr>
      <w:r w:rsidRPr="004172DB">
        <w:rPr>
          <w:rFonts w:ascii="Arial" w:hAnsi="Arial" w:cs="Arial"/>
          <w:sz w:val="20"/>
          <w:szCs w:val="20"/>
        </w:rPr>
        <w:t xml:space="preserve">Notes: </w:t>
      </w:r>
    </w:p>
    <w:p w14:paraId="3F3FFBF3" w14:textId="77777777" w:rsidR="00BA2B62" w:rsidRPr="004172DB" w:rsidRDefault="00BA2B62" w:rsidP="00467B9C">
      <w:pPr>
        <w:tabs>
          <w:tab w:val="left" w:pos="0"/>
        </w:tabs>
        <w:spacing w:after="0"/>
        <w:rPr>
          <w:rFonts w:ascii="Arial" w:hAnsi="Arial" w:cs="Arial"/>
          <w:sz w:val="20"/>
          <w:szCs w:val="20"/>
        </w:rPr>
      </w:pPr>
      <w:r w:rsidRPr="008F71BF">
        <w:rPr>
          <w:rFonts w:ascii="Arial" w:hAnsi="Arial" w:cs="Arial"/>
          <w:sz w:val="20"/>
          <w:szCs w:val="20"/>
          <w:vertAlign w:val="superscript"/>
        </w:rPr>
        <w:t>1</w:t>
      </w:r>
      <w:r w:rsidRPr="008F71BF">
        <w:rPr>
          <w:rFonts w:ascii="Arial" w:hAnsi="Arial" w:cs="Arial"/>
          <w:sz w:val="20"/>
          <w:szCs w:val="20"/>
        </w:rPr>
        <w:t xml:space="preserve"> Model R</w:t>
      </w:r>
      <w:r w:rsidRPr="008F71BF">
        <w:rPr>
          <w:rFonts w:ascii="Arial" w:hAnsi="Arial" w:cs="Arial"/>
          <w:sz w:val="20"/>
          <w:szCs w:val="20"/>
          <w:vertAlign w:val="superscript"/>
        </w:rPr>
        <w:t>2</w:t>
      </w:r>
      <w:r w:rsidR="008022F2" w:rsidRPr="008F71BF">
        <w:rPr>
          <w:rFonts w:ascii="Arial" w:hAnsi="Arial" w:cs="Arial"/>
          <w:sz w:val="20"/>
          <w:szCs w:val="20"/>
        </w:rPr>
        <w:t xml:space="preserve"> = 12.4</w:t>
      </w:r>
      <w:r w:rsidRPr="008F71BF">
        <w:rPr>
          <w:rFonts w:ascii="Arial" w:hAnsi="Arial" w:cs="Arial"/>
          <w:sz w:val="20"/>
          <w:szCs w:val="20"/>
        </w:rPr>
        <w:t>%; Adjusted R</w:t>
      </w:r>
      <w:r w:rsidRPr="008F71BF">
        <w:rPr>
          <w:rFonts w:ascii="Arial" w:hAnsi="Arial" w:cs="Arial"/>
          <w:sz w:val="20"/>
          <w:szCs w:val="20"/>
          <w:vertAlign w:val="superscript"/>
        </w:rPr>
        <w:t>2</w:t>
      </w:r>
      <w:r w:rsidR="008022F2" w:rsidRPr="008F71BF">
        <w:rPr>
          <w:rFonts w:ascii="Arial" w:hAnsi="Arial" w:cs="Arial"/>
          <w:sz w:val="20"/>
          <w:szCs w:val="20"/>
        </w:rPr>
        <w:t xml:space="preserve"> = 9.5</w:t>
      </w:r>
      <w:r w:rsidRPr="008F71BF">
        <w:rPr>
          <w:rFonts w:ascii="Arial" w:hAnsi="Arial" w:cs="Arial"/>
          <w:sz w:val="20"/>
          <w:szCs w:val="20"/>
        </w:rPr>
        <w:t>%. * p&lt;0.05</w:t>
      </w:r>
    </w:p>
    <w:p w14:paraId="14B1657B" w14:textId="77777777" w:rsidR="00BA2B62" w:rsidRDefault="00BA2B62" w:rsidP="0042249E"/>
    <w:p w14:paraId="748EEF1B" w14:textId="77777777" w:rsidR="00BA2B62" w:rsidRPr="0042249E" w:rsidRDefault="00BA2B62" w:rsidP="0042249E"/>
    <w:sectPr w:rsidR="00BA2B62" w:rsidRPr="0042249E" w:rsidSect="003D79F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0606E" w14:textId="77777777" w:rsidR="00AE62F0" w:rsidRDefault="00AE62F0" w:rsidP="00292DE3">
      <w:pPr>
        <w:spacing w:after="0" w:line="240" w:lineRule="auto"/>
      </w:pPr>
      <w:r>
        <w:separator/>
      </w:r>
    </w:p>
  </w:endnote>
  <w:endnote w:type="continuationSeparator" w:id="0">
    <w:p w14:paraId="4B223E45" w14:textId="77777777" w:rsidR="00AE62F0" w:rsidRDefault="00AE62F0" w:rsidP="0029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03952" w14:textId="77777777" w:rsidR="00D1303B" w:rsidRDefault="00D1303B" w:rsidP="00292D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3A9A5" w14:textId="77777777" w:rsidR="00D1303B" w:rsidRDefault="00D1303B" w:rsidP="00292D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26EA" w14:textId="77777777" w:rsidR="00D1303B" w:rsidRDefault="00D1303B" w:rsidP="00292D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022D">
      <w:rPr>
        <w:rStyle w:val="PageNumber"/>
        <w:noProof/>
      </w:rPr>
      <w:t>1</w:t>
    </w:r>
    <w:r>
      <w:rPr>
        <w:rStyle w:val="PageNumber"/>
      </w:rPr>
      <w:fldChar w:fldCharType="end"/>
    </w:r>
  </w:p>
  <w:p w14:paraId="761BAF7A" w14:textId="77777777" w:rsidR="00D1303B" w:rsidRDefault="00D1303B" w:rsidP="00292D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A0227" w14:textId="77777777" w:rsidR="00AE62F0" w:rsidRDefault="00AE62F0" w:rsidP="00292DE3">
      <w:pPr>
        <w:spacing w:after="0" w:line="240" w:lineRule="auto"/>
      </w:pPr>
      <w:r>
        <w:separator/>
      </w:r>
    </w:p>
  </w:footnote>
  <w:footnote w:type="continuationSeparator" w:id="0">
    <w:p w14:paraId="56014BF8" w14:textId="77777777" w:rsidR="00AE62F0" w:rsidRDefault="00AE62F0" w:rsidP="00292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20F"/>
    <w:multiLevelType w:val="hybridMultilevel"/>
    <w:tmpl w:val="E94CC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94B06"/>
    <w:multiLevelType w:val="hybridMultilevel"/>
    <w:tmpl w:val="183AB748"/>
    <w:lvl w:ilvl="0" w:tplc="E304A206">
      <w:start w:val="3"/>
      <w:numFmt w:val="bullet"/>
      <w:lvlText w:val=""/>
      <w:lvlJc w:val="left"/>
      <w:pPr>
        <w:ind w:left="360" w:hanging="360"/>
      </w:pPr>
      <w:rPr>
        <w:rFonts w:ascii="Symbol" w:eastAsiaTheme="minorHAnsi" w:hAnsi="Symbol"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81252A"/>
    <w:multiLevelType w:val="hybridMultilevel"/>
    <w:tmpl w:val="D910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60289"/>
    <w:multiLevelType w:val="hybridMultilevel"/>
    <w:tmpl w:val="EC18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0415A"/>
    <w:multiLevelType w:val="hybridMultilevel"/>
    <w:tmpl w:val="C06EE24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FC8403D"/>
    <w:multiLevelType w:val="hybridMultilevel"/>
    <w:tmpl w:val="7E54CB9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6DC65BD"/>
    <w:multiLevelType w:val="hybridMultilevel"/>
    <w:tmpl w:val="E94CC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A25E1"/>
    <w:multiLevelType w:val="hybridMultilevel"/>
    <w:tmpl w:val="63E6F3DE"/>
    <w:lvl w:ilvl="0" w:tplc="04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4BDF66F7"/>
    <w:multiLevelType w:val="hybridMultilevel"/>
    <w:tmpl w:val="DEA4B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ED701D"/>
    <w:multiLevelType w:val="hybridMultilevel"/>
    <w:tmpl w:val="AC34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D1F11"/>
    <w:multiLevelType w:val="hybridMultilevel"/>
    <w:tmpl w:val="1FEAAEDC"/>
    <w:lvl w:ilvl="0" w:tplc="E304A206">
      <w:start w:val="3"/>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740806"/>
    <w:multiLevelType w:val="hybridMultilevel"/>
    <w:tmpl w:val="671E594C"/>
    <w:lvl w:ilvl="0" w:tplc="E304A206">
      <w:start w:val="3"/>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BE551F"/>
    <w:multiLevelType w:val="hybridMultilevel"/>
    <w:tmpl w:val="A032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063AC8"/>
    <w:multiLevelType w:val="hybridMultilevel"/>
    <w:tmpl w:val="C6D43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1066E"/>
    <w:multiLevelType w:val="hybridMultilevel"/>
    <w:tmpl w:val="ACB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42B50"/>
    <w:multiLevelType w:val="hybridMultilevel"/>
    <w:tmpl w:val="C338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16651"/>
    <w:multiLevelType w:val="hybridMultilevel"/>
    <w:tmpl w:val="DE4CC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13BB3E"/>
    <w:multiLevelType w:val="hybridMultilevel"/>
    <w:tmpl w:val="427908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56329C0"/>
    <w:multiLevelType w:val="hybridMultilevel"/>
    <w:tmpl w:val="E5E4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3C30B6"/>
    <w:multiLevelType w:val="hybridMultilevel"/>
    <w:tmpl w:val="F41C6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A67D1"/>
    <w:multiLevelType w:val="hybridMultilevel"/>
    <w:tmpl w:val="20C8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7F64"/>
    <w:multiLevelType w:val="multilevel"/>
    <w:tmpl w:val="C27E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103CD"/>
    <w:multiLevelType w:val="hybridMultilevel"/>
    <w:tmpl w:val="0F2C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2"/>
  </w:num>
  <w:num w:numId="4">
    <w:abstractNumId w:val="15"/>
  </w:num>
  <w:num w:numId="5">
    <w:abstractNumId w:val="14"/>
  </w:num>
  <w:num w:numId="6">
    <w:abstractNumId w:val="13"/>
  </w:num>
  <w:num w:numId="7">
    <w:abstractNumId w:val="6"/>
  </w:num>
  <w:num w:numId="8">
    <w:abstractNumId w:val="2"/>
  </w:num>
  <w:num w:numId="9">
    <w:abstractNumId w:val="4"/>
  </w:num>
  <w:num w:numId="10">
    <w:abstractNumId w:val="11"/>
  </w:num>
  <w:num w:numId="11">
    <w:abstractNumId w:val="1"/>
  </w:num>
  <w:num w:numId="12">
    <w:abstractNumId w:val="10"/>
  </w:num>
  <w:num w:numId="13">
    <w:abstractNumId w:val="22"/>
  </w:num>
  <w:num w:numId="14">
    <w:abstractNumId w:val="19"/>
  </w:num>
  <w:num w:numId="15">
    <w:abstractNumId w:val="16"/>
  </w:num>
  <w:num w:numId="16">
    <w:abstractNumId w:val="21"/>
  </w:num>
  <w:num w:numId="17">
    <w:abstractNumId w:val="18"/>
  </w:num>
  <w:num w:numId="18">
    <w:abstractNumId w:val="3"/>
  </w:num>
  <w:num w:numId="19">
    <w:abstractNumId w:val="5"/>
  </w:num>
  <w:num w:numId="20">
    <w:abstractNumId w:val="17"/>
  </w:num>
  <w:num w:numId="21">
    <w:abstractNumId w:val="7"/>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F9"/>
    <w:rsid w:val="0000372F"/>
    <w:rsid w:val="000040EE"/>
    <w:rsid w:val="00005C9C"/>
    <w:rsid w:val="00014580"/>
    <w:rsid w:val="00026CF1"/>
    <w:rsid w:val="00026E67"/>
    <w:rsid w:val="00026FE7"/>
    <w:rsid w:val="00031B00"/>
    <w:rsid w:val="00034DBF"/>
    <w:rsid w:val="000364DA"/>
    <w:rsid w:val="00041115"/>
    <w:rsid w:val="00042D03"/>
    <w:rsid w:val="0004320E"/>
    <w:rsid w:val="00043399"/>
    <w:rsid w:val="00051F50"/>
    <w:rsid w:val="00054445"/>
    <w:rsid w:val="00056F92"/>
    <w:rsid w:val="00057440"/>
    <w:rsid w:val="00062236"/>
    <w:rsid w:val="00064AD6"/>
    <w:rsid w:val="00070433"/>
    <w:rsid w:val="00071CC2"/>
    <w:rsid w:val="000725EF"/>
    <w:rsid w:val="000753D1"/>
    <w:rsid w:val="00075A85"/>
    <w:rsid w:val="00077777"/>
    <w:rsid w:val="00092F13"/>
    <w:rsid w:val="00094010"/>
    <w:rsid w:val="000A2521"/>
    <w:rsid w:val="000A3033"/>
    <w:rsid w:val="000B333B"/>
    <w:rsid w:val="000B4435"/>
    <w:rsid w:val="000B6ADA"/>
    <w:rsid w:val="000C3C7A"/>
    <w:rsid w:val="000C60DC"/>
    <w:rsid w:val="000C6AF4"/>
    <w:rsid w:val="000D3130"/>
    <w:rsid w:val="000D6D55"/>
    <w:rsid w:val="000D7737"/>
    <w:rsid w:val="000E0A4C"/>
    <w:rsid w:val="000E784C"/>
    <w:rsid w:val="000F25B5"/>
    <w:rsid w:val="000F609E"/>
    <w:rsid w:val="000F74BD"/>
    <w:rsid w:val="00100D4A"/>
    <w:rsid w:val="00102BF1"/>
    <w:rsid w:val="00103374"/>
    <w:rsid w:val="001134AC"/>
    <w:rsid w:val="00114C6D"/>
    <w:rsid w:val="00115D81"/>
    <w:rsid w:val="00120219"/>
    <w:rsid w:val="001251C2"/>
    <w:rsid w:val="001272C1"/>
    <w:rsid w:val="00127AEC"/>
    <w:rsid w:val="001345B0"/>
    <w:rsid w:val="001400AE"/>
    <w:rsid w:val="00141347"/>
    <w:rsid w:val="00144700"/>
    <w:rsid w:val="0014507E"/>
    <w:rsid w:val="00163D47"/>
    <w:rsid w:val="00164EA6"/>
    <w:rsid w:val="00165EC2"/>
    <w:rsid w:val="00165ED7"/>
    <w:rsid w:val="001739C7"/>
    <w:rsid w:val="00175D4C"/>
    <w:rsid w:val="0017627E"/>
    <w:rsid w:val="001777B8"/>
    <w:rsid w:val="00192E02"/>
    <w:rsid w:val="00196380"/>
    <w:rsid w:val="001A22E4"/>
    <w:rsid w:val="001A4ACF"/>
    <w:rsid w:val="001A5406"/>
    <w:rsid w:val="001A62A2"/>
    <w:rsid w:val="001A6CEE"/>
    <w:rsid w:val="001A6D06"/>
    <w:rsid w:val="001B6F50"/>
    <w:rsid w:val="001C03F4"/>
    <w:rsid w:val="001C35B3"/>
    <w:rsid w:val="001C5199"/>
    <w:rsid w:val="001D08C6"/>
    <w:rsid w:val="001D3248"/>
    <w:rsid w:val="001D4303"/>
    <w:rsid w:val="001D45B4"/>
    <w:rsid w:val="001D5A7E"/>
    <w:rsid w:val="001D6F52"/>
    <w:rsid w:val="001E39B4"/>
    <w:rsid w:val="001E572B"/>
    <w:rsid w:val="001F5DEB"/>
    <w:rsid w:val="001F71A6"/>
    <w:rsid w:val="00203811"/>
    <w:rsid w:val="00203A68"/>
    <w:rsid w:val="002044A6"/>
    <w:rsid w:val="0020746C"/>
    <w:rsid w:val="002077F8"/>
    <w:rsid w:val="00210664"/>
    <w:rsid w:val="0021188D"/>
    <w:rsid w:val="002144BA"/>
    <w:rsid w:val="00214BC8"/>
    <w:rsid w:val="00214FC2"/>
    <w:rsid w:val="00215847"/>
    <w:rsid w:val="0022022D"/>
    <w:rsid w:val="002358DE"/>
    <w:rsid w:val="002433EF"/>
    <w:rsid w:val="0024752C"/>
    <w:rsid w:val="002537F8"/>
    <w:rsid w:val="00257F47"/>
    <w:rsid w:val="0026431D"/>
    <w:rsid w:val="002705AC"/>
    <w:rsid w:val="0027348D"/>
    <w:rsid w:val="00280C61"/>
    <w:rsid w:val="00283286"/>
    <w:rsid w:val="00286038"/>
    <w:rsid w:val="002918C8"/>
    <w:rsid w:val="0029205C"/>
    <w:rsid w:val="00292DE3"/>
    <w:rsid w:val="0029381C"/>
    <w:rsid w:val="002957AC"/>
    <w:rsid w:val="00297EEE"/>
    <w:rsid w:val="002A4905"/>
    <w:rsid w:val="002A4D16"/>
    <w:rsid w:val="002A55AD"/>
    <w:rsid w:val="002B2513"/>
    <w:rsid w:val="002C1319"/>
    <w:rsid w:val="002C7C99"/>
    <w:rsid w:val="002D1C68"/>
    <w:rsid w:val="002D2399"/>
    <w:rsid w:val="002E37AB"/>
    <w:rsid w:val="002E413E"/>
    <w:rsid w:val="002E4D28"/>
    <w:rsid w:val="002E5E42"/>
    <w:rsid w:val="002F1301"/>
    <w:rsid w:val="002F325D"/>
    <w:rsid w:val="002F4E30"/>
    <w:rsid w:val="002F5A24"/>
    <w:rsid w:val="00301BBA"/>
    <w:rsid w:val="0031000E"/>
    <w:rsid w:val="0031008D"/>
    <w:rsid w:val="00334139"/>
    <w:rsid w:val="00334B48"/>
    <w:rsid w:val="00341BF5"/>
    <w:rsid w:val="0034358F"/>
    <w:rsid w:val="0034769B"/>
    <w:rsid w:val="003503AD"/>
    <w:rsid w:val="00353535"/>
    <w:rsid w:val="00361EDD"/>
    <w:rsid w:val="00362FBE"/>
    <w:rsid w:val="003720FB"/>
    <w:rsid w:val="00376B5E"/>
    <w:rsid w:val="00383890"/>
    <w:rsid w:val="00384E89"/>
    <w:rsid w:val="0038562B"/>
    <w:rsid w:val="00387973"/>
    <w:rsid w:val="003912DF"/>
    <w:rsid w:val="003955CB"/>
    <w:rsid w:val="00396E5E"/>
    <w:rsid w:val="003C1509"/>
    <w:rsid w:val="003C5565"/>
    <w:rsid w:val="003D0567"/>
    <w:rsid w:val="003D3DAD"/>
    <w:rsid w:val="003D79FF"/>
    <w:rsid w:val="003E10EF"/>
    <w:rsid w:val="003E5C70"/>
    <w:rsid w:val="003F0D62"/>
    <w:rsid w:val="003F1553"/>
    <w:rsid w:val="003F2AAA"/>
    <w:rsid w:val="003F45A9"/>
    <w:rsid w:val="003F6545"/>
    <w:rsid w:val="003F69DA"/>
    <w:rsid w:val="00400217"/>
    <w:rsid w:val="00401B8E"/>
    <w:rsid w:val="00402467"/>
    <w:rsid w:val="0040454B"/>
    <w:rsid w:val="00405B19"/>
    <w:rsid w:val="00413B1C"/>
    <w:rsid w:val="0042249E"/>
    <w:rsid w:val="00432684"/>
    <w:rsid w:val="00434106"/>
    <w:rsid w:val="00441466"/>
    <w:rsid w:val="00445B85"/>
    <w:rsid w:val="0044760B"/>
    <w:rsid w:val="0045275C"/>
    <w:rsid w:val="0045539C"/>
    <w:rsid w:val="00460813"/>
    <w:rsid w:val="004637C2"/>
    <w:rsid w:val="0046550B"/>
    <w:rsid w:val="00466404"/>
    <w:rsid w:val="00467B9C"/>
    <w:rsid w:val="00476344"/>
    <w:rsid w:val="00482F81"/>
    <w:rsid w:val="004833E4"/>
    <w:rsid w:val="0048463D"/>
    <w:rsid w:val="00485D12"/>
    <w:rsid w:val="00490285"/>
    <w:rsid w:val="00495DDD"/>
    <w:rsid w:val="004A2B0F"/>
    <w:rsid w:val="004A3951"/>
    <w:rsid w:val="004A728F"/>
    <w:rsid w:val="004B0878"/>
    <w:rsid w:val="004B0FEE"/>
    <w:rsid w:val="004B15A9"/>
    <w:rsid w:val="004B2E6A"/>
    <w:rsid w:val="004C2214"/>
    <w:rsid w:val="004C252A"/>
    <w:rsid w:val="004C531B"/>
    <w:rsid w:val="004C5AF9"/>
    <w:rsid w:val="004C5DA6"/>
    <w:rsid w:val="004C7DBC"/>
    <w:rsid w:val="004D1A5F"/>
    <w:rsid w:val="004D71AC"/>
    <w:rsid w:val="004E1B41"/>
    <w:rsid w:val="004E411D"/>
    <w:rsid w:val="004E5DEC"/>
    <w:rsid w:val="004F2897"/>
    <w:rsid w:val="004F56BE"/>
    <w:rsid w:val="004F5D1A"/>
    <w:rsid w:val="00503A3D"/>
    <w:rsid w:val="00503BFD"/>
    <w:rsid w:val="00504F66"/>
    <w:rsid w:val="00506AC8"/>
    <w:rsid w:val="0050763D"/>
    <w:rsid w:val="0051103D"/>
    <w:rsid w:val="005115C1"/>
    <w:rsid w:val="005222FB"/>
    <w:rsid w:val="005240B0"/>
    <w:rsid w:val="00524F9B"/>
    <w:rsid w:val="00525A19"/>
    <w:rsid w:val="0052797E"/>
    <w:rsid w:val="0053391A"/>
    <w:rsid w:val="00534213"/>
    <w:rsid w:val="00540237"/>
    <w:rsid w:val="00541F62"/>
    <w:rsid w:val="005422EB"/>
    <w:rsid w:val="00544905"/>
    <w:rsid w:val="00545A13"/>
    <w:rsid w:val="0054696F"/>
    <w:rsid w:val="00550722"/>
    <w:rsid w:val="005518AB"/>
    <w:rsid w:val="00553F36"/>
    <w:rsid w:val="00554409"/>
    <w:rsid w:val="00554570"/>
    <w:rsid w:val="0055466B"/>
    <w:rsid w:val="00561BCD"/>
    <w:rsid w:val="00562A69"/>
    <w:rsid w:val="00562F86"/>
    <w:rsid w:val="00564986"/>
    <w:rsid w:val="005657EB"/>
    <w:rsid w:val="005707B7"/>
    <w:rsid w:val="0058488F"/>
    <w:rsid w:val="005853C6"/>
    <w:rsid w:val="00587262"/>
    <w:rsid w:val="005875E7"/>
    <w:rsid w:val="00587861"/>
    <w:rsid w:val="00590BFE"/>
    <w:rsid w:val="00591832"/>
    <w:rsid w:val="00596F60"/>
    <w:rsid w:val="005A1AB6"/>
    <w:rsid w:val="005B037B"/>
    <w:rsid w:val="005B16CA"/>
    <w:rsid w:val="005B193B"/>
    <w:rsid w:val="005B454B"/>
    <w:rsid w:val="005B6CDF"/>
    <w:rsid w:val="005B7223"/>
    <w:rsid w:val="005C02BD"/>
    <w:rsid w:val="005C04D4"/>
    <w:rsid w:val="005C3386"/>
    <w:rsid w:val="005C34FF"/>
    <w:rsid w:val="005C7FE2"/>
    <w:rsid w:val="005D1F73"/>
    <w:rsid w:val="005D23FC"/>
    <w:rsid w:val="005D5C5D"/>
    <w:rsid w:val="005E107C"/>
    <w:rsid w:val="005E1326"/>
    <w:rsid w:val="005E308D"/>
    <w:rsid w:val="005E475B"/>
    <w:rsid w:val="005E6BB8"/>
    <w:rsid w:val="005F369B"/>
    <w:rsid w:val="005F4C55"/>
    <w:rsid w:val="005F575E"/>
    <w:rsid w:val="005F7E1D"/>
    <w:rsid w:val="0060167A"/>
    <w:rsid w:val="00607F89"/>
    <w:rsid w:val="006121F9"/>
    <w:rsid w:val="00612E2F"/>
    <w:rsid w:val="006171A5"/>
    <w:rsid w:val="00620F69"/>
    <w:rsid w:val="006216C8"/>
    <w:rsid w:val="006221A1"/>
    <w:rsid w:val="00622CB6"/>
    <w:rsid w:val="00626D18"/>
    <w:rsid w:val="00631AE5"/>
    <w:rsid w:val="006343E4"/>
    <w:rsid w:val="006345F7"/>
    <w:rsid w:val="0063521F"/>
    <w:rsid w:val="00640894"/>
    <w:rsid w:val="00650948"/>
    <w:rsid w:val="006518BD"/>
    <w:rsid w:val="00651EFD"/>
    <w:rsid w:val="00652DBB"/>
    <w:rsid w:val="00660BD6"/>
    <w:rsid w:val="006647F7"/>
    <w:rsid w:val="00666D96"/>
    <w:rsid w:val="00667F80"/>
    <w:rsid w:val="00672447"/>
    <w:rsid w:val="00676B42"/>
    <w:rsid w:val="006817F6"/>
    <w:rsid w:val="00681CD8"/>
    <w:rsid w:val="00684956"/>
    <w:rsid w:val="00685A85"/>
    <w:rsid w:val="00686DBB"/>
    <w:rsid w:val="00686E24"/>
    <w:rsid w:val="006905DB"/>
    <w:rsid w:val="00693CC1"/>
    <w:rsid w:val="00696232"/>
    <w:rsid w:val="00697098"/>
    <w:rsid w:val="006A5EA1"/>
    <w:rsid w:val="006A62C0"/>
    <w:rsid w:val="006B07A6"/>
    <w:rsid w:val="006B2585"/>
    <w:rsid w:val="006B6059"/>
    <w:rsid w:val="006B6E5E"/>
    <w:rsid w:val="006C0B99"/>
    <w:rsid w:val="006C260C"/>
    <w:rsid w:val="006C71B1"/>
    <w:rsid w:val="006E2368"/>
    <w:rsid w:val="006E2CB0"/>
    <w:rsid w:val="006F08BC"/>
    <w:rsid w:val="006F25DF"/>
    <w:rsid w:val="006F5E7D"/>
    <w:rsid w:val="0070038F"/>
    <w:rsid w:val="00700956"/>
    <w:rsid w:val="00701CA4"/>
    <w:rsid w:val="00704E66"/>
    <w:rsid w:val="00705229"/>
    <w:rsid w:val="00707FE8"/>
    <w:rsid w:val="00710988"/>
    <w:rsid w:val="007130A7"/>
    <w:rsid w:val="00714813"/>
    <w:rsid w:val="00716018"/>
    <w:rsid w:val="0071723E"/>
    <w:rsid w:val="00722193"/>
    <w:rsid w:val="007269FA"/>
    <w:rsid w:val="007351E7"/>
    <w:rsid w:val="0073544A"/>
    <w:rsid w:val="00737578"/>
    <w:rsid w:val="00740CE1"/>
    <w:rsid w:val="007444AA"/>
    <w:rsid w:val="007477C5"/>
    <w:rsid w:val="00750DD4"/>
    <w:rsid w:val="00753871"/>
    <w:rsid w:val="007540BA"/>
    <w:rsid w:val="00757A14"/>
    <w:rsid w:val="00760F1A"/>
    <w:rsid w:val="0076199F"/>
    <w:rsid w:val="0077544B"/>
    <w:rsid w:val="00782045"/>
    <w:rsid w:val="00785262"/>
    <w:rsid w:val="007905ED"/>
    <w:rsid w:val="007A1309"/>
    <w:rsid w:val="007A2522"/>
    <w:rsid w:val="007A2959"/>
    <w:rsid w:val="007A42DF"/>
    <w:rsid w:val="007B071A"/>
    <w:rsid w:val="007B1A32"/>
    <w:rsid w:val="007B2C59"/>
    <w:rsid w:val="007C1CE9"/>
    <w:rsid w:val="007C2FA5"/>
    <w:rsid w:val="007C4C90"/>
    <w:rsid w:val="007C5D70"/>
    <w:rsid w:val="007C6039"/>
    <w:rsid w:val="007C7B79"/>
    <w:rsid w:val="007D3DA0"/>
    <w:rsid w:val="007D416A"/>
    <w:rsid w:val="007E0D74"/>
    <w:rsid w:val="007F02DB"/>
    <w:rsid w:val="007F0705"/>
    <w:rsid w:val="007F67CF"/>
    <w:rsid w:val="007F742D"/>
    <w:rsid w:val="008006FD"/>
    <w:rsid w:val="008012D2"/>
    <w:rsid w:val="008022F2"/>
    <w:rsid w:val="00805A0B"/>
    <w:rsid w:val="008215B1"/>
    <w:rsid w:val="00823BC5"/>
    <w:rsid w:val="008323D5"/>
    <w:rsid w:val="00836A63"/>
    <w:rsid w:val="008372B5"/>
    <w:rsid w:val="00842977"/>
    <w:rsid w:val="0084546B"/>
    <w:rsid w:val="008506FA"/>
    <w:rsid w:val="00855540"/>
    <w:rsid w:val="00867C98"/>
    <w:rsid w:val="008700DF"/>
    <w:rsid w:val="00870AC8"/>
    <w:rsid w:val="00874DA6"/>
    <w:rsid w:val="00874E64"/>
    <w:rsid w:val="00881C7A"/>
    <w:rsid w:val="00887E8F"/>
    <w:rsid w:val="008913D6"/>
    <w:rsid w:val="00895E8D"/>
    <w:rsid w:val="008976C4"/>
    <w:rsid w:val="008A408B"/>
    <w:rsid w:val="008A440C"/>
    <w:rsid w:val="008A65EC"/>
    <w:rsid w:val="008B383B"/>
    <w:rsid w:val="008B485F"/>
    <w:rsid w:val="008B63BA"/>
    <w:rsid w:val="008B7570"/>
    <w:rsid w:val="008C290E"/>
    <w:rsid w:val="008C3CAD"/>
    <w:rsid w:val="008C529C"/>
    <w:rsid w:val="008E0348"/>
    <w:rsid w:val="008E4309"/>
    <w:rsid w:val="008E74AA"/>
    <w:rsid w:val="008F01CB"/>
    <w:rsid w:val="008F1449"/>
    <w:rsid w:val="008F1E3E"/>
    <w:rsid w:val="008F307B"/>
    <w:rsid w:val="008F3672"/>
    <w:rsid w:val="008F3B4E"/>
    <w:rsid w:val="008F71BF"/>
    <w:rsid w:val="00902AC6"/>
    <w:rsid w:val="00903680"/>
    <w:rsid w:val="00903D68"/>
    <w:rsid w:val="00910095"/>
    <w:rsid w:val="00913557"/>
    <w:rsid w:val="009141DE"/>
    <w:rsid w:val="00914E4F"/>
    <w:rsid w:val="00921F15"/>
    <w:rsid w:val="009257C1"/>
    <w:rsid w:val="00927947"/>
    <w:rsid w:val="0093102C"/>
    <w:rsid w:val="0093358D"/>
    <w:rsid w:val="00936B17"/>
    <w:rsid w:val="00941232"/>
    <w:rsid w:val="009426F9"/>
    <w:rsid w:val="0094563F"/>
    <w:rsid w:val="009516F1"/>
    <w:rsid w:val="0096142D"/>
    <w:rsid w:val="009626BC"/>
    <w:rsid w:val="00972167"/>
    <w:rsid w:val="009815E1"/>
    <w:rsid w:val="00984AB7"/>
    <w:rsid w:val="00991534"/>
    <w:rsid w:val="00991A62"/>
    <w:rsid w:val="00992E77"/>
    <w:rsid w:val="009A0639"/>
    <w:rsid w:val="009A3101"/>
    <w:rsid w:val="009A43C5"/>
    <w:rsid w:val="009A44DC"/>
    <w:rsid w:val="009A627E"/>
    <w:rsid w:val="009A7C82"/>
    <w:rsid w:val="009A7D70"/>
    <w:rsid w:val="009B094D"/>
    <w:rsid w:val="009B219E"/>
    <w:rsid w:val="009B247F"/>
    <w:rsid w:val="009B5A16"/>
    <w:rsid w:val="009B62EF"/>
    <w:rsid w:val="009B7945"/>
    <w:rsid w:val="009C6155"/>
    <w:rsid w:val="009C6404"/>
    <w:rsid w:val="009C6785"/>
    <w:rsid w:val="009D3535"/>
    <w:rsid w:val="009E20CB"/>
    <w:rsid w:val="009E5D36"/>
    <w:rsid w:val="009F2453"/>
    <w:rsid w:val="00A00A38"/>
    <w:rsid w:val="00A033E0"/>
    <w:rsid w:val="00A0401C"/>
    <w:rsid w:val="00A05CBB"/>
    <w:rsid w:val="00A23F16"/>
    <w:rsid w:val="00A24887"/>
    <w:rsid w:val="00A26AC7"/>
    <w:rsid w:val="00A350C4"/>
    <w:rsid w:val="00A36483"/>
    <w:rsid w:val="00A44EF3"/>
    <w:rsid w:val="00A513A3"/>
    <w:rsid w:val="00A51CEE"/>
    <w:rsid w:val="00A54EF8"/>
    <w:rsid w:val="00A54F0C"/>
    <w:rsid w:val="00A56A2F"/>
    <w:rsid w:val="00A60B92"/>
    <w:rsid w:val="00A60D19"/>
    <w:rsid w:val="00A630D3"/>
    <w:rsid w:val="00A66916"/>
    <w:rsid w:val="00A710C7"/>
    <w:rsid w:val="00A72CBB"/>
    <w:rsid w:val="00A75C2D"/>
    <w:rsid w:val="00A77B53"/>
    <w:rsid w:val="00A835EF"/>
    <w:rsid w:val="00A849AB"/>
    <w:rsid w:val="00A87AFB"/>
    <w:rsid w:val="00A90553"/>
    <w:rsid w:val="00A930AF"/>
    <w:rsid w:val="00A94E37"/>
    <w:rsid w:val="00A956CF"/>
    <w:rsid w:val="00A96214"/>
    <w:rsid w:val="00A9740B"/>
    <w:rsid w:val="00AA17FA"/>
    <w:rsid w:val="00AA2F72"/>
    <w:rsid w:val="00AA4E3C"/>
    <w:rsid w:val="00AA5B0A"/>
    <w:rsid w:val="00AB438B"/>
    <w:rsid w:val="00AB6491"/>
    <w:rsid w:val="00AC187A"/>
    <w:rsid w:val="00AC463A"/>
    <w:rsid w:val="00AC6606"/>
    <w:rsid w:val="00AC6A1A"/>
    <w:rsid w:val="00AD0E2B"/>
    <w:rsid w:val="00AD1350"/>
    <w:rsid w:val="00AD366C"/>
    <w:rsid w:val="00AD6F46"/>
    <w:rsid w:val="00AE09FD"/>
    <w:rsid w:val="00AE62F0"/>
    <w:rsid w:val="00AE776B"/>
    <w:rsid w:val="00AE7C8A"/>
    <w:rsid w:val="00AF0D59"/>
    <w:rsid w:val="00AF2AE9"/>
    <w:rsid w:val="00AF543C"/>
    <w:rsid w:val="00AF74EC"/>
    <w:rsid w:val="00AF7791"/>
    <w:rsid w:val="00B034C4"/>
    <w:rsid w:val="00B06D98"/>
    <w:rsid w:val="00B076E6"/>
    <w:rsid w:val="00B12EF4"/>
    <w:rsid w:val="00B14672"/>
    <w:rsid w:val="00B218A5"/>
    <w:rsid w:val="00B246CE"/>
    <w:rsid w:val="00B254D5"/>
    <w:rsid w:val="00B30074"/>
    <w:rsid w:val="00B35535"/>
    <w:rsid w:val="00B371B4"/>
    <w:rsid w:val="00B379F5"/>
    <w:rsid w:val="00B4133B"/>
    <w:rsid w:val="00B5509F"/>
    <w:rsid w:val="00B55BF3"/>
    <w:rsid w:val="00B567FE"/>
    <w:rsid w:val="00B56F46"/>
    <w:rsid w:val="00B60B90"/>
    <w:rsid w:val="00B61D24"/>
    <w:rsid w:val="00B642EC"/>
    <w:rsid w:val="00B71997"/>
    <w:rsid w:val="00B71DCC"/>
    <w:rsid w:val="00B71E35"/>
    <w:rsid w:val="00B73D10"/>
    <w:rsid w:val="00B74715"/>
    <w:rsid w:val="00B82378"/>
    <w:rsid w:val="00B85B79"/>
    <w:rsid w:val="00B90C63"/>
    <w:rsid w:val="00B9326F"/>
    <w:rsid w:val="00B93B2E"/>
    <w:rsid w:val="00B94B3C"/>
    <w:rsid w:val="00B95177"/>
    <w:rsid w:val="00BA217F"/>
    <w:rsid w:val="00BA2B62"/>
    <w:rsid w:val="00BA386B"/>
    <w:rsid w:val="00BA3A76"/>
    <w:rsid w:val="00BB0ADC"/>
    <w:rsid w:val="00BB121E"/>
    <w:rsid w:val="00BB5F78"/>
    <w:rsid w:val="00BC1B9F"/>
    <w:rsid w:val="00BC33FF"/>
    <w:rsid w:val="00BC5E5B"/>
    <w:rsid w:val="00BD4A92"/>
    <w:rsid w:val="00BE4084"/>
    <w:rsid w:val="00BE4713"/>
    <w:rsid w:val="00BF5F80"/>
    <w:rsid w:val="00BF68A8"/>
    <w:rsid w:val="00C01F3A"/>
    <w:rsid w:val="00C03DBA"/>
    <w:rsid w:val="00C07E5C"/>
    <w:rsid w:val="00C1214E"/>
    <w:rsid w:val="00C14FEB"/>
    <w:rsid w:val="00C20C15"/>
    <w:rsid w:val="00C22508"/>
    <w:rsid w:val="00C22E48"/>
    <w:rsid w:val="00C267D7"/>
    <w:rsid w:val="00C26CAA"/>
    <w:rsid w:val="00C32489"/>
    <w:rsid w:val="00C340E5"/>
    <w:rsid w:val="00C3740A"/>
    <w:rsid w:val="00C4055F"/>
    <w:rsid w:val="00C44C75"/>
    <w:rsid w:val="00C463E7"/>
    <w:rsid w:val="00C51B51"/>
    <w:rsid w:val="00C524A3"/>
    <w:rsid w:val="00C54EA0"/>
    <w:rsid w:val="00C560EE"/>
    <w:rsid w:val="00C63712"/>
    <w:rsid w:val="00C64712"/>
    <w:rsid w:val="00C67CD5"/>
    <w:rsid w:val="00C74A2A"/>
    <w:rsid w:val="00C752E1"/>
    <w:rsid w:val="00C75568"/>
    <w:rsid w:val="00C85512"/>
    <w:rsid w:val="00C86A1B"/>
    <w:rsid w:val="00C91D89"/>
    <w:rsid w:val="00C94D5E"/>
    <w:rsid w:val="00C9575B"/>
    <w:rsid w:val="00CA2D24"/>
    <w:rsid w:val="00CA6057"/>
    <w:rsid w:val="00CB1154"/>
    <w:rsid w:val="00CB3298"/>
    <w:rsid w:val="00CB5795"/>
    <w:rsid w:val="00CC21DA"/>
    <w:rsid w:val="00CC35B3"/>
    <w:rsid w:val="00CD0A0F"/>
    <w:rsid w:val="00CD6010"/>
    <w:rsid w:val="00CE40F0"/>
    <w:rsid w:val="00CE456A"/>
    <w:rsid w:val="00CF21DF"/>
    <w:rsid w:val="00CF2B16"/>
    <w:rsid w:val="00CF4799"/>
    <w:rsid w:val="00CF5419"/>
    <w:rsid w:val="00CF7D0B"/>
    <w:rsid w:val="00D02D46"/>
    <w:rsid w:val="00D05EAD"/>
    <w:rsid w:val="00D1303B"/>
    <w:rsid w:val="00D17C88"/>
    <w:rsid w:val="00D2027B"/>
    <w:rsid w:val="00D2694E"/>
    <w:rsid w:val="00D27A27"/>
    <w:rsid w:val="00D27B91"/>
    <w:rsid w:val="00D30D47"/>
    <w:rsid w:val="00D3358B"/>
    <w:rsid w:val="00D34879"/>
    <w:rsid w:val="00D34D68"/>
    <w:rsid w:val="00D37276"/>
    <w:rsid w:val="00D40F84"/>
    <w:rsid w:val="00D40F8A"/>
    <w:rsid w:val="00D51C74"/>
    <w:rsid w:val="00D52BD0"/>
    <w:rsid w:val="00D54B24"/>
    <w:rsid w:val="00D563BF"/>
    <w:rsid w:val="00D56E6F"/>
    <w:rsid w:val="00D606ED"/>
    <w:rsid w:val="00D66F44"/>
    <w:rsid w:val="00D75CCB"/>
    <w:rsid w:val="00D81ECA"/>
    <w:rsid w:val="00D83FBD"/>
    <w:rsid w:val="00D841EC"/>
    <w:rsid w:val="00D87923"/>
    <w:rsid w:val="00D92290"/>
    <w:rsid w:val="00D92851"/>
    <w:rsid w:val="00D96C28"/>
    <w:rsid w:val="00DA204C"/>
    <w:rsid w:val="00DA705D"/>
    <w:rsid w:val="00DB1DAC"/>
    <w:rsid w:val="00DC10EF"/>
    <w:rsid w:val="00DC2D2E"/>
    <w:rsid w:val="00DD3FBE"/>
    <w:rsid w:val="00DE143B"/>
    <w:rsid w:val="00DE32E5"/>
    <w:rsid w:val="00DF00F9"/>
    <w:rsid w:val="00DF143D"/>
    <w:rsid w:val="00DF432E"/>
    <w:rsid w:val="00DF6F53"/>
    <w:rsid w:val="00E0237B"/>
    <w:rsid w:val="00E0282F"/>
    <w:rsid w:val="00E11869"/>
    <w:rsid w:val="00E119C8"/>
    <w:rsid w:val="00E12B42"/>
    <w:rsid w:val="00E15A33"/>
    <w:rsid w:val="00E16B4D"/>
    <w:rsid w:val="00E16DB8"/>
    <w:rsid w:val="00E204A3"/>
    <w:rsid w:val="00E236CD"/>
    <w:rsid w:val="00E26904"/>
    <w:rsid w:val="00E26EC6"/>
    <w:rsid w:val="00E32768"/>
    <w:rsid w:val="00E37742"/>
    <w:rsid w:val="00E44986"/>
    <w:rsid w:val="00E509BD"/>
    <w:rsid w:val="00E51322"/>
    <w:rsid w:val="00E5208E"/>
    <w:rsid w:val="00E544A4"/>
    <w:rsid w:val="00E632BE"/>
    <w:rsid w:val="00E66E1B"/>
    <w:rsid w:val="00E70BB8"/>
    <w:rsid w:val="00E71424"/>
    <w:rsid w:val="00E74B39"/>
    <w:rsid w:val="00E776B6"/>
    <w:rsid w:val="00E86641"/>
    <w:rsid w:val="00E87340"/>
    <w:rsid w:val="00E923BC"/>
    <w:rsid w:val="00E9752D"/>
    <w:rsid w:val="00EB1283"/>
    <w:rsid w:val="00EB1D08"/>
    <w:rsid w:val="00EB2A5E"/>
    <w:rsid w:val="00EB2CBF"/>
    <w:rsid w:val="00EB3253"/>
    <w:rsid w:val="00EB4F26"/>
    <w:rsid w:val="00EB5FD2"/>
    <w:rsid w:val="00EB63C2"/>
    <w:rsid w:val="00EB63CA"/>
    <w:rsid w:val="00EB7556"/>
    <w:rsid w:val="00EC1E26"/>
    <w:rsid w:val="00EC262F"/>
    <w:rsid w:val="00EC303B"/>
    <w:rsid w:val="00EC331C"/>
    <w:rsid w:val="00EC38EE"/>
    <w:rsid w:val="00EC6386"/>
    <w:rsid w:val="00EC6EFD"/>
    <w:rsid w:val="00EC74C3"/>
    <w:rsid w:val="00ED2A2C"/>
    <w:rsid w:val="00ED42E7"/>
    <w:rsid w:val="00EE0286"/>
    <w:rsid w:val="00EE0FC0"/>
    <w:rsid w:val="00EE1AB6"/>
    <w:rsid w:val="00EE5333"/>
    <w:rsid w:val="00EE7046"/>
    <w:rsid w:val="00EE7768"/>
    <w:rsid w:val="00EF1E77"/>
    <w:rsid w:val="00F0235C"/>
    <w:rsid w:val="00F025F6"/>
    <w:rsid w:val="00F02631"/>
    <w:rsid w:val="00F03860"/>
    <w:rsid w:val="00F1052A"/>
    <w:rsid w:val="00F23BCD"/>
    <w:rsid w:val="00F247D0"/>
    <w:rsid w:val="00F27700"/>
    <w:rsid w:val="00F322CF"/>
    <w:rsid w:val="00F32853"/>
    <w:rsid w:val="00F40030"/>
    <w:rsid w:val="00F4248C"/>
    <w:rsid w:val="00F50923"/>
    <w:rsid w:val="00F659CD"/>
    <w:rsid w:val="00F715E5"/>
    <w:rsid w:val="00F71F63"/>
    <w:rsid w:val="00F736DA"/>
    <w:rsid w:val="00F876CB"/>
    <w:rsid w:val="00F878F3"/>
    <w:rsid w:val="00F915A7"/>
    <w:rsid w:val="00F9283D"/>
    <w:rsid w:val="00F971F3"/>
    <w:rsid w:val="00F978C1"/>
    <w:rsid w:val="00FA2CB6"/>
    <w:rsid w:val="00FA5275"/>
    <w:rsid w:val="00FA58BC"/>
    <w:rsid w:val="00FA676B"/>
    <w:rsid w:val="00FB456C"/>
    <w:rsid w:val="00FB6213"/>
    <w:rsid w:val="00FC26AD"/>
    <w:rsid w:val="00FD198B"/>
    <w:rsid w:val="00FE42DF"/>
    <w:rsid w:val="00FE6074"/>
    <w:rsid w:val="00FF329F"/>
    <w:rsid w:val="00FF3C17"/>
    <w:rsid w:val="00FF48C8"/>
    <w:rsid w:val="00FF7D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2C7A0"/>
  <w15:docId w15:val="{08B59427-6CF8-489A-9410-D96BB475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D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3101"/>
    <w:pPr>
      <w:keepNext/>
      <w:keepLines/>
      <w:spacing w:before="200" w:after="0" w:line="240" w:lineRule="auto"/>
      <w:outlineLvl w:val="1"/>
    </w:pPr>
    <w:rPr>
      <w:rFonts w:asciiTheme="majorHAnsi" w:eastAsiaTheme="majorEastAsia" w:hAnsiTheme="majorHAnsi" w:cstheme="majorBidi"/>
      <w:b/>
      <w:bCs/>
      <w:color w:val="BF8F00" w:themeColor="accent4" w:themeShade="BF"/>
      <w:lang w:val="en-US"/>
    </w:rPr>
  </w:style>
  <w:style w:type="paragraph" w:styleId="Heading3">
    <w:name w:val="heading 3"/>
    <w:basedOn w:val="Normal"/>
    <w:next w:val="Normal"/>
    <w:link w:val="Heading3Char"/>
    <w:uiPriority w:val="9"/>
    <w:semiHidden/>
    <w:unhideWhenUsed/>
    <w:qFormat/>
    <w:rsid w:val="00B94B3C"/>
    <w:pPr>
      <w:keepNext/>
      <w:keepLines/>
      <w:spacing w:before="200" w:after="0" w:line="240" w:lineRule="auto"/>
      <w:outlineLvl w:val="2"/>
    </w:pPr>
    <w:rPr>
      <w:rFonts w:asciiTheme="majorHAnsi" w:eastAsiaTheme="majorEastAsia" w:hAnsiTheme="majorHAnsi" w:cstheme="majorBidi"/>
      <w:b/>
      <w:bCs/>
      <w:color w:val="5B9BD5"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101"/>
    <w:pPr>
      <w:spacing w:after="0" w:line="240" w:lineRule="auto"/>
      <w:ind w:left="720"/>
      <w:contextualSpacing/>
    </w:pPr>
    <w:rPr>
      <w:rFonts w:eastAsia="Times New Roman" w:cs="Times New Roman"/>
      <w:szCs w:val="24"/>
    </w:rPr>
  </w:style>
  <w:style w:type="character" w:customStyle="1" w:styleId="Heading2Char">
    <w:name w:val="Heading 2 Char"/>
    <w:basedOn w:val="DefaultParagraphFont"/>
    <w:link w:val="Heading2"/>
    <w:uiPriority w:val="9"/>
    <w:rsid w:val="009A3101"/>
    <w:rPr>
      <w:rFonts w:asciiTheme="majorHAnsi" w:eastAsiaTheme="majorEastAsia" w:hAnsiTheme="majorHAnsi" w:cstheme="majorBidi"/>
      <w:b/>
      <w:bCs/>
      <w:color w:val="BF8F00" w:themeColor="accent4" w:themeShade="BF"/>
      <w:lang w:val="en-US"/>
    </w:rPr>
  </w:style>
  <w:style w:type="table" w:styleId="TableGrid">
    <w:name w:val="Table Grid"/>
    <w:basedOn w:val="TableNormal"/>
    <w:uiPriority w:val="59"/>
    <w:rsid w:val="009A310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A3101"/>
    <w:rPr>
      <w:i/>
      <w:iCs/>
    </w:rPr>
  </w:style>
  <w:style w:type="character" w:styleId="Strong">
    <w:name w:val="Strong"/>
    <w:basedOn w:val="DefaultParagraphFont"/>
    <w:uiPriority w:val="22"/>
    <w:qFormat/>
    <w:rsid w:val="009A3101"/>
    <w:rPr>
      <w:b/>
      <w:bCs/>
    </w:rPr>
  </w:style>
  <w:style w:type="character" w:styleId="HTMLAcronym">
    <w:name w:val="HTML Acronym"/>
    <w:basedOn w:val="DefaultParagraphFont"/>
    <w:uiPriority w:val="99"/>
    <w:semiHidden/>
    <w:unhideWhenUsed/>
    <w:rsid w:val="009A3101"/>
  </w:style>
  <w:style w:type="character" w:customStyle="1" w:styleId="Heading3Char">
    <w:name w:val="Heading 3 Char"/>
    <w:basedOn w:val="DefaultParagraphFont"/>
    <w:link w:val="Heading3"/>
    <w:uiPriority w:val="9"/>
    <w:semiHidden/>
    <w:rsid w:val="00B94B3C"/>
    <w:rPr>
      <w:rFonts w:asciiTheme="majorHAnsi" w:eastAsiaTheme="majorEastAsia" w:hAnsiTheme="majorHAnsi" w:cstheme="majorBidi"/>
      <w:b/>
      <w:bCs/>
      <w:color w:val="5B9BD5" w:themeColor="accent1"/>
      <w:lang w:val="en-US"/>
    </w:rPr>
  </w:style>
  <w:style w:type="character" w:customStyle="1" w:styleId="CommentTextChar">
    <w:name w:val="Comment Text Char"/>
    <w:basedOn w:val="DefaultParagraphFont"/>
    <w:link w:val="CommentText"/>
    <w:uiPriority w:val="99"/>
    <w:rsid w:val="00B94B3C"/>
    <w:rPr>
      <w:sz w:val="20"/>
      <w:szCs w:val="20"/>
    </w:rPr>
  </w:style>
  <w:style w:type="paragraph" w:styleId="CommentText">
    <w:name w:val="annotation text"/>
    <w:basedOn w:val="Normal"/>
    <w:link w:val="CommentTextChar"/>
    <w:uiPriority w:val="99"/>
    <w:unhideWhenUsed/>
    <w:rsid w:val="00B94B3C"/>
    <w:pPr>
      <w:spacing w:after="200" w:line="240" w:lineRule="auto"/>
    </w:pPr>
    <w:rPr>
      <w:sz w:val="20"/>
      <w:szCs w:val="20"/>
    </w:rPr>
  </w:style>
  <w:style w:type="character" w:customStyle="1" w:styleId="CommentTextChar1">
    <w:name w:val="Comment Text Char1"/>
    <w:basedOn w:val="DefaultParagraphFont"/>
    <w:uiPriority w:val="99"/>
    <w:semiHidden/>
    <w:rsid w:val="00B94B3C"/>
    <w:rPr>
      <w:sz w:val="20"/>
      <w:szCs w:val="20"/>
    </w:rPr>
  </w:style>
  <w:style w:type="character" w:styleId="Hyperlink">
    <w:name w:val="Hyperlink"/>
    <w:basedOn w:val="DefaultParagraphFont"/>
    <w:uiPriority w:val="99"/>
    <w:unhideWhenUsed/>
    <w:rsid w:val="00FA2CB6"/>
    <w:rPr>
      <w:color w:val="0563C1" w:themeColor="hyperlink"/>
      <w:u w:val="single"/>
    </w:rPr>
  </w:style>
  <w:style w:type="character" w:styleId="CommentReference">
    <w:name w:val="annotation reference"/>
    <w:basedOn w:val="DefaultParagraphFont"/>
    <w:uiPriority w:val="99"/>
    <w:semiHidden/>
    <w:unhideWhenUsed/>
    <w:rsid w:val="00387973"/>
    <w:rPr>
      <w:sz w:val="16"/>
      <w:szCs w:val="16"/>
    </w:rPr>
  </w:style>
  <w:style w:type="paragraph" w:styleId="CommentSubject">
    <w:name w:val="annotation subject"/>
    <w:basedOn w:val="CommentText"/>
    <w:next w:val="CommentText"/>
    <w:link w:val="CommentSubjectChar"/>
    <w:uiPriority w:val="99"/>
    <w:semiHidden/>
    <w:unhideWhenUsed/>
    <w:rsid w:val="00387973"/>
    <w:pPr>
      <w:spacing w:after="160"/>
    </w:pPr>
    <w:rPr>
      <w:b/>
      <w:bCs/>
    </w:rPr>
  </w:style>
  <w:style w:type="character" w:customStyle="1" w:styleId="CommentSubjectChar">
    <w:name w:val="Comment Subject Char"/>
    <w:basedOn w:val="CommentTextChar"/>
    <w:link w:val="CommentSubject"/>
    <w:uiPriority w:val="99"/>
    <w:semiHidden/>
    <w:rsid w:val="00387973"/>
    <w:rPr>
      <w:b/>
      <w:bCs/>
      <w:sz w:val="20"/>
      <w:szCs w:val="20"/>
    </w:rPr>
  </w:style>
  <w:style w:type="paragraph" w:styleId="BalloonText">
    <w:name w:val="Balloon Text"/>
    <w:basedOn w:val="Normal"/>
    <w:link w:val="BalloonTextChar"/>
    <w:uiPriority w:val="99"/>
    <w:semiHidden/>
    <w:unhideWhenUsed/>
    <w:rsid w:val="00387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973"/>
    <w:rPr>
      <w:rFonts w:ascii="Tahoma" w:hAnsi="Tahoma" w:cs="Tahoma"/>
      <w:sz w:val="16"/>
      <w:szCs w:val="16"/>
    </w:rPr>
  </w:style>
  <w:style w:type="paragraph" w:styleId="DocumentMap">
    <w:name w:val="Document Map"/>
    <w:basedOn w:val="Normal"/>
    <w:link w:val="DocumentMapChar"/>
    <w:uiPriority w:val="99"/>
    <w:semiHidden/>
    <w:unhideWhenUsed/>
    <w:rsid w:val="00870AC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70AC8"/>
    <w:rPr>
      <w:rFonts w:ascii="Lucida Grande" w:hAnsi="Lucida Grande" w:cs="Lucida Grande"/>
      <w:sz w:val="24"/>
      <w:szCs w:val="24"/>
    </w:rPr>
  </w:style>
  <w:style w:type="character" w:styleId="FollowedHyperlink">
    <w:name w:val="FollowedHyperlink"/>
    <w:basedOn w:val="DefaultParagraphFont"/>
    <w:uiPriority w:val="99"/>
    <w:semiHidden/>
    <w:unhideWhenUsed/>
    <w:rsid w:val="00870AC8"/>
    <w:rPr>
      <w:color w:val="954F72" w:themeColor="followedHyperlink"/>
      <w:u w:val="single"/>
    </w:rPr>
  </w:style>
  <w:style w:type="paragraph" w:styleId="Footer">
    <w:name w:val="footer"/>
    <w:basedOn w:val="Normal"/>
    <w:link w:val="FooterChar"/>
    <w:uiPriority w:val="99"/>
    <w:unhideWhenUsed/>
    <w:rsid w:val="00292D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2DE3"/>
  </w:style>
  <w:style w:type="character" w:styleId="PageNumber">
    <w:name w:val="page number"/>
    <w:basedOn w:val="DefaultParagraphFont"/>
    <w:uiPriority w:val="99"/>
    <w:semiHidden/>
    <w:unhideWhenUsed/>
    <w:rsid w:val="00292DE3"/>
  </w:style>
  <w:style w:type="paragraph" w:styleId="NormalWeb">
    <w:name w:val="Normal (Web)"/>
    <w:basedOn w:val="Normal"/>
    <w:uiPriority w:val="99"/>
    <w:semiHidden/>
    <w:unhideWhenUsed/>
    <w:rsid w:val="00A350C4"/>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Default">
    <w:name w:val="Default"/>
    <w:rsid w:val="00482F81"/>
    <w:pPr>
      <w:autoSpaceDE w:val="0"/>
      <w:autoSpaceDN w:val="0"/>
      <w:adjustRightInd w:val="0"/>
      <w:spacing w:after="0" w:line="240" w:lineRule="auto"/>
    </w:pPr>
    <w:rPr>
      <w:rFonts w:ascii="Minion Pro" w:hAnsi="Minion Pro" w:cs="Minion Pro"/>
      <w:color w:val="000000"/>
      <w:sz w:val="24"/>
      <w:szCs w:val="24"/>
    </w:rPr>
  </w:style>
  <w:style w:type="paragraph" w:styleId="NoSpacing">
    <w:name w:val="No Spacing"/>
    <w:uiPriority w:val="1"/>
    <w:qFormat/>
    <w:rsid w:val="00B74715"/>
    <w:pPr>
      <w:spacing w:after="0" w:line="240" w:lineRule="auto"/>
    </w:pPr>
  </w:style>
  <w:style w:type="paragraph" w:customStyle="1" w:styleId="body-paragraph">
    <w:name w:val="body-paragraph"/>
    <w:basedOn w:val="Normal"/>
    <w:rsid w:val="008F1E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84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AB7"/>
  </w:style>
  <w:style w:type="character" w:customStyle="1" w:styleId="Heading1Char">
    <w:name w:val="Heading 1 Char"/>
    <w:basedOn w:val="DefaultParagraphFont"/>
    <w:link w:val="Heading1"/>
    <w:uiPriority w:val="9"/>
    <w:rsid w:val="00B61D24"/>
    <w:rPr>
      <w:rFonts w:asciiTheme="majorHAnsi" w:eastAsiaTheme="majorEastAsia" w:hAnsiTheme="majorHAnsi" w:cstheme="majorBidi"/>
      <w:color w:val="2E74B5" w:themeColor="accent1" w:themeShade="BF"/>
      <w:sz w:val="32"/>
      <w:szCs w:val="32"/>
    </w:rPr>
  </w:style>
  <w:style w:type="paragraph" w:customStyle="1" w:styleId="type">
    <w:name w:val="type"/>
    <w:basedOn w:val="Normal"/>
    <w:rsid w:val="00506A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192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832">
      <w:bodyDiv w:val="1"/>
      <w:marLeft w:val="0"/>
      <w:marRight w:val="0"/>
      <w:marTop w:val="0"/>
      <w:marBottom w:val="0"/>
      <w:divBdr>
        <w:top w:val="none" w:sz="0" w:space="0" w:color="auto"/>
        <w:left w:val="none" w:sz="0" w:space="0" w:color="auto"/>
        <w:bottom w:val="none" w:sz="0" w:space="0" w:color="auto"/>
        <w:right w:val="none" w:sz="0" w:space="0" w:color="auto"/>
      </w:divBdr>
    </w:div>
    <w:div w:id="425268670">
      <w:bodyDiv w:val="1"/>
      <w:marLeft w:val="0"/>
      <w:marRight w:val="0"/>
      <w:marTop w:val="0"/>
      <w:marBottom w:val="0"/>
      <w:divBdr>
        <w:top w:val="none" w:sz="0" w:space="0" w:color="auto"/>
        <w:left w:val="none" w:sz="0" w:space="0" w:color="auto"/>
        <w:bottom w:val="none" w:sz="0" w:space="0" w:color="auto"/>
        <w:right w:val="none" w:sz="0" w:space="0" w:color="auto"/>
      </w:divBdr>
      <w:divsChild>
        <w:div w:id="944389071">
          <w:marLeft w:val="0"/>
          <w:marRight w:val="0"/>
          <w:marTop w:val="0"/>
          <w:marBottom w:val="0"/>
          <w:divBdr>
            <w:top w:val="none" w:sz="0" w:space="0" w:color="auto"/>
            <w:left w:val="none" w:sz="0" w:space="0" w:color="auto"/>
            <w:bottom w:val="none" w:sz="0" w:space="0" w:color="auto"/>
            <w:right w:val="none" w:sz="0" w:space="0" w:color="auto"/>
          </w:divBdr>
          <w:divsChild>
            <w:div w:id="1316495087">
              <w:marLeft w:val="0"/>
              <w:marRight w:val="0"/>
              <w:marTop w:val="0"/>
              <w:marBottom w:val="0"/>
              <w:divBdr>
                <w:top w:val="none" w:sz="0" w:space="0" w:color="auto"/>
                <w:left w:val="none" w:sz="0" w:space="0" w:color="auto"/>
                <w:bottom w:val="none" w:sz="0" w:space="0" w:color="auto"/>
                <w:right w:val="none" w:sz="0" w:space="0" w:color="auto"/>
              </w:divBdr>
              <w:divsChild>
                <w:div w:id="304700905">
                  <w:marLeft w:val="2970"/>
                  <w:marRight w:val="0"/>
                  <w:marTop w:val="0"/>
                  <w:marBottom w:val="0"/>
                  <w:divBdr>
                    <w:top w:val="none" w:sz="0" w:space="0" w:color="auto"/>
                    <w:left w:val="none" w:sz="0" w:space="0" w:color="auto"/>
                    <w:bottom w:val="none" w:sz="0" w:space="0" w:color="auto"/>
                    <w:right w:val="none" w:sz="0" w:space="0" w:color="auto"/>
                  </w:divBdr>
                  <w:divsChild>
                    <w:div w:id="1345284084">
                      <w:marLeft w:val="0"/>
                      <w:marRight w:val="0"/>
                      <w:marTop w:val="0"/>
                      <w:marBottom w:val="264"/>
                      <w:divBdr>
                        <w:top w:val="none" w:sz="0" w:space="0" w:color="auto"/>
                        <w:left w:val="none" w:sz="0" w:space="0" w:color="auto"/>
                        <w:bottom w:val="none" w:sz="0" w:space="0" w:color="auto"/>
                        <w:right w:val="none" w:sz="0" w:space="0" w:color="auto"/>
                      </w:divBdr>
                      <w:divsChild>
                        <w:div w:id="185171579">
                          <w:marLeft w:val="0"/>
                          <w:marRight w:val="0"/>
                          <w:marTop w:val="0"/>
                          <w:marBottom w:val="0"/>
                          <w:divBdr>
                            <w:top w:val="none" w:sz="0" w:space="0" w:color="auto"/>
                            <w:left w:val="none" w:sz="0" w:space="0" w:color="auto"/>
                            <w:bottom w:val="none" w:sz="0" w:space="0" w:color="auto"/>
                            <w:right w:val="none" w:sz="0" w:space="0" w:color="auto"/>
                          </w:divBdr>
                          <w:divsChild>
                            <w:div w:id="315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428543">
      <w:bodyDiv w:val="1"/>
      <w:marLeft w:val="0"/>
      <w:marRight w:val="0"/>
      <w:marTop w:val="0"/>
      <w:marBottom w:val="0"/>
      <w:divBdr>
        <w:top w:val="none" w:sz="0" w:space="0" w:color="auto"/>
        <w:left w:val="none" w:sz="0" w:space="0" w:color="auto"/>
        <w:bottom w:val="none" w:sz="0" w:space="0" w:color="auto"/>
        <w:right w:val="none" w:sz="0" w:space="0" w:color="auto"/>
      </w:divBdr>
      <w:divsChild>
        <w:div w:id="1887528348">
          <w:marLeft w:val="0"/>
          <w:marRight w:val="0"/>
          <w:marTop w:val="0"/>
          <w:marBottom w:val="0"/>
          <w:divBdr>
            <w:top w:val="none" w:sz="0" w:space="0" w:color="auto"/>
            <w:left w:val="none" w:sz="0" w:space="0" w:color="auto"/>
            <w:bottom w:val="none" w:sz="0" w:space="0" w:color="auto"/>
            <w:right w:val="none" w:sz="0" w:space="0" w:color="auto"/>
          </w:divBdr>
          <w:divsChild>
            <w:div w:id="842553343">
              <w:marLeft w:val="0"/>
              <w:marRight w:val="0"/>
              <w:marTop w:val="0"/>
              <w:marBottom w:val="0"/>
              <w:divBdr>
                <w:top w:val="none" w:sz="0" w:space="0" w:color="auto"/>
                <w:left w:val="none" w:sz="0" w:space="0" w:color="auto"/>
                <w:bottom w:val="none" w:sz="0" w:space="0" w:color="auto"/>
                <w:right w:val="none" w:sz="0" w:space="0" w:color="auto"/>
              </w:divBdr>
              <w:divsChild>
                <w:div w:id="116880093">
                  <w:marLeft w:val="0"/>
                  <w:marRight w:val="0"/>
                  <w:marTop w:val="0"/>
                  <w:marBottom w:val="0"/>
                  <w:divBdr>
                    <w:top w:val="none" w:sz="0" w:space="0" w:color="auto"/>
                    <w:left w:val="none" w:sz="0" w:space="0" w:color="auto"/>
                    <w:bottom w:val="none" w:sz="0" w:space="0" w:color="auto"/>
                    <w:right w:val="none" w:sz="0" w:space="0" w:color="auto"/>
                  </w:divBdr>
                  <w:divsChild>
                    <w:div w:id="718673698">
                      <w:marLeft w:val="0"/>
                      <w:marRight w:val="0"/>
                      <w:marTop w:val="0"/>
                      <w:marBottom w:val="0"/>
                      <w:divBdr>
                        <w:top w:val="none" w:sz="0" w:space="0" w:color="auto"/>
                        <w:left w:val="none" w:sz="0" w:space="0" w:color="auto"/>
                        <w:bottom w:val="none" w:sz="0" w:space="0" w:color="auto"/>
                        <w:right w:val="none" w:sz="0" w:space="0" w:color="auto"/>
                      </w:divBdr>
                    </w:div>
                    <w:div w:id="248002507">
                      <w:marLeft w:val="0"/>
                      <w:marRight w:val="0"/>
                      <w:marTop w:val="0"/>
                      <w:marBottom w:val="0"/>
                      <w:divBdr>
                        <w:top w:val="none" w:sz="0" w:space="0" w:color="auto"/>
                        <w:left w:val="none" w:sz="0" w:space="0" w:color="auto"/>
                        <w:bottom w:val="none" w:sz="0" w:space="0" w:color="auto"/>
                        <w:right w:val="none" w:sz="0" w:space="0" w:color="auto"/>
                      </w:divBdr>
                    </w:div>
                    <w:div w:id="20537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20473">
      <w:bodyDiv w:val="1"/>
      <w:marLeft w:val="0"/>
      <w:marRight w:val="0"/>
      <w:marTop w:val="0"/>
      <w:marBottom w:val="0"/>
      <w:divBdr>
        <w:top w:val="none" w:sz="0" w:space="0" w:color="auto"/>
        <w:left w:val="none" w:sz="0" w:space="0" w:color="auto"/>
        <w:bottom w:val="none" w:sz="0" w:space="0" w:color="auto"/>
        <w:right w:val="none" w:sz="0" w:space="0" w:color="auto"/>
      </w:divBdr>
      <w:divsChild>
        <w:div w:id="2105764149">
          <w:marLeft w:val="0"/>
          <w:marRight w:val="1"/>
          <w:marTop w:val="0"/>
          <w:marBottom w:val="0"/>
          <w:divBdr>
            <w:top w:val="none" w:sz="0" w:space="0" w:color="auto"/>
            <w:left w:val="none" w:sz="0" w:space="0" w:color="auto"/>
            <w:bottom w:val="none" w:sz="0" w:space="0" w:color="auto"/>
            <w:right w:val="none" w:sz="0" w:space="0" w:color="auto"/>
          </w:divBdr>
          <w:divsChild>
            <w:div w:id="1092312207">
              <w:marLeft w:val="0"/>
              <w:marRight w:val="0"/>
              <w:marTop w:val="0"/>
              <w:marBottom w:val="0"/>
              <w:divBdr>
                <w:top w:val="none" w:sz="0" w:space="0" w:color="auto"/>
                <w:left w:val="none" w:sz="0" w:space="0" w:color="auto"/>
                <w:bottom w:val="none" w:sz="0" w:space="0" w:color="auto"/>
                <w:right w:val="none" w:sz="0" w:space="0" w:color="auto"/>
              </w:divBdr>
              <w:divsChild>
                <w:div w:id="1020860089">
                  <w:marLeft w:val="0"/>
                  <w:marRight w:val="1"/>
                  <w:marTop w:val="0"/>
                  <w:marBottom w:val="0"/>
                  <w:divBdr>
                    <w:top w:val="none" w:sz="0" w:space="0" w:color="auto"/>
                    <w:left w:val="none" w:sz="0" w:space="0" w:color="auto"/>
                    <w:bottom w:val="none" w:sz="0" w:space="0" w:color="auto"/>
                    <w:right w:val="none" w:sz="0" w:space="0" w:color="auto"/>
                  </w:divBdr>
                  <w:divsChild>
                    <w:div w:id="1288703615">
                      <w:marLeft w:val="0"/>
                      <w:marRight w:val="0"/>
                      <w:marTop w:val="0"/>
                      <w:marBottom w:val="0"/>
                      <w:divBdr>
                        <w:top w:val="none" w:sz="0" w:space="0" w:color="auto"/>
                        <w:left w:val="none" w:sz="0" w:space="0" w:color="auto"/>
                        <w:bottom w:val="none" w:sz="0" w:space="0" w:color="auto"/>
                        <w:right w:val="none" w:sz="0" w:space="0" w:color="auto"/>
                      </w:divBdr>
                      <w:divsChild>
                        <w:div w:id="668483577">
                          <w:marLeft w:val="0"/>
                          <w:marRight w:val="0"/>
                          <w:marTop w:val="0"/>
                          <w:marBottom w:val="0"/>
                          <w:divBdr>
                            <w:top w:val="none" w:sz="0" w:space="0" w:color="auto"/>
                            <w:left w:val="none" w:sz="0" w:space="0" w:color="auto"/>
                            <w:bottom w:val="none" w:sz="0" w:space="0" w:color="auto"/>
                            <w:right w:val="none" w:sz="0" w:space="0" w:color="auto"/>
                          </w:divBdr>
                          <w:divsChild>
                            <w:div w:id="808480920">
                              <w:marLeft w:val="0"/>
                              <w:marRight w:val="0"/>
                              <w:marTop w:val="120"/>
                              <w:marBottom w:val="360"/>
                              <w:divBdr>
                                <w:top w:val="none" w:sz="0" w:space="0" w:color="auto"/>
                                <w:left w:val="none" w:sz="0" w:space="0" w:color="auto"/>
                                <w:bottom w:val="none" w:sz="0" w:space="0" w:color="auto"/>
                                <w:right w:val="none" w:sz="0" w:space="0" w:color="auto"/>
                              </w:divBdr>
                              <w:divsChild>
                                <w:div w:id="1871070896">
                                  <w:marLeft w:val="0"/>
                                  <w:marRight w:val="0"/>
                                  <w:marTop w:val="0"/>
                                  <w:marBottom w:val="0"/>
                                  <w:divBdr>
                                    <w:top w:val="none" w:sz="0" w:space="0" w:color="auto"/>
                                    <w:left w:val="none" w:sz="0" w:space="0" w:color="auto"/>
                                    <w:bottom w:val="none" w:sz="0" w:space="0" w:color="auto"/>
                                    <w:right w:val="none" w:sz="0" w:space="0" w:color="auto"/>
                                  </w:divBdr>
                                </w:div>
                                <w:div w:id="2110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3917">
      <w:bodyDiv w:val="1"/>
      <w:marLeft w:val="0"/>
      <w:marRight w:val="0"/>
      <w:marTop w:val="0"/>
      <w:marBottom w:val="0"/>
      <w:divBdr>
        <w:top w:val="none" w:sz="0" w:space="0" w:color="auto"/>
        <w:left w:val="none" w:sz="0" w:space="0" w:color="auto"/>
        <w:bottom w:val="none" w:sz="0" w:space="0" w:color="auto"/>
        <w:right w:val="none" w:sz="0" w:space="0" w:color="auto"/>
      </w:divBdr>
      <w:divsChild>
        <w:div w:id="667562860">
          <w:marLeft w:val="0"/>
          <w:marRight w:val="0"/>
          <w:marTop w:val="0"/>
          <w:marBottom w:val="0"/>
          <w:divBdr>
            <w:top w:val="none" w:sz="0" w:space="0" w:color="auto"/>
            <w:left w:val="none" w:sz="0" w:space="0" w:color="auto"/>
            <w:bottom w:val="none" w:sz="0" w:space="0" w:color="auto"/>
            <w:right w:val="none" w:sz="0" w:space="0" w:color="auto"/>
          </w:divBdr>
          <w:divsChild>
            <w:div w:id="758715521">
              <w:marLeft w:val="0"/>
              <w:marRight w:val="0"/>
              <w:marTop w:val="0"/>
              <w:marBottom w:val="0"/>
              <w:divBdr>
                <w:top w:val="none" w:sz="0" w:space="0" w:color="auto"/>
                <w:left w:val="none" w:sz="0" w:space="0" w:color="auto"/>
                <w:bottom w:val="none" w:sz="0" w:space="0" w:color="auto"/>
                <w:right w:val="none" w:sz="0" w:space="0" w:color="auto"/>
              </w:divBdr>
              <w:divsChild>
                <w:div w:id="833571042">
                  <w:marLeft w:val="0"/>
                  <w:marRight w:val="0"/>
                  <w:marTop w:val="0"/>
                  <w:marBottom w:val="0"/>
                  <w:divBdr>
                    <w:top w:val="none" w:sz="0" w:space="0" w:color="auto"/>
                    <w:left w:val="none" w:sz="0" w:space="0" w:color="auto"/>
                    <w:bottom w:val="none" w:sz="0" w:space="0" w:color="auto"/>
                    <w:right w:val="none" w:sz="0" w:space="0" w:color="auto"/>
                  </w:divBdr>
                  <w:divsChild>
                    <w:div w:id="274169159">
                      <w:marLeft w:val="0"/>
                      <w:marRight w:val="0"/>
                      <w:marTop w:val="0"/>
                      <w:marBottom w:val="0"/>
                      <w:divBdr>
                        <w:top w:val="none" w:sz="0" w:space="0" w:color="auto"/>
                        <w:left w:val="none" w:sz="0" w:space="0" w:color="auto"/>
                        <w:bottom w:val="none" w:sz="0" w:space="0" w:color="auto"/>
                        <w:right w:val="none" w:sz="0" w:space="0" w:color="auto"/>
                      </w:divBdr>
                      <w:divsChild>
                        <w:div w:id="18758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316816">
      <w:bodyDiv w:val="1"/>
      <w:marLeft w:val="0"/>
      <w:marRight w:val="0"/>
      <w:marTop w:val="0"/>
      <w:marBottom w:val="0"/>
      <w:divBdr>
        <w:top w:val="none" w:sz="0" w:space="0" w:color="auto"/>
        <w:left w:val="none" w:sz="0" w:space="0" w:color="auto"/>
        <w:bottom w:val="none" w:sz="0" w:space="0" w:color="auto"/>
        <w:right w:val="none" w:sz="0" w:space="0" w:color="auto"/>
      </w:divBdr>
      <w:divsChild>
        <w:div w:id="1368525517">
          <w:marLeft w:val="0"/>
          <w:marRight w:val="0"/>
          <w:marTop w:val="0"/>
          <w:marBottom w:val="0"/>
          <w:divBdr>
            <w:top w:val="none" w:sz="0" w:space="0" w:color="auto"/>
            <w:left w:val="none" w:sz="0" w:space="0" w:color="auto"/>
            <w:bottom w:val="none" w:sz="0" w:space="0" w:color="auto"/>
            <w:right w:val="none" w:sz="0" w:space="0" w:color="auto"/>
          </w:divBdr>
          <w:divsChild>
            <w:div w:id="17587285">
              <w:marLeft w:val="0"/>
              <w:marRight w:val="0"/>
              <w:marTop w:val="0"/>
              <w:marBottom w:val="0"/>
              <w:divBdr>
                <w:top w:val="none" w:sz="0" w:space="0" w:color="auto"/>
                <w:left w:val="none" w:sz="0" w:space="0" w:color="auto"/>
                <w:bottom w:val="none" w:sz="0" w:space="0" w:color="auto"/>
                <w:right w:val="none" w:sz="0" w:space="0" w:color="auto"/>
              </w:divBdr>
              <w:divsChild>
                <w:div w:id="1547721931">
                  <w:marLeft w:val="0"/>
                  <w:marRight w:val="0"/>
                  <w:marTop w:val="0"/>
                  <w:marBottom w:val="0"/>
                  <w:divBdr>
                    <w:top w:val="none" w:sz="0" w:space="0" w:color="auto"/>
                    <w:left w:val="none" w:sz="0" w:space="0" w:color="auto"/>
                    <w:bottom w:val="none" w:sz="0" w:space="0" w:color="auto"/>
                    <w:right w:val="none" w:sz="0" w:space="0" w:color="auto"/>
                  </w:divBdr>
                  <w:divsChild>
                    <w:div w:id="1261714732">
                      <w:marLeft w:val="0"/>
                      <w:marRight w:val="0"/>
                      <w:marTop w:val="0"/>
                      <w:marBottom w:val="0"/>
                      <w:divBdr>
                        <w:top w:val="none" w:sz="0" w:space="0" w:color="auto"/>
                        <w:left w:val="none" w:sz="0" w:space="0" w:color="auto"/>
                        <w:bottom w:val="none" w:sz="0" w:space="0" w:color="auto"/>
                        <w:right w:val="none" w:sz="0" w:space="0" w:color="auto"/>
                      </w:divBdr>
                      <w:divsChild>
                        <w:div w:id="448092548">
                          <w:marLeft w:val="0"/>
                          <w:marRight w:val="0"/>
                          <w:marTop w:val="0"/>
                          <w:marBottom w:val="0"/>
                          <w:divBdr>
                            <w:top w:val="none" w:sz="0" w:space="0" w:color="auto"/>
                            <w:left w:val="none" w:sz="0" w:space="0" w:color="auto"/>
                            <w:bottom w:val="none" w:sz="0" w:space="0" w:color="auto"/>
                            <w:right w:val="none" w:sz="0" w:space="0" w:color="auto"/>
                          </w:divBdr>
                          <w:divsChild>
                            <w:div w:id="511647730">
                              <w:marLeft w:val="0"/>
                              <w:marRight w:val="0"/>
                              <w:marTop w:val="0"/>
                              <w:marBottom w:val="0"/>
                              <w:divBdr>
                                <w:top w:val="none" w:sz="0" w:space="0" w:color="auto"/>
                                <w:left w:val="none" w:sz="0" w:space="0" w:color="auto"/>
                                <w:bottom w:val="none" w:sz="0" w:space="0" w:color="auto"/>
                                <w:right w:val="none" w:sz="0" w:space="0" w:color="auto"/>
                              </w:divBdr>
                              <w:divsChild>
                                <w:div w:id="1988121673">
                                  <w:marLeft w:val="0"/>
                                  <w:marRight w:val="0"/>
                                  <w:marTop w:val="0"/>
                                  <w:marBottom w:val="0"/>
                                  <w:divBdr>
                                    <w:top w:val="none" w:sz="0" w:space="0" w:color="auto"/>
                                    <w:left w:val="none" w:sz="0" w:space="0" w:color="auto"/>
                                    <w:bottom w:val="none" w:sz="0" w:space="0" w:color="auto"/>
                                    <w:right w:val="none" w:sz="0" w:space="0" w:color="auto"/>
                                  </w:divBdr>
                                  <w:divsChild>
                                    <w:div w:id="1564753247">
                                      <w:marLeft w:val="0"/>
                                      <w:marRight w:val="0"/>
                                      <w:marTop w:val="0"/>
                                      <w:marBottom w:val="0"/>
                                      <w:divBdr>
                                        <w:top w:val="none" w:sz="0" w:space="0" w:color="auto"/>
                                        <w:left w:val="none" w:sz="0" w:space="0" w:color="auto"/>
                                        <w:bottom w:val="none" w:sz="0" w:space="0" w:color="auto"/>
                                        <w:right w:val="none" w:sz="0" w:space="0" w:color="auto"/>
                                      </w:divBdr>
                                      <w:divsChild>
                                        <w:div w:id="19702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641986">
      <w:bodyDiv w:val="1"/>
      <w:marLeft w:val="0"/>
      <w:marRight w:val="0"/>
      <w:marTop w:val="0"/>
      <w:marBottom w:val="0"/>
      <w:divBdr>
        <w:top w:val="none" w:sz="0" w:space="0" w:color="auto"/>
        <w:left w:val="none" w:sz="0" w:space="0" w:color="auto"/>
        <w:bottom w:val="none" w:sz="0" w:space="0" w:color="auto"/>
        <w:right w:val="none" w:sz="0" w:space="0" w:color="auto"/>
      </w:divBdr>
      <w:divsChild>
        <w:div w:id="1379545405">
          <w:marLeft w:val="0"/>
          <w:marRight w:val="0"/>
          <w:marTop w:val="0"/>
          <w:marBottom w:val="0"/>
          <w:divBdr>
            <w:top w:val="none" w:sz="0" w:space="0" w:color="auto"/>
            <w:left w:val="none" w:sz="0" w:space="0" w:color="auto"/>
            <w:bottom w:val="none" w:sz="0" w:space="0" w:color="auto"/>
            <w:right w:val="none" w:sz="0" w:space="0" w:color="auto"/>
          </w:divBdr>
          <w:divsChild>
            <w:div w:id="416289555">
              <w:marLeft w:val="0"/>
              <w:marRight w:val="0"/>
              <w:marTop w:val="0"/>
              <w:marBottom w:val="0"/>
              <w:divBdr>
                <w:top w:val="none" w:sz="0" w:space="0" w:color="auto"/>
                <w:left w:val="none" w:sz="0" w:space="0" w:color="auto"/>
                <w:bottom w:val="none" w:sz="0" w:space="0" w:color="auto"/>
                <w:right w:val="none" w:sz="0" w:space="0" w:color="auto"/>
              </w:divBdr>
              <w:divsChild>
                <w:div w:id="1270088201">
                  <w:marLeft w:val="0"/>
                  <w:marRight w:val="0"/>
                  <w:marTop w:val="0"/>
                  <w:marBottom w:val="0"/>
                  <w:divBdr>
                    <w:top w:val="none" w:sz="0" w:space="0" w:color="auto"/>
                    <w:left w:val="none" w:sz="0" w:space="0" w:color="auto"/>
                    <w:bottom w:val="none" w:sz="0" w:space="0" w:color="auto"/>
                    <w:right w:val="none" w:sz="0" w:space="0" w:color="auto"/>
                  </w:divBdr>
                  <w:divsChild>
                    <w:div w:id="752432330">
                      <w:marLeft w:val="0"/>
                      <w:marRight w:val="0"/>
                      <w:marTop w:val="0"/>
                      <w:marBottom w:val="0"/>
                      <w:divBdr>
                        <w:top w:val="none" w:sz="0" w:space="0" w:color="auto"/>
                        <w:left w:val="none" w:sz="0" w:space="0" w:color="auto"/>
                        <w:bottom w:val="none" w:sz="0" w:space="0" w:color="auto"/>
                        <w:right w:val="none" w:sz="0" w:space="0" w:color="auto"/>
                      </w:divBdr>
                      <w:divsChild>
                        <w:div w:id="1832477998">
                          <w:marLeft w:val="0"/>
                          <w:marRight w:val="0"/>
                          <w:marTop w:val="0"/>
                          <w:marBottom w:val="0"/>
                          <w:divBdr>
                            <w:top w:val="none" w:sz="0" w:space="0" w:color="auto"/>
                            <w:left w:val="none" w:sz="0" w:space="0" w:color="auto"/>
                            <w:bottom w:val="none" w:sz="0" w:space="0" w:color="auto"/>
                            <w:right w:val="none" w:sz="0" w:space="0" w:color="auto"/>
                          </w:divBdr>
                          <w:divsChild>
                            <w:div w:id="852036014">
                              <w:marLeft w:val="0"/>
                              <w:marRight w:val="0"/>
                              <w:marTop w:val="0"/>
                              <w:marBottom w:val="0"/>
                              <w:divBdr>
                                <w:top w:val="none" w:sz="0" w:space="0" w:color="auto"/>
                                <w:left w:val="none" w:sz="0" w:space="0" w:color="auto"/>
                                <w:bottom w:val="none" w:sz="0" w:space="0" w:color="auto"/>
                                <w:right w:val="none" w:sz="0" w:space="0" w:color="auto"/>
                              </w:divBdr>
                              <w:divsChild>
                                <w:div w:id="2099671099">
                                  <w:marLeft w:val="0"/>
                                  <w:marRight w:val="0"/>
                                  <w:marTop w:val="0"/>
                                  <w:marBottom w:val="0"/>
                                  <w:divBdr>
                                    <w:top w:val="none" w:sz="0" w:space="0" w:color="auto"/>
                                    <w:left w:val="none" w:sz="0" w:space="0" w:color="auto"/>
                                    <w:bottom w:val="none" w:sz="0" w:space="0" w:color="auto"/>
                                    <w:right w:val="none" w:sz="0" w:space="0" w:color="auto"/>
                                  </w:divBdr>
                                  <w:divsChild>
                                    <w:div w:id="910120492">
                                      <w:marLeft w:val="0"/>
                                      <w:marRight w:val="0"/>
                                      <w:marTop w:val="0"/>
                                      <w:marBottom w:val="0"/>
                                      <w:divBdr>
                                        <w:top w:val="none" w:sz="0" w:space="0" w:color="auto"/>
                                        <w:left w:val="none" w:sz="0" w:space="0" w:color="auto"/>
                                        <w:bottom w:val="none" w:sz="0" w:space="0" w:color="auto"/>
                                        <w:right w:val="none" w:sz="0" w:space="0" w:color="auto"/>
                                      </w:divBdr>
                                      <w:divsChild>
                                        <w:div w:id="9322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063771">
      <w:bodyDiv w:val="1"/>
      <w:marLeft w:val="0"/>
      <w:marRight w:val="0"/>
      <w:marTop w:val="0"/>
      <w:marBottom w:val="0"/>
      <w:divBdr>
        <w:top w:val="none" w:sz="0" w:space="0" w:color="auto"/>
        <w:left w:val="none" w:sz="0" w:space="0" w:color="auto"/>
        <w:bottom w:val="none" w:sz="0" w:space="0" w:color="auto"/>
        <w:right w:val="none" w:sz="0" w:space="0" w:color="auto"/>
      </w:divBdr>
      <w:divsChild>
        <w:div w:id="1128009061">
          <w:marLeft w:val="0"/>
          <w:marRight w:val="0"/>
          <w:marTop w:val="0"/>
          <w:marBottom w:val="0"/>
          <w:divBdr>
            <w:top w:val="none" w:sz="0" w:space="0" w:color="auto"/>
            <w:left w:val="none" w:sz="0" w:space="0" w:color="auto"/>
            <w:bottom w:val="none" w:sz="0" w:space="0" w:color="auto"/>
            <w:right w:val="none" w:sz="0" w:space="0" w:color="auto"/>
          </w:divBdr>
          <w:divsChild>
            <w:div w:id="1622419734">
              <w:marLeft w:val="0"/>
              <w:marRight w:val="0"/>
              <w:marTop w:val="0"/>
              <w:marBottom w:val="0"/>
              <w:divBdr>
                <w:top w:val="none" w:sz="0" w:space="0" w:color="auto"/>
                <w:left w:val="none" w:sz="0" w:space="0" w:color="auto"/>
                <w:bottom w:val="none" w:sz="0" w:space="0" w:color="auto"/>
                <w:right w:val="none" w:sz="0" w:space="0" w:color="auto"/>
              </w:divBdr>
              <w:divsChild>
                <w:div w:id="375399339">
                  <w:marLeft w:val="0"/>
                  <w:marRight w:val="0"/>
                  <w:marTop w:val="0"/>
                  <w:marBottom w:val="0"/>
                  <w:divBdr>
                    <w:top w:val="none" w:sz="0" w:space="0" w:color="auto"/>
                    <w:left w:val="none" w:sz="0" w:space="0" w:color="auto"/>
                    <w:bottom w:val="none" w:sz="0" w:space="0" w:color="auto"/>
                    <w:right w:val="none" w:sz="0" w:space="0" w:color="auto"/>
                  </w:divBdr>
                  <w:divsChild>
                    <w:div w:id="1553737971">
                      <w:marLeft w:val="0"/>
                      <w:marRight w:val="0"/>
                      <w:marTop w:val="0"/>
                      <w:marBottom w:val="0"/>
                      <w:divBdr>
                        <w:top w:val="none" w:sz="0" w:space="0" w:color="auto"/>
                        <w:left w:val="none" w:sz="0" w:space="0" w:color="auto"/>
                        <w:bottom w:val="none" w:sz="0" w:space="0" w:color="auto"/>
                        <w:right w:val="none" w:sz="0" w:space="0" w:color="auto"/>
                      </w:divBdr>
                      <w:divsChild>
                        <w:div w:id="156583346">
                          <w:marLeft w:val="0"/>
                          <w:marRight w:val="0"/>
                          <w:marTop w:val="0"/>
                          <w:marBottom w:val="0"/>
                          <w:divBdr>
                            <w:top w:val="none" w:sz="0" w:space="0" w:color="auto"/>
                            <w:left w:val="none" w:sz="0" w:space="0" w:color="auto"/>
                            <w:bottom w:val="none" w:sz="0" w:space="0" w:color="auto"/>
                            <w:right w:val="none" w:sz="0" w:space="0" w:color="auto"/>
                          </w:divBdr>
                          <w:divsChild>
                            <w:div w:id="1502550218">
                              <w:marLeft w:val="0"/>
                              <w:marRight w:val="0"/>
                              <w:marTop w:val="0"/>
                              <w:marBottom w:val="0"/>
                              <w:divBdr>
                                <w:top w:val="none" w:sz="0" w:space="0" w:color="auto"/>
                                <w:left w:val="none" w:sz="0" w:space="0" w:color="auto"/>
                                <w:bottom w:val="none" w:sz="0" w:space="0" w:color="auto"/>
                                <w:right w:val="none" w:sz="0" w:space="0" w:color="auto"/>
                              </w:divBdr>
                              <w:divsChild>
                                <w:div w:id="1134062815">
                                  <w:marLeft w:val="0"/>
                                  <w:marRight w:val="0"/>
                                  <w:marTop w:val="0"/>
                                  <w:marBottom w:val="0"/>
                                  <w:divBdr>
                                    <w:top w:val="none" w:sz="0" w:space="0" w:color="auto"/>
                                    <w:left w:val="none" w:sz="0" w:space="0" w:color="auto"/>
                                    <w:bottom w:val="none" w:sz="0" w:space="0" w:color="auto"/>
                                    <w:right w:val="none" w:sz="0" w:space="0" w:color="auto"/>
                                  </w:divBdr>
                                  <w:divsChild>
                                    <w:div w:id="2105033951">
                                      <w:marLeft w:val="0"/>
                                      <w:marRight w:val="0"/>
                                      <w:marTop w:val="0"/>
                                      <w:marBottom w:val="0"/>
                                      <w:divBdr>
                                        <w:top w:val="none" w:sz="0" w:space="0" w:color="auto"/>
                                        <w:left w:val="none" w:sz="0" w:space="0" w:color="auto"/>
                                        <w:bottom w:val="none" w:sz="0" w:space="0" w:color="auto"/>
                                        <w:right w:val="none" w:sz="0" w:space="0" w:color="auto"/>
                                      </w:divBdr>
                                      <w:divsChild>
                                        <w:div w:id="1949073076">
                                          <w:marLeft w:val="0"/>
                                          <w:marRight w:val="0"/>
                                          <w:marTop w:val="0"/>
                                          <w:marBottom w:val="0"/>
                                          <w:divBdr>
                                            <w:top w:val="none" w:sz="0" w:space="0" w:color="auto"/>
                                            <w:left w:val="none" w:sz="0" w:space="0" w:color="auto"/>
                                            <w:bottom w:val="none" w:sz="0" w:space="0" w:color="auto"/>
                                            <w:right w:val="none" w:sz="0" w:space="0" w:color="auto"/>
                                          </w:divBdr>
                                          <w:divsChild>
                                            <w:div w:id="1074858985">
                                              <w:marLeft w:val="0"/>
                                              <w:marRight w:val="0"/>
                                              <w:marTop w:val="0"/>
                                              <w:marBottom w:val="0"/>
                                              <w:divBdr>
                                                <w:top w:val="none" w:sz="0" w:space="0" w:color="auto"/>
                                                <w:left w:val="none" w:sz="0" w:space="0" w:color="auto"/>
                                                <w:bottom w:val="none" w:sz="0" w:space="0" w:color="auto"/>
                                                <w:right w:val="none" w:sz="0" w:space="0" w:color="auto"/>
                                              </w:divBdr>
                                              <w:divsChild>
                                                <w:div w:id="18563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337369">
      <w:bodyDiv w:val="1"/>
      <w:marLeft w:val="0"/>
      <w:marRight w:val="0"/>
      <w:marTop w:val="0"/>
      <w:marBottom w:val="0"/>
      <w:divBdr>
        <w:top w:val="none" w:sz="0" w:space="0" w:color="auto"/>
        <w:left w:val="none" w:sz="0" w:space="0" w:color="auto"/>
        <w:bottom w:val="none" w:sz="0" w:space="0" w:color="auto"/>
        <w:right w:val="none" w:sz="0" w:space="0" w:color="auto"/>
      </w:divBdr>
      <w:divsChild>
        <w:div w:id="48044394">
          <w:marLeft w:val="0"/>
          <w:marRight w:val="0"/>
          <w:marTop w:val="0"/>
          <w:marBottom w:val="0"/>
          <w:divBdr>
            <w:top w:val="none" w:sz="0" w:space="0" w:color="auto"/>
            <w:left w:val="none" w:sz="0" w:space="0" w:color="auto"/>
            <w:bottom w:val="none" w:sz="0" w:space="0" w:color="auto"/>
            <w:right w:val="none" w:sz="0" w:space="0" w:color="auto"/>
          </w:divBdr>
          <w:divsChild>
            <w:div w:id="359402687">
              <w:marLeft w:val="0"/>
              <w:marRight w:val="0"/>
              <w:marTop w:val="0"/>
              <w:marBottom w:val="0"/>
              <w:divBdr>
                <w:top w:val="none" w:sz="0" w:space="0" w:color="auto"/>
                <w:left w:val="none" w:sz="0" w:space="0" w:color="auto"/>
                <w:bottom w:val="none" w:sz="0" w:space="0" w:color="auto"/>
                <w:right w:val="none" w:sz="0" w:space="0" w:color="auto"/>
              </w:divBdr>
              <w:divsChild>
                <w:div w:id="1926114007">
                  <w:marLeft w:val="0"/>
                  <w:marRight w:val="0"/>
                  <w:marTop w:val="0"/>
                  <w:marBottom w:val="0"/>
                  <w:divBdr>
                    <w:top w:val="none" w:sz="0" w:space="0" w:color="auto"/>
                    <w:left w:val="none" w:sz="0" w:space="0" w:color="auto"/>
                    <w:bottom w:val="none" w:sz="0" w:space="0" w:color="auto"/>
                    <w:right w:val="none" w:sz="0" w:space="0" w:color="auto"/>
                  </w:divBdr>
                  <w:divsChild>
                    <w:div w:id="646403504">
                      <w:marLeft w:val="0"/>
                      <w:marRight w:val="0"/>
                      <w:marTop w:val="0"/>
                      <w:marBottom w:val="0"/>
                      <w:divBdr>
                        <w:top w:val="none" w:sz="0" w:space="0" w:color="auto"/>
                        <w:left w:val="none" w:sz="0" w:space="0" w:color="auto"/>
                        <w:bottom w:val="none" w:sz="0" w:space="0" w:color="auto"/>
                        <w:right w:val="none" w:sz="0" w:space="0" w:color="auto"/>
                      </w:divBdr>
                      <w:divsChild>
                        <w:div w:id="1611160046">
                          <w:marLeft w:val="0"/>
                          <w:marRight w:val="0"/>
                          <w:marTop w:val="0"/>
                          <w:marBottom w:val="0"/>
                          <w:divBdr>
                            <w:top w:val="none" w:sz="0" w:space="0" w:color="auto"/>
                            <w:left w:val="none" w:sz="0" w:space="0" w:color="auto"/>
                            <w:bottom w:val="none" w:sz="0" w:space="0" w:color="auto"/>
                            <w:right w:val="none" w:sz="0" w:space="0" w:color="auto"/>
                          </w:divBdr>
                          <w:divsChild>
                            <w:div w:id="1056512705">
                              <w:marLeft w:val="0"/>
                              <w:marRight w:val="0"/>
                              <w:marTop w:val="0"/>
                              <w:marBottom w:val="0"/>
                              <w:divBdr>
                                <w:top w:val="none" w:sz="0" w:space="0" w:color="auto"/>
                                <w:left w:val="none" w:sz="0" w:space="0" w:color="auto"/>
                                <w:bottom w:val="none" w:sz="0" w:space="0" w:color="auto"/>
                                <w:right w:val="none" w:sz="0" w:space="0" w:color="auto"/>
                              </w:divBdr>
                              <w:divsChild>
                                <w:div w:id="25374808">
                                  <w:marLeft w:val="0"/>
                                  <w:marRight w:val="0"/>
                                  <w:marTop w:val="0"/>
                                  <w:marBottom w:val="0"/>
                                  <w:divBdr>
                                    <w:top w:val="none" w:sz="0" w:space="0" w:color="auto"/>
                                    <w:left w:val="none" w:sz="0" w:space="0" w:color="auto"/>
                                    <w:bottom w:val="none" w:sz="0" w:space="0" w:color="auto"/>
                                    <w:right w:val="none" w:sz="0" w:space="0" w:color="auto"/>
                                  </w:divBdr>
                                  <w:divsChild>
                                    <w:div w:id="41832674">
                                      <w:marLeft w:val="0"/>
                                      <w:marRight w:val="0"/>
                                      <w:marTop w:val="0"/>
                                      <w:marBottom w:val="0"/>
                                      <w:divBdr>
                                        <w:top w:val="none" w:sz="0" w:space="0" w:color="auto"/>
                                        <w:left w:val="none" w:sz="0" w:space="0" w:color="auto"/>
                                        <w:bottom w:val="none" w:sz="0" w:space="0" w:color="auto"/>
                                        <w:right w:val="none" w:sz="0" w:space="0" w:color="auto"/>
                                      </w:divBdr>
                                      <w:divsChild>
                                        <w:div w:id="1208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smith@stir.ac.uk" TargetMode="External"/><Relationship Id="rId13" Type="http://schemas.openxmlformats.org/officeDocument/2006/relationships/hyperlink" Target="http://www.ncbi.nlm.nih.gov/pubmed/?term=Schraeder%20KE%5BAuthor%5D&amp;cauthor=true&amp;cauthor_uid=25178864" TargetMode="External"/><Relationship Id="rId18" Type="http://schemas.openxmlformats.org/officeDocument/2006/relationships/hyperlink" Target="http://www.ncbi.nlm.nih.gov/pubmed/?term=Seymour%20F%5BAuthor%5D&amp;cauthor=true&amp;cauthor_uid=230605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cbi.nlm.nih.gov/pubmed/?term=Pasene-Mizziebo%20E%5BAuthor%5D&amp;cauthor=true&amp;cauthor_uid=23060599" TargetMode="External"/><Relationship Id="rId7" Type="http://schemas.openxmlformats.org/officeDocument/2006/relationships/endnotes" Target="endnotes.xml"/><Relationship Id="rId12" Type="http://schemas.openxmlformats.org/officeDocument/2006/relationships/hyperlink" Target="http://www.isdscotland.org/Health-Topics/Waiting-Times/Child-and-Adolescent-Mental-Health/CAMH-Waiting-Times-Scope-and-Definitions-v1.0.pdf" TargetMode="External"/><Relationship Id="rId17" Type="http://schemas.openxmlformats.org/officeDocument/2006/relationships/hyperlink" Target="http://www.ncbi.nlm.nih.gov/pubmed/?term=Parkin%20A%5BAuthor%5D&amp;cauthor=true&amp;cauthor_uid=230605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pubmed/?term=Stasiak%20K%5BAuthor%5D&amp;cauthor=true&amp;cauthor_uid=23060599" TargetMode="External"/><Relationship Id="rId20" Type="http://schemas.openxmlformats.org/officeDocument/2006/relationships/hyperlink" Target="http://www.ncbi.nlm.nih.gov/pubmed/?term=Crengle%20S%5BAuthor%5D&amp;cauthor=true&amp;cauthor_uid=230605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aldicott-information-governance-review-department-of-health-respon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md.scotland.gov.uk/publication-2012/" TargetMode="External"/><Relationship Id="rId23" Type="http://schemas.openxmlformats.org/officeDocument/2006/relationships/footer" Target="footer1.xml"/><Relationship Id="rId10" Type="http://schemas.openxmlformats.org/officeDocument/2006/relationships/hyperlink" Target="http://webarchive.nationalarchives.gov.uk/20081230004520/publications.dcsf.gov.uk/eorderingdownload/camhs-review.pdf" TargetMode="External"/><Relationship Id="rId19" Type="http://schemas.openxmlformats.org/officeDocument/2006/relationships/hyperlink" Target="http://www.ncbi.nlm.nih.gov/pubmed/?term=Lambie%20I%5BAuthor%5D&amp;cauthor=true&amp;cauthor_uid=23060599" TargetMode="External"/><Relationship Id="rId4" Type="http://schemas.openxmlformats.org/officeDocument/2006/relationships/settings" Target="settings.xml"/><Relationship Id="rId9" Type="http://schemas.openxmlformats.org/officeDocument/2006/relationships/hyperlink" Target="https://www.jrf.org.uk/report/does-money-affect-children%E2%80%99s-outcomes" TargetMode="External"/><Relationship Id="rId14" Type="http://schemas.openxmlformats.org/officeDocument/2006/relationships/hyperlink" Target="http://www.ncbi.nlm.nih.gov/pubmed/?term=Reid%20GJ%5BAuthor%5D&amp;cauthor=true&amp;cauthor_uid=25178864" TargetMode="External"/><Relationship Id="rId22" Type="http://schemas.openxmlformats.org/officeDocument/2006/relationships/hyperlink" Target="http://www.ncbi.nlm.nih.gov/pubmed/?term=Merry%20S%5BAuthor%5D&amp;cauthor=true&amp;cauthor_uid=23060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24E3-481A-4A37-8FD7-F6756A62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6819</Words>
  <Characters>40181</Characters>
  <Application>Microsoft Office Word</Application>
  <DocSecurity>4</DocSecurity>
  <Lines>334</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Smith</dc:creator>
  <cp:lastModifiedBy>Gibson, Lyn</cp:lastModifiedBy>
  <cp:revision>2</cp:revision>
  <cp:lastPrinted>2016-11-15T12:53:00Z</cp:lastPrinted>
  <dcterms:created xsi:type="dcterms:W3CDTF">2017-01-17T18:02:00Z</dcterms:created>
  <dcterms:modified xsi:type="dcterms:W3CDTF">2017-01-17T18:02:00Z</dcterms:modified>
</cp:coreProperties>
</file>