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439D3" w14:textId="386C4931" w:rsidR="00673C65" w:rsidRDefault="00673C65" w:rsidP="00673C65">
      <w:r>
        <w:rPr>
          <w:b/>
        </w:rPr>
        <w:t xml:space="preserve">Journal submitted to: </w:t>
      </w:r>
      <w:r>
        <w:t>Discourse &amp; Society</w:t>
      </w:r>
      <w:r w:rsidR="0023447E">
        <w:t xml:space="preserve"> (to be published in 28(2) 2017)</w:t>
      </w:r>
    </w:p>
    <w:p w14:paraId="232B02EF" w14:textId="77777777" w:rsidR="00673C65" w:rsidRDefault="00673C65" w:rsidP="00673C65"/>
    <w:p w14:paraId="441C55E7" w14:textId="77777777" w:rsidR="00673C65" w:rsidRDefault="00673C65" w:rsidP="00673C65">
      <w:r>
        <w:rPr>
          <w:b/>
        </w:rPr>
        <w:t>Title of the paper</w:t>
      </w:r>
      <w:r>
        <w:t>: ‘Today I offer you, and we offer the country a new vision’. The strategic use of first person pronouns in party conference speeches of the Third Way</w:t>
      </w:r>
    </w:p>
    <w:p w14:paraId="0E1858E9" w14:textId="77777777" w:rsidR="00673C65" w:rsidRDefault="00673C65" w:rsidP="00673C65"/>
    <w:p w14:paraId="57179BE3" w14:textId="77777777" w:rsidR="00673C65" w:rsidRPr="00181BEE" w:rsidRDefault="00673C65" w:rsidP="00673C65">
      <w:pPr>
        <w:rPr>
          <w:lang w:val="de-DE"/>
        </w:rPr>
      </w:pPr>
      <w:r w:rsidRPr="00181BEE">
        <w:rPr>
          <w:b/>
          <w:lang w:val="de-DE"/>
        </w:rPr>
        <w:t>Author</w:t>
      </w:r>
      <w:r w:rsidRPr="00181BEE">
        <w:rPr>
          <w:lang w:val="de-DE"/>
        </w:rPr>
        <w:t>: Michael Kranert</w:t>
      </w:r>
    </w:p>
    <w:p w14:paraId="3FC44AFA" w14:textId="3A2752E0" w:rsidR="00673C65" w:rsidRDefault="00673C65" w:rsidP="00673C65">
      <w:pPr>
        <w:rPr>
          <w:lang w:val="de-DE"/>
        </w:rPr>
      </w:pPr>
      <w:bookmarkStart w:id="0" w:name="_GoBack"/>
      <w:bookmarkEnd w:id="0"/>
    </w:p>
    <w:p w14:paraId="11A33870" w14:textId="6BB7C1E4" w:rsidR="007240FB" w:rsidRPr="007240FB" w:rsidRDefault="007240FB" w:rsidP="00673C65">
      <w:pPr>
        <w:rPr>
          <w:lang w:val="de-DE"/>
        </w:rPr>
      </w:pPr>
      <w:r>
        <w:rPr>
          <w:b/>
          <w:lang w:val="de-DE"/>
        </w:rPr>
        <w:t>V</w:t>
      </w:r>
      <w:r w:rsidRPr="007240FB">
        <w:rPr>
          <w:b/>
          <w:lang w:val="de-DE"/>
        </w:rPr>
        <w:t>ersion</w:t>
      </w:r>
      <w:r>
        <w:rPr>
          <w:b/>
          <w:lang w:val="de-DE"/>
        </w:rPr>
        <w:t xml:space="preserve">: </w:t>
      </w:r>
      <w:r w:rsidRPr="007240FB">
        <w:rPr>
          <w:lang w:val="de-DE"/>
        </w:rPr>
        <w:t>Version 2, 17/10/2016</w:t>
      </w:r>
    </w:p>
    <w:p w14:paraId="4BA2A882" w14:textId="77777777" w:rsidR="007240FB" w:rsidRPr="00181BEE" w:rsidRDefault="007240FB" w:rsidP="00673C65">
      <w:pPr>
        <w:rPr>
          <w:lang w:val="de-DE"/>
        </w:rPr>
      </w:pPr>
    </w:p>
    <w:p w14:paraId="687D27CB" w14:textId="27CF340A" w:rsidR="00673C65" w:rsidRPr="00181BEE" w:rsidRDefault="00673C65" w:rsidP="00673C65">
      <w:pPr>
        <w:rPr>
          <w:lang w:val="de-DE"/>
        </w:rPr>
      </w:pPr>
      <w:r w:rsidRPr="00181BEE">
        <w:rPr>
          <w:b/>
          <w:lang w:val="de-DE"/>
        </w:rPr>
        <w:t>Institution</w:t>
      </w:r>
      <w:r w:rsidRPr="00181BEE">
        <w:rPr>
          <w:lang w:val="de-DE"/>
        </w:rPr>
        <w:t xml:space="preserve">: </w:t>
      </w:r>
      <w:r w:rsidR="00181BEE">
        <w:rPr>
          <w:lang w:val="de-DE"/>
        </w:rPr>
        <w:t>Edinburgh Napier University</w:t>
      </w:r>
    </w:p>
    <w:p w14:paraId="246C81D2" w14:textId="77777777" w:rsidR="00673C65" w:rsidRPr="00181BEE" w:rsidRDefault="00673C65" w:rsidP="00673C65">
      <w:pPr>
        <w:rPr>
          <w:lang w:val="de-DE"/>
        </w:rPr>
      </w:pPr>
    </w:p>
    <w:p w14:paraId="37534CDC" w14:textId="77777777" w:rsidR="007240FB" w:rsidRDefault="00673C65" w:rsidP="00673C65">
      <w:pPr>
        <w:rPr>
          <w:lang w:val="de-DE"/>
        </w:rPr>
      </w:pPr>
      <w:r w:rsidRPr="004826AE">
        <w:rPr>
          <w:b/>
          <w:lang w:val="de-DE"/>
        </w:rPr>
        <w:t>Corresponding author</w:t>
      </w:r>
      <w:r w:rsidRPr="004826AE">
        <w:rPr>
          <w:lang w:val="de-DE"/>
        </w:rPr>
        <w:t xml:space="preserve">: </w:t>
      </w:r>
    </w:p>
    <w:p w14:paraId="71BD1E6B" w14:textId="039647F6" w:rsidR="00673C65" w:rsidRPr="004826AE" w:rsidRDefault="00673C65" w:rsidP="00673C65">
      <w:pPr>
        <w:rPr>
          <w:lang w:val="de-DE"/>
        </w:rPr>
      </w:pPr>
      <w:r w:rsidRPr="004826AE">
        <w:rPr>
          <w:lang w:val="de-DE"/>
        </w:rPr>
        <w:t>Michael Kranert</w:t>
      </w:r>
    </w:p>
    <w:p w14:paraId="7EB9BE85" w14:textId="77777777" w:rsidR="007240FB" w:rsidRDefault="007240FB" w:rsidP="00673C65">
      <w:pPr>
        <w:rPr>
          <w:lang w:val="de-DE"/>
        </w:rPr>
      </w:pPr>
    </w:p>
    <w:p w14:paraId="7F44D37F" w14:textId="11B85902" w:rsidR="00673C65" w:rsidRPr="004826AE" w:rsidRDefault="00673C65" w:rsidP="00673C65">
      <w:pPr>
        <w:rPr>
          <w:b/>
          <w:lang w:val="de-DE"/>
        </w:rPr>
      </w:pPr>
      <w:r w:rsidRPr="004826AE">
        <w:rPr>
          <w:lang w:val="de-DE"/>
        </w:rPr>
        <w:tab/>
      </w:r>
      <w:r w:rsidRPr="004826AE">
        <w:rPr>
          <w:b/>
          <w:lang w:val="de-DE"/>
        </w:rPr>
        <w:t>Institutional e-mail:</w:t>
      </w:r>
      <w:r w:rsidR="00951FD8" w:rsidRPr="004826AE">
        <w:rPr>
          <w:b/>
          <w:lang w:val="de-DE"/>
        </w:rPr>
        <w:t xml:space="preserve"> </w:t>
      </w:r>
      <w:r w:rsidR="00951FD8" w:rsidRPr="004826AE">
        <w:rPr>
          <w:lang w:val="de-DE"/>
        </w:rPr>
        <w:t>M.Kranert@napier.ac.uk</w:t>
      </w:r>
    </w:p>
    <w:p w14:paraId="4E8BBE1D" w14:textId="77777777" w:rsidR="00673C65" w:rsidRPr="004826AE" w:rsidRDefault="00673C65" w:rsidP="00673C65">
      <w:pPr>
        <w:rPr>
          <w:lang w:val="de-DE"/>
        </w:rPr>
      </w:pPr>
    </w:p>
    <w:p w14:paraId="62094483" w14:textId="77777777" w:rsidR="00673C65" w:rsidRDefault="00673C65" w:rsidP="00673C65">
      <w:r w:rsidRPr="00FD5250">
        <w:rPr>
          <w:b/>
        </w:rPr>
        <w:t>Short title</w:t>
      </w:r>
      <w:r>
        <w:t>: The strategic use of first person pronouns in party conference speeches</w:t>
      </w:r>
    </w:p>
    <w:p w14:paraId="18963799" w14:textId="77777777" w:rsidR="00673C65" w:rsidRDefault="00673C65" w:rsidP="00673C65"/>
    <w:p w14:paraId="55DFB289" w14:textId="3BBBE758" w:rsidR="00673C65" w:rsidRDefault="00673C65" w:rsidP="00673C65">
      <w:r w:rsidRPr="00FD5250">
        <w:rPr>
          <w:b/>
        </w:rPr>
        <w:t>Size of the paper</w:t>
      </w:r>
      <w:r>
        <w:t xml:space="preserve">:  </w:t>
      </w:r>
      <w:r w:rsidR="009048E2">
        <w:t>9</w:t>
      </w:r>
      <w:r w:rsidR="007240FB">
        <w:t>687</w:t>
      </w:r>
      <w:r>
        <w:t xml:space="preserve"> words </w:t>
      </w:r>
      <w:r>
        <w:br w:type="page"/>
      </w:r>
    </w:p>
    <w:p w14:paraId="01D11654" w14:textId="77777777" w:rsidR="00673C65" w:rsidRDefault="00673C65" w:rsidP="00673C65">
      <w:pPr>
        <w:spacing w:after="160" w:line="256" w:lineRule="auto"/>
        <w:jc w:val="left"/>
        <w:rPr>
          <w:rFonts w:eastAsiaTheme="majorEastAsia" w:cs="Times New Roman"/>
          <w:b/>
          <w:spacing w:val="-10"/>
          <w:kern w:val="28"/>
          <w:sz w:val="40"/>
          <w:szCs w:val="56"/>
        </w:rPr>
      </w:pPr>
    </w:p>
    <w:p w14:paraId="5075531F" w14:textId="77777777" w:rsidR="00596DDB" w:rsidRDefault="00596DDB" w:rsidP="00673C65">
      <w:pPr>
        <w:pStyle w:val="Heading1"/>
        <w:spacing w:line="480" w:lineRule="auto"/>
      </w:pPr>
      <w:r>
        <w:t>Abstract</w:t>
      </w:r>
    </w:p>
    <w:p w14:paraId="4002A07B" w14:textId="146C7B49" w:rsidR="00596DDB" w:rsidRDefault="00596DDB" w:rsidP="00673C65">
      <w:pPr>
        <w:spacing w:line="480" w:lineRule="auto"/>
      </w:pPr>
      <w:r>
        <w:t xml:space="preserve">This article aims to fill a gap in the existing research by </w:t>
      </w:r>
      <w:r w:rsidR="00D4750C">
        <w:t>analysing</w:t>
      </w:r>
      <w:r>
        <w:t xml:space="preserve"> the construction of leadership and group identity in a corpus of 13 party conference speeches by the party leaders of the German SPD and the British Labour party between 1997 and 2003. The comparative approach chosen will demonstrate the context sensitivity and strategic use of the pronominal self-references. The article will demonstrate how changes of pronominal self-reference in party conference speeches can be understood as strategic changes of footing </w:t>
      </w:r>
      <w:r w:rsidR="001F1951">
        <w:t>(Goffman, 1981)</w:t>
      </w:r>
      <w:r>
        <w:t xml:space="preserve"> to foreground either the voice of the party leader or the voice of the party. It will conclude with the results of an analysis of the combination of pronominal self-references and verb forms construing competence and responsiveness, as suggested by Fetzer and Bull (2012), and demonstrates that these verb forms are used differently in combination with the various forms of self-reference, a fact neglected in their analysis.</w:t>
      </w:r>
    </w:p>
    <w:p w14:paraId="3FD36ED1" w14:textId="77777777" w:rsidR="00596DDB" w:rsidRDefault="00596DDB" w:rsidP="00673C65">
      <w:pPr>
        <w:pStyle w:val="Heading1"/>
        <w:spacing w:line="480" w:lineRule="auto"/>
      </w:pPr>
      <w:r>
        <w:t>Keywords</w:t>
      </w:r>
    </w:p>
    <w:p w14:paraId="2D4F237D" w14:textId="60CD787B" w:rsidR="00596DDB" w:rsidRDefault="00596DDB" w:rsidP="00673C65">
      <w:pPr>
        <w:spacing w:line="480" w:lineRule="auto"/>
      </w:pPr>
      <w:r>
        <w:t>Discourse analysis, political discourse, party conference speeches, contrastive analysis, German, English, Germany, United Kingdom, third way, New Labour, SPD, competence, leadership, footing, political culture, pronominal self-reference, verb semantics,</w:t>
      </w:r>
    </w:p>
    <w:p w14:paraId="04D143CA" w14:textId="77777777" w:rsidR="007240FB" w:rsidRDefault="007240FB" w:rsidP="00673C65">
      <w:pPr>
        <w:pStyle w:val="Heading1"/>
        <w:spacing w:line="480" w:lineRule="auto"/>
      </w:pPr>
    </w:p>
    <w:p w14:paraId="5C793D49" w14:textId="77777777" w:rsidR="007240FB" w:rsidRDefault="007240FB" w:rsidP="00673C65">
      <w:pPr>
        <w:pStyle w:val="Heading1"/>
        <w:spacing w:line="480" w:lineRule="auto"/>
      </w:pPr>
    </w:p>
    <w:p w14:paraId="50114AE6" w14:textId="411BA442" w:rsidR="00596DDB" w:rsidRDefault="00596DDB" w:rsidP="00673C65">
      <w:pPr>
        <w:pStyle w:val="Heading1"/>
        <w:spacing w:line="480" w:lineRule="auto"/>
      </w:pPr>
      <w:r>
        <w:t>Biographical Note</w:t>
      </w:r>
    </w:p>
    <w:p w14:paraId="42734740" w14:textId="6C3E6AF3" w:rsidR="00596DDB" w:rsidRDefault="00596DDB" w:rsidP="00673C65">
      <w:r>
        <w:t>Michael Kranert is Lecturer in Languages at Edinburgh Napier University. He works in the field of political linguistics applying linguistic research methods such as Systemic Functional Linguistics and Critical Metaphor Analysis to political discourses.  His latest project undertakes a comparison of the discourses of New Labour and the German SPD at the turn of the twenty-first century, explaining linguistic and discursive differences with reference to differences in the political cultures of Germany and the UK.</w:t>
      </w:r>
    </w:p>
    <w:p w14:paraId="5B813917" w14:textId="77777777" w:rsidR="00596DDB" w:rsidRDefault="00596DDB" w:rsidP="00673C65">
      <w:pPr>
        <w:spacing w:line="480" w:lineRule="auto"/>
      </w:pPr>
    </w:p>
    <w:p w14:paraId="59B58DD6" w14:textId="5AC9060A" w:rsidR="00596DDB" w:rsidRDefault="00596DDB" w:rsidP="00673C65">
      <w:pPr>
        <w:pStyle w:val="Title"/>
        <w:rPr>
          <w:rFonts w:ascii="Times New Roman" w:hAnsi="Times New Roman" w:cs="Times New Roman"/>
          <w:b/>
          <w:sz w:val="40"/>
        </w:rPr>
      </w:pPr>
      <w:r w:rsidRPr="004A36AA">
        <w:rPr>
          <w:rFonts w:ascii="Times New Roman" w:hAnsi="Times New Roman" w:cs="Times New Roman"/>
          <w:b/>
          <w:sz w:val="40"/>
        </w:rPr>
        <w:t xml:space="preserve"> </w:t>
      </w:r>
    </w:p>
    <w:p w14:paraId="6CF99050" w14:textId="77777777" w:rsidR="00596DDB" w:rsidRDefault="00596DDB">
      <w:pPr>
        <w:spacing w:after="160" w:line="259" w:lineRule="auto"/>
        <w:jc w:val="left"/>
        <w:rPr>
          <w:rFonts w:eastAsiaTheme="majorEastAsia" w:cs="Times New Roman"/>
          <w:b/>
          <w:spacing w:val="-10"/>
          <w:kern w:val="28"/>
          <w:sz w:val="40"/>
          <w:szCs w:val="56"/>
        </w:rPr>
      </w:pPr>
      <w:r>
        <w:rPr>
          <w:rFonts w:cs="Times New Roman"/>
          <w:b/>
          <w:sz w:val="40"/>
        </w:rPr>
        <w:br w:type="page"/>
      </w:r>
    </w:p>
    <w:p w14:paraId="200C4520" w14:textId="77777777" w:rsidR="007240FB" w:rsidRDefault="007240FB" w:rsidP="007240FB">
      <w:pPr>
        <w:pStyle w:val="Title"/>
        <w:spacing w:line="480" w:lineRule="auto"/>
        <w:rPr>
          <w:rFonts w:ascii="Times New Roman" w:hAnsi="Times New Roman" w:cs="Times New Roman"/>
          <w:b/>
          <w:sz w:val="40"/>
        </w:rPr>
      </w:pPr>
      <w:r>
        <w:rPr>
          <w:rFonts w:ascii="Times New Roman" w:hAnsi="Times New Roman" w:cs="Times New Roman"/>
          <w:b/>
          <w:sz w:val="40"/>
        </w:rPr>
        <w:t>‘Today I offer you, and we offer the country a new vision’. The strategic use of first person pronouns in party conference speeches of the Third Way</w:t>
      </w:r>
      <w:r>
        <w:rPr>
          <w:rStyle w:val="EndnoteReference"/>
          <w:rFonts w:ascii="Times New Roman" w:hAnsi="Times New Roman" w:cs="Times New Roman"/>
          <w:b/>
          <w:sz w:val="40"/>
        </w:rPr>
        <w:endnoteReference w:id="1"/>
      </w:r>
    </w:p>
    <w:p w14:paraId="11C4AE3A" w14:textId="77777777" w:rsidR="007240FB" w:rsidRPr="00181BEE" w:rsidRDefault="007240FB" w:rsidP="007240FB">
      <w:pPr>
        <w:pStyle w:val="Heading3"/>
        <w:spacing w:line="480" w:lineRule="auto"/>
        <w:rPr>
          <w:rFonts w:ascii="Times New Roman" w:hAnsi="Times New Roman" w:cs="Times New Roman"/>
          <w:b/>
          <w:i/>
          <w:color w:val="auto"/>
          <w:lang w:val="de-DE"/>
        </w:rPr>
      </w:pPr>
      <w:r w:rsidRPr="00181BEE">
        <w:rPr>
          <w:rFonts w:ascii="Times New Roman" w:hAnsi="Times New Roman" w:cs="Times New Roman"/>
          <w:b/>
          <w:i/>
          <w:color w:val="auto"/>
          <w:lang w:val="de-DE"/>
        </w:rPr>
        <w:t xml:space="preserve">Michael Kranert </w:t>
      </w:r>
    </w:p>
    <w:p w14:paraId="415C9321" w14:textId="77777777" w:rsidR="007240FB" w:rsidRPr="00181BEE" w:rsidRDefault="007240FB" w:rsidP="007240FB">
      <w:pPr>
        <w:pStyle w:val="Heading3"/>
        <w:spacing w:line="480" w:lineRule="auto"/>
        <w:rPr>
          <w:rFonts w:ascii="Times New Roman" w:hAnsi="Times New Roman" w:cs="Times New Roman"/>
          <w:b/>
          <w:i/>
          <w:color w:val="auto"/>
          <w:lang w:val="de-DE"/>
        </w:rPr>
      </w:pPr>
      <w:r w:rsidRPr="00181BEE">
        <w:rPr>
          <w:rFonts w:ascii="Times New Roman" w:hAnsi="Times New Roman" w:cs="Times New Roman"/>
          <w:b/>
          <w:i/>
          <w:color w:val="auto"/>
          <w:lang w:val="de-DE"/>
        </w:rPr>
        <w:t>Edinburgh Napier University, UK</w:t>
      </w:r>
    </w:p>
    <w:p w14:paraId="1B0EC0EF" w14:textId="77777777" w:rsidR="007240FB" w:rsidRDefault="007240FB" w:rsidP="005A79BB">
      <w:pPr>
        <w:ind w:left="5040"/>
        <w:rPr>
          <w:i/>
        </w:rPr>
      </w:pPr>
    </w:p>
    <w:p w14:paraId="30C02407" w14:textId="3230F409" w:rsidR="00596DDB" w:rsidRDefault="00596DDB" w:rsidP="005A79BB">
      <w:pPr>
        <w:ind w:left="5040"/>
        <w:rPr>
          <w:i/>
        </w:rPr>
      </w:pPr>
      <w:r>
        <w:rPr>
          <w:i/>
        </w:rPr>
        <w:t xml:space="preserve">  </w:t>
      </w:r>
      <w:r w:rsidRPr="00625A53">
        <w:rPr>
          <w:i/>
        </w:rPr>
        <w:t>Who am I</w:t>
      </w:r>
      <w:r>
        <w:rPr>
          <w:i/>
        </w:rPr>
        <w:t xml:space="preserve">? – </w:t>
      </w:r>
      <w:r w:rsidRPr="00625A53">
        <w:rPr>
          <w:i/>
        </w:rPr>
        <w:t>and if so, how many?</w:t>
      </w:r>
    </w:p>
    <w:p w14:paraId="43410741" w14:textId="62A3BDC2" w:rsidR="00596DDB" w:rsidRPr="005A79BB" w:rsidRDefault="00596DDB" w:rsidP="005A79BB">
      <w:pPr>
        <w:rPr>
          <w:i/>
        </w:rPr>
      </w:pPr>
      <w:r>
        <w:rPr>
          <w:i/>
        </w:rPr>
        <w:tab/>
      </w:r>
      <w:r>
        <w:rPr>
          <w:i/>
        </w:rPr>
        <w:tab/>
      </w:r>
      <w:r>
        <w:rPr>
          <w:i/>
        </w:rPr>
        <w:tab/>
      </w:r>
      <w:r>
        <w:rPr>
          <w:i/>
        </w:rPr>
        <w:tab/>
      </w:r>
      <w:r>
        <w:rPr>
          <w:i/>
        </w:rPr>
        <w:tab/>
      </w:r>
      <w:r>
        <w:rPr>
          <w:i/>
        </w:rPr>
        <w:tab/>
      </w:r>
      <w:r>
        <w:rPr>
          <w:i/>
        </w:rPr>
        <w:tab/>
        <w:t xml:space="preserve">  </w:t>
      </w:r>
      <w:r w:rsidR="001F1951">
        <w:rPr>
          <w:i/>
        </w:rPr>
        <w:t>(Precht, 2011)</w:t>
      </w:r>
    </w:p>
    <w:p w14:paraId="7DF4ACEF" w14:textId="289A51CE" w:rsidR="00596DDB" w:rsidRDefault="00596DDB" w:rsidP="005A79BB">
      <w:pPr>
        <w:pStyle w:val="Heading1"/>
      </w:pPr>
      <w:r>
        <w:t>Introduction</w:t>
      </w:r>
    </w:p>
    <w:p w14:paraId="7A5F5139" w14:textId="6A24F28B" w:rsidR="00596DDB" w:rsidRPr="004A36AA" w:rsidRDefault="00596DDB" w:rsidP="00C32603">
      <w:r w:rsidRPr="004A36AA">
        <w:t xml:space="preserve">Political speeches are not only </w:t>
      </w:r>
      <w:r>
        <w:t xml:space="preserve">intended </w:t>
      </w:r>
      <w:r w:rsidRPr="004A36AA">
        <w:t>to influence decision</w:t>
      </w:r>
      <w:r>
        <w:t>-</w:t>
      </w:r>
      <w:r w:rsidRPr="004A36AA">
        <w:t xml:space="preserve">making </w:t>
      </w:r>
      <w:r>
        <w:t>by</w:t>
      </w:r>
      <w:r w:rsidRPr="004A36AA">
        <w:t xml:space="preserve"> voters </w:t>
      </w:r>
      <w:r>
        <w:t>or</w:t>
      </w:r>
      <w:r w:rsidRPr="004A36AA">
        <w:t xml:space="preserve"> politicians (deliberative speech), </w:t>
      </w:r>
      <w:r>
        <w:t xml:space="preserve">or </w:t>
      </w:r>
      <w:r w:rsidRPr="004A36AA">
        <w:t xml:space="preserve">to defend or to accuse (judicial oratory), but also to honour and commemorate, and to celebrate the membership of a political group (epideictic oratory). Therefore, they are “interactional contributions to identity politics and accomplish the two political purposes of inclusion and exclusion” </w:t>
      </w:r>
      <w:r w:rsidR="001F1951">
        <w:t>(Reisigl, 2008: 251)</w:t>
      </w:r>
      <w:r w:rsidRPr="004A36AA">
        <w:t xml:space="preserve"> and support the formation of a group identity. Speeches of party leaders, particularly at party conferences, also need to convey a sense of leadership. Time and again, analysts of language in politics have described how first person pronouns are used in political discourse to construct leadership and group identity </w:t>
      </w:r>
      <w:r w:rsidR="001F1951">
        <w:t>(Wilson, 1990; Fina, 1995; Pyykkö, 2002; Skarżyńska, 2002; Fetzer, 2014)</w:t>
      </w:r>
      <w:r w:rsidRPr="004A36AA">
        <w:t xml:space="preserve">. Fetzer and Bull </w:t>
      </w:r>
      <w:r w:rsidR="00C33216">
        <w:t>(2012)</w:t>
      </w:r>
      <w:r w:rsidRPr="004A36AA">
        <w:t xml:space="preserve"> also demonstrated, how leadership is construed through combinations of self-reference and one of four verb forms.</w:t>
      </w:r>
    </w:p>
    <w:p w14:paraId="3736D117" w14:textId="125BD78B" w:rsidR="00596DDB" w:rsidRPr="004A36AA" w:rsidRDefault="00596DDB" w:rsidP="00C32603">
      <w:r w:rsidRPr="004A36AA">
        <w:t xml:space="preserve">This article aims to fill a gap in the existing research by analysing the construction of leadership and group identity in a corpus of 13 party conference speeches by the </w:t>
      </w:r>
      <w:r>
        <w:t>p</w:t>
      </w:r>
      <w:r w:rsidRPr="004A36AA">
        <w:t>arty leaders of the German</w:t>
      </w:r>
      <w:r>
        <w:t xml:space="preserve"> social democratic party</w:t>
      </w:r>
      <w:r w:rsidRPr="004A36AA">
        <w:t xml:space="preserve"> </w:t>
      </w:r>
      <w:r>
        <w:t>(</w:t>
      </w:r>
      <w:r w:rsidRPr="004A36AA">
        <w:t>SPD</w:t>
      </w:r>
      <w:r>
        <w:t>)</w:t>
      </w:r>
      <w:r w:rsidRPr="004A36AA">
        <w:t xml:space="preserve"> and the British Labour party between 1997 and 2003. The comparative approach chosen will demonstrate the context sensitivity and strategic use of the </w:t>
      </w:r>
      <w:r>
        <w:t xml:space="preserve">pronominal </w:t>
      </w:r>
      <w:r w:rsidRPr="004A36AA">
        <w:t>self-references. The time</w:t>
      </w:r>
      <w:r>
        <w:t>span</w:t>
      </w:r>
      <w:r w:rsidRPr="004A36AA">
        <w:t xml:space="preserve"> of the corpus was chosen to treat ideology as a</w:t>
      </w:r>
      <w:r>
        <w:t xml:space="preserve"> controlled</w:t>
      </w:r>
      <w:r w:rsidRPr="004A36AA">
        <w:t xml:space="preserve"> variable, as both Schröder and Blair were aiming to transform their party into post-ideological social democratic parties of the Third Way</w:t>
      </w:r>
      <w:r>
        <w:t xml:space="preserve"> </w:t>
      </w:r>
      <w:r w:rsidR="00C33216">
        <w:t>(2010)</w:t>
      </w:r>
      <w:r w:rsidRPr="004A36AA">
        <w:t xml:space="preserve">. </w:t>
      </w:r>
      <w:r>
        <w:t xml:space="preserve">I </w:t>
      </w:r>
      <w:r w:rsidRPr="004A36AA">
        <w:t xml:space="preserve">will demonstrate how changes of </w:t>
      </w:r>
      <w:r>
        <w:t xml:space="preserve">pronominal </w:t>
      </w:r>
      <w:r w:rsidRPr="004A36AA">
        <w:t>self</w:t>
      </w:r>
      <w:r>
        <w:t>-</w:t>
      </w:r>
      <w:r w:rsidRPr="004A36AA">
        <w:t xml:space="preserve">reference in party conference speeches can be understood as strategic changes of footing </w:t>
      </w:r>
      <w:r w:rsidR="001F1951">
        <w:t>(Goffman, 1981)</w:t>
      </w:r>
      <w:r w:rsidRPr="004A36AA">
        <w:t xml:space="preserve"> to foreground either the voice of the party leader or the voice of the party. Furthermore, I will argue that Fetzer and Bull</w:t>
      </w:r>
      <w:r>
        <w:t>’</w:t>
      </w:r>
      <w:r w:rsidRPr="004A36AA">
        <w:t xml:space="preserve">s </w:t>
      </w:r>
      <w:r w:rsidR="00C33216">
        <w:t>(2012)</w:t>
      </w:r>
      <w:r>
        <w:t xml:space="preserve"> </w:t>
      </w:r>
      <w:r w:rsidRPr="004A36AA">
        <w:t>verb forms are used differently in combination with the various</w:t>
      </w:r>
      <w:r>
        <w:t xml:space="preserve"> forms of self-</w:t>
      </w:r>
      <w:r w:rsidRPr="004A36AA">
        <w:t xml:space="preserve">reference, a fact neglected in their analysis. </w:t>
      </w:r>
    </w:p>
    <w:p w14:paraId="2755C526" w14:textId="4B662BB8" w:rsidR="00596DDB" w:rsidRPr="004A36AA" w:rsidRDefault="00596DDB" w:rsidP="00C32603">
      <w:pPr>
        <w:pStyle w:val="Heading1"/>
      </w:pPr>
      <w:r w:rsidRPr="004A36AA">
        <w:t xml:space="preserve">Theoretical background: Party conference speeches and the construction of leadership and groupness </w:t>
      </w:r>
    </w:p>
    <w:p w14:paraId="235277E3" w14:textId="3C32C902" w:rsidR="00596DDB" w:rsidRPr="004A36AA" w:rsidRDefault="00596DDB" w:rsidP="004E29ED">
      <w:r w:rsidRPr="004A36AA">
        <w:t xml:space="preserve">Leader’s speeches at party conferences belong to the genre of political speeches. Modern political speeches are multi-authored </w:t>
      </w:r>
      <w:r w:rsidR="001F1951">
        <w:t>(Kammerer, 1995)</w:t>
      </w:r>
      <w:r>
        <w:t xml:space="preserve"> </w:t>
      </w:r>
      <w:r w:rsidRPr="004A36AA">
        <w:t>and multi-addressed</w:t>
      </w:r>
      <w:r>
        <w:t xml:space="preserve"> </w:t>
      </w:r>
      <w:r w:rsidR="001F1951">
        <w:t>(Kühn, 1995)</w:t>
      </w:r>
      <w:r w:rsidRPr="004A36AA">
        <w:t>, as party leaders usually speak on behalf of complex networks of political institutions such as their party, their parliamentary group or indeed the government. B</w:t>
      </w:r>
      <w:r>
        <w:t>ut party leaders</w:t>
      </w:r>
      <w:r w:rsidRPr="004A36AA">
        <w:t xml:space="preserve"> also have to convey a clear image </w:t>
      </w:r>
      <w:r>
        <w:t>of themselves as an</w:t>
      </w:r>
      <w:r w:rsidRPr="004A36AA">
        <w:t xml:space="preserve"> individual. In order to master this complex task, they employ researchers and speech writers</w:t>
      </w:r>
      <w:r>
        <w:t xml:space="preserve">. </w:t>
      </w:r>
      <w:r w:rsidRPr="004A36AA">
        <w:t>The reception conditions of modern political oratory are equally complex. Since all important political occasions are covered by the media, contemporary political speeches are almost always addressed to multiple audiences. What is more, the</w:t>
      </w:r>
      <w:r>
        <w:t xml:space="preserve"> speeches’ intention and</w:t>
      </w:r>
      <w:r w:rsidRPr="004A36AA">
        <w:t xml:space="preserve"> addressee </w:t>
      </w:r>
      <w:r>
        <w:t>are</w:t>
      </w:r>
      <w:r w:rsidRPr="004A36AA">
        <w:t xml:space="preserve"> not only defined by the speaker, but by the individuals or organisations who are affected by the argument made and their reaction. An utterance intended as an advertising element within an election campaign might well be understood as an accusation by an opposition politician</w:t>
      </w:r>
      <w:r w:rsidR="000D6823">
        <w:t>,</w:t>
      </w:r>
      <w:r w:rsidRPr="004A36AA">
        <w:t xml:space="preserve"> </w:t>
      </w:r>
      <w:r w:rsidR="000D6823">
        <w:t>which in turn</w:t>
      </w:r>
      <w:r w:rsidR="000D6823" w:rsidRPr="004A36AA">
        <w:t xml:space="preserve"> </w:t>
      </w:r>
      <w:r w:rsidRPr="004A36AA">
        <w:t>force</w:t>
      </w:r>
      <w:r w:rsidR="000D6823">
        <w:t>s</w:t>
      </w:r>
      <w:r w:rsidRPr="004A36AA">
        <w:t xml:space="preserve"> her to respond to it. Observers abroad might interpret it as a provocation, and so on and so forth </w:t>
      </w:r>
      <w:r w:rsidR="001F1951">
        <w:t>(Kühn, 1992: 57)</w:t>
      </w:r>
      <w:r w:rsidRPr="004A36AA">
        <w:t>.</w:t>
      </w:r>
    </w:p>
    <w:p w14:paraId="332CC552" w14:textId="2364CD14" w:rsidR="00596DDB" w:rsidRPr="004A36AA" w:rsidRDefault="00596DDB" w:rsidP="007D78E4">
      <w:r w:rsidRPr="004A36AA">
        <w:t xml:space="preserve">Similar to political speeches in general, the function of party conferences </w:t>
      </w:r>
      <w:r>
        <w:t xml:space="preserve">is </w:t>
      </w:r>
      <w:r w:rsidRPr="004A36AA">
        <w:t xml:space="preserve">not restricted </w:t>
      </w:r>
      <w:r w:rsidR="008F1A0A" w:rsidRPr="004A36AA">
        <w:t>to deliberation</w:t>
      </w:r>
      <w:r w:rsidRPr="004A36AA">
        <w:t xml:space="preserve"> and communication of the ideological position of a political party, but plays an important role in identity-building within the party as a social institution, as these conferences are chances to </w:t>
      </w:r>
      <w:r>
        <w:t>“</w:t>
      </w:r>
      <w:r w:rsidRPr="004A36AA">
        <w:t>regenerate social bonds through shared intense emotions</w:t>
      </w:r>
      <w:r>
        <w:t xml:space="preserve">” </w:t>
      </w:r>
      <w:r w:rsidR="001F1951">
        <w:t>(Faucher-King, 2005: 72)</w:t>
      </w:r>
      <w:r w:rsidRPr="004A36AA">
        <w:t>. Leader’s speeches at party conferences are therefore particularly good examples of hybrids of deliberative and epideictic oratory</w:t>
      </w:r>
      <w:r w:rsidR="000D6823">
        <w:t>.</w:t>
      </w:r>
      <w:r w:rsidRPr="004A36AA">
        <w:t xml:space="preserve"> While, as a piece of deliberative oratory, they focus on arguments for policies</w:t>
      </w:r>
      <w:r w:rsidR="000D6823">
        <w:t>;</w:t>
      </w:r>
      <w:r w:rsidRPr="004A36AA">
        <w:t xml:space="preserve"> as a piece of epideictic oratory they aim to strengthen groupness of party, celebrating values and successes</w:t>
      </w:r>
      <w:r>
        <w:t>,</w:t>
      </w:r>
      <w:r w:rsidRPr="004A36AA">
        <w:t xml:space="preserve"> and arousing emotions of the audience in order to rally for support for the party’s policies. </w:t>
      </w:r>
    </w:p>
    <w:p w14:paraId="639C9273" w14:textId="5267E2F5" w:rsidR="00596DDB" w:rsidRPr="004A36AA" w:rsidRDefault="00596DDB" w:rsidP="008E7F5E">
      <w:r w:rsidRPr="004A36AA">
        <w:t xml:space="preserve">In the reception of party conferences, party members and the public naturally focus on the leader’s speech, which is expected to unite the party as well as present the leader as a visionary </w:t>
      </w:r>
      <w:r w:rsidR="001F1951">
        <w:t>(Gaffney, 1990: 107; Klein, 2000: 750)</w:t>
      </w:r>
      <w:r w:rsidRPr="004A36AA">
        <w:t xml:space="preserve">. </w:t>
      </w:r>
      <w:r>
        <w:t>F</w:t>
      </w:r>
      <w:r w:rsidRPr="004A36AA">
        <w:t xml:space="preserve">ulfilling </w:t>
      </w:r>
      <w:r>
        <w:t xml:space="preserve">the </w:t>
      </w:r>
      <w:r w:rsidRPr="004A36AA">
        <w:t>expectation</w:t>
      </w:r>
      <w:r>
        <w:t>s of such a complex audience</w:t>
      </w:r>
      <w:r w:rsidRPr="004A36AA">
        <w:t xml:space="preserve">, the leader needs to </w:t>
      </w:r>
      <w:r w:rsidR="0030583B" w:rsidRPr="004A36AA">
        <w:t>carefully</w:t>
      </w:r>
      <w:r w:rsidR="0030583B" w:rsidRPr="004A36AA" w:rsidDel="0030583B">
        <w:t xml:space="preserve"> </w:t>
      </w:r>
      <w:r w:rsidRPr="004A36AA">
        <w:t>balance</w:t>
      </w:r>
      <w:r w:rsidR="00F03BE0">
        <w:t xml:space="preserve"> the need for</w:t>
      </w:r>
      <w:r w:rsidRPr="004A36AA">
        <w:t xml:space="preserve"> </w:t>
      </w:r>
      <w:r w:rsidR="0030583B">
        <w:t>expressions of</w:t>
      </w:r>
      <w:r w:rsidR="0030583B" w:rsidRPr="004A36AA">
        <w:t xml:space="preserve"> </w:t>
      </w:r>
      <w:r w:rsidRPr="004A36AA">
        <w:t xml:space="preserve">leadership and </w:t>
      </w:r>
      <w:r w:rsidR="00F03BE0">
        <w:t xml:space="preserve">the discursive formation of </w:t>
      </w:r>
      <w:r w:rsidRPr="004A36AA">
        <w:t xml:space="preserve">group </w:t>
      </w:r>
      <w:r>
        <w:t>identity</w:t>
      </w:r>
      <w:r w:rsidR="00F03BE0">
        <w:t>.</w:t>
      </w:r>
      <w:r>
        <w:t xml:space="preserve"> </w:t>
      </w:r>
      <w:r w:rsidRPr="004A36AA">
        <w:t>With her speech, the leader needs to move the present primary audience emotionally</w:t>
      </w:r>
      <w:r>
        <w:t>,</w:t>
      </w:r>
      <w:r w:rsidRPr="004A36AA">
        <w:t xml:space="preserve"> as each member wants to be </w:t>
      </w:r>
      <w:r w:rsidR="00BF0E87">
        <w:t xml:space="preserve">represented within the </w:t>
      </w:r>
      <w:r w:rsidRPr="004A36AA">
        <w:t xml:space="preserve">group forming ‘we’ </w:t>
      </w:r>
      <w:r w:rsidR="001F1951">
        <w:t>(Faucher-King, 2005: 86)</w:t>
      </w:r>
      <w:r w:rsidRPr="004A36AA">
        <w:t>. Externally, the speech addresses the general public. The pronoun ‘we’</w:t>
      </w:r>
      <w:r>
        <w:t xml:space="preserve"> </w:t>
      </w:r>
      <w:r w:rsidRPr="004A36AA">
        <w:t>i</w:t>
      </w:r>
      <w:r>
        <w:t>s furthermore used by leaders for</w:t>
      </w:r>
      <w:r w:rsidRPr="004A36AA">
        <w:t xml:space="preserve"> validity claims</w:t>
      </w:r>
      <w:r>
        <w:t xml:space="preserve"> – i.e. description of reality, argumentation for certain policies – i</w:t>
      </w:r>
      <w:r w:rsidRPr="004A36AA">
        <w:t>n the name of the party. In this case,</w:t>
      </w:r>
      <w:r>
        <w:t xml:space="preserve"> the leader acts, metonymically, in the name of the party as a group. </w:t>
      </w:r>
      <w:r w:rsidRPr="004A36AA">
        <w:t xml:space="preserve">Sometimes, however, the leader uses an inclusive </w:t>
      </w:r>
      <w:r>
        <w:t>‘</w:t>
      </w:r>
      <w:r w:rsidRPr="004A36AA">
        <w:t>we</w:t>
      </w:r>
      <w:r>
        <w:t>’</w:t>
      </w:r>
      <w:r w:rsidRPr="004A36AA">
        <w:t xml:space="preserve">, suggesting an equivalence between the party and the nation. Finally, the leader’s speech needs to stimulate the general audience’s imagination of power as not remote or abstract, but </w:t>
      </w:r>
      <w:r>
        <w:t>embodied</w:t>
      </w:r>
      <w:r w:rsidRPr="004A36AA">
        <w:t xml:space="preserve"> by famous, heroic characters that they can connect to. Thus, the leader needs position himself in the speech, pointing to his political stance using the first person pronoun ‘I’. </w:t>
      </w:r>
    </w:p>
    <w:p w14:paraId="59915333" w14:textId="17C8CD82" w:rsidR="00596DDB" w:rsidRPr="00B97D6F" w:rsidRDefault="00596DDB" w:rsidP="00421937">
      <w:r w:rsidRPr="004A36AA">
        <w:t xml:space="preserve">The importance of the use of first person pronouns in political discourse has been acknowledged before. </w:t>
      </w:r>
      <w:r w:rsidRPr="00421937">
        <w:t xml:space="preserve">Wortham </w:t>
      </w:r>
      <w:r w:rsidR="001F1951">
        <w:t>(1996: 333)</w:t>
      </w:r>
      <w:r w:rsidRPr="00421937">
        <w:t xml:space="preserve"> argues that ‘we’ represents the speaker as a central or defining member of the group that he speaks on behalf of and explains this effect based on the double indexicality of personal pronouns also posited by Mühlhäusler and Harré </w:t>
      </w:r>
      <w:r w:rsidR="001F1951">
        <w:t>(1990: 92)</w:t>
      </w:r>
      <w:r w:rsidRPr="00421937">
        <w:t xml:space="preserve">: Personal pronouns are spatial-temporally anchored in the here-and-now and also in the pragmatic domain of the speaker’s responsibilities for illocutionary force and perlocutionary effects. That we-pronouns are connected to the establishment of social groups is demonstrated by Helmbrecht </w:t>
      </w:r>
      <w:r w:rsidR="001F1951">
        <w:t>(2002: 42)</w:t>
      </w:r>
      <w:r w:rsidRPr="00421937">
        <w:t>.</w:t>
      </w:r>
    </w:p>
    <w:p w14:paraId="7E21C166" w14:textId="2F17614E" w:rsidR="00596DDB" w:rsidRPr="00B97D6F" w:rsidRDefault="00596DDB" w:rsidP="00187E0F">
      <w:r w:rsidRPr="004A36AA">
        <w:t xml:space="preserve">Wilson </w:t>
      </w:r>
      <w:r w:rsidR="001F1951">
        <w:t>(1990: 47)</w:t>
      </w:r>
      <w:r w:rsidRPr="004A36AA">
        <w:t xml:space="preserve"> argues that the choice of pronouns</w:t>
      </w:r>
      <w:r>
        <w:t xml:space="preserve"> in every day speech</w:t>
      </w:r>
      <w:r w:rsidRPr="004A36AA">
        <w:t xml:space="preserve"> can </w:t>
      </w:r>
      <w:r>
        <w:t xml:space="preserve">mostly </w:t>
      </w:r>
      <w:r w:rsidRPr="004A36AA">
        <w:t xml:space="preserve">be interpreted as a sociolinguistic fact, for example in the choice of </w:t>
      </w:r>
      <w:r>
        <w:t>‘</w:t>
      </w:r>
      <w:r w:rsidRPr="004A36AA">
        <w:t>you</w:t>
      </w:r>
      <w:r>
        <w:t>’ or its regional version ‘</w:t>
      </w:r>
      <w:r w:rsidRPr="004A36AA">
        <w:t>yous</w:t>
      </w:r>
      <w:r>
        <w:t>’</w:t>
      </w:r>
      <w:r w:rsidRPr="004A36AA">
        <w:t xml:space="preserve"> for the second person plural. The use of</w:t>
      </w:r>
      <w:r>
        <w:t xml:space="preserve"> ‘I’</w:t>
      </w:r>
      <w:r w:rsidR="0030583B">
        <w:t xml:space="preserve"> and the </w:t>
      </w:r>
      <w:r w:rsidRPr="004A36AA">
        <w:t xml:space="preserve">inclusive or exclusive ‘we’ by politicians, however, is </w:t>
      </w:r>
      <w:r>
        <w:t xml:space="preserve">often </w:t>
      </w:r>
      <w:r w:rsidRPr="004A36AA">
        <w:t xml:space="preserve">a pragmatic manipulation and thus strategic, as it exploits the ambiguity of ‘we’ </w:t>
      </w:r>
      <w:r w:rsidR="001F1951">
        <w:t>(St. Clair, 1973)</w:t>
      </w:r>
      <w:r>
        <w:t xml:space="preserve"> </w:t>
      </w:r>
      <w:r w:rsidRPr="004A36AA">
        <w:t xml:space="preserve">based on implicatures </w:t>
      </w:r>
      <w:r>
        <w:t>inferred and interpreted by</w:t>
      </w:r>
      <w:r w:rsidRPr="004A36AA">
        <w:t xml:space="preserve"> the hearer. These interpretations can always be denied by the speaker</w:t>
      </w:r>
      <w:r>
        <w:t>s when they are confronted with interpretations of their words later (“I didn’t mean/ say that”)</w:t>
      </w:r>
      <w:r w:rsidRPr="004A36AA">
        <w:t xml:space="preserve">. </w:t>
      </w:r>
      <w:r w:rsidRPr="00B97D6F">
        <w:t xml:space="preserve">Fetzer </w:t>
      </w:r>
      <w:r w:rsidR="001F1951">
        <w:t>(2014: 336</w:t>
      </w:r>
      <w:r w:rsidR="008F1A0A">
        <w:t>), for</w:t>
      </w:r>
      <w:r>
        <w:t xml:space="preserve"> example, </w:t>
      </w:r>
      <w:r w:rsidRPr="00B97D6F">
        <w:t>argu</w:t>
      </w:r>
      <w:r>
        <w:t xml:space="preserve">es </w:t>
      </w:r>
      <w:r w:rsidRPr="00B97D6F">
        <w:t>that the use of ‘we’ aligns the speaker with supporters of a political party irrespective of the party’s ideology: “Because of the indeterminate referential domain of first-person-plural self-references, supporters may interpret favorable messages as addressed to them, and unfavorable messages as being directed towards others.</w:t>
      </w:r>
      <w:r>
        <w:t>”</w:t>
      </w:r>
      <w:r w:rsidRPr="00B97D6F">
        <w:t xml:space="preserve"> </w:t>
      </w:r>
      <w:r w:rsidR="001F1951">
        <w:t>(Fetzer, 2014: 345–346)</w:t>
      </w:r>
      <w:r w:rsidRPr="00B97D6F">
        <w:t xml:space="preserve"> The basis of this effect is the ambi</w:t>
      </w:r>
      <w:r>
        <w:t xml:space="preserve">guity of the reference of ‘we’. Although various distinctions of the scope of ‘we’ are discussed by grammarians – Quirk et al. </w:t>
      </w:r>
      <w:r w:rsidR="001F1951">
        <w:t>(1985: 350–351)</w:t>
      </w:r>
      <w:r>
        <w:t xml:space="preserve"> for example suggest five “special uses of we”, two main references can be distinguished on the basis that many non-European languages have this distinction in their paradigm of personal pronouns: the distinction </w:t>
      </w:r>
      <w:r w:rsidR="00BF0E87">
        <w:t xml:space="preserve">between an </w:t>
      </w:r>
      <w:r>
        <w:t xml:space="preserve">inclusive and exclusive ‘we’ </w:t>
      </w:r>
      <w:r w:rsidR="001F1951">
        <w:t>(Mühlhäusler and Harré, 1990; Wales, 1996; Zifonun, 2001; Daniel, 2005)</w:t>
      </w:r>
      <w:r>
        <w:t xml:space="preserve">. While exclusive ‘we’ refers to the speaker and the group he aims to represent, but excludes the audience, inclusive ‘we’ refers to the speaker, the groups he represents and the audience. </w:t>
      </w:r>
    </w:p>
    <w:p w14:paraId="200039F9" w14:textId="1789C898" w:rsidR="00596DDB" w:rsidRPr="004A36AA" w:rsidRDefault="00596DDB" w:rsidP="00187E0F">
      <w:r w:rsidRPr="004A36AA">
        <w:t>Returning to the multi-authored and multi-addressing properties of party conference speech genre</w:t>
      </w:r>
      <w:r>
        <w:t xml:space="preserve"> </w:t>
      </w:r>
      <w:r w:rsidR="001F1951">
        <w:t>(Kammerer, 1995; Kühn, 1995; Faucher-King, 2005)</w:t>
      </w:r>
      <w:r w:rsidRPr="004A36AA">
        <w:t xml:space="preserve">, I suggest that these various effects of using first person pronouns in political speeches can be best understood as changes of footing, a concept developed by Goffman </w:t>
      </w:r>
      <w:r w:rsidR="00C33216">
        <w:t>(1981)</w:t>
      </w:r>
      <w:r w:rsidRPr="004A36AA">
        <w:t xml:space="preserve"> in order to deconstruct the category speaker. Instead of the speaker as a single unit that addresses hearers</w:t>
      </w:r>
      <w:r>
        <w:t>,</w:t>
      </w:r>
      <w:r w:rsidRPr="004A36AA">
        <w:t xml:space="preserve"> Goffman </w:t>
      </w:r>
      <w:r w:rsidR="001F1951">
        <w:t>(1981: 144–145)</w:t>
      </w:r>
      <w:r w:rsidRPr="004A36AA">
        <w:t xml:space="preserve"> analyses the production format of utterances instead</w:t>
      </w:r>
      <w:r>
        <w:t xml:space="preserve"> and distinguishes three roles</w:t>
      </w:r>
      <w:r w:rsidRPr="004A36AA">
        <w:t xml:space="preserve">: </w:t>
      </w:r>
    </w:p>
    <w:p w14:paraId="43BCC17A" w14:textId="77777777" w:rsidR="00596DDB" w:rsidRPr="004A36AA" w:rsidRDefault="00596DDB" w:rsidP="00187E0F">
      <w:r w:rsidRPr="004A36AA">
        <w:t>-</w:t>
      </w:r>
      <w:r w:rsidRPr="004A36AA">
        <w:tab/>
        <w:t xml:space="preserve">the principal: whose position is established in the words spoken; </w:t>
      </w:r>
    </w:p>
    <w:p w14:paraId="3B572BC1" w14:textId="77777777" w:rsidR="00596DDB" w:rsidRPr="004A36AA" w:rsidRDefault="00596DDB" w:rsidP="00187E0F">
      <w:r w:rsidRPr="004A36AA">
        <w:t>-</w:t>
      </w:r>
      <w:r w:rsidRPr="004A36AA">
        <w:tab/>
        <w:t>the author: selector of sentiments expressed and words encoding them;</w:t>
      </w:r>
    </w:p>
    <w:p w14:paraId="5505ACC2" w14:textId="1A365B10" w:rsidR="00596DDB" w:rsidRPr="004A36AA" w:rsidRDefault="00596DDB" w:rsidP="00187E0F">
      <w:r w:rsidRPr="004A36AA">
        <w:t>-</w:t>
      </w:r>
      <w:r w:rsidRPr="004A36AA">
        <w:tab/>
        <w:t>the animator: ‘talking machine’, producing the sound.</w:t>
      </w:r>
    </w:p>
    <w:p w14:paraId="6FFAF4AF" w14:textId="6DCE08E8" w:rsidR="00596DDB" w:rsidRPr="004A36AA" w:rsidRDefault="00596DDB" w:rsidP="00873AA7">
      <w:r w:rsidRPr="004A36AA">
        <w:t xml:space="preserve">This allows us to understand the use of </w:t>
      </w:r>
      <w:r>
        <w:t>‘</w:t>
      </w:r>
      <w:r w:rsidRPr="004A36AA">
        <w:t>I</w:t>
      </w:r>
      <w:r>
        <w:t>’ as well as</w:t>
      </w:r>
      <w:r w:rsidRPr="004A36AA">
        <w:t xml:space="preserve"> exclusive </w:t>
      </w:r>
      <w:r>
        <w:t>and exclusive ‘</w:t>
      </w:r>
      <w:r w:rsidRPr="004A36AA">
        <w:t>we</w:t>
      </w:r>
      <w:r>
        <w:t>’</w:t>
      </w:r>
      <w:r w:rsidRPr="004A36AA">
        <w:t xml:space="preserve"> in party conference speeches in the following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121"/>
        <w:gridCol w:w="2799"/>
        <w:gridCol w:w="2350"/>
      </w:tblGrid>
      <w:tr w:rsidR="00596DDB" w:rsidRPr="004A36AA" w14:paraId="24C6380F" w14:textId="77777777" w:rsidTr="0040329E">
        <w:tc>
          <w:tcPr>
            <w:tcW w:w="1746" w:type="dxa"/>
            <w:shd w:val="clear" w:color="auto" w:fill="D0CECE" w:themeFill="background2" w:themeFillShade="E6"/>
          </w:tcPr>
          <w:p w14:paraId="52D5C8E4" w14:textId="59567E89" w:rsidR="00596DDB" w:rsidRPr="0040329E" w:rsidRDefault="00596DDB" w:rsidP="00D16748">
            <w:pPr>
              <w:spacing w:line="240" w:lineRule="auto"/>
              <w:rPr>
                <w:b/>
              </w:rPr>
            </w:pPr>
            <w:r w:rsidRPr="0040329E">
              <w:rPr>
                <w:b/>
              </w:rPr>
              <w:t>Self-reference used</w:t>
            </w:r>
          </w:p>
        </w:tc>
        <w:tc>
          <w:tcPr>
            <w:tcW w:w="2121" w:type="dxa"/>
            <w:shd w:val="clear" w:color="auto" w:fill="D0CECE" w:themeFill="background2" w:themeFillShade="E6"/>
          </w:tcPr>
          <w:p w14:paraId="0989DFE1" w14:textId="294B855E" w:rsidR="00596DDB" w:rsidRPr="004A36AA" w:rsidRDefault="00596DDB" w:rsidP="00D16748">
            <w:pPr>
              <w:spacing w:line="240" w:lineRule="auto"/>
              <w:rPr>
                <w:b/>
              </w:rPr>
            </w:pPr>
            <w:r>
              <w:rPr>
                <w:b/>
              </w:rPr>
              <w:t>‘</w:t>
            </w:r>
            <w:r w:rsidRPr="004A36AA">
              <w:rPr>
                <w:b/>
              </w:rPr>
              <w:t>I</w:t>
            </w:r>
            <w:r>
              <w:rPr>
                <w:b/>
              </w:rPr>
              <w:t>’</w:t>
            </w:r>
          </w:p>
        </w:tc>
        <w:tc>
          <w:tcPr>
            <w:tcW w:w="2799" w:type="dxa"/>
            <w:shd w:val="clear" w:color="auto" w:fill="D0CECE" w:themeFill="background2" w:themeFillShade="E6"/>
          </w:tcPr>
          <w:p w14:paraId="095E696C" w14:textId="2488C949" w:rsidR="00596DDB" w:rsidRPr="004A36AA" w:rsidRDefault="00596DDB" w:rsidP="00D16748">
            <w:pPr>
              <w:spacing w:line="240" w:lineRule="auto"/>
              <w:rPr>
                <w:b/>
              </w:rPr>
            </w:pPr>
            <w:r w:rsidRPr="004A36AA">
              <w:rPr>
                <w:b/>
              </w:rPr>
              <w:t xml:space="preserve">Exclusive </w:t>
            </w:r>
            <w:r>
              <w:rPr>
                <w:b/>
              </w:rPr>
              <w:t>‘</w:t>
            </w:r>
            <w:r w:rsidRPr="004A36AA">
              <w:rPr>
                <w:b/>
              </w:rPr>
              <w:t>we</w:t>
            </w:r>
            <w:r>
              <w:rPr>
                <w:b/>
              </w:rPr>
              <w:t>’</w:t>
            </w:r>
          </w:p>
        </w:tc>
        <w:tc>
          <w:tcPr>
            <w:tcW w:w="2350" w:type="dxa"/>
            <w:shd w:val="clear" w:color="auto" w:fill="D0CECE" w:themeFill="background2" w:themeFillShade="E6"/>
          </w:tcPr>
          <w:p w14:paraId="05FF0DEF" w14:textId="1B5B153F" w:rsidR="00596DDB" w:rsidRPr="004A36AA" w:rsidRDefault="00596DDB" w:rsidP="00D16748">
            <w:pPr>
              <w:spacing w:line="240" w:lineRule="auto"/>
              <w:rPr>
                <w:b/>
              </w:rPr>
            </w:pPr>
            <w:r w:rsidRPr="004A36AA">
              <w:rPr>
                <w:b/>
              </w:rPr>
              <w:t xml:space="preserve">Inclusive </w:t>
            </w:r>
            <w:r>
              <w:rPr>
                <w:b/>
              </w:rPr>
              <w:t>‘</w:t>
            </w:r>
            <w:r w:rsidRPr="004A36AA">
              <w:rPr>
                <w:b/>
              </w:rPr>
              <w:t>we</w:t>
            </w:r>
            <w:r>
              <w:rPr>
                <w:b/>
              </w:rPr>
              <w:t>’</w:t>
            </w:r>
          </w:p>
        </w:tc>
      </w:tr>
      <w:tr w:rsidR="00596DDB" w:rsidRPr="004A36AA" w14:paraId="6946F5D6" w14:textId="77777777" w:rsidTr="0040329E">
        <w:trPr>
          <w:trHeight w:val="1666"/>
        </w:trPr>
        <w:tc>
          <w:tcPr>
            <w:tcW w:w="1746" w:type="dxa"/>
            <w:shd w:val="clear" w:color="auto" w:fill="D0CECE" w:themeFill="background2" w:themeFillShade="E6"/>
          </w:tcPr>
          <w:p w14:paraId="0E74355B" w14:textId="4A08B9E3" w:rsidR="00596DDB" w:rsidRPr="0040329E" w:rsidRDefault="00596DDB" w:rsidP="007240FB">
            <w:pPr>
              <w:spacing w:line="240" w:lineRule="auto"/>
              <w:jc w:val="left"/>
              <w:rPr>
                <w:b/>
              </w:rPr>
            </w:pPr>
            <w:r w:rsidRPr="0040329E">
              <w:rPr>
                <w:b/>
              </w:rPr>
              <w:t>Definition</w:t>
            </w:r>
          </w:p>
        </w:tc>
        <w:tc>
          <w:tcPr>
            <w:tcW w:w="2121" w:type="dxa"/>
          </w:tcPr>
          <w:p w14:paraId="63614DB2" w14:textId="6E88BAD3" w:rsidR="00596DDB" w:rsidRPr="004A36AA" w:rsidRDefault="00596DDB" w:rsidP="007240FB">
            <w:pPr>
              <w:spacing w:line="240" w:lineRule="auto"/>
              <w:jc w:val="left"/>
            </w:pPr>
          </w:p>
        </w:tc>
        <w:tc>
          <w:tcPr>
            <w:tcW w:w="2799" w:type="dxa"/>
            <w:shd w:val="clear" w:color="auto" w:fill="auto"/>
            <w:vAlign w:val="center"/>
          </w:tcPr>
          <w:p w14:paraId="26EE92FC" w14:textId="538C7981" w:rsidR="00596DDB" w:rsidRPr="004A36AA" w:rsidRDefault="00596DDB" w:rsidP="007240FB">
            <w:pPr>
              <w:spacing w:line="240" w:lineRule="auto"/>
              <w:jc w:val="left"/>
            </w:pPr>
            <w:r w:rsidRPr="004A36AA">
              <w:t>Refers to a group including the speaker</w:t>
            </w:r>
            <w:r>
              <w:t xml:space="preserve"> and the group he represents,</w:t>
            </w:r>
            <w:r w:rsidRPr="004A36AA">
              <w:t xml:space="preserve"> but excluding the hearer</w:t>
            </w:r>
          </w:p>
          <w:p w14:paraId="2989A7E9" w14:textId="77777777" w:rsidR="00596DDB" w:rsidRPr="004A36AA" w:rsidRDefault="00596DDB" w:rsidP="007240FB">
            <w:pPr>
              <w:spacing w:line="240" w:lineRule="auto"/>
              <w:jc w:val="left"/>
            </w:pPr>
          </w:p>
        </w:tc>
        <w:tc>
          <w:tcPr>
            <w:tcW w:w="2350" w:type="dxa"/>
            <w:shd w:val="clear" w:color="auto" w:fill="auto"/>
          </w:tcPr>
          <w:p w14:paraId="7DB2A46D" w14:textId="77777777" w:rsidR="00596DDB" w:rsidRDefault="00596DDB" w:rsidP="007240FB">
            <w:pPr>
              <w:spacing w:line="240" w:lineRule="auto"/>
              <w:jc w:val="left"/>
            </w:pPr>
          </w:p>
          <w:p w14:paraId="1924709A" w14:textId="52831F9B" w:rsidR="00596DDB" w:rsidRPr="004A36AA" w:rsidRDefault="00596DDB" w:rsidP="007240FB">
            <w:pPr>
              <w:spacing w:line="240" w:lineRule="auto"/>
              <w:jc w:val="left"/>
            </w:pPr>
            <w:r>
              <w:t>Refers to a group</w:t>
            </w:r>
            <w:r w:rsidRPr="004A36AA">
              <w:t xml:space="preserve"> </w:t>
            </w:r>
            <w:r>
              <w:t>including</w:t>
            </w:r>
            <w:r w:rsidRPr="004A36AA">
              <w:t xml:space="preserve"> speaker</w:t>
            </w:r>
            <w:r>
              <w:t xml:space="preserve">, </w:t>
            </w:r>
            <w:r w:rsidRPr="004A36AA">
              <w:t>hearer and others</w:t>
            </w:r>
          </w:p>
          <w:p w14:paraId="20FB71BC" w14:textId="77777777" w:rsidR="00596DDB" w:rsidRPr="004A36AA" w:rsidRDefault="00596DDB" w:rsidP="007240FB">
            <w:pPr>
              <w:spacing w:line="240" w:lineRule="auto"/>
              <w:jc w:val="left"/>
            </w:pPr>
          </w:p>
        </w:tc>
      </w:tr>
      <w:tr w:rsidR="00596DDB" w:rsidRPr="004A36AA" w14:paraId="510199D4" w14:textId="77777777" w:rsidTr="0040329E">
        <w:trPr>
          <w:trHeight w:val="465"/>
        </w:trPr>
        <w:tc>
          <w:tcPr>
            <w:tcW w:w="1746" w:type="dxa"/>
            <w:vMerge w:val="restart"/>
            <w:shd w:val="clear" w:color="auto" w:fill="D0CECE" w:themeFill="background2" w:themeFillShade="E6"/>
          </w:tcPr>
          <w:p w14:paraId="0A094923" w14:textId="0BB7183B" w:rsidR="00596DDB" w:rsidRPr="0040329E" w:rsidRDefault="00596DDB" w:rsidP="00D16748">
            <w:pPr>
              <w:spacing w:line="240" w:lineRule="auto"/>
              <w:rPr>
                <w:b/>
              </w:rPr>
            </w:pPr>
            <w:r w:rsidRPr="0040329E">
              <w:rPr>
                <w:b/>
              </w:rPr>
              <w:t>Principal of the utterance</w:t>
            </w:r>
          </w:p>
        </w:tc>
        <w:tc>
          <w:tcPr>
            <w:tcW w:w="2121" w:type="dxa"/>
            <w:vMerge w:val="restart"/>
          </w:tcPr>
          <w:p w14:paraId="0DF5C172" w14:textId="1B2F8B8C" w:rsidR="00596DDB" w:rsidRPr="004A36AA" w:rsidRDefault="00596DDB" w:rsidP="00D16748">
            <w:pPr>
              <w:spacing w:line="240" w:lineRule="auto"/>
            </w:pPr>
            <w:r w:rsidRPr="004A36AA">
              <w:t>THE LEADER</w:t>
            </w:r>
          </w:p>
          <w:p w14:paraId="280ADA5A" w14:textId="77777777" w:rsidR="00596DDB" w:rsidRPr="004A36AA" w:rsidRDefault="00596DDB" w:rsidP="00D16748">
            <w:pPr>
              <w:spacing w:line="240" w:lineRule="auto"/>
            </w:pPr>
          </w:p>
        </w:tc>
        <w:tc>
          <w:tcPr>
            <w:tcW w:w="2799" w:type="dxa"/>
            <w:shd w:val="clear" w:color="auto" w:fill="auto"/>
          </w:tcPr>
          <w:p w14:paraId="4367816B" w14:textId="77777777" w:rsidR="00596DDB" w:rsidRPr="004A36AA" w:rsidRDefault="00596DDB" w:rsidP="00D16748">
            <w:pPr>
              <w:spacing w:line="240" w:lineRule="auto"/>
            </w:pPr>
            <w:r w:rsidRPr="004A36AA">
              <w:t>THE PARTY</w:t>
            </w:r>
          </w:p>
        </w:tc>
        <w:tc>
          <w:tcPr>
            <w:tcW w:w="2350" w:type="dxa"/>
            <w:vMerge w:val="restart"/>
            <w:shd w:val="clear" w:color="auto" w:fill="auto"/>
          </w:tcPr>
          <w:p w14:paraId="74DCADB9" w14:textId="77777777" w:rsidR="00596DDB" w:rsidRPr="004A36AA" w:rsidRDefault="00596DDB" w:rsidP="00D16748">
            <w:pPr>
              <w:spacing w:line="240" w:lineRule="auto"/>
            </w:pPr>
            <w:r w:rsidRPr="004A36AA">
              <w:t>THE NATION</w:t>
            </w:r>
          </w:p>
        </w:tc>
      </w:tr>
      <w:tr w:rsidR="00596DDB" w:rsidRPr="004A36AA" w14:paraId="54F0FF5B" w14:textId="77777777" w:rsidTr="0040329E">
        <w:trPr>
          <w:trHeight w:val="465"/>
        </w:trPr>
        <w:tc>
          <w:tcPr>
            <w:tcW w:w="1746" w:type="dxa"/>
            <w:vMerge/>
            <w:shd w:val="clear" w:color="auto" w:fill="D0CECE" w:themeFill="background2" w:themeFillShade="E6"/>
          </w:tcPr>
          <w:p w14:paraId="4EB718D5" w14:textId="77777777" w:rsidR="00596DDB" w:rsidRPr="004A36AA" w:rsidRDefault="00596DDB" w:rsidP="00D16748">
            <w:pPr>
              <w:spacing w:line="240" w:lineRule="auto"/>
            </w:pPr>
          </w:p>
        </w:tc>
        <w:tc>
          <w:tcPr>
            <w:tcW w:w="2121" w:type="dxa"/>
            <w:vMerge/>
          </w:tcPr>
          <w:p w14:paraId="45772B2A" w14:textId="21477DF0" w:rsidR="00596DDB" w:rsidRPr="004A36AA" w:rsidRDefault="00596DDB" w:rsidP="00D16748">
            <w:pPr>
              <w:spacing w:line="240" w:lineRule="auto"/>
            </w:pPr>
          </w:p>
        </w:tc>
        <w:tc>
          <w:tcPr>
            <w:tcW w:w="2799" w:type="dxa"/>
            <w:shd w:val="clear" w:color="auto" w:fill="auto"/>
          </w:tcPr>
          <w:p w14:paraId="07BFB93C" w14:textId="77777777" w:rsidR="00596DDB" w:rsidRPr="004A36AA" w:rsidRDefault="00596DDB" w:rsidP="00D16748">
            <w:pPr>
              <w:spacing w:line="240" w:lineRule="auto"/>
            </w:pPr>
            <w:r w:rsidRPr="004A36AA">
              <w:t>THE GOVERNMENT</w:t>
            </w:r>
          </w:p>
        </w:tc>
        <w:tc>
          <w:tcPr>
            <w:tcW w:w="2350" w:type="dxa"/>
            <w:vMerge/>
            <w:shd w:val="clear" w:color="auto" w:fill="auto"/>
          </w:tcPr>
          <w:p w14:paraId="6131F781" w14:textId="77777777" w:rsidR="00596DDB" w:rsidRPr="004A36AA" w:rsidRDefault="00596DDB" w:rsidP="00D16748">
            <w:pPr>
              <w:keepNext/>
              <w:spacing w:line="240" w:lineRule="auto"/>
            </w:pPr>
          </w:p>
        </w:tc>
      </w:tr>
    </w:tbl>
    <w:p w14:paraId="558E3911" w14:textId="0543584B" w:rsidR="00596DDB" w:rsidRPr="004A36AA" w:rsidRDefault="00596DDB" w:rsidP="00003512">
      <w:pPr>
        <w:pStyle w:val="Caption"/>
      </w:pPr>
      <w:bookmarkStart w:id="1" w:name="_Ref462047846"/>
      <w:r w:rsidRPr="004A36AA">
        <w:t xml:space="preserve">Figure </w:t>
      </w:r>
      <w:r w:rsidR="002916C1">
        <w:fldChar w:fldCharType="begin"/>
      </w:r>
      <w:r w:rsidR="002916C1">
        <w:instrText xml:space="preserve"> SEQ Figure \* ARABIC </w:instrText>
      </w:r>
      <w:r w:rsidR="002916C1">
        <w:fldChar w:fldCharType="separate"/>
      </w:r>
      <w:r>
        <w:rPr>
          <w:noProof/>
        </w:rPr>
        <w:t>1</w:t>
      </w:r>
      <w:r w:rsidR="002916C1">
        <w:rPr>
          <w:noProof/>
        </w:rPr>
        <w:fldChar w:fldCharType="end"/>
      </w:r>
      <w:bookmarkEnd w:id="1"/>
      <w:r w:rsidRPr="004A36AA">
        <w:t>: Self-references and footing</w:t>
      </w:r>
    </w:p>
    <w:p w14:paraId="76A28105" w14:textId="5E6363FD" w:rsidR="00596DDB" w:rsidRDefault="00596DDB" w:rsidP="00051AF7">
      <w:r>
        <w:fldChar w:fldCharType="begin"/>
      </w:r>
      <w:r>
        <w:instrText xml:space="preserve"> REF _Ref462047846 \h </w:instrText>
      </w:r>
      <w:r>
        <w:fldChar w:fldCharType="separate"/>
      </w:r>
      <w:r w:rsidRPr="004A36AA">
        <w:t xml:space="preserve">Figure </w:t>
      </w:r>
      <w:r>
        <w:rPr>
          <w:noProof/>
        </w:rPr>
        <w:t>1</w:t>
      </w:r>
      <w:r>
        <w:fldChar w:fldCharType="end"/>
      </w:r>
      <w:r>
        <w:t xml:space="preserve"> illustrates that the party leader, u</w:t>
      </w:r>
      <w:r w:rsidRPr="004A36AA">
        <w:t xml:space="preserve">sing ‘I’, construes herself as the principal of the propositions uttered. This is a necessary strategy to present the persona of the leader and </w:t>
      </w:r>
      <w:r>
        <w:t xml:space="preserve">to demonstrate her </w:t>
      </w:r>
      <w:r w:rsidRPr="004A36AA">
        <w:t xml:space="preserve">qualities </w:t>
      </w:r>
      <w:r>
        <w:t>as</w:t>
      </w:r>
      <w:r w:rsidRPr="004A36AA">
        <w:t xml:space="preserve"> a leader. But speaking at a party conference, the leader must also demonstrate </w:t>
      </w:r>
      <w:r>
        <w:t xml:space="preserve">her ability to </w:t>
      </w:r>
      <w:r w:rsidRPr="004A36AA">
        <w:t xml:space="preserve">speak </w:t>
      </w:r>
      <w:r w:rsidR="00BF0E87">
        <w:t xml:space="preserve">as </w:t>
      </w:r>
      <w:r w:rsidRPr="004A36AA">
        <w:t>the voice of the party, posing the animator for the party as principal. And finally, the speaker has the option of construing the nation</w:t>
      </w:r>
      <w:r>
        <w:t xml:space="preserve"> </w:t>
      </w:r>
      <w:r w:rsidRPr="004A36AA">
        <w:t>as the principal,</w:t>
      </w:r>
      <w:r>
        <w:t xml:space="preserve"> using the rhetorical ‘we’ suggested by Quirk at al. </w:t>
      </w:r>
      <w:r w:rsidR="001F1951">
        <w:t>(1985: 350)</w:t>
      </w:r>
      <w:r>
        <w:t xml:space="preserve"> . This footing</w:t>
      </w:r>
      <w:r w:rsidRPr="004A36AA">
        <w:t xml:space="preserve"> demonstrat</w:t>
      </w:r>
      <w:r>
        <w:t xml:space="preserve">es </w:t>
      </w:r>
      <w:r w:rsidRPr="004A36AA">
        <w:t xml:space="preserve">that the party and its leader are able to speak </w:t>
      </w:r>
      <w:r>
        <w:t xml:space="preserve">metonymically </w:t>
      </w:r>
      <w:r w:rsidRPr="004A36AA">
        <w:t xml:space="preserve">for the nation and </w:t>
      </w:r>
      <w:r>
        <w:t xml:space="preserve">are </w:t>
      </w:r>
      <w:r w:rsidRPr="004A36AA">
        <w:t>therefore worthy being elected into government.</w:t>
      </w:r>
      <w:r>
        <w:t xml:space="preserve"> Of course, the interpretation of ‘we’ is not always clear cut, as the ambiguity of the footing of exclusive ‘we’ in </w:t>
      </w:r>
      <w:r>
        <w:fldChar w:fldCharType="begin"/>
      </w:r>
      <w:r>
        <w:instrText xml:space="preserve"> REF _Ref462047846 \h </w:instrText>
      </w:r>
      <w:r>
        <w:fldChar w:fldCharType="separate"/>
      </w:r>
      <w:r w:rsidRPr="004A36AA">
        <w:t xml:space="preserve">Figure </w:t>
      </w:r>
      <w:r>
        <w:rPr>
          <w:noProof/>
        </w:rPr>
        <w:t>1</w:t>
      </w:r>
      <w:r>
        <w:fldChar w:fldCharType="end"/>
      </w:r>
      <w:r>
        <w:t xml:space="preserve"> indicates. Chilton and Schäffner </w:t>
      </w:r>
      <w:r w:rsidR="001F1951">
        <w:t>(1997: 218)</w:t>
      </w:r>
      <w:r>
        <w:t>, for example, observe in John Major’s party conference speech of 1994 that some forms of ‘we’ have an “indeterminate meaning” that could refer to the party, the government or the country and can be interpreted as a “some indefinite equivalent of ‘one’”.</w:t>
      </w:r>
    </w:p>
    <w:p w14:paraId="2F1B300E" w14:textId="033E0F6A" w:rsidR="00596DDB" w:rsidRPr="004A36AA" w:rsidRDefault="00596DDB" w:rsidP="005E3C77">
      <w:r w:rsidRPr="004A36AA">
        <w:t>In this paper</w:t>
      </w:r>
      <w:r>
        <w:t xml:space="preserve">, I will ask </w:t>
      </w:r>
      <w:r w:rsidRPr="004A36AA">
        <w:t xml:space="preserve">whether the </w:t>
      </w:r>
      <w:r>
        <w:t xml:space="preserve">quantity </w:t>
      </w:r>
      <w:r w:rsidRPr="004A36AA">
        <w:t>of these self-references changes according to the contexts of the individual speeches such as the timing of the conference pre-</w:t>
      </w:r>
      <w:r>
        <w:t>election</w:t>
      </w:r>
      <w:r w:rsidRPr="004A36AA">
        <w:t xml:space="preserve"> or post-election and the socio-historical context of the speech. As the literature discussed above has almost exclusively focused on political discourse in English, and because there are also no systematic descriptions of the I/we relationship in German political discourse that I am aware of, this paper also aims to demonstrate the mechanism described applies to both German and English. </w:t>
      </w:r>
    </w:p>
    <w:p w14:paraId="0233BA31" w14:textId="11C8595A" w:rsidR="00596DDB" w:rsidRPr="004A36AA" w:rsidRDefault="00596DDB" w:rsidP="00C15374">
      <w:r w:rsidRPr="004A36AA">
        <w:t xml:space="preserve">But I aim to go a step further in the analysis of footing and its connection to leadership and groupness. Fetzer and Bull </w:t>
      </w:r>
      <w:r w:rsidR="001F1951">
        <w:t>(2012: 132)</w:t>
      </w:r>
      <w:r w:rsidRPr="004A36AA">
        <w:t xml:space="preserve"> demonstrate that</w:t>
      </w:r>
      <w:r>
        <w:t xml:space="preserve"> “</w:t>
      </w:r>
      <w:r w:rsidRPr="004A36AA">
        <w:t>doing leadership is intrinsically connected with the predication to which the self-reference is anchored. The predication is linguistically represented with a verb phrase</w:t>
      </w:r>
      <w:r>
        <w:t>”</w:t>
      </w:r>
      <w:r w:rsidRPr="004A36AA">
        <w:t xml:space="preserve">. They therefore argue that </w:t>
      </w:r>
      <w:r>
        <w:t>“</w:t>
      </w:r>
      <w:r w:rsidRPr="004A36AA">
        <w:t>the semantics of the verb phrase lie at the heart of doing leadership.</w:t>
      </w:r>
      <w:r>
        <w:t>”</w:t>
      </w:r>
      <w:r w:rsidRPr="004A36AA">
        <w:t xml:space="preserve"> </w:t>
      </w:r>
      <w:r>
        <w:t>The authors</w:t>
      </w:r>
      <w:r w:rsidRPr="004A36AA">
        <w:t xml:space="preserve"> base their analysis o</w:t>
      </w:r>
      <w:r>
        <w:t>n</w:t>
      </w:r>
      <w:r w:rsidRPr="004A36AA">
        <w:t xml:space="preserve"> the notion that party leaders rely on being perceived as competent and aim to convey this in their speeches. From studies of voter ratings of political leaders in the British general elections of 1987 </w:t>
      </w:r>
      <w:r w:rsidR="001F1951">
        <w:t>(Stewart and Clarke, 1992)</w:t>
      </w:r>
      <w:r w:rsidRPr="004A36AA">
        <w:t xml:space="preserve"> and 2001 </w:t>
      </w:r>
      <w:r w:rsidR="001F1951">
        <w:t>(Clarke et al., 2004)</w:t>
      </w:r>
      <w:r w:rsidRPr="004A36AA">
        <w:t>, Fetzer and Bull deduce t</w:t>
      </w:r>
      <w:r>
        <w:t>w</w:t>
      </w:r>
      <w:r w:rsidRPr="004A36AA">
        <w:t>o categories of competent leadership: ‘responsiveness’ and ‘competence’. They argue that leaders can construe their competence explicitly and on-record,</w:t>
      </w:r>
      <w:r>
        <w:t xml:space="preserve"> talking about their competencies,</w:t>
      </w:r>
      <w:r w:rsidRPr="004A36AA">
        <w:t xml:space="preserve"> or do so implicitly and off-record by </w:t>
      </w:r>
      <w:r>
        <w:t xml:space="preserve">reporting </w:t>
      </w:r>
      <w:r w:rsidRPr="004A36AA">
        <w:t xml:space="preserve">their actions. The predication of competencies is in both cases construed via a combination of self-referring pronouns and verb forms. In Fetzer and Bull’s </w:t>
      </w:r>
      <w:r w:rsidR="00C33216">
        <w:t>(2012)</w:t>
      </w:r>
      <w:r w:rsidRPr="004A36AA">
        <w:t xml:space="preserve"> concept, four verb forms are distinguished that are involved in the construction of leadership: Self-references collocating with verbs of communication and subjectification demonstrate the responsiveness of the leader, as they demonstrate her communications skills and emotional responses, while event and intention verbs indicate competence, as they communicate political actions and plans </w:t>
      </w:r>
      <w:r w:rsidR="001F1951">
        <w:t>(Fetzer and Bull, 2012: 133)</w:t>
      </w:r>
      <w:r w:rsidRPr="004A36AA">
        <w:t>.</w:t>
      </w:r>
    </w:p>
    <w:p w14:paraId="7F4ECE92" w14:textId="1C440B79" w:rsidR="00596DDB" w:rsidRPr="004A36AA" w:rsidRDefault="00596DDB" w:rsidP="00C32603">
      <w:r w:rsidRPr="004A36AA">
        <w:t xml:space="preserve">According to Fetzer and Bull, </w:t>
      </w:r>
      <w:r w:rsidRPr="004A36AA">
        <w:rPr>
          <w:i/>
        </w:rPr>
        <w:t>event verbs</w:t>
      </w:r>
      <w:r w:rsidRPr="004A36AA">
        <w:t xml:space="preserve"> construe material action and represent ‘the dynamics of a changing scenario’ </w:t>
      </w:r>
      <w:r w:rsidR="001F1951">
        <w:t>(2012: 132)</w:t>
      </w:r>
      <w:r w:rsidRPr="004A36AA">
        <w:t xml:space="preserve">. The verb ‘introduce’ in the following example construes a change in the education system attributed to the speaker’s party: </w:t>
      </w:r>
      <w:r>
        <w:t>“</w:t>
      </w:r>
      <w:r w:rsidRPr="004A36AA">
        <w:t>We introduced two and a half hours’ free nursery education</w:t>
      </w:r>
      <w:r>
        <w:t>”</w:t>
      </w:r>
      <w:r w:rsidRPr="004A36AA">
        <w:t xml:space="preserve">. However, the authors do not offer detailed definitions of their distinction, thus some cases can be doubtful, especially if verbs are used metaphorically. For the purpose of this analysis, </w:t>
      </w:r>
      <w:r>
        <w:t xml:space="preserve">I </w:t>
      </w:r>
      <w:r w:rsidRPr="004A36AA">
        <w:t>have categorised event verbs that are used in a metaphorical sense according to the literal meaning in the source domain, rather than the target domain, which could be open for interpretation.</w:t>
      </w:r>
      <w:r>
        <w:t xml:space="preserve"> </w:t>
      </w:r>
    </w:p>
    <w:p w14:paraId="721DCC0D" w14:textId="2B357B1A" w:rsidR="00596DDB" w:rsidRPr="00B2258E" w:rsidRDefault="00596DDB" w:rsidP="00C32603">
      <w:r>
        <w:t xml:space="preserve">In Fetzer and Bull’s definition of </w:t>
      </w:r>
      <w:r w:rsidRPr="004A36AA">
        <w:rPr>
          <w:i/>
        </w:rPr>
        <w:t>intention verbs</w:t>
      </w:r>
      <w:r w:rsidRPr="004A36AA">
        <w:t xml:space="preserve"> such as ‘intend’ or ‘want’</w:t>
      </w:r>
      <w:r>
        <w:t>,</w:t>
      </w:r>
      <w:r w:rsidRPr="004A36AA">
        <w:t xml:space="preserve"> </w:t>
      </w:r>
      <w:r>
        <w:t>i</w:t>
      </w:r>
      <w:r w:rsidRPr="004A36AA">
        <w:t xml:space="preserve">t remains </w:t>
      </w:r>
      <w:r>
        <w:t>unclear whether</w:t>
      </w:r>
      <w:r w:rsidRPr="004A36AA">
        <w:t xml:space="preserve"> </w:t>
      </w:r>
      <w:r>
        <w:t>verb forms denoting future actions</w:t>
      </w:r>
      <w:r w:rsidRPr="004A36AA">
        <w:t xml:space="preserve"> </w:t>
      </w:r>
      <w:r>
        <w:t xml:space="preserve">were </w:t>
      </w:r>
      <w:r w:rsidRPr="004A36AA">
        <w:t xml:space="preserve">included in this category. I decided to do so in this analysis, if the future tense denoted plans and intentions, since this will give a clearer indication which speeches of the corpus focused on current or past actions and which were used to announce future intentions. </w:t>
      </w:r>
      <w:r>
        <w:t>In German, this also includes sentences in the present tense that indicate a future tense through time adverbials (‘n</w:t>
      </w:r>
      <w:r w:rsidRPr="00B2258E">
        <w:t xml:space="preserve">ächsten Monat‘/ </w:t>
      </w:r>
      <w:r>
        <w:t>‘next month</w:t>
      </w:r>
      <w:r w:rsidRPr="004170D0">
        <w:t>‘</w:t>
      </w:r>
      <w:r>
        <w:t xml:space="preserve">), as the present tense in German can also indicate the future </w:t>
      </w:r>
      <w:r w:rsidR="001F1951">
        <w:t>(Helbig and Buscha, 1991: 146–147)</w:t>
      </w:r>
      <w:r>
        <w:t xml:space="preserve">. </w:t>
      </w:r>
      <w:r w:rsidRPr="004A36AA">
        <w:t>I have also included forms of ‘promise’/‘versprechen’</w:t>
      </w:r>
      <w:r>
        <w:t>, such as ‘I vow’.</w:t>
      </w:r>
    </w:p>
    <w:p w14:paraId="4B542E06" w14:textId="3D89D60F" w:rsidR="00596DDB" w:rsidRPr="004A36AA" w:rsidRDefault="00596DDB" w:rsidP="00C32603">
      <w:r w:rsidRPr="004A36AA">
        <w:t xml:space="preserve">Communication and subjectification verbs are much easier to define and to identify: </w:t>
      </w:r>
      <w:r w:rsidRPr="004A36AA">
        <w:rPr>
          <w:i/>
        </w:rPr>
        <w:t>communication verbs</w:t>
      </w:r>
      <w:r w:rsidRPr="004A36AA">
        <w:t xml:space="preserve"> denote language production and language reception (e.g. say, tell, hear), while </w:t>
      </w:r>
      <w:r w:rsidRPr="004A36AA">
        <w:rPr>
          <w:i/>
        </w:rPr>
        <w:t>subjectification verbs</w:t>
      </w:r>
      <w:r w:rsidRPr="004A36AA">
        <w:t xml:space="preserve"> construe mental processes (e.g. assume, think) and emotions (e.g. feel, like, fear).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36"/>
        <w:gridCol w:w="1817"/>
        <w:gridCol w:w="2230"/>
        <w:gridCol w:w="3133"/>
      </w:tblGrid>
      <w:tr w:rsidR="00596DDB" w:rsidRPr="004A36AA" w14:paraId="1CAA304A" w14:textId="77777777" w:rsidTr="007240FB">
        <w:tc>
          <w:tcPr>
            <w:tcW w:w="1836" w:type="dxa"/>
            <w:shd w:val="clear" w:color="auto" w:fill="D9D9D9"/>
          </w:tcPr>
          <w:p w14:paraId="194F3053" w14:textId="77777777" w:rsidR="00596DDB" w:rsidRPr="004A36AA" w:rsidRDefault="00596DDB" w:rsidP="00C32603">
            <w:pPr>
              <w:spacing w:line="240" w:lineRule="auto"/>
              <w:rPr>
                <w:b/>
              </w:rPr>
            </w:pPr>
            <w:r w:rsidRPr="004A36AA">
              <w:rPr>
                <w:b/>
              </w:rPr>
              <w:t>Leadership dimension</w:t>
            </w:r>
          </w:p>
        </w:tc>
        <w:tc>
          <w:tcPr>
            <w:tcW w:w="1817" w:type="dxa"/>
            <w:shd w:val="clear" w:color="auto" w:fill="D9D9D9"/>
          </w:tcPr>
          <w:p w14:paraId="0DFD9787" w14:textId="77777777" w:rsidR="00596DDB" w:rsidRPr="004A36AA" w:rsidRDefault="00596DDB" w:rsidP="00C32603">
            <w:pPr>
              <w:spacing w:line="240" w:lineRule="auto"/>
              <w:rPr>
                <w:b/>
              </w:rPr>
            </w:pPr>
            <w:r w:rsidRPr="004A36AA">
              <w:rPr>
                <w:b/>
              </w:rPr>
              <w:t>Verb category</w:t>
            </w:r>
          </w:p>
        </w:tc>
        <w:tc>
          <w:tcPr>
            <w:tcW w:w="2230" w:type="dxa"/>
            <w:shd w:val="clear" w:color="auto" w:fill="D9D9D9"/>
          </w:tcPr>
          <w:p w14:paraId="54AAD26F" w14:textId="77777777" w:rsidR="00596DDB" w:rsidRPr="004A36AA" w:rsidRDefault="00596DDB" w:rsidP="00C32603">
            <w:pPr>
              <w:spacing w:line="240" w:lineRule="auto"/>
              <w:rPr>
                <w:b/>
              </w:rPr>
            </w:pPr>
            <w:r w:rsidRPr="004A36AA">
              <w:rPr>
                <w:b/>
              </w:rPr>
              <w:t>Revised definition</w:t>
            </w:r>
          </w:p>
        </w:tc>
        <w:tc>
          <w:tcPr>
            <w:tcW w:w="3133" w:type="dxa"/>
            <w:shd w:val="clear" w:color="auto" w:fill="D9D9D9"/>
          </w:tcPr>
          <w:p w14:paraId="3857D599" w14:textId="77777777" w:rsidR="00596DDB" w:rsidRPr="004A36AA" w:rsidRDefault="00596DDB" w:rsidP="00C32603">
            <w:pPr>
              <w:spacing w:line="240" w:lineRule="auto"/>
              <w:rPr>
                <w:b/>
              </w:rPr>
            </w:pPr>
            <w:r w:rsidRPr="004A36AA">
              <w:rPr>
                <w:b/>
              </w:rPr>
              <w:t>Examples</w:t>
            </w:r>
          </w:p>
        </w:tc>
      </w:tr>
      <w:tr w:rsidR="00596DDB" w:rsidRPr="004A36AA" w14:paraId="73EF0208" w14:textId="77777777" w:rsidTr="007240FB">
        <w:tc>
          <w:tcPr>
            <w:tcW w:w="1836" w:type="dxa"/>
            <w:vMerge w:val="restart"/>
            <w:shd w:val="clear" w:color="auto" w:fill="D9D9D9"/>
          </w:tcPr>
          <w:p w14:paraId="480B5B54" w14:textId="77777777" w:rsidR="00596DDB" w:rsidRPr="004A36AA" w:rsidRDefault="00596DDB" w:rsidP="00C32603">
            <w:pPr>
              <w:spacing w:after="120" w:line="240" w:lineRule="auto"/>
              <w:rPr>
                <w:b/>
              </w:rPr>
            </w:pPr>
            <w:r w:rsidRPr="004A36AA">
              <w:rPr>
                <w:b/>
              </w:rPr>
              <w:t>Competence</w:t>
            </w:r>
          </w:p>
        </w:tc>
        <w:tc>
          <w:tcPr>
            <w:tcW w:w="1817" w:type="dxa"/>
            <w:shd w:val="clear" w:color="auto" w:fill="D9D9D9"/>
          </w:tcPr>
          <w:p w14:paraId="76BB7430" w14:textId="77777777" w:rsidR="00596DDB" w:rsidRPr="004A36AA" w:rsidRDefault="00596DDB" w:rsidP="00C32603">
            <w:pPr>
              <w:spacing w:after="120" w:line="240" w:lineRule="auto"/>
              <w:rPr>
                <w:b/>
                <w:i/>
              </w:rPr>
            </w:pPr>
            <w:r w:rsidRPr="004A36AA">
              <w:rPr>
                <w:b/>
                <w:i/>
              </w:rPr>
              <w:t>Event verbs</w:t>
            </w:r>
          </w:p>
        </w:tc>
        <w:tc>
          <w:tcPr>
            <w:tcW w:w="2230" w:type="dxa"/>
            <w:shd w:val="clear" w:color="auto" w:fill="auto"/>
          </w:tcPr>
          <w:p w14:paraId="10654B01" w14:textId="77777777" w:rsidR="00596DDB" w:rsidRPr="004A36AA" w:rsidRDefault="00596DDB" w:rsidP="007240FB">
            <w:pPr>
              <w:spacing w:after="120" w:line="240" w:lineRule="auto"/>
              <w:jc w:val="left"/>
            </w:pPr>
            <w:r w:rsidRPr="004A36AA">
              <w:t>material action</w:t>
            </w:r>
          </w:p>
        </w:tc>
        <w:tc>
          <w:tcPr>
            <w:tcW w:w="3133" w:type="dxa"/>
            <w:shd w:val="clear" w:color="auto" w:fill="auto"/>
          </w:tcPr>
          <w:p w14:paraId="18FB18B1" w14:textId="77777777" w:rsidR="00596DDB" w:rsidRPr="004A36AA" w:rsidRDefault="00596DDB" w:rsidP="007240FB">
            <w:pPr>
              <w:spacing w:after="120" w:line="240" w:lineRule="auto"/>
              <w:jc w:val="left"/>
            </w:pPr>
            <w:r w:rsidRPr="004A36AA">
              <w:t xml:space="preserve">reclaim, canvas, add, appoint </w:t>
            </w:r>
          </w:p>
        </w:tc>
      </w:tr>
      <w:tr w:rsidR="00596DDB" w:rsidRPr="004A36AA" w14:paraId="695CF522" w14:textId="77777777" w:rsidTr="007240FB">
        <w:tc>
          <w:tcPr>
            <w:tcW w:w="1836" w:type="dxa"/>
            <w:vMerge/>
            <w:shd w:val="clear" w:color="auto" w:fill="D9D9D9"/>
          </w:tcPr>
          <w:p w14:paraId="332DF4E7" w14:textId="77777777" w:rsidR="00596DDB" w:rsidRPr="004A36AA" w:rsidRDefault="00596DDB" w:rsidP="00C32603">
            <w:pPr>
              <w:spacing w:after="120" w:line="240" w:lineRule="auto"/>
              <w:rPr>
                <w:b/>
              </w:rPr>
            </w:pPr>
          </w:p>
        </w:tc>
        <w:tc>
          <w:tcPr>
            <w:tcW w:w="1817" w:type="dxa"/>
            <w:shd w:val="clear" w:color="auto" w:fill="D9D9D9"/>
          </w:tcPr>
          <w:p w14:paraId="05190F79" w14:textId="77777777" w:rsidR="00596DDB" w:rsidRPr="004A36AA" w:rsidRDefault="00596DDB" w:rsidP="00C32603">
            <w:pPr>
              <w:spacing w:after="120" w:line="240" w:lineRule="auto"/>
              <w:rPr>
                <w:b/>
                <w:i/>
              </w:rPr>
            </w:pPr>
            <w:r w:rsidRPr="004A36AA">
              <w:rPr>
                <w:b/>
                <w:i/>
              </w:rPr>
              <w:t>Intention verbs</w:t>
            </w:r>
          </w:p>
        </w:tc>
        <w:tc>
          <w:tcPr>
            <w:tcW w:w="2230" w:type="dxa"/>
            <w:shd w:val="clear" w:color="auto" w:fill="auto"/>
          </w:tcPr>
          <w:p w14:paraId="2D73485C" w14:textId="37E0B954" w:rsidR="00596DDB" w:rsidRPr="004A36AA" w:rsidRDefault="00596DDB" w:rsidP="007240FB">
            <w:pPr>
              <w:spacing w:after="120" w:line="240" w:lineRule="auto"/>
              <w:jc w:val="left"/>
            </w:pPr>
            <w:r w:rsidRPr="004A36AA">
              <w:t xml:space="preserve">verb forms that express intention, including verbs </w:t>
            </w:r>
            <w:r>
              <w:t>denoting future actions</w:t>
            </w:r>
            <w:r w:rsidRPr="004A36AA">
              <w:t xml:space="preserve"> if they denote intention</w:t>
            </w:r>
          </w:p>
        </w:tc>
        <w:tc>
          <w:tcPr>
            <w:tcW w:w="3133" w:type="dxa"/>
            <w:shd w:val="clear" w:color="auto" w:fill="auto"/>
          </w:tcPr>
          <w:p w14:paraId="3AABBC20" w14:textId="0000D402" w:rsidR="00596DDB" w:rsidRPr="004A36AA" w:rsidRDefault="00596DDB" w:rsidP="007240FB">
            <w:pPr>
              <w:spacing w:after="120" w:line="240" w:lineRule="auto"/>
              <w:jc w:val="left"/>
            </w:pPr>
            <w:r w:rsidRPr="004A36AA">
              <w:t>intend, want</w:t>
            </w:r>
            <w:r>
              <w:t>, promise, vow</w:t>
            </w:r>
          </w:p>
        </w:tc>
      </w:tr>
      <w:tr w:rsidR="00596DDB" w:rsidRPr="004A36AA" w14:paraId="5B2FB296" w14:textId="77777777" w:rsidTr="007240FB">
        <w:tc>
          <w:tcPr>
            <w:tcW w:w="1836" w:type="dxa"/>
            <w:vMerge w:val="restart"/>
            <w:shd w:val="clear" w:color="auto" w:fill="D9D9D9"/>
          </w:tcPr>
          <w:p w14:paraId="2E350D91" w14:textId="77777777" w:rsidR="00596DDB" w:rsidRPr="004A36AA" w:rsidRDefault="00596DDB" w:rsidP="00C32603">
            <w:pPr>
              <w:spacing w:after="120" w:line="240" w:lineRule="auto"/>
              <w:rPr>
                <w:b/>
              </w:rPr>
            </w:pPr>
            <w:r w:rsidRPr="004A36AA">
              <w:rPr>
                <w:b/>
              </w:rPr>
              <w:t>Responsiveness</w:t>
            </w:r>
          </w:p>
        </w:tc>
        <w:tc>
          <w:tcPr>
            <w:tcW w:w="1817" w:type="dxa"/>
            <w:shd w:val="clear" w:color="auto" w:fill="D9D9D9"/>
          </w:tcPr>
          <w:p w14:paraId="445642F3" w14:textId="77777777" w:rsidR="00596DDB" w:rsidRPr="004A36AA" w:rsidRDefault="00596DDB" w:rsidP="00C32603">
            <w:pPr>
              <w:spacing w:after="120" w:line="240" w:lineRule="auto"/>
              <w:rPr>
                <w:b/>
                <w:i/>
              </w:rPr>
            </w:pPr>
            <w:r w:rsidRPr="004A36AA">
              <w:rPr>
                <w:b/>
                <w:i/>
              </w:rPr>
              <w:t>Communication verbs</w:t>
            </w:r>
          </w:p>
        </w:tc>
        <w:tc>
          <w:tcPr>
            <w:tcW w:w="2230" w:type="dxa"/>
            <w:shd w:val="clear" w:color="auto" w:fill="auto"/>
          </w:tcPr>
          <w:p w14:paraId="3C5344DC" w14:textId="77777777" w:rsidR="00596DDB" w:rsidRPr="004A36AA" w:rsidRDefault="00596DDB" w:rsidP="007240FB">
            <w:pPr>
              <w:spacing w:after="120" w:line="240" w:lineRule="auto"/>
              <w:jc w:val="left"/>
            </w:pPr>
            <w:r w:rsidRPr="004A36AA">
              <w:t>verbs of language production and language reception</w:t>
            </w:r>
          </w:p>
        </w:tc>
        <w:tc>
          <w:tcPr>
            <w:tcW w:w="3133" w:type="dxa"/>
            <w:shd w:val="clear" w:color="auto" w:fill="auto"/>
          </w:tcPr>
          <w:p w14:paraId="61858AEE" w14:textId="77777777" w:rsidR="00596DDB" w:rsidRPr="004A36AA" w:rsidRDefault="00596DDB" w:rsidP="007240FB">
            <w:pPr>
              <w:spacing w:after="120" w:line="240" w:lineRule="auto"/>
              <w:jc w:val="left"/>
            </w:pPr>
            <w:r w:rsidRPr="004A36AA">
              <w:t>say, tell, ask, hear</w:t>
            </w:r>
          </w:p>
        </w:tc>
      </w:tr>
      <w:tr w:rsidR="00596DDB" w:rsidRPr="004A36AA" w14:paraId="3D7252F2" w14:textId="77777777" w:rsidTr="007240FB">
        <w:tc>
          <w:tcPr>
            <w:tcW w:w="1836" w:type="dxa"/>
            <w:vMerge/>
            <w:shd w:val="clear" w:color="auto" w:fill="D9D9D9"/>
          </w:tcPr>
          <w:p w14:paraId="4FE3146F" w14:textId="77777777" w:rsidR="00596DDB" w:rsidRPr="004A36AA" w:rsidRDefault="00596DDB" w:rsidP="00C32603">
            <w:pPr>
              <w:spacing w:after="120" w:line="240" w:lineRule="auto"/>
              <w:rPr>
                <w:b/>
              </w:rPr>
            </w:pPr>
          </w:p>
        </w:tc>
        <w:tc>
          <w:tcPr>
            <w:tcW w:w="1817" w:type="dxa"/>
            <w:shd w:val="clear" w:color="auto" w:fill="D9D9D9"/>
          </w:tcPr>
          <w:p w14:paraId="5593CE66" w14:textId="77777777" w:rsidR="00596DDB" w:rsidRPr="004A36AA" w:rsidRDefault="00596DDB" w:rsidP="00C32603">
            <w:pPr>
              <w:spacing w:after="120" w:line="240" w:lineRule="auto"/>
              <w:rPr>
                <w:b/>
                <w:i/>
              </w:rPr>
            </w:pPr>
            <w:r w:rsidRPr="004A36AA">
              <w:rPr>
                <w:b/>
                <w:i/>
              </w:rPr>
              <w:t>Subjectification verbs</w:t>
            </w:r>
          </w:p>
        </w:tc>
        <w:tc>
          <w:tcPr>
            <w:tcW w:w="2230" w:type="dxa"/>
            <w:shd w:val="clear" w:color="auto" w:fill="auto"/>
          </w:tcPr>
          <w:p w14:paraId="2262045C" w14:textId="77777777" w:rsidR="00596DDB" w:rsidRPr="004A36AA" w:rsidRDefault="00596DDB" w:rsidP="007240FB">
            <w:pPr>
              <w:spacing w:after="120" w:line="240" w:lineRule="auto"/>
              <w:jc w:val="left"/>
            </w:pPr>
            <w:r w:rsidRPr="004A36AA">
              <w:t>verbs denoting mental processes and emotions</w:t>
            </w:r>
          </w:p>
        </w:tc>
        <w:tc>
          <w:tcPr>
            <w:tcW w:w="3133" w:type="dxa"/>
            <w:shd w:val="clear" w:color="auto" w:fill="auto"/>
          </w:tcPr>
          <w:p w14:paraId="254E0714" w14:textId="341BE79C" w:rsidR="00596DDB" w:rsidRPr="004A36AA" w:rsidRDefault="00596DDB" w:rsidP="007240FB">
            <w:pPr>
              <w:spacing w:after="120" w:line="240" w:lineRule="auto"/>
              <w:jc w:val="left"/>
            </w:pPr>
            <w:r w:rsidRPr="004A36AA">
              <w:t xml:space="preserve">believe, </w:t>
            </w:r>
            <w:r w:rsidR="007240FB">
              <w:t>feel, hope</w:t>
            </w:r>
          </w:p>
        </w:tc>
      </w:tr>
    </w:tbl>
    <w:p w14:paraId="32F806EC" w14:textId="27E47D18" w:rsidR="00596DDB" w:rsidRPr="004A36AA" w:rsidRDefault="00596DDB" w:rsidP="00003512">
      <w:pPr>
        <w:pStyle w:val="Caption"/>
      </w:pPr>
      <w:bookmarkStart w:id="2" w:name="_Ref455563339"/>
      <w:r w:rsidRPr="004A36AA">
        <w:t xml:space="preserve">Figure </w:t>
      </w:r>
      <w:r w:rsidR="002916C1">
        <w:fldChar w:fldCharType="begin"/>
      </w:r>
      <w:r w:rsidR="002916C1">
        <w:instrText xml:space="preserve"> SEQ Figure \* ARABIC </w:instrText>
      </w:r>
      <w:r w:rsidR="002916C1">
        <w:fldChar w:fldCharType="separate"/>
      </w:r>
      <w:r>
        <w:rPr>
          <w:noProof/>
        </w:rPr>
        <w:t>2</w:t>
      </w:r>
      <w:r w:rsidR="002916C1">
        <w:rPr>
          <w:noProof/>
        </w:rPr>
        <w:fldChar w:fldCharType="end"/>
      </w:r>
      <w:bookmarkEnd w:id="2"/>
      <w:r w:rsidRPr="004A36AA">
        <w:t>: Verb forms in the construction of leadership</w:t>
      </w:r>
    </w:p>
    <w:p w14:paraId="11F3D91C" w14:textId="7A5EFF9A" w:rsidR="00596DDB" w:rsidRPr="004A36AA" w:rsidRDefault="00596DDB" w:rsidP="00CA6FFF">
      <w:r w:rsidRPr="004A36AA">
        <w:t xml:space="preserve">In their analysis of 15 political speeches of leading politicians from the three major political parties in the UK between 2004 and 2006, </w:t>
      </w:r>
      <w:r>
        <w:t>the authors</w:t>
      </w:r>
      <w:r w:rsidRPr="004A36AA">
        <w:t xml:space="preserve"> demonstrate that event and subjectification are the prime candidates for doing leadership in speeches. However, their analysis conflates</w:t>
      </w:r>
      <w:r>
        <w:t xml:space="preserve"> all forms of pronominal self-reference, </w:t>
      </w:r>
      <w:r w:rsidRPr="004A36AA">
        <w:t xml:space="preserve">rather than distinguishing </w:t>
      </w:r>
      <w:r>
        <w:t>the functions of ‘I’, exclusive ‘we’ and inclusive ‘we’</w:t>
      </w:r>
      <w:r w:rsidRPr="004A36AA">
        <w:t>. This article aims to revise their results by introducing this distinction</w:t>
      </w:r>
      <w:r>
        <w:t xml:space="preserve"> as it will allow </w:t>
      </w:r>
      <w:r w:rsidR="00F03BE0">
        <w:t xml:space="preserve">us </w:t>
      </w:r>
      <w:r>
        <w:t>to differentiate between the competences that are attributed to the party and the competences that are attributed to the leader</w:t>
      </w:r>
      <w:r w:rsidRPr="004A36AA">
        <w:t>. I will ask whether in the corpus analysed, the use of the different verb forms changes according to the footing of the speech</w:t>
      </w:r>
      <w:r>
        <w:t>,</w:t>
      </w:r>
      <w:r w:rsidRPr="004A36AA">
        <w:t xml:space="preserve"> and will explain differences between the speeches with reference to the </w:t>
      </w:r>
      <w:r>
        <w:t>socio-</w:t>
      </w:r>
      <w:r w:rsidRPr="004A36AA">
        <w:t>political context.</w:t>
      </w:r>
    </w:p>
    <w:p w14:paraId="7D9F87F9" w14:textId="7F08B223" w:rsidR="00596DDB" w:rsidRPr="004A36AA" w:rsidRDefault="00596DDB" w:rsidP="00C32603">
      <w:pPr>
        <w:pStyle w:val="Heading1"/>
      </w:pPr>
      <w:r w:rsidRPr="004A36AA">
        <w:t>Text and context of the corpus of Third Way party conferences speeches in Germany and the UK</w:t>
      </w:r>
    </w:p>
    <w:p w14:paraId="7ACAEC11" w14:textId="17DB54A5" w:rsidR="00596DDB" w:rsidRPr="004A36AA" w:rsidRDefault="00596DDB" w:rsidP="00E87534">
      <w:r w:rsidRPr="004A36AA">
        <w:t>The corpus for this analysis was chosen in order to control the variable party political ideology as far as possible</w:t>
      </w:r>
      <w:r>
        <w:t xml:space="preserve"> and therefore exclude differences in ideology from the interpretation of the results.</w:t>
      </w:r>
      <w:r w:rsidRPr="004A36AA">
        <w:t xml:space="preserve"> In the 1990s and early 2000s, both the British Labour Party and the German SPD underwent a significant ideological change, focusing more on overcoming the division between left and right, on rights and responsibilities of the individual, welfare-to-work regimes, as well as on the positive role of the markets </w:t>
      </w:r>
      <w:r w:rsidR="001F1951">
        <w:t>(Bastow and Martin, 2003; Nachtwey, 2009; Turowski, 2010)</w:t>
      </w:r>
      <w:r w:rsidRPr="004A36AA">
        <w:t xml:space="preserve">. </w:t>
      </w:r>
      <w:r>
        <w:t>T</w:t>
      </w:r>
      <w:r w:rsidRPr="004A36AA">
        <w:t>he main differences betw</w:t>
      </w:r>
      <w:r>
        <w:t>een the changes in the two parties</w:t>
      </w:r>
      <w:r w:rsidRPr="004A36AA">
        <w:t xml:space="preserve"> concern the time frame: While Blair modernised his party before the victorious general election in 1997, the SPD in Germany was still in the middle of the modernisation process when it won the 1998 election.</w:t>
      </w:r>
    </w:p>
    <w:p w14:paraId="17B45FC0" w14:textId="109CCC36" w:rsidR="00596DDB" w:rsidRPr="004A36AA" w:rsidRDefault="00596DDB" w:rsidP="009D0646">
      <w:r w:rsidRPr="004A36AA">
        <w:t>Three core figures of the two parties at the time are represented in the corpus: Firstly, Tony Blair, the leader of the Labour Party between 1994 and 2007 and British Prime Minister between 1997 and 2007. The German part of the corpus features speeches of Gerhard Schröder and Oskar Lafontaine: Schröder was Chancellor candidate and later German Chancellor between 1998 and 2005. Oskar Lafontaine, however, was the party leader at the time of Schröder’s election. Both politicians led the election campaign of 1998 – Schröder aimed to persuade more conservative voters with his Third-Way politics, while Lafontaine as a Neo-Keynesian aimed at the more traditional social democrats. When Lafontaine realised that Schröder’s Third-Way politics had become hegemonic in the parliamentary SPD, he stepped down from all offices on 11 March 1999.</w:t>
      </w:r>
    </w:p>
    <w:p w14:paraId="65F62F35" w14:textId="4A8817D3" w:rsidR="00596DDB" w:rsidRPr="004A36AA" w:rsidRDefault="00596DDB" w:rsidP="00CD5918">
      <w:r w:rsidRPr="004A36AA">
        <w:t xml:space="preserve">The 13 texts of the corpus of 67,296 words represent party conference speeches in different situations: </w:t>
      </w:r>
      <w:r w:rsidR="006255B2">
        <w:t>i</w:t>
      </w:r>
      <w:r w:rsidRPr="004A36AA">
        <w:t>t contains three speeches from regular conferences, three from pre-election conferences, three from post-election conferences and four s</w:t>
      </w:r>
      <w:r>
        <w:t>peeches from crisis conferences.</w:t>
      </w:r>
      <w:r w:rsidRPr="004A36AA">
        <w:t xml:space="preserve"> We will later see how the leadership and groupness construction differs in pre- and post-election speeches. But they differ even more in what I termed the crisis conference speeches</w:t>
      </w:r>
      <w:r w:rsidR="0004611A">
        <w:t>.</w:t>
      </w:r>
      <w:r w:rsidRPr="004A36AA">
        <w:t xml:space="preserve"> Blair’s project of ‘party renewal’ culminated in the surprising announcement of a redraft of Clause Four in the Labour Party’s constitution, which at the time committed the party to the common ownership of the means of production. Although Clause Four used to be widely regarded as irrelevant and did not result in </w:t>
      </w:r>
      <w:r w:rsidR="006255B2" w:rsidRPr="004A36AA">
        <w:t xml:space="preserve">nationalisation </w:t>
      </w:r>
      <w:r w:rsidRPr="004A36AA">
        <w:t xml:space="preserve">policies, the actual change of the text was highly controversial, especially in the left wing of the Labour Party. Although the decision was reached by an electoral college, the Labour Party also held a special conference to debate the change, and Blair’s speech at this conference and at the following regular conference are represented in the corpus as crisis speeches, as both speeches defend the </w:t>
      </w:r>
      <w:r>
        <w:t>redraft of the Clause Four</w:t>
      </w:r>
      <w:r w:rsidRPr="004A36AA">
        <w:t xml:space="preserve">. </w:t>
      </w:r>
    </w:p>
    <w:p w14:paraId="1E39C74C" w14:textId="2AD2BA42" w:rsidR="00596DDB" w:rsidRPr="004A36AA" w:rsidRDefault="00596DDB" w:rsidP="00D7367F">
      <w:r w:rsidRPr="004A36AA">
        <w:t>The crisis in the German SPD came with the announcement of the Agenda 2010 in 2003, which changed the German welfare state significantly and resulted in deep cuts in welfare payments. Announced in parliament by Chancellor Schröder, this reform did not result from a policy discourse within the SPD. It therefore took considerable efforts by the party’s leadership to convince the party that it was in line with the party’s ideology. To this purpose, four regional conferences in April 2003 were held, followed by special party conference on 1</w:t>
      </w:r>
      <w:r w:rsidRPr="004A36AA">
        <w:rPr>
          <w:vertAlign w:val="superscript"/>
        </w:rPr>
        <w:t>st</w:t>
      </w:r>
      <w:r w:rsidRPr="004A36AA">
        <w:t xml:space="preserve"> June 2003, where the reform was confirmed by 90% of the delegates. But efforts to convince the party of the new course could not end there, since in November 2003 the regular biannual party conference with elections for the party leadership was still to come. Schröder’s speech at this conference is therefore also deemed a crisis speech.</w:t>
      </w:r>
    </w:p>
    <w:p w14:paraId="2F42782A" w14:textId="3AD081E2" w:rsidR="00596DDB" w:rsidRPr="004A36AA" w:rsidRDefault="00596DDB" w:rsidP="00240D6E">
      <w:r w:rsidRPr="004A36AA">
        <w:t xml:space="preserve">From the texts of the corpus, </w:t>
      </w:r>
      <w:r>
        <w:t>I</w:t>
      </w:r>
      <w:r w:rsidRPr="004A36AA">
        <w:t xml:space="preserve"> now turn to their socio-political contexts. As the institution ‘party conference’ differs in form in function in the two countries, it is to be expected </w:t>
      </w:r>
      <w:r>
        <w:t xml:space="preserve">that </w:t>
      </w:r>
      <w:r w:rsidRPr="004A36AA">
        <w:t xml:space="preserve">the leader’s speech genre in Germany and the UK differs as well. The specific differences discussed in this article - the use of self-references and verb forms to construe leadership and groupness – therefore need to be </w:t>
      </w:r>
      <w:r>
        <w:t>understood</w:t>
      </w:r>
      <w:r w:rsidRPr="004A36AA">
        <w:t xml:space="preserve"> against the background of these institutional and cultural differences.</w:t>
      </w:r>
    </w:p>
    <w:p w14:paraId="27FD7D5C" w14:textId="5DAE7E6A" w:rsidR="00596DDB" w:rsidRPr="004A36AA" w:rsidRDefault="00596DDB" w:rsidP="004968FC">
      <w:r w:rsidRPr="004A36AA">
        <w:t>Party conferences in the UK are highly ritualised events as the conferences of all parties reoccur annually. The party conferences of the three major political parties in Britain are held in the ‘conference season’ in September and October of every year, and are an integral part of the political diary of the country comparable to the opening of Parliament and the Queen’s speech. The conference season is anticipated by many actors within the political system and attracts a lot of media attention. Despite the high attention given to party conferences in the UK, they do, however, have little democratic power. In the Labour Party of the 1990s an</w:t>
      </w:r>
      <w:r>
        <w:t>d 2000s, most policy decisions we</w:t>
      </w:r>
      <w:r w:rsidRPr="004A36AA">
        <w:t xml:space="preserve">re made before the party conference and only need formal approval, and the party leader is not elected by the conferences but by an electoral college </w:t>
      </w:r>
      <w:r w:rsidR="001F1951">
        <w:t>(Peele, 2004: 290–293)</w:t>
      </w:r>
      <w:r w:rsidRPr="004A36AA">
        <w:t>.</w:t>
      </w:r>
    </w:p>
    <w:p w14:paraId="27A99B51" w14:textId="203C2B2C" w:rsidR="00596DDB" w:rsidRPr="004A36AA" w:rsidRDefault="00596DDB" w:rsidP="004968FC">
      <w:r w:rsidRPr="004A36AA">
        <w:t xml:space="preserve">In Germany, party conferences are legal requirements. They are by law the ultimate deciding body with authority over leadership and policy and have to be held biannually </w:t>
      </w:r>
      <w:r w:rsidR="001F1951">
        <w:t>(Rudzio, 2003: 117–122)</w:t>
      </w:r>
      <w:r w:rsidRPr="004A36AA">
        <w:t>. However, there is less ritualisation, as conferences of different parties are not held at the same time.</w:t>
      </w:r>
    </w:p>
    <w:p w14:paraId="1F188B55" w14:textId="20C92550" w:rsidR="00596DDB" w:rsidRPr="004A36AA" w:rsidRDefault="00596DDB" w:rsidP="008A6057">
      <w:r w:rsidRPr="004A36AA">
        <w:t xml:space="preserve">Two further differences in the socio-political context </w:t>
      </w:r>
      <w:r>
        <w:t>are relevant here</w:t>
      </w:r>
      <w:r w:rsidRPr="004A36AA">
        <w:t xml:space="preserve">: The higher influence of parties on German society and dominance of UK politics by the Prime Minister. Abromeit and Stoiber </w:t>
      </w:r>
      <w:r w:rsidR="001F1951">
        <w:t>(2006: 154)</w:t>
      </w:r>
      <w:r w:rsidRPr="004A36AA">
        <w:t xml:space="preserve"> call the first difference ‘partyness of society’</w:t>
      </w:r>
      <w:r>
        <w:t xml:space="preserve">. </w:t>
      </w:r>
      <w:r w:rsidRPr="004A36AA">
        <w:t xml:space="preserve">They argue that UK parties are less </w:t>
      </w:r>
      <w:r>
        <w:t>deeply engrained</w:t>
      </w:r>
      <w:r w:rsidRPr="004A36AA">
        <w:t xml:space="preserve"> </w:t>
      </w:r>
      <w:r>
        <w:t xml:space="preserve">into society </w:t>
      </w:r>
      <w:r w:rsidRPr="004A36AA">
        <w:t>than German parties, since local parties are not very powerful, inner party democracy is low, and national politics is dominated by parliamentary parties</w:t>
      </w:r>
      <w:r>
        <w:t>,</w:t>
      </w:r>
      <w:r w:rsidRPr="004A36AA">
        <w:t xml:space="preserve"> as British parties were originally not authentic mass parties. In post-war Germany, however, </w:t>
      </w:r>
      <w:r w:rsidR="006221F0">
        <w:t xml:space="preserve">the </w:t>
      </w:r>
      <w:r w:rsidRPr="004A36AA">
        <w:t>partyness of society has been traditionally high: the parties in parliament are proportionally represented in many regulatory bodies such as the ‘Rundfunkräte’, which govern the public broadcasters. All major political parties also have an affiliated foundation of political education, which have a vital role in funding political education and are major funders of postgraduate scholarships. Although they are funded by the government, the political party they are affiliated to influences their political values. Thus, German political parties influence civil society much more directly, which has led historically to a stronger identification of party followers in all parts of society.</w:t>
      </w:r>
    </w:p>
    <w:p w14:paraId="3118375D" w14:textId="7A8ECDBA" w:rsidR="00596DDB" w:rsidRPr="004A36AA" w:rsidRDefault="00596DDB" w:rsidP="00DE464C">
      <w:r w:rsidRPr="004A36AA">
        <w:t xml:space="preserve">The second difference – the increasing dominance of the Prime Minister in the UK – is discussed in political science under the hypothesis of presidentialisation </w:t>
      </w:r>
      <w:r w:rsidR="001F1951">
        <w:t>(Poguntke and Webb, 2005)</w:t>
      </w:r>
      <w:r w:rsidRPr="004A36AA">
        <w:t xml:space="preserve">. ‘Presidentialisation’ is defined as an increase in power of the head of government. This increase is separated into three parts: the analysis of the executive face of presidentialisation describes the increase of more formal power and power resources for the head of government. The party face grasps the growing autonomy of the leader of a party from his or her party, often via the use of plebiscitary elements that favour party members with </w:t>
      </w:r>
      <w:r w:rsidR="006221F0">
        <w:t>fewer</w:t>
      </w:r>
      <w:r w:rsidR="006221F0" w:rsidRPr="004A36AA">
        <w:t xml:space="preserve"> </w:t>
      </w:r>
      <w:r w:rsidRPr="004A36AA">
        <w:t>argumentative resources, a mechanism we have seen in both Labour and the SPD. And finally, with the electoral face, analyses of presidentialisation evaluate the personalisation of electoral processes, i.e. the growing emphasis on the leader in the campaign and a possibly increasing effect of the leader chosen by the party on the voters’ behaviour.</w:t>
      </w:r>
    </w:p>
    <w:p w14:paraId="11491B68" w14:textId="23EEBD2E" w:rsidR="00596DDB" w:rsidRPr="004A36AA" w:rsidRDefault="00596DDB" w:rsidP="00DE464C">
      <w:r w:rsidRPr="004A36AA">
        <w:t xml:space="preserve">The process of presidentialisation in Germany and the UK differs. Poguntke </w:t>
      </w:r>
      <w:r w:rsidR="00C33216">
        <w:t>(2005)</w:t>
      </w:r>
      <w:r w:rsidRPr="004A36AA">
        <w:t xml:space="preserve"> argues that the central principles of party state and chancellor democracy mitigate a tendency towards increasing presidentialisation in the German political system, since the electoral system produces a structural need for coalition governments and the Chancellor therefore depends on their coalition partner. </w:t>
      </w:r>
    </w:p>
    <w:p w14:paraId="2122FBD5" w14:textId="77777777" w:rsidR="00596DDB" w:rsidRPr="004A36AA" w:rsidRDefault="00596DDB" w:rsidP="00C32603">
      <w:pPr>
        <w:pStyle w:val="Heading1"/>
      </w:pPr>
      <w:r w:rsidRPr="004A36AA">
        <w:t>Personal pronouns, leadership and groupness</w:t>
      </w:r>
    </w:p>
    <w:p w14:paraId="5A688610" w14:textId="19B34701" w:rsidR="00596DDB" w:rsidRDefault="00596DDB" w:rsidP="000A43A5">
      <w:r w:rsidRPr="004A36AA">
        <w:t>As the decision of the categorisation as exclusive, inclusive or ambiguous ‘we’ heavily depends on the co-text, the</w:t>
      </w:r>
      <w:r w:rsidR="006221F0">
        <w:t xml:space="preserve"> analysis of the</w:t>
      </w:r>
      <w:r w:rsidRPr="004A36AA">
        <w:t xml:space="preserve"> texts </w:t>
      </w:r>
      <w:r w:rsidR="006221F0">
        <w:t xml:space="preserve">was </w:t>
      </w:r>
      <w:r w:rsidRPr="004A36AA">
        <w:t>manual rather than computer</w:t>
      </w:r>
      <w:r>
        <w:t>-</w:t>
      </w:r>
      <w:r w:rsidRPr="004A36AA">
        <w:t>assisted.</w:t>
      </w:r>
      <w:r>
        <w:t xml:space="preserve"> Furthermore, the analysis revealed that the distinction into ‘I’, exclusive ‘we’ and inclusive ‘we’ as well as ambiguous cases was not sufficient, as there were cases where ‘I’ and ‘we’ were used in a different sense. In the speeches, very few examples (only 12 in total) of ‘I’/‘ich’ were found that express an indefinite meaning:</w:t>
      </w:r>
    </w:p>
    <w:p w14:paraId="496CFEA4" w14:textId="570AE599" w:rsidR="00596DDB" w:rsidRDefault="00596DDB" w:rsidP="00A45836">
      <w:pPr>
        <w:pStyle w:val="Quotation"/>
        <w:numPr>
          <w:ilvl w:val="0"/>
          <w:numId w:val="39"/>
        </w:numPr>
      </w:pPr>
      <w:r w:rsidRPr="00BA70EB">
        <w:t>We would all be able to get the doctor</w:t>
      </w:r>
      <w:r w:rsidRPr="00B2258E">
        <w:rPr>
          <w:u w:val="single"/>
        </w:rPr>
        <w:t xml:space="preserve"> I </w:t>
      </w:r>
      <w:r w:rsidRPr="00BA70EB">
        <w:t>want at the time</w:t>
      </w:r>
      <w:r w:rsidRPr="00B2258E">
        <w:rPr>
          <w:u w:val="single"/>
        </w:rPr>
        <w:t xml:space="preserve"> I </w:t>
      </w:r>
      <w:r w:rsidRPr="00BA70EB">
        <w:t>want in the hospital</w:t>
      </w:r>
      <w:r w:rsidRPr="00B2258E">
        <w:rPr>
          <w:u w:val="single"/>
        </w:rPr>
        <w:t xml:space="preserve"> I</w:t>
      </w:r>
      <w:r w:rsidRPr="00BA70EB">
        <w:t xml:space="preserve"> want.</w:t>
      </w:r>
      <w:r>
        <w:t xml:space="preserve"> </w:t>
      </w:r>
      <w:r w:rsidR="001F1951">
        <w:t>(Blair, 1995a: 103)</w:t>
      </w:r>
      <w:r>
        <w:rPr>
          <w:rStyle w:val="EndnoteReference"/>
        </w:rPr>
        <w:endnoteReference w:id="2"/>
      </w:r>
    </w:p>
    <w:p w14:paraId="0F95A25A" w14:textId="40EF6BDF" w:rsidR="00596DDB" w:rsidRDefault="00596DDB" w:rsidP="000E363B">
      <w:r>
        <w:t>In the German speeches, a special reference of ‘we’ appeared that had to be categorised separately: In their speeches in 1998, both Schr</w:t>
      </w:r>
      <w:r w:rsidRPr="00B2258E">
        <w:t>ö</w:t>
      </w:r>
      <w:r>
        <w:t xml:space="preserve">der and Lafontaine speak about their relationship, as the press was discussing whether they actually sing from the same hymn sheet. </w:t>
      </w:r>
      <w:r w:rsidRPr="000E363B">
        <w:t>Therefore, they had to point out their strong cooperation, using ‘we’ with the reference ‘Gerhard Schröder and Oskar Lafontaine’, as in example (2):</w:t>
      </w:r>
    </w:p>
    <w:p w14:paraId="23E4FB44" w14:textId="04143B1C" w:rsidR="00596DDB" w:rsidRPr="00B2258E" w:rsidRDefault="00596DDB" w:rsidP="00A45836">
      <w:pPr>
        <w:pStyle w:val="Quotation"/>
        <w:numPr>
          <w:ilvl w:val="0"/>
          <w:numId w:val="39"/>
        </w:numPr>
      </w:pPr>
      <w:r w:rsidRPr="000E363B">
        <w:rPr>
          <w:u w:val="single"/>
        </w:rPr>
        <w:t>Wir</w:t>
      </w:r>
      <w:r w:rsidRPr="0041050D">
        <w:t xml:space="preserve"> sind keine Zwillinge, aber </w:t>
      </w:r>
      <w:r w:rsidRPr="000E363B">
        <w:rPr>
          <w:u w:val="single"/>
        </w:rPr>
        <w:t>wir</w:t>
      </w:r>
      <w:r w:rsidRPr="0041050D">
        <w:t xml:space="preserve"> sind ein verdammt gutes Team, liebe Genossinnen und Genossen. </w:t>
      </w:r>
      <w:r w:rsidR="001F1951">
        <w:t>(Schröder, 1998a: 23)</w:t>
      </w:r>
    </w:p>
    <w:p w14:paraId="228830DA" w14:textId="745E3BD5" w:rsidR="00596DDB" w:rsidRPr="00B2258E" w:rsidRDefault="00596DDB" w:rsidP="00A45836">
      <w:pPr>
        <w:pStyle w:val="Quotation"/>
        <w:ind w:left="1058" w:firstLine="371"/>
        <w:rPr>
          <w:i/>
        </w:rPr>
      </w:pPr>
      <w:r w:rsidRPr="000E363B">
        <w:rPr>
          <w:i/>
          <w:u w:val="single"/>
        </w:rPr>
        <w:t>We</w:t>
      </w:r>
      <w:r w:rsidRPr="00B2258E">
        <w:rPr>
          <w:i/>
        </w:rPr>
        <w:t xml:space="preserve"> </w:t>
      </w:r>
      <w:r w:rsidR="00F03BE0">
        <w:rPr>
          <w:i/>
        </w:rPr>
        <w:t xml:space="preserve">may </w:t>
      </w:r>
      <w:r w:rsidR="00F03BE0" w:rsidRPr="00B2258E">
        <w:rPr>
          <w:i/>
        </w:rPr>
        <w:t>not</w:t>
      </w:r>
      <w:r w:rsidR="007C2963">
        <w:rPr>
          <w:i/>
        </w:rPr>
        <w:t xml:space="preserve"> be</w:t>
      </w:r>
      <w:r w:rsidRPr="00B2258E">
        <w:rPr>
          <w:i/>
        </w:rPr>
        <w:t xml:space="preserve"> twins, but </w:t>
      </w:r>
      <w:r w:rsidRPr="000E363B">
        <w:rPr>
          <w:i/>
          <w:u w:val="single"/>
        </w:rPr>
        <w:t>we</w:t>
      </w:r>
      <w:r w:rsidRPr="00B2258E">
        <w:rPr>
          <w:i/>
        </w:rPr>
        <w:t xml:space="preserve"> are a damn good team, comrades. </w:t>
      </w:r>
    </w:p>
    <w:p w14:paraId="467FA4D5" w14:textId="4D2F8C65" w:rsidR="00901287" w:rsidRDefault="00596DDB" w:rsidP="000E363B">
      <w:r>
        <w:t>The distinction into inclusive, exclusive and ambiguous ‘we’ was made according to contextual clues. In example (3), for instance, it is clear from the previous reference that Blair is talking about the party</w:t>
      </w:r>
      <w:r>
        <w:rPr>
          <w:rStyle w:val="EndnoteReference"/>
        </w:rPr>
        <w:endnoteReference w:id="3"/>
      </w:r>
      <w:r>
        <w:t>.</w:t>
      </w:r>
      <w:r w:rsidR="00152C61">
        <w:t xml:space="preserve"> Hence, the example was categorised as exclusive </w:t>
      </w:r>
      <w:r w:rsidR="000E363B">
        <w:t>‘</w:t>
      </w:r>
      <w:r w:rsidR="00152C61">
        <w:t>we</w:t>
      </w:r>
      <w:r w:rsidR="000E363B">
        <w:t>’</w:t>
      </w:r>
      <w:r w:rsidR="00152C61">
        <w:t xml:space="preserve">, referring to the speaker and the group he speaks for, but excluding the audience outside the hall: </w:t>
      </w:r>
    </w:p>
    <w:p w14:paraId="3B69AE61" w14:textId="19A72244" w:rsidR="00A45836" w:rsidRPr="00A45836" w:rsidRDefault="002F1E11" w:rsidP="000E363B">
      <w:pPr>
        <w:pStyle w:val="Quotation"/>
        <w:numPr>
          <w:ilvl w:val="0"/>
          <w:numId w:val="39"/>
        </w:numPr>
        <w:ind w:hanging="357"/>
        <w:contextualSpacing w:val="0"/>
        <w:rPr>
          <w:u w:val="single"/>
        </w:rPr>
      </w:pPr>
      <w:r w:rsidRPr="002F1E11">
        <w:rPr>
          <w:u w:val="single"/>
        </w:rPr>
        <w:t>We</w:t>
      </w:r>
      <w:r w:rsidRPr="002F1E11">
        <w:t xml:space="preserve"> knew we could be better, </w:t>
      </w:r>
      <w:r w:rsidRPr="002F1E11">
        <w:rPr>
          <w:u w:val="single"/>
        </w:rPr>
        <w:t>we</w:t>
      </w:r>
      <w:r w:rsidRPr="002F1E11">
        <w:t xml:space="preserve"> the </w:t>
      </w:r>
      <w:r w:rsidRPr="002F1E11">
        <w:rPr>
          <w:u w:val="single"/>
        </w:rPr>
        <w:t>Labour Party</w:t>
      </w:r>
      <w:r w:rsidRPr="002F1E11">
        <w:t>. And we are.</w:t>
      </w:r>
      <w:r>
        <w:t xml:space="preserve"> […]</w:t>
      </w:r>
      <w:r w:rsidRPr="002F1E11">
        <w:t xml:space="preserve"> </w:t>
      </w:r>
      <w:r w:rsidR="00A45836" w:rsidRPr="002F3A94">
        <w:rPr>
          <w:u w:val="single"/>
        </w:rPr>
        <w:t>We</w:t>
      </w:r>
      <w:r w:rsidR="00A45836" w:rsidRPr="004A36AA">
        <w:t xml:space="preserve"> have the programme. </w:t>
      </w:r>
      <w:r w:rsidR="00A45836" w:rsidRPr="002F3A94">
        <w:rPr>
          <w:u w:val="single"/>
        </w:rPr>
        <w:t>We</w:t>
      </w:r>
      <w:r w:rsidR="00A45836" w:rsidRPr="004A36AA">
        <w:t xml:space="preserve"> have the people to make decent change in our country. Let </w:t>
      </w:r>
      <w:r w:rsidR="00A45836" w:rsidRPr="002F3A94">
        <w:rPr>
          <w:u w:val="single"/>
        </w:rPr>
        <w:t>us</w:t>
      </w:r>
      <w:r w:rsidR="00A45836" w:rsidRPr="004A36AA">
        <w:t xml:space="preserve"> call our nation now to its destiny. Let </w:t>
      </w:r>
      <w:r w:rsidR="00A45836" w:rsidRPr="00152C61">
        <w:rPr>
          <w:u w:val="single"/>
        </w:rPr>
        <w:t>us</w:t>
      </w:r>
      <w:r w:rsidR="00A45836" w:rsidRPr="004A36AA">
        <w:t xml:space="preserve"> lead it to our new age of achievement and build for us, for our children, their children, a Britain - a Britain united to win in the 21st century. </w:t>
      </w:r>
      <w:r w:rsidR="001F1951">
        <w:t>(Blair, 1996: 87)</w:t>
      </w:r>
    </w:p>
    <w:p w14:paraId="415C5396" w14:textId="65566F17" w:rsidR="00A45836" w:rsidRDefault="0041050D" w:rsidP="000A43A5">
      <w:r>
        <w:t>A similar method was used for the category ‘inclusive we’: If the context or the anaphoric reference suggested a meaning of ‘Britain’ or ‘the nation’, as in example (4), the use was categorised as inclusive ‘we’:</w:t>
      </w:r>
    </w:p>
    <w:p w14:paraId="62611580" w14:textId="3FACCF94" w:rsidR="005C6C3E" w:rsidRPr="005C6C3E" w:rsidRDefault="005C6C3E" w:rsidP="00A45836">
      <w:pPr>
        <w:pStyle w:val="Quotation"/>
        <w:numPr>
          <w:ilvl w:val="0"/>
          <w:numId w:val="39"/>
        </w:numPr>
      </w:pPr>
      <w:r w:rsidRPr="0041050D">
        <w:rPr>
          <w:u w:val="single"/>
        </w:rPr>
        <w:t>Britain</w:t>
      </w:r>
      <w:r w:rsidRPr="005C6C3E">
        <w:t xml:space="preserve"> won two world wars. </w:t>
      </w:r>
      <w:r w:rsidRPr="0041050D">
        <w:rPr>
          <w:u w:val="single"/>
        </w:rPr>
        <w:t>We</w:t>
      </w:r>
      <w:r w:rsidRPr="005C6C3E">
        <w:t xml:space="preserve"> had an Empire and formed a Commonwealth</w:t>
      </w:r>
      <w:r w:rsidR="0041050D">
        <w:t>.</w:t>
      </w:r>
      <w:r w:rsidRPr="005C6C3E">
        <w:t xml:space="preserve"> </w:t>
      </w:r>
      <w:r w:rsidR="001F1951">
        <w:t>(Blair, 1995b: 97)</w:t>
      </w:r>
    </w:p>
    <w:p w14:paraId="65A5E951" w14:textId="40775A05" w:rsidR="00F9650F" w:rsidRDefault="00CA2394" w:rsidP="000A43A5">
      <w:r>
        <w:t>Occurrences of ‘we’ were classified as ambiguous, if the context did not allow a disambiguation, because the anaphoric chain of references did not lead to a proper noun and the action could not clearly be interpreted as taken by the ‘party’, the ‘government’ or the ‘nation’, as in example (5):</w:t>
      </w:r>
    </w:p>
    <w:p w14:paraId="4DA4DF82" w14:textId="30716693" w:rsidR="005C6C3E" w:rsidRDefault="008072AC" w:rsidP="00A45836">
      <w:pPr>
        <w:pStyle w:val="Quotation"/>
        <w:numPr>
          <w:ilvl w:val="0"/>
          <w:numId w:val="39"/>
        </w:numPr>
      </w:pPr>
      <w:r w:rsidRPr="008072AC">
        <w:t xml:space="preserve">All students will repay only as they can afford to. And if </w:t>
      </w:r>
      <w:r w:rsidRPr="002F1E11">
        <w:rPr>
          <w:u w:val="single"/>
        </w:rPr>
        <w:t>we</w:t>
      </w:r>
      <w:r w:rsidRPr="008072AC">
        <w:t xml:space="preserve"> reform, </w:t>
      </w:r>
      <w:r w:rsidRPr="002F1E11">
        <w:rPr>
          <w:u w:val="single"/>
        </w:rPr>
        <w:t>I</w:t>
      </w:r>
      <w:r w:rsidRPr="008072AC">
        <w:t xml:space="preserve"> am going to pledge to you, that by the end of this parliament, </w:t>
      </w:r>
      <w:r w:rsidRPr="002F1E11">
        <w:rPr>
          <w:u w:val="single"/>
        </w:rPr>
        <w:t>we</w:t>
      </w:r>
      <w:r w:rsidRPr="008072AC">
        <w:t xml:space="preserve"> will put resources saved through reform into frontline provision in universities and further education; and the first 165 million pounds is already in next year’s budgets. </w:t>
      </w:r>
      <w:r w:rsidR="001F1951">
        <w:t>(Blair, 1997: 70)</w:t>
      </w:r>
    </w:p>
    <w:p w14:paraId="451ABFB4" w14:textId="7CE12D53" w:rsidR="00153586" w:rsidRPr="00153586" w:rsidRDefault="00153586" w:rsidP="00153586">
      <w:pPr>
        <w:rPr>
          <w:lang w:val="de-DE"/>
        </w:rPr>
      </w:pPr>
      <w:r>
        <w:t>A final caveat and restriction must be discussed before I present my results. The question could be asked whether there are preferences of a linguistic or socio-cultural nature for the use of ‘I’/‘Ich’ and ‘we’/‘wir’</w:t>
      </w:r>
      <w:r w:rsidR="000E363B">
        <w:t xml:space="preserve"> in German and English</w:t>
      </w:r>
      <w:r>
        <w:t xml:space="preserve">. The problem here is the lack of background data. </w:t>
      </w:r>
      <w:r w:rsidR="000E363B">
        <w:t>T</w:t>
      </w:r>
      <w:r>
        <w:t>h</w:t>
      </w:r>
      <w:r w:rsidRPr="00153586">
        <w:rPr>
          <w:szCs w:val="24"/>
          <w:lang w:val="en-US"/>
        </w:rPr>
        <w:t xml:space="preserve">e </w:t>
      </w:r>
      <w:r w:rsidR="000E363B">
        <w:rPr>
          <w:szCs w:val="24"/>
          <w:lang w:val="en-US"/>
        </w:rPr>
        <w:t xml:space="preserve">contrastive </w:t>
      </w:r>
      <w:r>
        <w:rPr>
          <w:szCs w:val="24"/>
          <w:lang w:val="en-US"/>
        </w:rPr>
        <w:t xml:space="preserve">use of first-person pronouns </w:t>
      </w:r>
      <w:r w:rsidR="005D12A3">
        <w:rPr>
          <w:szCs w:val="24"/>
          <w:lang w:val="en-US"/>
        </w:rPr>
        <w:t xml:space="preserve">has </w:t>
      </w:r>
      <w:r>
        <w:rPr>
          <w:szCs w:val="24"/>
          <w:lang w:val="en-US"/>
        </w:rPr>
        <w:t xml:space="preserve">mainly </w:t>
      </w:r>
      <w:r w:rsidR="005D12A3">
        <w:rPr>
          <w:szCs w:val="24"/>
          <w:lang w:val="en-US"/>
        </w:rPr>
        <w:t xml:space="preserve">been </w:t>
      </w:r>
      <w:r>
        <w:rPr>
          <w:szCs w:val="24"/>
          <w:lang w:val="en-US"/>
        </w:rPr>
        <w:t xml:space="preserve">investigated in analyses of written </w:t>
      </w:r>
      <w:r w:rsidRPr="00153586">
        <w:rPr>
          <w:szCs w:val="24"/>
          <w:lang w:val="en-US"/>
        </w:rPr>
        <w:t>academic discourse.</w:t>
      </w:r>
      <w:r w:rsidRPr="00153586">
        <w:rPr>
          <w:szCs w:val="24"/>
        </w:rPr>
        <w:t xml:space="preserve"> </w:t>
      </w:r>
      <w:r w:rsidRPr="00153586">
        <w:rPr>
          <w:szCs w:val="24"/>
          <w:lang w:val="de-DE"/>
        </w:rPr>
        <w:t>As Baumgarten</w:t>
      </w:r>
      <w:r w:rsidRPr="00153586">
        <w:rPr>
          <w:lang w:val="de-DE"/>
        </w:rPr>
        <w:t xml:space="preserve"> </w:t>
      </w:r>
      <w:r w:rsidR="001F1951" w:rsidRPr="001F1951">
        <w:rPr>
          <w:lang w:val="de-DE"/>
        </w:rPr>
        <w:t>(2008: 414)</w:t>
      </w:r>
      <w:r w:rsidRPr="00153586">
        <w:rPr>
          <w:lang w:val="de-DE"/>
        </w:rPr>
        <w:t xml:space="preserve"> points out, there </w:t>
      </w:r>
      <w:r>
        <w:t>“</w:t>
      </w:r>
      <w:r w:rsidRPr="00153586">
        <w:rPr>
          <w:lang w:val="de-DE"/>
        </w:rPr>
        <w:t>are virtually no analyses of other written genres“, n</w:t>
      </w:r>
      <w:r>
        <w:rPr>
          <w:lang w:val="de-DE"/>
        </w:rPr>
        <w:t xml:space="preserve">ever mind genres of political discourse or spoken genres. Therefore, the quantitative results of this analysis should only be taken for what they are: </w:t>
      </w:r>
      <w:r w:rsidR="005D12A3">
        <w:rPr>
          <w:lang w:val="de-DE"/>
        </w:rPr>
        <w:t>i</w:t>
      </w:r>
      <w:r>
        <w:rPr>
          <w:lang w:val="de-DE"/>
        </w:rPr>
        <w:t xml:space="preserve">ndications of a strategic use in a particular corpus of political </w:t>
      </w:r>
      <w:r w:rsidR="000E363B">
        <w:rPr>
          <w:lang w:val="de-DE"/>
        </w:rPr>
        <w:t>discourse</w:t>
      </w:r>
      <w:r w:rsidR="005D12A3">
        <w:rPr>
          <w:lang w:val="de-DE"/>
        </w:rPr>
        <w:t xml:space="preserve"> which</w:t>
      </w:r>
      <w:r w:rsidR="000E363B">
        <w:rPr>
          <w:lang w:val="de-DE"/>
        </w:rPr>
        <w:t xml:space="preserve"> demonstrat</w:t>
      </w:r>
      <w:r w:rsidR="005D12A3">
        <w:rPr>
          <w:lang w:val="de-DE"/>
        </w:rPr>
        <w:t>es</w:t>
      </w:r>
      <w:r w:rsidR="000E363B">
        <w:rPr>
          <w:lang w:val="de-DE"/>
        </w:rPr>
        <w:t xml:space="preserve"> the text-context relation in this type of discourse.</w:t>
      </w:r>
    </w:p>
    <w:p w14:paraId="636E5B6F" w14:textId="612AC9C8" w:rsidR="00B9390C" w:rsidRDefault="00152C61" w:rsidP="00C32603">
      <w:r w:rsidRPr="004A36AA">
        <w:fldChar w:fldCharType="begin"/>
      </w:r>
      <w:r w:rsidRPr="004A36AA">
        <w:instrText xml:space="preserve"> REF _Ref455562356 \h </w:instrText>
      </w:r>
      <w:r w:rsidRPr="004A36AA">
        <w:fldChar w:fldCharType="separate"/>
      </w:r>
      <w:r w:rsidRPr="004A36AA">
        <w:t xml:space="preserve">Table </w:t>
      </w:r>
      <w:r>
        <w:rPr>
          <w:noProof/>
        </w:rPr>
        <w:t>1</w:t>
      </w:r>
      <w:r w:rsidRPr="004A36AA">
        <w:fldChar w:fldCharType="end"/>
      </w:r>
      <w:r w:rsidRPr="004A36AA">
        <w:t xml:space="preserve"> represents the results of the analysis of pronominal self-references in the corpus. The results are reported in percen</w:t>
      </w:r>
      <w:r>
        <w:t>t of pronominal self-references.</w:t>
      </w:r>
    </w:p>
    <w:p w14:paraId="522B5DC6" w14:textId="77777777" w:rsidR="00CA2394" w:rsidRPr="004A36AA" w:rsidRDefault="00CA2394" w:rsidP="00C32603"/>
    <w:tbl>
      <w:tblPr>
        <w:tblW w:w="87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E0" w:firstRow="1" w:lastRow="1" w:firstColumn="1" w:lastColumn="0" w:noHBand="0" w:noVBand="1"/>
      </w:tblPr>
      <w:tblGrid>
        <w:gridCol w:w="1982"/>
        <w:gridCol w:w="850"/>
        <w:gridCol w:w="993"/>
        <w:gridCol w:w="850"/>
        <w:gridCol w:w="851"/>
        <w:gridCol w:w="850"/>
        <w:gridCol w:w="709"/>
        <w:gridCol w:w="992"/>
        <w:gridCol w:w="709"/>
      </w:tblGrid>
      <w:tr w:rsidR="00B9390C" w:rsidRPr="004A36AA" w14:paraId="740E8B66" w14:textId="77777777" w:rsidTr="00A30770">
        <w:tc>
          <w:tcPr>
            <w:tcW w:w="1982" w:type="dxa"/>
            <w:vMerge w:val="restart"/>
            <w:shd w:val="clear" w:color="auto" w:fill="BFBFBF"/>
            <w:vAlign w:val="center"/>
          </w:tcPr>
          <w:p w14:paraId="45EB9195" w14:textId="77777777" w:rsidR="00B9390C" w:rsidRPr="004A36AA" w:rsidRDefault="00B9390C" w:rsidP="00C32603">
            <w:pPr>
              <w:spacing w:line="240" w:lineRule="auto"/>
              <w:rPr>
                <w:b/>
                <w:bCs/>
                <w:szCs w:val="20"/>
              </w:rPr>
            </w:pPr>
            <w:bookmarkStart w:id="3" w:name="OLE_LINK1"/>
            <w:r w:rsidRPr="004A36AA">
              <w:rPr>
                <w:szCs w:val="20"/>
              </w:rPr>
              <w:br w:type="page"/>
            </w:r>
            <w:r w:rsidRPr="004A36AA">
              <w:rPr>
                <w:b/>
                <w:bCs/>
                <w:szCs w:val="20"/>
              </w:rPr>
              <w:t>Speech</w:t>
            </w:r>
          </w:p>
        </w:tc>
        <w:tc>
          <w:tcPr>
            <w:tcW w:w="850" w:type="dxa"/>
            <w:vMerge w:val="restart"/>
            <w:tcBorders>
              <w:right w:val="single" w:sz="4" w:space="0" w:color="auto"/>
            </w:tcBorders>
            <w:shd w:val="clear" w:color="auto" w:fill="BFBFBF"/>
            <w:vAlign w:val="center"/>
          </w:tcPr>
          <w:p w14:paraId="793CEA1A" w14:textId="77777777" w:rsidR="00B9390C" w:rsidRPr="004A36AA" w:rsidRDefault="00B9390C" w:rsidP="00C32603">
            <w:pPr>
              <w:spacing w:line="240" w:lineRule="auto"/>
              <w:rPr>
                <w:b/>
                <w:bCs/>
                <w:sz w:val="20"/>
                <w:szCs w:val="20"/>
              </w:rPr>
            </w:pPr>
            <w:r w:rsidRPr="004A36AA">
              <w:rPr>
                <w:b/>
                <w:bCs/>
                <w:sz w:val="20"/>
                <w:szCs w:val="20"/>
              </w:rPr>
              <w:t>Length in words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0EDD3A5" w14:textId="5D6FFB00" w:rsidR="00B9390C" w:rsidRPr="004A36AA" w:rsidRDefault="00B9390C" w:rsidP="00C32603">
            <w:pPr>
              <w:spacing w:line="240" w:lineRule="auto"/>
              <w:rPr>
                <w:b/>
                <w:bCs/>
                <w:sz w:val="20"/>
                <w:szCs w:val="20"/>
              </w:rPr>
            </w:pPr>
            <w:r w:rsidRPr="004A36AA">
              <w:rPr>
                <w:b/>
                <w:bCs/>
                <w:sz w:val="20"/>
                <w:szCs w:val="20"/>
              </w:rPr>
              <w:t xml:space="preserve">Prono-minal </w:t>
            </w:r>
            <w:r w:rsidR="004B7C19">
              <w:rPr>
                <w:b/>
                <w:bCs/>
                <w:sz w:val="20"/>
                <w:szCs w:val="20"/>
              </w:rPr>
              <w:t>s</w:t>
            </w:r>
            <w:r w:rsidRPr="004A36AA">
              <w:rPr>
                <w:b/>
                <w:bCs/>
                <w:sz w:val="20"/>
                <w:szCs w:val="20"/>
              </w:rPr>
              <w:t>elf</w:t>
            </w:r>
            <w:r w:rsidR="004B7C19">
              <w:rPr>
                <w:b/>
                <w:bCs/>
                <w:sz w:val="20"/>
                <w:szCs w:val="20"/>
              </w:rPr>
              <w:t>-</w:t>
            </w:r>
            <w:r w:rsidRPr="004A36AA">
              <w:rPr>
                <w:b/>
                <w:bCs/>
                <w:sz w:val="20"/>
                <w:szCs w:val="20"/>
              </w:rPr>
              <w:t>re-ferences in %</w:t>
            </w:r>
          </w:p>
        </w:tc>
        <w:tc>
          <w:tcPr>
            <w:tcW w:w="4961" w:type="dxa"/>
            <w:gridSpan w:val="6"/>
            <w:tcBorders>
              <w:left w:val="single" w:sz="4" w:space="0" w:color="auto"/>
            </w:tcBorders>
            <w:shd w:val="clear" w:color="auto" w:fill="BFBFBF"/>
            <w:vAlign w:val="center"/>
          </w:tcPr>
          <w:p w14:paraId="2EDD1F82" w14:textId="3103D64E" w:rsidR="00B9390C" w:rsidRPr="004A36AA" w:rsidRDefault="00B9390C" w:rsidP="00C32603">
            <w:pPr>
              <w:spacing w:line="240" w:lineRule="auto"/>
              <w:rPr>
                <w:b/>
                <w:bCs/>
                <w:szCs w:val="20"/>
              </w:rPr>
            </w:pPr>
            <w:r w:rsidRPr="004A36AA">
              <w:rPr>
                <w:b/>
                <w:bCs/>
                <w:szCs w:val="20"/>
              </w:rPr>
              <w:t>in % of</w:t>
            </w:r>
            <w:r w:rsidR="00A4119A" w:rsidRPr="004A36AA">
              <w:rPr>
                <w:b/>
                <w:bCs/>
                <w:szCs w:val="20"/>
              </w:rPr>
              <w:t xml:space="preserve"> pronominal</w:t>
            </w:r>
            <w:r w:rsidRPr="004A36AA">
              <w:rPr>
                <w:b/>
                <w:bCs/>
                <w:szCs w:val="20"/>
              </w:rPr>
              <w:t xml:space="preserve"> self-references</w:t>
            </w:r>
          </w:p>
        </w:tc>
      </w:tr>
      <w:tr w:rsidR="00B9390C" w:rsidRPr="004A36AA" w14:paraId="4B3774DC" w14:textId="77777777" w:rsidTr="00A30770">
        <w:tc>
          <w:tcPr>
            <w:tcW w:w="1982" w:type="dxa"/>
            <w:vMerge/>
            <w:shd w:val="clear" w:color="auto" w:fill="auto"/>
          </w:tcPr>
          <w:p w14:paraId="6D06CBB4" w14:textId="77777777" w:rsidR="00B9390C" w:rsidRPr="004A36AA" w:rsidRDefault="00B9390C" w:rsidP="00C32603">
            <w:pPr>
              <w:spacing w:line="240" w:lineRule="auto"/>
              <w:rPr>
                <w:b/>
                <w:bCs/>
                <w:szCs w:val="20"/>
              </w:rPr>
            </w:pPr>
          </w:p>
        </w:tc>
        <w:tc>
          <w:tcPr>
            <w:tcW w:w="850" w:type="dxa"/>
            <w:vMerge/>
            <w:tcBorders>
              <w:right w:val="single" w:sz="4" w:space="0" w:color="auto"/>
            </w:tcBorders>
            <w:shd w:val="clear" w:color="auto" w:fill="auto"/>
          </w:tcPr>
          <w:p w14:paraId="38C197C6" w14:textId="77777777" w:rsidR="00B9390C" w:rsidRPr="004A36AA" w:rsidRDefault="00B9390C" w:rsidP="00C32603">
            <w:pPr>
              <w:spacing w:line="240" w:lineRule="auto"/>
              <w:rPr>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75E8699B" w14:textId="77777777" w:rsidR="00B9390C" w:rsidRPr="004A36AA" w:rsidRDefault="00B9390C" w:rsidP="00C32603">
            <w:pPr>
              <w:spacing w:line="240" w:lineRule="auto"/>
              <w:rPr>
                <w:szCs w:val="20"/>
              </w:rPr>
            </w:pPr>
          </w:p>
        </w:tc>
        <w:tc>
          <w:tcPr>
            <w:tcW w:w="850" w:type="dxa"/>
            <w:tcBorders>
              <w:left w:val="single" w:sz="4" w:space="0" w:color="auto"/>
            </w:tcBorders>
            <w:shd w:val="clear" w:color="auto" w:fill="BFBFBF"/>
          </w:tcPr>
          <w:p w14:paraId="702867FA" w14:textId="77777777" w:rsidR="00B9390C" w:rsidRPr="004A36AA" w:rsidRDefault="00B9390C" w:rsidP="00C32603">
            <w:pPr>
              <w:spacing w:line="240" w:lineRule="auto"/>
              <w:rPr>
                <w:b/>
                <w:bCs/>
                <w:sz w:val="22"/>
                <w:szCs w:val="20"/>
              </w:rPr>
            </w:pPr>
            <w:r w:rsidRPr="004A36AA">
              <w:rPr>
                <w:b/>
                <w:bCs/>
                <w:sz w:val="22"/>
                <w:szCs w:val="20"/>
              </w:rPr>
              <w:t xml:space="preserve">I = spea- ker </w:t>
            </w:r>
          </w:p>
        </w:tc>
        <w:tc>
          <w:tcPr>
            <w:tcW w:w="851" w:type="dxa"/>
            <w:shd w:val="clear" w:color="auto" w:fill="BFBFBF"/>
          </w:tcPr>
          <w:p w14:paraId="5929C7A6" w14:textId="77777777" w:rsidR="00B9390C" w:rsidRPr="004A36AA" w:rsidRDefault="00B9390C" w:rsidP="00C32603">
            <w:pPr>
              <w:spacing w:line="240" w:lineRule="auto"/>
              <w:rPr>
                <w:b/>
                <w:bCs/>
                <w:sz w:val="22"/>
                <w:szCs w:val="20"/>
              </w:rPr>
            </w:pPr>
            <w:r w:rsidRPr="004A36AA">
              <w:rPr>
                <w:b/>
                <w:bCs/>
                <w:sz w:val="22"/>
                <w:szCs w:val="20"/>
              </w:rPr>
              <w:t>I  =  ge-neral</w:t>
            </w:r>
          </w:p>
        </w:tc>
        <w:tc>
          <w:tcPr>
            <w:tcW w:w="850" w:type="dxa"/>
            <w:shd w:val="clear" w:color="auto" w:fill="BFBFBF"/>
          </w:tcPr>
          <w:p w14:paraId="32DCFF73" w14:textId="77777777" w:rsidR="00B9390C" w:rsidRPr="004A36AA" w:rsidRDefault="00B9390C" w:rsidP="00C32603">
            <w:pPr>
              <w:spacing w:line="240" w:lineRule="auto"/>
              <w:rPr>
                <w:b/>
                <w:bCs/>
                <w:sz w:val="22"/>
                <w:szCs w:val="20"/>
              </w:rPr>
            </w:pPr>
            <w:r w:rsidRPr="004A36AA">
              <w:rPr>
                <w:b/>
                <w:bCs/>
                <w:sz w:val="22"/>
                <w:szCs w:val="20"/>
              </w:rPr>
              <w:t>Excl. We</w:t>
            </w:r>
          </w:p>
        </w:tc>
        <w:tc>
          <w:tcPr>
            <w:tcW w:w="709" w:type="dxa"/>
            <w:shd w:val="clear" w:color="auto" w:fill="BFBFBF"/>
          </w:tcPr>
          <w:p w14:paraId="6340B7F1" w14:textId="77777777" w:rsidR="00B9390C" w:rsidRPr="004A36AA" w:rsidRDefault="00B9390C" w:rsidP="00C32603">
            <w:pPr>
              <w:spacing w:line="240" w:lineRule="auto"/>
              <w:rPr>
                <w:b/>
                <w:bCs/>
                <w:sz w:val="22"/>
                <w:szCs w:val="20"/>
              </w:rPr>
            </w:pPr>
            <w:r w:rsidRPr="004A36AA">
              <w:rPr>
                <w:b/>
                <w:bCs/>
                <w:sz w:val="22"/>
                <w:szCs w:val="20"/>
              </w:rPr>
              <w:t>Incl. We</w:t>
            </w:r>
          </w:p>
        </w:tc>
        <w:tc>
          <w:tcPr>
            <w:tcW w:w="992" w:type="dxa"/>
            <w:shd w:val="clear" w:color="auto" w:fill="BFBFBF"/>
          </w:tcPr>
          <w:p w14:paraId="44DD783C" w14:textId="77777777" w:rsidR="00B9390C" w:rsidRPr="004A36AA" w:rsidRDefault="00B9390C" w:rsidP="00C32603">
            <w:pPr>
              <w:spacing w:line="240" w:lineRule="auto"/>
              <w:rPr>
                <w:b/>
                <w:bCs/>
                <w:sz w:val="22"/>
                <w:szCs w:val="20"/>
              </w:rPr>
            </w:pPr>
            <w:r w:rsidRPr="004A36AA">
              <w:rPr>
                <w:b/>
                <w:bCs/>
                <w:sz w:val="22"/>
                <w:szCs w:val="20"/>
              </w:rPr>
              <w:t>Ambi-guous We</w:t>
            </w:r>
          </w:p>
        </w:tc>
        <w:tc>
          <w:tcPr>
            <w:tcW w:w="709" w:type="dxa"/>
            <w:shd w:val="clear" w:color="auto" w:fill="BFBFBF"/>
          </w:tcPr>
          <w:p w14:paraId="7F5A6DE9" w14:textId="1DA769FB" w:rsidR="00B9390C" w:rsidRPr="004A36AA" w:rsidRDefault="00B9390C" w:rsidP="00C32603">
            <w:pPr>
              <w:spacing w:line="240" w:lineRule="auto"/>
              <w:rPr>
                <w:b/>
                <w:bCs/>
                <w:sz w:val="22"/>
                <w:szCs w:val="20"/>
              </w:rPr>
            </w:pPr>
            <w:r w:rsidRPr="004A36AA">
              <w:rPr>
                <w:b/>
                <w:bCs/>
                <w:sz w:val="22"/>
                <w:szCs w:val="20"/>
              </w:rPr>
              <w:t>O</w:t>
            </w:r>
            <w:r w:rsidR="008E20AB" w:rsidRPr="004A36AA">
              <w:rPr>
                <w:b/>
                <w:bCs/>
                <w:sz w:val="22"/>
                <w:szCs w:val="20"/>
              </w:rPr>
              <w:t>-</w:t>
            </w:r>
            <w:r w:rsidRPr="004A36AA">
              <w:rPr>
                <w:b/>
                <w:bCs/>
                <w:sz w:val="22"/>
                <w:szCs w:val="20"/>
              </w:rPr>
              <w:t>ther we</w:t>
            </w:r>
          </w:p>
        </w:tc>
      </w:tr>
      <w:tr w:rsidR="00B9390C" w:rsidRPr="004A36AA" w14:paraId="5E12C4A8" w14:textId="77777777" w:rsidTr="00A30770">
        <w:trPr>
          <w:trHeight w:val="57"/>
        </w:trPr>
        <w:tc>
          <w:tcPr>
            <w:tcW w:w="1982" w:type="dxa"/>
            <w:shd w:val="clear" w:color="auto" w:fill="BFBFBF"/>
            <w:vAlign w:val="center"/>
          </w:tcPr>
          <w:p w14:paraId="298B0772" w14:textId="77777777" w:rsidR="00B9390C" w:rsidRPr="004A36AA" w:rsidRDefault="00B9390C" w:rsidP="00C32603">
            <w:pPr>
              <w:spacing w:line="288" w:lineRule="auto"/>
              <w:rPr>
                <w:b/>
                <w:bCs/>
                <w:szCs w:val="20"/>
              </w:rPr>
            </w:pPr>
            <w:r w:rsidRPr="004A36AA">
              <w:rPr>
                <w:b/>
                <w:bCs/>
                <w:szCs w:val="20"/>
              </w:rPr>
              <w:t>Blair 1994</w:t>
            </w:r>
          </w:p>
        </w:tc>
        <w:tc>
          <w:tcPr>
            <w:tcW w:w="850" w:type="dxa"/>
            <w:tcBorders>
              <w:right w:val="single" w:sz="4" w:space="0" w:color="auto"/>
            </w:tcBorders>
            <w:shd w:val="clear" w:color="auto" w:fill="auto"/>
            <w:vAlign w:val="center"/>
          </w:tcPr>
          <w:p w14:paraId="55A96CFD" w14:textId="77777777" w:rsidR="00B9390C" w:rsidRPr="004A36AA" w:rsidRDefault="00B9390C" w:rsidP="00C32603">
            <w:pPr>
              <w:spacing w:line="288" w:lineRule="auto"/>
              <w:rPr>
                <w:szCs w:val="20"/>
              </w:rPr>
            </w:pPr>
            <w:r w:rsidRPr="004A36AA">
              <w:rPr>
                <w:szCs w:val="20"/>
              </w:rPr>
              <w:t>7043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C7182D" w14:textId="48B51C5D" w:rsidR="00B9390C" w:rsidRPr="004A36AA" w:rsidRDefault="00081774" w:rsidP="00C32603">
            <w:pPr>
              <w:spacing w:line="288" w:lineRule="auto"/>
              <w:rPr>
                <w:szCs w:val="20"/>
              </w:rPr>
            </w:pPr>
            <w:r w:rsidRPr="004A36AA">
              <w:rPr>
                <w:szCs w:val="20"/>
              </w:rPr>
              <w:t>2.95</w:t>
            </w:r>
          </w:p>
        </w:tc>
        <w:tc>
          <w:tcPr>
            <w:tcW w:w="850" w:type="dxa"/>
            <w:tcBorders>
              <w:left w:val="single" w:sz="4" w:space="0" w:color="auto"/>
            </w:tcBorders>
            <w:shd w:val="clear" w:color="auto" w:fill="auto"/>
            <w:vAlign w:val="center"/>
          </w:tcPr>
          <w:p w14:paraId="73F75042" w14:textId="4921760C" w:rsidR="00B9390C" w:rsidRPr="004A36AA" w:rsidRDefault="00081774" w:rsidP="00C32603">
            <w:pPr>
              <w:spacing w:line="288" w:lineRule="auto"/>
              <w:rPr>
                <w:szCs w:val="20"/>
              </w:rPr>
            </w:pPr>
            <w:r w:rsidRPr="004A36AA">
              <w:rPr>
                <w:szCs w:val="20"/>
              </w:rPr>
              <w:t>23.1</w:t>
            </w:r>
          </w:p>
        </w:tc>
        <w:tc>
          <w:tcPr>
            <w:tcW w:w="851" w:type="dxa"/>
            <w:shd w:val="clear" w:color="auto" w:fill="auto"/>
            <w:vAlign w:val="center"/>
          </w:tcPr>
          <w:p w14:paraId="71CEF2FA" w14:textId="2E6A8B99" w:rsidR="00B9390C" w:rsidRPr="004A36AA" w:rsidRDefault="00081774" w:rsidP="00C32603">
            <w:pPr>
              <w:spacing w:line="288" w:lineRule="auto"/>
              <w:rPr>
                <w:szCs w:val="20"/>
              </w:rPr>
            </w:pPr>
            <w:r w:rsidRPr="004A36AA">
              <w:rPr>
                <w:szCs w:val="20"/>
              </w:rPr>
              <w:t>2.9</w:t>
            </w:r>
          </w:p>
        </w:tc>
        <w:tc>
          <w:tcPr>
            <w:tcW w:w="850" w:type="dxa"/>
            <w:shd w:val="clear" w:color="auto" w:fill="auto"/>
            <w:vAlign w:val="center"/>
          </w:tcPr>
          <w:p w14:paraId="2B4C5C87" w14:textId="4FE0C10F" w:rsidR="00B9390C" w:rsidRPr="004A36AA" w:rsidRDefault="00081774" w:rsidP="00C32603">
            <w:pPr>
              <w:spacing w:line="288" w:lineRule="auto"/>
              <w:rPr>
                <w:szCs w:val="20"/>
              </w:rPr>
            </w:pPr>
            <w:r w:rsidRPr="004A36AA">
              <w:rPr>
                <w:szCs w:val="20"/>
              </w:rPr>
              <w:t>50</w:t>
            </w:r>
          </w:p>
        </w:tc>
        <w:tc>
          <w:tcPr>
            <w:tcW w:w="709" w:type="dxa"/>
            <w:shd w:val="clear" w:color="auto" w:fill="auto"/>
            <w:vAlign w:val="center"/>
          </w:tcPr>
          <w:p w14:paraId="2B867CB0" w14:textId="474C5CE4" w:rsidR="00B9390C" w:rsidRPr="004A36AA" w:rsidRDefault="00081774" w:rsidP="00C32603">
            <w:pPr>
              <w:spacing w:line="288" w:lineRule="auto"/>
              <w:rPr>
                <w:szCs w:val="20"/>
              </w:rPr>
            </w:pPr>
            <w:r w:rsidRPr="004A36AA">
              <w:rPr>
                <w:szCs w:val="20"/>
              </w:rPr>
              <w:t>13.5</w:t>
            </w:r>
          </w:p>
        </w:tc>
        <w:tc>
          <w:tcPr>
            <w:tcW w:w="992" w:type="dxa"/>
            <w:shd w:val="clear" w:color="auto" w:fill="auto"/>
            <w:vAlign w:val="center"/>
          </w:tcPr>
          <w:p w14:paraId="616A3704" w14:textId="37A914AC" w:rsidR="00B9390C" w:rsidRPr="004A36AA" w:rsidRDefault="00081774" w:rsidP="00C32603">
            <w:pPr>
              <w:spacing w:line="288" w:lineRule="auto"/>
              <w:rPr>
                <w:szCs w:val="20"/>
              </w:rPr>
            </w:pPr>
            <w:r w:rsidRPr="004A36AA">
              <w:rPr>
                <w:szCs w:val="20"/>
              </w:rPr>
              <w:t>10.6</w:t>
            </w:r>
          </w:p>
        </w:tc>
        <w:tc>
          <w:tcPr>
            <w:tcW w:w="709" w:type="dxa"/>
            <w:shd w:val="clear" w:color="auto" w:fill="auto"/>
            <w:vAlign w:val="center"/>
          </w:tcPr>
          <w:p w14:paraId="42CD6E71" w14:textId="77777777" w:rsidR="00B9390C" w:rsidRPr="004A36AA" w:rsidRDefault="00B9390C" w:rsidP="00C32603">
            <w:pPr>
              <w:spacing w:line="288" w:lineRule="auto"/>
              <w:rPr>
                <w:szCs w:val="20"/>
              </w:rPr>
            </w:pPr>
            <w:r w:rsidRPr="004A36AA">
              <w:rPr>
                <w:szCs w:val="20"/>
              </w:rPr>
              <w:t>0</w:t>
            </w:r>
          </w:p>
        </w:tc>
      </w:tr>
      <w:tr w:rsidR="00B9390C" w:rsidRPr="004A36AA" w14:paraId="499E31B7" w14:textId="77777777" w:rsidTr="00A30770">
        <w:trPr>
          <w:trHeight w:val="57"/>
        </w:trPr>
        <w:tc>
          <w:tcPr>
            <w:tcW w:w="1982" w:type="dxa"/>
            <w:shd w:val="clear" w:color="auto" w:fill="BFBFBF"/>
            <w:vAlign w:val="center"/>
          </w:tcPr>
          <w:p w14:paraId="110F588C" w14:textId="77777777" w:rsidR="00B9390C" w:rsidRPr="004A36AA" w:rsidRDefault="00B9390C" w:rsidP="00C32603">
            <w:pPr>
              <w:spacing w:line="288" w:lineRule="auto"/>
              <w:rPr>
                <w:b/>
                <w:bCs/>
                <w:szCs w:val="20"/>
              </w:rPr>
            </w:pPr>
            <w:r w:rsidRPr="004A36AA">
              <w:rPr>
                <w:b/>
                <w:bCs/>
                <w:szCs w:val="20"/>
              </w:rPr>
              <w:t>Blair 1995</w:t>
            </w:r>
          </w:p>
        </w:tc>
        <w:tc>
          <w:tcPr>
            <w:tcW w:w="850" w:type="dxa"/>
            <w:tcBorders>
              <w:right w:val="single" w:sz="4" w:space="0" w:color="auto"/>
            </w:tcBorders>
            <w:shd w:val="clear" w:color="auto" w:fill="auto"/>
            <w:vAlign w:val="center"/>
          </w:tcPr>
          <w:p w14:paraId="14C49B79" w14:textId="77777777" w:rsidR="00B9390C" w:rsidRPr="004A36AA" w:rsidRDefault="00B9390C" w:rsidP="00C32603">
            <w:pPr>
              <w:spacing w:line="288" w:lineRule="auto"/>
              <w:rPr>
                <w:szCs w:val="20"/>
              </w:rPr>
            </w:pPr>
            <w:r w:rsidRPr="004A36AA">
              <w:rPr>
                <w:szCs w:val="20"/>
              </w:rPr>
              <w:t>6915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8D35AA" w14:textId="47C5C4D8" w:rsidR="00B9390C" w:rsidRPr="004A36AA" w:rsidRDefault="00081774" w:rsidP="00C32603">
            <w:pPr>
              <w:spacing w:line="288" w:lineRule="auto"/>
              <w:rPr>
                <w:szCs w:val="20"/>
              </w:rPr>
            </w:pPr>
            <w:r w:rsidRPr="004A36AA">
              <w:rPr>
                <w:szCs w:val="20"/>
              </w:rPr>
              <w:t>2.7</w:t>
            </w:r>
            <w:r w:rsidR="00B9390C" w:rsidRPr="004A36AA">
              <w:rPr>
                <w:szCs w:val="20"/>
              </w:rPr>
              <w:t>3</w:t>
            </w:r>
          </w:p>
        </w:tc>
        <w:tc>
          <w:tcPr>
            <w:tcW w:w="850" w:type="dxa"/>
            <w:tcBorders>
              <w:left w:val="single" w:sz="4" w:space="0" w:color="auto"/>
            </w:tcBorders>
            <w:shd w:val="clear" w:color="auto" w:fill="auto"/>
            <w:vAlign w:val="center"/>
          </w:tcPr>
          <w:p w14:paraId="2550AA41" w14:textId="1C7D7C80" w:rsidR="00B9390C" w:rsidRPr="004A36AA" w:rsidRDefault="00081774" w:rsidP="00C32603">
            <w:pPr>
              <w:spacing w:line="288" w:lineRule="auto"/>
              <w:rPr>
                <w:szCs w:val="20"/>
              </w:rPr>
            </w:pPr>
            <w:r w:rsidRPr="004A36AA">
              <w:rPr>
                <w:szCs w:val="20"/>
              </w:rPr>
              <w:t>37</w:t>
            </w:r>
          </w:p>
        </w:tc>
        <w:tc>
          <w:tcPr>
            <w:tcW w:w="851" w:type="dxa"/>
            <w:shd w:val="clear" w:color="auto" w:fill="auto"/>
            <w:vAlign w:val="center"/>
          </w:tcPr>
          <w:p w14:paraId="22A03DE1" w14:textId="682FB818" w:rsidR="00B9390C" w:rsidRPr="004A36AA" w:rsidRDefault="00081774" w:rsidP="00C32603">
            <w:pPr>
              <w:spacing w:line="288" w:lineRule="auto"/>
              <w:rPr>
                <w:szCs w:val="20"/>
              </w:rPr>
            </w:pPr>
            <w:r w:rsidRPr="004A36AA">
              <w:rPr>
                <w:szCs w:val="20"/>
              </w:rPr>
              <w:t>2.1</w:t>
            </w:r>
          </w:p>
        </w:tc>
        <w:tc>
          <w:tcPr>
            <w:tcW w:w="850" w:type="dxa"/>
            <w:shd w:val="clear" w:color="auto" w:fill="auto"/>
            <w:vAlign w:val="center"/>
          </w:tcPr>
          <w:p w14:paraId="7872B867" w14:textId="649ABCB8" w:rsidR="00B9390C" w:rsidRPr="004A36AA" w:rsidRDefault="00081774" w:rsidP="00C32603">
            <w:pPr>
              <w:spacing w:line="288" w:lineRule="auto"/>
              <w:rPr>
                <w:szCs w:val="20"/>
              </w:rPr>
            </w:pPr>
            <w:r w:rsidRPr="004A36AA">
              <w:rPr>
                <w:szCs w:val="20"/>
              </w:rPr>
              <w:t>30.7</w:t>
            </w:r>
          </w:p>
        </w:tc>
        <w:tc>
          <w:tcPr>
            <w:tcW w:w="709" w:type="dxa"/>
            <w:shd w:val="clear" w:color="auto" w:fill="auto"/>
            <w:vAlign w:val="center"/>
          </w:tcPr>
          <w:p w14:paraId="64193530" w14:textId="245D390E" w:rsidR="00B9390C" w:rsidRPr="004A36AA" w:rsidRDefault="00081774" w:rsidP="00C32603">
            <w:pPr>
              <w:spacing w:line="288" w:lineRule="auto"/>
              <w:rPr>
                <w:szCs w:val="20"/>
              </w:rPr>
            </w:pPr>
            <w:r w:rsidRPr="004A36AA">
              <w:rPr>
                <w:szCs w:val="20"/>
              </w:rPr>
              <w:t>16.4</w:t>
            </w:r>
          </w:p>
        </w:tc>
        <w:tc>
          <w:tcPr>
            <w:tcW w:w="992" w:type="dxa"/>
            <w:shd w:val="clear" w:color="auto" w:fill="auto"/>
            <w:vAlign w:val="center"/>
          </w:tcPr>
          <w:p w14:paraId="361A5053" w14:textId="18FC1484" w:rsidR="00B9390C" w:rsidRPr="004A36AA" w:rsidRDefault="00081774" w:rsidP="00C32603">
            <w:pPr>
              <w:spacing w:line="288" w:lineRule="auto"/>
              <w:rPr>
                <w:szCs w:val="20"/>
              </w:rPr>
            </w:pPr>
            <w:r w:rsidRPr="004A36AA">
              <w:rPr>
                <w:szCs w:val="20"/>
              </w:rPr>
              <w:t>7.4</w:t>
            </w:r>
          </w:p>
        </w:tc>
        <w:tc>
          <w:tcPr>
            <w:tcW w:w="709" w:type="dxa"/>
            <w:shd w:val="clear" w:color="auto" w:fill="auto"/>
            <w:vAlign w:val="center"/>
          </w:tcPr>
          <w:p w14:paraId="2A884A7C" w14:textId="05910F05" w:rsidR="00B9390C" w:rsidRPr="004A36AA" w:rsidRDefault="00081774" w:rsidP="00C32603">
            <w:pPr>
              <w:spacing w:line="288" w:lineRule="auto"/>
              <w:rPr>
                <w:szCs w:val="20"/>
              </w:rPr>
            </w:pPr>
            <w:r w:rsidRPr="004A36AA">
              <w:rPr>
                <w:szCs w:val="20"/>
              </w:rPr>
              <w:t>6.3</w:t>
            </w:r>
          </w:p>
        </w:tc>
      </w:tr>
      <w:tr w:rsidR="00B9390C" w:rsidRPr="004A36AA" w14:paraId="7AF2FD1F" w14:textId="77777777" w:rsidTr="00A30770">
        <w:trPr>
          <w:trHeight w:val="57"/>
        </w:trPr>
        <w:tc>
          <w:tcPr>
            <w:tcW w:w="1982" w:type="dxa"/>
            <w:shd w:val="clear" w:color="auto" w:fill="BFBFBF"/>
            <w:vAlign w:val="center"/>
          </w:tcPr>
          <w:p w14:paraId="54E61BEF" w14:textId="77777777" w:rsidR="00B9390C" w:rsidRPr="004A36AA" w:rsidRDefault="00B9390C" w:rsidP="00C32603">
            <w:pPr>
              <w:spacing w:line="288" w:lineRule="auto"/>
              <w:rPr>
                <w:b/>
                <w:bCs/>
                <w:szCs w:val="20"/>
              </w:rPr>
            </w:pPr>
            <w:r w:rsidRPr="004A36AA">
              <w:rPr>
                <w:b/>
                <w:bCs/>
                <w:szCs w:val="20"/>
              </w:rPr>
              <w:t>Blair 1995 (SC)</w:t>
            </w:r>
          </w:p>
        </w:tc>
        <w:tc>
          <w:tcPr>
            <w:tcW w:w="850" w:type="dxa"/>
            <w:tcBorders>
              <w:right w:val="single" w:sz="4" w:space="0" w:color="auto"/>
            </w:tcBorders>
            <w:shd w:val="clear" w:color="auto" w:fill="auto"/>
            <w:vAlign w:val="center"/>
          </w:tcPr>
          <w:p w14:paraId="1ACA9397" w14:textId="77777777" w:rsidR="00B9390C" w:rsidRPr="004A36AA" w:rsidRDefault="00B9390C" w:rsidP="00C32603">
            <w:pPr>
              <w:spacing w:line="288" w:lineRule="auto"/>
              <w:rPr>
                <w:szCs w:val="20"/>
              </w:rPr>
            </w:pPr>
            <w:r w:rsidRPr="004A36AA">
              <w:rPr>
                <w:szCs w:val="20"/>
              </w:rPr>
              <w:t>2684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8CD3AE" w14:textId="16C81420" w:rsidR="00B9390C" w:rsidRPr="004A36AA" w:rsidRDefault="00081774" w:rsidP="00C32603">
            <w:pPr>
              <w:spacing w:line="288" w:lineRule="auto"/>
              <w:rPr>
                <w:szCs w:val="20"/>
              </w:rPr>
            </w:pPr>
            <w:r w:rsidRPr="004A36AA">
              <w:rPr>
                <w:szCs w:val="20"/>
              </w:rPr>
              <w:t>1.97</w:t>
            </w:r>
          </w:p>
        </w:tc>
        <w:tc>
          <w:tcPr>
            <w:tcW w:w="850" w:type="dxa"/>
            <w:tcBorders>
              <w:left w:val="single" w:sz="4" w:space="0" w:color="auto"/>
            </w:tcBorders>
            <w:shd w:val="clear" w:color="auto" w:fill="auto"/>
            <w:vAlign w:val="center"/>
          </w:tcPr>
          <w:p w14:paraId="7DA1B384" w14:textId="599AB405" w:rsidR="00B9390C" w:rsidRPr="004A36AA" w:rsidRDefault="00081774" w:rsidP="00C32603">
            <w:pPr>
              <w:spacing w:line="288" w:lineRule="auto"/>
              <w:rPr>
                <w:szCs w:val="20"/>
              </w:rPr>
            </w:pPr>
            <w:r w:rsidRPr="004A36AA">
              <w:rPr>
                <w:szCs w:val="20"/>
              </w:rPr>
              <w:t>35.8</w:t>
            </w:r>
          </w:p>
        </w:tc>
        <w:tc>
          <w:tcPr>
            <w:tcW w:w="851" w:type="dxa"/>
            <w:shd w:val="clear" w:color="auto" w:fill="auto"/>
            <w:vAlign w:val="center"/>
          </w:tcPr>
          <w:p w14:paraId="3F70D214" w14:textId="77777777" w:rsidR="00B9390C" w:rsidRPr="004A36AA" w:rsidRDefault="00B9390C" w:rsidP="00C32603">
            <w:pPr>
              <w:spacing w:line="288" w:lineRule="auto"/>
              <w:rPr>
                <w:szCs w:val="20"/>
              </w:rPr>
            </w:pPr>
            <w:r w:rsidRPr="004A36AA">
              <w:rPr>
                <w:szCs w:val="20"/>
              </w:rPr>
              <w:t>0</w:t>
            </w:r>
          </w:p>
        </w:tc>
        <w:tc>
          <w:tcPr>
            <w:tcW w:w="850" w:type="dxa"/>
            <w:shd w:val="clear" w:color="auto" w:fill="auto"/>
            <w:vAlign w:val="center"/>
          </w:tcPr>
          <w:p w14:paraId="66381E4F" w14:textId="6D2B2554" w:rsidR="00B9390C" w:rsidRPr="004A36AA" w:rsidRDefault="00081774" w:rsidP="00C32603">
            <w:pPr>
              <w:spacing w:line="288" w:lineRule="auto"/>
              <w:rPr>
                <w:szCs w:val="20"/>
              </w:rPr>
            </w:pPr>
            <w:r w:rsidRPr="004A36AA">
              <w:rPr>
                <w:szCs w:val="20"/>
              </w:rPr>
              <w:t>45.3</w:t>
            </w:r>
          </w:p>
        </w:tc>
        <w:tc>
          <w:tcPr>
            <w:tcW w:w="709" w:type="dxa"/>
            <w:shd w:val="clear" w:color="auto" w:fill="auto"/>
            <w:vAlign w:val="center"/>
          </w:tcPr>
          <w:p w14:paraId="11EF9CC3" w14:textId="23EA74E3" w:rsidR="00B9390C" w:rsidRPr="004A36AA" w:rsidRDefault="00081774" w:rsidP="00C32603">
            <w:pPr>
              <w:spacing w:line="288" w:lineRule="auto"/>
              <w:rPr>
                <w:szCs w:val="20"/>
              </w:rPr>
            </w:pPr>
            <w:r w:rsidRPr="004A36AA">
              <w:rPr>
                <w:szCs w:val="20"/>
              </w:rPr>
              <w:t>5.7</w:t>
            </w:r>
          </w:p>
        </w:tc>
        <w:tc>
          <w:tcPr>
            <w:tcW w:w="992" w:type="dxa"/>
            <w:shd w:val="clear" w:color="auto" w:fill="auto"/>
            <w:vAlign w:val="center"/>
          </w:tcPr>
          <w:p w14:paraId="305D9312" w14:textId="2A19D886" w:rsidR="00B9390C" w:rsidRPr="004A36AA" w:rsidRDefault="00081774" w:rsidP="00C32603">
            <w:pPr>
              <w:spacing w:line="288" w:lineRule="auto"/>
              <w:rPr>
                <w:szCs w:val="20"/>
              </w:rPr>
            </w:pPr>
            <w:r w:rsidRPr="004A36AA">
              <w:rPr>
                <w:szCs w:val="20"/>
              </w:rPr>
              <w:t>13.2</w:t>
            </w:r>
          </w:p>
        </w:tc>
        <w:tc>
          <w:tcPr>
            <w:tcW w:w="709" w:type="dxa"/>
            <w:shd w:val="clear" w:color="auto" w:fill="auto"/>
            <w:vAlign w:val="center"/>
          </w:tcPr>
          <w:p w14:paraId="10DFF627" w14:textId="77777777" w:rsidR="00B9390C" w:rsidRPr="004A36AA" w:rsidRDefault="00B9390C" w:rsidP="00C32603">
            <w:pPr>
              <w:spacing w:line="288" w:lineRule="auto"/>
              <w:rPr>
                <w:szCs w:val="20"/>
              </w:rPr>
            </w:pPr>
            <w:r w:rsidRPr="004A36AA">
              <w:rPr>
                <w:szCs w:val="20"/>
              </w:rPr>
              <w:t>0</w:t>
            </w:r>
          </w:p>
        </w:tc>
      </w:tr>
      <w:tr w:rsidR="00B9390C" w:rsidRPr="004A36AA" w14:paraId="6874A35B" w14:textId="77777777" w:rsidTr="00A30770">
        <w:trPr>
          <w:trHeight w:val="57"/>
        </w:trPr>
        <w:tc>
          <w:tcPr>
            <w:tcW w:w="1982" w:type="dxa"/>
            <w:shd w:val="clear" w:color="auto" w:fill="BFBFBF"/>
            <w:vAlign w:val="center"/>
          </w:tcPr>
          <w:p w14:paraId="56E58EFD" w14:textId="77777777" w:rsidR="00B9390C" w:rsidRPr="004A36AA" w:rsidRDefault="00B9390C" w:rsidP="00C32603">
            <w:pPr>
              <w:spacing w:line="288" w:lineRule="auto"/>
              <w:rPr>
                <w:b/>
                <w:bCs/>
                <w:szCs w:val="20"/>
              </w:rPr>
            </w:pPr>
            <w:r w:rsidRPr="004A36AA">
              <w:rPr>
                <w:b/>
                <w:bCs/>
                <w:szCs w:val="20"/>
              </w:rPr>
              <w:t xml:space="preserve">Blair 1996 </w:t>
            </w:r>
          </w:p>
        </w:tc>
        <w:tc>
          <w:tcPr>
            <w:tcW w:w="850" w:type="dxa"/>
            <w:tcBorders>
              <w:right w:val="single" w:sz="4" w:space="0" w:color="auto"/>
            </w:tcBorders>
            <w:shd w:val="clear" w:color="auto" w:fill="auto"/>
            <w:vAlign w:val="center"/>
          </w:tcPr>
          <w:p w14:paraId="3FAB5C26" w14:textId="77777777" w:rsidR="00B9390C" w:rsidRPr="004A36AA" w:rsidRDefault="00B9390C" w:rsidP="00C32603">
            <w:pPr>
              <w:spacing w:line="288" w:lineRule="auto"/>
              <w:rPr>
                <w:szCs w:val="20"/>
              </w:rPr>
            </w:pPr>
            <w:r w:rsidRPr="004A36AA">
              <w:rPr>
                <w:szCs w:val="20"/>
              </w:rPr>
              <w:t>7219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FAE849" w14:textId="65609F46" w:rsidR="00B9390C" w:rsidRPr="004A36AA" w:rsidRDefault="00081774" w:rsidP="00C32603">
            <w:pPr>
              <w:spacing w:line="288" w:lineRule="auto"/>
              <w:rPr>
                <w:szCs w:val="20"/>
              </w:rPr>
            </w:pPr>
            <w:r w:rsidRPr="004A36AA">
              <w:rPr>
                <w:szCs w:val="20"/>
              </w:rPr>
              <w:t>2.99</w:t>
            </w:r>
          </w:p>
        </w:tc>
        <w:tc>
          <w:tcPr>
            <w:tcW w:w="850" w:type="dxa"/>
            <w:tcBorders>
              <w:left w:val="single" w:sz="4" w:space="0" w:color="auto"/>
            </w:tcBorders>
            <w:shd w:val="clear" w:color="auto" w:fill="auto"/>
            <w:vAlign w:val="center"/>
          </w:tcPr>
          <w:p w14:paraId="53AE0120" w14:textId="6F9347ED" w:rsidR="00B9390C" w:rsidRPr="004A36AA" w:rsidRDefault="00081774" w:rsidP="00C32603">
            <w:pPr>
              <w:spacing w:line="288" w:lineRule="auto"/>
              <w:rPr>
                <w:szCs w:val="20"/>
              </w:rPr>
            </w:pPr>
            <w:r w:rsidRPr="004A36AA">
              <w:rPr>
                <w:szCs w:val="20"/>
              </w:rPr>
              <w:t>51.9</w:t>
            </w:r>
          </w:p>
        </w:tc>
        <w:tc>
          <w:tcPr>
            <w:tcW w:w="851" w:type="dxa"/>
            <w:shd w:val="clear" w:color="auto" w:fill="auto"/>
            <w:vAlign w:val="center"/>
          </w:tcPr>
          <w:p w14:paraId="556E02D6" w14:textId="77777777" w:rsidR="00B9390C" w:rsidRPr="004A36AA" w:rsidRDefault="00B9390C" w:rsidP="00C32603">
            <w:pPr>
              <w:spacing w:line="288" w:lineRule="auto"/>
              <w:rPr>
                <w:szCs w:val="20"/>
              </w:rPr>
            </w:pPr>
            <w:r w:rsidRPr="004A36AA">
              <w:rPr>
                <w:szCs w:val="20"/>
              </w:rPr>
              <w:t>0</w:t>
            </w:r>
          </w:p>
        </w:tc>
        <w:tc>
          <w:tcPr>
            <w:tcW w:w="850" w:type="dxa"/>
            <w:shd w:val="clear" w:color="auto" w:fill="auto"/>
            <w:vAlign w:val="center"/>
          </w:tcPr>
          <w:p w14:paraId="786FC041" w14:textId="333BDF68" w:rsidR="00B9390C" w:rsidRPr="004A36AA" w:rsidRDefault="00081774" w:rsidP="00C32603">
            <w:pPr>
              <w:spacing w:line="288" w:lineRule="auto"/>
              <w:rPr>
                <w:szCs w:val="20"/>
              </w:rPr>
            </w:pPr>
            <w:r w:rsidRPr="004A36AA">
              <w:rPr>
                <w:szCs w:val="20"/>
              </w:rPr>
              <w:t>28.2</w:t>
            </w:r>
          </w:p>
        </w:tc>
        <w:tc>
          <w:tcPr>
            <w:tcW w:w="709" w:type="dxa"/>
            <w:shd w:val="clear" w:color="auto" w:fill="auto"/>
            <w:vAlign w:val="center"/>
          </w:tcPr>
          <w:p w14:paraId="722F68C2" w14:textId="27164BC8" w:rsidR="00B9390C" w:rsidRPr="004A36AA" w:rsidRDefault="00081774" w:rsidP="00C32603">
            <w:pPr>
              <w:spacing w:line="288" w:lineRule="auto"/>
              <w:rPr>
                <w:szCs w:val="20"/>
              </w:rPr>
            </w:pPr>
            <w:r w:rsidRPr="004A36AA">
              <w:rPr>
                <w:szCs w:val="20"/>
              </w:rPr>
              <w:t>13.4</w:t>
            </w:r>
          </w:p>
        </w:tc>
        <w:tc>
          <w:tcPr>
            <w:tcW w:w="992" w:type="dxa"/>
            <w:shd w:val="clear" w:color="auto" w:fill="auto"/>
            <w:vAlign w:val="center"/>
          </w:tcPr>
          <w:p w14:paraId="1FD2D117" w14:textId="4CFB62BD" w:rsidR="00B9390C" w:rsidRPr="004A36AA" w:rsidRDefault="00081774" w:rsidP="00C32603">
            <w:pPr>
              <w:spacing w:line="288" w:lineRule="auto"/>
              <w:rPr>
                <w:szCs w:val="20"/>
              </w:rPr>
            </w:pPr>
            <w:r w:rsidRPr="004A36AA">
              <w:rPr>
                <w:szCs w:val="20"/>
              </w:rPr>
              <w:t>6.5</w:t>
            </w:r>
          </w:p>
        </w:tc>
        <w:tc>
          <w:tcPr>
            <w:tcW w:w="709" w:type="dxa"/>
            <w:shd w:val="clear" w:color="auto" w:fill="auto"/>
            <w:vAlign w:val="center"/>
          </w:tcPr>
          <w:p w14:paraId="75AC2782" w14:textId="3CC9E900" w:rsidR="00B9390C" w:rsidRPr="004A36AA" w:rsidRDefault="00081774" w:rsidP="00C32603">
            <w:pPr>
              <w:spacing w:line="288" w:lineRule="auto"/>
              <w:rPr>
                <w:szCs w:val="20"/>
              </w:rPr>
            </w:pPr>
            <w:r w:rsidRPr="004A36AA">
              <w:rPr>
                <w:szCs w:val="20"/>
              </w:rPr>
              <w:t>0</w:t>
            </w:r>
          </w:p>
        </w:tc>
      </w:tr>
      <w:tr w:rsidR="00B9390C" w:rsidRPr="004A36AA" w14:paraId="62444FA7" w14:textId="77777777" w:rsidTr="00A30770">
        <w:trPr>
          <w:trHeight w:val="57"/>
        </w:trPr>
        <w:tc>
          <w:tcPr>
            <w:tcW w:w="1982" w:type="dxa"/>
            <w:shd w:val="clear" w:color="auto" w:fill="BFBFBF"/>
            <w:vAlign w:val="center"/>
          </w:tcPr>
          <w:p w14:paraId="5DABC115" w14:textId="77777777" w:rsidR="00B9390C" w:rsidRPr="004A36AA" w:rsidRDefault="00B9390C" w:rsidP="00C32603">
            <w:pPr>
              <w:spacing w:line="288" w:lineRule="auto"/>
              <w:rPr>
                <w:b/>
                <w:bCs/>
                <w:szCs w:val="20"/>
              </w:rPr>
            </w:pPr>
            <w:r w:rsidRPr="004A36AA">
              <w:rPr>
                <w:b/>
                <w:bCs/>
                <w:szCs w:val="20"/>
              </w:rPr>
              <w:t>Blair 1997</w:t>
            </w:r>
          </w:p>
        </w:tc>
        <w:tc>
          <w:tcPr>
            <w:tcW w:w="850" w:type="dxa"/>
            <w:tcBorders>
              <w:right w:val="single" w:sz="4" w:space="0" w:color="auto"/>
            </w:tcBorders>
            <w:shd w:val="clear" w:color="auto" w:fill="auto"/>
            <w:vAlign w:val="center"/>
          </w:tcPr>
          <w:p w14:paraId="211B3978" w14:textId="77777777" w:rsidR="00B9390C" w:rsidRPr="004A36AA" w:rsidRDefault="00B9390C" w:rsidP="00C32603">
            <w:pPr>
              <w:spacing w:line="288" w:lineRule="auto"/>
              <w:rPr>
                <w:szCs w:val="20"/>
              </w:rPr>
            </w:pPr>
            <w:r w:rsidRPr="004A36AA">
              <w:rPr>
                <w:szCs w:val="20"/>
              </w:rPr>
              <w:t>5970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786738" w14:textId="77777777" w:rsidR="00B9390C" w:rsidRPr="004A36AA" w:rsidRDefault="00B9390C" w:rsidP="00C32603">
            <w:pPr>
              <w:spacing w:line="288" w:lineRule="auto"/>
              <w:rPr>
                <w:szCs w:val="20"/>
              </w:rPr>
            </w:pPr>
            <w:r w:rsidRPr="004A36AA">
              <w:rPr>
                <w:szCs w:val="20"/>
              </w:rPr>
              <w:t>3.48</w:t>
            </w:r>
          </w:p>
        </w:tc>
        <w:tc>
          <w:tcPr>
            <w:tcW w:w="850" w:type="dxa"/>
            <w:tcBorders>
              <w:left w:val="single" w:sz="4" w:space="0" w:color="auto"/>
            </w:tcBorders>
            <w:shd w:val="clear" w:color="auto" w:fill="auto"/>
            <w:vAlign w:val="center"/>
          </w:tcPr>
          <w:p w14:paraId="221C92C8" w14:textId="33AC83F5" w:rsidR="00B9390C" w:rsidRPr="004A36AA" w:rsidRDefault="00081774" w:rsidP="00C32603">
            <w:pPr>
              <w:spacing w:line="288" w:lineRule="auto"/>
              <w:rPr>
                <w:szCs w:val="20"/>
              </w:rPr>
            </w:pPr>
            <w:r w:rsidRPr="004A36AA">
              <w:rPr>
                <w:szCs w:val="20"/>
              </w:rPr>
              <w:t>32.2</w:t>
            </w:r>
          </w:p>
        </w:tc>
        <w:tc>
          <w:tcPr>
            <w:tcW w:w="851" w:type="dxa"/>
            <w:shd w:val="clear" w:color="auto" w:fill="auto"/>
            <w:vAlign w:val="center"/>
          </w:tcPr>
          <w:p w14:paraId="3D37C86A" w14:textId="77777777" w:rsidR="00B9390C" w:rsidRPr="004A36AA" w:rsidRDefault="00B9390C" w:rsidP="00C32603">
            <w:pPr>
              <w:spacing w:line="288" w:lineRule="auto"/>
              <w:rPr>
                <w:szCs w:val="20"/>
              </w:rPr>
            </w:pPr>
            <w:r w:rsidRPr="004A36AA">
              <w:rPr>
                <w:szCs w:val="20"/>
              </w:rPr>
              <w:t>0</w:t>
            </w:r>
          </w:p>
        </w:tc>
        <w:tc>
          <w:tcPr>
            <w:tcW w:w="850" w:type="dxa"/>
            <w:shd w:val="clear" w:color="auto" w:fill="auto"/>
            <w:vAlign w:val="center"/>
          </w:tcPr>
          <w:p w14:paraId="20106878" w14:textId="488E64DF" w:rsidR="00B9390C" w:rsidRPr="004A36AA" w:rsidRDefault="00081774" w:rsidP="00C32603">
            <w:pPr>
              <w:spacing w:line="288" w:lineRule="auto"/>
              <w:rPr>
                <w:szCs w:val="20"/>
              </w:rPr>
            </w:pPr>
            <w:r w:rsidRPr="004A36AA">
              <w:rPr>
                <w:szCs w:val="20"/>
              </w:rPr>
              <w:t>29.8</w:t>
            </w:r>
          </w:p>
        </w:tc>
        <w:tc>
          <w:tcPr>
            <w:tcW w:w="709" w:type="dxa"/>
            <w:shd w:val="clear" w:color="auto" w:fill="auto"/>
            <w:vAlign w:val="center"/>
          </w:tcPr>
          <w:p w14:paraId="308494E4" w14:textId="76E3276E" w:rsidR="00B9390C" w:rsidRPr="004A36AA" w:rsidRDefault="00081774" w:rsidP="00C32603">
            <w:pPr>
              <w:spacing w:line="288" w:lineRule="auto"/>
              <w:rPr>
                <w:szCs w:val="20"/>
              </w:rPr>
            </w:pPr>
            <w:r w:rsidRPr="004A36AA">
              <w:rPr>
                <w:szCs w:val="20"/>
              </w:rPr>
              <w:t>9.6</w:t>
            </w:r>
          </w:p>
        </w:tc>
        <w:tc>
          <w:tcPr>
            <w:tcW w:w="992" w:type="dxa"/>
            <w:shd w:val="clear" w:color="auto" w:fill="auto"/>
            <w:vAlign w:val="center"/>
          </w:tcPr>
          <w:p w14:paraId="6950CBBD" w14:textId="597F1A72" w:rsidR="00B9390C" w:rsidRPr="004A36AA" w:rsidRDefault="00081774" w:rsidP="00C32603">
            <w:pPr>
              <w:spacing w:line="288" w:lineRule="auto"/>
              <w:rPr>
                <w:szCs w:val="20"/>
              </w:rPr>
            </w:pPr>
            <w:r w:rsidRPr="004A36AA">
              <w:rPr>
                <w:szCs w:val="20"/>
              </w:rPr>
              <w:t>27.9</w:t>
            </w:r>
          </w:p>
        </w:tc>
        <w:tc>
          <w:tcPr>
            <w:tcW w:w="709" w:type="dxa"/>
            <w:shd w:val="clear" w:color="auto" w:fill="auto"/>
            <w:vAlign w:val="center"/>
          </w:tcPr>
          <w:p w14:paraId="5BA4F47D" w14:textId="054EE70D" w:rsidR="00B9390C" w:rsidRPr="004A36AA" w:rsidRDefault="00081774" w:rsidP="00C32603">
            <w:pPr>
              <w:spacing w:line="288" w:lineRule="auto"/>
              <w:rPr>
                <w:szCs w:val="20"/>
              </w:rPr>
            </w:pPr>
            <w:r w:rsidRPr="004A36AA">
              <w:rPr>
                <w:szCs w:val="20"/>
              </w:rPr>
              <w:t>0.5</w:t>
            </w:r>
          </w:p>
        </w:tc>
      </w:tr>
      <w:tr w:rsidR="00B9390C" w:rsidRPr="004A36AA" w14:paraId="73EF91EC" w14:textId="77777777" w:rsidTr="00A30770">
        <w:trPr>
          <w:trHeight w:val="57"/>
        </w:trPr>
        <w:tc>
          <w:tcPr>
            <w:tcW w:w="1982" w:type="dxa"/>
            <w:shd w:val="clear" w:color="auto" w:fill="BFBFBF"/>
            <w:vAlign w:val="center"/>
          </w:tcPr>
          <w:p w14:paraId="71B09740" w14:textId="77777777" w:rsidR="00B9390C" w:rsidRPr="004A36AA" w:rsidRDefault="00B9390C" w:rsidP="00C32603">
            <w:pPr>
              <w:spacing w:line="288" w:lineRule="auto"/>
              <w:rPr>
                <w:b/>
                <w:bCs/>
                <w:szCs w:val="20"/>
              </w:rPr>
            </w:pPr>
            <w:r w:rsidRPr="004A36AA">
              <w:rPr>
                <w:b/>
                <w:bCs/>
                <w:szCs w:val="20"/>
              </w:rPr>
              <w:t>Lafontaine 1997</w:t>
            </w:r>
          </w:p>
        </w:tc>
        <w:tc>
          <w:tcPr>
            <w:tcW w:w="850" w:type="dxa"/>
            <w:tcBorders>
              <w:right w:val="single" w:sz="4" w:space="0" w:color="auto"/>
            </w:tcBorders>
            <w:shd w:val="clear" w:color="auto" w:fill="auto"/>
            <w:vAlign w:val="center"/>
          </w:tcPr>
          <w:p w14:paraId="1EA76D6F" w14:textId="77777777" w:rsidR="00B9390C" w:rsidRPr="004A36AA" w:rsidRDefault="00B9390C" w:rsidP="00C32603">
            <w:pPr>
              <w:spacing w:line="288" w:lineRule="auto"/>
              <w:rPr>
                <w:szCs w:val="20"/>
              </w:rPr>
            </w:pPr>
            <w:r w:rsidRPr="004A36AA">
              <w:rPr>
                <w:szCs w:val="20"/>
              </w:rPr>
              <w:t>7336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1E067B" w14:textId="453DDED2" w:rsidR="00B9390C" w:rsidRPr="004A36AA" w:rsidRDefault="00081774" w:rsidP="00C32603">
            <w:pPr>
              <w:spacing w:line="288" w:lineRule="auto"/>
              <w:rPr>
                <w:szCs w:val="20"/>
              </w:rPr>
            </w:pPr>
            <w:r w:rsidRPr="004A36AA">
              <w:rPr>
                <w:szCs w:val="20"/>
              </w:rPr>
              <w:t>3.15</w:t>
            </w:r>
          </w:p>
        </w:tc>
        <w:tc>
          <w:tcPr>
            <w:tcW w:w="850" w:type="dxa"/>
            <w:tcBorders>
              <w:left w:val="single" w:sz="4" w:space="0" w:color="auto"/>
            </w:tcBorders>
            <w:shd w:val="clear" w:color="auto" w:fill="auto"/>
            <w:vAlign w:val="center"/>
          </w:tcPr>
          <w:p w14:paraId="52EB5747" w14:textId="3BCAF069" w:rsidR="00B9390C" w:rsidRPr="004A36AA" w:rsidRDefault="00081774" w:rsidP="00C32603">
            <w:pPr>
              <w:spacing w:line="288" w:lineRule="auto"/>
              <w:rPr>
                <w:szCs w:val="20"/>
              </w:rPr>
            </w:pPr>
            <w:r w:rsidRPr="004A36AA">
              <w:rPr>
                <w:szCs w:val="20"/>
              </w:rPr>
              <w:t>24.2</w:t>
            </w:r>
          </w:p>
        </w:tc>
        <w:tc>
          <w:tcPr>
            <w:tcW w:w="851" w:type="dxa"/>
            <w:shd w:val="clear" w:color="auto" w:fill="auto"/>
            <w:vAlign w:val="center"/>
          </w:tcPr>
          <w:p w14:paraId="29801A48" w14:textId="77777777" w:rsidR="00B9390C" w:rsidRPr="004A36AA" w:rsidRDefault="00B9390C" w:rsidP="00C32603">
            <w:pPr>
              <w:spacing w:line="288" w:lineRule="auto"/>
              <w:rPr>
                <w:szCs w:val="20"/>
              </w:rPr>
            </w:pPr>
            <w:r w:rsidRPr="004A36AA">
              <w:rPr>
                <w:szCs w:val="20"/>
              </w:rPr>
              <w:t>0</w:t>
            </w:r>
          </w:p>
        </w:tc>
        <w:tc>
          <w:tcPr>
            <w:tcW w:w="850" w:type="dxa"/>
            <w:shd w:val="clear" w:color="auto" w:fill="auto"/>
            <w:vAlign w:val="center"/>
          </w:tcPr>
          <w:p w14:paraId="327D0DAE" w14:textId="2D6CC3A2" w:rsidR="00B9390C" w:rsidRPr="004A36AA" w:rsidRDefault="00081774" w:rsidP="00C32603">
            <w:pPr>
              <w:spacing w:line="288" w:lineRule="auto"/>
              <w:rPr>
                <w:szCs w:val="20"/>
              </w:rPr>
            </w:pPr>
            <w:r w:rsidRPr="004A36AA">
              <w:rPr>
                <w:szCs w:val="20"/>
              </w:rPr>
              <w:t>58.4</w:t>
            </w:r>
          </w:p>
        </w:tc>
        <w:tc>
          <w:tcPr>
            <w:tcW w:w="709" w:type="dxa"/>
            <w:shd w:val="clear" w:color="auto" w:fill="auto"/>
            <w:vAlign w:val="center"/>
          </w:tcPr>
          <w:p w14:paraId="028297AB" w14:textId="535DBE54" w:rsidR="00B9390C" w:rsidRPr="004A36AA" w:rsidRDefault="00081774" w:rsidP="00C32603">
            <w:pPr>
              <w:spacing w:line="288" w:lineRule="auto"/>
              <w:rPr>
                <w:szCs w:val="20"/>
              </w:rPr>
            </w:pPr>
            <w:r w:rsidRPr="004A36AA">
              <w:rPr>
                <w:szCs w:val="20"/>
              </w:rPr>
              <w:t>12.1</w:t>
            </w:r>
          </w:p>
        </w:tc>
        <w:tc>
          <w:tcPr>
            <w:tcW w:w="992" w:type="dxa"/>
            <w:shd w:val="clear" w:color="auto" w:fill="auto"/>
            <w:vAlign w:val="center"/>
          </w:tcPr>
          <w:p w14:paraId="67012B39" w14:textId="70B988B4" w:rsidR="00B9390C" w:rsidRPr="004A36AA" w:rsidRDefault="00081774" w:rsidP="00C32603">
            <w:pPr>
              <w:spacing w:line="288" w:lineRule="auto"/>
              <w:rPr>
                <w:szCs w:val="20"/>
              </w:rPr>
            </w:pPr>
            <w:r w:rsidRPr="004A36AA">
              <w:rPr>
                <w:szCs w:val="20"/>
              </w:rPr>
              <w:t>2.6</w:t>
            </w:r>
          </w:p>
        </w:tc>
        <w:tc>
          <w:tcPr>
            <w:tcW w:w="709" w:type="dxa"/>
            <w:shd w:val="clear" w:color="auto" w:fill="auto"/>
            <w:vAlign w:val="center"/>
          </w:tcPr>
          <w:p w14:paraId="32E41B14" w14:textId="77777777" w:rsidR="00B9390C" w:rsidRPr="004A36AA" w:rsidRDefault="00B9390C" w:rsidP="00C32603">
            <w:pPr>
              <w:spacing w:line="288" w:lineRule="auto"/>
              <w:rPr>
                <w:szCs w:val="20"/>
              </w:rPr>
            </w:pPr>
            <w:r w:rsidRPr="004A36AA">
              <w:rPr>
                <w:szCs w:val="20"/>
              </w:rPr>
              <w:t>0</w:t>
            </w:r>
          </w:p>
        </w:tc>
      </w:tr>
      <w:tr w:rsidR="00B9390C" w:rsidRPr="004A36AA" w14:paraId="60E6A08F" w14:textId="77777777" w:rsidTr="00A30770">
        <w:trPr>
          <w:trHeight w:val="57"/>
        </w:trPr>
        <w:tc>
          <w:tcPr>
            <w:tcW w:w="1982" w:type="dxa"/>
            <w:shd w:val="clear" w:color="auto" w:fill="BFBFBF"/>
            <w:vAlign w:val="center"/>
          </w:tcPr>
          <w:p w14:paraId="48BE0BC3" w14:textId="43ED712C" w:rsidR="00B9390C" w:rsidRPr="004A36AA" w:rsidRDefault="00B9390C" w:rsidP="00550F68">
            <w:pPr>
              <w:spacing w:line="288" w:lineRule="auto"/>
              <w:rPr>
                <w:b/>
                <w:bCs/>
                <w:szCs w:val="20"/>
              </w:rPr>
            </w:pPr>
            <w:r w:rsidRPr="004A36AA">
              <w:rPr>
                <w:b/>
                <w:bCs/>
                <w:szCs w:val="20"/>
              </w:rPr>
              <w:t xml:space="preserve">Lafontaine 04/98 </w:t>
            </w:r>
          </w:p>
        </w:tc>
        <w:tc>
          <w:tcPr>
            <w:tcW w:w="850" w:type="dxa"/>
            <w:tcBorders>
              <w:right w:val="single" w:sz="4" w:space="0" w:color="auto"/>
            </w:tcBorders>
            <w:shd w:val="clear" w:color="auto" w:fill="auto"/>
            <w:vAlign w:val="center"/>
          </w:tcPr>
          <w:p w14:paraId="3DD60996" w14:textId="77777777" w:rsidR="00B9390C" w:rsidRPr="004A36AA" w:rsidRDefault="00B9390C" w:rsidP="00C32603">
            <w:pPr>
              <w:spacing w:line="288" w:lineRule="auto"/>
              <w:rPr>
                <w:szCs w:val="20"/>
              </w:rPr>
            </w:pPr>
            <w:r w:rsidRPr="004A36AA">
              <w:rPr>
                <w:szCs w:val="20"/>
              </w:rPr>
              <w:t>2163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3A9FD9" w14:textId="1C851508" w:rsidR="00B9390C" w:rsidRPr="004A36AA" w:rsidRDefault="00081774" w:rsidP="00C32603">
            <w:pPr>
              <w:spacing w:line="288" w:lineRule="auto"/>
              <w:rPr>
                <w:szCs w:val="20"/>
              </w:rPr>
            </w:pPr>
            <w:r w:rsidRPr="004A36AA">
              <w:rPr>
                <w:szCs w:val="20"/>
              </w:rPr>
              <w:t>2.96</w:t>
            </w:r>
          </w:p>
        </w:tc>
        <w:tc>
          <w:tcPr>
            <w:tcW w:w="850" w:type="dxa"/>
            <w:tcBorders>
              <w:left w:val="single" w:sz="4" w:space="0" w:color="auto"/>
            </w:tcBorders>
            <w:shd w:val="clear" w:color="auto" w:fill="auto"/>
            <w:vAlign w:val="center"/>
          </w:tcPr>
          <w:p w14:paraId="7F13384C" w14:textId="15EA5EBC" w:rsidR="00B9390C" w:rsidRPr="004A36AA" w:rsidRDefault="00081774" w:rsidP="00C32603">
            <w:pPr>
              <w:spacing w:line="288" w:lineRule="auto"/>
              <w:rPr>
                <w:szCs w:val="20"/>
              </w:rPr>
            </w:pPr>
            <w:r w:rsidRPr="004A36AA">
              <w:rPr>
                <w:szCs w:val="20"/>
              </w:rPr>
              <w:t>28.1</w:t>
            </w:r>
          </w:p>
        </w:tc>
        <w:tc>
          <w:tcPr>
            <w:tcW w:w="851" w:type="dxa"/>
            <w:shd w:val="clear" w:color="auto" w:fill="auto"/>
            <w:vAlign w:val="center"/>
          </w:tcPr>
          <w:p w14:paraId="1F63AE1A" w14:textId="77777777" w:rsidR="00B9390C" w:rsidRPr="004A36AA" w:rsidRDefault="00B9390C" w:rsidP="00C32603">
            <w:pPr>
              <w:spacing w:line="288" w:lineRule="auto"/>
              <w:rPr>
                <w:szCs w:val="20"/>
              </w:rPr>
            </w:pPr>
            <w:r w:rsidRPr="004A36AA">
              <w:rPr>
                <w:szCs w:val="20"/>
              </w:rPr>
              <w:t>0</w:t>
            </w:r>
          </w:p>
        </w:tc>
        <w:tc>
          <w:tcPr>
            <w:tcW w:w="850" w:type="dxa"/>
            <w:shd w:val="clear" w:color="auto" w:fill="auto"/>
            <w:vAlign w:val="center"/>
          </w:tcPr>
          <w:p w14:paraId="4E1AE3E7" w14:textId="1DF97687" w:rsidR="00B9390C" w:rsidRPr="004A36AA" w:rsidRDefault="00081774" w:rsidP="00C32603">
            <w:pPr>
              <w:spacing w:line="288" w:lineRule="auto"/>
              <w:rPr>
                <w:szCs w:val="20"/>
              </w:rPr>
            </w:pPr>
            <w:r w:rsidRPr="004A36AA">
              <w:rPr>
                <w:szCs w:val="20"/>
              </w:rPr>
              <w:t>59.4</w:t>
            </w:r>
          </w:p>
        </w:tc>
        <w:tc>
          <w:tcPr>
            <w:tcW w:w="709" w:type="dxa"/>
            <w:shd w:val="clear" w:color="auto" w:fill="auto"/>
            <w:vAlign w:val="center"/>
          </w:tcPr>
          <w:p w14:paraId="78A5E131" w14:textId="3CF33531" w:rsidR="00B9390C" w:rsidRPr="004A36AA" w:rsidRDefault="00081774" w:rsidP="00C32603">
            <w:pPr>
              <w:spacing w:line="288" w:lineRule="auto"/>
              <w:rPr>
                <w:szCs w:val="20"/>
              </w:rPr>
            </w:pPr>
            <w:r w:rsidRPr="004A36AA">
              <w:rPr>
                <w:szCs w:val="20"/>
              </w:rPr>
              <w:t>1.6</w:t>
            </w:r>
          </w:p>
        </w:tc>
        <w:tc>
          <w:tcPr>
            <w:tcW w:w="992" w:type="dxa"/>
            <w:shd w:val="clear" w:color="auto" w:fill="auto"/>
            <w:vAlign w:val="center"/>
          </w:tcPr>
          <w:p w14:paraId="0EBD118F" w14:textId="66BF7943" w:rsidR="00B9390C" w:rsidRPr="004A36AA" w:rsidRDefault="00081774" w:rsidP="00C32603">
            <w:pPr>
              <w:spacing w:line="288" w:lineRule="auto"/>
              <w:rPr>
                <w:szCs w:val="20"/>
              </w:rPr>
            </w:pPr>
            <w:r w:rsidRPr="004A36AA">
              <w:rPr>
                <w:szCs w:val="20"/>
              </w:rPr>
              <w:t>0</w:t>
            </w:r>
          </w:p>
        </w:tc>
        <w:tc>
          <w:tcPr>
            <w:tcW w:w="709" w:type="dxa"/>
            <w:shd w:val="clear" w:color="auto" w:fill="auto"/>
            <w:vAlign w:val="center"/>
          </w:tcPr>
          <w:p w14:paraId="06575F10" w14:textId="372CE752" w:rsidR="00B9390C" w:rsidRPr="004A36AA" w:rsidRDefault="00081774" w:rsidP="00C32603">
            <w:pPr>
              <w:spacing w:line="288" w:lineRule="auto"/>
              <w:rPr>
                <w:szCs w:val="20"/>
              </w:rPr>
            </w:pPr>
            <w:r w:rsidRPr="004A36AA">
              <w:rPr>
                <w:szCs w:val="20"/>
              </w:rPr>
              <w:t>10.9</w:t>
            </w:r>
          </w:p>
        </w:tc>
      </w:tr>
      <w:tr w:rsidR="00B9390C" w:rsidRPr="004A36AA" w14:paraId="6DF27489" w14:textId="77777777" w:rsidTr="00A30770">
        <w:trPr>
          <w:trHeight w:val="57"/>
        </w:trPr>
        <w:tc>
          <w:tcPr>
            <w:tcW w:w="1982" w:type="dxa"/>
            <w:shd w:val="clear" w:color="auto" w:fill="BFBFBF"/>
            <w:vAlign w:val="center"/>
          </w:tcPr>
          <w:p w14:paraId="0AAA6D30" w14:textId="44E3D5FD" w:rsidR="00B9390C" w:rsidRPr="004A36AA" w:rsidRDefault="00B9390C" w:rsidP="00550F68">
            <w:pPr>
              <w:spacing w:line="288" w:lineRule="auto"/>
              <w:rPr>
                <w:b/>
                <w:bCs/>
                <w:szCs w:val="20"/>
              </w:rPr>
            </w:pPr>
            <w:r w:rsidRPr="004A36AA">
              <w:rPr>
                <w:b/>
                <w:bCs/>
                <w:szCs w:val="20"/>
              </w:rPr>
              <w:t xml:space="preserve">Lafontaine 10/98 </w:t>
            </w:r>
          </w:p>
        </w:tc>
        <w:tc>
          <w:tcPr>
            <w:tcW w:w="850" w:type="dxa"/>
            <w:tcBorders>
              <w:right w:val="single" w:sz="4" w:space="0" w:color="auto"/>
            </w:tcBorders>
            <w:shd w:val="clear" w:color="auto" w:fill="auto"/>
            <w:vAlign w:val="center"/>
          </w:tcPr>
          <w:p w14:paraId="472B78BE" w14:textId="77777777" w:rsidR="00B9390C" w:rsidRPr="004A36AA" w:rsidRDefault="00B9390C" w:rsidP="00C32603">
            <w:pPr>
              <w:spacing w:line="288" w:lineRule="auto"/>
              <w:rPr>
                <w:szCs w:val="20"/>
              </w:rPr>
            </w:pPr>
            <w:r w:rsidRPr="004A36AA">
              <w:rPr>
                <w:szCs w:val="20"/>
              </w:rPr>
              <w:t>4840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C3F49A" w14:textId="32FF05CA" w:rsidR="00B9390C" w:rsidRPr="004A36AA" w:rsidRDefault="00081774" w:rsidP="00C32603">
            <w:pPr>
              <w:spacing w:line="288" w:lineRule="auto"/>
              <w:rPr>
                <w:szCs w:val="20"/>
              </w:rPr>
            </w:pPr>
            <w:r w:rsidRPr="004A36AA">
              <w:rPr>
                <w:szCs w:val="20"/>
              </w:rPr>
              <w:t>3.22</w:t>
            </w:r>
          </w:p>
        </w:tc>
        <w:tc>
          <w:tcPr>
            <w:tcW w:w="850" w:type="dxa"/>
            <w:tcBorders>
              <w:left w:val="single" w:sz="4" w:space="0" w:color="auto"/>
            </w:tcBorders>
            <w:shd w:val="clear" w:color="auto" w:fill="auto"/>
            <w:vAlign w:val="center"/>
          </w:tcPr>
          <w:p w14:paraId="1D8BA126" w14:textId="54AEBC6C" w:rsidR="00081774" w:rsidRPr="004A36AA" w:rsidRDefault="00081774" w:rsidP="00C32603">
            <w:pPr>
              <w:spacing w:line="288" w:lineRule="auto"/>
              <w:rPr>
                <w:szCs w:val="20"/>
              </w:rPr>
            </w:pPr>
            <w:r w:rsidRPr="004A36AA">
              <w:rPr>
                <w:szCs w:val="20"/>
              </w:rPr>
              <w:t>42.3</w:t>
            </w:r>
          </w:p>
        </w:tc>
        <w:tc>
          <w:tcPr>
            <w:tcW w:w="851" w:type="dxa"/>
            <w:shd w:val="clear" w:color="auto" w:fill="auto"/>
            <w:vAlign w:val="center"/>
          </w:tcPr>
          <w:p w14:paraId="10B1E32F" w14:textId="77777777" w:rsidR="00B9390C" w:rsidRPr="004A36AA" w:rsidRDefault="00B9390C" w:rsidP="00C32603">
            <w:pPr>
              <w:spacing w:line="288" w:lineRule="auto"/>
              <w:rPr>
                <w:szCs w:val="20"/>
              </w:rPr>
            </w:pPr>
            <w:r w:rsidRPr="004A36AA">
              <w:rPr>
                <w:szCs w:val="20"/>
              </w:rPr>
              <w:t>0</w:t>
            </w:r>
          </w:p>
        </w:tc>
        <w:tc>
          <w:tcPr>
            <w:tcW w:w="850" w:type="dxa"/>
            <w:shd w:val="clear" w:color="auto" w:fill="auto"/>
            <w:vAlign w:val="center"/>
          </w:tcPr>
          <w:p w14:paraId="13653447" w14:textId="3FD05A35" w:rsidR="00B9390C" w:rsidRPr="004A36AA" w:rsidRDefault="00081774" w:rsidP="00C32603">
            <w:pPr>
              <w:spacing w:line="288" w:lineRule="auto"/>
              <w:rPr>
                <w:szCs w:val="20"/>
              </w:rPr>
            </w:pPr>
            <w:r w:rsidRPr="004A36AA">
              <w:rPr>
                <w:szCs w:val="20"/>
              </w:rPr>
              <w:t>42.9</w:t>
            </w:r>
          </w:p>
        </w:tc>
        <w:tc>
          <w:tcPr>
            <w:tcW w:w="709" w:type="dxa"/>
            <w:shd w:val="clear" w:color="auto" w:fill="auto"/>
            <w:vAlign w:val="center"/>
          </w:tcPr>
          <w:p w14:paraId="2C935618" w14:textId="5A196451" w:rsidR="00B9390C" w:rsidRPr="004A36AA" w:rsidRDefault="00211A44" w:rsidP="00C32603">
            <w:pPr>
              <w:spacing w:line="288" w:lineRule="auto"/>
              <w:rPr>
                <w:szCs w:val="20"/>
              </w:rPr>
            </w:pPr>
            <w:r w:rsidRPr="004A36AA">
              <w:rPr>
                <w:szCs w:val="20"/>
              </w:rPr>
              <w:t>1.9</w:t>
            </w:r>
          </w:p>
        </w:tc>
        <w:tc>
          <w:tcPr>
            <w:tcW w:w="992" w:type="dxa"/>
            <w:shd w:val="clear" w:color="auto" w:fill="auto"/>
            <w:vAlign w:val="center"/>
          </w:tcPr>
          <w:p w14:paraId="2B5AA971" w14:textId="1C78C5EA" w:rsidR="00B9390C" w:rsidRPr="004A36AA" w:rsidRDefault="00211A44" w:rsidP="00C32603">
            <w:pPr>
              <w:spacing w:line="288" w:lineRule="auto"/>
              <w:rPr>
                <w:szCs w:val="20"/>
              </w:rPr>
            </w:pPr>
            <w:r w:rsidRPr="004A36AA">
              <w:rPr>
                <w:szCs w:val="20"/>
              </w:rPr>
              <w:t>3.8</w:t>
            </w:r>
          </w:p>
        </w:tc>
        <w:tc>
          <w:tcPr>
            <w:tcW w:w="709" w:type="dxa"/>
            <w:shd w:val="clear" w:color="auto" w:fill="auto"/>
            <w:vAlign w:val="center"/>
          </w:tcPr>
          <w:p w14:paraId="50231BE8" w14:textId="26236366" w:rsidR="00B9390C" w:rsidRPr="004A36AA" w:rsidRDefault="00211A44" w:rsidP="00C32603">
            <w:pPr>
              <w:spacing w:line="288" w:lineRule="auto"/>
              <w:rPr>
                <w:szCs w:val="20"/>
              </w:rPr>
            </w:pPr>
            <w:r w:rsidRPr="004A36AA">
              <w:rPr>
                <w:szCs w:val="20"/>
              </w:rPr>
              <w:t>9.0</w:t>
            </w:r>
          </w:p>
        </w:tc>
      </w:tr>
      <w:tr w:rsidR="00B9390C" w:rsidRPr="004A36AA" w14:paraId="4746CAF5" w14:textId="77777777" w:rsidTr="00A30770">
        <w:trPr>
          <w:trHeight w:val="57"/>
        </w:trPr>
        <w:tc>
          <w:tcPr>
            <w:tcW w:w="1982" w:type="dxa"/>
            <w:shd w:val="clear" w:color="auto" w:fill="BFBFBF"/>
            <w:vAlign w:val="center"/>
          </w:tcPr>
          <w:p w14:paraId="096DA322" w14:textId="77777777" w:rsidR="00B9390C" w:rsidRPr="004A36AA" w:rsidRDefault="00B9390C" w:rsidP="00C32603">
            <w:pPr>
              <w:spacing w:line="288" w:lineRule="auto"/>
              <w:rPr>
                <w:b/>
                <w:bCs/>
                <w:szCs w:val="20"/>
              </w:rPr>
            </w:pPr>
            <w:r w:rsidRPr="004A36AA">
              <w:rPr>
                <w:b/>
                <w:bCs/>
                <w:szCs w:val="20"/>
              </w:rPr>
              <w:t>Schröder 1997</w:t>
            </w:r>
          </w:p>
        </w:tc>
        <w:tc>
          <w:tcPr>
            <w:tcW w:w="850" w:type="dxa"/>
            <w:tcBorders>
              <w:right w:val="single" w:sz="4" w:space="0" w:color="auto"/>
            </w:tcBorders>
            <w:shd w:val="clear" w:color="auto" w:fill="auto"/>
            <w:vAlign w:val="center"/>
          </w:tcPr>
          <w:p w14:paraId="4E181077" w14:textId="77777777" w:rsidR="00B9390C" w:rsidRPr="004A36AA" w:rsidRDefault="00B9390C" w:rsidP="00C32603">
            <w:pPr>
              <w:spacing w:line="288" w:lineRule="auto"/>
              <w:rPr>
                <w:szCs w:val="20"/>
              </w:rPr>
            </w:pPr>
            <w:r w:rsidRPr="004A36AA">
              <w:rPr>
                <w:szCs w:val="20"/>
              </w:rPr>
              <w:t>4722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3C7927" w14:textId="0F536360" w:rsidR="00B9390C" w:rsidRPr="004A36AA" w:rsidRDefault="00211A44" w:rsidP="00C32603">
            <w:pPr>
              <w:spacing w:line="288" w:lineRule="auto"/>
              <w:rPr>
                <w:szCs w:val="20"/>
              </w:rPr>
            </w:pPr>
            <w:r w:rsidRPr="004A36AA">
              <w:rPr>
                <w:szCs w:val="20"/>
              </w:rPr>
              <w:t>2.39</w:t>
            </w:r>
          </w:p>
        </w:tc>
        <w:tc>
          <w:tcPr>
            <w:tcW w:w="850" w:type="dxa"/>
            <w:tcBorders>
              <w:left w:val="single" w:sz="4" w:space="0" w:color="auto"/>
            </w:tcBorders>
            <w:shd w:val="clear" w:color="auto" w:fill="auto"/>
            <w:vAlign w:val="center"/>
          </w:tcPr>
          <w:p w14:paraId="0700916E" w14:textId="2302B5D1" w:rsidR="00B9390C" w:rsidRPr="004A36AA" w:rsidRDefault="00211A44" w:rsidP="00C32603">
            <w:pPr>
              <w:spacing w:line="288" w:lineRule="auto"/>
              <w:rPr>
                <w:szCs w:val="20"/>
              </w:rPr>
            </w:pPr>
            <w:r w:rsidRPr="004A36AA">
              <w:rPr>
                <w:szCs w:val="20"/>
              </w:rPr>
              <w:t>31.0</w:t>
            </w:r>
          </w:p>
        </w:tc>
        <w:tc>
          <w:tcPr>
            <w:tcW w:w="851" w:type="dxa"/>
            <w:shd w:val="clear" w:color="auto" w:fill="auto"/>
            <w:vAlign w:val="center"/>
          </w:tcPr>
          <w:p w14:paraId="3BD7EEA5" w14:textId="77777777" w:rsidR="00B9390C" w:rsidRPr="004A36AA" w:rsidRDefault="00B9390C" w:rsidP="00C32603">
            <w:pPr>
              <w:spacing w:line="288" w:lineRule="auto"/>
              <w:rPr>
                <w:szCs w:val="20"/>
              </w:rPr>
            </w:pPr>
            <w:r w:rsidRPr="004A36AA">
              <w:rPr>
                <w:szCs w:val="20"/>
              </w:rPr>
              <w:t>0</w:t>
            </w:r>
          </w:p>
        </w:tc>
        <w:tc>
          <w:tcPr>
            <w:tcW w:w="850" w:type="dxa"/>
            <w:shd w:val="clear" w:color="auto" w:fill="auto"/>
            <w:vAlign w:val="center"/>
          </w:tcPr>
          <w:p w14:paraId="65EB06EE" w14:textId="6866ADD0" w:rsidR="00B9390C" w:rsidRPr="004A36AA" w:rsidRDefault="00211A44" w:rsidP="00C32603">
            <w:pPr>
              <w:spacing w:line="288" w:lineRule="auto"/>
              <w:rPr>
                <w:szCs w:val="20"/>
              </w:rPr>
            </w:pPr>
            <w:r w:rsidRPr="004A36AA">
              <w:rPr>
                <w:szCs w:val="20"/>
              </w:rPr>
              <w:t>42.5</w:t>
            </w:r>
          </w:p>
        </w:tc>
        <w:tc>
          <w:tcPr>
            <w:tcW w:w="709" w:type="dxa"/>
            <w:shd w:val="clear" w:color="auto" w:fill="auto"/>
            <w:vAlign w:val="center"/>
          </w:tcPr>
          <w:p w14:paraId="0475D43F" w14:textId="4E7DDD07" w:rsidR="00B9390C" w:rsidRPr="004A36AA" w:rsidRDefault="00211A44" w:rsidP="00C32603">
            <w:pPr>
              <w:spacing w:line="288" w:lineRule="auto"/>
              <w:rPr>
                <w:szCs w:val="20"/>
              </w:rPr>
            </w:pPr>
            <w:r w:rsidRPr="004A36AA">
              <w:rPr>
                <w:szCs w:val="20"/>
              </w:rPr>
              <w:t>20.4</w:t>
            </w:r>
          </w:p>
        </w:tc>
        <w:tc>
          <w:tcPr>
            <w:tcW w:w="992" w:type="dxa"/>
            <w:shd w:val="clear" w:color="auto" w:fill="auto"/>
            <w:vAlign w:val="center"/>
          </w:tcPr>
          <w:p w14:paraId="375C2B10" w14:textId="709F1D1B" w:rsidR="00B9390C" w:rsidRPr="004A36AA" w:rsidRDefault="00211A44" w:rsidP="00C32603">
            <w:pPr>
              <w:spacing w:line="288" w:lineRule="auto"/>
              <w:rPr>
                <w:szCs w:val="20"/>
              </w:rPr>
            </w:pPr>
            <w:r w:rsidRPr="004A36AA">
              <w:rPr>
                <w:szCs w:val="20"/>
              </w:rPr>
              <w:t>3.5</w:t>
            </w:r>
          </w:p>
        </w:tc>
        <w:tc>
          <w:tcPr>
            <w:tcW w:w="709" w:type="dxa"/>
            <w:shd w:val="clear" w:color="auto" w:fill="auto"/>
            <w:vAlign w:val="center"/>
          </w:tcPr>
          <w:p w14:paraId="65ECC4CD" w14:textId="14E06B57" w:rsidR="00B9390C" w:rsidRPr="004A36AA" w:rsidRDefault="00211A44" w:rsidP="00C32603">
            <w:pPr>
              <w:spacing w:line="288" w:lineRule="auto"/>
              <w:rPr>
                <w:szCs w:val="20"/>
              </w:rPr>
            </w:pPr>
            <w:r w:rsidRPr="004A36AA">
              <w:rPr>
                <w:szCs w:val="20"/>
              </w:rPr>
              <w:t>2.7</w:t>
            </w:r>
          </w:p>
        </w:tc>
      </w:tr>
      <w:tr w:rsidR="00B9390C" w:rsidRPr="004A36AA" w14:paraId="439999E5" w14:textId="77777777" w:rsidTr="00A30770">
        <w:trPr>
          <w:trHeight w:val="57"/>
        </w:trPr>
        <w:tc>
          <w:tcPr>
            <w:tcW w:w="1982" w:type="dxa"/>
            <w:shd w:val="clear" w:color="auto" w:fill="BFBFBF"/>
            <w:vAlign w:val="center"/>
          </w:tcPr>
          <w:p w14:paraId="01E4F4B8" w14:textId="3BE648F7" w:rsidR="00B9390C" w:rsidRPr="004A36AA" w:rsidRDefault="00B9390C" w:rsidP="00550F68">
            <w:pPr>
              <w:spacing w:line="288" w:lineRule="auto"/>
              <w:rPr>
                <w:b/>
                <w:bCs/>
                <w:szCs w:val="20"/>
              </w:rPr>
            </w:pPr>
            <w:r w:rsidRPr="004A36AA">
              <w:rPr>
                <w:b/>
                <w:bCs/>
                <w:szCs w:val="20"/>
              </w:rPr>
              <w:t xml:space="preserve">Schröder 04/98 </w:t>
            </w:r>
          </w:p>
        </w:tc>
        <w:tc>
          <w:tcPr>
            <w:tcW w:w="850" w:type="dxa"/>
            <w:tcBorders>
              <w:right w:val="single" w:sz="4" w:space="0" w:color="auto"/>
            </w:tcBorders>
            <w:shd w:val="clear" w:color="auto" w:fill="auto"/>
            <w:vAlign w:val="center"/>
          </w:tcPr>
          <w:p w14:paraId="478CF6E8" w14:textId="77777777" w:rsidR="00B9390C" w:rsidRPr="004A36AA" w:rsidRDefault="00B9390C" w:rsidP="00C32603">
            <w:pPr>
              <w:spacing w:line="288" w:lineRule="auto"/>
              <w:rPr>
                <w:szCs w:val="20"/>
              </w:rPr>
            </w:pPr>
            <w:r w:rsidRPr="004A36AA">
              <w:rPr>
                <w:szCs w:val="20"/>
              </w:rPr>
              <w:t>9537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E907BE" w14:textId="2DAAA34D" w:rsidR="00B9390C" w:rsidRPr="004A36AA" w:rsidRDefault="00211A44" w:rsidP="00C32603">
            <w:pPr>
              <w:spacing w:line="288" w:lineRule="auto"/>
              <w:rPr>
                <w:szCs w:val="20"/>
              </w:rPr>
            </w:pPr>
            <w:r w:rsidRPr="004A36AA">
              <w:rPr>
                <w:szCs w:val="20"/>
              </w:rPr>
              <w:t>2.75</w:t>
            </w:r>
          </w:p>
        </w:tc>
        <w:tc>
          <w:tcPr>
            <w:tcW w:w="850" w:type="dxa"/>
            <w:tcBorders>
              <w:left w:val="single" w:sz="4" w:space="0" w:color="auto"/>
            </w:tcBorders>
            <w:shd w:val="clear" w:color="auto" w:fill="auto"/>
            <w:vAlign w:val="center"/>
          </w:tcPr>
          <w:p w14:paraId="57DAA5E4" w14:textId="03F9BB84" w:rsidR="00B9390C" w:rsidRPr="004A36AA" w:rsidRDefault="00211A44" w:rsidP="00C32603">
            <w:pPr>
              <w:spacing w:line="288" w:lineRule="auto"/>
              <w:rPr>
                <w:szCs w:val="20"/>
              </w:rPr>
            </w:pPr>
            <w:r w:rsidRPr="004A36AA">
              <w:rPr>
                <w:szCs w:val="20"/>
              </w:rPr>
              <w:t>33.6</w:t>
            </w:r>
          </w:p>
        </w:tc>
        <w:tc>
          <w:tcPr>
            <w:tcW w:w="851" w:type="dxa"/>
            <w:shd w:val="clear" w:color="auto" w:fill="auto"/>
            <w:vAlign w:val="center"/>
          </w:tcPr>
          <w:p w14:paraId="7A1AF98F" w14:textId="64906D6B" w:rsidR="00B9390C" w:rsidRPr="004A36AA" w:rsidRDefault="00211A44" w:rsidP="00C32603">
            <w:pPr>
              <w:spacing w:line="288" w:lineRule="auto"/>
              <w:rPr>
                <w:szCs w:val="20"/>
              </w:rPr>
            </w:pPr>
            <w:r w:rsidRPr="004A36AA">
              <w:rPr>
                <w:szCs w:val="20"/>
              </w:rPr>
              <w:t>0.8</w:t>
            </w:r>
          </w:p>
        </w:tc>
        <w:tc>
          <w:tcPr>
            <w:tcW w:w="850" w:type="dxa"/>
            <w:shd w:val="clear" w:color="auto" w:fill="auto"/>
            <w:vAlign w:val="center"/>
          </w:tcPr>
          <w:p w14:paraId="77E4EC11" w14:textId="704C6F95" w:rsidR="00B9390C" w:rsidRPr="004A36AA" w:rsidRDefault="00211A44" w:rsidP="00C32603">
            <w:pPr>
              <w:spacing w:line="288" w:lineRule="auto"/>
              <w:rPr>
                <w:szCs w:val="20"/>
              </w:rPr>
            </w:pPr>
            <w:r w:rsidRPr="004A36AA">
              <w:rPr>
                <w:szCs w:val="20"/>
              </w:rPr>
              <w:t>53.1</w:t>
            </w:r>
          </w:p>
        </w:tc>
        <w:tc>
          <w:tcPr>
            <w:tcW w:w="709" w:type="dxa"/>
            <w:shd w:val="clear" w:color="auto" w:fill="auto"/>
            <w:vAlign w:val="center"/>
          </w:tcPr>
          <w:p w14:paraId="2441319A" w14:textId="7CC24068" w:rsidR="00B9390C" w:rsidRPr="004A36AA" w:rsidRDefault="00211A44" w:rsidP="00C32603">
            <w:pPr>
              <w:spacing w:line="288" w:lineRule="auto"/>
              <w:rPr>
                <w:szCs w:val="20"/>
              </w:rPr>
            </w:pPr>
            <w:r w:rsidRPr="004A36AA">
              <w:rPr>
                <w:szCs w:val="20"/>
              </w:rPr>
              <w:t>6.1</w:t>
            </w:r>
          </w:p>
        </w:tc>
        <w:tc>
          <w:tcPr>
            <w:tcW w:w="992" w:type="dxa"/>
            <w:shd w:val="clear" w:color="auto" w:fill="auto"/>
            <w:vAlign w:val="center"/>
          </w:tcPr>
          <w:p w14:paraId="7418AA4C" w14:textId="1DFC6B45" w:rsidR="00B9390C" w:rsidRPr="004A36AA" w:rsidRDefault="00211A44" w:rsidP="00C32603">
            <w:pPr>
              <w:spacing w:line="288" w:lineRule="auto"/>
              <w:rPr>
                <w:szCs w:val="20"/>
              </w:rPr>
            </w:pPr>
            <w:r w:rsidRPr="004A36AA">
              <w:rPr>
                <w:szCs w:val="20"/>
              </w:rPr>
              <w:t>3.8</w:t>
            </w:r>
          </w:p>
        </w:tc>
        <w:tc>
          <w:tcPr>
            <w:tcW w:w="709" w:type="dxa"/>
            <w:shd w:val="clear" w:color="auto" w:fill="auto"/>
            <w:vAlign w:val="center"/>
          </w:tcPr>
          <w:p w14:paraId="714A1F24" w14:textId="4625936B" w:rsidR="00B9390C" w:rsidRPr="004A36AA" w:rsidRDefault="00211A44" w:rsidP="00C32603">
            <w:pPr>
              <w:spacing w:line="288" w:lineRule="auto"/>
              <w:rPr>
                <w:szCs w:val="20"/>
              </w:rPr>
            </w:pPr>
            <w:r w:rsidRPr="004A36AA">
              <w:rPr>
                <w:szCs w:val="20"/>
              </w:rPr>
              <w:t>2.7</w:t>
            </w:r>
          </w:p>
        </w:tc>
      </w:tr>
      <w:tr w:rsidR="00B9390C" w:rsidRPr="004A36AA" w14:paraId="15E47767" w14:textId="77777777" w:rsidTr="00A30770">
        <w:trPr>
          <w:trHeight w:val="57"/>
        </w:trPr>
        <w:tc>
          <w:tcPr>
            <w:tcW w:w="1982" w:type="dxa"/>
            <w:shd w:val="clear" w:color="auto" w:fill="BFBFBF"/>
            <w:vAlign w:val="center"/>
          </w:tcPr>
          <w:p w14:paraId="76B1BCBB" w14:textId="25B9C713" w:rsidR="00B9390C" w:rsidRPr="004A36AA" w:rsidRDefault="00B9390C" w:rsidP="00550F68">
            <w:pPr>
              <w:spacing w:line="288" w:lineRule="auto"/>
              <w:rPr>
                <w:b/>
                <w:bCs/>
                <w:szCs w:val="20"/>
              </w:rPr>
            </w:pPr>
            <w:r w:rsidRPr="004A36AA">
              <w:rPr>
                <w:b/>
                <w:bCs/>
                <w:szCs w:val="20"/>
              </w:rPr>
              <w:t>Schröder 10/98</w:t>
            </w:r>
          </w:p>
        </w:tc>
        <w:tc>
          <w:tcPr>
            <w:tcW w:w="850" w:type="dxa"/>
            <w:tcBorders>
              <w:right w:val="single" w:sz="4" w:space="0" w:color="auto"/>
            </w:tcBorders>
            <w:shd w:val="clear" w:color="auto" w:fill="auto"/>
            <w:vAlign w:val="center"/>
          </w:tcPr>
          <w:p w14:paraId="1BA24A45" w14:textId="77777777" w:rsidR="00B9390C" w:rsidRPr="004A36AA" w:rsidRDefault="00B9390C" w:rsidP="00C32603">
            <w:pPr>
              <w:spacing w:line="288" w:lineRule="auto"/>
              <w:rPr>
                <w:szCs w:val="20"/>
              </w:rPr>
            </w:pPr>
            <w:r w:rsidRPr="004A36AA">
              <w:rPr>
                <w:szCs w:val="20"/>
              </w:rPr>
              <w:t>2252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08081E" w14:textId="482E3BA2" w:rsidR="00B9390C" w:rsidRPr="004A36AA" w:rsidRDefault="00211A44" w:rsidP="00C32603">
            <w:pPr>
              <w:spacing w:line="288" w:lineRule="auto"/>
              <w:rPr>
                <w:szCs w:val="20"/>
              </w:rPr>
            </w:pPr>
            <w:r w:rsidRPr="004A36AA">
              <w:rPr>
                <w:szCs w:val="20"/>
              </w:rPr>
              <w:t>2.62</w:t>
            </w:r>
          </w:p>
        </w:tc>
        <w:tc>
          <w:tcPr>
            <w:tcW w:w="850" w:type="dxa"/>
            <w:tcBorders>
              <w:left w:val="single" w:sz="4" w:space="0" w:color="auto"/>
            </w:tcBorders>
            <w:shd w:val="clear" w:color="auto" w:fill="auto"/>
            <w:vAlign w:val="center"/>
          </w:tcPr>
          <w:p w14:paraId="1B2C3294" w14:textId="062D231A" w:rsidR="00B9390C" w:rsidRPr="004A36AA" w:rsidRDefault="00211A44" w:rsidP="00C32603">
            <w:pPr>
              <w:spacing w:line="288" w:lineRule="auto"/>
              <w:rPr>
                <w:szCs w:val="20"/>
              </w:rPr>
            </w:pPr>
            <w:r w:rsidRPr="004A36AA">
              <w:rPr>
                <w:szCs w:val="20"/>
              </w:rPr>
              <w:t>32.2</w:t>
            </w:r>
          </w:p>
        </w:tc>
        <w:tc>
          <w:tcPr>
            <w:tcW w:w="851" w:type="dxa"/>
            <w:shd w:val="clear" w:color="auto" w:fill="auto"/>
            <w:vAlign w:val="center"/>
          </w:tcPr>
          <w:p w14:paraId="099D1CC7" w14:textId="77777777" w:rsidR="00B9390C" w:rsidRPr="004A36AA" w:rsidRDefault="00B9390C" w:rsidP="00C32603">
            <w:pPr>
              <w:spacing w:line="288" w:lineRule="auto"/>
              <w:rPr>
                <w:szCs w:val="20"/>
              </w:rPr>
            </w:pPr>
            <w:r w:rsidRPr="004A36AA">
              <w:rPr>
                <w:szCs w:val="20"/>
              </w:rPr>
              <w:t>0</w:t>
            </w:r>
          </w:p>
        </w:tc>
        <w:tc>
          <w:tcPr>
            <w:tcW w:w="850" w:type="dxa"/>
            <w:shd w:val="clear" w:color="auto" w:fill="auto"/>
            <w:vAlign w:val="center"/>
          </w:tcPr>
          <w:p w14:paraId="6B65BCEE" w14:textId="4F73E062" w:rsidR="00B9390C" w:rsidRPr="004A36AA" w:rsidRDefault="00211A44" w:rsidP="00C32603">
            <w:pPr>
              <w:spacing w:line="288" w:lineRule="auto"/>
              <w:rPr>
                <w:szCs w:val="20"/>
              </w:rPr>
            </w:pPr>
            <w:r w:rsidRPr="004A36AA">
              <w:rPr>
                <w:szCs w:val="20"/>
              </w:rPr>
              <w:t>20.3</w:t>
            </w:r>
          </w:p>
        </w:tc>
        <w:tc>
          <w:tcPr>
            <w:tcW w:w="709" w:type="dxa"/>
            <w:shd w:val="clear" w:color="auto" w:fill="auto"/>
            <w:vAlign w:val="center"/>
          </w:tcPr>
          <w:p w14:paraId="390DF0F8" w14:textId="38254A91" w:rsidR="00B9390C" w:rsidRPr="004A36AA" w:rsidRDefault="00211A44" w:rsidP="00C32603">
            <w:pPr>
              <w:spacing w:line="288" w:lineRule="auto"/>
              <w:rPr>
                <w:szCs w:val="20"/>
              </w:rPr>
            </w:pPr>
            <w:r w:rsidRPr="004A36AA">
              <w:rPr>
                <w:szCs w:val="20"/>
              </w:rPr>
              <w:t>3.4</w:t>
            </w:r>
          </w:p>
        </w:tc>
        <w:tc>
          <w:tcPr>
            <w:tcW w:w="992" w:type="dxa"/>
            <w:shd w:val="clear" w:color="auto" w:fill="auto"/>
            <w:vAlign w:val="center"/>
          </w:tcPr>
          <w:p w14:paraId="66E23355" w14:textId="15481451" w:rsidR="00B9390C" w:rsidRPr="004A36AA" w:rsidRDefault="00211A44" w:rsidP="00C32603">
            <w:pPr>
              <w:spacing w:line="288" w:lineRule="auto"/>
              <w:rPr>
                <w:szCs w:val="20"/>
              </w:rPr>
            </w:pPr>
            <w:r w:rsidRPr="004A36AA">
              <w:rPr>
                <w:szCs w:val="20"/>
              </w:rPr>
              <w:t>42.4</w:t>
            </w:r>
          </w:p>
        </w:tc>
        <w:tc>
          <w:tcPr>
            <w:tcW w:w="709" w:type="dxa"/>
            <w:shd w:val="clear" w:color="auto" w:fill="auto"/>
            <w:vAlign w:val="center"/>
          </w:tcPr>
          <w:p w14:paraId="0ED82A89" w14:textId="46E23731" w:rsidR="00B9390C" w:rsidRPr="004A36AA" w:rsidRDefault="00211A44" w:rsidP="00C32603">
            <w:pPr>
              <w:spacing w:line="288" w:lineRule="auto"/>
              <w:rPr>
                <w:szCs w:val="20"/>
              </w:rPr>
            </w:pPr>
            <w:r w:rsidRPr="004A36AA">
              <w:rPr>
                <w:szCs w:val="20"/>
              </w:rPr>
              <w:t>1.7</w:t>
            </w:r>
          </w:p>
        </w:tc>
      </w:tr>
      <w:tr w:rsidR="00B9390C" w:rsidRPr="004A36AA" w14:paraId="11752B58" w14:textId="77777777" w:rsidTr="00A30770">
        <w:trPr>
          <w:trHeight w:val="57"/>
        </w:trPr>
        <w:tc>
          <w:tcPr>
            <w:tcW w:w="1982" w:type="dxa"/>
            <w:shd w:val="clear" w:color="auto" w:fill="BFBFBF"/>
            <w:vAlign w:val="center"/>
          </w:tcPr>
          <w:p w14:paraId="78C575A5" w14:textId="77777777" w:rsidR="00B9390C" w:rsidRPr="004A36AA" w:rsidRDefault="00B9390C" w:rsidP="00C32603">
            <w:pPr>
              <w:spacing w:line="288" w:lineRule="auto"/>
              <w:rPr>
                <w:b/>
                <w:bCs/>
                <w:szCs w:val="20"/>
              </w:rPr>
            </w:pPr>
            <w:r w:rsidRPr="004A36AA">
              <w:rPr>
                <w:b/>
                <w:bCs/>
                <w:szCs w:val="20"/>
              </w:rPr>
              <w:t>Schröder 2003</w:t>
            </w:r>
          </w:p>
        </w:tc>
        <w:tc>
          <w:tcPr>
            <w:tcW w:w="850" w:type="dxa"/>
            <w:tcBorders>
              <w:right w:val="single" w:sz="4" w:space="0" w:color="auto"/>
            </w:tcBorders>
            <w:shd w:val="clear" w:color="auto" w:fill="auto"/>
            <w:vAlign w:val="center"/>
          </w:tcPr>
          <w:p w14:paraId="4A3F22DE" w14:textId="77777777" w:rsidR="00B9390C" w:rsidRPr="004A36AA" w:rsidRDefault="00B9390C" w:rsidP="00C32603">
            <w:pPr>
              <w:spacing w:line="288" w:lineRule="auto"/>
              <w:rPr>
                <w:szCs w:val="20"/>
              </w:rPr>
            </w:pPr>
            <w:r w:rsidRPr="004A36AA">
              <w:rPr>
                <w:szCs w:val="20"/>
              </w:rPr>
              <w:t>7800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297616" w14:textId="17A06A2C" w:rsidR="00B9390C" w:rsidRPr="004A36AA" w:rsidRDefault="00211A44" w:rsidP="00C32603">
            <w:pPr>
              <w:spacing w:line="288" w:lineRule="auto"/>
              <w:rPr>
                <w:szCs w:val="20"/>
              </w:rPr>
            </w:pPr>
            <w:r w:rsidRPr="004A36AA">
              <w:rPr>
                <w:szCs w:val="20"/>
              </w:rPr>
              <w:t>4.03</w:t>
            </w:r>
          </w:p>
        </w:tc>
        <w:tc>
          <w:tcPr>
            <w:tcW w:w="850" w:type="dxa"/>
            <w:tcBorders>
              <w:left w:val="single" w:sz="4" w:space="0" w:color="auto"/>
            </w:tcBorders>
            <w:shd w:val="clear" w:color="auto" w:fill="auto"/>
            <w:vAlign w:val="center"/>
          </w:tcPr>
          <w:p w14:paraId="18A42939" w14:textId="61995621" w:rsidR="00B9390C" w:rsidRPr="004A36AA" w:rsidRDefault="00211A44" w:rsidP="00C32603">
            <w:pPr>
              <w:spacing w:line="288" w:lineRule="auto"/>
              <w:rPr>
                <w:szCs w:val="20"/>
              </w:rPr>
            </w:pPr>
            <w:r w:rsidRPr="004A36AA">
              <w:rPr>
                <w:szCs w:val="20"/>
              </w:rPr>
              <w:t>15.9</w:t>
            </w:r>
          </w:p>
        </w:tc>
        <w:tc>
          <w:tcPr>
            <w:tcW w:w="851" w:type="dxa"/>
            <w:shd w:val="clear" w:color="auto" w:fill="auto"/>
            <w:vAlign w:val="center"/>
          </w:tcPr>
          <w:p w14:paraId="6CCE33AA" w14:textId="77777777" w:rsidR="00B9390C" w:rsidRPr="004A36AA" w:rsidRDefault="00B9390C" w:rsidP="00C32603">
            <w:pPr>
              <w:spacing w:line="288" w:lineRule="auto"/>
              <w:rPr>
                <w:szCs w:val="20"/>
              </w:rPr>
            </w:pPr>
            <w:r w:rsidRPr="004A36AA">
              <w:rPr>
                <w:szCs w:val="20"/>
              </w:rPr>
              <w:t>0</w:t>
            </w:r>
          </w:p>
        </w:tc>
        <w:tc>
          <w:tcPr>
            <w:tcW w:w="850" w:type="dxa"/>
            <w:shd w:val="clear" w:color="auto" w:fill="auto"/>
            <w:vAlign w:val="center"/>
          </w:tcPr>
          <w:p w14:paraId="3DA0F74B" w14:textId="21827B70" w:rsidR="00B9390C" w:rsidRPr="004A36AA" w:rsidRDefault="00211A44" w:rsidP="00C32603">
            <w:pPr>
              <w:spacing w:line="288" w:lineRule="auto"/>
              <w:rPr>
                <w:szCs w:val="20"/>
              </w:rPr>
            </w:pPr>
            <w:r w:rsidRPr="004A36AA">
              <w:rPr>
                <w:szCs w:val="20"/>
              </w:rPr>
              <w:t>70.4</w:t>
            </w:r>
          </w:p>
        </w:tc>
        <w:tc>
          <w:tcPr>
            <w:tcW w:w="709" w:type="dxa"/>
            <w:shd w:val="clear" w:color="auto" w:fill="auto"/>
            <w:vAlign w:val="center"/>
          </w:tcPr>
          <w:p w14:paraId="633BDFDF" w14:textId="6DDC7D47" w:rsidR="00B9390C" w:rsidRPr="004A36AA" w:rsidRDefault="00211A44" w:rsidP="00C32603">
            <w:pPr>
              <w:spacing w:line="288" w:lineRule="auto"/>
              <w:rPr>
                <w:szCs w:val="20"/>
              </w:rPr>
            </w:pPr>
            <w:r w:rsidRPr="004A36AA">
              <w:rPr>
                <w:szCs w:val="20"/>
              </w:rPr>
              <w:t>5.4</w:t>
            </w:r>
          </w:p>
        </w:tc>
        <w:tc>
          <w:tcPr>
            <w:tcW w:w="992" w:type="dxa"/>
            <w:shd w:val="clear" w:color="auto" w:fill="auto"/>
            <w:vAlign w:val="center"/>
          </w:tcPr>
          <w:p w14:paraId="0B084FDF" w14:textId="41DA24E3" w:rsidR="00B9390C" w:rsidRPr="004A36AA" w:rsidRDefault="00211A44" w:rsidP="00C32603">
            <w:pPr>
              <w:spacing w:line="288" w:lineRule="auto"/>
              <w:rPr>
                <w:szCs w:val="20"/>
              </w:rPr>
            </w:pPr>
            <w:r w:rsidRPr="004A36AA">
              <w:rPr>
                <w:szCs w:val="20"/>
              </w:rPr>
              <w:t>5.4</w:t>
            </w:r>
          </w:p>
        </w:tc>
        <w:tc>
          <w:tcPr>
            <w:tcW w:w="709" w:type="dxa"/>
            <w:shd w:val="clear" w:color="auto" w:fill="auto"/>
            <w:vAlign w:val="center"/>
          </w:tcPr>
          <w:p w14:paraId="58ECDA07" w14:textId="272CFE15" w:rsidR="00B9390C" w:rsidRPr="004A36AA" w:rsidRDefault="00211A44" w:rsidP="00C32603">
            <w:pPr>
              <w:spacing w:line="288" w:lineRule="auto"/>
              <w:rPr>
                <w:szCs w:val="20"/>
              </w:rPr>
            </w:pPr>
            <w:r w:rsidRPr="004A36AA">
              <w:rPr>
                <w:szCs w:val="20"/>
              </w:rPr>
              <w:t>2.9</w:t>
            </w:r>
          </w:p>
        </w:tc>
      </w:tr>
      <w:tr w:rsidR="00B9390C" w:rsidRPr="004A36AA" w14:paraId="7861FED2" w14:textId="77777777" w:rsidTr="00A30770">
        <w:trPr>
          <w:trHeight w:val="57"/>
        </w:trPr>
        <w:tc>
          <w:tcPr>
            <w:tcW w:w="1982" w:type="dxa"/>
            <w:shd w:val="clear" w:color="auto" w:fill="BFBFBF"/>
            <w:vAlign w:val="center"/>
          </w:tcPr>
          <w:p w14:paraId="570C788E" w14:textId="212AF85F" w:rsidR="00B9390C" w:rsidRPr="004A36AA" w:rsidRDefault="00B9390C" w:rsidP="00550F68">
            <w:pPr>
              <w:spacing w:line="288" w:lineRule="auto"/>
              <w:rPr>
                <w:b/>
                <w:bCs/>
                <w:szCs w:val="20"/>
              </w:rPr>
            </w:pPr>
            <w:r w:rsidRPr="004A36AA">
              <w:rPr>
                <w:b/>
                <w:bCs/>
                <w:szCs w:val="20"/>
              </w:rPr>
              <w:t>Schr</w:t>
            </w:r>
            <w:r w:rsidR="00550F68" w:rsidRPr="004A36AA">
              <w:rPr>
                <w:b/>
                <w:bCs/>
                <w:szCs w:val="20"/>
              </w:rPr>
              <w:t xml:space="preserve">. </w:t>
            </w:r>
            <w:r w:rsidRPr="004A36AA">
              <w:rPr>
                <w:b/>
                <w:bCs/>
                <w:szCs w:val="20"/>
              </w:rPr>
              <w:t>2003 (SC)</w:t>
            </w:r>
          </w:p>
        </w:tc>
        <w:tc>
          <w:tcPr>
            <w:tcW w:w="850" w:type="dxa"/>
            <w:tcBorders>
              <w:right w:val="single" w:sz="4" w:space="0" w:color="auto"/>
            </w:tcBorders>
            <w:shd w:val="clear" w:color="auto" w:fill="auto"/>
            <w:vAlign w:val="center"/>
          </w:tcPr>
          <w:p w14:paraId="1479B229" w14:textId="77777777" w:rsidR="00B9390C" w:rsidRPr="004A36AA" w:rsidRDefault="00B9390C" w:rsidP="00C32603">
            <w:pPr>
              <w:spacing w:line="288" w:lineRule="auto"/>
              <w:rPr>
                <w:szCs w:val="20"/>
              </w:rPr>
            </w:pPr>
            <w:r w:rsidRPr="004A36AA">
              <w:rPr>
                <w:szCs w:val="20"/>
              </w:rPr>
              <w:t>5803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BB488D1" w14:textId="6F4066DF" w:rsidR="00B9390C" w:rsidRPr="004A36AA" w:rsidRDefault="00211A44" w:rsidP="00C32603">
            <w:pPr>
              <w:spacing w:line="288" w:lineRule="auto"/>
              <w:rPr>
                <w:szCs w:val="20"/>
              </w:rPr>
            </w:pPr>
            <w:r w:rsidRPr="004A36AA">
              <w:rPr>
                <w:szCs w:val="20"/>
              </w:rPr>
              <w:t>4.53</w:t>
            </w:r>
          </w:p>
        </w:tc>
        <w:tc>
          <w:tcPr>
            <w:tcW w:w="850" w:type="dxa"/>
            <w:tcBorders>
              <w:left w:val="single" w:sz="4" w:space="0" w:color="auto"/>
            </w:tcBorders>
            <w:shd w:val="clear" w:color="auto" w:fill="auto"/>
            <w:vAlign w:val="center"/>
          </w:tcPr>
          <w:p w14:paraId="77F17D0F" w14:textId="211FC8DE" w:rsidR="00B9390C" w:rsidRPr="004A36AA" w:rsidRDefault="00211A44" w:rsidP="00C32603">
            <w:pPr>
              <w:spacing w:line="288" w:lineRule="auto"/>
              <w:rPr>
                <w:szCs w:val="20"/>
              </w:rPr>
            </w:pPr>
            <w:r w:rsidRPr="004A36AA">
              <w:rPr>
                <w:szCs w:val="20"/>
              </w:rPr>
              <w:t>13.7</w:t>
            </w:r>
          </w:p>
        </w:tc>
        <w:tc>
          <w:tcPr>
            <w:tcW w:w="851" w:type="dxa"/>
            <w:shd w:val="clear" w:color="auto" w:fill="auto"/>
            <w:vAlign w:val="center"/>
          </w:tcPr>
          <w:p w14:paraId="06579F11" w14:textId="77777777" w:rsidR="00B9390C" w:rsidRPr="004A36AA" w:rsidRDefault="00B9390C" w:rsidP="00C32603">
            <w:pPr>
              <w:spacing w:line="288" w:lineRule="auto"/>
              <w:rPr>
                <w:szCs w:val="20"/>
              </w:rPr>
            </w:pPr>
            <w:r w:rsidRPr="004A36AA">
              <w:rPr>
                <w:szCs w:val="20"/>
              </w:rPr>
              <w:t>0</w:t>
            </w:r>
          </w:p>
        </w:tc>
        <w:tc>
          <w:tcPr>
            <w:tcW w:w="850" w:type="dxa"/>
            <w:shd w:val="clear" w:color="auto" w:fill="auto"/>
            <w:vAlign w:val="center"/>
          </w:tcPr>
          <w:p w14:paraId="6A7DF0F7" w14:textId="146DB9AD" w:rsidR="00B9390C" w:rsidRPr="004A36AA" w:rsidRDefault="00211A44" w:rsidP="00C32603">
            <w:pPr>
              <w:spacing w:line="288" w:lineRule="auto"/>
              <w:rPr>
                <w:szCs w:val="20"/>
              </w:rPr>
            </w:pPr>
            <w:r w:rsidRPr="004A36AA">
              <w:rPr>
                <w:szCs w:val="20"/>
              </w:rPr>
              <w:t>75.3</w:t>
            </w:r>
          </w:p>
        </w:tc>
        <w:tc>
          <w:tcPr>
            <w:tcW w:w="709" w:type="dxa"/>
            <w:shd w:val="clear" w:color="auto" w:fill="auto"/>
            <w:vAlign w:val="center"/>
          </w:tcPr>
          <w:p w14:paraId="7C9230DB" w14:textId="5C226C13" w:rsidR="00B9390C" w:rsidRPr="004A36AA" w:rsidRDefault="00211A44" w:rsidP="00C32603">
            <w:pPr>
              <w:spacing w:line="288" w:lineRule="auto"/>
              <w:rPr>
                <w:szCs w:val="20"/>
              </w:rPr>
            </w:pPr>
            <w:r w:rsidRPr="004A36AA">
              <w:rPr>
                <w:szCs w:val="20"/>
              </w:rPr>
              <w:t>3.4</w:t>
            </w:r>
          </w:p>
        </w:tc>
        <w:tc>
          <w:tcPr>
            <w:tcW w:w="992" w:type="dxa"/>
            <w:shd w:val="clear" w:color="auto" w:fill="auto"/>
            <w:vAlign w:val="center"/>
          </w:tcPr>
          <w:p w14:paraId="0F694ECD" w14:textId="5D45CAB5" w:rsidR="00B9390C" w:rsidRPr="004A36AA" w:rsidRDefault="00211A44" w:rsidP="00C32603">
            <w:pPr>
              <w:spacing w:line="288" w:lineRule="auto"/>
              <w:rPr>
                <w:szCs w:val="20"/>
              </w:rPr>
            </w:pPr>
            <w:r w:rsidRPr="004A36AA">
              <w:rPr>
                <w:szCs w:val="20"/>
              </w:rPr>
              <w:t>6.8</w:t>
            </w:r>
          </w:p>
        </w:tc>
        <w:tc>
          <w:tcPr>
            <w:tcW w:w="709" w:type="dxa"/>
            <w:shd w:val="clear" w:color="auto" w:fill="auto"/>
            <w:vAlign w:val="center"/>
          </w:tcPr>
          <w:p w14:paraId="5600D115" w14:textId="0E02F178" w:rsidR="00B9390C" w:rsidRPr="004A36AA" w:rsidRDefault="00211A44" w:rsidP="00C32603">
            <w:pPr>
              <w:spacing w:line="288" w:lineRule="auto"/>
              <w:rPr>
                <w:szCs w:val="20"/>
              </w:rPr>
            </w:pPr>
            <w:r w:rsidRPr="004A36AA">
              <w:rPr>
                <w:szCs w:val="20"/>
              </w:rPr>
              <w:t>0.8</w:t>
            </w:r>
          </w:p>
        </w:tc>
      </w:tr>
      <w:tr w:rsidR="00B9390C" w:rsidRPr="004A36AA" w14:paraId="722DC4AA" w14:textId="77777777" w:rsidTr="00A30770">
        <w:trPr>
          <w:trHeight w:val="57"/>
        </w:trPr>
        <w:tc>
          <w:tcPr>
            <w:tcW w:w="1982" w:type="dxa"/>
            <w:shd w:val="clear" w:color="auto" w:fill="D9D9D9"/>
            <w:vAlign w:val="center"/>
          </w:tcPr>
          <w:p w14:paraId="6279C994" w14:textId="070AE487" w:rsidR="00B9390C" w:rsidRPr="004A36AA" w:rsidRDefault="00736157" w:rsidP="00C32603">
            <w:pPr>
              <w:spacing w:line="288" w:lineRule="auto"/>
              <w:rPr>
                <w:b/>
                <w:bCs/>
                <w:szCs w:val="20"/>
              </w:rPr>
            </w:pPr>
            <w:r w:rsidRPr="004A36AA">
              <w:rPr>
                <w:b/>
                <w:bCs/>
                <w:szCs w:val="20"/>
              </w:rPr>
              <w:t>AVE</w:t>
            </w:r>
            <w:r w:rsidR="00B9390C" w:rsidRPr="004A36AA">
              <w:rPr>
                <w:b/>
                <w:bCs/>
                <w:szCs w:val="20"/>
              </w:rPr>
              <w:t>RAGE</w:t>
            </w:r>
          </w:p>
        </w:tc>
        <w:tc>
          <w:tcPr>
            <w:tcW w:w="850" w:type="dxa"/>
            <w:tcBorders>
              <w:right w:val="single" w:sz="4" w:space="0" w:color="auto"/>
            </w:tcBorders>
            <w:shd w:val="clear" w:color="auto" w:fill="D9D9D9"/>
            <w:vAlign w:val="center"/>
          </w:tcPr>
          <w:p w14:paraId="75372661" w14:textId="6548EAFA" w:rsidR="00B9390C" w:rsidRPr="004A36AA" w:rsidRDefault="008E20AB" w:rsidP="00C32603">
            <w:pPr>
              <w:spacing w:line="288" w:lineRule="auto"/>
              <w:rPr>
                <w:b/>
                <w:bCs/>
                <w:sz w:val="20"/>
                <w:szCs w:val="20"/>
              </w:rPr>
            </w:pPr>
            <w:r w:rsidRPr="004A36AA">
              <w:rPr>
                <w:b/>
                <w:bCs/>
                <w:sz w:val="20"/>
                <w:szCs w:val="20"/>
              </w:rPr>
              <w:t>5714</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5FC83B7E" w14:textId="1B663916" w:rsidR="00B9390C" w:rsidRPr="004A36AA" w:rsidRDefault="00211A44" w:rsidP="00C32603">
            <w:pPr>
              <w:spacing w:line="288" w:lineRule="auto"/>
              <w:rPr>
                <w:b/>
                <w:bCs/>
                <w:sz w:val="20"/>
                <w:szCs w:val="20"/>
              </w:rPr>
            </w:pPr>
            <w:r w:rsidRPr="004A36AA">
              <w:rPr>
                <w:b/>
                <w:bCs/>
                <w:sz w:val="20"/>
                <w:szCs w:val="20"/>
              </w:rPr>
              <w:t>3.06</w:t>
            </w:r>
          </w:p>
        </w:tc>
        <w:tc>
          <w:tcPr>
            <w:tcW w:w="850" w:type="dxa"/>
            <w:tcBorders>
              <w:left w:val="single" w:sz="4" w:space="0" w:color="auto"/>
            </w:tcBorders>
            <w:shd w:val="clear" w:color="auto" w:fill="D9D9D9"/>
            <w:vAlign w:val="center"/>
          </w:tcPr>
          <w:p w14:paraId="1F9F2C1D" w14:textId="2D73B919" w:rsidR="00B9390C" w:rsidRPr="004A36AA" w:rsidRDefault="00211A44" w:rsidP="00C32603">
            <w:pPr>
              <w:spacing w:line="288" w:lineRule="auto"/>
              <w:rPr>
                <w:b/>
                <w:bCs/>
                <w:sz w:val="20"/>
                <w:szCs w:val="20"/>
              </w:rPr>
            </w:pPr>
            <w:r w:rsidRPr="004A36AA">
              <w:rPr>
                <w:b/>
                <w:bCs/>
                <w:sz w:val="20"/>
                <w:szCs w:val="20"/>
              </w:rPr>
              <w:t>30.85</w:t>
            </w:r>
          </w:p>
        </w:tc>
        <w:tc>
          <w:tcPr>
            <w:tcW w:w="851" w:type="dxa"/>
            <w:shd w:val="clear" w:color="auto" w:fill="D9D9D9"/>
            <w:vAlign w:val="center"/>
          </w:tcPr>
          <w:p w14:paraId="386C181F" w14:textId="73D5ACE6" w:rsidR="00B9390C" w:rsidRPr="004A36AA" w:rsidRDefault="00211A44" w:rsidP="00C32603">
            <w:pPr>
              <w:spacing w:line="288" w:lineRule="auto"/>
              <w:rPr>
                <w:b/>
                <w:bCs/>
                <w:sz w:val="20"/>
                <w:szCs w:val="20"/>
              </w:rPr>
            </w:pPr>
            <w:r w:rsidRPr="004A36AA">
              <w:rPr>
                <w:b/>
                <w:bCs/>
                <w:sz w:val="20"/>
                <w:szCs w:val="20"/>
              </w:rPr>
              <w:t>0.45</w:t>
            </w:r>
          </w:p>
        </w:tc>
        <w:tc>
          <w:tcPr>
            <w:tcW w:w="850" w:type="dxa"/>
            <w:shd w:val="clear" w:color="auto" w:fill="D9D9D9"/>
            <w:vAlign w:val="center"/>
          </w:tcPr>
          <w:p w14:paraId="25E630F5" w14:textId="1B3466F2" w:rsidR="00B9390C" w:rsidRPr="004A36AA" w:rsidRDefault="00211A44" w:rsidP="00C32603">
            <w:pPr>
              <w:spacing w:line="288" w:lineRule="auto"/>
              <w:rPr>
                <w:b/>
                <w:bCs/>
                <w:sz w:val="20"/>
                <w:szCs w:val="20"/>
              </w:rPr>
            </w:pPr>
            <w:r w:rsidRPr="004A36AA">
              <w:rPr>
                <w:b/>
                <w:bCs/>
                <w:sz w:val="20"/>
                <w:szCs w:val="20"/>
              </w:rPr>
              <w:t>46.64</w:t>
            </w:r>
          </w:p>
        </w:tc>
        <w:tc>
          <w:tcPr>
            <w:tcW w:w="709" w:type="dxa"/>
            <w:shd w:val="clear" w:color="auto" w:fill="D9D9D9"/>
            <w:vAlign w:val="center"/>
          </w:tcPr>
          <w:p w14:paraId="0AF0FCBA" w14:textId="0A153714" w:rsidR="00B9390C" w:rsidRPr="004A36AA" w:rsidRDefault="00211A44" w:rsidP="00C32603">
            <w:pPr>
              <w:spacing w:line="288" w:lineRule="auto"/>
              <w:rPr>
                <w:b/>
                <w:bCs/>
                <w:sz w:val="20"/>
                <w:szCs w:val="20"/>
              </w:rPr>
            </w:pPr>
            <w:r w:rsidRPr="004A36AA">
              <w:rPr>
                <w:b/>
                <w:bCs/>
                <w:sz w:val="20"/>
                <w:szCs w:val="20"/>
              </w:rPr>
              <w:t>8.86</w:t>
            </w:r>
          </w:p>
        </w:tc>
        <w:tc>
          <w:tcPr>
            <w:tcW w:w="992" w:type="dxa"/>
            <w:shd w:val="clear" w:color="auto" w:fill="D9D9D9"/>
            <w:vAlign w:val="center"/>
          </w:tcPr>
          <w:p w14:paraId="5A1C1741" w14:textId="1B5ACD84" w:rsidR="00B9390C" w:rsidRPr="004A36AA" w:rsidRDefault="00211A44" w:rsidP="00C32603">
            <w:pPr>
              <w:spacing w:line="288" w:lineRule="auto"/>
              <w:rPr>
                <w:b/>
                <w:bCs/>
                <w:sz w:val="20"/>
                <w:szCs w:val="20"/>
              </w:rPr>
            </w:pPr>
            <w:r w:rsidRPr="004A36AA">
              <w:rPr>
                <w:b/>
                <w:bCs/>
                <w:sz w:val="20"/>
                <w:szCs w:val="20"/>
              </w:rPr>
              <w:t>10.3</w:t>
            </w:r>
          </w:p>
        </w:tc>
        <w:tc>
          <w:tcPr>
            <w:tcW w:w="709" w:type="dxa"/>
            <w:shd w:val="clear" w:color="auto" w:fill="D9D9D9"/>
            <w:vAlign w:val="center"/>
          </w:tcPr>
          <w:p w14:paraId="02B4EE7C" w14:textId="014B196C" w:rsidR="00B9390C" w:rsidRPr="004A36AA" w:rsidRDefault="00211A44" w:rsidP="00003512">
            <w:pPr>
              <w:keepNext/>
              <w:spacing w:line="288" w:lineRule="auto"/>
              <w:rPr>
                <w:b/>
                <w:bCs/>
                <w:sz w:val="20"/>
                <w:szCs w:val="20"/>
              </w:rPr>
            </w:pPr>
            <w:r w:rsidRPr="004A36AA">
              <w:rPr>
                <w:b/>
                <w:bCs/>
                <w:sz w:val="20"/>
                <w:szCs w:val="20"/>
              </w:rPr>
              <w:t>2.88</w:t>
            </w:r>
          </w:p>
        </w:tc>
      </w:tr>
    </w:tbl>
    <w:p w14:paraId="60DEA1BF" w14:textId="460386F6" w:rsidR="005F5875" w:rsidRPr="004A36AA" w:rsidRDefault="00003512" w:rsidP="00003512">
      <w:pPr>
        <w:pStyle w:val="Caption"/>
      </w:pPr>
      <w:bookmarkStart w:id="4" w:name="_Ref455562356"/>
      <w:bookmarkEnd w:id="3"/>
      <w:r w:rsidRPr="004A36AA">
        <w:t xml:space="preserve">Table </w:t>
      </w:r>
      <w:r w:rsidR="002916C1">
        <w:fldChar w:fldCharType="begin"/>
      </w:r>
      <w:r w:rsidR="002916C1">
        <w:instrText xml:space="preserve"> SEQ Table \* ARABIC </w:instrText>
      </w:r>
      <w:r w:rsidR="002916C1">
        <w:fldChar w:fldCharType="separate"/>
      </w:r>
      <w:r w:rsidR="00F30973">
        <w:rPr>
          <w:noProof/>
        </w:rPr>
        <w:t>1</w:t>
      </w:r>
      <w:r w:rsidR="002916C1">
        <w:rPr>
          <w:noProof/>
        </w:rPr>
        <w:fldChar w:fldCharType="end"/>
      </w:r>
      <w:bookmarkEnd w:id="4"/>
      <w:r w:rsidRPr="004A36AA">
        <w:t>: Self-references in party conference speeches</w:t>
      </w:r>
    </w:p>
    <w:p w14:paraId="079609FE" w14:textId="77777777" w:rsidR="00202C87" w:rsidRDefault="00D16748" w:rsidP="006942CF">
      <w:r w:rsidRPr="004A36AA">
        <w:t xml:space="preserve">Three </w:t>
      </w:r>
      <w:r w:rsidR="00245323">
        <w:t>features</w:t>
      </w:r>
      <w:r w:rsidR="00202C87">
        <w:t xml:space="preserve"> </w:t>
      </w:r>
      <w:r w:rsidRPr="004A36AA">
        <w:t xml:space="preserve">stand out when we compare the numbers. Firstly, the use of ‘I’ </w:t>
      </w:r>
      <w:r w:rsidR="0016204A" w:rsidRPr="004A36AA">
        <w:t>is highest in Blair’s pre-election speech of 1996 and lowest in Schröder’s crisis conference speech of 2003</w:t>
      </w:r>
      <w:r w:rsidR="007842D1">
        <w:t xml:space="preserve"> – </w:t>
      </w:r>
      <w:r w:rsidR="000A43A5">
        <w:t>a</w:t>
      </w:r>
      <w:r w:rsidR="0016204A" w:rsidRPr="004A36AA">
        <w:t xml:space="preserve"> speech </w:t>
      </w:r>
      <w:r w:rsidR="000A43A5">
        <w:t xml:space="preserve">that </w:t>
      </w:r>
      <w:r w:rsidR="0016204A" w:rsidRPr="004A36AA">
        <w:t xml:space="preserve">is particularly dominated by the use of exclusive </w:t>
      </w:r>
      <w:r w:rsidR="000A43A5">
        <w:t>‘</w:t>
      </w:r>
      <w:r w:rsidR="0016204A" w:rsidRPr="004A36AA">
        <w:t>we</w:t>
      </w:r>
      <w:r w:rsidR="000A43A5">
        <w:t>’</w:t>
      </w:r>
      <w:r w:rsidR="0016204A" w:rsidRPr="004A36AA">
        <w:t xml:space="preserve">. Inclusive </w:t>
      </w:r>
      <w:r w:rsidR="000A43A5">
        <w:t>‘</w:t>
      </w:r>
      <w:r w:rsidR="0016204A" w:rsidRPr="004A36AA">
        <w:t>we</w:t>
      </w:r>
      <w:r w:rsidR="000A43A5">
        <w:t>’</w:t>
      </w:r>
      <w:r w:rsidR="0016204A" w:rsidRPr="004A36AA">
        <w:t xml:space="preserve"> is highest in the pre-election speeches, and the ambiguous use of </w:t>
      </w:r>
      <w:r w:rsidR="000A43A5">
        <w:t>‘</w:t>
      </w:r>
      <w:r w:rsidR="0016204A" w:rsidRPr="004A36AA">
        <w:t>we</w:t>
      </w:r>
      <w:r w:rsidR="000A43A5">
        <w:t>’</w:t>
      </w:r>
      <w:r w:rsidR="0016204A" w:rsidRPr="004A36AA">
        <w:t xml:space="preserve"> is hig</w:t>
      </w:r>
      <w:r w:rsidR="00202C87">
        <w:t>hest in post-election speeches.</w:t>
      </w:r>
    </w:p>
    <w:p w14:paraId="71893F28" w14:textId="05319EE4" w:rsidR="006D1C33" w:rsidRPr="004A36AA" w:rsidRDefault="00234E79" w:rsidP="000E363B">
      <w:pPr>
        <w:ind w:firstLine="720"/>
      </w:pPr>
      <w:r w:rsidRPr="004A36AA">
        <w:t>B</w:t>
      </w:r>
      <w:r w:rsidR="00116727" w:rsidRPr="004A36AA">
        <w:t xml:space="preserve">lair’s 1996 pre-election speech clearly focuses on the </w:t>
      </w:r>
      <w:r w:rsidRPr="004A36AA">
        <w:t xml:space="preserve">construction of </w:t>
      </w:r>
      <w:r w:rsidR="00116727" w:rsidRPr="004A36AA">
        <w:t>his</w:t>
      </w:r>
      <w:r w:rsidRPr="004A36AA">
        <w:t xml:space="preserve"> leadership, </w:t>
      </w:r>
      <w:r w:rsidR="00116727" w:rsidRPr="004A36AA">
        <w:t xml:space="preserve">as </w:t>
      </w:r>
      <w:r w:rsidR="0081406B">
        <w:t xml:space="preserve">it </w:t>
      </w:r>
      <w:r w:rsidR="00116727" w:rsidRPr="004A36AA">
        <w:t xml:space="preserve">uses </w:t>
      </w:r>
      <w:r w:rsidRPr="004A36AA">
        <w:t xml:space="preserve">‘I’ </w:t>
      </w:r>
      <w:r w:rsidR="00116727" w:rsidRPr="004A36AA">
        <w:t xml:space="preserve">in </w:t>
      </w:r>
      <w:r w:rsidRPr="004A36AA">
        <w:t>5</w:t>
      </w:r>
      <w:r w:rsidR="00EF5488" w:rsidRPr="004A36AA">
        <w:t>1</w:t>
      </w:r>
      <w:r w:rsidRPr="004A36AA">
        <w:t>.</w:t>
      </w:r>
      <w:r w:rsidR="00EF5488" w:rsidRPr="004A36AA">
        <w:t>9</w:t>
      </w:r>
      <w:r w:rsidRPr="004A36AA">
        <w:t xml:space="preserve">% of all </w:t>
      </w:r>
      <w:r w:rsidR="000C0D57">
        <w:t xml:space="preserve">pronominal </w:t>
      </w:r>
      <w:r w:rsidRPr="004A36AA">
        <w:t>self-references</w:t>
      </w:r>
      <w:r w:rsidR="00116727" w:rsidRPr="004A36AA">
        <w:t>.</w:t>
      </w:r>
      <w:r w:rsidR="006942CF" w:rsidRPr="004A36AA">
        <w:t xml:space="preserve"> Despite this clear leadership focus, the speech is carefully crafted to also </w:t>
      </w:r>
      <w:r w:rsidR="0081406B">
        <w:t xml:space="preserve">construe </w:t>
      </w:r>
      <w:r w:rsidR="006942CF" w:rsidRPr="004A36AA">
        <w:t>the party as principal</w:t>
      </w:r>
      <w:r w:rsidR="00CE0B39">
        <w:t xml:space="preserve"> and hence focus on groupness:</w:t>
      </w:r>
      <w:r w:rsidR="00116727" w:rsidRPr="004A36AA">
        <w:t xml:space="preserve"> </w:t>
      </w:r>
      <w:r w:rsidR="00CE0B39">
        <w:t>B</w:t>
      </w:r>
      <w:r w:rsidR="006D1C33" w:rsidRPr="004A36AA">
        <w:t>oth</w:t>
      </w:r>
      <w:r w:rsidR="00CE0B39">
        <w:t xml:space="preserve"> the </w:t>
      </w:r>
      <w:r w:rsidR="00116727" w:rsidRPr="004A36AA">
        <w:t xml:space="preserve">opening </w:t>
      </w:r>
      <w:r w:rsidR="006D1C33" w:rsidRPr="004A36AA">
        <w:t>and closing</w:t>
      </w:r>
      <w:r w:rsidR="00CE0B39">
        <w:t xml:space="preserve"> words of the speech</w:t>
      </w:r>
      <w:r w:rsidR="006D1C33" w:rsidRPr="004A36AA">
        <w:t xml:space="preserve"> are </w:t>
      </w:r>
      <w:r w:rsidR="00CE0B39">
        <w:t xml:space="preserve">projected </w:t>
      </w:r>
      <w:r w:rsidR="006D1C33" w:rsidRPr="004A36AA">
        <w:t xml:space="preserve">in the party voice </w:t>
      </w:r>
      <w:r w:rsidR="00D36BAE">
        <w:t xml:space="preserve">using </w:t>
      </w:r>
      <w:r w:rsidR="006D1C33" w:rsidRPr="004A36AA">
        <w:t xml:space="preserve">exclusive </w:t>
      </w:r>
      <w:r w:rsidR="00D36BAE">
        <w:t>‘</w:t>
      </w:r>
      <w:r w:rsidR="006D1C33" w:rsidRPr="004A36AA">
        <w:t>we’</w:t>
      </w:r>
      <w:r w:rsidR="00B52C43" w:rsidRPr="004A36AA">
        <w:t>, as the closing passage</w:t>
      </w:r>
      <w:r w:rsidR="00A45836">
        <w:t xml:space="preserve"> quoted in example (3) above </w:t>
      </w:r>
      <w:r w:rsidR="00B52C43" w:rsidRPr="004A36AA">
        <w:t>demonstrates</w:t>
      </w:r>
      <w:r w:rsidR="000E363B">
        <w:t xml:space="preserve">. </w:t>
      </w:r>
      <w:r w:rsidR="006D1C33" w:rsidRPr="004A36AA">
        <w:t>Within the text,</w:t>
      </w:r>
      <w:r w:rsidR="00B52C43" w:rsidRPr="004A36AA">
        <w:t xml:space="preserve"> however, </w:t>
      </w:r>
      <w:r w:rsidR="00CE0B39">
        <w:t xml:space="preserve">‘I’ is dominant. Furthermore, </w:t>
      </w:r>
      <w:r w:rsidR="00B52C43" w:rsidRPr="004A36AA">
        <w:t>Blair regularly</w:t>
      </w:r>
      <w:r w:rsidR="00CE0B39" w:rsidRPr="00CE0B39">
        <w:t xml:space="preserve"> </w:t>
      </w:r>
      <w:r w:rsidR="00CE0B39" w:rsidRPr="004A36AA">
        <w:t>changes</w:t>
      </w:r>
      <w:r w:rsidR="00B52C43" w:rsidRPr="004A36AA">
        <w:t xml:space="preserve"> from</w:t>
      </w:r>
      <w:r w:rsidR="006D1C33" w:rsidRPr="004A36AA">
        <w:t xml:space="preserve"> </w:t>
      </w:r>
      <w:r w:rsidR="004A36AA">
        <w:t>‘I’</w:t>
      </w:r>
      <w:r w:rsidR="006D1C33" w:rsidRPr="004A36AA">
        <w:t xml:space="preserve"> to </w:t>
      </w:r>
      <w:r w:rsidR="00F129FC">
        <w:t>e</w:t>
      </w:r>
      <w:r w:rsidR="004A36AA">
        <w:t>xclusive ‘</w:t>
      </w:r>
      <w:r w:rsidR="006D1C33" w:rsidRPr="004A36AA">
        <w:t>we</w:t>
      </w:r>
      <w:r w:rsidR="004A36AA">
        <w:t xml:space="preserve">’, </w:t>
      </w:r>
      <w:r w:rsidR="001E4E43">
        <w:t>stressing his responsibility for the party’s policies and hence his leadership. A</w:t>
      </w:r>
      <w:r w:rsidR="006D1C33" w:rsidRPr="004A36AA">
        <w:t xml:space="preserve"> particularly </w:t>
      </w:r>
      <w:r w:rsidR="0034566C" w:rsidRPr="004A36AA">
        <w:t>strong example is the central summary of the pledges</w:t>
      </w:r>
      <w:r w:rsidR="00F919E7" w:rsidRPr="004A36AA">
        <w:t>,</w:t>
      </w:r>
      <w:r w:rsidR="001E4E43">
        <w:t xml:space="preserve"> a tenfold repetition of the structure </w:t>
      </w:r>
      <w:r w:rsidR="004B559C" w:rsidRPr="004A36AA">
        <w:t>‘I vow that we will …’</w:t>
      </w:r>
      <w:r w:rsidR="001E4E43">
        <w:t>:</w:t>
      </w:r>
    </w:p>
    <w:p w14:paraId="16E136F9" w14:textId="18175892" w:rsidR="00F919E7" w:rsidRPr="004A36AA" w:rsidRDefault="00F919E7" w:rsidP="00A45836">
      <w:pPr>
        <w:pStyle w:val="Quotation"/>
        <w:numPr>
          <w:ilvl w:val="0"/>
          <w:numId w:val="39"/>
        </w:numPr>
      </w:pPr>
      <w:r w:rsidRPr="00237C47">
        <w:rPr>
          <w:u w:val="single"/>
        </w:rPr>
        <w:t>I vow</w:t>
      </w:r>
      <w:r w:rsidRPr="004A36AA">
        <w:t xml:space="preserve"> that </w:t>
      </w:r>
      <w:r w:rsidRPr="00237C47">
        <w:rPr>
          <w:u w:val="single"/>
        </w:rPr>
        <w:t>we</w:t>
      </w:r>
      <w:r w:rsidRPr="004A36AA">
        <w:t xml:space="preserve"> will have increased the proportion of our national income </w:t>
      </w:r>
      <w:r w:rsidRPr="00237C47">
        <w:rPr>
          <w:u w:val="single"/>
        </w:rPr>
        <w:t>we</w:t>
      </w:r>
      <w:r w:rsidRPr="004A36AA">
        <w:t xml:space="preserve"> spend on education. </w:t>
      </w:r>
      <w:r w:rsidR="001F1951">
        <w:t>(Blair, 1996: 86)</w:t>
      </w:r>
    </w:p>
    <w:p w14:paraId="1300D4AE" w14:textId="67141433" w:rsidR="009B31E7" w:rsidRPr="004A36AA" w:rsidRDefault="009B31E7" w:rsidP="00917432">
      <w:r w:rsidRPr="004A36AA">
        <w:t>This summary of the pledges</w:t>
      </w:r>
      <w:r w:rsidR="00813D9C" w:rsidRPr="004A36AA">
        <w:t xml:space="preserve"> </w:t>
      </w:r>
      <w:r w:rsidRPr="004A36AA">
        <w:t xml:space="preserve">is presented as a ‘performance contract’. Blair introduces this idea with a </w:t>
      </w:r>
      <w:r w:rsidR="00BC7AA2">
        <w:t>story</w:t>
      </w:r>
      <w:r w:rsidR="00CA2394">
        <w:t xml:space="preserve"> or mini-narrative</w:t>
      </w:r>
      <w:r w:rsidRPr="004A36AA">
        <w:t xml:space="preserve"> about a meeting with a successful top-manager who challenged him to use th</w:t>
      </w:r>
      <w:r w:rsidR="00F129FC">
        <w:t>is</w:t>
      </w:r>
      <w:r w:rsidRPr="004A36AA">
        <w:t xml:space="preserve"> managerial tool</w:t>
      </w:r>
      <w:r w:rsidR="000E363B">
        <w:t>,</w:t>
      </w:r>
      <w:r w:rsidRPr="004A36AA">
        <w:t xml:space="preserve"> and how </w:t>
      </w:r>
      <w:r w:rsidR="00F129FC">
        <w:t xml:space="preserve">Blair </w:t>
      </w:r>
      <w:r w:rsidRPr="004A36AA">
        <w:t>wishes to meet this challenge. This</w:t>
      </w:r>
      <w:r w:rsidR="00BC7AA2">
        <w:t xml:space="preserve"> mini-</w:t>
      </w:r>
      <w:r w:rsidRPr="004A36AA">
        <w:t>narrative introduce</w:t>
      </w:r>
      <w:r w:rsidR="000C0D57">
        <w:t>s</w:t>
      </w:r>
      <w:r w:rsidRPr="004A36AA">
        <w:t xml:space="preserve"> the idea of measurable success into the discourse of New Labour, but is also used to construe Blair’s personal competency and responsibility as a leader: he is depicted as comparable to an industry leader </w:t>
      </w:r>
      <w:r w:rsidR="00CE68CF">
        <w:t xml:space="preserve">who </w:t>
      </w:r>
      <w:r w:rsidRPr="004A36AA">
        <w:t xml:space="preserve">personally takes responsibility for the success of the party and speaks on </w:t>
      </w:r>
      <w:r w:rsidR="00CE68CF">
        <w:t>its behalf.</w:t>
      </w:r>
      <w:r w:rsidRPr="004A36AA">
        <w:t xml:space="preserve"> </w:t>
      </w:r>
      <w:r w:rsidR="00CE0B39">
        <w:t xml:space="preserve">Embedded in this </w:t>
      </w:r>
      <w:r w:rsidR="00BC7AA2">
        <w:t>personal narrative</w:t>
      </w:r>
      <w:r w:rsidR="00CE0B39">
        <w:t xml:space="preserve">, the structure </w:t>
      </w:r>
      <w:r w:rsidR="00AC2611">
        <w:t xml:space="preserve">‘I vow that we will’ </w:t>
      </w:r>
      <w:r w:rsidR="00CE0B39">
        <w:t xml:space="preserve">clearly foregrounds Blair as the principal of this </w:t>
      </w:r>
      <w:r w:rsidR="000C0D57">
        <w:t xml:space="preserve">contract, rather than the party, </w:t>
      </w:r>
      <w:r w:rsidR="00BC3AD4">
        <w:t xml:space="preserve">indicating the </w:t>
      </w:r>
      <w:r w:rsidR="007B4D11">
        <w:t>presidentialization</w:t>
      </w:r>
      <w:r w:rsidR="000C0D57">
        <w:t xml:space="preserve"> of the party face</w:t>
      </w:r>
      <w:r w:rsidR="00917432">
        <w:t xml:space="preserve"> as defined</w:t>
      </w:r>
      <w:r w:rsidR="000C0D57">
        <w:t xml:space="preserve"> </w:t>
      </w:r>
      <w:r w:rsidR="00917432">
        <w:t xml:space="preserve">by Poguntke and Web </w:t>
      </w:r>
      <w:r w:rsidR="001F1951">
        <w:t>(2005: 8)</w:t>
      </w:r>
      <w:r w:rsidR="00917432">
        <w:t xml:space="preserve"> as one of the faces of </w:t>
      </w:r>
      <w:r w:rsidR="007B4D11">
        <w:t>presidentialization</w:t>
      </w:r>
      <w:r w:rsidR="00917432">
        <w:t>: “</w:t>
      </w:r>
      <w:r w:rsidR="00917432">
        <w:rPr>
          <w:lang w:val="en-US"/>
        </w:rPr>
        <w:t>Party faces of presidentialization revolve around the growing power of leaders vis-a`-vis their parties. Essentially, the pertinent question is whether the exercise of power is highly personalized or primarily party-constrained.”</w:t>
      </w:r>
      <w:r w:rsidR="00917432" w:rsidRPr="004A36AA">
        <w:t xml:space="preserve"> </w:t>
      </w:r>
    </w:p>
    <w:p w14:paraId="414DC5D0" w14:textId="70D614F4" w:rsidR="00963EC3" w:rsidRDefault="00963EC3" w:rsidP="00CE0B39">
      <w:r>
        <w:t>In another passage of the speech, Blair opens a chain of responsibility: He leads the party and the party leads the country:</w:t>
      </w:r>
    </w:p>
    <w:p w14:paraId="7DEC993D" w14:textId="2E6B8C69" w:rsidR="00963EC3" w:rsidRPr="00CE0B39" w:rsidRDefault="00963EC3" w:rsidP="00A45836">
      <w:pPr>
        <w:pStyle w:val="Quotation"/>
        <w:numPr>
          <w:ilvl w:val="0"/>
          <w:numId w:val="39"/>
        </w:numPr>
      </w:pPr>
      <w:r w:rsidRPr="00CE0B39">
        <w:t xml:space="preserve">Today, </w:t>
      </w:r>
      <w:r w:rsidRPr="00237C47">
        <w:rPr>
          <w:u w:val="single"/>
        </w:rPr>
        <w:t>I</w:t>
      </w:r>
      <w:r w:rsidRPr="00CE0B39">
        <w:t xml:space="preserve"> offer </w:t>
      </w:r>
      <w:r w:rsidRPr="00237C47">
        <w:rPr>
          <w:u w:val="single"/>
        </w:rPr>
        <w:t>you</w:t>
      </w:r>
      <w:r w:rsidRPr="00CE0B39">
        <w:t xml:space="preserve">, and </w:t>
      </w:r>
      <w:r w:rsidRPr="00237C47">
        <w:rPr>
          <w:u w:val="single"/>
        </w:rPr>
        <w:t>we</w:t>
      </w:r>
      <w:r w:rsidRPr="00CE0B39">
        <w:t xml:space="preserve"> offer the country a new vision. If </w:t>
      </w:r>
      <w:r w:rsidRPr="00237C47">
        <w:rPr>
          <w:u w:val="single"/>
        </w:rPr>
        <w:t>we</w:t>
      </w:r>
      <w:r w:rsidRPr="00CE0B39">
        <w:t xml:space="preserve"> are to build this new age of achievement, </w:t>
      </w:r>
      <w:r w:rsidRPr="00237C47">
        <w:rPr>
          <w:u w:val="single"/>
        </w:rPr>
        <w:t>you</w:t>
      </w:r>
      <w:r w:rsidRPr="00CE0B39">
        <w:t xml:space="preserve"> and </w:t>
      </w:r>
      <w:r w:rsidRPr="00237C47">
        <w:rPr>
          <w:u w:val="single"/>
        </w:rPr>
        <w:t>I</w:t>
      </w:r>
      <w:r w:rsidRPr="00CE0B39">
        <w:t xml:space="preserve"> and all of us together must build first the decent society to deliver it </w:t>
      </w:r>
      <w:r w:rsidR="001F1951">
        <w:t>(Blair, 1996: 84)</w:t>
      </w:r>
    </w:p>
    <w:p w14:paraId="2FD79E9C" w14:textId="359B0DE6" w:rsidR="00963EC3" w:rsidRDefault="0022496A" w:rsidP="00CE0B39">
      <w:r>
        <w:t>Not</w:t>
      </w:r>
      <w:r w:rsidR="00963EC3">
        <w:t xml:space="preserve">able is that even after the connection between ‘I’ (the leader), exclusive ‘we’ (the party), and inclusive ‘we’ (the nation), he does not </w:t>
      </w:r>
      <w:r w:rsidR="001D78A0">
        <w:t xml:space="preserve">keep </w:t>
      </w:r>
      <w:r w:rsidR="00963EC3">
        <w:t>us</w:t>
      </w:r>
      <w:r w:rsidR="001D78A0">
        <w:t>ing</w:t>
      </w:r>
      <w:r w:rsidR="00963EC3">
        <w:t xml:space="preserve"> the inclusive ‘we’ when he urges the nation to build the first decent society, </w:t>
      </w:r>
      <w:r w:rsidR="00AC2611">
        <w:t>but</w:t>
      </w:r>
      <w:r w:rsidR="00963EC3">
        <w:t xml:space="preserve"> says ‘you and I and all of us’, </w:t>
      </w:r>
      <w:r w:rsidR="006444D0">
        <w:t>foregrounding his role as leader.</w:t>
      </w:r>
    </w:p>
    <w:p w14:paraId="449D55A0" w14:textId="65DE3038" w:rsidR="00785B31" w:rsidRDefault="00DD751B" w:rsidP="00785B31">
      <w:r w:rsidRPr="004A36AA">
        <w:t>Schröder</w:t>
      </w:r>
      <w:r w:rsidR="00CE0B39">
        <w:t>’s pre-election speech at the party conference in April</w:t>
      </w:r>
      <w:r w:rsidRPr="004A36AA">
        <w:t xml:space="preserve"> 1998 </w:t>
      </w:r>
      <w:r w:rsidR="00CE0B39">
        <w:t xml:space="preserve">is </w:t>
      </w:r>
      <w:r w:rsidRPr="004A36AA">
        <w:t xml:space="preserve">not </w:t>
      </w:r>
      <w:r w:rsidR="0022496A">
        <w:t>nearly</w:t>
      </w:r>
      <w:r w:rsidRPr="004A36AA">
        <w:t xml:space="preserve"> as leader</w:t>
      </w:r>
      <w:r w:rsidR="004B63B4">
        <w:t>-</w:t>
      </w:r>
      <w:r w:rsidRPr="004A36AA">
        <w:t>focused</w:t>
      </w:r>
      <w:r w:rsidR="00CE0B39">
        <w:t xml:space="preserve"> as Blair’s: He only uses ‘I’ in </w:t>
      </w:r>
      <w:r w:rsidRPr="004A36AA">
        <w:t>33.6</w:t>
      </w:r>
      <w:r w:rsidR="00CE0B39">
        <w:t xml:space="preserve">% of all pronominal self-references. </w:t>
      </w:r>
      <w:r w:rsidR="006444D0">
        <w:t xml:space="preserve">Schröder also opens and closes the speech in the name of the party, but barely uses any personal narratives or foregrounds himself within the party. A foregrounded </w:t>
      </w:r>
      <w:r w:rsidR="009F25B6" w:rsidRPr="004A36AA">
        <w:t>construction of leadership</w:t>
      </w:r>
      <w:r w:rsidR="006444D0">
        <w:t xml:space="preserve"> similar to Blair’s pre-election speech </w:t>
      </w:r>
      <w:r w:rsidR="009F25B6" w:rsidRPr="004A36AA">
        <w:t xml:space="preserve">would be </w:t>
      </w:r>
      <w:r w:rsidR="004B63B4">
        <w:t xml:space="preserve">considered </w:t>
      </w:r>
      <w:r w:rsidR="009F25B6" w:rsidRPr="004A36AA">
        <w:t>unsuitable for Schröder as a chancellor candidate</w:t>
      </w:r>
      <w:r w:rsidR="00785B31">
        <w:t xml:space="preserve">. While Blair speaks as undisputed leader, Schröder </w:t>
      </w:r>
      <w:r w:rsidR="00B91342">
        <w:t>does so</w:t>
      </w:r>
      <w:r w:rsidR="00785B31">
        <w:t xml:space="preserve"> as candidate asking to be elected as chancellor candidate. At the pre-election conference, Blair’s speech focuses on his leadership qualities, while Schröder demonstrates that he can be the party’s voice, the animator for the party as principal. That Schröder campaigns for votes </w:t>
      </w:r>
      <w:r w:rsidR="009F25B6" w:rsidRPr="004A36AA">
        <w:t xml:space="preserve">becomes </w:t>
      </w:r>
      <w:r w:rsidR="00785B31">
        <w:t xml:space="preserve">explicit </w:t>
      </w:r>
      <w:r w:rsidR="009F25B6" w:rsidRPr="004A36AA">
        <w:t xml:space="preserve">at the end of </w:t>
      </w:r>
      <w:r w:rsidR="00785B31">
        <w:t xml:space="preserve">his </w:t>
      </w:r>
      <w:r w:rsidR="009F25B6" w:rsidRPr="004A36AA">
        <w:t>speech, whe</w:t>
      </w:r>
      <w:r w:rsidR="00132FED">
        <w:t>n</w:t>
      </w:r>
      <w:r w:rsidR="009F25B6" w:rsidRPr="004A36AA">
        <w:t xml:space="preserve"> he asks the delegates directly to vote for him as their chancellor candidate</w:t>
      </w:r>
      <w:r w:rsidR="00785B31">
        <w:t>.</w:t>
      </w:r>
    </w:p>
    <w:p w14:paraId="00CAB91A" w14:textId="6BE3B32F" w:rsidR="000E6CC0" w:rsidRPr="004A36AA" w:rsidRDefault="00785B31" w:rsidP="00B91342">
      <w:r>
        <w:t xml:space="preserve">But the differences in the </w:t>
      </w:r>
      <w:r w:rsidR="001842FC">
        <w:t xml:space="preserve">use of pronominal self-references </w:t>
      </w:r>
      <w:r w:rsidR="003B0A3E">
        <w:t xml:space="preserve">also have reasons in the differences of the political cultures in general, as these linguistic differences also occur in other genres such as election manifestos </w:t>
      </w:r>
      <w:r w:rsidR="001F1951">
        <w:t>(Kranert, 2016)</w:t>
      </w:r>
      <w:r w:rsidR="003B0A3E">
        <w:t>. Blair’s foregrounding of his leadership persona is</w:t>
      </w:r>
      <w:r w:rsidR="00B91342">
        <w:t xml:space="preserve"> therefore</w:t>
      </w:r>
      <w:r w:rsidR="003B0A3E">
        <w:t xml:space="preserve"> indicative for the process of </w:t>
      </w:r>
      <w:r w:rsidR="000E6CC0" w:rsidRPr="004A36AA">
        <w:t>presidentialization</w:t>
      </w:r>
      <w:r w:rsidR="003B0A3E">
        <w:t xml:space="preserve"> discussed above. </w:t>
      </w:r>
      <w:r w:rsidR="00110ADA">
        <w:t>In the 1990 and early 2000s, t</w:t>
      </w:r>
      <w:r w:rsidR="003B0A3E">
        <w:t xml:space="preserve">his process is </w:t>
      </w:r>
      <w:r w:rsidR="000E6CC0" w:rsidRPr="004A36AA">
        <w:t>further advanced</w:t>
      </w:r>
      <w:r w:rsidR="003B0A3E">
        <w:t xml:space="preserve"> in Britain</w:t>
      </w:r>
      <w:r w:rsidR="00764DE0">
        <w:t xml:space="preserve"> than in Germany</w:t>
      </w:r>
      <w:r w:rsidR="00110ADA">
        <w:t>.</w:t>
      </w:r>
      <w:r w:rsidR="003B0A3E">
        <w:t xml:space="preserve"> </w:t>
      </w:r>
      <w:r w:rsidR="00110ADA">
        <w:t>I</w:t>
      </w:r>
      <w:r w:rsidR="00764DE0">
        <w:t>n Germany</w:t>
      </w:r>
      <w:r w:rsidR="00110ADA">
        <w:t>,</w:t>
      </w:r>
      <w:r w:rsidR="00764DE0">
        <w:t xml:space="preserve"> </w:t>
      </w:r>
      <w:r w:rsidR="00110ADA">
        <w:t xml:space="preserve">presidentialization </w:t>
      </w:r>
      <w:r w:rsidR="003B0A3E">
        <w:t xml:space="preserve">is mitigated by </w:t>
      </w:r>
      <w:r w:rsidR="007C2963">
        <w:t>the</w:t>
      </w:r>
      <w:r w:rsidR="003B0A3E">
        <w:t xml:space="preserve"> stronger influence of parties </w:t>
      </w:r>
      <w:r w:rsidR="00764DE0">
        <w:t xml:space="preserve">on </w:t>
      </w:r>
      <w:r w:rsidR="003B0A3E">
        <w:t>society</w:t>
      </w:r>
      <w:r w:rsidR="000E6CC0" w:rsidRPr="004A36AA">
        <w:t xml:space="preserve"> </w:t>
      </w:r>
      <w:r w:rsidR="001F1951">
        <w:t>(Poguntke, 2005; Abromeit and Stoiber, 2006)</w:t>
      </w:r>
      <w:r w:rsidR="00B91342">
        <w:t xml:space="preserve"> as well as the </w:t>
      </w:r>
      <w:r w:rsidR="007C2963">
        <w:t xml:space="preserve">greater </w:t>
      </w:r>
      <w:r w:rsidR="00B91342">
        <w:t xml:space="preserve">complexity of the German political system, which comprises </w:t>
      </w:r>
      <w:r w:rsidR="000E6CC0" w:rsidRPr="004A36AA">
        <w:t>many more veto players</w:t>
      </w:r>
      <w:r w:rsidR="00B91342">
        <w:t xml:space="preserve"> such an </w:t>
      </w:r>
      <w:r w:rsidR="008F1A0A">
        <w:t>influential second</w:t>
      </w:r>
      <w:r w:rsidR="00B91342">
        <w:t xml:space="preserve"> parliamentary chamber (Bundesrat) and coalition partners. Furthermore, structural </w:t>
      </w:r>
      <w:r w:rsidR="000E6CC0" w:rsidRPr="004A36AA">
        <w:t xml:space="preserve">reforms </w:t>
      </w:r>
      <w:r w:rsidR="00B91342">
        <w:t xml:space="preserve">within the Labour party </w:t>
      </w:r>
      <w:r w:rsidR="000E6CC0" w:rsidRPr="004A36AA">
        <w:t>since 1983 made the leader</w:t>
      </w:r>
      <w:r w:rsidR="00B91342">
        <w:t xml:space="preserve"> of the Labour party</w:t>
      </w:r>
      <w:r w:rsidR="000E6CC0" w:rsidRPr="004A36AA">
        <w:t xml:space="preserve"> much more autonomous than in</w:t>
      </w:r>
      <w:r w:rsidR="00B91342">
        <w:t xml:space="preserve"> the German SPD</w:t>
      </w:r>
      <w:r w:rsidR="000E6CC0" w:rsidRPr="004A36AA">
        <w:t xml:space="preserve">: They introduced complex policy development procedures that are more under the control of the leadership and also integrated strong plebiscitary elements in the party democracy that weaken the influence of party activists. </w:t>
      </w:r>
      <w:r w:rsidR="00B91342">
        <w:t>A</w:t>
      </w:r>
      <w:r w:rsidR="000E6CC0" w:rsidRPr="004A36AA">
        <w:t xml:space="preserve">lthough the German SPD </w:t>
      </w:r>
      <w:r w:rsidR="00B91342">
        <w:t xml:space="preserve">attempted similar </w:t>
      </w:r>
      <w:r w:rsidR="000E6CC0" w:rsidRPr="004A36AA">
        <w:t xml:space="preserve">reforms </w:t>
      </w:r>
      <w:r w:rsidR="00B91342">
        <w:t>to</w:t>
      </w:r>
      <w:r w:rsidR="000E6CC0" w:rsidRPr="004A36AA">
        <w:t xml:space="preserve"> allow plebiscitary elements</w:t>
      </w:r>
      <w:r w:rsidR="00081F11">
        <w:t xml:space="preserve"> to strengthen the party leader</w:t>
      </w:r>
      <w:r w:rsidR="000E6CC0" w:rsidRPr="004A36AA">
        <w:t>, they refrained from using them after the popular election of</w:t>
      </w:r>
      <w:r w:rsidR="009366DD">
        <w:t xml:space="preserve"> </w:t>
      </w:r>
      <w:r w:rsidR="008F1A0A">
        <w:t xml:space="preserve">Rudolf </w:t>
      </w:r>
      <w:r w:rsidR="008F1A0A" w:rsidRPr="004A36AA">
        <w:t>Scharping</w:t>
      </w:r>
      <w:r w:rsidR="000E6CC0" w:rsidRPr="004A36AA">
        <w:t xml:space="preserve"> as a party leader did not prove successful </w:t>
      </w:r>
      <w:r w:rsidR="001F1951">
        <w:t>(Jun, 2004: 136–149)</w:t>
      </w:r>
      <w:r w:rsidR="000E6CC0" w:rsidRPr="004A36AA">
        <w:t>.</w:t>
      </w:r>
    </w:p>
    <w:p w14:paraId="21657B80" w14:textId="15683524" w:rsidR="001E31F8" w:rsidRPr="004A36AA" w:rsidRDefault="00081F11" w:rsidP="001E31F8">
      <w:r>
        <w:t xml:space="preserve">The clearly increased use of ambiguous ‘we’ in post-election speeches demonstrates that these speeches are </w:t>
      </w:r>
      <w:r w:rsidR="009F25B6" w:rsidRPr="004A36AA">
        <w:t>hybrids:</w:t>
      </w:r>
      <w:r w:rsidR="00894F77">
        <w:t xml:space="preserve"> </w:t>
      </w:r>
      <w:r w:rsidR="009F25B6" w:rsidRPr="004A36AA">
        <w:t>Schröder’s speech</w:t>
      </w:r>
      <w:r w:rsidR="00894F77">
        <w:t xml:space="preserve"> is dominated by policy and seems</w:t>
      </w:r>
      <w:r w:rsidR="009F25B6" w:rsidRPr="004A36AA">
        <w:t xml:space="preserve"> a hybrid between a leader’s speeches and a government report</w:t>
      </w:r>
      <w:r w:rsidR="00813094">
        <w:t>, since</w:t>
      </w:r>
      <w:r w:rsidR="001E31F8">
        <w:t xml:space="preserve"> </w:t>
      </w:r>
      <w:r w:rsidR="00813094">
        <w:t>t</w:t>
      </w:r>
      <w:r w:rsidR="001E31F8">
        <w:t xml:space="preserve">he </w:t>
      </w:r>
      <w:r w:rsidR="001E31F8" w:rsidRPr="004A36AA">
        <w:t>speech has the lowest use of exclusive ‘we’ in all the speeches and the highest use of ambiguous and other ‘we’, which mainly refers to the government</w:t>
      </w:r>
      <w:r w:rsidR="00813094">
        <w:t>:</w:t>
      </w:r>
    </w:p>
    <w:p w14:paraId="605FF1FA" w14:textId="138A0732" w:rsidR="00EF6AA6" w:rsidRPr="00EF6AA6" w:rsidRDefault="001E31F8" w:rsidP="00A45836">
      <w:pPr>
        <w:pStyle w:val="Quotation"/>
        <w:numPr>
          <w:ilvl w:val="0"/>
          <w:numId w:val="39"/>
        </w:numPr>
        <w:rPr>
          <w:i/>
        </w:rPr>
      </w:pPr>
      <w:r w:rsidRPr="00EF6AA6">
        <w:rPr>
          <w:lang w:val="de-DE"/>
        </w:rPr>
        <w:t xml:space="preserve">Liebe Genossinnen und Genossen, </w:t>
      </w:r>
      <w:r w:rsidRPr="003921D5">
        <w:rPr>
          <w:u w:val="single"/>
          <w:lang w:val="de-DE"/>
        </w:rPr>
        <w:t>wir</w:t>
      </w:r>
      <w:r w:rsidRPr="00EF6AA6">
        <w:rPr>
          <w:lang w:val="de-DE"/>
        </w:rPr>
        <w:t xml:space="preserve"> wollen und </w:t>
      </w:r>
      <w:r w:rsidRPr="003921D5">
        <w:rPr>
          <w:u w:val="single"/>
          <w:lang w:val="de-DE"/>
        </w:rPr>
        <w:t>wir</w:t>
      </w:r>
      <w:r w:rsidRPr="00EF6AA6">
        <w:rPr>
          <w:lang w:val="de-DE"/>
        </w:rPr>
        <w:t xml:space="preserve"> werden einen neuen Anfang in Deutschland machen: zuerst in Bonn und dann in Berlin. </w:t>
      </w:r>
      <w:r w:rsidRPr="003921D5">
        <w:rPr>
          <w:u w:val="single"/>
          <w:lang w:val="de-DE"/>
        </w:rPr>
        <w:t>Wir</w:t>
      </w:r>
      <w:r w:rsidRPr="00EF6AA6">
        <w:rPr>
          <w:lang w:val="de-DE"/>
        </w:rPr>
        <w:t xml:space="preserve"> bauen dabei auf die Geschlossenheit und die Disziplin der SPD, wir bauen dabei auf </w:t>
      </w:r>
      <w:r w:rsidRPr="003921D5">
        <w:rPr>
          <w:u w:val="single"/>
          <w:lang w:val="de-DE"/>
        </w:rPr>
        <w:t>eure</w:t>
      </w:r>
      <w:r w:rsidRPr="00EF6AA6">
        <w:rPr>
          <w:lang w:val="de-DE"/>
        </w:rPr>
        <w:t xml:space="preserve"> Unterstützung heute und morgen. </w:t>
      </w:r>
      <w:r w:rsidR="001F1951" w:rsidRPr="001F1951">
        <w:rPr>
          <w:lang w:val="de-DE"/>
        </w:rPr>
        <w:t>(Schröder, 1998b: 46)</w:t>
      </w:r>
    </w:p>
    <w:p w14:paraId="4FCCC49A" w14:textId="0EBEE3E6" w:rsidR="001E31F8" w:rsidRPr="00EF6AA6" w:rsidRDefault="001E31F8" w:rsidP="00A45836">
      <w:pPr>
        <w:pStyle w:val="Quotation"/>
        <w:ind w:left="1429"/>
        <w:rPr>
          <w:i/>
        </w:rPr>
      </w:pPr>
      <w:r w:rsidRPr="00EF6AA6">
        <w:rPr>
          <w:i/>
        </w:rPr>
        <w:t xml:space="preserve">Dear Comrades. </w:t>
      </w:r>
      <w:r w:rsidRPr="008707D2">
        <w:rPr>
          <w:i/>
          <w:u w:val="single"/>
        </w:rPr>
        <w:t>We</w:t>
      </w:r>
      <w:r w:rsidRPr="00EF6AA6">
        <w:rPr>
          <w:i/>
        </w:rPr>
        <w:t xml:space="preserve"> want </w:t>
      </w:r>
      <w:r w:rsidR="001842FC" w:rsidRPr="00EF6AA6">
        <w:rPr>
          <w:i/>
        </w:rPr>
        <w:t xml:space="preserve">to </w:t>
      </w:r>
      <w:r w:rsidRPr="00EF6AA6">
        <w:rPr>
          <w:i/>
        </w:rPr>
        <w:t xml:space="preserve">and </w:t>
      </w:r>
      <w:r w:rsidRPr="008707D2">
        <w:rPr>
          <w:i/>
          <w:u w:val="single"/>
        </w:rPr>
        <w:t>we</w:t>
      </w:r>
      <w:r w:rsidRPr="00EF6AA6">
        <w:rPr>
          <w:i/>
        </w:rPr>
        <w:t xml:space="preserve"> will start afresh in Germany: first in Bonn, and then in Berlin. For this, </w:t>
      </w:r>
      <w:r w:rsidRPr="003921D5">
        <w:rPr>
          <w:i/>
          <w:u w:val="single"/>
        </w:rPr>
        <w:t>we</w:t>
      </w:r>
      <w:r w:rsidRPr="00EF6AA6">
        <w:rPr>
          <w:i/>
        </w:rPr>
        <w:t xml:space="preserve"> </w:t>
      </w:r>
      <w:r w:rsidR="008707D2">
        <w:rPr>
          <w:i/>
        </w:rPr>
        <w:t>count</w:t>
      </w:r>
      <w:r w:rsidRPr="00EF6AA6">
        <w:rPr>
          <w:i/>
        </w:rPr>
        <w:t xml:space="preserve"> on the unanimity and discipline of the</w:t>
      </w:r>
      <w:r w:rsidR="008707D2">
        <w:rPr>
          <w:i/>
        </w:rPr>
        <w:t xml:space="preserve"> party, </w:t>
      </w:r>
      <w:r w:rsidR="008707D2" w:rsidRPr="003921D5">
        <w:rPr>
          <w:i/>
          <w:u w:val="single"/>
        </w:rPr>
        <w:t>we</w:t>
      </w:r>
      <w:r w:rsidR="008707D2">
        <w:rPr>
          <w:i/>
        </w:rPr>
        <w:t xml:space="preserve"> bank on </w:t>
      </w:r>
      <w:r w:rsidR="008707D2" w:rsidRPr="003921D5">
        <w:rPr>
          <w:i/>
          <w:u w:val="single"/>
        </w:rPr>
        <w:t>your</w:t>
      </w:r>
      <w:r w:rsidR="008707D2">
        <w:rPr>
          <w:i/>
        </w:rPr>
        <w:t xml:space="preserve"> support today and tomorrow.</w:t>
      </w:r>
    </w:p>
    <w:p w14:paraId="3F9539CC" w14:textId="0E749D60" w:rsidR="001E31F8" w:rsidRPr="004A36AA" w:rsidRDefault="00452EED" w:rsidP="00452EED">
      <w:r>
        <w:t>While the first ‘</w:t>
      </w:r>
      <w:r w:rsidR="004D6B19">
        <w:t>wir</w:t>
      </w:r>
      <w:r>
        <w:t xml:space="preserve">’ leaves the referent open, </w:t>
      </w:r>
      <w:r w:rsidR="001E31F8" w:rsidRPr="004A36AA">
        <w:t>the ‘</w:t>
      </w:r>
      <w:r w:rsidR="004D6B19">
        <w:t>wir</w:t>
      </w:r>
      <w:r w:rsidR="001E31F8" w:rsidRPr="004A36AA">
        <w:t xml:space="preserve">’ in ‘Wir bauen dabei auf’ </w:t>
      </w:r>
      <w:r>
        <w:t xml:space="preserve">disambiguates it. It </w:t>
      </w:r>
      <w:r w:rsidR="001E31F8" w:rsidRPr="004A36AA">
        <w:t>does not include the audi</w:t>
      </w:r>
      <w:r w:rsidR="003921D5">
        <w:t>ence</w:t>
      </w:r>
      <w:r w:rsidR="001E31F8" w:rsidRPr="004A36AA">
        <w:t>, which is referred to as ‘eure’. It can therefore only mean the prospective government, and Schröder asks here for the party’s support of the government.</w:t>
      </w:r>
      <w:r>
        <w:t xml:space="preserve"> This is a necessary question, as </w:t>
      </w:r>
      <w:r w:rsidR="001E31F8" w:rsidRPr="004A36AA">
        <w:t>this party conference needs to approve the Coalition-agreement</w:t>
      </w:r>
      <w:r>
        <w:t xml:space="preserve"> of the SPD and the Green party, drafted by the party leadership. T</w:t>
      </w:r>
      <w:r w:rsidR="001E31F8" w:rsidRPr="004A36AA">
        <w:t xml:space="preserve">he aim of his speech as prospective Chancellor is to gain support for the government’s programme. </w:t>
      </w:r>
      <w:r>
        <w:t>But quite often, the ambiguity does not only swing between ‘we’ the government and ‘we’ the party, but also between ‘we’ the government and ‘we’ the nation:</w:t>
      </w:r>
    </w:p>
    <w:p w14:paraId="0B540DBA" w14:textId="77777777" w:rsidR="001E31F8" w:rsidRPr="004A36AA" w:rsidRDefault="001E31F8" w:rsidP="001E31F8">
      <w:pPr>
        <w:pStyle w:val="ListParagraph"/>
      </w:pPr>
    </w:p>
    <w:p w14:paraId="329F52A4" w14:textId="6C64E20B" w:rsidR="001E31F8" w:rsidRDefault="001E31F8" w:rsidP="00A45836">
      <w:pPr>
        <w:pStyle w:val="ListParagraph"/>
        <w:numPr>
          <w:ilvl w:val="0"/>
          <w:numId w:val="39"/>
        </w:numPr>
        <w:rPr>
          <w:lang w:eastAsia="en-GB"/>
        </w:rPr>
      </w:pPr>
      <w:r w:rsidRPr="00033DFF">
        <w:rPr>
          <w:u w:val="single"/>
          <w:lang w:eastAsia="en-GB"/>
        </w:rPr>
        <w:t>Wir</w:t>
      </w:r>
      <w:r w:rsidRPr="004A36AA">
        <w:rPr>
          <w:lang w:eastAsia="en-GB"/>
        </w:rPr>
        <w:t xml:space="preserve"> wollen selbstverständlich auf die Mobilisierung von Energiespartechnologien setzen. Dabei muß aber deutlich werden: </w:t>
      </w:r>
      <w:r w:rsidRPr="00033DFF">
        <w:rPr>
          <w:u w:val="single"/>
          <w:lang w:eastAsia="en-GB"/>
        </w:rPr>
        <w:t>Wir</w:t>
      </w:r>
      <w:r w:rsidRPr="004A36AA">
        <w:rPr>
          <w:lang w:eastAsia="en-GB"/>
        </w:rPr>
        <w:t xml:space="preserve"> steigen ein; </w:t>
      </w:r>
      <w:r w:rsidRPr="00033DFF">
        <w:rPr>
          <w:u w:val="single"/>
          <w:lang w:eastAsia="en-GB"/>
        </w:rPr>
        <w:t>wir</w:t>
      </w:r>
      <w:r w:rsidRPr="004A36AA">
        <w:rPr>
          <w:lang w:eastAsia="en-GB"/>
        </w:rPr>
        <w:t xml:space="preserve"> steigen nicht aus. </w:t>
      </w:r>
      <w:r w:rsidRPr="00033DFF">
        <w:rPr>
          <w:u w:val="single"/>
          <w:lang w:eastAsia="en-GB"/>
        </w:rPr>
        <w:t>Wir</w:t>
      </w:r>
      <w:r w:rsidRPr="004A36AA">
        <w:rPr>
          <w:lang w:eastAsia="en-GB"/>
        </w:rPr>
        <w:t xml:space="preserve"> wollen </w:t>
      </w:r>
      <w:r w:rsidR="00150BCB">
        <w:rPr>
          <w:lang w:eastAsia="en-GB"/>
        </w:rPr>
        <w:t>–</w:t>
      </w:r>
      <w:r w:rsidRPr="004A36AA">
        <w:rPr>
          <w:lang w:eastAsia="en-GB"/>
        </w:rPr>
        <w:t xml:space="preserve"> es gibt insbesondere in der Bundestagsfraktion der SPD viele Vorarbeiten </w:t>
      </w:r>
      <w:r w:rsidR="00E24DD0">
        <w:rPr>
          <w:lang w:eastAsia="en-GB"/>
        </w:rPr>
        <w:t xml:space="preserve">dazu – </w:t>
      </w:r>
      <w:r w:rsidRPr="004A36AA">
        <w:rPr>
          <w:lang w:eastAsia="en-GB"/>
        </w:rPr>
        <w:t xml:space="preserve">die regenerativen Energieträger offensiver nutzen, als das jemals zuvor erwogen worden ist. </w:t>
      </w:r>
      <w:r w:rsidR="001F1951">
        <w:rPr>
          <w:lang w:eastAsia="en-GB"/>
        </w:rPr>
        <w:t>(Schröder, 1998b: 44)</w:t>
      </w:r>
    </w:p>
    <w:p w14:paraId="2619F6C6" w14:textId="582DD8EC" w:rsidR="00452EED" w:rsidRPr="00452EED" w:rsidRDefault="00452EED" w:rsidP="00A45836">
      <w:pPr>
        <w:ind w:left="1429"/>
        <w:rPr>
          <w:i/>
          <w:lang w:eastAsia="en-GB"/>
        </w:rPr>
      </w:pPr>
      <w:r w:rsidRPr="00452EED">
        <w:rPr>
          <w:i/>
        </w:rPr>
        <w:t xml:space="preserve">Of course </w:t>
      </w:r>
      <w:r w:rsidRPr="00033DFF">
        <w:rPr>
          <w:i/>
          <w:u w:val="single"/>
        </w:rPr>
        <w:t>we</w:t>
      </w:r>
      <w:r w:rsidRPr="00452EED">
        <w:rPr>
          <w:i/>
        </w:rPr>
        <w:t xml:space="preserve"> want to focus on using new</w:t>
      </w:r>
      <w:r w:rsidR="004924FC">
        <w:rPr>
          <w:i/>
        </w:rPr>
        <w:t xml:space="preserve"> energy saving technologies</w:t>
      </w:r>
      <w:r w:rsidRPr="00452EED">
        <w:rPr>
          <w:i/>
        </w:rPr>
        <w:t xml:space="preserve">. But it must be clear: </w:t>
      </w:r>
      <w:r w:rsidR="00577EFC">
        <w:rPr>
          <w:i/>
          <w:u w:val="single"/>
        </w:rPr>
        <w:t>w</w:t>
      </w:r>
      <w:r w:rsidRPr="00033DFF">
        <w:rPr>
          <w:i/>
          <w:u w:val="single"/>
        </w:rPr>
        <w:t>e</w:t>
      </w:r>
      <w:r w:rsidRPr="00452EED">
        <w:rPr>
          <w:i/>
        </w:rPr>
        <w:t xml:space="preserve"> are </w:t>
      </w:r>
      <w:r w:rsidR="00150BCB">
        <w:rPr>
          <w:i/>
        </w:rPr>
        <w:t>opting</w:t>
      </w:r>
      <w:r w:rsidRPr="00452EED">
        <w:rPr>
          <w:i/>
        </w:rPr>
        <w:t xml:space="preserve"> into something new, </w:t>
      </w:r>
      <w:r w:rsidR="00150BCB" w:rsidRPr="00033DFF">
        <w:rPr>
          <w:i/>
          <w:u w:val="single"/>
        </w:rPr>
        <w:t>we</w:t>
      </w:r>
      <w:r w:rsidR="00150BCB">
        <w:rPr>
          <w:i/>
        </w:rPr>
        <w:t xml:space="preserve"> </w:t>
      </w:r>
      <w:r w:rsidR="007C6F26">
        <w:rPr>
          <w:i/>
        </w:rPr>
        <w:t xml:space="preserve">are </w:t>
      </w:r>
      <w:r w:rsidR="00150BCB">
        <w:rPr>
          <w:i/>
        </w:rPr>
        <w:t>not opt</w:t>
      </w:r>
      <w:r w:rsidR="007C6F26">
        <w:rPr>
          <w:i/>
        </w:rPr>
        <w:t>ing</w:t>
      </w:r>
      <w:r w:rsidR="00150BCB">
        <w:rPr>
          <w:i/>
        </w:rPr>
        <w:t xml:space="preserve"> out. </w:t>
      </w:r>
      <w:r w:rsidR="00150BCB" w:rsidRPr="00033DFF">
        <w:rPr>
          <w:i/>
          <w:u w:val="single"/>
        </w:rPr>
        <w:t>We</w:t>
      </w:r>
      <w:r w:rsidR="00150BCB">
        <w:rPr>
          <w:i/>
        </w:rPr>
        <w:t xml:space="preserve"> </w:t>
      </w:r>
      <w:r w:rsidRPr="00452EED">
        <w:rPr>
          <w:i/>
        </w:rPr>
        <w:t>–</w:t>
      </w:r>
      <w:r w:rsidR="00F03BE0">
        <w:rPr>
          <w:i/>
        </w:rPr>
        <w:t xml:space="preserve"> </w:t>
      </w:r>
      <w:r w:rsidR="00D4750C" w:rsidRPr="00452EED">
        <w:rPr>
          <w:i/>
        </w:rPr>
        <w:t xml:space="preserve">the parliamentary </w:t>
      </w:r>
      <w:r w:rsidR="00D4750C">
        <w:rPr>
          <w:i/>
        </w:rPr>
        <w:t xml:space="preserve">group of the SPD </w:t>
      </w:r>
      <w:r w:rsidR="00D4750C" w:rsidRPr="00452EED">
        <w:rPr>
          <w:i/>
        </w:rPr>
        <w:t xml:space="preserve">in </w:t>
      </w:r>
      <w:r w:rsidR="00D4750C">
        <w:rPr>
          <w:i/>
        </w:rPr>
        <w:t>particular</w:t>
      </w:r>
      <w:r w:rsidR="00577EFC">
        <w:rPr>
          <w:i/>
        </w:rPr>
        <w:t xml:space="preserve"> has been involved in many preliminary studies</w:t>
      </w:r>
      <w:r w:rsidR="00150BCB">
        <w:rPr>
          <w:i/>
        </w:rPr>
        <w:t>–</w:t>
      </w:r>
      <w:r w:rsidRPr="00452EED">
        <w:rPr>
          <w:i/>
        </w:rPr>
        <w:t xml:space="preserve"> </w:t>
      </w:r>
      <w:r w:rsidR="00150BCB">
        <w:rPr>
          <w:i/>
        </w:rPr>
        <w:t xml:space="preserve">want </w:t>
      </w:r>
      <w:r w:rsidRPr="00452EED">
        <w:rPr>
          <w:i/>
        </w:rPr>
        <w:t>to use more renewable energies than ever before contemplated.</w:t>
      </w:r>
    </w:p>
    <w:p w14:paraId="70C6D557" w14:textId="6BEE105C" w:rsidR="00894F77" w:rsidRDefault="00894F77" w:rsidP="00081F11"/>
    <w:p w14:paraId="6003C7BE" w14:textId="6C822155" w:rsidR="0048348B" w:rsidRPr="004A36AA" w:rsidRDefault="00452EED" w:rsidP="0048348B">
      <w:pPr>
        <w:rPr>
          <w:lang w:eastAsia="de-DE"/>
        </w:rPr>
      </w:pPr>
      <w:r>
        <w:t>The context does</w:t>
      </w:r>
      <w:r w:rsidR="00813094">
        <w:t xml:space="preserve"> not</w:t>
      </w:r>
      <w:r>
        <w:t xml:space="preserve"> </w:t>
      </w:r>
      <w:r w:rsidR="001B560F">
        <w:t>allow a</w:t>
      </w:r>
      <w:r w:rsidR="002B2044">
        <w:t xml:space="preserve">n immediate </w:t>
      </w:r>
      <w:r w:rsidR="001B560F">
        <w:t xml:space="preserve">disambiguation as to </w:t>
      </w:r>
      <w:r>
        <w:t xml:space="preserve">who is giving up nuclear power </w:t>
      </w:r>
      <w:r w:rsidR="002B2044">
        <w:t xml:space="preserve">in the first three instances of ‘we’ </w:t>
      </w:r>
      <w:r>
        <w:t>– is it the</w:t>
      </w:r>
      <w:r w:rsidR="002B2044">
        <w:t xml:space="preserve"> party, the</w:t>
      </w:r>
      <w:r>
        <w:t xml:space="preserve"> government or the country</w:t>
      </w:r>
      <w:r w:rsidR="004D6B19">
        <w:t>?</w:t>
      </w:r>
      <w:r>
        <w:t xml:space="preserve"> </w:t>
      </w:r>
      <w:r w:rsidR="002B2044">
        <w:t xml:space="preserve"> Only the parenthesis in the third sentence ties the references </w:t>
      </w:r>
      <w:r w:rsidR="00577EFC">
        <w:t xml:space="preserve">somewhat </w:t>
      </w:r>
      <w:r w:rsidR="002B2044">
        <w:t xml:space="preserve">to the party and the government. </w:t>
      </w:r>
      <w:r>
        <w:t xml:space="preserve">This </w:t>
      </w:r>
      <w:r w:rsidR="001B560F">
        <w:t xml:space="preserve">can be understood </w:t>
      </w:r>
      <w:r>
        <w:t>as a m</w:t>
      </w:r>
      <w:r w:rsidRPr="004A36AA">
        <w:rPr>
          <w:lang w:eastAsia="de-DE"/>
        </w:rPr>
        <w:t>etonymi</w:t>
      </w:r>
      <w:r w:rsidR="002432D4">
        <w:rPr>
          <w:lang w:eastAsia="de-DE"/>
        </w:rPr>
        <w:t>z</w:t>
      </w:r>
      <w:r w:rsidRPr="004A36AA">
        <w:rPr>
          <w:lang w:eastAsia="de-DE"/>
        </w:rPr>
        <w:t xml:space="preserve">ation strategy </w:t>
      </w:r>
      <w:r w:rsidR="002432D4">
        <w:rPr>
          <w:lang w:eastAsia="de-DE"/>
        </w:rPr>
        <w:t xml:space="preserve">described by Chantrill and Mio </w:t>
      </w:r>
      <w:r w:rsidR="00C33216">
        <w:rPr>
          <w:lang w:eastAsia="de-DE"/>
        </w:rPr>
        <w:t>(1996)</w:t>
      </w:r>
      <w:r w:rsidRPr="004A36AA">
        <w:rPr>
          <w:lang w:eastAsia="de-DE"/>
        </w:rPr>
        <w:t>:</w:t>
      </w:r>
      <w:r w:rsidR="002432D4">
        <w:rPr>
          <w:lang w:eastAsia="de-DE"/>
        </w:rPr>
        <w:t xml:space="preserve"> </w:t>
      </w:r>
      <w:r w:rsidR="0048348B">
        <w:rPr>
          <w:lang w:eastAsia="de-DE"/>
        </w:rPr>
        <w:t>As metonymic figures condense related terms operating on the same discursive plane – here party, government and country – metonymization</w:t>
      </w:r>
      <w:r w:rsidR="001B560F">
        <w:rPr>
          <w:lang w:eastAsia="de-DE"/>
        </w:rPr>
        <w:t xml:space="preserve"> “</w:t>
      </w:r>
      <w:r w:rsidRPr="004A36AA">
        <w:rPr>
          <w:lang w:eastAsia="de-DE"/>
        </w:rPr>
        <w:t>serves to person</w:t>
      </w:r>
      <w:r w:rsidR="00532C21">
        <w:rPr>
          <w:lang w:eastAsia="de-DE"/>
        </w:rPr>
        <w:t>a</w:t>
      </w:r>
      <w:r w:rsidRPr="004A36AA">
        <w:rPr>
          <w:lang w:eastAsia="de-DE"/>
        </w:rPr>
        <w:t>lize issues, enhance audience understanding, and resolve ambiguity by collapsing detailed information into a more manageable, albeit simplified form. As an argumentative structure, metonymy may be subtle, but it is a fundamental rhetorical t</w:t>
      </w:r>
      <w:r w:rsidR="0048348B">
        <w:rPr>
          <w:lang w:eastAsia="de-DE"/>
        </w:rPr>
        <w:t>ool with definitial power.</w:t>
      </w:r>
      <w:r w:rsidR="001B560F">
        <w:rPr>
          <w:lang w:eastAsia="de-DE"/>
        </w:rPr>
        <w:t>”</w:t>
      </w:r>
      <w:r w:rsidR="004D6B19">
        <w:rPr>
          <w:lang w:eastAsia="de-DE"/>
        </w:rPr>
        <w:t xml:space="preserve"> </w:t>
      </w:r>
      <w:r w:rsidR="001F1951">
        <w:rPr>
          <w:lang w:eastAsia="de-DE"/>
        </w:rPr>
        <w:t>(Chantrill and Mio, 1996: 174)</w:t>
      </w:r>
      <w:r w:rsidR="00290CF8">
        <w:rPr>
          <w:lang w:eastAsia="de-DE"/>
        </w:rPr>
        <w:t xml:space="preserve"> In this case, c</w:t>
      </w:r>
      <w:r w:rsidR="0048348B">
        <w:rPr>
          <w:lang w:eastAsia="de-DE"/>
        </w:rPr>
        <w:t>onflating party, government and country through the use of ambiguous ‘we’ allows the electorate and the party to feel represented by the government.</w:t>
      </w:r>
      <w:r w:rsidR="002B2044">
        <w:rPr>
          <w:lang w:eastAsia="de-DE"/>
        </w:rPr>
        <w:t xml:space="preserve"> But of course the audience within or close to the SPD</w:t>
      </w:r>
      <w:r w:rsidR="003921D5">
        <w:rPr>
          <w:lang w:eastAsia="de-DE"/>
        </w:rPr>
        <w:t>,</w:t>
      </w:r>
      <w:r w:rsidR="002B2044">
        <w:rPr>
          <w:lang w:eastAsia="de-DE"/>
        </w:rPr>
        <w:t xml:space="preserve"> and </w:t>
      </w:r>
      <w:r w:rsidR="003921D5">
        <w:rPr>
          <w:lang w:eastAsia="de-DE"/>
        </w:rPr>
        <w:t xml:space="preserve">possibly </w:t>
      </w:r>
      <w:r w:rsidR="002B2044">
        <w:rPr>
          <w:lang w:eastAsia="de-DE"/>
        </w:rPr>
        <w:t xml:space="preserve">critical of the Green party – the coalition partner at the time – would have given a different reading: The ambiguous </w:t>
      </w:r>
      <w:r w:rsidR="003921D5">
        <w:rPr>
          <w:lang w:eastAsia="de-DE"/>
        </w:rPr>
        <w:t>‘</w:t>
      </w:r>
      <w:r w:rsidR="002B2044">
        <w:rPr>
          <w:lang w:eastAsia="de-DE"/>
        </w:rPr>
        <w:t>we</w:t>
      </w:r>
      <w:r w:rsidR="003921D5">
        <w:rPr>
          <w:lang w:eastAsia="de-DE"/>
        </w:rPr>
        <w:t>’</w:t>
      </w:r>
      <w:r w:rsidR="002B2044">
        <w:rPr>
          <w:lang w:eastAsia="de-DE"/>
        </w:rPr>
        <w:t xml:space="preserve"> might</w:t>
      </w:r>
      <w:r w:rsidR="003921D5">
        <w:rPr>
          <w:lang w:eastAsia="de-DE"/>
        </w:rPr>
        <w:t>,</w:t>
      </w:r>
      <w:r w:rsidR="002B2044">
        <w:rPr>
          <w:lang w:eastAsia="de-DE"/>
        </w:rPr>
        <w:t xml:space="preserve"> in their understanding</w:t>
      </w:r>
      <w:r w:rsidR="003921D5">
        <w:rPr>
          <w:lang w:eastAsia="de-DE"/>
        </w:rPr>
        <w:t>,</w:t>
      </w:r>
      <w:r w:rsidR="002B2044">
        <w:rPr>
          <w:lang w:eastAsia="de-DE"/>
        </w:rPr>
        <w:t xml:space="preserve"> have pointed to the SPD, which in this case is construed as different from the </w:t>
      </w:r>
      <w:r w:rsidR="00577EFC">
        <w:rPr>
          <w:lang w:eastAsia="de-DE"/>
        </w:rPr>
        <w:t>G</w:t>
      </w:r>
      <w:r w:rsidR="003921D5">
        <w:rPr>
          <w:lang w:eastAsia="de-DE"/>
        </w:rPr>
        <w:t xml:space="preserve">reen </w:t>
      </w:r>
      <w:r w:rsidR="002B2044">
        <w:rPr>
          <w:lang w:eastAsia="de-DE"/>
        </w:rPr>
        <w:t xml:space="preserve">coalition partner </w:t>
      </w:r>
      <w:r w:rsidR="003921D5">
        <w:rPr>
          <w:lang w:eastAsia="de-DE"/>
        </w:rPr>
        <w:t xml:space="preserve">who </w:t>
      </w:r>
      <w:r w:rsidR="002B2044">
        <w:rPr>
          <w:lang w:eastAsia="de-DE"/>
        </w:rPr>
        <w:t>focused on the catch term ‘Atomausstieg’/’opting out of nuclear power’. Hence the allusion to ‘opt</w:t>
      </w:r>
      <w:r w:rsidR="00577EFC">
        <w:rPr>
          <w:lang w:eastAsia="de-DE"/>
        </w:rPr>
        <w:t>ing</w:t>
      </w:r>
      <w:r w:rsidR="002B2044">
        <w:rPr>
          <w:lang w:eastAsia="de-DE"/>
        </w:rPr>
        <w:t xml:space="preserve"> in’ and ‘opt</w:t>
      </w:r>
      <w:r w:rsidR="00577EFC">
        <w:rPr>
          <w:lang w:eastAsia="de-DE"/>
        </w:rPr>
        <w:t>ing</w:t>
      </w:r>
      <w:r w:rsidR="002B2044">
        <w:rPr>
          <w:lang w:eastAsia="de-DE"/>
        </w:rPr>
        <w:t xml:space="preserve"> out’. This is of course a very mitigated criticism and distinction to the coalition partner, whose cooperation the government – and ultimately the chancellor – relies </w:t>
      </w:r>
      <w:r w:rsidR="00577EFC">
        <w:rPr>
          <w:lang w:eastAsia="de-DE"/>
        </w:rPr>
        <w:t>up</w:t>
      </w:r>
      <w:r w:rsidR="002B2044">
        <w:rPr>
          <w:lang w:eastAsia="de-DE"/>
        </w:rPr>
        <w:t xml:space="preserve">on. A subtle mitigation strategy such as this would be unnecessary in the speech of an elected Prime Minister of the UK, who </w:t>
      </w:r>
      <w:r w:rsidR="00577EFC">
        <w:rPr>
          <w:lang w:eastAsia="de-DE"/>
        </w:rPr>
        <w:t xml:space="preserve">has </w:t>
      </w:r>
      <w:r w:rsidR="002B2044">
        <w:rPr>
          <w:lang w:eastAsia="de-DE"/>
        </w:rPr>
        <w:t xml:space="preserve">only very rarely had to govern in a coalition since 1945. </w:t>
      </w:r>
    </w:p>
    <w:p w14:paraId="24C8BA2C" w14:textId="70C3D1AB" w:rsidR="00DC4711" w:rsidRDefault="0048348B" w:rsidP="00C32603">
      <w:r>
        <w:t xml:space="preserve">While I described Schröder’s post-election speech at the party conference as a hybrid between leader’s speech and government report, </w:t>
      </w:r>
      <w:r w:rsidR="009F25B6" w:rsidRPr="004A36AA">
        <w:t xml:space="preserve">Blair’s speech </w:t>
      </w:r>
      <w:r>
        <w:t xml:space="preserve">should be understood as </w:t>
      </w:r>
      <w:r w:rsidR="009F25B6" w:rsidRPr="004A36AA">
        <w:t>a hybrid of a leader’s speech and a presidential inauguration speech where the leader, elected by the people, addresses</w:t>
      </w:r>
      <w:r w:rsidR="00E54735">
        <w:t xml:space="preserve"> </w:t>
      </w:r>
      <w:r>
        <w:t>his people in a sacral tone rather than giving a policy declaration. Using metonymization</w:t>
      </w:r>
      <w:r w:rsidR="00F05A66">
        <w:t xml:space="preserve"> through the use of ambiguous ‘we’</w:t>
      </w:r>
      <w:r>
        <w:t xml:space="preserve"> in a similar way as Schröder, Blair nevertheless foregrounds his role as elected leader of the country:</w:t>
      </w:r>
    </w:p>
    <w:p w14:paraId="4846F627" w14:textId="6DCDE1F8" w:rsidR="00672A18" w:rsidRDefault="004B45C4" w:rsidP="00672A18">
      <w:pPr>
        <w:pStyle w:val="Quotation"/>
        <w:numPr>
          <w:ilvl w:val="0"/>
          <w:numId w:val="39"/>
        </w:numPr>
      </w:pPr>
      <w:r>
        <w:t xml:space="preserve">(a) </w:t>
      </w:r>
      <w:r w:rsidR="00323F1B" w:rsidRPr="00A45836">
        <w:t xml:space="preserve">On May 1, the people entrusted </w:t>
      </w:r>
      <w:r w:rsidR="00323F1B" w:rsidRPr="00465B66">
        <w:rPr>
          <w:u w:val="single"/>
        </w:rPr>
        <w:t>me</w:t>
      </w:r>
      <w:r w:rsidR="00323F1B" w:rsidRPr="00A45836">
        <w:t xml:space="preserve"> with the task of leading </w:t>
      </w:r>
      <w:r w:rsidR="00323F1B" w:rsidRPr="004B45C4">
        <w:rPr>
          <w:u w:val="single"/>
        </w:rPr>
        <w:t>their</w:t>
      </w:r>
      <w:r w:rsidR="00323F1B" w:rsidRPr="00A45836">
        <w:t xml:space="preserve"> country into a new century. That was </w:t>
      </w:r>
      <w:r w:rsidR="00323F1B" w:rsidRPr="004B45C4">
        <w:rPr>
          <w:u w:val="single"/>
        </w:rPr>
        <w:t>your</w:t>
      </w:r>
      <w:r w:rsidR="00323F1B" w:rsidRPr="00A45836">
        <w:t xml:space="preserve"> challenge to me. Proudly, humbly, I accepted it. Today, </w:t>
      </w:r>
      <w:r w:rsidR="00323F1B" w:rsidRPr="004B45C4">
        <w:rPr>
          <w:u w:val="single"/>
        </w:rPr>
        <w:t>I</w:t>
      </w:r>
      <w:r w:rsidR="00323F1B" w:rsidRPr="00A45836">
        <w:t xml:space="preserve"> issue a challenge to you. Help </w:t>
      </w:r>
      <w:r w:rsidR="00323F1B" w:rsidRPr="004B45C4">
        <w:rPr>
          <w:u w:val="single"/>
        </w:rPr>
        <w:t>us</w:t>
      </w:r>
      <w:r w:rsidR="00323F1B" w:rsidRPr="00A45836">
        <w:t xml:space="preserve"> make Britain that beacon shining throughout the world. Unite behind our mission to modernise our country. There is a place for all the people in New Britain, and there is a role for all the people in its creation. Believe in </w:t>
      </w:r>
      <w:r w:rsidR="00323F1B" w:rsidRPr="004B45C4">
        <w:rPr>
          <w:u w:val="single"/>
        </w:rPr>
        <w:t>us</w:t>
      </w:r>
      <w:r w:rsidR="00323F1B" w:rsidRPr="00A45836">
        <w:t xml:space="preserve"> as much as </w:t>
      </w:r>
      <w:r w:rsidR="00323F1B" w:rsidRPr="004B45C4">
        <w:rPr>
          <w:u w:val="single"/>
        </w:rPr>
        <w:t>we</w:t>
      </w:r>
      <w:r w:rsidR="00323F1B" w:rsidRPr="00A45836">
        <w:t xml:space="preserve"> believe in you. Give just as much to </w:t>
      </w:r>
      <w:r w:rsidR="00323F1B" w:rsidRPr="004B45C4">
        <w:rPr>
          <w:u w:val="single"/>
        </w:rPr>
        <w:t>our</w:t>
      </w:r>
      <w:r w:rsidR="00323F1B" w:rsidRPr="00A45836">
        <w:t xml:space="preserve"> country as </w:t>
      </w:r>
      <w:r w:rsidR="00323F1B" w:rsidRPr="004B45C4">
        <w:rPr>
          <w:u w:val="single"/>
        </w:rPr>
        <w:t>we</w:t>
      </w:r>
      <w:r w:rsidR="00323F1B" w:rsidRPr="00A45836">
        <w:t xml:space="preserve"> intend to give. Give your all. Make this the giving age. (Applause)</w:t>
      </w:r>
    </w:p>
    <w:p w14:paraId="067671E7" w14:textId="47063F82" w:rsidR="00323F1B" w:rsidRPr="00A45836" w:rsidRDefault="004B45C4" w:rsidP="00672A18">
      <w:pPr>
        <w:pStyle w:val="Quotation"/>
        <w:ind w:left="1429"/>
      </w:pPr>
      <w:r>
        <w:t xml:space="preserve">(b) </w:t>
      </w:r>
      <w:r w:rsidR="00323F1B" w:rsidRPr="00A45836">
        <w:t xml:space="preserve">‘By the strength of </w:t>
      </w:r>
      <w:r w:rsidR="00323F1B" w:rsidRPr="004B45C4">
        <w:rPr>
          <w:u w:val="single"/>
        </w:rPr>
        <w:t>our</w:t>
      </w:r>
      <w:r w:rsidR="00323F1B" w:rsidRPr="00A45836">
        <w:t xml:space="preserve"> common endeavour </w:t>
      </w:r>
      <w:r w:rsidR="00323F1B" w:rsidRPr="004B45C4">
        <w:rPr>
          <w:u w:val="single"/>
        </w:rPr>
        <w:t>we</w:t>
      </w:r>
      <w:r w:rsidR="00323F1B" w:rsidRPr="00A45836">
        <w:t xml:space="preserve"> achieve more together than </w:t>
      </w:r>
      <w:r w:rsidR="00323F1B" w:rsidRPr="00465B66">
        <w:rPr>
          <w:u w:val="single"/>
        </w:rPr>
        <w:t>we</w:t>
      </w:r>
      <w:r w:rsidR="00323F1B" w:rsidRPr="00A45836">
        <w:t xml:space="preserve"> can alone.’ On 1st May 1997, it wasn’t just the Tories who were defeated. Cynicism was defeated. Fear of change was defeated. Fear itself was defeated. Did </w:t>
      </w:r>
      <w:r w:rsidR="00323F1B" w:rsidRPr="004B45C4">
        <w:rPr>
          <w:u w:val="single"/>
        </w:rPr>
        <w:t>I</w:t>
      </w:r>
      <w:r w:rsidR="00323F1B" w:rsidRPr="00A45836">
        <w:t xml:space="preserve"> not say it would be a battle of hope against fear? On 1st May 1997, fear lost. Hope won. The Giving Age began. (Applause)</w:t>
      </w:r>
    </w:p>
    <w:p w14:paraId="1A2F91DC" w14:textId="288D8E8D" w:rsidR="00323F1B" w:rsidRPr="00A45836" w:rsidRDefault="004B45C4" w:rsidP="00672A18">
      <w:pPr>
        <w:pStyle w:val="Quotation"/>
        <w:ind w:left="1429"/>
      </w:pPr>
      <w:r>
        <w:t xml:space="preserve">(c) </w:t>
      </w:r>
      <w:r w:rsidR="00323F1B" w:rsidRPr="00A45836">
        <w:t xml:space="preserve">Now make the good that is in the heart of each of </w:t>
      </w:r>
      <w:r w:rsidR="00323F1B" w:rsidRPr="004B45C4">
        <w:rPr>
          <w:u w:val="single"/>
        </w:rPr>
        <w:t>us</w:t>
      </w:r>
      <w:r w:rsidR="00323F1B" w:rsidRPr="00A45836">
        <w:t xml:space="preserve">, serve the good of all of </w:t>
      </w:r>
      <w:r w:rsidR="00323F1B" w:rsidRPr="004B45C4">
        <w:rPr>
          <w:u w:val="single"/>
        </w:rPr>
        <w:t>us</w:t>
      </w:r>
      <w:r w:rsidR="00323F1B" w:rsidRPr="00A45836">
        <w:t xml:space="preserve">. Give to </w:t>
      </w:r>
      <w:r w:rsidR="00323F1B" w:rsidRPr="004B45C4">
        <w:rPr>
          <w:u w:val="single"/>
        </w:rPr>
        <w:t>our</w:t>
      </w:r>
      <w:r w:rsidR="00323F1B" w:rsidRPr="00A45836">
        <w:t xml:space="preserve"> country the gift of </w:t>
      </w:r>
      <w:r w:rsidR="00323F1B" w:rsidRPr="004B45C4">
        <w:rPr>
          <w:u w:val="single"/>
        </w:rPr>
        <w:t>our</w:t>
      </w:r>
      <w:r w:rsidR="00323F1B" w:rsidRPr="00A45836">
        <w:t xml:space="preserve"> energy, </w:t>
      </w:r>
      <w:r w:rsidR="00323F1B" w:rsidRPr="004B45C4">
        <w:rPr>
          <w:u w:val="single"/>
        </w:rPr>
        <w:t>our</w:t>
      </w:r>
      <w:r w:rsidR="00323F1B" w:rsidRPr="00A45836">
        <w:t xml:space="preserve"> ideas, </w:t>
      </w:r>
      <w:r w:rsidR="00323F1B" w:rsidRPr="004B45C4">
        <w:rPr>
          <w:u w:val="single"/>
        </w:rPr>
        <w:t>our</w:t>
      </w:r>
      <w:r w:rsidR="00323F1B" w:rsidRPr="00A45836">
        <w:t xml:space="preserve"> hopes, </w:t>
      </w:r>
      <w:r w:rsidR="00323F1B" w:rsidRPr="004B45C4">
        <w:rPr>
          <w:u w:val="single"/>
        </w:rPr>
        <w:t>our</w:t>
      </w:r>
      <w:r w:rsidR="00323F1B" w:rsidRPr="00A45836">
        <w:t xml:space="preserve"> talents. Use them to build a country each of whose people will say that ‘</w:t>
      </w:r>
      <w:r w:rsidR="00323F1B" w:rsidRPr="004B45C4">
        <w:rPr>
          <w:u w:val="single"/>
        </w:rPr>
        <w:t>I</w:t>
      </w:r>
      <w:r w:rsidR="00323F1B" w:rsidRPr="00A45836">
        <w:t xml:space="preserve"> care about Britain because </w:t>
      </w:r>
      <w:r w:rsidR="00323F1B" w:rsidRPr="004B45C4">
        <w:rPr>
          <w:u w:val="single"/>
        </w:rPr>
        <w:t>I</w:t>
      </w:r>
      <w:r w:rsidR="00323F1B" w:rsidRPr="00A45836">
        <w:t xml:space="preserve"> know that Britain cares about me.’ Britain, head and heart, can be unbeatable. That is the Britain </w:t>
      </w:r>
      <w:r w:rsidR="00323F1B" w:rsidRPr="004B45C4">
        <w:rPr>
          <w:u w:val="single"/>
        </w:rPr>
        <w:t>I</w:t>
      </w:r>
      <w:r w:rsidR="00323F1B" w:rsidRPr="00A45836">
        <w:t xml:space="preserve"> offer </w:t>
      </w:r>
      <w:r w:rsidR="00323F1B" w:rsidRPr="004B45C4">
        <w:rPr>
          <w:u w:val="single"/>
        </w:rPr>
        <w:t>you</w:t>
      </w:r>
      <w:r w:rsidR="00323F1B" w:rsidRPr="00A45836">
        <w:t xml:space="preserve">. That is the Britain that together can be </w:t>
      </w:r>
      <w:r w:rsidR="00323F1B" w:rsidRPr="004B45C4">
        <w:rPr>
          <w:u w:val="single"/>
        </w:rPr>
        <w:t>ours</w:t>
      </w:r>
      <w:r w:rsidR="00323F1B" w:rsidRPr="00A45836">
        <w:t xml:space="preserve">. </w:t>
      </w:r>
      <w:r w:rsidR="00323F1B" w:rsidRPr="00A45836">
        <w:tab/>
      </w:r>
      <w:r w:rsidR="001F1951">
        <w:t>(Blair, 1997: 73)</w:t>
      </w:r>
    </w:p>
    <w:p w14:paraId="04AB0532" w14:textId="637D098E" w:rsidR="006B3B43" w:rsidRDefault="0048348B" w:rsidP="00C3358C">
      <w:r>
        <w:t xml:space="preserve">The changes of footing are carefully crafted in this </w:t>
      </w:r>
      <w:r w:rsidR="00F05A66">
        <w:t>finale</w:t>
      </w:r>
      <w:r>
        <w:t xml:space="preserve"> of the speech: In </w:t>
      </w:r>
      <w:r w:rsidR="00323F1B">
        <w:t>the first line</w:t>
      </w:r>
      <w:r w:rsidR="00F05A66">
        <w:t>,</w:t>
      </w:r>
      <w:r w:rsidR="00AA3150" w:rsidRPr="004A36AA">
        <w:t xml:space="preserve"> </w:t>
      </w:r>
      <w:r w:rsidR="00DC4711" w:rsidRPr="004A36AA">
        <w:t xml:space="preserve">Blair </w:t>
      </w:r>
      <w:r w:rsidR="00F05A66">
        <w:t>presents himself to the party as the elected prime minister</w:t>
      </w:r>
      <w:r w:rsidR="00465B66">
        <w:t xml:space="preserve"> in a presidential fashion (‘the people entrusted </w:t>
      </w:r>
      <w:r w:rsidR="00465B66" w:rsidRPr="00465B66">
        <w:rPr>
          <w:u w:val="single"/>
        </w:rPr>
        <w:t>me</w:t>
      </w:r>
      <w:r w:rsidR="00465B66" w:rsidRPr="00465B66">
        <w:t xml:space="preserve"> with</w:t>
      </w:r>
      <w:r w:rsidR="00465B66">
        <w:t xml:space="preserve"> the task of leading their country into a new century’).</w:t>
      </w:r>
      <w:r w:rsidR="00A92D16">
        <w:t xml:space="preserve"> </w:t>
      </w:r>
      <w:r>
        <w:t xml:space="preserve">Here, the </w:t>
      </w:r>
      <w:r w:rsidR="00DC4711" w:rsidRPr="004A36AA">
        <w:t xml:space="preserve">general election </w:t>
      </w:r>
      <w:r>
        <w:t xml:space="preserve">is construed </w:t>
      </w:r>
      <w:r w:rsidR="00DC4711" w:rsidRPr="004A36AA">
        <w:t>as a contest of leaders</w:t>
      </w:r>
      <w:r>
        <w:t xml:space="preserve"> (which it legally is not), </w:t>
      </w:r>
      <w:r w:rsidR="00DC4711" w:rsidRPr="004A36AA">
        <w:t xml:space="preserve">parallel to a presidential election, interpreting the victory as a personal victory. </w:t>
      </w:r>
      <w:r w:rsidR="00465B66">
        <w:t>Blair also</w:t>
      </w:r>
      <w:r w:rsidR="00465B66" w:rsidRPr="004A36AA">
        <w:t xml:space="preserve"> separates the people and the addressee</w:t>
      </w:r>
      <w:r w:rsidR="00465B66">
        <w:t xml:space="preserve"> – the party – </w:t>
      </w:r>
      <w:r w:rsidR="00465B66" w:rsidRPr="004A36AA">
        <w:t>by using the third person pron</w:t>
      </w:r>
      <w:r w:rsidR="00465B66">
        <w:t>oun ‘</w:t>
      </w:r>
      <w:r w:rsidR="00465B66" w:rsidRPr="00C3358C">
        <w:rPr>
          <w:u w:val="single"/>
        </w:rPr>
        <w:t>their</w:t>
      </w:r>
      <w:r w:rsidR="00465B66">
        <w:t xml:space="preserve"> country’</w:t>
      </w:r>
      <w:r w:rsidR="00C3358C">
        <w:t>, instead of using the first person</w:t>
      </w:r>
      <w:r w:rsidR="00465B66">
        <w:t xml:space="preserve">. </w:t>
      </w:r>
      <w:r w:rsidR="00323F1B">
        <w:t>But already in the second line</w:t>
      </w:r>
      <w:r w:rsidR="00DC4711" w:rsidRPr="004A36AA">
        <w:t>, Blair switches to ‘you’, when describing t</w:t>
      </w:r>
      <w:r w:rsidR="00AA3150" w:rsidRPr="004A36AA">
        <w:t>he task set as ‘</w:t>
      </w:r>
      <w:r w:rsidR="00AA3150" w:rsidRPr="00465B66">
        <w:rPr>
          <w:u w:val="single"/>
        </w:rPr>
        <w:t>your</w:t>
      </w:r>
      <w:r w:rsidR="00AA3150" w:rsidRPr="004A36AA">
        <w:t xml:space="preserve"> challenge’</w:t>
      </w:r>
      <w:r w:rsidR="00465B66">
        <w:t xml:space="preserve">. </w:t>
      </w:r>
      <w:r w:rsidR="006B3B43">
        <w:t xml:space="preserve">The trouble here is the possible ambiguity of the pronoun ‘you’ and the derived possessive ‘your’, which is so “elastic that it can even embrace the whole of humanity” </w:t>
      </w:r>
      <w:r w:rsidR="001F1951">
        <w:t>(Bull and Fetzer, 2006: 5)</w:t>
      </w:r>
      <w:r w:rsidR="006B3B43">
        <w:t xml:space="preserve"> and can </w:t>
      </w:r>
      <w:r w:rsidR="00C3358C">
        <w:t>“</w:t>
      </w:r>
      <w:r w:rsidR="006B3B43" w:rsidRPr="0071473A">
        <w:t xml:space="preserve">refer to an unspecific, indeterminate group, such as a political party, to the audience in general, or to some subset of the audience or political party. In that case, </w:t>
      </w:r>
      <w:r w:rsidR="006B3B43" w:rsidRPr="00C3358C">
        <w:rPr>
          <w:i/>
        </w:rPr>
        <w:t>you</w:t>
      </w:r>
      <w:r w:rsidR="006B3B43" w:rsidRPr="0071473A">
        <w:t xml:space="preserve"> expresses generic meaning as it does not refer to an actually specified individual but rather to a </w:t>
      </w:r>
      <w:r w:rsidR="006B3B43" w:rsidRPr="006B3B43">
        <w:t>prototypical representative</w:t>
      </w:r>
      <w:r w:rsidR="006B3B43" w:rsidRPr="0071473A">
        <w:t>, type, or token</w:t>
      </w:r>
      <w:r w:rsidR="006B3B43">
        <w:t xml:space="preserve">. </w:t>
      </w:r>
      <w:r w:rsidR="001F1951">
        <w:t>(Bull and Fetzer, 2006: 11)</w:t>
      </w:r>
    </w:p>
    <w:p w14:paraId="6C1BD928" w14:textId="79542C29" w:rsidR="006B3B43" w:rsidRDefault="00C3358C" w:rsidP="00C3358C">
      <w:r>
        <w:t xml:space="preserve">It remains unclear whether this change of footing is a switch from Blair speaking to the party </w:t>
      </w:r>
      <w:r w:rsidR="006B3B43">
        <w:t>to Blair speaking to the country</w:t>
      </w:r>
      <w:r>
        <w:t xml:space="preserve">, and </w:t>
      </w:r>
      <w:r w:rsidR="0091467B">
        <w:t xml:space="preserve">the question of </w:t>
      </w:r>
      <w:r w:rsidR="006B3B43">
        <w:t xml:space="preserve">who challenged Blair and who Blair </w:t>
      </w:r>
      <w:r>
        <w:t xml:space="preserve">is </w:t>
      </w:r>
      <w:r w:rsidR="006B3B43">
        <w:t>challenging</w:t>
      </w:r>
      <w:r w:rsidR="0091467B" w:rsidRPr="0091467B">
        <w:t xml:space="preserve"> </w:t>
      </w:r>
      <w:r w:rsidR="0091467B">
        <w:t>also remains open</w:t>
      </w:r>
      <w:r>
        <w:t xml:space="preserve">. The </w:t>
      </w:r>
      <w:r w:rsidR="004705AA">
        <w:t xml:space="preserve">rest of the </w:t>
      </w:r>
      <w:r>
        <w:t>text presents us with a c</w:t>
      </w:r>
      <w:r w:rsidR="006B3B43">
        <w:t>onstant swing between the narrower and the broader reference of ‘us’:</w:t>
      </w:r>
      <w:r w:rsidR="001A6EB9">
        <w:t xml:space="preserve"> </w:t>
      </w:r>
      <w:r>
        <w:t xml:space="preserve">In </w:t>
      </w:r>
      <w:r w:rsidR="001A6EB9">
        <w:t>‘</w:t>
      </w:r>
      <w:r w:rsidR="001A6EB9" w:rsidRPr="00C3358C">
        <w:rPr>
          <w:u w:val="single"/>
        </w:rPr>
        <w:t>our</w:t>
      </w:r>
      <w:r w:rsidR="001A6EB9">
        <w:t xml:space="preserve"> mission’ </w:t>
      </w:r>
      <w:r>
        <w:t xml:space="preserve">it is </w:t>
      </w:r>
      <w:r w:rsidR="001A6EB9">
        <w:t>possibly the party or the government</w:t>
      </w:r>
      <w:r>
        <w:t xml:space="preserve">, </w:t>
      </w:r>
      <w:r w:rsidR="00506614">
        <w:t>while ‘</w:t>
      </w:r>
      <w:r w:rsidR="001A6EB9" w:rsidRPr="00C3358C">
        <w:rPr>
          <w:u w:val="single"/>
        </w:rPr>
        <w:t>our</w:t>
      </w:r>
      <w:r w:rsidR="001A6EB9">
        <w:t xml:space="preserve"> co</w:t>
      </w:r>
      <w:r>
        <w:t>u</w:t>
      </w:r>
      <w:r w:rsidR="001A6EB9">
        <w:t xml:space="preserve">ntry’ </w:t>
      </w:r>
      <w:r w:rsidR="003921D5">
        <w:t xml:space="preserve">is </w:t>
      </w:r>
      <w:r w:rsidR="001A6EB9">
        <w:t>certainly inclusive</w:t>
      </w:r>
      <w:r>
        <w:t xml:space="preserve"> and refers to the nation. In</w:t>
      </w:r>
      <w:r w:rsidR="001A6EB9">
        <w:t xml:space="preserve"> ‘believe in </w:t>
      </w:r>
      <w:r w:rsidR="001A6EB9" w:rsidRPr="00C3358C">
        <w:rPr>
          <w:u w:val="single"/>
        </w:rPr>
        <w:t>us</w:t>
      </w:r>
      <w:r w:rsidR="001A6EB9">
        <w:t>’ he must</w:t>
      </w:r>
      <w:r>
        <w:t>, again,</w:t>
      </w:r>
      <w:r w:rsidR="001A6EB9">
        <w:t xml:space="preserve"> be speaking about </w:t>
      </w:r>
      <w:r>
        <w:t xml:space="preserve">the metonymic combination of </w:t>
      </w:r>
      <w:r w:rsidR="001A6EB9">
        <w:t>the party</w:t>
      </w:r>
      <w:r>
        <w:t xml:space="preserve"> and the </w:t>
      </w:r>
      <w:r w:rsidR="001A6EB9">
        <w:t xml:space="preserve">government </w:t>
      </w:r>
      <w:r>
        <w:t>similar to Schröder in his post-election speech.</w:t>
      </w:r>
    </w:p>
    <w:p w14:paraId="39DB78A7" w14:textId="1EA1E7B0" w:rsidR="00506614" w:rsidRDefault="00DC5237" w:rsidP="00506614">
      <w:r>
        <w:t>In t</w:t>
      </w:r>
      <w:r w:rsidR="00C3358C">
        <w:t>he quotation of the revised Claus</w:t>
      </w:r>
      <w:r w:rsidR="0091467B">
        <w:t>e</w:t>
      </w:r>
      <w:r w:rsidR="00C3358C">
        <w:t xml:space="preserve"> Four in the party’s constitution</w:t>
      </w:r>
      <w:r>
        <w:t xml:space="preserve">, the reference </w:t>
      </w:r>
      <w:r w:rsidR="0091467B">
        <w:t>to</w:t>
      </w:r>
      <w:r>
        <w:t xml:space="preserve"> ‘we’</w:t>
      </w:r>
      <w:r w:rsidR="00C3358C">
        <w:t xml:space="preserve"> swings back to an inclusive ‘we</w:t>
      </w:r>
      <w:r>
        <w:t xml:space="preserve">’, leading </w:t>
      </w:r>
      <w:r w:rsidR="00506614">
        <w:t xml:space="preserve">to the implicature that the actor of the victory omitted in the passive (‘was defeated’) is </w:t>
      </w:r>
      <w:r>
        <w:t>the nation</w:t>
      </w:r>
      <w:r w:rsidR="00506614">
        <w:t>. In a further twist, however, Blair manages to introduce himself again as the leader of that battle (‘Did I not say’).</w:t>
      </w:r>
    </w:p>
    <w:p w14:paraId="6BAC0220" w14:textId="6B529BB5" w:rsidR="001A6EB9" w:rsidRDefault="00792C96" w:rsidP="00506614">
      <w:r>
        <w:t>T</w:t>
      </w:r>
      <w:r w:rsidR="00DC4711" w:rsidRPr="004A36AA">
        <w:t>he last paragraph  resembles the Christian dismissal end</w:t>
      </w:r>
      <w:r>
        <w:t>ing a</w:t>
      </w:r>
      <w:r w:rsidR="00DC4711" w:rsidRPr="004A36AA">
        <w:t xml:space="preserve"> service (‘Ite ad Evangelium Domini nuntiandum’)</w:t>
      </w:r>
      <w:r w:rsidR="00DC5237">
        <w:t>,</w:t>
      </w:r>
      <w:r w:rsidR="00DC4711" w:rsidRPr="004A36AA">
        <w:t xml:space="preserve"> </w:t>
      </w:r>
      <w:r>
        <w:t>and adds</w:t>
      </w:r>
      <w:r w:rsidR="00DC4711" w:rsidRPr="004A36AA">
        <w:t xml:space="preserve"> </w:t>
      </w:r>
      <w:r>
        <w:t xml:space="preserve">to </w:t>
      </w:r>
      <w:r w:rsidR="00DC4711" w:rsidRPr="004A36AA">
        <w:t>the sacral tone of the speech that demonstrates the influences of a presidential inauguration speech in the US, a</w:t>
      </w:r>
      <w:r w:rsidR="0000007A">
        <w:t xml:space="preserve"> </w:t>
      </w:r>
      <w:r w:rsidR="00DC4711" w:rsidRPr="004A36AA">
        <w:t>genre that Campbell and Jamieson</w:t>
      </w:r>
      <w:r w:rsidR="00E0356F" w:rsidRPr="004A36AA">
        <w:t xml:space="preserve"> </w:t>
      </w:r>
      <w:r w:rsidR="00C33216">
        <w:t>(2008)</w:t>
      </w:r>
      <w:r w:rsidR="00E0356F" w:rsidRPr="004A36AA">
        <w:t xml:space="preserve"> </w:t>
      </w:r>
      <w:r w:rsidR="00DC4711" w:rsidRPr="004A36AA">
        <w:t xml:space="preserve">describe as </w:t>
      </w:r>
      <w:r w:rsidR="0000007A">
        <w:t>epideictic</w:t>
      </w:r>
      <w:r w:rsidR="0000007A" w:rsidRPr="004A36AA">
        <w:t xml:space="preserve"> </w:t>
      </w:r>
      <w:r w:rsidR="0000007A">
        <w:t>as it “</w:t>
      </w:r>
      <w:r w:rsidR="00DC4711" w:rsidRPr="004A36AA">
        <w:t>invites the audiences to evaluate the speaker’s performance, recalls the past and speculates about the future while focusing on the present, employs a noble, dignified literary style, and amplifies or rehearses admitted facts.</w:t>
      </w:r>
      <w:r w:rsidR="0000007A">
        <w:t>”</w:t>
      </w:r>
      <w:r w:rsidR="00A92D16">
        <w:t xml:space="preserve"> </w:t>
      </w:r>
      <w:r w:rsidR="001F1951">
        <w:t>(Campbell and Jamieson, 2008: 29)</w:t>
      </w:r>
      <w:r w:rsidR="00506614">
        <w:t xml:space="preserve"> The final line of the speech repeats the presidential offer again </w:t>
      </w:r>
      <w:r w:rsidR="001A6EB9">
        <w:t xml:space="preserve">(‘I offer you’), </w:t>
      </w:r>
      <w:r w:rsidR="00506614">
        <w:t xml:space="preserve">only to </w:t>
      </w:r>
      <w:r w:rsidR="001A6EB9">
        <w:t xml:space="preserve">then </w:t>
      </w:r>
      <w:r w:rsidR="00506614">
        <w:t>present leader, party and nation as united</w:t>
      </w:r>
      <w:r w:rsidR="001A6EB9">
        <w:t xml:space="preserve"> (‘That is the Britain that can together be </w:t>
      </w:r>
      <w:r w:rsidR="001A6EB9" w:rsidRPr="00506614">
        <w:rPr>
          <w:u w:val="single"/>
        </w:rPr>
        <w:t>ours</w:t>
      </w:r>
      <w:r w:rsidR="001A6EB9">
        <w:t>’</w:t>
      </w:r>
      <w:r w:rsidR="00506614">
        <w:t>.</w:t>
      </w:r>
      <w:r w:rsidR="001A6EB9">
        <w:t>)</w:t>
      </w:r>
    </w:p>
    <w:p w14:paraId="5A19428D" w14:textId="719DFBFB" w:rsidR="00936097" w:rsidRPr="004A36AA" w:rsidRDefault="0028247F" w:rsidP="00506614">
      <w:pPr>
        <w:ind w:firstLine="720"/>
      </w:pPr>
      <w:r>
        <w:t>In Blair’s post-election speech</w:t>
      </w:r>
      <w:r w:rsidR="006E7472">
        <w:t xml:space="preserve">, it is therefore not through the increased use of ‘I’ alone, but </w:t>
      </w:r>
      <w:r w:rsidR="00506614">
        <w:t xml:space="preserve">through the repeated play </w:t>
      </w:r>
      <w:r w:rsidR="00D70070">
        <w:t xml:space="preserve">on </w:t>
      </w:r>
      <w:r w:rsidR="00506614">
        <w:t xml:space="preserve">the ambiguity of the self-reference ‘we’ and the other-reference ‘you’ that Blair construes his leadership of the party and the nation. With </w:t>
      </w:r>
      <w:r w:rsidR="006E7472">
        <w:t xml:space="preserve">the quotation of the inauguration speech genre, </w:t>
      </w:r>
      <w:r w:rsidR="00506614">
        <w:t>he</w:t>
      </w:r>
      <w:r w:rsidR="006E7472">
        <w:t xml:space="preserve"> </w:t>
      </w:r>
      <w:r w:rsidR="00506614">
        <w:t xml:space="preserve">underlines his </w:t>
      </w:r>
      <w:r w:rsidR="006E7472">
        <w:t>claim</w:t>
      </w:r>
      <w:r w:rsidR="00506614">
        <w:t xml:space="preserve"> to</w:t>
      </w:r>
      <w:r w:rsidR="006E7472">
        <w:t xml:space="preserve"> presidential attributes – a claim impossible for a German party leader who </w:t>
      </w:r>
      <w:r w:rsidR="00D70070">
        <w:t>wa</w:t>
      </w:r>
      <w:r w:rsidR="006E7472">
        <w:t>s, after all, still</w:t>
      </w:r>
      <w:r w:rsidR="00D70070">
        <w:t xml:space="preserve"> a</w:t>
      </w:r>
      <w:r w:rsidR="006E7472">
        <w:t xml:space="preserve"> </w:t>
      </w:r>
      <w:r w:rsidR="00D70070">
        <w:t xml:space="preserve">candidate for </w:t>
      </w:r>
      <w:r w:rsidR="006E7472">
        <w:t xml:space="preserve">Chancellor at this point in time, as he </w:t>
      </w:r>
      <w:r w:rsidR="00D70070">
        <w:t xml:space="preserve">could </w:t>
      </w:r>
      <w:r w:rsidR="006E7472">
        <w:t>only be elected by parliament after the</w:t>
      </w:r>
      <w:r w:rsidR="00D70070">
        <w:t xml:space="preserve"> SPD</w:t>
      </w:r>
      <w:r w:rsidR="006E7472">
        <w:t xml:space="preserve"> party conference and </w:t>
      </w:r>
      <w:r w:rsidR="00D70070">
        <w:t xml:space="preserve">after their </w:t>
      </w:r>
      <w:r w:rsidR="006E7472">
        <w:t>coalition partner ha</w:t>
      </w:r>
      <w:r w:rsidR="00D70070">
        <w:t>d</w:t>
      </w:r>
      <w:r w:rsidR="006E7472">
        <w:t xml:space="preserve"> ratified the coalition agreement.</w:t>
      </w:r>
      <w:r>
        <w:t xml:space="preserve"> Although it </w:t>
      </w:r>
      <w:r w:rsidR="00D70070">
        <w:t xml:space="preserve">would be </w:t>
      </w:r>
      <w:r>
        <w:t xml:space="preserve">unlikely </w:t>
      </w:r>
      <w:r w:rsidR="00D70070">
        <w:t>for the</w:t>
      </w:r>
      <w:r>
        <w:t xml:space="preserve"> party</w:t>
      </w:r>
      <w:r w:rsidR="00D70070">
        <w:t xml:space="preserve"> to</w:t>
      </w:r>
      <w:r>
        <w:t xml:space="preserve"> refuse to </w:t>
      </w:r>
      <w:r w:rsidR="00F81470">
        <w:t>ratify the agreement, it was still important to get a high percentage of votes, as these numbers are reported and interpreted by the media.</w:t>
      </w:r>
    </w:p>
    <w:p w14:paraId="23F9ACFB" w14:textId="319B62E6" w:rsidR="00AB7395" w:rsidRPr="003A7662" w:rsidRDefault="00E71911" w:rsidP="00AB7395">
      <w:pPr>
        <w:rPr>
          <w:lang w:val="en-US" w:eastAsia="de-DE"/>
        </w:rPr>
      </w:pPr>
      <w:r w:rsidRPr="001E4895">
        <w:t>T</w:t>
      </w:r>
      <w:r w:rsidR="00E0356F" w:rsidRPr="001E4895">
        <w:t xml:space="preserve">he party conference speeches of Blair and Schröder </w:t>
      </w:r>
      <w:r w:rsidRPr="001E4895">
        <w:t xml:space="preserve">that I categorized as crisis conferences -Labour’s </w:t>
      </w:r>
      <w:r w:rsidR="00E0356F" w:rsidRPr="001E4895">
        <w:t xml:space="preserve">special conference in 1995 (change of Clause Four) and </w:t>
      </w:r>
      <w:r w:rsidRPr="001E4895">
        <w:t xml:space="preserve">the special conference of the SPD in </w:t>
      </w:r>
      <w:r w:rsidR="00E0356F" w:rsidRPr="001E4895">
        <w:t xml:space="preserve">2003 (SPD, Agenda 2010) </w:t>
      </w:r>
      <w:r w:rsidR="001E4895">
        <w:t>differ</w:t>
      </w:r>
      <w:r w:rsidR="00E0356F" w:rsidRPr="001E4895">
        <w:t xml:space="preserve"> </w:t>
      </w:r>
      <w:r w:rsidR="001E4895">
        <w:t>clearly in their use of self</w:t>
      </w:r>
      <w:r w:rsidR="00470D57">
        <w:t>-</w:t>
      </w:r>
      <w:r w:rsidR="001E4895">
        <w:t xml:space="preserve">references, but also </w:t>
      </w:r>
      <w:r w:rsidR="00E0356F" w:rsidRPr="001E4895">
        <w:t>in their strategies of legitimation</w:t>
      </w:r>
      <w:r w:rsidR="00563591" w:rsidRPr="001E4895">
        <w:t>.</w:t>
      </w:r>
      <w:r w:rsidR="00E0356F" w:rsidRPr="004A36AA">
        <w:t xml:space="preserve"> </w:t>
      </w:r>
      <w:r w:rsidR="001E4895">
        <w:t>While in Blair’s speech, the use of ‘I’ is above the average for the corpus, Schröder’s speech is way below it with 13.7 %</w:t>
      </w:r>
      <w:r w:rsidR="001C557C">
        <w:t xml:space="preserve">. Instead, the speech uses </w:t>
      </w:r>
      <w:r w:rsidR="00B86623">
        <w:t>ex</w:t>
      </w:r>
      <w:r w:rsidR="001C557C">
        <w:t xml:space="preserve">clusive ‘we’ </w:t>
      </w:r>
      <w:r w:rsidR="00B86623">
        <w:t xml:space="preserve">in by </w:t>
      </w:r>
      <w:r w:rsidR="001C557C">
        <w:t>far the highest proportion in the corpus</w:t>
      </w:r>
      <w:r w:rsidR="00B86623">
        <w:t xml:space="preserve"> (75.3 %)</w:t>
      </w:r>
      <w:r w:rsidR="001C557C">
        <w:t xml:space="preserve">. As in all his other speeches, Blair foregrounds his leadership in the speech. </w:t>
      </w:r>
      <w:r w:rsidR="00224CB9">
        <w:t xml:space="preserve">Schröder, by contrast, </w:t>
      </w:r>
      <w:r w:rsidR="00475B4B">
        <w:t>delivers the reasoning about the necessity of an ideological change in the benefit system as the animator, speaking on behalf of the party as principal</w:t>
      </w:r>
      <w:r w:rsidR="00E0356F" w:rsidRPr="004A36AA">
        <w:t xml:space="preserve">. </w:t>
      </w:r>
      <w:r w:rsidR="00AB7395">
        <w:t xml:space="preserve">Where Blair employs an inspiring rhetoric of renewal rich in metaphors of rebuild and rebirth, Schröder’s speech </w:t>
      </w:r>
      <w:r w:rsidR="00323F1B">
        <w:t xml:space="preserve">does not use any emotionally strong metaphors, but </w:t>
      </w:r>
      <w:r w:rsidR="00AB7395">
        <w:t xml:space="preserve">is dominated by constructions of necessity, comprising </w:t>
      </w:r>
      <w:r w:rsidR="00F9638D">
        <w:t>exclusive ‘</w:t>
      </w:r>
      <w:r w:rsidR="00AB7395" w:rsidRPr="003A7662">
        <w:rPr>
          <w:lang w:eastAsia="de-DE"/>
        </w:rPr>
        <w:t>we</w:t>
      </w:r>
      <w:r w:rsidR="00F9638D">
        <w:rPr>
          <w:lang w:eastAsia="de-DE"/>
        </w:rPr>
        <w:t>’</w:t>
      </w:r>
      <w:r w:rsidR="00AB7395" w:rsidRPr="003A7662">
        <w:rPr>
          <w:lang w:eastAsia="de-DE"/>
        </w:rPr>
        <w:t xml:space="preserve"> + must + subjectification verb (‘anerkennen’</w:t>
      </w:r>
      <w:r w:rsidR="00F9638D">
        <w:rPr>
          <w:lang w:eastAsia="de-DE"/>
        </w:rPr>
        <w:t>/’</w:t>
      </w:r>
      <w:r w:rsidR="00F9638D">
        <w:rPr>
          <w:i/>
          <w:lang w:eastAsia="de-DE"/>
        </w:rPr>
        <w:t>acknowledge</w:t>
      </w:r>
      <w:r w:rsidR="00F9638D">
        <w:rPr>
          <w:lang w:eastAsia="de-DE"/>
        </w:rPr>
        <w:t>’</w:t>
      </w:r>
      <w:r w:rsidR="00AB7395" w:rsidRPr="003A7662">
        <w:rPr>
          <w:lang w:eastAsia="de-DE"/>
        </w:rPr>
        <w:t xml:space="preserve">) </w:t>
      </w:r>
      <w:r w:rsidR="00F9638D">
        <w:rPr>
          <w:lang w:eastAsia="de-DE"/>
        </w:rPr>
        <w:t>or</w:t>
      </w:r>
      <w:r w:rsidR="00AB7395" w:rsidRPr="003A7662">
        <w:rPr>
          <w:lang w:eastAsia="de-DE"/>
        </w:rPr>
        <w:t xml:space="preserve"> event verb</w:t>
      </w:r>
      <w:r w:rsidR="00323F1B">
        <w:rPr>
          <w:lang w:eastAsia="de-DE"/>
        </w:rPr>
        <w:t>:</w:t>
      </w:r>
    </w:p>
    <w:p w14:paraId="67736495" w14:textId="52EB9BDA" w:rsidR="00CF7CB6" w:rsidRDefault="00CF7CB6" w:rsidP="00A45836">
      <w:pPr>
        <w:pStyle w:val="Quotation"/>
        <w:numPr>
          <w:ilvl w:val="0"/>
          <w:numId w:val="39"/>
        </w:numPr>
      </w:pPr>
      <w:r w:rsidRPr="00DC5237">
        <w:rPr>
          <w:u w:val="single"/>
          <w:lang w:val="de-DE"/>
        </w:rPr>
        <w:t>Wir müssen</w:t>
      </w:r>
      <w:r w:rsidRPr="00B777F9">
        <w:rPr>
          <w:lang w:val="de-DE"/>
        </w:rPr>
        <w:t xml:space="preserve"> den Mut zeigen, anzuerkennen, dass die Zahl der Arbeitslosen nicht nur aus konjunkturellen Gründen auf mehr als 4 Millionen angestiegen ist, sondern dass es dafür auch strukturelle Ursachen gibt. Diese Ursachen </w:t>
      </w:r>
      <w:r w:rsidRPr="00DC5237">
        <w:rPr>
          <w:u w:val="single"/>
          <w:lang w:val="de-DE"/>
        </w:rPr>
        <w:t xml:space="preserve">müssen wir </w:t>
      </w:r>
      <w:r w:rsidRPr="001F1951">
        <w:rPr>
          <w:u w:val="single"/>
          <w:lang w:val="de-DE"/>
        </w:rPr>
        <w:t>erkennen und beseitigen</w:t>
      </w:r>
      <w:r w:rsidRPr="00B777F9">
        <w:rPr>
          <w:lang w:val="de-DE"/>
        </w:rPr>
        <w:t>. Das ist die Verantwortung, von der ich rede, liebe Freundinnen und Freunde</w:t>
      </w:r>
      <w:r w:rsidR="00336087" w:rsidRPr="00B777F9">
        <w:rPr>
          <w:lang w:val="de-DE"/>
        </w:rPr>
        <w:t>!</w:t>
      </w:r>
      <w:r w:rsidRPr="00B777F9">
        <w:rPr>
          <w:lang w:val="de-DE"/>
        </w:rPr>
        <w:t xml:space="preserve"> </w:t>
      </w:r>
      <w:r w:rsidR="001F1951" w:rsidRPr="001F1951">
        <w:rPr>
          <w:lang w:val="de-DE"/>
        </w:rPr>
        <w:t>(Schröder, 2003: 14)</w:t>
      </w:r>
    </w:p>
    <w:p w14:paraId="00FE23B5" w14:textId="5964D885" w:rsidR="00231A96" w:rsidRDefault="00231A96" w:rsidP="00152C61">
      <w:pPr>
        <w:ind w:left="1429"/>
        <w:rPr>
          <w:i/>
        </w:rPr>
      </w:pPr>
      <w:r w:rsidRPr="00DC5237">
        <w:rPr>
          <w:i/>
          <w:u w:val="single"/>
        </w:rPr>
        <w:t>We must have</w:t>
      </w:r>
      <w:r w:rsidRPr="003A7662">
        <w:rPr>
          <w:i/>
        </w:rPr>
        <w:t xml:space="preserve"> the courage to recognise that the number of unemployed people </w:t>
      </w:r>
      <w:r w:rsidR="00017365">
        <w:rPr>
          <w:i/>
        </w:rPr>
        <w:t>has</w:t>
      </w:r>
      <w:r w:rsidRPr="003A7662">
        <w:rPr>
          <w:i/>
        </w:rPr>
        <w:t xml:space="preserve"> risen to more than 4 Million </w:t>
      </w:r>
      <w:r w:rsidR="00017365" w:rsidRPr="003A7662">
        <w:rPr>
          <w:i/>
        </w:rPr>
        <w:t xml:space="preserve">not only </w:t>
      </w:r>
      <w:r w:rsidRPr="003A7662">
        <w:rPr>
          <w:i/>
        </w:rPr>
        <w:t xml:space="preserve">because of the economic situation, but </w:t>
      </w:r>
      <w:r w:rsidR="00017365">
        <w:rPr>
          <w:i/>
        </w:rPr>
        <w:t>also due to</w:t>
      </w:r>
      <w:r w:rsidRPr="003A7662">
        <w:rPr>
          <w:i/>
        </w:rPr>
        <w:t xml:space="preserve"> structural </w:t>
      </w:r>
      <w:r w:rsidR="00017365">
        <w:rPr>
          <w:i/>
        </w:rPr>
        <w:t>causes</w:t>
      </w:r>
      <w:r w:rsidRPr="003A7662">
        <w:rPr>
          <w:i/>
        </w:rPr>
        <w:t xml:space="preserve">. </w:t>
      </w:r>
      <w:r w:rsidR="001D7B3B" w:rsidRPr="00DC5237">
        <w:rPr>
          <w:i/>
          <w:u w:val="single"/>
        </w:rPr>
        <w:t>We</w:t>
      </w:r>
      <w:r w:rsidRPr="00DC5237">
        <w:rPr>
          <w:i/>
          <w:u w:val="single"/>
        </w:rPr>
        <w:t xml:space="preserve"> must recognise and eliminate</w:t>
      </w:r>
      <w:r w:rsidR="00017365" w:rsidRPr="00017365">
        <w:rPr>
          <w:i/>
        </w:rPr>
        <w:t xml:space="preserve"> </w:t>
      </w:r>
      <w:r w:rsidR="00017365">
        <w:rPr>
          <w:i/>
        </w:rPr>
        <w:t>t</w:t>
      </w:r>
      <w:r w:rsidR="00017365" w:rsidRPr="003A7662">
        <w:rPr>
          <w:i/>
        </w:rPr>
        <w:t xml:space="preserve">hese </w:t>
      </w:r>
      <w:r w:rsidR="00017365">
        <w:rPr>
          <w:i/>
        </w:rPr>
        <w:t>causes</w:t>
      </w:r>
      <w:r w:rsidRPr="003A7662">
        <w:rPr>
          <w:i/>
        </w:rPr>
        <w:t>. This is the type of responsibility I am talking about, dear friends.</w:t>
      </w:r>
    </w:p>
    <w:p w14:paraId="4AF15EB0" w14:textId="77777777" w:rsidR="009E2FD2" w:rsidRPr="003A7662" w:rsidRDefault="009E2FD2" w:rsidP="00152C61">
      <w:pPr>
        <w:ind w:left="1429"/>
        <w:rPr>
          <w:i/>
          <w:lang w:eastAsia="de-DE"/>
        </w:rPr>
      </w:pPr>
    </w:p>
    <w:p w14:paraId="65D9DB83" w14:textId="22911825" w:rsidR="003A7662" w:rsidRDefault="00475B4B" w:rsidP="003A7662">
      <w:pPr>
        <w:rPr>
          <w:lang w:eastAsia="de-DE"/>
        </w:rPr>
      </w:pPr>
      <w:r>
        <w:rPr>
          <w:lang w:eastAsia="de-DE"/>
        </w:rPr>
        <w:t>T</w:t>
      </w:r>
      <w:r w:rsidR="00323F1B">
        <w:rPr>
          <w:lang w:eastAsia="de-DE"/>
        </w:rPr>
        <w:t>he exclusive</w:t>
      </w:r>
      <w:r>
        <w:rPr>
          <w:lang w:eastAsia="de-DE"/>
        </w:rPr>
        <w:t xml:space="preserve"> form of</w:t>
      </w:r>
      <w:r w:rsidR="00323F1B">
        <w:rPr>
          <w:lang w:eastAsia="de-DE"/>
        </w:rPr>
        <w:t xml:space="preserve"> </w:t>
      </w:r>
      <w:r w:rsidR="00323F1B" w:rsidRPr="00323F1B">
        <w:rPr>
          <w:lang w:eastAsia="de-DE"/>
        </w:rPr>
        <w:t>‘</w:t>
      </w:r>
      <w:r w:rsidR="00323F1B">
        <w:rPr>
          <w:lang w:eastAsia="de-DE"/>
        </w:rPr>
        <w:t>w</w:t>
      </w:r>
      <w:r w:rsidR="00323F1B" w:rsidRPr="00323F1B">
        <w:rPr>
          <w:lang w:eastAsia="de-DE"/>
        </w:rPr>
        <w:t xml:space="preserve">e’ </w:t>
      </w:r>
      <w:r w:rsidR="004D3313">
        <w:rPr>
          <w:lang w:eastAsia="de-DE"/>
        </w:rPr>
        <w:t xml:space="preserve">is </w:t>
      </w:r>
      <w:r w:rsidR="00323F1B" w:rsidRPr="00323F1B">
        <w:rPr>
          <w:lang w:eastAsia="de-DE"/>
        </w:rPr>
        <w:t xml:space="preserve">here </w:t>
      </w:r>
      <w:r w:rsidR="004D3313">
        <w:rPr>
          <w:lang w:eastAsia="de-DE"/>
        </w:rPr>
        <w:t>used</w:t>
      </w:r>
      <w:r w:rsidR="00323F1B" w:rsidRPr="00323F1B">
        <w:rPr>
          <w:lang w:eastAsia="de-DE"/>
        </w:rPr>
        <w:t xml:space="preserve"> </w:t>
      </w:r>
      <w:r w:rsidR="004D3313">
        <w:rPr>
          <w:lang w:eastAsia="de-DE"/>
        </w:rPr>
        <w:t xml:space="preserve">to </w:t>
      </w:r>
      <w:r w:rsidR="00323F1B" w:rsidRPr="00323F1B">
        <w:rPr>
          <w:lang w:eastAsia="de-DE"/>
        </w:rPr>
        <w:t>foreground</w:t>
      </w:r>
      <w:r w:rsidR="00B86623">
        <w:rPr>
          <w:lang w:eastAsia="de-DE"/>
        </w:rPr>
        <w:t xml:space="preserve"> the</w:t>
      </w:r>
      <w:r w:rsidR="00323F1B" w:rsidRPr="00323F1B">
        <w:rPr>
          <w:lang w:eastAsia="de-DE"/>
        </w:rPr>
        <w:t xml:space="preserve"> party as </w:t>
      </w:r>
      <w:r w:rsidR="00B86623">
        <w:rPr>
          <w:lang w:eastAsia="de-DE"/>
        </w:rPr>
        <w:t xml:space="preserve">a </w:t>
      </w:r>
      <w:r w:rsidR="004D3313">
        <w:rPr>
          <w:lang w:eastAsia="de-DE"/>
        </w:rPr>
        <w:t>group</w:t>
      </w:r>
      <w:r w:rsidR="00A26F23">
        <w:rPr>
          <w:lang w:eastAsia="de-DE"/>
        </w:rPr>
        <w:t>, as the chain of references leads back to ‘Liebe Freundinnen und Freunde’/’Dear friends’. This</w:t>
      </w:r>
      <w:r w:rsidR="004D3313">
        <w:rPr>
          <w:lang w:eastAsia="de-DE"/>
        </w:rPr>
        <w:t xml:space="preserve"> background</w:t>
      </w:r>
      <w:r w:rsidR="00A26F23">
        <w:rPr>
          <w:lang w:eastAsia="de-DE"/>
        </w:rPr>
        <w:t>s</w:t>
      </w:r>
      <w:r w:rsidR="004D3313">
        <w:rPr>
          <w:lang w:eastAsia="de-DE"/>
        </w:rPr>
        <w:t xml:space="preserve"> Schröder as the originator of the policies described</w:t>
      </w:r>
      <w:r w:rsidR="00323F1B">
        <w:rPr>
          <w:lang w:eastAsia="de-DE"/>
        </w:rPr>
        <w:t xml:space="preserve">. </w:t>
      </w:r>
      <w:r w:rsidR="004D3313">
        <w:rPr>
          <w:lang w:eastAsia="de-DE"/>
        </w:rPr>
        <w:t xml:space="preserve">In combination with </w:t>
      </w:r>
      <w:r w:rsidR="00323F1B">
        <w:rPr>
          <w:lang w:eastAsia="de-DE"/>
        </w:rPr>
        <w:t>the high obligation modal ‘m</w:t>
      </w:r>
      <w:r w:rsidR="00323F1B" w:rsidRPr="00181BEE">
        <w:rPr>
          <w:lang w:eastAsia="de-DE"/>
        </w:rPr>
        <w:t>ü</w:t>
      </w:r>
      <w:r w:rsidR="00323F1B">
        <w:rPr>
          <w:lang w:eastAsia="de-DE"/>
        </w:rPr>
        <w:t>ssen’</w:t>
      </w:r>
      <w:r w:rsidR="00323F1B" w:rsidRPr="00323F1B">
        <w:rPr>
          <w:lang w:eastAsia="de-DE"/>
        </w:rPr>
        <w:t xml:space="preserve"> </w:t>
      </w:r>
      <w:r w:rsidR="00323F1B">
        <w:rPr>
          <w:lang w:eastAsia="de-DE"/>
        </w:rPr>
        <w:t>in 23.6% of the cases</w:t>
      </w:r>
      <w:r w:rsidR="004D3313">
        <w:rPr>
          <w:lang w:eastAsia="de-DE"/>
        </w:rPr>
        <w:t xml:space="preserve">, this </w:t>
      </w:r>
      <w:r w:rsidR="00B4175F">
        <w:rPr>
          <w:lang w:eastAsia="de-DE"/>
        </w:rPr>
        <w:t xml:space="preserve">construes the party as a group </w:t>
      </w:r>
      <w:r w:rsidR="00323F1B" w:rsidRPr="00323F1B">
        <w:rPr>
          <w:lang w:eastAsia="de-DE"/>
        </w:rPr>
        <w:t>that has no alternative but to take a certain position</w:t>
      </w:r>
      <w:r w:rsidR="004D3313">
        <w:rPr>
          <w:lang w:eastAsia="de-DE"/>
        </w:rPr>
        <w:t>, a strategy that closes</w:t>
      </w:r>
      <w:r w:rsidR="007163AE">
        <w:rPr>
          <w:lang w:eastAsia="de-DE"/>
        </w:rPr>
        <w:t xml:space="preserve"> down</w:t>
      </w:r>
      <w:r w:rsidR="004D3313">
        <w:rPr>
          <w:lang w:eastAsia="de-DE"/>
        </w:rPr>
        <w:t xml:space="preserve"> the </w:t>
      </w:r>
      <w:r w:rsidR="00323F1B" w:rsidRPr="00323F1B">
        <w:rPr>
          <w:lang w:eastAsia="de-DE"/>
        </w:rPr>
        <w:t>discourse</w:t>
      </w:r>
      <w:r w:rsidR="00B4175F">
        <w:rPr>
          <w:lang w:eastAsia="de-DE"/>
        </w:rPr>
        <w:t xml:space="preserve"> </w:t>
      </w:r>
      <w:r w:rsidR="004D3313">
        <w:rPr>
          <w:lang w:eastAsia="de-DE"/>
        </w:rPr>
        <w:t xml:space="preserve">and </w:t>
      </w:r>
      <w:r w:rsidR="00B4175F">
        <w:rPr>
          <w:lang w:eastAsia="de-DE"/>
        </w:rPr>
        <w:t xml:space="preserve">allows no alternatives. </w:t>
      </w:r>
    </w:p>
    <w:p w14:paraId="4AB148A6" w14:textId="6D11D6D4" w:rsidR="008276C7" w:rsidRDefault="00B4175F" w:rsidP="00746CEA">
      <w:pPr>
        <w:rPr>
          <w:lang w:eastAsia="de-DE"/>
        </w:rPr>
      </w:pPr>
      <w:r>
        <w:rPr>
          <w:lang w:eastAsia="de-DE"/>
        </w:rPr>
        <w:t>The obvious contextual difference explaining these results is a difference in the historical situation: Blair gives his speech after the decision has been reached in a ballot of party members</w:t>
      </w:r>
      <w:r w:rsidR="00FD4655">
        <w:rPr>
          <w:lang w:eastAsia="de-DE"/>
        </w:rPr>
        <w:t xml:space="preserve">. He uses his speech to re-energise the participants of the party conference and presents himself as inspiring leader. Schröder position is different: He caused a crisis by </w:t>
      </w:r>
      <w:r w:rsidR="00133AD4">
        <w:rPr>
          <w:lang w:eastAsia="de-DE"/>
        </w:rPr>
        <w:t xml:space="preserve">appearing to make a </w:t>
      </w:r>
      <w:r w:rsidR="00C75EB3">
        <w:rPr>
          <w:lang w:eastAsia="de-DE"/>
        </w:rPr>
        <w:t xml:space="preserve">decision without consulting the party </w:t>
      </w:r>
      <w:r w:rsidR="001F1951">
        <w:rPr>
          <w:lang w:eastAsia="de-DE"/>
        </w:rPr>
        <w:t>(Klein, 2007)</w:t>
      </w:r>
      <w:r w:rsidR="00120447">
        <w:rPr>
          <w:lang w:eastAsia="de-DE"/>
        </w:rPr>
        <w:t xml:space="preserve"> </w:t>
      </w:r>
      <w:r w:rsidR="001F1951">
        <w:rPr>
          <w:lang w:eastAsia="de-DE"/>
        </w:rPr>
        <w:t xml:space="preserve">and </w:t>
      </w:r>
      <w:r w:rsidR="00133AD4">
        <w:rPr>
          <w:lang w:eastAsia="de-DE"/>
        </w:rPr>
        <w:t>then</w:t>
      </w:r>
      <w:r w:rsidR="00120447">
        <w:rPr>
          <w:lang w:eastAsia="de-DE"/>
        </w:rPr>
        <w:t xml:space="preserve"> aimed to construe this position in his speech as a decision </w:t>
      </w:r>
      <w:r w:rsidR="00133AD4">
        <w:rPr>
          <w:lang w:eastAsia="de-DE"/>
        </w:rPr>
        <w:t>made by</w:t>
      </w:r>
      <w:r w:rsidR="00120447">
        <w:rPr>
          <w:lang w:eastAsia="de-DE"/>
        </w:rPr>
        <w:t xml:space="preserve"> the party by keeping the speech firmly in the footing of the party as </w:t>
      </w:r>
      <w:r w:rsidR="00EB4A88">
        <w:rPr>
          <w:lang w:eastAsia="de-DE"/>
        </w:rPr>
        <w:t>principal</w:t>
      </w:r>
      <w:r w:rsidR="00120447">
        <w:rPr>
          <w:lang w:eastAsia="de-DE"/>
        </w:rPr>
        <w:t>.</w:t>
      </w:r>
      <w:r w:rsidR="008276C7">
        <w:rPr>
          <w:lang w:eastAsia="de-DE"/>
        </w:rPr>
        <w:t xml:space="preserve"> </w:t>
      </w:r>
      <w:r w:rsidR="00746CEA">
        <w:rPr>
          <w:lang w:eastAsia="de-DE"/>
        </w:rPr>
        <w:t xml:space="preserve">This is supported by a raised use of the combination ‘exclusive we + must + communicate’, which </w:t>
      </w:r>
      <w:r w:rsidR="008276C7" w:rsidRPr="004A36AA">
        <w:rPr>
          <w:lang w:eastAsia="de-DE"/>
        </w:rPr>
        <w:t>construc</w:t>
      </w:r>
      <w:r w:rsidR="00746CEA">
        <w:rPr>
          <w:lang w:eastAsia="de-DE"/>
        </w:rPr>
        <w:t>ts the</w:t>
      </w:r>
      <w:r w:rsidR="008276C7" w:rsidRPr="004A36AA">
        <w:rPr>
          <w:lang w:eastAsia="de-DE"/>
        </w:rPr>
        <w:t xml:space="preserve"> success</w:t>
      </w:r>
      <w:r w:rsidR="00746CEA">
        <w:rPr>
          <w:lang w:eastAsia="de-DE"/>
        </w:rPr>
        <w:t xml:space="preserve"> of the party as a collective responsibility </w:t>
      </w:r>
      <w:r w:rsidR="00BF6892">
        <w:rPr>
          <w:lang w:eastAsia="de-DE"/>
        </w:rPr>
        <w:t>and the unhappiness of the public with the social reforms as a lack of understanding.</w:t>
      </w:r>
    </w:p>
    <w:p w14:paraId="2B46E87C" w14:textId="4225247C" w:rsidR="00375531" w:rsidRPr="004A36AA" w:rsidRDefault="00B2279C" w:rsidP="00C32603">
      <w:pPr>
        <w:pStyle w:val="Heading1"/>
        <w:rPr>
          <w:lang w:eastAsia="de-DE"/>
        </w:rPr>
      </w:pPr>
      <w:r w:rsidRPr="004A36AA">
        <w:rPr>
          <w:lang w:eastAsia="de-DE"/>
        </w:rPr>
        <w:t>Verb</w:t>
      </w:r>
      <w:r w:rsidR="007349D5">
        <w:rPr>
          <w:lang w:eastAsia="de-DE"/>
        </w:rPr>
        <w:t xml:space="preserve"> </w:t>
      </w:r>
      <w:r w:rsidR="00D8003A" w:rsidRPr="004A36AA">
        <w:rPr>
          <w:lang w:eastAsia="de-DE"/>
        </w:rPr>
        <w:t>forms</w:t>
      </w:r>
      <w:r w:rsidR="00D8003A">
        <w:rPr>
          <w:lang w:eastAsia="de-DE"/>
        </w:rPr>
        <w:t xml:space="preserve">, </w:t>
      </w:r>
      <w:r w:rsidR="00D8003A" w:rsidRPr="004A36AA">
        <w:rPr>
          <w:lang w:eastAsia="de-DE"/>
        </w:rPr>
        <w:t>leadership</w:t>
      </w:r>
      <w:r w:rsidRPr="004A36AA">
        <w:rPr>
          <w:lang w:eastAsia="de-DE"/>
        </w:rPr>
        <w:t xml:space="preserve"> and groupness</w:t>
      </w:r>
    </w:p>
    <w:p w14:paraId="723C5B7C" w14:textId="07F9AFC3" w:rsidR="007349D5" w:rsidRDefault="007349D5" w:rsidP="007349D5">
      <w:pPr>
        <w:rPr>
          <w:lang w:eastAsia="de-DE"/>
        </w:rPr>
      </w:pPr>
      <w:r>
        <w:rPr>
          <w:lang w:eastAsia="de-DE"/>
        </w:rPr>
        <w:t xml:space="preserve">Discussing the construction of groupness in Schröder’s crisis conference speech from 2003, I have already demonstrated how </w:t>
      </w:r>
      <w:r w:rsidR="006A4860">
        <w:rPr>
          <w:lang w:eastAsia="de-DE"/>
        </w:rPr>
        <w:t>the construction of footing through pronominal self-reference and the use</w:t>
      </w:r>
      <w:r w:rsidR="00BB4B93">
        <w:rPr>
          <w:lang w:eastAsia="de-DE"/>
        </w:rPr>
        <w:t xml:space="preserve"> of verb forms interact: </w:t>
      </w:r>
      <w:r w:rsidR="00133AD4">
        <w:rPr>
          <w:lang w:eastAsia="de-DE"/>
        </w:rPr>
        <w:t>t</w:t>
      </w:r>
      <w:r w:rsidR="00BB4B93">
        <w:rPr>
          <w:lang w:eastAsia="de-DE"/>
        </w:rPr>
        <w:t>he speech construes necessity of the new party ideology through the combination of exclusive ‘we’, must and subjectification verbs.</w:t>
      </w:r>
    </w:p>
    <w:p w14:paraId="59356B78" w14:textId="14F24B69" w:rsidR="00BB4B93" w:rsidRDefault="00BB4B93" w:rsidP="007349D5">
      <w:pPr>
        <w:rPr>
          <w:lang w:eastAsia="de-DE"/>
        </w:rPr>
      </w:pPr>
      <w:r>
        <w:rPr>
          <w:lang w:eastAsia="de-DE"/>
        </w:rPr>
        <w:t xml:space="preserve">In their analysis of self-references </w:t>
      </w:r>
      <w:r w:rsidR="00F94F29">
        <w:rPr>
          <w:lang w:eastAsia="de-DE"/>
        </w:rPr>
        <w:t>and leadership, Fetzer and Bull</w:t>
      </w:r>
      <w:r w:rsidR="00216F3B">
        <w:rPr>
          <w:lang w:eastAsia="de-DE"/>
        </w:rPr>
        <w:t xml:space="preserve"> </w:t>
      </w:r>
      <w:r w:rsidR="00C33216">
        <w:rPr>
          <w:lang w:eastAsia="de-DE"/>
        </w:rPr>
        <w:t>(2012)</w:t>
      </w:r>
      <w:r w:rsidR="00216F3B">
        <w:rPr>
          <w:lang w:eastAsia="de-DE"/>
        </w:rPr>
        <w:t xml:space="preserve"> argued that event and subjectification verbs are the prime candidates for doing leadership in speeches. In the analysis of my corpus, I distinguished the use of the verbs combined with the various pronominal self-references. The results in </w:t>
      </w:r>
      <w:r w:rsidR="00B25B05">
        <w:rPr>
          <w:lang w:eastAsia="de-DE"/>
        </w:rPr>
        <w:fldChar w:fldCharType="begin"/>
      </w:r>
      <w:r w:rsidR="00B25B05">
        <w:rPr>
          <w:lang w:eastAsia="de-DE"/>
        </w:rPr>
        <w:instrText xml:space="preserve"> REF _Ref455662979 \h </w:instrText>
      </w:r>
      <w:r w:rsidR="00B25B05">
        <w:rPr>
          <w:lang w:eastAsia="de-DE"/>
        </w:rPr>
      </w:r>
      <w:r w:rsidR="00B25B05">
        <w:rPr>
          <w:lang w:eastAsia="de-DE"/>
        </w:rPr>
        <w:fldChar w:fldCharType="separate"/>
      </w:r>
      <w:r w:rsidR="00F30973">
        <w:t xml:space="preserve">Table </w:t>
      </w:r>
      <w:r w:rsidR="00F30973">
        <w:rPr>
          <w:noProof/>
        </w:rPr>
        <w:t>2</w:t>
      </w:r>
      <w:r w:rsidR="00B25B05">
        <w:rPr>
          <w:lang w:eastAsia="de-DE"/>
        </w:rPr>
        <w:fldChar w:fldCharType="end"/>
      </w:r>
      <w:r w:rsidR="00216F3B">
        <w:rPr>
          <w:lang w:eastAsia="de-DE"/>
        </w:rPr>
        <w:t xml:space="preserve"> only show the use with </w:t>
      </w:r>
      <w:r w:rsidR="00B25B05">
        <w:rPr>
          <w:lang w:eastAsia="de-DE"/>
        </w:rPr>
        <w:t>‘</w:t>
      </w:r>
      <w:r w:rsidR="00216F3B">
        <w:rPr>
          <w:lang w:eastAsia="de-DE"/>
        </w:rPr>
        <w:t>I</w:t>
      </w:r>
      <w:r w:rsidR="00B25B05">
        <w:rPr>
          <w:lang w:eastAsia="de-DE"/>
        </w:rPr>
        <w:t>’</w:t>
      </w:r>
      <w:r w:rsidR="00216F3B">
        <w:rPr>
          <w:lang w:eastAsia="de-DE"/>
        </w:rPr>
        <w:t xml:space="preserve"> and exclusive </w:t>
      </w:r>
      <w:r w:rsidR="00B25B05">
        <w:rPr>
          <w:lang w:eastAsia="de-DE"/>
        </w:rPr>
        <w:t>‘</w:t>
      </w:r>
      <w:r w:rsidR="00216F3B">
        <w:rPr>
          <w:lang w:eastAsia="de-DE"/>
        </w:rPr>
        <w:t>we</w:t>
      </w:r>
      <w:r w:rsidR="00B25B05">
        <w:rPr>
          <w:lang w:eastAsia="de-DE"/>
        </w:rPr>
        <w:t>’</w:t>
      </w:r>
      <w:r w:rsidR="00216F3B">
        <w:rPr>
          <w:lang w:eastAsia="de-DE"/>
        </w:rPr>
        <w:t xml:space="preserve">, </w:t>
      </w:r>
      <w:r w:rsidR="00B25B05">
        <w:rPr>
          <w:lang w:eastAsia="de-DE"/>
        </w:rPr>
        <w:t>where the</w:t>
      </w:r>
      <w:r w:rsidR="000B1AE0">
        <w:rPr>
          <w:lang w:eastAsia="de-DE"/>
        </w:rPr>
        <w:t xml:space="preserve"> differences are most prominent.</w:t>
      </w:r>
    </w:p>
    <w:tbl>
      <w:tblPr>
        <w:tblStyle w:val="TableGrid"/>
        <w:tblW w:w="0" w:type="auto"/>
        <w:tblLayout w:type="fixed"/>
        <w:tblLook w:val="04A0" w:firstRow="1" w:lastRow="0" w:firstColumn="1" w:lastColumn="0" w:noHBand="0" w:noVBand="1"/>
      </w:tblPr>
      <w:tblGrid>
        <w:gridCol w:w="1696"/>
        <w:gridCol w:w="709"/>
        <w:gridCol w:w="1701"/>
        <w:gridCol w:w="709"/>
        <w:gridCol w:w="1701"/>
        <w:gridCol w:w="709"/>
        <w:gridCol w:w="1791"/>
      </w:tblGrid>
      <w:tr w:rsidR="000B1AE0" w:rsidRPr="004A36AA" w14:paraId="3722025B" w14:textId="77777777" w:rsidTr="002A5415">
        <w:tc>
          <w:tcPr>
            <w:tcW w:w="1696" w:type="dxa"/>
            <w:vMerge w:val="restart"/>
            <w:shd w:val="clear" w:color="auto" w:fill="D9D9D9" w:themeFill="background1" w:themeFillShade="D9"/>
          </w:tcPr>
          <w:p w14:paraId="773BE46A" w14:textId="77777777" w:rsidR="000B1AE0" w:rsidRPr="000B1AE0" w:rsidRDefault="000B1AE0" w:rsidP="00C32603">
            <w:pPr>
              <w:rPr>
                <w:b/>
                <w:lang w:eastAsia="de-DE"/>
              </w:rPr>
            </w:pPr>
          </w:p>
        </w:tc>
        <w:tc>
          <w:tcPr>
            <w:tcW w:w="7320" w:type="dxa"/>
            <w:gridSpan w:val="6"/>
            <w:tcBorders>
              <w:bottom w:val="nil"/>
            </w:tcBorders>
            <w:shd w:val="clear" w:color="auto" w:fill="D9D9D9" w:themeFill="background1" w:themeFillShade="D9"/>
          </w:tcPr>
          <w:p w14:paraId="34EB04C0" w14:textId="100908E4" w:rsidR="000B1AE0" w:rsidRPr="000B1AE0" w:rsidRDefault="000B1AE0" w:rsidP="00C526FA">
            <w:pPr>
              <w:jc w:val="center"/>
              <w:rPr>
                <w:b/>
                <w:lang w:eastAsia="de-DE"/>
              </w:rPr>
            </w:pPr>
            <w:r w:rsidRPr="000B1AE0">
              <w:rPr>
                <w:b/>
                <w:lang w:eastAsia="de-DE"/>
              </w:rPr>
              <w:t>in % of all pronoun + verb</w:t>
            </w:r>
          </w:p>
        </w:tc>
      </w:tr>
      <w:tr w:rsidR="000B1AE0" w:rsidRPr="004A36AA" w14:paraId="0D34E9EC" w14:textId="77777777" w:rsidTr="002A5415">
        <w:tc>
          <w:tcPr>
            <w:tcW w:w="1696" w:type="dxa"/>
            <w:vMerge/>
            <w:shd w:val="clear" w:color="auto" w:fill="D9D9D9" w:themeFill="background1" w:themeFillShade="D9"/>
          </w:tcPr>
          <w:p w14:paraId="2EE58CAF" w14:textId="77777777" w:rsidR="000B1AE0" w:rsidRPr="000B1AE0" w:rsidRDefault="000B1AE0" w:rsidP="00C526FA">
            <w:pPr>
              <w:jc w:val="center"/>
              <w:rPr>
                <w:b/>
                <w:lang w:eastAsia="de-DE"/>
              </w:rPr>
            </w:pPr>
          </w:p>
        </w:tc>
        <w:tc>
          <w:tcPr>
            <w:tcW w:w="2410" w:type="dxa"/>
            <w:gridSpan w:val="2"/>
            <w:tcBorders>
              <w:top w:val="nil"/>
              <w:bottom w:val="nil"/>
            </w:tcBorders>
            <w:shd w:val="clear" w:color="auto" w:fill="D9D9D9" w:themeFill="background1" w:themeFillShade="D9"/>
          </w:tcPr>
          <w:p w14:paraId="01AC5EB9" w14:textId="018DD034" w:rsidR="000B1AE0" w:rsidRPr="000B1AE0" w:rsidRDefault="000B1AE0" w:rsidP="00C526FA">
            <w:pPr>
              <w:jc w:val="center"/>
              <w:rPr>
                <w:b/>
                <w:lang w:eastAsia="de-DE"/>
              </w:rPr>
            </w:pPr>
            <w:r w:rsidRPr="000B1AE0">
              <w:rPr>
                <w:b/>
                <w:lang w:eastAsia="de-DE"/>
              </w:rPr>
              <w:t>Blair</w:t>
            </w:r>
          </w:p>
        </w:tc>
        <w:tc>
          <w:tcPr>
            <w:tcW w:w="2410" w:type="dxa"/>
            <w:gridSpan w:val="2"/>
            <w:tcBorders>
              <w:top w:val="nil"/>
              <w:bottom w:val="nil"/>
            </w:tcBorders>
            <w:shd w:val="clear" w:color="auto" w:fill="D9D9D9" w:themeFill="background1" w:themeFillShade="D9"/>
          </w:tcPr>
          <w:p w14:paraId="29F3B3C5" w14:textId="2CBE913B" w:rsidR="000B1AE0" w:rsidRPr="000B1AE0" w:rsidRDefault="000B1AE0" w:rsidP="00C526FA">
            <w:pPr>
              <w:jc w:val="center"/>
              <w:rPr>
                <w:b/>
                <w:lang w:eastAsia="de-DE"/>
              </w:rPr>
            </w:pPr>
            <w:r w:rsidRPr="000B1AE0">
              <w:rPr>
                <w:b/>
                <w:lang w:eastAsia="de-DE"/>
              </w:rPr>
              <w:t>Schröder</w:t>
            </w:r>
          </w:p>
        </w:tc>
        <w:tc>
          <w:tcPr>
            <w:tcW w:w="2500" w:type="dxa"/>
            <w:gridSpan w:val="2"/>
            <w:tcBorders>
              <w:top w:val="nil"/>
              <w:bottom w:val="nil"/>
            </w:tcBorders>
            <w:shd w:val="clear" w:color="auto" w:fill="D9D9D9" w:themeFill="background1" w:themeFillShade="D9"/>
          </w:tcPr>
          <w:p w14:paraId="2BC05977" w14:textId="28989B62" w:rsidR="000B1AE0" w:rsidRPr="000B1AE0" w:rsidRDefault="000B1AE0" w:rsidP="00C526FA">
            <w:pPr>
              <w:jc w:val="center"/>
              <w:rPr>
                <w:b/>
                <w:lang w:eastAsia="de-DE"/>
              </w:rPr>
            </w:pPr>
            <w:r w:rsidRPr="000B1AE0">
              <w:rPr>
                <w:b/>
                <w:lang w:eastAsia="de-DE"/>
              </w:rPr>
              <w:t>Lafontaine</w:t>
            </w:r>
          </w:p>
        </w:tc>
      </w:tr>
      <w:tr w:rsidR="000B1AE0" w:rsidRPr="004A36AA" w14:paraId="601D59F3" w14:textId="77777777" w:rsidTr="002A5415">
        <w:tc>
          <w:tcPr>
            <w:tcW w:w="1696" w:type="dxa"/>
            <w:vMerge/>
            <w:shd w:val="clear" w:color="auto" w:fill="D9D9D9" w:themeFill="background1" w:themeFillShade="D9"/>
          </w:tcPr>
          <w:p w14:paraId="69AF51F6" w14:textId="77777777" w:rsidR="000B1AE0" w:rsidRPr="000B1AE0" w:rsidRDefault="000B1AE0" w:rsidP="00C32603">
            <w:pPr>
              <w:rPr>
                <w:b/>
                <w:lang w:eastAsia="de-DE"/>
              </w:rPr>
            </w:pPr>
          </w:p>
        </w:tc>
        <w:tc>
          <w:tcPr>
            <w:tcW w:w="709" w:type="dxa"/>
            <w:tcBorders>
              <w:top w:val="nil"/>
              <w:bottom w:val="single" w:sz="4" w:space="0" w:color="auto"/>
            </w:tcBorders>
            <w:shd w:val="clear" w:color="auto" w:fill="D9D9D9" w:themeFill="background1" w:themeFillShade="D9"/>
          </w:tcPr>
          <w:p w14:paraId="05E83FA2" w14:textId="5BF48645" w:rsidR="000B1AE0" w:rsidRPr="000B1AE0" w:rsidRDefault="000B1AE0" w:rsidP="000B1AE0">
            <w:pPr>
              <w:jc w:val="center"/>
              <w:rPr>
                <w:b/>
                <w:lang w:eastAsia="de-DE"/>
              </w:rPr>
            </w:pPr>
            <w:r w:rsidRPr="000B1AE0">
              <w:rPr>
                <w:b/>
                <w:lang w:eastAsia="de-DE"/>
              </w:rPr>
              <w:t>I</w:t>
            </w:r>
          </w:p>
        </w:tc>
        <w:tc>
          <w:tcPr>
            <w:tcW w:w="1701" w:type="dxa"/>
            <w:tcBorders>
              <w:top w:val="nil"/>
              <w:bottom w:val="single" w:sz="4" w:space="0" w:color="auto"/>
            </w:tcBorders>
            <w:shd w:val="clear" w:color="auto" w:fill="D9D9D9" w:themeFill="background1" w:themeFillShade="D9"/>
          </w:tcPr>
          <w:p w14:paraId="39DDE798" w14:textId="30AA64AC" w:rsidR="000B1AE0" w:rsidRPr="000B1AE0" w:rsidRDefault="000B1AE0" w:rsidP="000B1AE0">
            <w:pPr>
              <w:jc w:val="center"/>
              <w:rPr>
                <w:b/>
                <w:lang w:eastAsia="de-DE"/>
              </w:rPr>
            </w:pPr>
            <w:r w:rsidRPr="000B1AE0">
              <w:rPr>
                <w:b/>
                <w:lang w:eastAsia="de-DE"/>
              </w:rPr>
              <w:t>Exclusive ‘we’</w:t>
            </w:r>
          </w:p>
        </w:tc>
        <w:tc>
          <w:tcPr>
            <w:tcW w:w="709" w:type="dxa"/>
            <w:tcBorders>
              <w:top w:val="nil"/>
              <w:bottom w:val="single" w:sz="4" w:space="0" w:color="auto"/>
            </w:tcBorders>
            <w:shd w:val="clear" w:color="auto" w:fill="D9D9D9" w:themeFill="background1" w:themeFillShade="D9"/>
          </w:tcPr>
          <w:p w14:paraId="110A7F79" w14:textId="5D441AC3" w:rsidR="000B1AE0" w:rsidRPr="000B1AE0" w:rsidRDefault="000B1AE0" w:rsidP="000B1AE0">
            <w:pPr>
              <w:jc w:val="center"/>
              <w:rPr>
                <w:b/>
                <w:lang w:eastAsia="de-DE"/>
              </w:rPr>
            </w:pPr>
            <w:r w:rsidRPr="000B1AE0">
              <w:rPr>
                <w:b/>
                <w:lang w:eastAsia="de-DE"/>
              </w:rPr>
              <w:t>I</w:t>
            </w:r>
          </w:p>
        </w:tc>
        <w:tc>
          <w:tcPr>
            <w:tcW w:w="1701" w:type="dxa"/>
            <w:tcBorders>
              <w:top w:val="nil"/>
              <w:bottom w:val="single" w:sz="4" w:space="0" w:color="auto"/>
            </w:tcBorders>
            <w:shd w:val="clear" w:color="auto" w:fill="D9D9D9" w:themeFill="background1" w:themeFillShade="D9"/>
          </w:tcPr>
          <w:p w14:paraId="5AC902D9" w14:textId="0BF87674" w:rsidR="000B1AE0" w:rsidRPr="000B1AE0" w:rsidRDefault="000B1AE0" w:rsidP="000B1AE0">
            <w:pPr>
              <w:jc w:val="center"/>
              <w:rPr>
                <w:b/>
                <w:lang w:eastAsia="de-DE"/>
              </w:rPr>
            </w:pPr>
            <w:r w:rsidRPr="000B1AE0">
              <w:rPr>
                <w:b/>
                <w:lang w:eastAsia="de-DE"/>
              </w:rPr>
              <w:t>Exclusive ‘we’</w:t>
            </w:r>
          </w:p>
        </w:tc>
        <w:tc>
          <w:tcPr>
            <w:tcW w:w="709" w:type="dxa"/>
            <w:tcBorders>
              <w:top w:val="nil"/>
              <w:bottom w:val="single" w:sz="4" w:space="0" w:color="auto"/>
            </w:tcBorders>
            <w:shd w:val="clear" w:color="auto" w:fill="D9D9D9" w:themeFill="background1" w:themeFillShade="D9"/>
          </w:tcPr>
          <w:p w14:paraId="6C7F1A04" w14:textId="09A5772E" w:rsidR="000B1AE0" w:rsidRPr="000B1AE0" w:rsidRDefault="000B1AE0" w:rsidP="000B1AE0">
            <w:pPr>
              <w:jc w:val="center"/>
              <w:rPr>
                <w:b/>
                <w:lang w:eastAsia="de-DE"/>
              </w:rPr>
            </w:pPr>
            <w:r w:rsidRPr="000B1AE0">
              <w:rPr>
                <w:b/>
                <w:lang w:eastAsia="de-DE"/>
              </w:rPr>
              <w:t>I</w:t>
            </w:r>
          </w:p>
        </w:tc>
        <w:tc>
          <w:tcPr>
            <w:tcW w:w="1791" w:type="dxa"/>
            <w:tcBorders>
              <w:top w:val="nil"/>
              <w:bottom w:val="single" w:sz="4" w:space="0" w:color="auto"/>
            </w:tcBorders>
            <w:shd w:val="clear" w:color="auto" w:fill="D9D9D9" w:themeFill="background1" w:themeFillShade="D9"/>
          </w:tcPr>
          <w:p w14:paraId="63160DD4" w14:textId="4B06123E" w:rsidR="000B1AE0" w:rsidRPr="000B1AE0" w:rsidRDefault="000B1AE0" w:rsidP="000B1AE0">
            <w:pPr>
              <w:jc w:val="center"/>
              <w:rPr>
                <w:b/>
                <w:lang w:eastAsia="de-DE"/>
              </w:rPr>
            </w:pPr>
            <w:r w:rsidRPr="000B1AE0">
              <w:rPr>
                <w:b/>
                <w:lang w:eastAsia="de-DE"/>
              </w:rPr>
              <w:t>Exclusive ‘we’</w:t>
            </w:r>
          </w:p>
        </w:tc>
      </w:tr>
      <w:tr w:rsidR="000B1AE0" w:rsidRPr="004A36AA" w14:paraId="47B4A631" w14:textId="77777777" w:rsidTr="002A5415">
        <w:tc>
          <w:tcPr>
            <w:tcW w:w="1696" w:type="dxa"/>
            <w:shd w:val="clear" w:color="auto" w:fill="D9D9D9" w:themeFill="background1" w:themeFillShade="D9"/>
          </w:tcPr>
          <w:p w14:paraId="41FEC559" w14:textId="5946CB1A" w:rsidR="001013BC" w:rsidRPr="000B1AE0" w:rsidRDefault="001013BC" w:rsidP="00C32603">
            <w:pPr>
              <w:rPr>
                <w:b/>
                <w:lang w:eastAsia="de-DE"/>
              </w:rPr>
            </w:pPr>
            <w:r w:rsidRPr="000B1AE0">
              <w:rPr>
                <w:b/>
                <w:lang w:eastAsia="de-DE"/>
              </w:rPr>
              <w:t>event verb</w:t>
            </w:r>
          </w:p>
        </w:tc>
        <w:tc>
          <w:tcPr>
            <w:tcW w:w="709" w:type="dxa"/>
            <w:tcBorders>
              <w:top w:val="single" w:sz="4" w:space="0" w:color="auto"/>
            </w:tcBorders>
            <w:shd w:val="clear" w:color="auto" w:fill="FFFFFF" w:themeFill="background1"/>
          </w:tcPr>
          <w:p w14:paraId="65E5AD2A" w14:textId="6108AD45" w:rsidR="001013BC" w:rsidRPr="004A36AA" w:rsidRDefault="00515B42" w:rsidP="000B1AE0">
            <w:pPr>
              <w:jc w:val="center"/>
              <w:rPr>
                <w:lang w:eastAsia="de-DE"/>
              </w:rPr>
            </w:pPr>
            <w:r w:rsidRPr="004A36AA">
              <w:rPr>
                <w:lang w:eastAsia="de-DE"/>
              </w:rPr>
              <w:t>2.7</w:t>
            </w:r>
          </w:p>
        </w:tc>
        <w:tc>
          <w:tcPr>
            <w:tcW w:w="1701" w:type="dxa"/>
            <w:tcBorders>
              <w:top w:val="single" w:sz="4" w:space="0" w:color="auto"/>
            </w:tcBorders>
            <w:shd w:val="clear" w:color="auto" w:fill="FFFFFF" w:themeFill="background1"/>
          </w:tcPr>
          <w:p w14:paraId="37310930" w14:textId="3506F127" w:rsidR="001013BC" w:rsidRPr="004A36AA" w:rsidRDefault="00515B42" w:rsidP="000B1AE0">
            <w:pPr>
              <w:jc w:val="center"/>
              <w:rPr>
                <w:lang w:eastAsia="de-DE"/>
              </w:rPr>
            </w:pPr>
            <w:r w:rsidRPr="004A36AA">
              <w:rPr>
                <w:lang w:eastAsia="de-DE"/>
              </w:rPr>
              <w:t>15.7</w:t>
            </w:r>
          </w:p>
        </w:tc>
        <w:tc>
          <w:tcPr>
            <w:tcW w:w="709" w:type="dxa"/>
            <w:tcBorders>
              <w:top w:val="single" w:sz="4" w:space="0" w:color="auto"/>
            </w:tcBorders>
            <w:shd w:val="clear" w:color="auto" w:fill="FFFFFF" w:themeFill="background1"/>
          </w:tcPr>
          <w:p w14:paraId="6F3A439C" w14:textId="55A1F232" w:rsidR="001013BC" w:rsidRPr="004A36AA" w:rsidRDefault="00515B42" w:rsidP="000B1AE0">
            <w:pPr>
              <w:jc w:val="center"/>
              <w:rPr>
                <w:lang w:eastAsia="de-DE"/>
              </w:rPr>
            </w:pPr>
            <w:r w:rsidRPr="004A36AA">
              <w:rPr>
                <w:lang w:eastAsia="de-DE"/>
              </w:rPr>
              <w:t>1.9</w:t>
            </w:r>
          </w:p>
        </w:tc>
        <w:tc>
          <w:tcPr>
            <w:tcW w:w="1701" w:type="dxa"/>
            <w:tcBorders>
              <w:top w:val="single" w:sz="4" w:space="0" w:color="auto"/>
            </w:tcBorders>
            <w:shd w:val="clear" w:color="auto" w:fill="FFFFFF" w:themeFill="background1"/>
          </w:tcPr>
          <w:p w14:paraId="2940BB53" w14:textId="7DE406A3" w:rsidR="001013BC" w:rsidRPr="004A36AA" w:rsidRDefault="00515B42" w:rsidP="000B1AE0">
            <w:pPr>
              <w:jc w:val="center"/>
              <w:rPr>
                <w:lang w:eastAsia="de-DE"/>
              </w:rPr>
            </w:pPr>
            <w:r w:rsidRPr="004A36AA">
              <w:rPr>
                <w:lang w:eastAsia="de-DE"/>
              </w:rPr>
              <w:t>25.3</w:t>
            </w:r>
          </w:p>
        </w:tc>
        <w:tc>
          <w:tcPr>
            <w:tcW w:w="709" w:type="dxa"/>
            <w:tcBorders>
              <w:top w:val="single" w:sz="4" w:space="0" w:color="auto"/>
            </w:tcBorders>
            <w:shd w:val="clear" w:color="auto" w:fill="FFFFFF" w:themeFill="background1"/>
          </w:tcPr>
          <w:p w14:paraId="335F182D" w14:textId="3FD17F0A" w:rsidR="001013BC" w:rsidRPr="004A36AA" w:rsidRDefault="00515B42" w:rsidP="000B1AE0">
            <w:pPr>
              <w:jc w:val="center"/>
              <w:rPr>
                <w:lang w:eastAsia="de-DE"/>
              </w:rPr>
            </w:pPr>
            <w:r w:rsidRPr="004A36AA">
              <w:rPr>
                <w:lang w:eastAsia="de-DE"/>
              </w:rPr>
              <w:t>1.1</w:t>
            </w:r>
          </w:p>
        </w:tc>
        <w:tc>
          <w:tcPr>
            <w:tcW w:w="1791" w:type="dxa"/>
            <w:tcBorders>
              <w:top w:val="single" w:sz="4" w:space="0" w:color="auto"/>
            </w:tcBorders>
            <w:shd w:val="clear" w:color="auto" w:fill="FFFFFF" w:themeFill="background1"/>
          </w:tcPr>
          <w:p w14:paraId="622F3297" w14:textId="16636077" w:rsidR="001013BC" w:rsidRPr="004A36AA" w:rsidRDefault="00515B42" w:rsidP="000B1AE0">
            <w:pPr>
              <w:jc w:val="center"/>
              <w:rPr>
                <w:lang w:eastAsia="de-DE"/>
              </w:rPr>
            </w:pPr>
            <w:r w:rsidRPr="004A36AA">
              <w:rPr>
                <w:lang w:eastAsia="de-DE"/>
              </w:rPr>
              <w:t>10.6</w:t>
            </w:r>
          </w:p>
        </w:tc>
      </w:tr>
      <w:tr w:rsidR="000B1AE0" w:rsidRPr="004A36AA" w14:paraId="77C79699" w14:textId="77777777" w:rsidTr="000B1AE0">
        <w:tc>
          <w:tcPr>
            <w:tcW w:w="1696" w:type="dxa"/>
            <w:shd w:val="clear" w:color="auto" w:fill="D9D9D9" w:themeFill="background1" w:themeFillShade="D9"/>
          </w:tcPr>
          <w:p w14:paraId="78588FBF" w14:textId="514E3869" w:rsidR="001013BC" w:rsidRPr="000B1AE0" w:rsidRDefault="00C526FA" w:rsidP="00C526FA">
            <w:pPr>
              <w:rPr>
                <w:b/>
                <w:lang w:eastAsia="de-DE"/>
              </w:rPr>
            </w:pPr>
            <w:r w:rsidRPr="000B1AE0">
              <w:rPr>
                <w:b/>
                <w:lang w:eastAsia="de-DE"/>
              </w:rPr>
              <w:t>s</w:t>
            </w:r>
            <w:r w:rsidR="001013BC" w:rsidRPr="000B1AE0">
              <w:rPr>
                <w:b/>
                <w:lang w:eastAsia="de-DE"/>
              </w:rPr>
              <w:t>ubject</w:t>
            </w:r>
            <w:r w:rsidRPr="000B1AE0">
              <w:rPr>
                <w:b/>
                <w:lang w:eastAsia="de-DE"/>
              </w:rPr>
              <w:t>.</w:t>
            </w:r>
            <w:r w:rsidR="001013BC" w:rsidRPr="000B1AE0">
              <w:rPr>
                <w:b/>
                <w:lang w:eastAsia="de-DE"/>
              </w:rPr>
              <w:t xml:space="preserve"> </w:t>
            </w:r>
            <w:r w:rsidR="00152C61" w:rsidRPr="000B1AE0">
              <w:rPr>
                <w:b/>
                <w:lang w:eastAsia="de-DE"/>
              </w:rPr>
              <w:t>V</w:t>
            </w:r>
            <w:r w:rsidR="001013BC" w:rsidRPr="000B1AE0">
              <w:rPr>
                <w:b/>
                <w:lang w:eastAsia="de-DE"/>
              </w:rPr>
              <w:t>erb</w:t>
            </w:r>
          </w:p>
        </w:tc>
        <w:tc>
          <w:tcPr>
            <w:tcW w:w="709" w:type="dxa"/>
            <w:shd w:val="clear" w:color="auto" w:fill="FFFFFF" w:themeFill="background1"/>
          </w:tcPr>
          <w:p w14:paraId="788F8C71" w14:textId="24EC0B2E" w:rsidR="001013BC" w:rsidRPr="004A36AA" w:rsidRDefault="00515B42" w:rsidP="000B1AE0">
            <w:pPr>
              <w:jc w:val="center"/>
              <w:rPr>
                <w:lang w:eastAsia="de-DE"/>
              </w:rPr>
            </w:pPr>
            <w:r w:rsidRPr="004A36AA">
              <w:rPr>
                <w:lang w:eastAsia="de-DE"/>
              </w:rPr>
              <w:t>33.2</w:t>
            </w:r>
          </w:p>
        </w:tc>
        <w:tc>
          <w:tcPr>
            <w:tcW w:w="1701" w:type="dxa"/>
            <w:shd w:val="clear" w:color="auto" w:fill="FFFFFF" w:themeFill="background1"/>
          </w:tcPr>
          <w:p w14:paraId="360BC735" w14:textId="665E3F01" w:rsidR="001013BC" w:rsidRPr="004A36AA" w:rsidRDefault="00515B42" w:rsidP="000B1AE0">
            <w:pPr>
              <w:jc w:val="center"/>
              <w:rPr>
                <w:lang w:eastAsia="de-DE"/>
              </w:rPr>
            </w:pPr>
            <w:r w:rsidRPr="004A36AA">
              <w:rPr>
                <w:lang w:eastAsia="de-DE"/>
              </w:rPr>
              <w:t>10.4</w:t>
            </w:r>
          </w:p>
        </w:tc>
        <w:tc>
          <w:tcPr>
            <w:tcW w:w="709" w:type="dxa"/>
            <w:shd w:val="clear" w:color="auto" w:fill="FFFFFF" w:themeFill="background1"/>
          </w:tcPr>
          <w:p w14:paraId="7CE61557" w14:textId="40D54287" w:rsidR="001013BC" w:rsidRPr="004A36AA" w:rsidRDefault="00515B42" w:rsidP="000B1AE0">
            <w:pPr>
              <w:jc w:val="center"/>
              <w:rPr>
                <w:lang w:eastAsia="de-DE"/>
              </w:rPr>
            </w:pPr>
            <w:r w:rsidRPr="004A36AA">
              <w:rPr>
                <w:lang w:eastAsia="de-DE"/>
              </w:rPr>
              <w:t>44.6</w:t>
            </w:r>
          </w:p>
        </w:tc>
        <w:tc>
          <w:tcPr>
            <w:tcW w:w="1701" w:type="dxa"/>
            <w:shd w:val="clear" w:color="auto" w:fill="FFFFFF" w:themeFill="background1"/>
          </w:tcPr>
          <w:p w14:paraId="21CDA9B0" w14:textId="2FDF8D55" w:rsidR="001013BC" w:rsidRPr="004A36AA" w:rsidRDefault="00515B42" w:rsidP="000B1AE0">
            <w:pPr>
              <w:jc w:val="center"/>
              <w:rPr>
                <w:lang w:eastAsia="de-DE"/>
              </w:rPr>
            </w:pPr>
            <w:r w:rsidRPr="004A36AA">
              <w:rPr>
                <w:lang w:eastAsia="de-DE"/>
              </w:rPr>
              <w:t>23.7</w:t>
            </w:r>
          </w:p>
        </w:tc>
        <w:tc>
          <w:tcPr>
            <w:tcW w:w="709" w:type="dxa"/>
            <w:shd w:val="clear" w:color="auto" w:fill="FFFFFF" w:themeFill="background1"/>
          </w:tcPr>
          <w:p w14:paraId="69F37ACF" w14:textId="63037C2C" w:rsidR="001013BC" w:rsidRPr="004A36AA" w:rsidRDefault="00515B42" w:rsidP="000B1AE0">
            <w:pPr>
              <w:jc w:val="center"/>
              <w:rPr>
                <w:lang w:eastAsia="de-DE"/>
              </w:rPr>
            </w:pPr>
            <w:r w:rsidRPr="004A36AA">
              <w:rPr>
                <w:lang w:eastAsia="de-DE"/>
              </w:rPr>
              <w:t>17.9</w:t>
            </w:r>
          </w:p>
        </w:tc>
        <w:tc>
          <w:tcPr>
            <w:tcW w:w="1791" w:type="dxa"/>
            <w:shd w:val="clear" w:color="auto" w:fill="FFFFFF" w:themeFill="background1"/>
          </w:tcPr>
          <w:p w14:paraId="3CBB480B" w14:textId="7D7864E2" w:rsidR="001013BC" w:rsidRPr="004A36AA" w:rsidRDefault="00515B42" w:rsidP="000B1AE0">
            <w:pPr>
              <w:jc w:val="center"/>
              <w:rPr>
                <w:lang w:eastAsia="de-DE"/>
              </w:rPr>
            </w:pPr>
            <w:r w:rsidRPr="004A36AA">
              <w:rPr>
                <w:lang w:eastAsia="de-DE"/>
              </w:rPr>
              <w:t>17.3</w:t>
            </w:r>
          </w:p>
        </w:tc>
      </w:tr>
      <w:tr w:rsidR="000B1AE0" w:rsidRPr="004A36AA" w14:paraId="18276C83" w14:textId="77777777" w:rsidTr="000B1AE0">
        <w:tc>
          <w:tcPr>
            <w:tcW w:w="1696" w:type="dxa"/>
            <w:shd w:val="clear" w:color="auto" w:fill="D9D9D9" w:themeFill="background1" w:themeFillShade="D9"/>
          </w:tcPr>
          <w:p w14:paraId="3EE96C29" w14:textId="3CEA747A" w:rsidR="001013BC" w:rsidRPr="000B1AE0" w:rsidRDefault="001013BC" w:rsidP="00C32603">
            <w:pPr>
              <w:rPr>
                <w:b/>
                <w:lang w:eastAsia="de-DE"/>
              </w:rPr>
            </w:pPr>
            <w:r w:rsidRPr="000B1AE0">
              <w:rPr>
                <w:b/>
                <w:lang w:eastAsia="de-DE"/>
              </w:rPr>
              <w:t>intention verb</w:t>
            </w:r>
          </w:p>
        </w:tc>
        <w:tc>
          <w:tcPr>
            <w:tcW w:w="709" w:type="dxa"/>
            <w:shd w:val="clear" w:color="auto" w:fill="FFFFFF" w:themeFill="background1"/>
          </w:tcPr>
          <w:p w14:paraId="1BE72F0C" w14:textId="38D00094" w:rsidR="00515B42" w:rsidRPr="004A36AA" w:rsidRDefault="00515B42" w:rsidP="000B1AE0">
            <w:pPr>
              <w:jc w:val="center"/>
              <w:rPr>
                <w:lang w:eastAsia="de-DE"/>
              </w:rPr>
            </w:pPr>
            <w:r w:rsidRPr="004A36AA">
              <w:rPr>
                <w:lang w:eastAsia="de-DE"/>
              </w:rPr>
              <w:t>15.9</w:t>
            </w:r>
          </w:p>
        </w:tc>
        <w:tc>
          <w:tcPr>
            <w:tcW w:w="1701" w:type="dxa"/>
            <w:shd w:val="clear" w:color="auto" w:fill="FFFFFF" w:themeFill="background1"/>
          </w:tcPr>
          <w:p w14:paraId="0F04A426" w14:textId="48A40166" w:rsidR="001013BC" w:rsidRPr="004A36AA" w:rsidRDefault="00515B42" w:rsidP="000B1AE0">
            <w:pPr>
              <w:jc w:val="center"/>
              <w:rPr>
                <w:lang w:eastAsia="de-DE"/>
              </w:rPr>
            </w:pPr>
            <w:r w:rsidRPr="004A36AA">
              <w:rPr>
                <w:lang w:eastAsia="de-DE"/>
              </w:rPr>
              <w:t>19.2</w:t>
            </w:r>
          </w:p>
        </w:tc>
        <w:tc>
          <w:tcPr>
            <w:tcW w:w="709" w:type="dxa"/>
            <w:shd w:val="clear" w:color="auto" w:fill="FFFFFF" w:themeFill="background1"/>
          </w:tcPr>
          <w:p w14:paraId="4019EF8A" w14:textId="50661121" w:rsidR="001013BC" w:rsidRPr="004A36AA" w:rsidRDefault="00515B42" w:rsidP="000B1AE0">
            <w:pPr>
              <w:jc w:val="center"/>
              <w:rPr>
                <w:lang w:eastAsia="de-DE"/>
              </w:rPr>
            </w:pPr>
            <w:r w:rsidRPr="004A36AA">
              <w:rPr>
                <w:lang w:eastAsia="de-DE"/>
              </w:rPr>
              <w:t>3.3</w:t>
            </w:r>
          </w:p>
        </w:tc>
        <w:tc>
          <w:tcPr>
            <w:tcW w:w="1701" w:type="dxa"/>
            <w:shd w:val="clear" w:color="auto" w:fill="FFFFFF" w:themeFill="background1"/>
          </w:tcPr>
          <w:p w14:paraId="3E0761A4" w14:textId="2E3DC1EF" w:rsidR="001013BC" w:rsidRPr="004A36AA" w:rsidRDefault="00515B42" w:rsidP="000B1AE0">
            <w:pPr>
              <w:jc w:val="center"/>
              <w:rPr>
                <w:lang w:eastAsia="de-DE"/>
              </w:rPr>
            </w:pPr>
            <w:r w:rsidRPr="004A36AA">
              <w:rPr>
                <w:lang w:eastAsia="de-DE"/>
              </w:rPr>
              <w:t>10.5</w:t>
            </w:r>
          </w:p>
        </w:tc>
        <w:tc>
          <w:tcPr>
            <w:tcW w:w="709" w:type="dxa"/>
            <w:shd w:val="clear" w:color="auto" w:fill="FFFFFF" w:themeFill="background1"/>
          </w:tcPr>
          <w:p w14:paraId="3C39A89F" w14:textId="17BF8026" w:rsidR="001013BC" w:rsidRPr="004A36AA" w:rsidRDefault="00515B42" w:rsidP="000B1AE0">
            <w:pPr>
              <w:jc w:val="center"/>
              <w:rPr>
                <w:lang w:eastAsia="de-DE"/>
              </w:rPr>
            </w:pPr>
            <w:r w:rsidRPr="004A36AA">
              <w:rPr>
                <w:lang w:eastAsia="de-DE"/>
              </w:rPr>
              <w:t>2.8</w:t>
            </w:r>
          </w:p>
        </w:tc>
        <w:tc>
          <w:tcPr>
            <w:tcW w:w="1791" w:type="dxa"/>
            <w:shd w:val="clear" w:color="auto" w:fill="FFFFFF" w:themeFill="background1"/>
          </w:tcPr>
          <w:p w14:paraId="0B069FA6" w14:textId="0EC32006" w:rsidR="001013BC" w:rsidRPr="004A36AA" w:rsidRDefault="00515B42" w:rsidP="000B1AE0">
            <w:pPr>
              <w:jc w:val="center"/>
              <w:rPr>
                <w:lang w:eastAsia="de-DE"/>
              </w:rPr>
            </w:pPr>
            <w:r w:rsidRPr="004A36AA">
              <w:rPr>
                <w:lang w:eastAsia="de-DE"/>
              </w:rPr>
              <w:t>23.7</w:t>
            </w:r>
          </w:p>
        </w:tc>
      </w:tr>
      <w:tr w:rsidR="000B1AE0" w:rsidRPr="004A36AA" w14:paraId="6E6C1830" w14:textId="77777777" w:rsidTr="000B1AE0">
        <w:tc>
          <w:tcPr>
            <w:tcW w:w="1696" w:type="dxa"/>
            <w:shd w:val="clear" w:color="auto" w:fill="D9D9D9" w:themeFill="background1" w:themeFillShade="D9"/>
          </w:tcPr>
          <w:p w14:paraId="5A071850" w14:textId="7A56C95D" w:rsidR="001013BC" w:rsidRPr="000B1AE0" w:rsidRDefault="00A3499A" w:rsidP="00C526FA">
            <w:pPr>
              <w:rPr>
                <w:b/>
                <w:lang w:eastAsia="de-DE"/>
              </w:rPr>
            </w:pPr>
            <w:r>
              <w:rPr>
                <w:b/>
                <w:lang w:eastAsia="de-DE"/>
              </w:rPr>
              <w:t>c</w:t>
            </w:r>
            <w:r w:rsidR="001013BC" w:rsidRPr="000B1AE0">
              <w:rPr>
                <w:b/>
                <w:lang w:eastAsia="de-DE"/>
              </w:rPr>
              <w:t>omm</w:t>
            </w:r>
            <w:r w:rsidR="00C526FA" w:rsidRPr="000B1AE0">
              <w:rPr>
                <w:b/>
                <w:lang w:eastAsia="de-DE"/>
              </w:rPr>
              <w:t>.</w:t>
            </w:r>
            <w:r w:rsidR="001013BC" w:rsidRPr="000B1AE0">
              <w:rPr>
                <w:b/>
                <w:lang w:eastAsia="de-DE"/>
              </w:rPr>
              <w:t xml:space="preserve"> verb</w:t>
            </w:r>
          </w:p>
        </w:tc>
        <w:tc>
          <w:tcPr>
            <w:tcW w:w="709" w:type="dxa"/>
            <w:shd w:val="clear" w:color="auto" w:fill="FFFFFF" w:themeFill="background1"/>
          </w:tcPr>
          <w:p w14:paraId="5D3C9C16" w14:textId="1EB30A61" w:rsidR="001013BC" w:rsidRPr="004A36AA" w:rsidRDefault="00515B42" w:rsidP="000B1AE0">
            <w:pPr>
              <w:jc w:val="center"/>
              <w:rPr>
                <w:lang w:eastAsia="de-DE"/>
              </w:rPr>
            </w:pPr>
            <w:r w:rsidRPr="004A36AA">
              <w:rPr>
                <w:lang w:eastAsia="de-DE"/>
              </w:rPr>
              <w:t>26.7</w:t>
            </w:r>
          </w:p>
        </w:tc>
        <w:tc>
          <w:tcPr>
            <w:tcW w:w="1701" w:type="dxa"/>
            <w:shd w:val="clear" w:color="auto" w:fill="FFFFFF" w:themeFill="background1"/>
          </w:tcPr>
          <w:p w14:paraId="793CEED3" w14:textId="56D67F71" w:rsidR="001013BC" w:rsidRPr="004A36AA" w:rsidRDefault="00515B42" w:rsidP="000B1AE0">
            <w:pPr>
              <w:jc w:val="center"/>
              <w:rPr>
                <w:lang w:eastAsia="de-DE"/>
              </w:rPr>
            </w:pPr>
            <w:r w:rsidRPr="004A36AA">
              <w:rPr>
                <w:lang w:eastAsia="de-DE"/>
              </w:rPr>
              <w:t>13.6</w:t>
            </w:r>
          </w:p>
        </w:tc>
        <w:tc>
          <w:tcPr>
            <w:tcW w:w="709" w:type="dxa"/>
            <w:shd w:val="clear" w:color="auto" w:fill="FFFFFF" w:themeFill="background1"/>
          </w:tcPr>
          <w:p w14:paraId="31A31801" w14:textId="76AC01E4" w:rsidR="001013BC" w:rsidRPr="004A36AA" w:rsidRDefault="00515B42" w:rsidP="000B1AE0">
            <w:pPr>
              <w:jc w:val="center"/>
              <w:rPr>
                <w:lang w:eastAsia="de-DE"/>
              </w:rPr>
            </w:pPr>
            <w:r w:rsidRPr="004A36AA">
              <w:rPr>
                <w:lang w:eastAsia="de-DE"/>
              </w:rPr>
              <w:t>36.1</w:t>
            </w:r>
          </w:p>
        </w:tc>
        <w:tc>
          <w:tcPr>
            <w:tcW w:w="1701" w:type="dxa"/>
            <w:shd w:val="clear" w:color="auto" w:fill="FFFFFF" w:themeFill="background1"/>
          </w:tcPr>
          <w:p w14:paraId="58DCA1DF" w14:textId="1245AF51" w:rsidR="001013BC" w:rsidRPr="004A36AA" w:rsidRDefault="00515B42" w:rsidP="000B1AE0">
            <w:pPr>
              <w:jc w:val="center"/>
              <w:rPr>
                <w:lang w:eastAsia="de-DE"/>
              </w:rPr>
            </w:pPr>
            <w:r w:rsidRPr="004A36AA">
              <w:rPr>
                <w:lang w:eastAsia="de-DE"/>
              </w:rPr>
              <w:t>11.5</w:t>
            </w:r>
          </w:p>
        </w:tc>
        <w:tc>
          <w:tcPr>
            <w:tcW w:w="709" w:type="dxa"/>
            <w:shd w:val="clear" w:color="auto" w:fill="FFFFFF" w:themeFill="background1"/>
          </w:tcPr>
          <w:p w14:paraId="233ADB1B" w14:textId="28A3F551" w:rsidR="001013BC" w:rsidRPr="004A36AA" w:rsidRDefault="00515B42" w:rsidP="000B1AE0">
            <w:pPr>
              <w:jc w:val="center"/>
              <w:rPr>
                <w:lang w:eastAsia="de-DE"/>
              </w:rPr>
            </w:pPr>
            <w:r w:rsidRPr="004A36AA">
              <w:rPr>
                <w:lang w:eastAsia="de-DE"/>
              </w:rPr>
              <w:t>43.5</w:t>
            </w:r>
          </w:p>
        </w:tc>
        <w:tc>
          <w:tcPr>
            <w:tcW w:w="1791" w:type="dxa"/>
            <w:shd w:val="clear" w:color="auto" w:fill="FFFFFF" w:themeFill="background1"/>
          </w:tcPr>
          <w:p w14:paraId="23F44E49" w14:textId="6EB04BA3" w:rsidR="001013BC" w:rsidRPr="004A36AA" w:rsidRDefault="00515B42" w:rsidP="000B1AE0">
            <w:pPr>
              <w:keepNext/>
              <w:jc w:val="center"/>
              <w:rPr>
                <w:lang w:eastAsia="de-DE"/>
              </w:rPr>
            </w:pPr>
            <w:r w:rsidRPr="004A36AA">
              <w:rPr>
                <w:lang w:eastAsia="de-DE"/>
              </w:rPr>
              <w:t>9.7</w:t>
            </w:r>
          </w:p>
        </w:tc>
      </w:tr>
    </w:tbl>
    <w:p w14:paraId="6C96AC74" w14:textId="6459DA3E" w:rsidR="0024757A" w:rsidRDefault="00B25B05" w:rsidP="00B25B05">
      <w:pPr>
        <w:pStyle w:val="Caption"/>
        <w:rPr>
          <w:lang w:eastAsia="de-DE"/>
        </w:rPr>
      </w:pPr>
      <w:bookmarkStart w:id="5" w:name="_Ref455662979"/>
      <w:r>
        <w:t xml:space="preserve">Table </w:t>
      </w:r>
      <w:r w:rsidR="002916C1">
        <w:fldChar w:fldCharType="begin"/>
      </w:r>
      <w:r w:rsidR="002916C1">
        <w:instrText xml:space="preserve"> SEQ Table \* ARABIC </w:instrText>
      </w:r>
      <w:r w:rsidR="002916C1">
        <w:fldChar w:fldCharType="separate"/>
      </w:r>
      <w:r w:rsidR="00F30973">
        <w:rPr>
          <w:noProof/>
        </w:rPr>
        <w:t>2</w:t>
      </w:r>
      <w:r w:rsidR="002916C1">
        <w:rPr>
          <w:noProof/>
        </w:rPr>
        <w:fldChar w:fldCharType="end"/>
      </w:r>
      <w:bookmarkEnd w:id="5"/>
      <w:r>
        <w:t>: Verb forms and pronominal self-references</w:t>
      </w:r>
    </w:p>
    <w:p w14:paraId="704F6AE6" w14:textId="6AD5791A" w:rsidR="00C95642" w:rsidRDefault="00B25B05" w:rsidP="00B25B05">
      <w:pPr>
        <w:rPr>
          <w:lang w:eastAsia="de-DE"/>
        </w:rPr>
      </w:pPr>
      <w:r>
        <w:rPr>
          <w:lang w:eastAsia="de-DE"/>
        </w:rPr>
        <w:t>The results show that for all three speakers</w:t>
      </w:r>
      <w:r w:rsidR="00133AD4">
        <w:rPr>
          <w:lang w:eastAsia="de-DE"/>
        </w:rPr>
        <w:t>,</w:t>
      </w:r>
      <w:r>
        <w:rPr>
          <w:lang w:eastAsia="de-DE"/>
        </w:rPr>
        <w:t xml:space="preserve"> the </w:t>
      </w:r>
      <w:r w:rsidR="00133AD4">
        <w:rPr>
          <w:lang w:eastAsia="de-DE"/>
        </w:rPr>
        <w:t xml:space="preserve">use </w:t>
      </w:r>
      <w:r>
        <w:rPr>
          <w:lang w:eastAsia="de-DE"/>
        </w:rPr>
        <w:t>of ‘</w:t>
      </w:r>
      <w:r w:rsidR="00C95642" w:rsidRPr="004A36AA">
        <w:rPr>
          <w:lang w:eastAsia="de-DE"/>
        </w:rPr>
        <w:t>I</w:t>
      </w:r>
      <w:r>
        <w:rPr>
          <w:lang w:eastAsia="de-DE"/>
        </w:rPr>
        <w:t>’</w:t>
      </w:r>
      <w:r w:rsidR="00C95642" w:rsidRPr="004A36AA">
        <w:rPr>
          <w:lang w:eastAsia="de-DE"/>
        </w:rPr>
        <w:t xml:space="preserve"> </w:t>
      </w:r>
      <w:r w:rsidR="00351F41">
        <w:rPr>
          <w:lang w:eastAsia="de-DE"/>
        </w:rPr>
        <w:t>coincided</w:t>
      </w:r>
      <w:r>
        <w:rPr>
          <w:lang w:eastAsia="de-DE"/>
        </w:rPr>
        <w:t xml:space="preserve"> consistently </w:t>
      </w:r>
      <w:r w:rsidR="00351F41">
        <w:rPr>
          <w:lang w:eastAsia="de-DE"/>
        </w:rPr>
        <w:t xml:space="preserve">more often with </w:t>
      </w:r>
      <w:r w:rsidR="00351F41" w:rsidRPr="004A36AA">
        <w:rPr>
          <w:lang w:eastAsia="de-DE"/>
        </w:rPr>
        <w:t xml:space="preserve">subjectification </w:t>
      </w:r>
      <w:r w:rsidR="00351F41">
        <w:rPr>
          <w:lang w:eastAsia="de-DE"/>
        </w:rPr>
        <w:t>or</w:t>
      </w:r>
      <w:r w:rsidR="00351F41" w:rsidRPr="004A36AA">
        <w:rPr>
          <w:lang w:eastAsia="de-DE"/>
        </w:rPr>
        <w:t xml:space="preserve"> communication</w:t>
      </w:r>
      <w:r w:rsidR="00351F41">
        <w:rPr>
          <w:lang w:eastAsia="de-DE"/>
        </w:rPr>
        <w:t xml:space="preserve"> verbs than with the other verb forms. The party voice construed by an exclusive ‘we’ on the other hand is mostly </w:t>
      </w:r>
      <w:r w:rsidR="000539F9">
        <w:rPr>
          <w:lang w:eastAsia="de-DE"/>
        </w:rPr>
        <w:t xml:space="preserve">commonly combined </w:t>
      </w:r>
      <w:r w:rsidR="00351F41">
        <w:rPr>
          <w:lang w:eastAsia="de-DE"/>
        </w:rPr>
        <w:t xml:space="preserve">with event verbs for both Schröder and Blair. </w:t>
      </w:r>
      <w:r w:rsidR="00A3499A">
        <w:rPr>
          <w:lang w:eastAsia="de-DE"/>
        </w:rPr>
        <w:t>Therefore,</w:t>
      </w:r>
      <w:r w:rsidR="00351F41">
        <w:rPr>
          <w:lang w:eastAsia="de-DE"/>
        </w:rPr>
        <w:t xml:space="preserve"> </w:t>
      </w:r>
      <w:r w:rsidR="00282D09">
        <w:rPr>
          <w:lang w:eastAsia="de-DE"/>
        </w:rPr>
        <w:t xml:space="preserve">responsiveness is mostly projected when the speech construes the leader himself as the principal of the speech. Competence, in contrast, is mostly construed </w:t>
      </w:r>
      <w:r w:rsidR="005B25A9">
        <w:rPr>
          <w:lang w:eastAsia="de-DE"/>
        </w:rPr>
        <w:t xml:space="preserve">as a characteristic of the party, using exclusive ‘we’. </w:t>
      </w:r>
    </w:p>
    <w:p w14:paraId="05245D42" w14:textId="07653C14" w:rsidR="002C5FEE" w:rsidRPr="004A36AA" w:rsidRDefault="005B25A9" w:rsidP="005B25A9">
      <w:pPr>
        <w:rPr>
          <w:lang w:eastAsia="de-DE"/>
        </w:rPr>
      </w:pPr>
      <w:r>
        <w:rPr>
          <w:lang w:eastAsia="de-DE"/>
        </w:rPr>
        <w:t>Differentiating the results further, we could see the i</w:t>
      </w:r>
      <w:r w:rsidR="002C5FEE" w:rsidRPr="004A36AA">
        <w:rPr>
          <w:lang w:eastAsia="de-DE"/>
        </w:rPr>
        <w:t xml:space="preserve">ntention </w:t>
      </w:r>
      <w:r>
        <w:rPr>
          <w:lang w:eastAsia="de-DE"/>
        </w:rPr>
        <w:t xml:space="preserve">verbs combine significantly more often </w:t>
      </w:r>
      <w:r w:rsidR="002C5FEE" w:rsidRPr="004A36AA">
        <w:rPr>
          <w:lang w:eastAsia="de-DE"/>
        </w:rPr>
        <w:t xml:space="preserve">with </w:t>
      </w:r>
      <w:r>
        <w:rPr>
          <w:lang w:eastAsia="de-DE"/>
        </w:rPr>
        <w:t xml:space="preserve">the </w:t>
      </w:r>
      <w:r w:rsidR="002C5FEE" w:rsidRPr="004A36AA">
        <w:rPr>
          <w:lang w:eastAsia="de-DE"/>
        </w:rPr>
        <w:t>party voice in</w:t>
      </w:r>
      <w:r>
        <w:rPr>
          <w:lang w:eastAsia="de-DE"/>
        </w:rPr>
        <w:t xml:space="preserve"> the </w:t>
      </w:r>
      <w:r w:rsidR="002C5FEE" w:rsidRPr="004A36AA">
        <w:rPr>
          <w:lang w:eastAsia="de-DE"/>
        </w:rPr>
        <w:t>pre</w:t>
      </w:r>
      <w:r>
        <w:rPr>
          <w:lang w:eastAsia="de-DE"/>
        </w:rPr>
        <w:t>-</w:t>
      </w:r>
      <w:r w:rsidR="002C5FEE" w:rsidRPr="004A36AA">
        <w:rPr>
          <w:lang w:eastAsia="de-DE"/>
        </w:rPr>
        <w:t>election speeches (Blair 1996, 39.3</w:t>
      </w:r>
      <w:r>
        <w:rPr>
          <w:lang w:eastAsia="de-DE"/>
        </w:rPr>
        <w:t>%</w:t>
      </w:r>
      <w:r w:rsidR="002C5FEE" w:rsidRPr="004A36AA">
        <w:rPr>
          <w:lang w:eastAsia="de-DE"/>
        </w:rPr>
        <w:t>, Schröder 04/1998 26.6</w:t>
      </w:r>
      <w:r>
        <w:rPr>
          <w:lang w:eastAsia="de-DE"/>
        </w:rPr>
        <w:t>%</w:t>
      </w:r>
      <w:r w:rsidR="002C5FEE" w:rsidRPr="004A36AA">
        <w:rPr>
          <w:lang w:eastAsia="de-DE"/>
        </w:rPr>
        <w:t>,</w:t>
      </w:r>
      <w:r>
        <w:rPr>
          <w:lang w:eastAsia="de-DE"/>
        </w:rPr>
        <w:t xml:space="preserve"> </w:t>
      </w:r>
      <w:r w:rsidR="002C5FEE" w:rsidRPr="004A36AA">
        <w:rPr>
          <w:lang w:eastAsia="de-DE"/>
        </w:rPr>
        <w:t>Lafontaine</w:t>
      </w:r>
      <w:r>
        <w:rPr>
          <w:lang w:eastAsia="de-DE"/>
        </w:rPr>
        <w:t xml:space="preserve"> 04/1998</w:t>
      </w:r>
      <w:r w:rsidR="002C5FEE" w:rsidRPr="004A36AA">
        <w:rPr>
          <w:lang w:eastAsia="de-DE"/>
        </w:rPr>
        <w:t xml:space="preserve"> 31.6</w:t>
      </w:r>
      <w:r w:rsidR="009407FA">
        <w:rPr>
          <w:lang w:eastAsia="de-DE"/>
        </w:rPr>
        <w:t>%</w:t>
      </w:r>
      <w:r w:rsidR="002C5FEE" w:rsidRPr="004A36AA">
        <w:rPr>
          <w:lang w:eastAsia="de-DE"/>
        </w:rPr>
        <w:t>)</w:t>
      </w:r>
      <w:r>
        <w:rPr>
          <w:lang w:eastAsia="de-DE"/>
        </w:rPr>
        <w:t xml:space="preserve">, presenting policies as policies of the party. </w:t>
      </w:r>
      <w:r w:rsidR="002C5FEE" w:rsidRPr="004A36AA">
        <w:rPr>
          <w:lang w:eastAsia="de-DE"/>
        </w:rPr>
        <w:t xml:space="preserve">In </w:t>
      </w:r>
      <w:r>
        <w:rPr>
          <w:lang w:eastAsia="de-DE"/>
        </w:rPr>
        <w:t xml:space="preserve">post-election speeches, however, it is </w:t>
      </w:r>
      <w:r w:rsidR="000539F9">
        <w:rPr>
          <w:lang w:eastAsia="de-DE"/>
        </w:rPr>
        <w:t xml:space="preserve">the </w:t>
      </w:r>
      <w:r>
        <w:rPr>
          <w:lang w:eastAsia="de-DE"/>
        </w:rPr>
        <w:t>a</w:t>
      </w:r>
      <w:r w:rsidR="002C5FEE" w:rsidRPr="004A36AA">
        <w:rPr>
          <w:lang w:eastAsia="de-DE"/>
        </w:rPr>
        <w:t>mbig</w:t>
      </w:r>
      <w:r>
        <w:rPr>
          <w:lang w:eastAsia="de-DE"/>
        </w:rPr>
        <w:t>uous ‘</w:t>
      </w:r>
      <w:r w:rsidR="002C5FEE" w:rsidRPr="004A36AA">
        <w:rPr>
          <w:lang w:eastAsia="de-DE"/>
        </w:rPr>
        <w:t>we</w:t>
      </w:r>
      <w:r>
        <w:rPr>
          <w:lang w:eastAsia="de-DE"/>
        </w:rPr>
        <w:t xml:space="preserve">’ that </w:t>
      </w:r>
      <w:r w:rsidR="000539F9">
        <w:rPr>
          <w:lang w:eastAsia="de-DE"/>
        </w:rPr>
        <w:t xml:space="preserve">is paired </w:t>
      </w:r>
      <w:r>
        <w:rPr>
          <w:lang w:eastAsia="de-DE"/>
        </w:rPr>
        <w:t>more</w:t>
      </w:r>
      <w:r w:rsidR="000539F9">
        <w:rPr>
          <w:lang w:eastAsia="de-DE"/>
        </w:rPr>
        <w:t xml:space="preserve"> often</w:t>
      </w:r>
      <w:r>
        <w:rPr>
          <w:lang w:eastAsia="de-DE"/>
        </w:rPr>
        <w:t xml:space="preserve"> with </w:t>
      </w:r>
      <w:r w:rsidR="002C5FEE" w:rsidRPr="004A36AA">
        <w:rPr>
          <w:lang w:eastAsia="de-DE"/>
        </w:rPr>
        <w:t>event and intention</w:t>
      </w:r>
      <w:r>
        <w:rPr>
          <w:lang w:eastAsia="de-DE"/>
        </w:rPr>
        <w:t xml:space="preserve"> verbs, supporting the notion that these speeches – even in Blair’s case, construe </w:t>
      </w:r>
      <w:r w:rsidR="00D8003A">
        <w:rPr>
          <w:lang w:eastAsia="de-DE"/>
        </w:rPr>
        <w:t xml:space="preserve">the party-government metonymically </w:t>
      </w:r>
      <w:r w:rsidR="009F7C84">
        <w:rPr>
          <w:lang w:eastAsia="de-DE"/>
        </w:rPr>
        <w:t>as competent.</w:t>
      </w:r>
    </w:p>
    <w:p w14:paraId="464F2483" w14:textId="4AF6E5A9" w:rsidR="00063F93" w:rsidRDefault="00096C7B" w:rsidP="00A2598D">
      <w:pPr>
        <w:rPr>
          <w:lang w:eastAsia="de-DE"/>
        </w:rPr>
      </w:pPr>
      <w:r>
        <w:rPr>
          <w:lang w:eastAsia="de-DE"/>
        </w:rPr>
        <w:t>Analysing the results for verb forms combining with ‘I’ further, ‘I</w:t>
      </w:r>
      <w:r w:rsidR="008276C7">
        <w:rPr>
          <w:lang w:eastAsia="de-DE"/>
        </w:rPr>
        <w:t xml:space="preserve"> </w:t>
      </w:r>
      <w:r w:rsidR="005D33AF" w:rsidRPr="004A36AA">
        <w:rPr>
          <w:lang w:eastAsia="de-DE"/>
        </w:rPr>
        <w:t>+</w:t>
      </w:r>
      <w:r w:rsidR="008276C7">
        <w:rPr>
          <w:lang w:eastAsia="de-DE"/>
        </w:rPr>
        <w:t xml:space="preserve"> </w:t>
      </w:r>
      <w:r w:rsidR="00377B96" w:rsidRPr="004A36AA">
        <w:rPr>
          <w:lang w:eastAsia="de-DE"/>
        </w:rPr>
        <w:t>subjectification</w:t>
      </w:r>
      <w:r>
        <w:rPr>
          <w:lang w:eastAsia="de-DE"/>
        </w:rPr>
        <w:t xml:space="preserve"> verb’</w:t>
      </w:r>
      <w:r w:rsidR="005D33AF" w:rsidRPr="004A36AA">
        <w:rPr>
          <w:lang w:eastAsia="de-DE"/>
        </w:rPr>
        <w:t xml:space="preserve"> and </w:t>
      </w:r>
      <w:r>
        <w:rPr>
          <w:lang w:eastAsia="de-DE"/>
        </w:rPr>
        <w:t>‘</w:t>
      </w:r>
      <w:r w:rsidR="005D33AF" w:rsidRPr="004A36AA">
        <w:rPr>
          <w:lang w:eastAsia="de-DE"/>
        </w:rPr>
        <w:t>I + communication</w:t>
      </w:r>
      <w:r>
        <w:rPr>
          <w:lang w:eastAsia="de-DE"/>
        </w:rPr>
        <w:t>’</w:t>
      </w:r>
      <w:r w:rsidR="005D33AF" w:rsidRPr="004A36AA">
        <w:rPr>
          <w:lang w:eastAsia="de-DE"/>
        </w:rPr>
        <w:t xml:space="preserve"> </w:t>
      </w:r>
      <w:r>
        <w:rPr>
          <w:lang w:eastAsia="de-DE"/>
        </w:rPr>
        <w:t xml:space="preserve">are </w:t>
      </w:r>
      <w:r w:rsidR="005D33AF" w:rsidRPr="004A36AA">
        <w:rPr>
          <w:lang w:eastAsia="de-DE"/>
        </w:rPr>
        <w:t xml:space="preserve">on </w:t>
      </w:r>
      <w:r w:rsidR="00377B96" w:rsidRPr="004A36AA">
        <w:rPr>
          <w:lang w:eastAsia="de-DE"/>
        </w:rPr>
        <w:t>average</w:t>
      </w:r>
      <w:r w:rsidR="005D33AF" w:rsidRPr="004A36AA">
        <w:rPr>
          <w:lang w:eastAsia="de-DE"/>
        </w:rPr>
        <w:t xml:space="preserve"> </w:t>
      </w:r>
      <w:r w:rsidR="009407FA">
        <w:rPr>
          <w:lang w:eastAsia="de-DE"/>
        </w:rPr>
        <w:t xml:space="preserve">proportionally used </w:t>
      </w:r>
      <w:r>
        <w:rPr>
          <w:lang w:eastAsia="de-DE"/>
        </w:rPr>
        <w:t>most. However, the combination with</w:t>
      </w:r>
      <w:r w:rsidR="00A707A1" w:rsidRPr="004A36AA">
        <w:rPr>
          <w:lang w:eastAsia="de-DE"/>
        </w:rPr>
        <w:t xml:space="preserve"> subjectification </w:t>
      </w:r>
      <w:r>
        <w:rPr>
          <w:lang w:eastAsia="de-DE"/>
        </w:rPr>
        <w:t xml:space="preserve">verbs is </w:t>
      </w:r>
      <w:r w:rsidR="009407FA">
        <w:rPr>
          <w:lang w:eastAsia="de-DE"/>
        </w:rPr>
        <w:t>slightly</w:t>
      </w:r>
      <w:r w:rsidR="00A707A1" w:rsidRPr="004A36AA">
        <w:rPr>
          <w:lang w:eastAsia="de-DE"/>
        </w:rPr>
        <w:t xml:space="preserve"> higher than</w:t>
      </w:r>
      <w:r w:rsidR="00A2598D">
        <w:rPr>
          <w:lang w:eastAsia="de-DE"/>
        </w:rPr>
        <w:t xml:space="preserve"> the use with</w:t>
      </w:r>
      <w:r w:rsidR="00A707A1" w:rsidRPr="004A36AA">
        <w:rPr>
          <w:lang w:eastAsia="de-DE"/>
        </w:rPr>
        <w:t xml:space="preserve"> communication</w:t>
      </w:r>
      <w:r w:rsidR="00A2598D">
        <w:rPr>
          <w:lang w:eastAsia="de-DE"/>
        </w:rPr>
        <w:t xml:space="preserve"> verbs, and the use of </w:t>
      </w:r>
      <w:r w:rsidR="00CF2FA6" w:rsidRPr="004A36AA">
        <w:rPr>
          <w:lang w:eastAsia="de-DE"/>
        </w:rPr>
        <w:t xml:space="preserve">event </w:t>
      </w:r>
      <w:r w:rsidR="00A2598D">
        <w:rPr>
          <w:lang w:eastAsia="de-DE"/>
        </w:rPr>
        <w:t xml:space="preserve">verbs is the </w:t>
      </w:r>
      <w:r w:rsidR="00CF2FA6" w:rsidRPr="004A36AA">
        <w:rPr>
          <w:lang w:eastAsia="de-DE"/>
        </w:rPr>
        <w:t>lowest</w:t>
      </w:r>
      <w:r w:rsidR="00A2598D">
        <w:rPr>
          <w:lang w:eastAsia="de-DE"/>
        </w:rPr>
        <w:t xml:space="preserve">. It seems, therefore, that in my corpus the construction of </w:t>
      </w:r>
      <w:r w:rsidR="00A707A1" w:rsidRPr="004A36AA">
        <w:rPr>
          <w:lang w:eastAsia="de-DE"/>
        </w:rPr>
        <w:t xml:space="preserve">leadership </w:t>
      </w:r>
      <w:r w:rsidR="00A2598D">
        <w:rPr>
          <w:lang w:eastAsia="de-DE"/>
        </w:rPr>
        <w:t xml:space="preserve">foregrounds </w:t>
      </w:r>
      <w:r w:rsidR="00A707A1" w:rsidRPr="004A36AA">
        <w:rPr>
          <w:lang w:eastAsia="de-DE"/>
        </w:rPr>
        <w:t>personal beliefs</w:t>
      </w:r>
      <w:r w:rsidR="00A2598D">
        <w:rPr>
          <w:lang w:eastAsia="de-DE"/>
        </w:rPr>
        <w:t>. In pre-election speeches, the proportion of i</w:t>
      </w:r>
      <w:r w:rsidR="00063F93" w:rsidRPr="004A36AA">
        <w:rPr>
          <w:lang w:eastAsia="de-DE"/>
        </w:rPr>
        <w:t xml:space="preserve">ntention </w:t>
      </w:r>
      <w:r w:rsidR="00A2598D">
        <w:rPr>
          <w:lang w:eastAsia="de-DE"/>
        </w:rPr>
        <w:t xml:space="preserve">verbs used with ‘I’ goes up, being </w:t>
      </w:r>
      <w:r w:rsidR="005D68A4" w:rsidRPr="004A36AA">
        <w:rPr>
          <w:lang w:eastAsia="de-DE"/>
        </w:rPr>
        <w:t>pa</w:t>
      </w:r>
      <w:r w:rsidR="00A2598D">
        <w:rPr>
          <w:lang w:eastAsia="de-DE"/>
        </w:rPr>
        <w:t>rticularly high in Blair</w:t>
      </w:r>
      <w:r w:rsidR="009407FA">
        <w:rPr>
          <w:lang w:eastAsia="de-DE"/>
        </w:rPr>
        <w:t>’</w:t>
      </w:r>
      <w:r w:rsidR="00A2598D">
        <w:rPr>
          <w:lang w:eastAsia="de-DE"/>
        </w:rPr>
        <w:t>s preselection speech through the c</w:t>
      </w:r>
      <w:r w:rsidR="005D68A4" w:rsidRPr="004A36AA">
        <w:rPr>
          <w:lang w:eastAsia="de-DE"/>
        </w:rPr>
        <w:t xml:space="preserve">onstruction </w:t>
      </w:r>
      <w:r w:rsidR="00A2598D">
        <w:rPr>
          <w:lang w:eastAsia="de-DE"/>
        </w:rPr>
        <w:t>of ‘</w:t>
      </w:r>
      <w:r w:rsidR="005D68A4" w:rsidRPr="004A36AA">
        <w:rPr>
          <w:lang w:eastAsia="de-DE"/>
        </w:rPr>
        <w:t>I vow that we will</w:t>
      </w:r>
      <w:r w:rsidR="00A2598D">
        <w:rPr>
          <w:lang w:eastAsia="de-DE"/>
        </w:rPr>
        <w:t>’. This</w:t>
      </w:r>
      <w:r w:rsidR="005D68A4" w:rsidRPr="004A36AA">
        <w:rPr>
          <w:lang w:eastAsia="de-DE"/>
        </w:rPr>
        <w:t xml:space="preserve"> </w:t>
      </w:r>
      <w:r w:rsidR="00A2598D">
        <w:rPr>
          <w:lang w:eastAsia="de-DE"/>
        </w:rPr>
        <w:t xml:space="preserve">result strengthens yet again the strong influence of presidentialisation in Britain, as the </w:t>
      </w:r>
      <w:r w:rsidR="005D68A4" w:rsidRPr="004A36AA">
        <w:rPr>
          <w:lang w:eastAsia="de-DE"/>
        </w:rPr>
        <w:t xml:space="preserve">election </w:t>
      </w:r>
      <w:r w:rsidR="00A2598D">
        <w:rPr>
          <w:lang w:eastAsia="de-DE"/>
        </w:rPr>
        <w:t>promises are here linked to the person of the party leader.</w:t>
      </w:r>
    </w:p>
    <w:p w14:paraId="109746E5" w14:textId="53F0CF6B" w:rsidR="003D0A83" w:rsidRPr="004A36AA" w:rsidRDefault="003D0A83" w:rsidP="00C32603">
      <w:pPr>
        <w:pStyle w:val="Heading1"/>
      </w:pPr>
      <w:r w:rsidRPr="004A36AA">
        <w:t>Conclusions</w:t>
      </w:r>
    </w:p>
    <w:p w14:paraId="6FCF28A9" w14:textId="6298148E" w:rsidR="00C12B3A" w:rsidRDefault="002A5415" w:rsidP="00106F96">
      <w:r>
        <w:t>In this article, I demonstrated that</w:t>
      </w:r>
      <w:r w:rsidR="00C12B3A">
        <w:t xml:space="preserve"> a comparative approach to political discourse can reveal specifics of political discourses in two very different polities that might be missed </w:t>
      </w:r>
      <w:r w:rsidR="000539F9">
        <w:t>with</w:t>
      </w:r>
      <w:r w:rsidR="00C12B3A">
        <w:t>in a non-comparative approach. In</w:t>
      </w:r>
      <w:r>
        <w:t xml:space="preserve"> in a corpus of party conference speeches by German and British </w:t>
      </w:r>
      <w:r w:rsidR="00977557">
        <w:t xml:space="preserve">party leaders of the Labour Party/SPD, </w:t>
      </w:r>
      <w:r w:rsidR="00C12B3A">
        <w:t xml:space="preserve">we saw that </w:t>
      </w:r>
      <w:r>
        <w:t>the u</w:t>
      </w:r>
      <w:r w:rsidR="00BF5128">
        <w:t>se of different pronominal self-reference</w:t>
      </w:r>
      <w:r>
        <w:t>s is strategically</w:t>
      </w:r>
      <w:r w:rsidR="00977557">
        <w:t xml:space="preserve"> employed</w:t>
      </w:r>
      <w:r w:rsidR="00BF5128">
        <w:t xml:space="preserve"> to c</w:t>
      </w:r>
      <w:r w:rsidR="00977557">
        <w:t>onstrue leadership and group identity.</w:t>
      </w:r>
      <w:r w:rsidR="00BF5128">
        <w:t xml:space="preserve"> </w:t>
      </w:r>
      <w:r w:rsidR="00977557">
        <w:t xml:space="preserve">The </w:t>
      </w:r>
      <w:r w:rsidR="00C12B3A">
        <w:t xml:space="preserve">strategic </w:t>
      </w:r>
      <w:r w:rsidR="00977557">
        <w:t>changes between the self-references represent changes of</w:t>
      </w:r>
      <w:r w:rsidR="00BF5128">
        <w:t xml:space="preserve"> footing of the speech</w:t>
      </w:r>
      <w:r w:rsidR="00977557">
        <w:t xml:space="preserve">. </w:t>
      </w:r>
    </w:p>
    <w:p w14:paraId="33E53515" w14:textId="00BB9958" w:rsidR="00A805BE" w:rsidRDefault="009048E2" w:rsidP="00106F96">
      <w:r>
        <w:t xml:space="preserve">The </w:t>
      </w:r>
      <w:r w:rsidR="00977557">
        <w:t xml:space="preserve">differences in the construction of leadership and groupness in </w:t>
      </w:r>
      <w:r w:rsidR="00977557" w:rsidRPr="006B4F09">
        <w:t xml:space="preserve">Germany and the UK through </w:t>
      </w:r>
      <w:r w:rsidR="004B2BE5">
        <w:t xml:space="preserve">pronominal self-references </w:t>
      </w:r>
      <w:r w:rsidR="00C12B3A">
        <w:t xml:space="preserve">are highly context sensitive. They </w:t>
      </w:r>
      <w:r w:rsidR="00977557" w:rsidRPr="006B4F09">
        <w:t xml:space="preserve">depend on the party-political context, as well as on the process of </w:t>
      </w:r>
      <w:r w:rsidR="00EB574C" w:rsidRPr="006B4F09">
        <w:t xml:space="preserve">presidentialisation. </w:t>
      </w:r>
      <w:r w:rsidR="00A805BE" w:rsidRPr="006B4F09">
        <w:t xml:space="preserve">The foregrounding of the leader in Blair’s speeches </w:t>
      </w:r>
      <w:r w:rsidR="00A10900" w:rsidRPr="006B4F09">
        <w:t xml:space="preserve">through the use of </w:t>
      </w:r>
      <w:r w:rsidR="00C12B3A">
        <w:t>‘</w:t>
      </w:r>
      <w:r w:rsidR="00A10900" w:rsidRPr="006B4F09">
        <w:t>I</w:t>
      </w:r>
      <w:r w:rsidR="00C12B3A">
        <w:t>’</w:t>
      </w:r>
      <w:r w:rsidR="00A10900" w:rsidRPr="006B4F09">
        <w:t xml:space="preserve"> as well</w:t>
      </w:r>
      <w:r w:rsidR="00A10900">
        <w:t xml:space="preserve"> as through the quotation of the inauguration speech genre in his post-election speech </w:t>
      </w:r>
      <w:r w:rsidR="00A805BE">
        <w:t>i</w:t>
      </w:r>
      <w:r w:rsidR="00C12B3A">
        <w:t>s</w:t>
      </w:r>
      <w:r w:rsidR="00A805BE">
        <w:t xml:space="preserve"> indicative of the </w:t>
      </w:r>
      <w:r w:rsidR="00A10900">
        <w:t>further advanced presidentialisation in Britain, a process that is mitigated by a stronger party influence in Germany.</w:t>
      </w:r>
      <w:r w:rsidR="00C12B3A">
        <w:t xml:space="preserve"> </w:t>
      </w:r>
      <w:r w:rsidR="0082660E">
        <w:t>This</w:t>
      </w:r>
      <w:r>
        <w:t xml:space="preserve"> argument was supported by phenomena in other linguistic domains, such as the quotation of the presidential inauguration speech genre in Blair’s speech</w:t>
      </w:r>
      <w:r w:rsidR="0082660E">
        <w:t xml:space="preserve"> </w:t>
      </w:r>
      <w:r>
        <w:t xml:space="preserve">as well as his prominent use of personal mini-narratives. </w:t>
      </w:r>
      <w:r w:rsidR="00C12B3A">
        <w:t>Th</w:t>
      </w:r>
      <w:r w:rsidR="008E27A7">
        <w:t>is</w:t>
      </w:r>
      <w:r w:rsidR="0082660E">
        <w:t xml:space="preserve"> </w:t>
      </w:r>
      <w:r w:rsidR="00C12B3A">
        <w:t xml:space="preserve">systematic insight into political processes revealed by linguistic analysis </w:t>
      </w:r>
      <w:r w:rsidR="008E27A7">
        <w:t xml:space="preserve">here </w:t>
      </w:r>
      <w:r w:rsidR="00C12B3A">
        <w:t xml:space="preserve">also testifies to the merits of an interdisciplinary approach to political discourse: </w:t>
      </w:r>
      <w:r w:rsidR="008E27A7">
        <w:t>w</w:t>
      </w:r>
      <w:r w:rsidR="00C12B3A">
        <w:t xml:space="preserve">hile political science is needed to explain the results of linguistic analysis, the linguistic analysis can also </w:t>
      </w:r>
      <w:r w:rsidR="00E72F6C">
        <w:t xml:space="preserve">strengthen the argument of the political scientist. The process of presidentialization, originally </w:t>
      </w:r>
      <w:r w:rsidR="008E27A7">
        <w:t>theorised</w:t>
      </w:r>
      <w:r w:rsidR="00E72F6C">
        <w:t xml:space="preserve"> by political scientists, is also revealed through linguistic analysis. But only through the knowledge of institutional context – here the function and power of party conferences – can this politico-linguistic phenomenon </w:t>
      </w:r>
      <w:r w:rsidR="008E27A7">
        <w:t xml:space="preserve">finally </w:t>
      </w:r>
      <w:r w:rsidR="00E72F6C">
        <w:t>be explained.</w:t>
      </w:r>
    </w:p>
    <w:p w14:paraId="47FFC150" w14:textId="37F67779" w:rsidR="00A805BE" w:rsidRDefault="00E72F6C" w:rsidP="00106F96">
      <w:r>
        <w:t>A further contextual variable became obvious in the analysis, one that both polities have in common: T</w:t>
      </w:r>
      <w:r w:rsidR="00EB574C">
        <w:t xml:space="preserve">he </w:t>
      </w:r>
      <w:r w:rsidR="00BF5128">
        <w:t xml:space="preserve">position of </w:t>
      </w:r>
      <w:r w:rsidR="00A10900">
        <w:t xml:space="preserve">a </w:t>
      </w:r>
      <w:r w:rsidR="00BF5128">
        <w:t xml:space="preserve">party conference in the electoral cycle </w:t>
      </w:r>
      <w:r>
        <w:t>influences the linguistic construction of leadership</w:t>
      </w:r>
      <w:r w:rsidR="00EB574C">
        <w:t xml:space="preserve">, as in post-election speeches of both countries, ambiguous forms of ‘we’ are employed to construe </w:t>
      </w:r>
      <w:r w:rsidR="006B4F09">
        <w:t xml:space="preserve">what I argued is a </w:t>
      </w:r>
      <w:r w:rsidR="00EB574C" w:rsidRPr="006B4F09">
        <w:t>metonymic relationship</w:t>
      </w:r>
      <w:r w:rsidR="00EB574C">
        <w:t xml:space="preserve"> between party, government and country in order to legitimise the </w:t>
      </w:r>
      <w:r w:rsidR="00FF5DEB">
        <w:t xml:space="preserve">political position of the party in government. </w:t>
      </w:r>
    </w:p>
    <w:p w14:paraId="2D5F76F4" w14:textId="5B52A98E" w:rsidR="00E72F6C" w:rsidRDefault="00E72F6C" w:rsidP="00C12B3A">
      <w:r>
        <w:t>However, in the linguistic micro-analysis, it became apparent that this ambiguity can also be exploited to position a party covertly against the coalition partner, a strategy that is obviously more relevant for German parties, as they have to deal with coalition</w:t>
      </w:r>
      <w:r w:rsidR="00E11290">
        <w:t>s</w:t>
      </w:r>
      <w:r>
        <w:t xml:space="preserve"> more often.</w:t>
      </w:r>
    </w:p>
    <w:p w14:paraId="0FED0FF6" w14:textId="47E3B7DC" w:rsidR="00BF5128" w:rsidRDefault="006B4F09" w:rsidP="00106F96">
      <w:r>
        <w:t>Finally, i</w:t>
      </w:r>
      <w:r w:rsidR="00FF5DEB">
        <w:t>n the analysis of the i</w:t>
      </w:r>
      <w:r w:rsidR="00BF5128">
        <w:t>nteraction of pronominal self-reference and verb forms posited by Fetzer and Bull</w:t>
      </w:r>
      <w:r w:rsidR="00FF5DEB">
        <w:t xml:space="preserve"> (2012), </w:t>
      </w:r>
      <w:r>
        <w:t>I demonstrated a</w:t>
      </w:r>
      <w:r w:rsidR="00A805BE">
        <w:t xml:space="preserve"> </w:t>
      </w:r>
      <w:r>
        <w:t xml:space="preserve">necessity </w:t>
      </w:r>
      <w:r w:rsidR="00FF5DEB">
        <w:t xml:space="preserve">to distinguish between the footing of the speeches: in this corpus, the verb forms mainly </w:t>
      </w:r>
      <w:r w:rsidR="00E11290">
        <w:t xml:space="preserve">convey </w:t>
      </w:r>
      <w:r w:rsidR="00FF5DEB">
        <w:t xml:space="preserve">the responsiveness of the leader, while competence, using event and intention verbs in combination with </w:t>
      </w:r>
      <w:r w:rsidR="00E11290">
        <w:t xml:space="preserve">the </w:t>
      </w:r>
      <w:r w:rsidR="00FF5DEB">
        <w:t xml:space="preserve">inclusive </w:t>
      </w:r>
      <w:r w:rsidR="00E11290">
        <w:t>‘</w:t>
      </w:r>
      <w:r w:rsidR="00FF5DEB">
        <w:t>we</w:t>
      </w:r>
      <w:r w:rsidR="00E11290">
        <w:t>’</w:t>
      </w:r>
      <w:r w:rsidR="00FF5DEB">
        <w:t>, is mainly ascribed to the party</w:t>
      </w:r>
      <w:r w:rsidR="00425904">
        <w:t xml:space="preserve">. </w:t>
      </w:r>
      <w:r w:rsidR="0082660E">
        <w:t>The comparative approach revealed here that leaders in both polities obviously aim to construe themselves as human beings being responsive to party and nation. Despite the difference in partyness of society, however, both parties are construed as programmatic entities that are competent to govern.</w:t>
      </w:r>
    </w:p>
    <w:p w14:paraId="190F771A" w14:textId="73DFCD94" w:rsidR="00E72F6C" w:rsidRDefault="00E72F6C" w:rsidP="00E72F6C">
      <w:r>
        <w:t>As in this analysis party political ideology was used as a controlled variable – only speeches from Third-Way social democratic parties were analysed – further research is necessary in order to ascertain whether the construction of leadership and group identity through pronominal self-references and verb semantics differs accord</w:t>
      </w:r>
      <w:r w:rsidR="0082660E">
        <w:t>ing to party political ideology in different polities. However, I have demonstrated that the mechanisms of constructing leadership and groupness through the use of personal pronouns and verb forms apply to both English and German, which fills a problematic ga</w:t>
      </w:r>
      <w:r w:rsidR="009048E2">
        <w:t>p</w:t>
      </w:r>
      <w:r w:rsidR="0082660E">
        <w:t xml:space="preserve"> in the research o</w:t>
      </w:r>
      <w:r w:rsidR="009048E2">
        <w:t>n political language in Germany, contributing to the contrastive research on socio-cultural preferences pronoun use in German and English, a field</w:t>
      </w:r>
      <w:r w:rsidR="001F1951">
        <w:t xml:space="preserve"> </w:t>
      </w:r>
      <w:r w:rsidR="009048E2">
        <w:t>that to date was dominated by research on academic writing.</w:t>
      </w:r>
    </w:p>
    <w:p w14:paraId="63323B07" w14:textId="77777777" w:rsidR="00E72F6C" w:rsidRDefault="00E72F6C" w:rsidP="00106F96"/>
    <w:p w14:paraId="0175AD35" w14:textId="5FBD56AC" w:rsidR="001F1951" w:rsidRDefault="001F1951" w:rsidP="001F1951">
      <w:pPr>
        <w:pStyle w:val="CitaviBibliographyHeading"/>
      </w:pPr>
      <w:bookmarkStart w:id="6" w:name="_CTVBIBLIOGRAPHY1"/>
      <w:bookmarkEnd w:id="6"/>
      <w:r>
        <w:t>References</w:t>
      </w:r>
    </w:p>
    <w:p w14:paraId="74E59A95" w14:textId="77777777" w:rsidR="001F1951" w:rsidRDefault="001F1951" w:rsidP="001F1951">
      <w:pPr>
        <w:pStyle w:val="CitaviBibliographyEntry"/>
      </w:pPr>
      <w:bookmarkStart w:id="7" w:name="_CTVL001fdee4fed04284737bb9e80ef80603508"/>
      <w:r>
        <w:t>Abromeit, H. and Stoiber, M. (2006) Demokratien im Vergleich: Einführung in die vergleichende Analyse politischer Systeme. Wiesbaden: VS Verlag für Sozialwissenschaften.</w:t>
      </w:r>
    </w:p>
    <w:p w14:paraId="6F5C87EE" w14:textId="77777777" w:rsidR="001F1951" w:rsidRDefault="001F1951" w:rsidP="001F1951">
      <w:pPr>
        <w:pStyle w:val="CitaviBibliographyEntry"/>
      </w:pPr>
      <w:bookmarkStart w:id="8" w:name="_CTVL00189ea50b32be54bf79dd98229573bb19b"/>
      <w:bookmarkEnd w:id="7"/>
      <w:r>
        <w:t>Bastow, S. and Martin, J. (2003) Third way discourse: European ideologies in the twentieth century. Edinburgh: Edinburgh University Press.</w:t>
      </w:r>
    </w:p>
    <w:p w14:paraId="44673FCF" w14:textId="1386E103" w:rsidR="001F1951" w:rsidRDefault="001F1951" w:rsidP="001F1951">
      <w:pPr>
        <w:pStyle w:val="CitaviBibliographyEntry"/>
      </w:pPr>
      <w:bookmarkStart w:id="9" w:name="_CTVL0013c38b8b9bc1a4e268d7ab24664898da9"/>
      <w:bookmarkEnd w:id="8"/>
      <w:r>
        <w:t xml:space="preserve">Baumgarten, N. (2008) </w:t>
      </w:r>
      <w:r w:rsidR="008370C5">
        <w:t>‘</w:t>
      </w:r>
      <w:r>
        <w:t>Writer construction in English and German popularized academic discourse: The uses of we and wir</w:t>
      </w:r>
      <w:r w:rsidR="008370C5">
        <w:t>’</w:t>
      </w:r>
      <w:r>
        <w:t>, Multilingua - Journal of Cross-Cultural and Interlanguage Communication 27: 409–438.</w:t>
      </w:r>
    </w:p>
    <w:p w14:paraId="13BC64AA" w14:textId="7EEC5951" w:rsidR="001F1951" w:rsidRDefault="001F1951" w:rsidP="001F1951">
      <w:pPr>
        <w:pStyle w:val="CitaviBibliographyEntry"/>
      </w:pPr>
      <w:bookmarkStart w:id="10" w:name="_CTVL0012482aa0c03954aa3a6abead0636443a2"/>
      <w:bookmarkEnd w:id="9"/>
      <w:r>
        <w:t xml:space="preserve">Blair, T. (1995a) </w:t>
      </w:r>
      <w:r w:rsidR="008370C5">
        <w:t>‘</w:t>
      </w:r>
      <w:r>
        <w:t>Leader</w:t>
      </w:r>
      <w:r w:rsidR="008370C5">
        <w:t>’</w:t>
      </w:r>
      <w:r>
        <w:t>s speech, Blackpool 1994</w:t>
      </w:r>
      <w:r w:rsidR="008370C5">
        <w:t>’</w:t>
      </w:r>
      <w:r>
        <w:t>, In: The Labour Party (ed.) Report of Conference: Annual Conference 1994, Special Conference 1995, 97–106.</w:t>
      </w:r>
    </w:p>
    <w:p w14:paraId="6BBAF185" w14:textId="5B057828" w:rsidR="001F1951" w:rsidRDefault="001F1951" w:rsidP="001F1951">
      <w:pPr>
        <w:pStyle w:val="CitaviBibliographyEntry"/>
      </w:pPr>
      <w:bookmarkStart w:id="11" w:name="_CTVL0017cc285c04a2a433e8b1edf7a976330ab"/>
      <w:bookmarkEnd w:id="10"/>
      <w:r>
        <w:t xml:space="preserve">Blair, T. (1995b) </w:t>
      </w:r>
      <w:r w:rsidR="008370C5">
        <w:t>‘</w:t>
      </w:r>
      <w:r>
        <w:t>Leader</w:t>
      </w:r>
      <w:r w:rsidR="008370C5">
        <w:t>’</w:t>
      </w:r>
      <w:r>
        <w:t>s speech, Brighton 1995</w:t>
      </w:r>
      <w:r w:rsidR="008370C5">
        <w:t>’</w:t>
      </w:r>
      <w:r>
        <w:t>, In: The Labour Party (ed.) Conference Report: Ninety-fourth annual conference of the Labour Party (1995), 95–104.</w:t>
      </w:r>
    </w:p>
    <w:p w14:paraId="4D79EEB7" w14:textId="20B48948" w:rsidR="001F1951" w:rsidRDefault="001F1951" w:rsidP="001F1951">
      <w:pPr>
        <w:pStyle w:val="CitaviBibliographyEntry"/>
      </w:pPr>
      <w:bookmarkStart w:id="12" w:name="_CTVL001960117f32c7e44438d5e8c5af5012710"/>
      <w:bookmarkEnd w:id="11"/>
      <w:r>
        <w:t xml:space="preserve">Blair, T. (1996) </w:t>
      </w:r>
      <w:r w:rsidR="008370C5">
        <w:t>‘</w:t>
      </w:r>
      <w:r>
        <w:t>Leader</w:t>
      </w:r>
      <w:r w:rsidR="008370C5">
        <w:t>’</w:t>
      </w:r>
      <w:r>
        <w:t>s speech, Blackpool 1996</w:t>
      </w:r>
      <w:r w:rsidR="008370C5">
        <w:t>’</w:t>
      </w:r>
      <w:r>
        <w:t xml:space="preserve">, In: The Labour Party (ed.) The Labour Party </w:t>
      </w:r>
      <w:r w:rsidR="007240FB">
        <w:t>Conference</w:t>
      </w:r>
      <w:r>
        <w:t xml:space="preserve"> Verbatim report: 30 September - 4 October 1996, 80–87.</w:t>
      </w:r>
    </w:p>
    <w:p w14:paraId="0096721E" w14:textId="672DA5E0" w:rsidR="001F1951" w:rsidRDefault="001F1951" w:rsidP="001F1951">
      <w:pPr>
        <w:pStyle w:val="CitaviBibliographyEntry"/>
      </w:pPr>
      <w:bookmarkStart w:id="13" w:name="_CTVL001f90b93758a4f43a0b41f48b862837d1a"/>
      <w:bookmarkEnd w:id="12"/>
      <w:r>
        <w:t xml:space="preserve">Blair, T. (1997) </w:t>
      </w:r>
      <w:r w:rsidR="008370C5">
        <w:t>‘</w:t>
      </w:r>
      <w:r>
        <w:t>Leader</w:t>
      </w:r>
      <w:r w:rsidR="008370C5">
        <w:t>’</w:t>
      </w:r>
      <w:r>
        <w:t>s speech, Brighton 1997</w:t>
      </w:r>
      <w:r w:rsidR="008370C5">
        <w:t>’</w:t>
      </w:r>
      <w:r>
        <w:t>, In: The Labour Party (ed.) The Labour Party Conference Verbatim report: Monday 29 September - Friday 3 October 1997, 68–73.</w:t>
      </w:r>
    </w:p>
    <w:p w14:paraId="12F26500" w14:textId="4B27E861" w:rsidR="001F1951" w:rsidRDefault="001F1951" w:rsidP="001F1951">
      <w:pPr>
        <w:pStyle w:val="CitaviBibliographyEntry"/>
      </w:pPr>
      <w:bookmarkStart w:id="14" w:name="_CTVL00120b5844574954cfc989608780c3221f2"/>
      <w:bookmarkEnd w:id="13"/>
      <w:r>
        <w:t xml:space="preserve">Bull, P. and Fetzer, A. (2006) </w:t>
      </w:r>
      <w:r w:rsidR="008370C5">
        <w:t>‘</w:t>
      </w:r>
      <w:r>
        <w:t>Who Are We and Who Are You? The Strategic Use of Forms of Address in Political Interviews</w:t>
      </w:r>
      <w:r w:rsidR="008370C5">
        <w:t>’</w:t>
      </w:r>
      <w:r>
        <w:t>, Text &amp; Talk: An Interdisciplinary Journal of Language, Discourse &amp; Communication Studies 26: 3–37.</w:t>
      </w:r>
    </w:p>
    <w:p w14:paraId="56ECC59B" w14:textId="77777777" w:rsidR="001F1951" w:rsidRDefault="001F1951" w:rsidP="001F1951">
      <w:pPr>
        <w:pStyle w:val="CitaviBibliographyEntry"/>
      </w:pPr>
      <w:bookmarkStart w:id="15" w:name="_CTVL001819feee172f24bc791b389c9ef822cc4"/>
      <w:bookmarkEnd w:id="14"/>
      <w:r>
        <w:t>Campbell, K.K. and Jamieson, K.H. (2008) Presidents creating the presidency: Deeds done in words. Chicago: University of Chicago Press.</w:t>
      </w:r>
    </w:p>
    <w:p w14:paraId="1D5AB685" w14:textId="3A9561FF" w:rsidR="001F1951" w:rsidRDefault="001F1951" w:rsidP="001F1951">
      <w:pPr>
        <w:pStyle w:val="CitaviBibliographyEntry"/>
      </w:pPr>
      <w:bookmarkStart w:id="16" w:name="_CTVL001db84529a966b4453af4f8e1543cf17b2"/>
      <w:bookmarkEnd w:id="15"/>
      <w:r>
        <w:t xml:space="preserve">Chantrill, P.A. and Mio, J.S. (1996) </w:t>
      </w:r>
      <w:r w:rsidR="008370C5">
        <w:t>‘</w:t>
      </w:r>
      <w:r>
        <w:t>Metonymy in Political Discourse.</w:t>
      </w:r>
      <w:r w:rsidR="008370C5">
        <w:t>’</w:t>
      </w:r>
      <w:r>
        <w:t>, In: Mio, J.S. and Katz, A.N. (eds) Metaphor: Implications and Applications. Mahwah, N.J: Erlbaum, 171–184.</w:t>
      </w:r>
    </w:p>
    <w:p w14:paraId="0D398935" w14:textId="0F235E5C" w:rsidR="001F1951" w:rsidRDefault="001F1951" w:rsidP="001F1951">
      <w:pPr>
        <w:pStyle w:val="CitaviBibliographyEntry"/>
      </w:pPr>
      <w:bookmarkStart w:id="17" w:name="_CTVL0010576dbc4c2f34715ae835d8a9a2ed61b"/>
      <w:bookmarkEnd w:id="16"/>
      <w:r>
        <w:t xml:space="preserve">Chilton, P. and Schäffner, C. (1997) </w:t>
      </w:r>
      <w:r w:rsidR="008370C5">
        <w:t>‘</w:t>
      </w:r>
      <w:r>
        <w:t>Discourse and Politics</w:t>
      </w:r>
      <w:r w:rsidR="008370C5">
        <w:t>’</w:t>
      </w:r>
      <w:r>
        <w:t>, In: van Dijk, T.A. (ed.) Discourse as Social Interaction. London: Sage, 206–230.</w:t>
      </w:r>
    </w:p>
    <w:p w14:paraId="32695D6B" w14:textId="77777777" w:rsidR="001F1951" w:rsidRDefault="001F1951" w:rsidP="001F1951">
      <w:pPr>
        <w:pStyle w:val="CitaviBibliographyEntry"/>
      </w:pPr>
      <w:bookmarkStart w:id="18" w:name="_CTVL00130be7561291d4638be10c7f105958de8"/>
      <w:bookmarkEnd w:id="17"/>
      <w:r>
        <w:t>Clarke, H.D., Sanders, D., Stewart, M.C. and Whiteley, P. (2004) Political choice in Britain. Oxford, New York: Oxford University Press.</w:t>
      </w:r>
    </w:p>
    <w:p w14:paraId="39EA03C2" w14:textId="2DFACAB8" w:rsidR="001F1951" w:rsidRDefault="001F1951" w:rsidP="001F1951">
      <w:pPr>
        <w:pStyle w:val="CitaviBibliographyEntry"/>
      </w:pPr>
      <w:bookmarkStart w:id="19" w:name="_CTVL001aa792f853e1f483c8c6e7b2ceb98bcb3"/>
      <w:bookmarkEnd w:id="18"/>
      <w:r>
        <w:t xml:space="preserve">Daniel, M. (2005) </w:t>
      </w:r>
      <w:r w:rsidR="008370C5">
        <w:t>‘</w:t>
      </w:r>
      <w:r>
        <w:t>Understanding Inclusives</w:t>
      </w:r>
      <w:r w:rsidR="008370C5">
        <w:t>’</w:t>
      </w:r>
      <w:r>
        <w:t>, In: Filimonova, E. (ed.) Clusivity: Typology and case studies of inclusive-exclusive distinction. Amsterdam, Philadelphia, Pa.: J. Benjamins Pub, 3–48.</w:t>
      </w:r>
    </w:p>
    <w:p w14:paraId="488D3A57" w14:textId="77777777" w:rsidR="001F1951" w:rsidRDefault="001F1951" w:rsidP="001F1951">
      <w:pPr>
        <w:pStyle w:val="CitaviBibliographyEntry"/>
      </w:pPr>
      <w:bookmarkStart w:id="20" w:name="_CTVL001a91d0e1814a942f4849938926d20adf5"/>
      <w:bookmarkEnd w:id="19"/>
      <w:r>
        <w:t>Faucher-King, F. (2005) Changing Parties: An Anthropology of British Political Party Conferences. Houndmills, Basingstoke, Hampshire, New York: Palgrave Macmillan.</w:t>
      </w:r>
    </w:p>
    <w:p w14:paraId="462B3DC8" w14:textId="33E74C93" w:rsidR="001F1951" w:rsidRDefault="001F1951" w:rsidP="001F1951">
      <w:pPr>
        <w:pStyle w:val="CitaviBibliographyEntry"/>
      </w:pPr>
      <w:bookmarkStart w:id="21" w:name="_CTVL0015022abc2ef3b47058cfca7dcabce80e2"/>
      <w:bookmarkEnd w:id="20"/>
      <w:r>
        <w:t xml:space="preserve">Fetzer, A. (2014) </w:t>
      </w:r>
      <w:r w:rsidR="008370C5">
        <w:t>‘”</w:t>
      </w:r>
      <w:r>
        <w:t>Judge us on what we do</w:t>
      </w:r>
      <w:r w:rsidR="008370C5">
        <w:t>”</w:t>
      </w:r>
      <w:r>
        <w:t>: The strategic use of collective we in British political discourse</w:t>
      </w:r>
      <w:r w:rsidR="008370C5">
        <w:t>’</w:t>
      </w:r>
      <w:r>
        <w:t xml:space="preserve">, In: Pavlidou, T. (ed.) Constructing collectivity: </w:t>
      </w:r>
      <w:r w:rsidR="008370C5">
        <w:t>‘</w:t>
      </w:r>
      <w:r>
        <w:t>we</w:t>
      </w:r>
      <w:r w:rsidR="008370C5">
        <w:t>’</w:t>
      </w:r>
      <w:r>
        <w:t xml:space="preserve"> across languages and contexts. Amsterdam, Philadelphia: John Benjamins, 331–350.</w:t>
      </w:r>
    </w:p>
    <w:p w14:paraId="6EB9FB00" w14:textId="2E80C71F" w:rsidR="001F1951" w:rsidRDefault="001F1951" w:rsidP="001F1951">
      <w:pPr>
        <w:pStyle w:val="CitaviBibliographyEntry"/>
      </w:pPr>
      <w:bookmarkStart w:id="22" w:name="_CTVL00173b1a497d07d4eaf81b72b4aa4dfafef"/>
      <w:bookmarkEnd w:id="21"/>
      <w:r>
        <w:t xml:space="preserve">Fetzer, A. and Bull, P. (2012) </w:t>
      </w:r>
      <w:r w:rsidR="008370C5">
        <w:t>‘</w:t>
      </w:r>
      <w:r>
        <w:t>Doing leadership in political speech: Semantic processes and pragmatic inferences</w:t>
      </w:r>
      <w:r w:rsidR="008370C5">
        <w:t>’</w:t>
      </w:r>
      <w:r>
        <w:t>, Discourse &amp; Society 23: 127–144.</w:t>
      </w:r>
    </w:p>
    <w:p w14:paraId="7AD059B3" w14:textId="6FE04B07" w:rsidR="001F1951" w:rsidRDefault="001F1951" w:rsidP="001F1951">
      <w:pPr>
        <w:pStyle w:val="CitaviBibliographyEntry"/>
      </w:pPr>
      <w:bookmarkStart w:id="23" w:name="_CTVL0018eedc41e9d0a49da8b3276653adc2203"/>
      <w:bookmarkEnd w:id="22"/>
      <w:r>
        <w:t xml:space="preserve">Fina, A. de (1995) </w:t>
      </w:r>
      <w:r w:rsidR="008370C5">
        <w:t>‘</w:t>
      </w:r>
      <w:r>
        <w:t>Pronominal choice, identity, and solidarity in political discourse</w:t>
      </w:r>
      <w:r w:rsidR="008370C5">
        <w:t>’</w:t>
      </w:r>
      <w:r>
        <w:t>, Text - Interdisciplinary Journal for the Study of Discourse 15.</w:t>
      </w:r>
    </w:p>
    <w:p w14:paraId="0A9EFA0F" w14:textId="77777777" w:rsidR="001F1951" w:rsidRDefault="001F1951" w:rsidP="001F1951">
      <w:pPr>
        <w:pStyle w:val="CitaviBibliographyEntry"/>
      </w:pPr>
      <w:bookmarkStart w:id="24" w:name="_CTVL0013dcb6fbc624a45ccb37b1ed926ade217"/>
      <w:bookmarkEnd w:id="23"/>
      <w:r>
        <w:t>Gaffney, J. (1990) The Language of Political Leadership in Contemporary Britain. Basingstoke: Macmillan.</w:t>
      </w:r>
    </w:p>
    <w:p w14:paraId="4919677B" w14:textId="77777777" w:rsidR="001F1951" w:rsidRDefault="001F1951" w:rsidP="001F1951">
      <w:pPr>
        <w:pStyle w:val="CitaviBibliographyEntry"/>
      </w:pPr>
      <w:bookmarkStart w:id="25" w:name="_CTVL001eeccec5b1b0545e5b292703fc5a14a86"/>
      <w:bookmarkEnd w:id="24"/>
      <w:r>
        <w:t>Goffman, E. (1981) Forms of Talk. Philadelphia: University of Pennsylvania Press.</w:t>
      </w:r>
    </w:p>
    <w:p w14:paraId="1C9C33C7" w14:textId="77777777" w:rsidR="001F1951" w:rsidRDefault="001F1951" w:rsidP="001F1951">
      <w:pPr>
        <w:pStyle w:val="CitaviBibliographyEntry"/>
      </w:pPr>
      <w:bookmarkStart w:id="26" w:name="_CTVL001d13602b170c647b1a481234a13c41818"/>
      <w:bookmarkEnd w:id="25"/>
      <w:r>
        <w:t>Helbig, G. and Buscha, J. (1991) Deutsche Grammatik: Ein Handbuch für den Ausländerunterricht. Leipzig: VEB Verlag Enzyklopädie; Langenscheidt.</w:t>
      </w:r>
    </w:p>
    <w:p w14:paraId="08A36E64" w14:textId="6872BF9F" w:rsidR="001F1951" w:rsidRDefault="001F1951" w:rsidP="001F1951">
      <w:pPr>
        <w:pStyle w:val="CitaviBibliographyEntry"/>
      </w:pPr>
      <w:bookmarkStart w:id="27" w:name="_CTVL001dfaa06d3764e4b13a2c74cd9e73f8356"/>
      <w:bookmarkEnd w:id="26"/>
      <w:r>
        <w:t xml:space="preserve">Helmbrecht, J. (2002) </w:t>
      </w:r>
      <w:r w:rsidR="008370C5">
        <w:t>‘</w:t>
      </w:r>
      <w:r>
        <w:t>Grammar and function of we*</w:t>
      </w:r>
      <w:r w:rsidR="008370C5">
        <w:t>’</w:t>
      </w:r>
      <w:r>
        <w:t>, In: Duszak, A. (ed.) Us and others: Social identities across languages, discourses and cultures. Amsterdam, Philadelphia: John Benjamins Pub, 31–49.</w:t>
      </w:r>
    </w:p>
    <w:p w14:paraId="62D535B5" w14:textId="77777777" w:rsidR="001F1951" w:rsidRDefault="001F1951" w:rsidP="001F1951">
      <w:pPr>
        <w:pStyle w:val="CitaviBibliographyEntry"/>
      </w:pPr>
      <w:bookmarkStart w:id="28" w:name="_CTVL001398043c2b109448e836af6d40a23f680"/>
      <w:bookmarkEnd w:id="27"/>
      <w:r>
        <w:t>Jun, U. (2004) Der Wandel von Parteien in der Mediendemokratie: SPD und Labour Party im Vergleich. Frankfurt/Main, New York: Campus.</w:t>
      </w:r>
    </w:p>
    <w:p w14:paraId="101A73EC" w14:textId="00C7A389" w:rsidR="001F1951" w:rsidRDefault="001F1951" w:rsidP="001F1951">
      <w:pPr>
        <w:pStyle w:val="CitaviBibliographyEntry"/>
      </w:pPr>
      <w:bookmarkStart w:id="29" w:name="_CTVL001c8b367f4d42242789da1c2dc8aeeb2e3"/>
      <w:bookmarkEnd w:id="28"/>
      <w:r>
        <w:t xml:space="preserve">Kammerer, P. (1995) </w:t>
      </w:r>
      <w:r w:rsidR="008370C5">
        <w:t>‘</w:t>
      </w:r>
      <w:r>
        <w:t>Die veränderten Konstitutionsbedingungen politischer Rhetorik: Zur Rolle der Redenschreiber, der Medien und zum vermeintlichen Ende öffentlicher Rede</w:t>
      </w:r>
      <w:r w:rsidR="008370C5">
        <w:t>’</w:t>
      </w:r>
      <w:r>
        <w:t>, Rhetorik : ein internationales Jahrbuch 14: 14–29.</w:t>
      </w:r>
    </w:p>
    <w:p w14:paraId="6C52E58A" w14:textId="4D8B6B20" w:rsidR="001F1951" w:rsidRDefault="001F1951" w:rsidP="001F1951">
      <w:pPr>
        <w:pStyle w:val="CitaviBibliographyEntry"/>
      </w:pPr>
      <w:bookmarkStart w:id="30" w:name="_CTVL001a7e47e3a425246cd9500a130c0de54b3"/>
      <w:bookmarkEnd w:id="29"/>
      <w:r>
        <w:t xml:space="preserve">Klein, J. (2000) </w:t>
      </w:r>
      <w:r w:rsidR="008370C5">
        <w:t>‘</w:t>
      </w:r>
      <w:r>
        <w:t>Textsorten im Bereich politischer Institutionen.</w:t>
      </w:r>
      <w:r w:rsidR="008370C5">
        <w:t>’</w:t>
      </w:r>
      <w:r>
        <w:t>, In: Brinker, K., Antos, G., Heinemann, W. and Sager, S.F. (eds) Text- und Gesprächslinguistik: Ein internationales Handbuch zeitgenössischer Forschung /  Linguistics of text and conversation : an international handbook of contemporary research. Berlin: de Gruyter, 732–755.</w:t>
      </w:r>
    </w:p>
    <w:p w14:paraId="59BA251E" w14:textId="2489D552" w:rsidR="001F1951" w:rsidRDefault="001F1951" w:rsidP="001F1951">
      <w:pPr>
        <w:pStyle w:val="CitaviBibliographyEntry"/>
      </w:pPr>
      <w:bookmarkStart w:id="31" w:name="_CTVL001edaade807c114a2bbf665fdbbf223257"/>
      <w:bookmarkEnd w:id="30"/>
      <w:r>
        <w:t xml:space="preserve">Klein, J. (2007) </w:t>
      </w:r>
      <w:r w:rsidR="008370C5">
        <w:t>‘</w:t>
      </w:r>
      <w:r>
        <w:t>Linguistische Hermeneutik politischer Rede.: Eine Modellanalyse am Beispiel von Kanzler Schröders Verkündung der Agenda 2010</w:t>
      </w:r>
      <w:r w:rsidR="008370C5">
        <w:t>’</w:t>
      </w:r>
      <w:r>
        <w:t>, In: Hermanns, F. and Holly, W. (eds) Linguistische Hermeneutik: Theorie und Praxis des Verstehens und Interpretierens. Tübingen: Niemeyer, 201–238.</w:t>
      </w:r>
    </w:p>
    <w:p w14:paraId="5781BFDB" w14:textId="5CC6D746" w:rsidR="001F1951" w:rsidRDefault="001F1951" w:rsidP="001F1951">
      <w:pPr>
        <w:pStyle w:val="CitaviBibliographyEntry"/>
      </w:pPr>
      <w:bookmarkStart w:id="32" w:name="_CTVL001ed0107346e9f4590b09a9bf9a983f6c8"/>
      <w:bookmarkEnd w:id="31"/>
      <w:r>
        <w:t xml:space="preserve">Kranert, M. </w:t>
      </w:r>
      <w:r w:rsidR="008370C5">
        <w:t>‘</w:t>
      </w:r>
      <w:r>
        <w:t xml:space="preserve">Text and Context in the Discourses of the Third Way in Germany and the UK. A comparative Study of the Language of </w:t>
      </w:r>
      <w:r w:rsidR="008370C5">
        <w:t>‘</w:t>
      </w:r>
      <w:r>
        <w:t>New Labour</w:t>
      </w:r>
      <w:r w:rsidR="008370C5">
        <w:t>’</w:t>
      </w:r>
      <w:r>
        <w:t xml:space="preserve"> and </w:t>
      </w:r>
      <w:r w:rsidR="008370C5">
        <w:t>‘</w:t>
      </w:r>
      <w:r>
        <w:t>Die Neue Mitte</w:t>
      </w:r>
      <w:r w:rsidR="008370C5">
        <w:t>’</w:t>
      </w:r>
      <w:r>
        <w:t>,</w:t>
      </w:r>
      <w:r w:rsidR="008370C5">
        <w:t>’</w:t>
      </w:r>
      <w:r>
        <w:t xml:space="preserve"> PhD Thesis, UCL (2016).</w:t>
      </w:r>
    </w:p>
    <w:p w14:paraId="48304B1B" w14:textId="59156DA8" w:rsidR="001F1951" w:rsidRDefault="001F1951" w:rsidP="001F1951">
      <w:pPr>
        <w:pStyle w:val="CitaviBibliographyEntry"/>
      </w:pPr>
      <w:bookmarkStart w:id="33" w:name="_CTVL0012f40db92df474b46a24b88f5886b081f"/>
      <w:bookmarkEnd w:id="32"/>
      <w:r>
        <w:t xml:space="preserve">Kühn, P. (1992) </w:t>
      </w:r>
      <w:r w:rsidR="008370C5">
        <w:t>‘</w:t>
      </w:r>
      <w:r>
        <w:t>Adressaten und Adressatenkarussell in der öffentlich politischen Auseinandersetzung</w:t>
      </w:r>
      <w:r w:rsidR="008370C5">
        <w:t>’</w:t>
      </w:r>
      <w:r>
        <w:t>, Rhetorik : ein internationales Jahrbuch 11: 51–66.</w:t>
      </w:r>
    </w:p>
    <w:p w14:paraId="0CE3DA30" w14:textId="77777777" w:rsidR="001F1951" w:rsidRDefault="001F1951" w:rsidP="001F1951">
      <w:pPr>
        <w:pStyle w:val="CitaviBibliographyEntry"/>
      </w:pPr>
      <w:bookmarkStart w:id="34" w:name="_CTVL001e79a4d42e25c4b869d6cef1d6b05bf7a"/>
      <w:bookmarkEnd w:id="33"/>
      <w:r>
        <w:t>Kühn, P. (1995) Mehrfachadressierung: Untersuchungen zur adressatenspezifischen Polyvalenz sprachlichen Handelns. Tübingen: Niemeyer.</w:t>
      </w:r>
    </w:p>
    <w:p w14:paraId="07A34469" w14:textId="77777777" w:rsidR="001F1951" w:rsidRDefault="001F1951" w:rsidP="001F1951">
      <w:pPr>
        <w:pStyle w:val="CitaviBibliographyEntry"/>
      </w:pPr>
      <w:bookmarkStart w:id="35" w:name="_CTVL00142e97822218b4fad9a80b282b5bde0bb"/>
      <w:bookmarkEnd w:id="34"/>
      <w:r>
        <w:t>Mühlhäusler, P. and Harré, R. (1990) Pronouns and People: The Linguistic Construction of Social and Personal Identity. Oxford, UK, Cambridge, Mass., USA: Basil Blackwell.</w:t>
      </w:r>
    </w:p>
    <w:p w14:paraId="1A6611A6" w14:textId="77777777" w:rsidR="001F1951" w:rsidRDefault="001F1951" w:rsidP="001F1951">
      <w:pPr>
        <w:pStyle w:val="CitaviBibliographyEntry"/>
      </w:pPr>
      <w:bookmarkStart w:id="36" w:name="_CTVL0013e83e5fa02904e60a52d932e63511f38"/>
      <w:bookmarkEnd w:id="35"/>
      <w:r>
        <w:t>Nachtwey, O. (2009) Marktsozialdemokratie: Die Transformation von SPD und Labour Party. Wiesbaden: VS Verlag für Sozialwissenschaften.</w:t>
      </w:r>
    </w:p>
    <w:p w14:paraId="5CAF4070" w14:textId="77777777" w:rsidR="001F1951" w:rsidRDefault="001F1951" w:rsidP="001F1951">
      <w:pPr>
        <w:pStyle w:val="CitaviBibliographyEntry"/>
      </w:pPr>
      <w:bookmarkStart w:id="37" w:name="_CTVL001fa9a41eb2f1d46049776145c75d1dad1"/>
      <w:bookmarkEnd w:id="36"/>
      <w:r>
        <w:t>Peele, G. (2004) Governing the UK: British Politics in the 21</w:t>
      </w:r>
      <w:r w:rsidRPr="008370C5">
        <w:rPr>
          <w:vertAlign w:val="superscript"/>
        </w:rPr>
        <w:t>st</w:t>
      </w:r>
      <w:r>
        <w:t xml:space="preserve"> Century. Malden, MA: Blackwell.</w:t>
      </w:r>
    </w:p>
    <w:p w14:paraId="4C5D5F7C" w14:textId="4A740BC0" w:rsidR="001F1951" w:rsidRDefault="001F1951" w:rsidP="001F1951">
      <w:pPr>
        <w:pStyle w:val="CitaviBibliographyEntry"/>
      </w:pPr>
      <w:bookmarkStart w:id="38" w:name="_CTVL001652aa76aef4d4c20bb029744972d0db0"/>
      <w:bookmarkEnd w:id="37"/>
      <w:r>
        <w:t xml:space="preserve">Poguntke, T. (2005) </w:t>
      </w:r>
      <w:r w:rsidR="008370C5">
        <w:t>‘</w:t>
      </w:r>
      <w:r>
        <w:t>A Presidentializing Party State?: The Federal Republic of Germany</w:t>
      </w:r>
      <w:r w:rsidR="008370C5">
        <w:t>’</w:t>
      </w:r>
      <w:r>
        <w:t>, In: Poguntke, T. and Webb, P. (eds) The Presidentialization of Politics: A Comparative Study of Modern Democracies. Oxford, New York: Oxford University Press, 63–87.</w:t>
      </w:r>
    </w:p>
    <w:p w14:paraId="45BC261A" w14:textId="391A9B18" w:rsidR="001F1951" w:rsidRDefault="001F1951" w:rsidP="001F1951">
      <w:pPr>
        <w:pStyle w:val="CitaviBibliographyEntry"/>
      </w:pPr>
      <w:bookmarkStart w:id="39" w:name="_CTVL001a0505333b1ae41f7a37abe742a12b95a"/>
      <w:bookmarkEnd w:id="38"/>
      <w:r>
        <w:t xml:space="preserve">Poguntke, T. and Webb, P. (2005) </w:t>
      </w:r>
      <w:r w:rsidR="008370C5">
        <w:t>‘</w:t>
      </w:r>
      <w:r>
        <w:t>The Presidentialization of Politics in Democratic Societies: A Framework for Analysis</w:t>
      </w:r>
      <w:r w:rsidR="008370C5">
        <w:t>’</w:t>
      </w:r>
      <w:r>
        <w:t>, In: Poguntke, T. and Webb, P. (eds) The Presidentialization of Politics: A Comparative Study of Modern Democracies. Oxford, New York: Oxford University Press, 1–25.</w:t>
      </w:r>
    </w:p>
    <w:p w14:paraId="2055F9C3" w14:textId="77777777" w:rsidR="001F1951" w:rsidRDefault="001F1951" w:rsidP="001F1951">
      <w:pPr>
        <w:pStyle w:val="CitaviBibliographyEntry"/>
      </w:pPr>
      <w:bookmarkStart w:id="40" w:name="_CTVL001e8d7e3b952b640ab86c89ad43bedf789"/>
      <w:bookmarkEnd w:id="39"/>
      <w:r>
        <w:t>Precht, R.D. (2011) Who am I?--and if so, how many?: A philosophical journey. New York: Spiegel &amp; Grau.</w:t>
      </w:r>
    </w:p>
    <w:p w14:paraId="74354720" w14:textId="1542547C" w:rsidR="001F1951" w:rsidRDefault="001F1951" w:rsidP="001F1951">
      <w:pPr>
        <w:pStyle w:val="CitaviBibliographyEntry"/>
      </w:pPr>
      <w:bookmarkStart w:id="41" w:name="_CTVL0010c96c61daa744fab9d4abef053e8dbf5"/>
      <w:bookmarkEnd w:id="40"/>
      <w:r>
        <w:t xml:space="preserve">Pyykkö, R. (2002) </w:t>
      </w:r>
      <w:r w:rsidR="008370C5">
        <w:t>‘</w:t>
      </w:r>
      <w:r>
        <w:t>Who is ‘we’ in Russian political discourse</w:t>
      </w:r>
      <w:r w:rsidR="008370C5">
        <w:t>’</w:t>
      </w:r>
      <w:r>
        <w:t>, In: Duszak, A. (ed.) Us and others: Social identities across languages, discourses and cultures. Amsterdam, Philadelphia: John Benjamins Pub, 233–248.</w:t>
      </w:r>
    </w:p>
    <w:p w14:paraId="2A1AB74C" w14:textId="77777777" w:rsidR="001F1951" w:rsidRDefault="001F1951" w:rsidP="001F1951">
      <w:pPr>
        <w:pStyle w:val="CitaviBibliographyEntry"/>
      </w:pPr>
      <w:bookmarkStart w:id="42" w:name="_CTVL0016fc328c4a70743d3a25f3068da629155"/>
      <w:bookmarkEnd w:id="41"/>
      <w:r>
        <w:t>Quirk, R., Greenbaum, S., Leech, G.N. and Svartvik, J. (1985) A comprehensive grammar of the English language. London: Longman.</w:t>
      </w:r>
    </w:p>
    <w:p w14:paraId="1DDC9C52" w14:textId="75082B1A" w:rsidR="001F1951" w:rsidRDefault="001F1951" w:rsidP="001F1951">
      <w:pPr>
        <w:pStyle w:val="CitaviBibliographyEntry"/>
      </w:pPr>
      <w:bookmarkStart w:id="43" w:name="_CTVL00136d7c20fa461489da916d1f00bfaeb18"/>
      <w:bookmarkEnd w:id="42"/>
      <w:r>
        <w:t xml:space="preserve">Reisigl, M. (2008) </w:t>
      </w:r>
      <w:r w:rsidR="008370C5">
        <w:t>‘</w:t>
      </w:r>
      <w:r>
        <w:t>Rhetoric of Political Speeches</w:t>
      </w:r>
      <w:r w:rsidR="008370C5">
        <w:t>’</w:t>
      </w:r>
      <w:r>
        <w:t>, In: Wodak, R. and Koller, V. (eds) Handbook of Communication in the Public Sphere. Berlin, New York: Mouton de Gruyter, 243–270.</w:t>
      </w:r>
    </w:p>
    <w:p w14:paraId="2913C901" w14:textId="77777777" w:rsidR="001F1951" w:rsidRDefault="001F1951" w:rsidP="001F1951">
      <w:pPr>
        <w:pStyle w:val="CitaviBibliographyEntry"/>
      </w:pPr>
      <w:bookmarkStart w:id="44" w:name="_CTVL0012d0b5665f3414d1597be434042ec15d3"/>
      <w:bookmarkEnd w:id="43"/>
      <w:r>
        <w:t>Rudzio, W. (2003) Das politische System der Bundesrepublik Deutschland. Wiesbaden: VS Verlag für Sozialwissenschaften.</w:t>
      </w:r>
    </w:p>
    <w:p w14:paraId="7293CA75" w14:textId="3058D99C" w:rsidR="001F1951" w:rsidRDefault="001F1951" w:rsidP="001F1951">
      <w:pPr>
        <w:pStyle w:val="CitaviBibliographyEntry"/>
      </w:pPr>
      <w:bookmarkStart w:id="45" w:name="_CTVL001ced27edf69314e5bae6f3a9dab3d8a4b"/>
      <w:bookmarkEnd w:id="44"/>
      <w:r>
        <w:t xml:space="preserve">Schröder, G. (1998a) </w:t>
      </w:r>
      <w:r w:rsidR="008370C5">
        <w:t>‘</w:t>
      </w:r>
      <w:r>
        <w:t>Die Kraft des Neuen.: Rede auf dem Wahlparteitag der SPD in Leipzig, 17. April 1998</w:t>
      </w:r>
      <w:r w:rsidR="008370C5">
        <w:t>’</w:t>
      </w:r>
      <w:r>
        <w:t>, In: Vorstand der SPD (ed.) Die Kraft des Neuen: Protokoll Wahlparteitag Leipzig 17. April 1998, 19–54.</w:t>
      </w:r>
    </w:p>
    <w:p w14:paraId="5934FA73" w14:textId="3689CE86" w:rsidR="001F1951" w:rsidRDefault="001F1951" w:rsidP="001F1951">
      <w:pPr>
        <w:pStyle w:val="CitaviBibliographyEntry"/>
      </w:pPr>
      <w:bookmarkStart w:id="46" w:name="_CTVL001c3b47321f492409197cd83ff2fa6c2fd"/>
      <w:bookmarkEnd w:id="45"/>
      <w:r>
        <w:t xml:space="preserve">Schröder, G. (1998b) </w:t>
      </w:r>
      <w:r w:rsidR="008370C5">
        <w:t>‘</w:t>
      </w:r>
      <w:r>
        <w:t>Rede Gerhard Schröder</w:t>
      </w:r>
      <w:r w:rsidR="008370C5">
        <w:t>’</w:t>
      </w:r>
      <w:r>
        <w:t>, In: Vorstand der SPD (ed.) Innovation und Gerechtigkeit. Deutschland erneuern.: Protokoll Parteitag Bonn 25. Oktober 1998, 36–47.</w:t>
      </w:r>
    </w:p>
    <w:p w14:paraId="109C689A" w14:textId="7EA41826" w:rsidR="001F1951" w:rsidRDefault="001F1951" w:rsidP="001F1951">
      <w:pPr>
        <w:pStyle w:val="CitaviBibliographyEntry"/>
      </w:pPr>
      <w:bookmarkStart w:id="47" w:name="_CTVL001f5bf0173614c48069fbe3adb46c954d1"/>
      <w:bookmarkEnd w:id="46"/>
      <w:r>
        <w:t xml:space="preserve">Schröder, G. (2003) </w:t>
      </w:r>
      <w:r w:rsidR="008370C5">
        <w:t>‘</w:t>
      </w:r>
      <w:r>
        <w:t>Rede des Parteivorsitzenden Gerhard Schröder</w:t>
      </w:r>
      <w:r w:rsidR="008370C5">
        <w:t>’</w:t>
      </w:r>
      <w:r>
        <w:t>, In: Vorstand der SPD (ed.) Außerordentlicher Bundesparteitag: Agenda 2010, 13–27.</w:t>
      </w:r>
    </w:p>
    <w:p w14:paraId="69C534E9" w14:textId="4155ECD0" w:rsidR="001F1951" w:rsidRDefault="001F1951" w:rsidP="001F1951">
      <w:pPr>
        <w:pStyle w:val="CitaviBibliographyEntry"/>
      </w:pPr>
      <w:bookmarkStart w:id="48" w:name="_CTVL001420a578d55664142b8532b9e5afb7c9c"/>
      <w:bookmarkEnd w:id="47"/>
      <w:r>
        <w:t xml:space="preserve">Skarżyńska, K. (2002) </w:t>
      </w:r>
      <w:r w:rsidR="008370C5">
        <w:t>‘</w:t>
      </w:r>
      <w:r>
        <w:t>WE and THEY in Polish political discourse: A psychological approach</w:t>
      </w:r>
      <w:r w:rsidR="008370C5">
        <w:t>’</w:t>
      </w:r>
      <w:r>
        <w:t>, In: Duszak, A. (ed.) Us and others: Social identities across languages, discourses and cultures. Amsterdam, Philadelphia: John Benjamins Pub, 249–264.</w:t>
      </w:r>
    </w:p>
    <w:p w14:paraId="3E9B0E5F" w14:textId="3D3B078D" w:rsidR="001F1951" w:rsidRDefault="001F1951" w:rsidP="001F1951">
      <w:pPr>
        <w:pStyle w:val="CitaviBibliographyEntry"/>
      </w:pPr>
      <w:bookmarkStart w:id="49" w:name="_CTVL001da73de74aa72476c8a0c4183809a6b1e"/>
      <w:bookmarkEnd w:id="48"/>
      <w:r>
        <w:t xml:space="preserve">St. Clair, R. (1973) </w:t>
      </w:r>
      <w:r w:rsidR="008370C5">
        <w:t>‘</w:t>
      </w:r>
      <w:r>
        <w:t>Inclusive and Exclusive Pronouns in English</w:t>
      </w:r>
      <w:r w:rsidR="008370C5">
        <w:t>’</w:t>
      </w:r>
      <w:r>
        <w:t>, Journal of English Linguistics 7: 43–49.</w:t>
      </w:r>
    </w:p>
    <w:p w14:paraId="7AAFB91C" w14:textId="6F1F5515" w:rsidR="001F1951" w:rsidRDefault="001F1951" w:rsidP="001F1951">
      <w:pPr>
        <w:pStyle w:val="CitaviBibliographyEntry"/>
      </w:pPr>
      <w:bookmarkStart w:id="50" w:name="_CTVL001729e53443f68455a965a9f4a00b85250"/>
      <w:bookmarkEnd w:id="49"/>
      <w:r>
        <w:t xml:space="preserve">Stewart, M.C. and Clarke, H.D. (1992) </w:t>
      </w:r>
      <w:r w:rsidR="008370C5">
        <w:t>‘</w:t>
      </w:r>
      <w:r>
        <w:t>The (Un)Importance of Party Leaders: Leader Images and Party Choice in the 1987 British Election</w:t>
      </w:r>
      <w:r w:rsidR="008370C5">
        <w:t>’</w:t>
      </w:r>
      <w:r>
        <w:t>, The Journal of Politics 54: 447.</w:t>
      </w:r>
    </w:p>
    <w:p w14:paraId="572DA7F7" w14:textId="77777777" w:rsidR="001F1951" w:rsidRDefault="001F1951" w:rsidP="001F1951">
      <w:pPr>
        <w:pStyle w:val="CitaviBibliographyEntry"/>
      </w:pPr>
      <w:bookmarkStart w:id="51" w:name="_CTVL0011b1c9304798d472587762a5b4d55f7f3"/>
      <w:bookmarkEnd w:id="50"/>
      <w:r>
        <w:t>Turowski, J. (2010) Sozialdemokratische Reformdiskurse. Wiesbaden: VS Verlag für Sozialwissenschaften.</w:t>
      </w:r>
    </w:p>
    <w:p w14:paraId="685EA8B4" w14:textId="77777777" w:rsidR="001F1951" w:rsidRDefault="001F1951" w:rsidP="001F1951">
      <w:pPr>
        <w:pStyle w:val="CitaviBibliographyEntry"/>
      </w:pPr>
      <w:bookmarkStart w:id="52" w:name="_CTVL0011ca1c04e0a254402882b826b35312183"/>
      <w:bookmarkEnd w:id="51"/>
      <w:r>
        <w:t>Wales, K. (1996) Personal pronouns in present-day English. Cambridge [England], New York: Cambridge University Press.</w:t>
      </w:r>
    </w:p>
    <w:p w14:paraId="0A75041B" w14:textId="77777777" w:rsidR="001F1951" w:rsidRDefault="001F1951" w:rsidP="001F1951">
      <w:pPr>
        <w:pStyle w:val="CitaviBibliographyEntry"/>
      </w:pPr>
      <w:bookmarkStart w:id="53" w:name="_CTVL001d908db8871a64e90b375a52f7456003b"/>
      <w:bookmarkEnd w:id="52"/>
      <w:r>
        <w:t>Wilson, J. (1990) Politically Speaking: The Pragmatic Analysis of Political Language. Oxford: Basil Blackwell.</w:t>
      </w:r>
    </w:p>
    <w:p w14:paraId="776C2397" w14:textId="59002990" w:rsidR="001F1951" w:rsidRDefault="001F1951" w:rsidP="001F1951">
      <w:pPr>
        <w:pStyle w:val="CitaviBibliographyEntry"/>
      </w:pPr>
      <w:bookmarkStart w:id="54" w:name="_CTVL001becc2bdd04b54e749e37c86152df7e0c"/>
      <w:bookmarkEnd w:id="53"/>
      <w:r>
        <w:t xml:space="preserve">Wortham, S.E.F. (1996) </w:t>
      </w:r>
      <w:r w:rsidR="008370C5">
        <w:t>‘</w:t>
      </w:r>
      <w:r>
        <w:t>Mapping participant deictics: A technique for discovering speakers</w:t>
      </w:r>
      <w:r w:rsidR="008370C5">
        <w:t>’</w:t>
      </w:r>
      <w:r>
        <w:t xml:space="preserve"> footing</w:t>
      </w:r>
      <w:r w:rsidR="008370C5">
        <w:t>’</w:t>
      </w:r>
      <w:r>
        <w:t>, Journal of Pragmatics 25: 331–348.</w:t>
      </w:r>
    </w:p>
    <w:p w14:paraId="70886010" w14:textId="075EED2C" w:rsidR="009B4E38" w:rsidRPr="004A36AA" w:rsidRDefault="001F1951" w:rsidP="001F1951">
      <w:pPr>
        <w:pStyle w:val="CitaviBibliographyEntry"/>
      </w:pPr>
      <w:bookmarkStart w:id="55" w:name="_CTVL00111156f57d9544cb18e49e3ad44a6eab1"/>
      <w:bookmarkEnd w:id="54"/>
      <w:r>
        <w:t>Zifonun, G. (2001) Überblick und Personalpronomen. Mannheim: Inst. für Dt. Sprache.</w:t>
      </w:r>
      <w:bookmarkEnd w:id="55"/>
    </w:p>
    <w:sectPr w:rsidR="009B4E38" w:rsidRPr="004A36A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5BD08" w14:textId="77777777" w:rsidR="00DF3A78" w:rsidRDefault="00DF3A78" w:rsidP="0096752B">
      <w:pPr>
        <w:spacing w:line="240" w:lineRule="auto"/>
      </w:pPr>
      <w:r>
        <w:separator/>
      </w:r>
    </w:p>
  </w:endnote>
  <w:endnote w:type="continuationSeparator" w:id="0">
    <w:p w14:paraId="5104E86E" w14:textId="77777777" w:rsidR="00DF3A78" w:rsidRDefault="00DF3A78" w:rsidP="0096752B">
      <w:pPr>
        <w:spacing w:line="240" w:lineRule="auto"/>
      </w:pPr>
      <w:r>
        <w:continuationSeparator/>
      </w:r>
    </w:p>
  </w:endnote>
  <w:endnote w:id="1">
    <w:p w14:paraId="17852B56" w14:textId="463E9B9C" w:rsidR="007240FB" w:rsidRDefault="007240FB" w:rsidP="007240FB">
      <w:pPr>
        <w:pStyle w:val="EndnoteText"/>
      </w:pPr>
      <w:r>
        <w:rPr>
          <w:rStyle w:val="EndnoteReference"/>
        </w:rPr>
        <w:endnoteRef/>
      </w:r>
      <w:r>
        <w:t xml:space="preserve"> The research presented in this article was part of my doctoral research conducted at UCL in London. I would like to thank UCL for funding the research through the Impact Scholarship, and my former Supervisor Geraldine Horan for her encouragement and her comments on an earlier draft of this article. I would also like to thank the anonymous reviewer for her/his helpful comments</w:t>
      </w:r>
      <w:r w:rsidR="00D4750C" w:rsidRPr="00D4750C">
        <w:t xml:space="preserve"> </w:t>
      </w:r>
      <w:r w:rsidR="00D4750C">
        <w:t xml:space="preserve">and Natalia Bremner for carefully checking the final draft. </w:t>
      </w:r>
      <w:r>
        <w:t xml:space="preserve">Of course, the responsibility for inconsistencies and mistakes in this final version is all mine. </w:t>
      </w:r>
    </w:p>
  </w:endnote>
  <w:endnote w:id="2">
    <w:p w14:paraId="0A37EE08" w14:textId="133D9EB2" w:rsidR="00F03BE0" w:rsidRDefault="00F03BE0">
      <w:pPr>
        <w:pStyle w:val="EndnoteText"/>
      </w:pPr>
      <w:r>
        <w:rPr>
          <w:rStyle w:val="EndnoteReference"/>
        </w:rPr>
        <w:endnoteRef/>
      </w:r>
      <w:r>
        <w:t xml:space="preserve"> All markings by underlining in examples are by the author, highlighting the linguistic clues relevant for the interpretation of the examples.</w:t>
      </w:r>
    </w:p>
  </w:endnote>
  <w:endnote w:id="3">
    <w:p w14:paraId="18CB206C" w14:textId="56F92598" w:rsidR="00F03BE0" w:rsidRDefault="00F03BE0">
      <w:pPr>
        <w:pStyle w:val="EndnoteText"/>
      </w:pPr>
      <w:r>
        <w:rPr>
          <w:rStyle w:val="EndnoteReference"/>
        </w:rPr>
        <w:endnoteRef/>
      </w:r>
      <w:r>
        <w:t xml:space="preserve"> The anaphoric chain in the example was quite long, hence the omission in the middle of the quotation.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22BF" w14:textId="77777777" w:rsidR="008F1A0A" w:rsidRDefault="008F1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307357"/>
      <w:docPartObj>
        <w:docPartGallery w:val="Page Numbers (Bottom of Page)"/>
        <w:docPartUnique/>
      </w:docPartObj>
    </w:sdtPr>
    <w:sdtEndPr>
      <w:rPr>
        <w:noProof/>
      </w:rPr>
    </w:sdtEndPr>
    <w:sdtContent>
      <w:p w14:paraId="4D7B78AD" w14:textId="0A9450D3" w:rsidR="008F1A0A" w:rsidRDefault="008F1A0A">
        <w:pPr>
          <w:pStyle w:val="Footer"/>
          <w:jc w:val="center"/>
        </w:pPr>
        <w:r>
          <w:fldChar w:fldCharType="begin"/>
        </w:r>
        <w:r>
          <w:instrText xml:space="preserve"> PAGE   \* MERGEFORMAT </w:instrText>
        </w:r>
        <w:r>
          <w:fldChar w:fldCharType="separate"/>
        </w:r>
        <w:r w:rsidR="002916C1">
          <w:rPr>
            <w:noProof/>
          </w:rPr>
          <w:t>1</w:t>
        </w:r>
        <w:r>
          <w:rPr>
            <w:noProof/>
          </w:rPr>
          <w:fldChar w:fldCharType="end"/>
        </w:r>
      </w:p>
    </w:sdtContent>
  </w:sdt>
  <w:p w14:paraId="799484E6" w14:textId="77777777" w:rsidR="008F1A0A" w:rsidRDefault="008F1A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A13D" w14:textId="77777777" w:rsidR="008F1A0A" w:rsidRDefault="008F1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172C" w14:textId="77777777" w:rsidR="00DF3A78" w:rsidRDefault="00DF3A78" w:rsidP="0096752B">
      <w:pPr>
        <w:spacing w:line="240" w:lineRule="auto"/>
      </w:pPr>
      <w:r>
        <w:separator/>
      </w:r>
    </w:p>
  </w:footnote>
  <w:footnote w:type="continuationSeparator" w:id="0">
    <w:p w14:paraId="5294B097" w14:textId="77777777" w:rsidR="00DF3A78" w:rsidRDefault="00DF3A78" w:rsidP="00967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9B8D6" w14:textId="77777777" w:rsidR="008F1A0A" w:rsidRDefault="008F1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0600" w14:textId="77777777" w:rsidR="008F1A0A" w:rsidRDefault="008F1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E13B" w14:textId="77777777" w:rsidR="008F1A0A" w:rsidRDefault="008F1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4071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BCA5B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7C5F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14C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44E4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C2E5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888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C16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A4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02CB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D22D9"/>
    <w:multiLevelType w:val="hybridMultilevel"/>
    <w:tmpl w:val="3698C56C"/>
    <w:lvl w:ilvl="0" w:tplc="7070E694">
      <w:start w:val="1"/>
      <w:numFmt w:val="bullet"/>
      <w:lvlText w:val="•"/>
      <w:lvlJc w:val="left"/>
      <w:pPr>
        <w:tabs>
          <w:tab w:val="num" w:pos="720"/>
        </w:tabs>
        <w:ind w:left="720" w:hanging="360"/>
      </w:pPr>
      <w:rPr>
        <w:rFonts w:ascii="Arial" w:hAnsi="Arial" w:hint="default"/>
      </w:rPr>
    </w:lvl>
    <w:lvl w:ilvl="1" w:tplc="70981AFC" w:tentative="1">
      <w:start w:val="1"/>
      <w:numFmt w:val="bullet"/>
      <w:lvlText w:val="•"/>
      <w:lvlJc w:val="left"/>
      <w:pPr>
        <w:tabs>
          <w:tab w:val="num" w:pos="1440"/>
        </w:tabs>
        <w:ind w:left="1440" w:hanging="360"/>
      </w:pPr>
      <w:rPr>
        <w:rFonts w:ascii="Arial" w:hAnsi="Arial" w:hint="default"/>
      </w:rPr>
    </w:lvl>
    <w:lvl w:ilvl="2" w:tplc="8A729D5E" w:tentative="1">
      <w:start w:val="1"/>
      <w:numFmt w:val="bullet"/>
      <w:lvlText w:val="•"/>
      <w:lvlJc w:val="left"/>
      <w:pPr>
        <w:tabs>
          <w:tab w:val="num" w:pos="2160"/>
        </w:tabs>
        <w:ind w:left="2160" w:hanging="360"/>
      </w:pPr>
      <w:rPr>
        <w:rFonts w:ascii="Arial" w:hAnsi="Arial" w:hint="default"/>
      </w:rPr>
    </w:lvl>
    <w:lvl w:ilvl="3" w:tplc="91B07F06" w:tentative="1">
      <w:start w:val="1"/>
      <w:numFmt w:val="bullet"/>
      <w:lvlText w:val="•"/>
      <w:lvlJc w:val="left"/>
      <w:pPr>
        <w:tabs>
          <w:tab w:val="num" w:pos="2880"/>
        </w:tabs>
        <w:ind w:left="2880" w:hanging="360"/>
      </w:pPr>
      <w:rPr>
        <w:rFonts w:ascii="Arial" w:hAnsi="Arial" w:hint="default"/>
      </w:rPr>
    </w:lvl>
    <w:lvl w:ilvl="4" w:tplc="7F9E512E" w:tentative="1">
      <w:start w:val="1"/>
      <w:numFmt w:val="bullet"/>
      <w:lvlText w:val="•"/>
      <w:lvlJc w:val="left"/>
      <w:pPr>
        <w:tabs>
          <w:tab w:val="num" w:pos="3600"/>
        </w:tabs>
        <w:ind w:left="3600" w:hanging="360"/>
      </w:pPr>
      <w:rPr>
        <w:rFonts w:ascii="Arial" w:hAnsi="Arial" w:hint="default"/>
      </w:rPr>
    </w:lvl>
    <w:lvl w:ilvl="5" w:tplc="D37CB4FC" w:tentative="1">
      <w:start w:val="1"/>
      <w:numFmt w:val="bullet"/>
      <w:lvlText w:val="•"/>
      <w:lvlJc w:val="left"/>
      <w:pPr>
        <w:tabs>
          <w:tab w:val="num" w:pos="4320"/>
        </w:tabs>
        <w:ind w:left="4320" w:hanging="360"/>
      </w:pPr>
      <w:rPr>
        <w:rFonts w:ascii="Arial" w:hAnsi="Arial" w:hint="default"/>
      </w:rPr>
    </w:lvl>
    <w:lvl w:ilvl="6" w:tplc="D03AF564" w:tentative="1">
      <w:start w:val="1"/>
      <w:numFmt w:val="bullet"/>
      <w:lvlText w:val="•"/>
      <w:lvlJc w:val="left"/>
      <w:pPr>
        <w:tabs>
          <w:tab w:val="num" w:pos="5040"/>
        </w:tabs>
        <w:ind w:left="5040" w:hanging="360"/>
      </w:pPr>
      <w:rPr>
        <w:rFonts w:ascii="Arial" w:hAnsi="Arial" w:hint="default"/>
      </w:rPr>
    </w:lvl>
    <w:lvl w:ilvl="7" w:tplc="A2C0303E" w:tentative="1">
      <w:start w:val="1"/>
      <w:numFmt w:val="bullet"/>
      <w:lvlText w:val="•"/>
      <w:lvlJc w:val="left"/>
      <w:pPr>
        <w:tabs>
          <w:tab w:val="num" w:pos="5760"/>
        </w:tabs>
        <w:ind w:left="5760" w:hanging="360"/>
      </w:pPr>
      <w:rPr>
        <w:rFonts w:ascii="Arial" w:hAnsi="Arial" w:hint="default"/>
      </w:rPr>
    </w:lvl>
    <w:lvl w:ilvl="8" w:tplc="29F289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3FD1EC6"/>
    <w:multiLevelType w:val="hybridMultilevel"/>
    <w:tmpl w:val="75DAC3A0"/>
    <w:lvl w:ilvl="0" w:tplc="66BEF7C4">
      <w:start w:val="1"/>
      <w:numFmt w:val="bullet"/>
      <w:lvlText w:val="•"/>
      <w:lvlJc w:val="left"/>
      <w:pPr>
        <w:tabs>
          <w:tab w:val="num" w:pos="720"/>
        </w:tabs>
        <w:ind w:left="720" w:hanging="360"/>
      </w:pPr>
      <w:rPr>
        <w:rFonts w:ascii="Arial" w:hAnsi="Arial" w:hint="default"/>
      </w:rPr>
    </w:lvl>
    <w:lvl w:ilvl="1" w:tplc="CEE0E5F2">
      <w:start w:val="29"/>
      <w:numFmt w:val="bullet"/>
      <w:lvlText w:val="•"/>
      <w:lvlJc w:val="left"/>
      <w:pPr>
        <w:tabs>
          <w:tab w:val="num" w:pos="1440"/>
        </w:tabs>
        <w:ind w:left="1440" w:hanging="360"/>
      </w:pPr>
      <w:rPr>
        <w:rFonts w:ascii="Arial" w:hAnsi="Arial" w:hint="default"/>
      </w:rPr>
    </w:lvl>
    <w:lvl w:ilvl="2" w:tplc="0B889EE0" w:tentative="1">
      <w:start w:val="1"/>
      <w:numFmt w:val="bullet"/>
      <w:lvlText w:val="•"/>
      <w:lvlJc w:val="left"/>
      <w:pPr>
        <w:tabs>
          <w:tab w:val="num" w:pos="2160"/>
        </w:tabs>
        <w:ind w:left="2160" w:hanging="360"/>
      </w:pPr>
      <w:rPr>
        <w:rFonts w:ascii="Arial" w:hAnsi="Arial" w:hint="default"/>
      </w:rPr>
    </w:lvl>
    <w:lvl w:ilvl="3" w:tplc="822C3B38" w:tentative="1">
      <w:start w:val="1"/>
      <w:numFmt w:val="bullet"/>
      <w:lvlText w:val="•"/>
      <w:lvlJc w:val="left"/>
      <w:pPr>
        <w:tabs>
          <w:tab w:val="num" w:pos="2880"/>
        </w:tabs>
        <w:ind w:left="2880" w:hanging="360"/>
      </w:pPr>
      <w:rPr>
        <w:rFonts w:ascii="Arial" w:hAnsi="Arial" w:hint="default"/>
      </w:rPr>
    </w:lvl>
    <w:lvl w:ilvl="4" w:tplc="5BB6A7D2" w:tentative="1">
      <w:start w:val="1"/>
      <w:numFmt w:val="bullet"/>
      <w:lvlText w:val="•"/>
      <w:lvlJc w:val="left"/>
      <w:pPr>
        <w:tabs>
          <w:tab w:val="num" w:pos="3600"/>
        </w:tabs>
        <w:ind w:left="3600" w:hanging="360"/>
      </w:pPr>
      <w:rPr>
        <w:rFonts w:ascii="Arial" w:hAnsi="Arial" w:hint="default"/>
      </w:rPr>
    </w:lvl>
    <w:lvl w:ilvl="5" w:tplc="AED4702C" w:tentative="1">
      <w:start w:val="1"/>
      <w:numFmt w:val="bullet"/>
      <w:lvlText w:val="•"/>
      <w:lvlJc w:val="left"/>
      <w:pPr>
        <w:tabs>
          <w:tab w:val="num" w:pos="4320"/>
        </w:tabs>
        <w:ind w:left="4320" w:hanging="360"/>
      </w:pPr>
      <w:rPr>
        <w:rFonts w:ascii="Arial" w:hAnsi="Arial" w:hint="default"/>
      </w:rPr>
    </w:lvl>
    <w:lvl w:ilvl="6" w:tplc="E4763000" w:tentative="1">
      <w:start w:val="1"/>
      <w:numFmt w:val="bullet"/>
      <w:lvlText w:val="•"/>
      <w:lvlJc w:val="left"/>
      <w:pPr>
        <w:tabs>
          <w:tab w:val="num" w:pos="5040"/>
        </w:tabs>
        <w:ind w:left="5040" w:hanging="360"/>
      </w:pPr>
      <w:rPr>
        <w:rFonts w:ascii="Arial" w:hAnsi="Arial" w:hint="default"/>
      </w:rPr>
    </w:lvl>
    <w:lvl w:ilvl="7" w:tplc="E8A6C614" w:tentative="1">
      <w:start w:val="1"/>
      <w:numFmt w:val="bullet"/>
      <w:lvlText w:val="•"/>
      <w:lvlJc w:val="left"/>
      <w:pPr>
        <w:tabs>
          <w:tab w:val="num" w:pos="5760"/>
        </w:tabs>
        <w:ind w:left="5760" w:hanging="360"/>
      </w:pPr>
      <w:rPr>
        <w:rFonts w:ascii="Arial" w:hAnsi="Arial" w:hint="default"/>
      </w:rPr>
    </w:lvl>
    <w:lvl w:ilvl="8" w:tplc="837485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5BE0994"/>
    <w:multiLevelType w:val="hybridMultilevel"/>
    <w:tmpl w:val="3ED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B51B72"/>
    <w:multiLevelType w:val="hybridMultilevel"/>
    <w:tmpl w:val="2BCEF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50742B"/>
    <w:multiLevelType w:val="hybridMultilevel"/>
    <w:tmpl w:val="0D46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953A0"/>
    <w:multiLevelType w:val="hybridMultilevel"/>
    <w:tmpl w:val="0EAAFE06"/>
    <w:lvl w:ilvl="0" w:tplc="CF00E4BE">
      <w:start w:val="1"/>
      <w:numFmt w:val="bullet"/>
      <w:pStyle w:val="Aufzhlung"/>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65C7C5E"/>
    <w:multiLevelType w:val="hybridMultilevel"/>
    <w:tmpl w:val="B1300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667991"/>
    <w:multiLevelType w:val="hybridMultilevel"/>
    <w:tmpl w:val="C10A3F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6F5794"/>
    <w:multiLevelType w:val="hybridMultilevel"/>
    <w:tmpl w:val="FC7CB582"/>
    <w:lvl w:ilvl="0" w:tplc="1712964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1A850DF3"/>
    <w:multiLevelType w:val="hybridMultilevel"/>
    <w:tmpl w:val="1FC4F216"/>
    <w:lvl w:ilvl="0" w:tplc="0B12F3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0C55EC"/>
    <w:multiLevelType w:val="hybridMultilevel"/>
    <w:tmpl w:val="78106062"/>
    <w:lvl w:ilvl="0" w:tplc="CA7C7BE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4504746"/>
    <w:multiLevelType w:val="hybridMultilevel"/>
    <w:tmpl w:val="3BBE4F40"/>
    <w:lvl w:ilvl="0" w:tplc="A33CB91C">
      <w:start w:val="1"/>
      <w:numFmt w:val="bullet"/>
      <w:lvlText w:val="•"/>
      <w:lvlJc w:val="left"/>
      <w:pPr>
        <w:tabs>
          <w:tab w:val="num" w:pos="720"/>
        </w:tabs>
        <w:ind w:left="720" w:hanging="360"/>
      </w:pPr>
      <w:rPr>
        <w:rFonts w:ascii="Arial" w:hAnsi="Arial" w:hint="default"/>
      </w:rPr>
    </w:lvl>
    <w:lvl w:ilvl="1" w:tplc="F634DF58" w:tentative="1">
      <w:start w:val="1"/>
      <w:numFmt w:val="bullet"/>
      <w:lvlText w:val="•"/>
      <w:lvlJc w:val="left"/>
      <w:pPr>
        <w:tabs>
          <w:tab w:val="num" w:pos="1440"/>
        </w:tabs>
        <w:ind w:left="1440" w:hanging="360"/>
      </w:pPr>
      <w:rPr>
        <w:rFonts w:ascii="Arial" w:hAnsi="Arial" w:hint="default"/>
      </w:rPr>
    </w:lvl>
    <w:lvl w:ilvl="2" w:tplc="D04EF610" w:tentative="1">
      <w:start w:val="1"/>
      <w:numFmt w:val="bullet"/>
      <w:lvlText w:val="•"/>
      <w:lvlJc w:val="left"/>
      <w:pPr>
        <w:tabs>
          <w:tab w:val="num" w:pos="2160"/>
        </w:tabs>
        <w:ind w:left="2160" w:hanging="360"/>
      </w:pPr>
      <w:rPr>
        <w:rFonts w:ascii="Arial" w:hAnsi="Arial" w:hint="default"/>
      </w:rPr>
    </w:lvl>
    <w:lvl w:ilvl="3" w:tplc="7B90A66E" w:tentative="1">
      <w:start w:val="1"/>
      <w:numFmt w:val="bullet"/>
      <w:lvlText w:val="•"/>
      <w:lvlJc w:val="left"/>
      <w:pPr>
        <w:tabs>
          <w:tab w:val="num" w:pos="2880"/>
        </w:tabs>
        <w:ind w:left="2880" w:hanging="360"/>
      </w:pPr>
      <w:rPr>
        <w:rFonts w:ascii="Arial" w:hAnsi="Arial" w:hint="default"/>
      </w:rPr>
    </w:lvl>
    <w:lvl w:ilvl="4" w:tplc="5322C6B2" w:tentative="1">
      <w:start w:val="1"/>
      <w:numFmt w:val="bullet"/>
      <w:lvlText w:val="•"/>
      <w:lvlJc w:val="left"/>
      <w:pPr>
        <w:tabs>
          <w:tab w:val="num" w:pos="3600"/>
        </w:tabs>
        <w:ind w:left="3600" w:hanging="360"/>
      </w:pPr>
      <w:rPr>
        <w:rFonts w:ascii="Arial" w:hAnsi="Arial" w:hint="default"/>
      </w:rPr>
    </w:lvl>
    <w:lvl w:ilvl="5" w:tplc="3C528AA4" w:tentative="1">
      <w:start w:val="1"/>
      <w:numFmt w:val="bullet"/>
      <w:lvlText w:val="•"/>
      <w:lvlJc w:val="left"/>
      <w:pPr>
        <w:tabs>
          <w:tab w:val="num" w:pos="4320"/>
        </w:tabs>
        <w:ind w:left="4320" w:hanging="360"/>
      </w:pPr>
      <w:rPr>
        <w:rFonts w:ascii="Arial" w:hAnsi="Arial" w:hint="default"/>
      </w:rPr>
    </w:lvl>
    <w:lvl w:ilvl="6" w:tplc="4F4EF3C0" w:tentative="1">
      <w:start w:val="1"/>
      <w:numFmt w:val="bullet"/>
      <w:lvlText w:val="•"/>
      <w:lvlJc w:val="left"/>
      <w:pPr>
        <w:tabs>
          <w:tab w:val="num" w:pos="5040"/>
        </w:tabs>
        <w:ind w:left="5040" w:hanging="360"/>
      </w:pPr>
      <w:rPr>
        <w:rFonts w:ascii="Arial" w:hAnsi="Arial" w:hint="default"/>
      </w:rPr>
    </w:lvl>
    <w:lvl w:ilvl="7" w:tplc="A7A4EEA0" w:tentative="1">
      <w:start w:val="1"/>
      <w:numFmt w:val="bullet"/>
      <w:lvlText w:val="•"/>
      <w:lvlJc w:val="left"/>
      <w:pPr>
        <w:tabs>
          <w:tab w:val="num" w:pos="5760"/>
        </w:tabs>
        <w:ind w:left="5760" w:hanging="360"/>
      </w:pPr>
      <w:rPr>
        <w:rFonts w:ascii="Arial" w:hAnsi="Arial" w:hint="default"/>
      </w:rPr>
    </w:lvl>
    <w:lvl w:ilvl="8" w:tplc="00AE4A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81B4FEC"/>
    <w:multiLevelType w:val="hybridMultilevel"/>
    <w:tmpl w:val="D400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C848A5"/>
    <w:multiLevelType w:val="hybridMultilevel"/>
    <w:tmpl w:val="6C5C66DA"/>
    <w:lvl w:ilvl="0" w:tplc="E776354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083904"/>
    <w:multiLevelType w:val="hybridMultilevel"/>
    <w:tmpl w:val="0C9E5312"/>
    <w:lvl w:ilvl="0" w:tplc="1712964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2F2F6131"/>
    <w:multiLevelType w:val="hybridMultilevel"/>
    <w:tmpl w:val="0040E998"/>
    <w:lvl w:ilvl="0" w:tplc="E776354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5E48BA"/>
    <w:multiLevelType w:val="hybridMultilevel"/>
    <w:tmpl w:val="767AABB6"/>
    <w:lvl w:ilvl="0" w:tplc="167A9666">
      <w:start w:val="1"/>
      <w:numFmt w:val="bullet"/>
      <w:lvlText w:val="•"/>
      <w:lvlJc w:val="left"/>
      <w:pPr>
        <w:tabs>
          <w:tab w:val="num" w:pos="720"/>
        </w:tabs>
        <w:ind w:left="720" w:hanging="360"/>
      </w:pPr>
      <w:rPr>
        <w:rFonts w:ascii="Arial" w:hAnsi="Arial" w:hint="default"/>
      </w:rPr>
    </w:lvl>
    <w:lvl w:ilvl="1" w:tplc="36B8A122">
      <w:numFmt w:val="bullet"/>
      <w:lvlText w:val="•"/>
      <w:lvlJc w:val="left"/>
      <w:pPr>
        <w:tabs>
          <w:tab w:val="num" w:pos="1440"/>
        </w:tabs>
        <w:ind w:left="1440" w:hanging="360"/>
      </w:pPr>
      <w:rPr>
        <w:rFonts w:ascii="Arial" w:hAnsi="Arial" w:hint="default"/>
      </w:rPr>
    </w:lvl>
    <w:lvl w:ilvl="2" w:tplc="FEE0766A" w:tentative="1">
      <w:start w:val="1"/>
      <w:numFmt w:val="bullet"/>
      <w:lvlText w:val="•"/>
      <w:lvlJc w:val="left"/>
      <w:pPr>
        <w:tabs>
          <w:tab w:val="num" w:pos="2160"/>
        </w:tabs>
        <w:ind w:left="2160" w:hanging="360"/>
      </w:pPr>
      <w:rPr>
        <w:rFonts w:ascii="Arial" w:hAnsi="Arial" w:hint="default"/>
      </w:rPr>
    </w:lvl>
    <w:lvl w:ilvl="3" w:tplc="4366318C" w:tentative="1">
      <w:start w:val="1"/>
      <w:numFmt w:val="bullet"/>
      <w:lvlText w:val="•"/>
      <w:lvlJc w:val="left"/>
      <w:pPr>
        <w:tabs>
          <w:tab w:val="num" w:pos="2880"/>
        </w:tabs>
        <w:ind w:left="2880" w:hanging="360"/>
      </w:pPr>
      <w:rPr>
        <w:rFonts w:ascii="Arial" w:hAnsi="Arial" w:hint="default"/>
      </w:rPr>
    </w:lvl>
    <w:lvl w:ilvl="4" w:tplc="376C73AA" w:tentative="1">
      <w:start w:val="1"/>
      <w:numFmt w:val="bullet"/>
      <w:lvlText w:val="•"/>
      <w:lvlJc w:val="left"/>
      <w:pPr>
        <w:tabs>
          <w:tab w:val="num" w:pos="3600"/>
        </w:tabs>
        <w:ind w:left="3600" w:hanging="360"/>
      </w:pPr>
      <w:rPr>
        <w:rFonts w:ascii="Arial" w:hAnsi="Arial" w:hint="default"/>
      </w:rPr>
    </w:lvl>
    <w:lvl w:ilvl="5" w:tplc="D566664E" w:tentative="1">
      <w:start w:val="1"/>
      <w:numFmt w:val="bullet"/>
      <w:lvlText w:val="•"/>
      <w:lvlJc w:val="left"/>
      <w:pPr>
        <w:tabs>
          <w:tab w:val="num" w:pos="4320"/>
        </w:tabs>
        <w:ind w:left="4320" w:hanging="360"/>
      </w:pPr>
      <w:rPr>
        <w:rFonts w:ascii="Arial" w:hAnsi="Arial" w:hint="default"/>
      </w:rPr>
    </w:lvl>
    <w:lvl w:ilvl="6" w:tplc="33CA1572" w:tentative="1">
      <w:start w:val="1"/>
      <w:numFmt w:val="bullet"/>
      <w:lvlText w:val="•"/>
      <w:lvlJc w:val="left"/>
      <w:pPr>
        <w:tabs>
          <w:tab w:val="num" w:pos="5040"/>
        </w:tabs>
        <w:ind w:left="5040" w:hanging="360"/>
      </w:pPr>
      <w:rPr>
        <w:rFonts w:ascii="Arial" w:hAnsi="Arial" w:hint="default"/>
      </w:rPr>
    </w:lvl>
    <w:lvl w:ilvl="7" w:tplc="069E5750" w:tentative="1">
      <w:start w:val="1"/>
      <w:numFmt w:val="bullet"/>
      <w:lvlText w:val="•"/>
      <w:lvlJc w:val="left"/>
      <w:pPr>
        <w:tabs>
          <w:tab w:val="num" w:pos="5760"/>
        </w:tabs>
        <w:ind w:left="5760" w:hanging="360"/>
      </w:pPr>
      <w:rPr>
        <w:rFonts w:ascii="Arial" w:hAnsi="Arial" w:hint="default"/>
      </w:rPr>
    </w:lvl>
    <w:lvl w:ilvl="8" w:tplc="F3E686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1C4696B"/>
    <w:multiLevelType w:val="hybridMultilevel"/>
    <w:tmpl w:val="17BA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D97F08"/>
    <w:multiLevelType w:val="hybridMultilevel"/>
    <w:tmpl w:val="0812DF6C"/>
    <w:lvl w:ilvl="0" w:tplc="23DCF3B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35F25472"/>
    <w:multiLevelType w:val="hybridMultilevel"/>
    <w:tmpl w:val="DF16FE82"/>
    <w:lvl w:ilvl="0" w:tplc="1712964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3C5C5E9A"/>
    <w:multiLevelType w:val="hybridMultilevel"/>
    <w:tmpl w:val="2D3A8D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E877CA7"/>
    <w:multiLevelType w:val="hybridMultilevel"/>
    <w:tmpl w:val="DA024256"/>
    <w:lvl w:ilvl="0" w:tplc="1712964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4175693A"/>
    <w:multiLevelType w:val="hybridMultilevel"/>
    <w:tmpl w:val="DF70655E"/>
    <w:lvl w:ilvl="0" w:tplc="1712964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4558135E"/>
    <w:multiLevelType w:val="hybridMultilevel"/>
    <w:tmpl w:val="110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0640E7"/>
    <w:multiLevelType w:val="hybridMultilevel"/>
    <w:tmpl w:val="F4946794"/>
    <w:lvl w:ilvl="0" w:tplc="17129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F68164D"/>
    <w:multiLevelType w:val="hybridMultilevel"/>
    <w:tmpl w:val="4984E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9101F"/>
    <w:multiLevelType w:val="hybridMultilevel"/>
    <w:tmpl w:val="73A62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022277"/>
    <w:multiLevelType w:val="hybridMultilevel"/>
    <w:tmpl w:val="EFB6B52C"/>
    <w:lvl w:ilvl="0" w:tplc="0B12F3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C632B"/>
    <w:multiLevelType w:val="hybridMultilevel"/>
    <w:tmpl w:val="75A6E5DE"/>
    <w:lvl w:ilvl="0" w:tplc="CA7C7BE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531282"/>
    <w:multiLevelType w:val="hybridMultilevel"/>
    <w:tmpl w:val="4E42C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D33344"/>
    <w:multiLevelType w:val="hybridMultilevel"/>
    <w:tmpl w:val="D57A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A7BBC"/>
    <w:multiLevelType w:val="hybridMultilevel"/>
    <w:tmpl w:val="7186B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1707DA"/>
    <w:multiLevelType w:val="hybridMultilevel"/>
    <w:tmpl w:val="8B3A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87EA8"/>
    <w:multiLevelType w:val="hybridMultilevel"/>
    <w:tmpl w:val="6F6C074E"/>
    <w:lvl w:ilvl="0" w:tplc="B6D4747E">
      <w:start w:val="1"/>
      <w:numFmt w:val="bullet"/>
      <w:lvlText w:val="•"/>
      <w:lvlJc w:val="left"/>
      <w:pPr>
        <w:tabs>
          <w:tab w:val="num" w:pos="720"/>
        </w:tabs>
        <w:ind w:left="720" w:hanging="360"/>
      </w:pPr>
      <w:rPr>
        <w:rFonts w:ascii="Arial" w:hAnsi="Arial" w:hint="default"/>
      </w:rPr>
    </w:lvl>
    <w:lvl w:ilvl="1" w:tplc="A6A6C1F8" w:tentative="1">
      <w:start w:val="1"/>
      <w:numFmt w:val="bullet"/>
      <w:lvlText w:val="•"/>
      <w:lvlJc w:val="left"/>
      <w:pPr>
        <w:tabs>
          <w:tab w:val="num" w:pos="1440"/>
        </w:tabs>
        <w:ind w:left="1440" w:hanging="360"/>
      </w:pPr>
      <w:rPr>
        <w:rFonts w:ascii="Arial" w:hAnsi="Arial" w:hint="default"/>
      </w:rPr>
    </w:lvl>
    <w:lvl w:ilvl="2" w:tplc="D9A4EC68" w:tentative="1">
      <w:start w:val="1"/>
      <w:numFmt w:val="bullet"/>
      <w:lvlText w:val="•"/>
      <w:lvlJc w:val="left"/>
      <w:pPr>
        <w:tabs>
          <w:tab w:val="num" w:pos="2160"/>
        </w:tabs>
        <w:ind w:left="2160" w:hanging="360"/>
      </w:pPr>
      <w:rPr>
        <w:rFonts w:ascii="Arial" w:hAnsi="Arial" w:hint="default"/>
      </w:rPr>
    </w:lvl>
    <w:lvl w:ilvl="3" w:tplc="10F4B1C2" w:tentative="1">
      <w:start w:val="1"/>
      <w:numFmt w:val="bullet"/>
      <w:lvlText w:val="•"/>
      <w:lvlJc w:val="left"/>
      <w:pPr>
        <w:tabs>
          <w:tab w:val="num" w:pos="2880"/>
        </w:tabs>
        <w:ind w:left="2880" w:hanging="360"/>
      </w:pPr>
      <w:rPr>
        <w:rFonts w:ascii="Arial" w:hAnsi="Arial" w:hint="default"/>
      </w:rPr>
    </w:lvl>
    <w:lvl w:ilvl="4" w:tplc="158051CE" w:tentative="1">
      <w:start w:val="1"/>
      <w:numFmt w:val="bullet"/>
      <w:lvlText w:val="•"/>
      <w:lvlJc w:val="left"/>
      <w:pPr>
        <w:tabs>
          <w:tab w:val="num" w:pos="3600"/>
        </w:tabs>
        <w:ind w:left="3600" w:hanging="360"/>
      </w:pPr>
      <w:rPr>
        <w:rFonts w:ascii="Arial" w:hAnsi="Arial" w:hint="default"/>
      </w:rPr>
    </w:lvl>
    <w:lvl w:ilvl="5" w:tplc="C15202D2" w:tentative="1">
      <w:start w:val="1"/>
      <w:numFmt w:val="bullet"/>
      <w:lvlText w:val="•"/>
      <w:lvlJc w:val="left"/>
      <w:pPr>
        <w:tabs>
          <w:tab w:val="num" w:pos="4320"/>
        </w:tabs>
        <w:ind w:left="4320" w:hanging="360"/>
      </w:pPr>
      <w:rPr>
        <w:rFonts w:ascii="Arial" w:hAnsi="Arial" w:hint="default"/>
      </w:rPr>
    </w:lvl>
    <w:lvl w:ilvl="6" w:tplc="8A846F66" w:tentative="1">
      <w:start w:val="1"/>
      <w:numFmt w:val="bullet"/>
      <w:lvlText w:val="•"/>
      <w:lvlJc w:val="left"/>
      <w:pPr>
        <w:tabs>
          <w:tab w:val="num" w:pos="5040"/>
        </w:tabs>
        <w:ind w:left="5040" w:hanging="360"/>
      </w:pPr>
      <w:rPr>
        <w:rFonts w:ascii="Arial" w:hAnsi="Arial" w:hint="default"/>
      </w:rPr>
    </w:lvl>
    <w:lvl w:ilvl="7" w:tplc="FCC246F2" w:tentative="1">
      <w:start w:val="1"/>
      <w:numFmt w:val="bullet"/>
      <w:lvlText w:val="•"/>
      <w:lvlJc w:val="left"/>
      <w:pPr>
        <w:tabs>
          <w:tab w:val="num" w:pos="5760"/>
        </w:tabs>
        <w:ind w:left="5760" w:hanging="360"/>
      </w:pPr>
      <w:rPr>
        <w:rFonts w:ascii="Arial" w:hAnsi="Arial" w:hint="default"/>
      </w:rPr>
    </w:lvl>
    <w:lvl w:ilvl="8" w:tplc="1CC4F77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4E3056"/>
    <w:multiLevelType w:val="hybridMultilevel"/>
    <w:tmpl w:val="FE3C09E8"/>
    <w:lvl w:ilvl="0" w:tplc="17129648">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7F511720"/>
    <w:multiLevelType w:val="hybridMultilevel"/>
    <w:tmpl w:val="7CBA690E"/>
    <w:lvl w:ilvl="0" w:tplc="CA7C7BE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0"/>
  </w:num>
  <w:num w:numId="13">
    <w:abstractNumId w:val="21"/>
  </w:num>
  <w:num w:numId="14">
    <w:abstractNumId w:val="10"/>
  </w:num>
  <w:num w:numId="15">
    <w:abstractNumId w:val="43"/>
  </w:num>
  <w:num w:numId="16">
    <w:abstractNumId w:val="11"/>
  </w:num>
  <w:num w:numId="17">
    <w:abstractNumId w:val="15"/>
  </w:num>
  <w:num w:numId="18">
    <w:abstractNumId w:val="15"/>
  </w:num>
  <w:num w:numId="19">
    <w:abstractNumId w:val="38"/>
  </w:num>
  <w:num w:numId="20">
    <w:abstractNumId w:val="39"/>
  </w:num>
  <w:num w:numId="21">
    <w:abstractNumId w:val="42"/>
  </w:num>
  <w:num w:numId="22">
    <w:abstractNumId w:val="16"/>
  </w:num>
  <w:num w:numId="23">
    <w:abstractNumId w:val="40"/>
  </w:num>
  <w:num w:numId="24">
    <w:abstractNumId w:val="22"/>
  </w:num>
  <w:num w:numId="25">
    <w:abstractNumId w:val="33"/>
  </w:num>
  <w:num w:numId="26">
    <w:abstractNumId w:val="36"/>
  </w:num>
  <w:num w:numId="27">
    <w:abstractNumId w:val="27"/>
  </w:num>
  <w:num w:numId="28">
    <w:abstractNumId w:val="17"/>
  </w:num>
  <w:num w:numId="29">
    <w:abstractNumId w:val="30"/>
  </w:num>
  <w:num w:numId="30">
    <w:abstractNumId w:val="41"/>
  </w:num>
  <w:num w:numId="31">
    <w:abstractNumId w:val="14"/>
  </w:num>
  <w:num w:numId="32">
    <w:abstractNumId w:val="34"/>
  </w:num>
  <w:num w:numId="33">
    <w:abstractNumId w:val="26"/>
  </w:num>
  <w:num w:numId="34">
    <w:abstractNumId w:val="19"/>
  </w:num>
  <w:num w:numId="35">
    <w:abstractNumId w:val="25"/>
  </w:num>
  <w:num w:numId="36">
    <w:abstractNumId w:val="23"/>
  </w:num>
  <w:num w:numId="37">
    <w:abstractNumId w:val="35"/>
  </w:num>
  <w:num w:numId="38">
    <w:abstractNumId w:val="37"/>
  </w:num>
  <w:num w:numId="39">
    <w:abstractNumId w:val="32"/>
  </w:num>
  <w:num w:numId="40">
    <w:abstractNumId w:val="28"/>
  </w:num>
  <w:num w:numId="41">
    <w:abstractNumId w:val="24"/>
  </w:num>
  <w:num w:numId="42">
    <w:abstractNumId w:val="29"/>
  </w:num>
  <w:num w:numId="43">
    <w:abstractNumId w:val="31"/>
  </w:num>
  <w:num w:numId="44">
    <w:abstractNumId w:val="18"/>
  </w:num>
  <w:num w:numId="45">
    <w:abstractNumId w:val="44"/>
  </w:num>
  <w:num w:numId="46">
    <w:abstractNumId w:val="1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CE"/>
    <w:rsid w:val="0000007A"/>
    <w:rsid w:val="00003512"/>
    <w:rsid w:val="000118CB"/>
    <w:rsid w:val="00017365"/>
    <w:rsid w:val="00020842"/>
    <w:rsid w:val="0002476F"/>
    <w:rsid w:val="000264E7"/>
    <w:rsid w:val="00030598"/>
    <w:rsid w:val="00032E5E"/>
    <w:rsid w:val="00033DFF"/>
    <w:rsid w:val="00034C17"/>
    <w:rsid w:val="0004611A"/>
    <w:rsid w:val="00050948"/>
    <w:rsid w:val="00051AF7"/>
    <w:rsid w:val="00052471"/>
    <w:rsid w:val="000539F9"/>
    <w:rsid w:val="00063F93"/>
    <w:rsid w:val="000659DD"/>
    <w:rsid w:val="000743E4"/>
    <w:rsid w:val="0007751B"/>
    <w:rsid w:val="00081774"/>
    <w:rsid w:val="00081F11"/>
    <w:rsid w:val="000929B0"/>
    <w:rsid w:val="00096C7B"/>
    <w:rsid w:val="0009706D"/>
    <w:rsid w:val="000A0DF9"/>
    <w:rsid w:val="000A43A5"/>
    <w:rsid w:val="000B1AE0"/>
    <w:rsid w:val="000B244B"/>
    <w:rsid w:val="000B5885"/>
    <w:rsid w:val="000C0D57"/>
    <w:rsid w:val="000D0468"/>
    <w:rsid w:val="000D0899"/>
    <w:rsid w:val="000D183E"/>
    <w:rsid w:val="000D3AB6"/>
    <w:rsid w:val="000D6823"/>
    <w:rsid w:val="000D7C1A"/>
    <w:rsid w:val="000E02E8"/>
    <w:rsid w:val="000E188D"/>
    <w:rsid w:val="000E363B"/>
    <w:rsid w:val="000E6CC0"/>
    <w:rsid w:val="000F3805"/>
    <w:rsid w:val="000F590D"/>
    <w:rsid w:val="001008C9"/>
    <w:rsid w:val="001013BC"/>
    <w:rsid w:val="00102DD5"/>
    <w:rsid w:val="001053DA"/>
    <w:rsid w:val="00106F96"/>
    <w:rsid w:val="00110ADA"/>
    <w:rsid w:val="00115F62"/>
    <w:rsid w:val="00116727"/>
    <w:rsid w:val="00120447"/>
    <w:rsid w:val="00126814"/>
    <w:rsid w:val="00132FED"/>
    <w:rsid w:val="00133AD4"/>
    <w:rsid w:val="00134963"/>
    <w:rsid w:val="00136F30"/>
    <w:rsid w:val="00150BCB"/>
    <w:rsid w:val="00151E99"/>
    <w:rsid w:val="00152C61"/>
    <w:rsid w:val="00153586"/>
    <w:rsid w:val="00154BB4"/>
    <w:rsid w:val="00157B4C"/>
    <w:rsid w:val="0016204A"/>
    <w:rsid w:val="001732EE"/>
    <w:rsid w:val="001816AE"/>
    <w:rsid w:val="00181BEE"/>
    <w:rsid w:val="00182FCC"/>
    <w:rsid w:val="0018426A"/>
    <w:rsid w:val="001842F8"/>
    <w:rsid w:val="001842FC"/>
    <w:rsid w:val="001847D8"/>
    <w:rsid w:val="00187E0F"/>
    <w:rsid w:val="0019279B"/>
    <w:rsid w:val="00192B39"/>
    <w:rsid w:val="00193EBD"/>
    <w:rsid w:val="001A02BB"/>
    <w:rsid w:val="001A6EB9"/>
    <w:rsid w:val="001A71A0"/>
    <w:rsid w:val="001B35E8"/>
    <w:rsid w:val="001B364F"/>
    <w:rsid w:val="001B560F"/>
    <w:rsid w:val="001C327C"/>
    <w:rsid w:val="001C557C"/>
    <w:rsid w:val="001C65D2"/>
    <w:rsid w:val="001D52D6"/>
    <w:rsid w:val="001D78A0"/>
    <w:rsid w:val="001D79E5"/>
    <w:rsid w:val="001D7B3B"/>
    <w:rsid w:val="001E31F8"/>
    <w:rsid w:val="001E4895"/>
    <w:rsid w:val="001E4E43"/>
    <w:rsid w:val="001F1951"/>
    <w:rsid w:val="001F51D1"/>
    <w:rsid w:val="001F764B"/>
    <w:rsid w:val="00202C87"/>
    <w:rsid w:val="00211A44"/>
    <w:rsid w:val="0021427A"/>
    <w:rsid w:val="00216F3B"/>
    <w:rsid w:val="0022496A"/>
    <w:rsid w:val="00224CB9"/>
    <w:rsid w:val="00227549"/>
    <w:rsid w:val="00227912"/>
    <w:rsid w:val="00230678"/>
    <w:rsid w:val="00231A96"/>
    <w:rsid w:val="0023447E"/>
    <w:rsid w:val="00234E79"/>
    <w:rsid w:val="0023547F"/>
    <w:rsid w:val="00237C47"/>
    <w:rsid w:val="00240D6E"/>
    <w:rsid w:val="002432D4"/>
    <w:rsid w:val="00245323"/>
    <w:rsid w:val="0024757A"/>
    <w:rsid w:val="002522AC"/>
    <w:rsid w:val="0025616C"/>
    <w:rsid w:val="00266525"/>
    <w:rsid w:val="002729E9"/>
    <w:rsid w:val="0027360B"/>
    <w:rsid w:val="00275862"/>
    <w:rsid w:val="00277D90"/>
    <w:rsid w:val="00281F7B"/>
    <w:rsid w:val="0028247F"/>
    <w:rsid w:val="00282D09"/>
    <w:rsid w:val="0029017B"/>
    <w:rsid w:val="00290CF8"/>
    <w:rsid w:val="002916C1"/>
    <w:rsid w:val="0029177A"/>
    <w:rsid w:val="00295348"/>
    <w:rsid w:val="002A03DE"/>
    <w:rsid w:val="002A1728"/>
    <w:rsid w:val="002A5415"/>
    <w:rsid w:val="002B2044"/>
    <w:rsid w:val="002B33EB"/>
    <w:rsid w:val="002B3794"/>
    <w:rsid w:val="002B51D8"/>
    <w:rsid w:val="002C3C3F"/>
    <w:rsid w:val="002C44C2"/>
    <w:rsid w:val="002C5FEE"/>
    <w:rsid w:val="002E43A7"/>
    <w:rsid w:val="002E565C"/>
    <w:rsid w:val="002E68AC"/>
    <w:rsid w:val="002E75E2"/>
    <w:rsid w:val="002F1E11"/>
    <w:rsid w:val="002F3A94"/>
    <w:rsid w:val="00300D8C"/>
    <w:rsid w:val="0030583B"/>
    <w:rsid w:val="00305C0A"/>
    <w:rsid w:val="00311F70"/>
    <w:rsid w:val="00317BB7"/>
    <w:rsid w:val="00323F1B"/>
    <w:rsid w:val="00327240"/>
    <w:rsid w:val="00336087"/>
    <w:rsid w:val="00336B02"/>
    <w:rsid w:val="003429D4"/>
    <w:rsid w:val="0034503F"/>
    <w:rsid w:val="0034566C"/>
    <w:rsid w:val="003476DA"/>
    <w:rsid w:val="00351F41"/>
    <w:rsid w:val="0035299A"/>
    <w:rsid w:val="0035660A"/>
    <w:rsid w:val="00375531"/>
    <w:rsid w:val="003766A7"/>
    <w:rsid w:val="00377B96"/>
    <w:rsid w:val="003860EE"/>
    <w:rsid w:val="00386433"/>
    <w:rsid w:val="003921D5"/>
    <w:rsid w:val="0039473D"/>
    <w:rsid w:val="00395A77"/>
    <w:rsid w:val="00397FF4"/>
    <w:rsid w:val="003A0CE7"/>
    <w:rsid w:val="003A124F"/>
    <w:rsid w:val="003A1F90"/>
    <w:rsid w:val="003A2048"/>
    <w:rsid w:val="003A204C"/>
    <w:rsid w:val="003A2DAE"/>
    <w:rsid w:val="003A5FA8"/>
    <w:rsid w:val="003A7662"/>
    <w:rsid w:val="003A77E5"/>
    <w:rsid w:val="003A7C70"/>
    <w:rsid w:val="003B0A3E"/>
    <w:rsid w:val="003B59D9"/>
    <w:rsid w:val="003B649A"/>
    <w:rsid w:val="003B65A8"/>
    <w:rsid w:val="003B6939"/>
    <w:rsid w:val="003B7C4B"/>
    <w:rsid w:val="003C1F6F"/>
    <w:rsid w:val="003C2309"/>
    <w:rsid w:val="003D0A83"/>
    <w:rsid w:val="003E45DC"/>
    <w:rsid w:val="003E633B"/>
    <w:rsid w:val="003E6F39"/>
    <w:rsid w:val="003F0183"/>
    <w:rsid w:val="003F07AA"/>
    <w:rsid w:val="003F0B90"/>
    <w:rsid w:val="003F3932"/>
    <w:rsid w:val="004012CC"/>
    <w:rsid w:val="0040319E"/>
    <w:rsid w:val="0040329E"/>
    <w:rsid w:val="0041050D"/>
    <w:rsid w:val="00411188"/>
    <w:rsid w:val="004170D0"/>
    <w:rsid w:val="0041787C"/>
    <w:rsid w:val="00420AA2"/>
    <w:rsid w:val="00420F69"/>
    <w:rsid w:val="00421937"/>
    <w:rsid w:val="00421EB2"/>
    <w:rsid w:val="00424BC6"/>
    <w:rsid w:val="00425904"/>
    <w:rsid w:val="004314AE"/>
    <w:rsid w:val="0043359D"/>
    <w:rsid w:val="00436E5E"/>
    <w:rsid w:val="00445BA6"/>
    <w:rsid w:val="00450876"/>
    <w:rsid w:val="00452EED"/>
    <w:rsid w:val="00457091"/>
    <w:rsid w:val="0046223E"/>
    <w:rsid w:val="00465B66"/>
    <w:rsid w:val="00465EDD"/>
    <w:rsid w:val="004705AA"/>
    <w:rsid w:val="00470D57"/>
    <w:rsid w:val="0047256A"/>
    <w:rsid w:val="00474550"/>
    <w:rsid w:val="00475B4B"/>
    <w:rsid w:val="004826AE"/>
    <w:rsid w:val="0048348B"/>
    <w:rsid w:val="0048525B"/>
    <w:rsid w:val="004924FC"/>
    <w:rsid w:val="0049550A"/>
    <w:rsid w:val="004968FC"/>
    <w:rsid w:val="004A211A"/>
    <w:rsid w:val="004A36AA"/>
    <w:rsid w:val="004A72D3"/>
    <w:rsid w:val="004A788C"/>
    <w:rsid w:val="004B2BE5"/>
    <w:rsid w:val="004B45C4"/>
    <w:rsid w:val="004B54F0"/>
    <w:rsid w:val="004B559C"/>
    <w:rsid w:val="004B63B4"/>
    <w:rsid w:val="004B7C19"/>
    <w:rsid w:val="004B7FA4"/>
    <w:rsid w:val="004D3313"/>
    <w:rsid w:val="004D6B19"/>
    <w:rsid w:val="004E29ED"/>
    <w:rsid w:val="004E78B5"/>
    <w:rsid w:val="004F3EFF"/>
    <w:rsid w:val="004F50B6"/>
    <w:rsid w:val="004F53E1"/>
    <w:rsid w:val="005008FC"/>
    <w:rsid w:val="00500D71"/>
    <w:rsid w:val="00501893"/>
    <w:rsid w:val="00501FA1"/>
    <w:rsid w:val="00505FDB"/>
    <w:rsid w:val="00506614"/>
    <w:rsid w:val="00515B42"/>
    <w:rsid w:val="005218B2"/>
    <w:rsid w:val="00527289"/>
    <w:rsid w:val="005307CB"/>
    <w:rsid w:val="00532C21"/>
    <w:rsid w:val="005335ED"/>
    <w:rsid w:val="005338D3"/>
    <w:rsid w:val="0053558A"/>
    <w:rsid w:val="005369D0"/>
    <w:rsid w:val="00542833"/>
    <w:rsid w:val="00550CC9"/>
    <w:rsid w:val="00550F68"/>
    <w:rsid w:val="00551120"/>
    <w:rsid w:val="00554540"/>
    <w:rsid w:val="00555D83"/>
    <w:rsid w:val="00556731"/>
    <w:rsid w:val="00557F5D"/>
    <w:rsid w:val="00562801"/>
    <w:rsid w:val="00563021"/>
    <w:rsid w:val="00563591"/>
    <w:rsid w:val="005715BE"/>
    <w:rsid w:val="005733C5"/>
    <w:rsid w:val="00577777"/>
    <w:rsid w:val="00577EFC"/>
    <w:rsid w:val="00581FFD"/>
    <w:rsid w:val="005901D8"/>
    <w:rsid w:val="00593306"/>
    <w:rsid w:val="00594DB8"/>
    <w:rsid w:val="00596DDB"/>
    <w:rsid w:val="005A082D"/>
    <w:rsid w:val="005A0CCA"/>
    <w:rsid w:val="005A1053"/>
    <w:rsid w:val="005A79BB"/>
    <w:rsid w:val="005A7F46"/>
    <w:rsid w:val="005B25A9"/>
    <w:rsid w:val="005B2DA7"/>
    <w:rsid w:val="005B4E8D"/>
    <w:rsid w:val="005C0571"/>
    <w:rsid w:val="005C6C3E"/>
    <w:rsid w:val="005D12A3"/>
    <w:rsid w:val="005D24F9"/>
    <w:rsid w:val="005D33AF"/>
    <w:rsid w:val="005D68A4"/>
    <w:rsid w:val="005D7634"/>
    <w:rsid w:val="005E169C"/>
    <w:rsid w:val="005E3C77"/>
    <w:rsid w:val="005F16BC"/>
    <w:rsid w:val="005F2D75"/>
    <w:rsid w:val="005F5875"/>
    <w:rsid w:val="005F5C49"/>
    <w:rsid w:val="006052ED"/>
    <w:rsid w:val="0060764D"/>
    <w:rsid w:val="00607979"/>
    <w:rsid w:val="0061695B"/>
    <w:rsid w:val="00622168"/>
    <w:rsid w:val="006221F0"/>
    <w:rsid w:val="006255B2"/>
    <w:rsid w:val="00625A53"/>
    <w:rsid w:val="00632D91"/>
    <w:rsid w:val="006444D0"/>
    <w:rsid w:val="00651020"/>
    <w:rsid w:val="0065254D"/>
    <w:rsid w:val="006534CB"/>
    <w:rsid w:val="00660E3E"/>
    <w:rsid w:val="00672A18"/>
    <w:rsid w:val="00673906"/>
    <w:rsid w:val="00673C65"/>
    <w:rsid w:val="00674597"/>
    <w:rsid w:val="00676A28"/>
    <w:rsid w:val="0068122A"/>
    <w:rsid w:val="006830B2"/>
    <w:rsid w:val="00683435"/>
    <w:rsid w:val="00684CF1"/>
    <w:rsid w:val="00684D4B"/>
    <w:rsid w:val="00685ADF"/>
    <w:rsid w:val="006942CF"/>
    <w:rsid w:val="006A0558"/>
    <w:rsid w:val="006A4860"/>
    <w:rsid w:val="006B1D89"/>
    <w:rsid w:val="006B2135"/>
    <w:rsid w:val="006B3B43"/>
    <w:rsid w:val="006B4F09"/>
    <w:rsid w:val="006B6AE7"/>
    <w:rsid w:val="006D0AEF"/>
    <w:rsid w:val="006D1C33"/>
    <w:rsid w:val="006D3842"/>
    <w:rsid w:val="006E0DEA"/>
    <w:rsid w:val="006E7472"/>
    <w:rsid w:val="006F36CF"/>
    <w:rsid w:val="006F41EC"/>
    <w:rsid w:val="006F4827"/>
    <w:rsid w:val="006F58C2"/>
    <w:rsid w:val="007005A6"/>
    <w:rsid w:val="00711E37"/>
    <w:rsid w:val="007122A1"/>
    <w:rsid w:val="0071473A"/>
    <w:rsid w:val="007163AE"/>
    <w:rsid w:val="0072210B"/>
    <w:rsid w:val="007240FB"/>
    <w:rsid w:val="00731C80"/>
    <w:rsid w:val="00733596"/>
    <w:rsid w:val="007349D5"/>
    <w:rsid w:val="00736157"/>
    <w:rsid w:val="00737A8B"/>
    <w:rsid w:val="007406BC"/>
    <w:rsid w:val="00744669"/>
    <w:rsid w:val="007457B2"/>
    <w:rsid w:val="00746095"/>
    <w:rsid w:val="00746CEA"/>
    <w:rsid w:val="00751483"/>
    <w:rsid w:val="00757070"/>
    <w:rsid w:val="00757113"/>
    <w:rsid w:val="00757BBB"/>
    <w:rsid w:val="00764DE0"/>
    <w:rsid w:val="00765417"/>
    <w:rsid w:val="00775E7E"/>
    <w:rsid w:val="007842D1"/>
    <w:rsid w:val="00785083"/>
    <w:rsid w:val="00785B31"/>
    <w:rsid w:val="00787BD7"/>
    <w:rsid w:val="00787CE0"/>
    <w:rsid w:val="00792C96"/>
    <w:rsid w:val="007973D1"/>
    <w:rsid w:val="007A1C37"/>
    <w:rsid w:val="007A596C"/>
    <w:rsid w:val="007A5D56"/>
    <w:rsid w:val="007B4D11"/>
    <w:rsid w:val="007B61F2"/>
    <w:rsid w:val="007C2963"/>
    <w:rsid w:val="007C651D"/>
    <w:rsid w:val="007C6F26"/>
    <w:rsid w:val="007D5B56"/>
    <w:rsid w:val="007D5CC2"/>
    <w:rsid w:val="007D78E4"/>
    <w:rsid w:val="007E0C6D"/>
    <w:rsid w:val="007E1F46"/>
    <w:rsid w:val="007E2111"/>
    <w:rsid w:val="007E511B"/>
    <w:rsid w:val="007E7F07"/>
    <w:rsid w:val="007F7222"/>
    <w:rsid w:val="007F7474"/>
    <w:rsid w:val="008072AC"/>
    <w:rsid w:val="00813094"/>
    <w:rsid w:val="00813D9C"/>
    <w:rsid w:val="0081406B"/>
    <w:rsid w:val="008159C5"/>
    <w:rsid w:val="0082114A"/>
    <w:rsid w:val="00821640"/>
    <w:rsid w:val="008233D2"/>
    <w:rsid w:val="00826485"/>
    <w:rsid w:val="0082660E"/>
    <w:rsid w:val="008276C7"/>
    <w:rsid w:val="00833722"/>
    <w:rsid w:val="008340DA"/>
    <w:rsid w:val="008370C5"/>
    <w:rsid w:val="00844CFA"/>
    <w:rsid w:val="00854DCE"/>
    <w:rsid w:val="00857E21"/>
    <w:rsid w:val="00860B72"/>
    <w:rsid w:val="008626EA"/>
    <w:rsid w:val="008633F6"/>
    <w:rsid w:val="008670E6"/>
    <w:rsid w:val="008707D2"/>
    <w:rsid w:val="00873AA7"/>
    <w:rsid w:val="00874A2A"/>
    <w:rsid w:val="0088485C"/>
    <w:rsid w:val="0089411E"/>
    <w:rsid w:val="00894F77"/>
    <w:rsid w:val="008A1E3A"/>
    <w:rsid w:val="008A2683"/>
    <w:rsid w:val="008A2709"/>
    <w:rsid w:val="008A6057"/>
    <w:rsid w:val="008B2A1A"/>
    <w:rsid w:val="008B6875"/>
    <w:rsid w:val="008B70CC"/>
    <w:rsid w:val="008C5990"/>
    <w:rsid w:val="008D0E10"/>
    <w:rsid w:val="008E20AB"/>
    <w:rsid w:val="008E27A7"/>
    <w:rsid w:val="008E5FA0"/>
    <w:rsid w:val="008E7F5E"/>
    <w:rsid w:val="008F04F8"/>
    <w:rsid w:val="008F1A0A"/>
    <w:rsid w:val="00901287"/>
    <w:rsid w:val="00901791"/>
    <w:rsid w:val="009026D2"/>
    <w:rsid w:val="009048E2"/>
    <w:rsid w:val="0091467B"/>
    <w:rsid w:val="00917432"/>
    <w:rsid w:val="009215FE"/>
    <w:rsid w:val="00923D59"/>
    <w:rsid w:val="00927954"/>
    <w:rsid w:val="00936097"/>
    <w:rsid w:val="009366DD"/>
    <w:rsid w:val="00936B86"/>
    <w:rsid w:val="009407FA"/>
    <w:rsid w:val="00946AB6"/>
    <w:rsid w:val="00950E2D"/>
    <w:rsid w:val="0095189E"/>
    <w:rsid w:val="00951FD8"/>
    <w:rsid w:val="0095629C"/>
    <w:rsid w:val="00957EC4"/>
    <w:rsid w:val="00963EC3"/>
    <w:rsid w:val="00963FD7"/>
    <w:rsid w:val="0096752B"/>
    <w:rsid w:val="009745D8"/>
    <w:rsid w:val="00977557"/>
    <w:rsid w:val="009857D3"/>
    <w:rsid w:val="00992369"/>
    <w:rsid w:val="00995188"/>
    <w:rsid w:val="00995B4B"/>
    <w:rsid w:val="009972FC"/>
    <w:rsid w:val="009B31E7"/>
    <w:rsid w:val="009B3D88"/>
    <w:rsid w:val="009B3EC9"/>
    <w:rsid w:val="009B4E38"/>
    <w:rsid w:val="009C259F"/>
    <w:rsid w:val="009C39C5"/>
    <w:rsid w:val="009C3F15"/>
    <w:rsid w:val="009D0646"/>
    <w:rsid w:val="009D2152"/>
    <w:rsid w:val="009D26DC"/>
    <w:rsid w:val="009E0935"/>
    <w:rsid w:val="009E2FD2"/>
    <w:rsid w:val="009E6BBB"/>
    <w:rsid w:val="009F25B6"/>
    <w:rsid w:val="009F3556"/>
    <w:rsid w:val="009F3B50"/>
    <w:rsid w:val="009F5188"/>
    <w:rsid w:val="009F75FF"/>
    <w:rsid w:val="009F7C84"/>
    <w:rsid w:val="009F7DDC"/>
    <w:rsid w:val="00A047D0"/>
    <w:rsid w:val="00A0498A"/>
    <w:rsid w:val="00A10900"/>
    <w:rsid w:val="00A212CD"/>
    <w:rsid w:val="00A21A52"/>
    <w:rsid w:val="00A23B6C"/>
    <w:rsid w:val="00A2598D"/>
    <w:rsid w:val="00A26F23"/>
    <w:rsid w:val="00A30770"/>
    <w:rsid w:val="00A33C3D"/>
    <w:rsid w:val="00A3499A"/>
    <w:rsid w:val="00A364BF"/>
    <w:rsid w:val="00A4054B"/>
    <w:rsid w:val="00A4119A"/>
    <w:rsid w:val="00A419D2"/>
    <w:rsid w:val="00A45836"/>
    <w:rsid w:val="00A50D19"/>
    <w:rsid w:val="00A52C11"/>
    <w:rsid w:val="00A536D0"/>
    <w:rsid w:val="00A576C7"/>
    <w:rsid w:val="00A65B7F"/>
    <w:rsid w:val="00A6676F"/>
    <w:rsid w:val="00A670B3"/>
    <w:rsid w:val="00A707A1"/>
    <w:rsid w:val="00A805BE"/>
    <w:rsid w:val="00A91210"/>
    <w:rsid w:val="00A92D16"/>
    <w:rsid w:val="00AA131A"/>
    <w:rsid w:val="00AA30FA"/>
    <w:rsid w:val="00AA3150"/>
    <w:rsid w:val="00AA5656"/>
    <w:rsid w:val="00AB1BDD"/>
    <w:rsid w:val="00AB7395"/>
    <w:rsid w:val="00AC2611"/>
    <w:rsid w:val="00AC4732"/>
    <w:rsid w:val="00AD6368"/>
    <w:rsid w:val="00AD7FAD"/>
    <w:rsid w:val="00AE607F"/>
    <w:rsid w:val="00AE72EA"/>
    <w:rsid w:val="00AE764D"/>
    <w:rsid w:val="00AF0521"/>
    <w:rsid w:val="00AF3893"/>
    <w:rsid w:val="00AF671F"/>
    <w:rsid w:val="00B0034D"/>
    <w:rsid w:val="00B00EAE"/>
    <w:rsid w:val="00B05197"/>
    <w:rsid w:val="00B05ACB"/>
    <w:rsid w:val="00B06E25"/>
    <w:rsid w:val="00B13347"/>
    <w:rsid w:val="00B15A74"/>
    <w:rsid w:val="00B2258E"/>
    <w:rsid w:val="00B2279C"/>
    <w:rsid w:val="00B24B19"/>
    <w:rsid w:val="00B25B05"/>
    <w:rsid w:val="00B33556"/>
    <w:rsid w:val="00B34338"/>
    <w:rsid w:val="00B3574F"/>
    <w:rsid w:val="00B37CDE"/>
    <w:rsid w:val="00B40A42"/>
    <w:rsid w:val="00B4175F"/>
    <w:rsid w:val="00B429E1"/>
    <w:rsid w:val="00B438C8"/>
    <w:rsid w:val="00B43CDA"/>
    <w:rsid w:val="00B46EF2"/>
    <w:rsid w:val="00B50CB6"/>
    <w:rsid w:val="00B52C43"/>
    <w:rsid w:val="00B569AD"/>
    <w:rsid w:val="00B5757F"/>
    <w:rsid w:val="00B628F1"/>
    <w:rsid w:val="00B64C01"/>
    <w:rsid w:val="00B72621"/>
    <w:rsid w:val="00B73DFB"/>
    <w:rsid w:val="00B777F9"/>
    <w:rsid w:val="00B83BCC"/>
    <w:rsid w:val="00B86623"/>
    <w:rsid w:val="00B91342"/>
    <w:rsid w:val="00B9390C"/>
    <w:rsid w:val="00B95583"/>
    <w:rsid w:val="00B96F03"/>
    <w:rsid w:val="00B97D6F"/>
    <w:rsid w:val="00BA0FDE"/>
    <w:rsid w:val="00BB1306"/>
    <w:rsid w:val="00BB2AF6"/>
    <w:rsid w:val="00BB2FD3"/>
    <w:rsid w:val="00BB4B93"/>
    <w:rsid w:val="00BC28F7"/>
    <w:rsid w:val="00BC2CB1"/>
    <w:rsid w:val="00BC3AD4"/>
    <w:rsid w:val="00BC455A"/>
    <w:rsid w:val="00BC5588"/>
    <w:rsid w:val="00BC5DDF"/>
    <w:rsid w:val="00BC7AA2"/>
    <w:rsid w:val="00BD53C5"/>
    <w:rsid w:val="00BD6122"/>
    <w:rsid w:val="00BE1A29"/>
    <w:rsid w:val="00BE56AE"/>
    <w:rsid w:val="00BF0E87"/>
    <w:rsid w:val="00BF5128"/>
    <w:rsid w:val="00BF5286"/>
    <w:rsid w:val="00BF55F4"/>
    <w:rsid w:val="00BF5E6F"/>
    <w:rsid w:val="00BF6892"/>
    <w:rsid w:val="00BF6AF7"/>
    <w:rsid w:val="00C0039F"/>
    <w:rsid w:val="00C00410"/>
    <w:rsid w:val="00C0485E"/>
    <w:rsid w:val="00C1191A"/>
    <w:rsid w:val="00C11DFE"/>
    <w:rsid w:val="00C12B3A"/>
    <w:rsid w:val="00C14E77"/>
    <w:rsid w:val="00C15374"/>
    <w:rsid w:val="00C171F1"/>
    <w:rsid w:val="00C21227"/>
    <w:rsid w:val="00C23022"/>
    <w:rsid w:val="00C2647E"/>
    <w:rsid w:val="00C32603"/>
    <w:rsid w:val="00C33216"/>
    <w:rsid w:val="00C3358C"/>
    <w:rsid w:val="00C423A6"/>
    <w:rsid w:val="00C451CF"/>
    <w:rsid w:val="00C47B6E"/>
    <w:rsid w:val="00C5023A"/>
    <w:rsid w:val="00C526FA"/>
    <w:rsid w:val="00C54B7C"/>
    <w:rsid w:val="00C5791C"/>
    <w:rsid w:val="00C603D5"/>
    <w:rsid w:val="00C70985"/>
    <w:rsid w:val="00C75EB3"/>
    <w:rsid w:val="00C80699"/>
    <w:rsid w:val="00C84EBB"/>
    <w:rsid w:val="00C922A5"/>
    <w:rsid w:val="00C94FDA"/>
    <w:rsid w:val="00C95642"/>
    <w:rsid w:val="00CA2394"/>
    <w:rsid w:val="00CA5849"/>
    <w:rsid w:val="00CA5F5F"/>
    <w:rsid w:val="00CA65BD"/>
    <w:rsid w:val="00CA6652"/>
    <w:rsid w:val="00CA6FFF"/>
    <w:rsid w:val="00CB16FC"/>
    <w:rsid w:val="00CB5913"/>
    <w:rsid w:val="00CB6684"/>
    <w:rsid w:val="00CC0E30"/>
    <w:rsid w:val="00CC1655"/>
    <w:rsid w:val="00CC3FD6"/>
    <w:rsid w:val="00CC4407"/>
    <w:rsid w:val="00CC62E4"/>
    <w:rsid w:val="00CC71F0"/>
    <w:rsid w:val="00CD5576"/>
    <w:rsid w:val="00CD5918"/>
    <w:rsid w:val="00CD5EFA"/>
    <w:rsid w:val="00CE0B39"/>
    <w:rsid w:val="00CE224B"/>
    <w:rsid w:val="00CE2E2A"/>
    <w:rsid w:val="00CE68CF"/>
    <w:rsid w:val="00CF0699"/>
    <w:rsid w:val="00CF2E01"/>
    <w:rsid w:val="00CF2FA6"/>
    <w:rsid w:val="00CF7CB6"/>
    <w:rsid w:val="00D077D1"/>
    <w:rsid w:val="00D16748"/>
    <w:rsid w:val="00D23378"/>
    <w:rsid w:val="00D23E5D"/>
    <w:rsid w:val="00D32231"/>
    <w:rsid w:val="00D36BAE"/>
    <w:rsid w:val="00D37917"/>
    <w:rsid w:val="00D4750C"/>
    <w:rsid w:val="00D54B57"/>
    <w:rsid w:val="00D54ED7"/>
    <w:rsid w:val="00D553C2"/>
    <w:rsid w:val="00D70070"/>
    <w:rsid w:val="00D721E8"/>
    <w:rsid w:val="00D7367F"/>
    <w:rsid w:val="00D737CE"/>
    <w:rsid w:val="00D73DCD"/>
    <w:rsid w:val="00D8003A"/>
    <w:rsid w:val="00D817C4"/>
    <w:rsid w:val="00D83392"/>
    <w:rsid w:val="00D87DA1"/>
    <w:rsid w:val="00D903BB"/>
    <w:rsid w:val="00D919CE"/>
    <w:rsid w:val="00D94277"/>
    <w:rsid w:val="00D95C1E"/>
    <w:rsid w:val="00D95DF9"/>
    <w:rsid w:val="00D968F4"/>
    <w:rsid w:val="00D96929"/>
    <w:rsid w:val="00DA2AD6"/>
    <w:rsid w:val="00DA79B0"/>
    <w:rsid w:val="00DB42A2"/>
    <w:rsid w:val="00DC4711"/>
    <w:rsid w:val="00DC4BD4"/>
    <w:rsid w:val="00DC5237"/>
    <w:rsid w:val="00DC745F"/>
    <w:rsid w:val="00DD751B"/>
    <w:rsid w:val="00DE099D"/>
    <w:rsid w:val="00DE464C"/>
    <w:rsid w:val="00DE6F11"/>
    <w:rsid w:val="00DF1252"/>
    <w:rsid w:val="00DF3A78"/>
    <w:rsid w:val="00DF4280"/>
    <w:rsid w:val="00E0356F"/>
    <w:rsid w:val="00E05EA5"/>
    <w:rsid w:val="00E11290"/>
    <w:rsid w:val="00E127CD"/>
    <w:rsid w:val="00E171CD"/>
    <w:rsid w:val="00E20CB1"/>
    <w:rsid w:val="00E2285A"/>
    <w:rsid w:val="00E24DD0"/>
    <w:rsid w:val="00E31335"/>
    <w:rsid w:val="00E346CC"/>
    <w:rsid w:val="00E34810"/>
    <w:rsid w:val="00E453D8"/>
    <w:rsid w:val="00E5069A"/>
    <w:rsid w:val="00E54735"/>
    <w:rsid w:val="00E54760"/>
    <w:rsid w:val="00E54D3B"/>
    <w:rsid w:val="00E551E3"/>
    <w:rsid w:val="00E6217A"/>
    <w:rsid w:val="00E64943"/>
    <w:rsid w:val="00E71911"/>
    <w:rsid w:val="00E72F6C"/>
    <w:rsid w:val="00E77984"/>
    <w:rsid w:val="00E81BED"/>
    <w:rsid w:val="00E81C71"/>
    <w:rsid w:val="00E873AC"/>
    <w:rsid w:val="00E87534"/>
    <w:rsid w:val="00E951C5"/>
    <w:rsid w:val="00E96AA8"/>
    <w:rsid w:val="00EA50C6"/>
    <w:rsid w:val="00EA6FD9"/>
    <w:rsid w:val="00EB0D65"/>
    <w:rsid w:val="00EB2836"/>
    <w:rsid w:val="00EB4A88"/>
    <w:rsid w:val="00EB51B8"/>
    <w:rsid w:val="00EB574C"/>
    <w:rsid w:val="00EB57C3"/>
    <w:rsid w:val="00EB6268"/>
    <w:rsid w:val="00EB7B2B"/>
    <w:rsid w:val="00EC1873"/>
    <w:rsid w:val="00ED09BD"/>
    <w:rsid w:val="00EF0626"/>
    <w:rsid w:val="00EF4242"/>
    <w:rsid w:val="00EF5488"/>
    <w:rsid w:val="00EF5525"/>
    <w:rsid w:val="00EF5F7E"/>
    <w:rsid w:val="00EF6AA6"/>
    <w:rsid w:val="00EF7D41"/>
    <w:rsid w:val="00F00ADA"/>
    <w:rsid w:val="00F03BE0"/>
    <w:rsid w:val="00F03F95"/>
    <w:rsid w:val="00F05A66"/>
    <w:rsid w:val="00F065B9"/>
    <w:rsid w:val="00F06969"/>
    <w:rsid w:val="00F129FC"/>
    <w:rsid w:val="00F14547"/>
    <w:rsid w:val="00F21059"/>
    <w:rsid w:val="00F26432"/>
    <w:rsid w:val="00F30973"/>
    <w:rsid w:val="00F3490B"/>
    <w:rsid w:val="00F4623C"/>
    <w:rsid w:val="00F47F7C"/>
    <w:rsid w:val="00F52FA1"/>
    <w:rsid w:val="00F530AD"/>
    <w:rsid w:val="00F55971"/>
    <w:rsid w:val="00F61C31"/>
    <w:rsid w:val="00F6329B"/>
    <w:rsid w:val="00F64B32"/>
    <w:rsid w:val="00F66E48"/>
    <w:rsid w:val="00F70E7C"/>
    <w:rsid w:val="00F7517C"/>
    <w:rsid w:val="00F757B3"/>
    <w:rsid w:val="00F7673E"/>
    <w:rsid w:val="00F80839"/>
    <w:rsid w:val="00F80EA2"/>
    <w:rsid w:val="00F81470"/>
    <w:rsid w:val="00F870B9"/>
    <w:rsid w:val="00F919E7"/>
    <w:rsid w:val="00F92A1A"/>
    <w:rsid w:val="00F94F29"/>
    <w:rsid w:val="00F962E9"/>
    <w:rsid w:val="00F9638D"/>
    <w:rsid w:val="00F9650F"/>
    <w:rsid w:val="00FA010A"/>
    <w:rsid w:val="00FA64FD"/>
    <w:rsid w:val="00FA66F1"/>
    <w:rsid w:val="00FB0BDF"/>
    <w:rsid w:val="00FB4A74"/>
    <w:rsid w:val="00FB794D"/>
    <w:rsid w:val="00FC1932"/>
    <w:rsid w:val="00FC244A"/>
    <w:rsid w:val="00FC34D5"/>
    <w:rsid w:val="00FD4655"/>
    <w:rsid w:val="00FD5250"/>
    <w:rsid w:val="00FE040E"/>
    <w:rsid w:val="00FE591A"/>
    <w:rsid w:val="00FF3F2E"/>
    <w:rsid w:val="00FF4C77"/>
    <w:rsid w:val="00FF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FC246"/>
  <w15:chartTrackingRefBased/>
  <w15:docId w15:val="{A01A6AA3-D5D8-4435-9B37-EE58A1AE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43"/>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D737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9B4E3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4E3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9B4E3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B4E3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B4E3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B4E3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4E3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4E3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7C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A0CCA"/>
    <w:pPr>
      <w:ind w:left="720"/>
      <w:contextualSpacing/>
    </w:pPr>
  </w:style>
  <w:style w:type="paragraph" w:styleId="Title">
    <w:name w:val="Title"/>
    <w:basedOn w:val="Normal"/>
    <w:next w:val="Normal"/>
    <w:link w:val="TitleChar"/>
    <w:uiPriority w:val="10"/>
    <w:qFormat/>
    <w:rsid w:val="005F587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587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9B4E38"/>
    <w:pPr>
      <w:outlineLvl w:val="9"/>
    </w:pPr>
  </w:style>
  <w:style w:type="paragraph" w:styleId="Bibliography">
    <w:name w:val="Bibliography"/>
    <w:basedOn w:val="Normal"/>
    <w:next w:val="Normal"/>
    <w:uiPriority w:val="37"/>
    <w:semiHidden/>
    <w:unhideWhenUsed/>
    <w:rsid w:val="009B4E38"/>
  </w:style>
  <w:style w:type="character" w:styleId="BookTitle">
    <w:name w:val="Book Title"/>
    <w:basedOn w:val="DefaultParagraphFont"/>
    <w:uiPriority w:val="33"/>
    <w:qFormat/>
    <w:rsid w:val="009B4E38"/>
    <w:rPr>
      <w:b/>
      <w:bCs/>
      <w:i/>
      <w:iCs/>
      <w:spacing w:val="5"/>
    </w:rPr>
  </w:style>
  <w:style w:type="character" w:styleId="IntenseReference">
    <w:name w:val="Intense Reference"/>
    <w:basedOn w:val="DefaultParagraphFont"/>
    <w:uiPriority w:val="32"/>
    <w:qFormat/>
    <w:rsid w:val="009B4E38"/>
    <w:rPr>
      <w:b/>
      <w:bCs/>
      <w:smallCaps/>
      <w:color w:val="5B9BD5" w:themeColor="accent1"/>
      <w:spacing w:val="5"/>
    </w:rPr>
  </w:style>
  <w:style w:type="character" w:styleId="SubtleReference">
    <w:name w:val="Subtle Reference"/>
    <w:basedOn w:val="DefaultParagraphFont"/>
    <w:uiPriority w:val="31"/>
    <w:qFormat/>
    <w:rsid w:val="009B4E38"/>
    <w:rPr>
      <w:smallCaps/>
      <w:color w:val="5A5A5A" w:themeColor="text1" w:themeTint="A5"/>
    </w:rPr>
  </w:style>
  <w:style w:type="character" w:styleId="IntenseEmphasis">
    <w:name w:val="Intense Emphasis"/>
    <w:basedOn w:val="DefaultParagraphFont"/>
    <w:uiPriority w:val="21"/>
    <w:qFormat/>
    <w:rsid w:val="009B4E38"/>
    <w:rPr>
      <w:i/>
      <w:iCs/>
      <w:color w:val="5B9BD5" w:themeColor="accent1"/>
    </w:rPr>
  </w:style>
  <w:style w:type="character" w:styleId="SubtleEmphasis">
    <w:name w:val="Subtle Emphasis"/>
    <w:basedOn w:val="DefaultParagraphFont"/>
    <w:uiPriority w:val="19"/>
    <w:qFormat/>
    <w:rsid w:val="009B4E38"/>
    <w:rPr>
      <w:i/>
      <w:iCs/>
      <w:color w:val="404040" w:themeColor="text1" w:themeTint="BF"/>
    </w:rPr>
  </w:style>
  <w:style w:type="paragraph" w:styleId="IntenseQuote">
    <w:name w:val="Intense Quote"/>
    <w:basedOn w:val="Normal"/>
    <w:next w:val="Normal"/>
    <w:link w:val="IntenseQuoteChar"/>
    <w:uiPriority w:val="30"/>
    <w:qFormat/>
    <w:rsid w:val="009B4E3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B4E38"/>
    <w:rPr>
      <w:i/>
      <w:iCs/>
      <w:color w:val="5B9BD5" w:themeColor="accent1"/>
    </w:rPr>
  </w:style>
  <w:style w:type="paragraph" w:styleId="Quote">
    <w:name w:val="Quote"/>
    <w:basedOn w:val="Normal"/>
    <w:next w:val="Normal"/>
    <w:link w:val="QuoteChar"/>
    <w:uiPriority w:val="29"/>
    <w:qFormat/>
    <w:rsid w:val="009B4E3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4E38"/>
    <w:rPr>
      <w:i/>
      <w:iCs/>
      <w:color w:val="404040" w:themeColor="text1" w:themeTint="BF"/>
    </w:rPr>
  </w:style>
  <w:style w:type="table" w:styleId="MediumList1-Accent1">
    <w:name w:val="Medium List 1 Accent 1"/>
    <w:basedOn w:val="TableNormal"/>
    <w:uiPriority w:val="65"/>
    <w:semiHidden/>
    <w:unhideWhenUsed/>
    <w:rsid w:val="009B4E3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semiHidden/>
    <w:unhideWhenUsed/>
    <w:rsid w:val="009B4E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9B4E3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9B4E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semiHidden/>
    <w:unhideWhenUsed/>
    <w:rsid w:val="009B4E3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semiHidden/>
    <w:unhideWhenUsed/>
    <w:rsid w:val="009B4E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semiHidden/>
    <w:unhideWhenUsed/>
    <w:rsid w:val="009B4E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9B4E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9B4E3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B4E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9B4E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9B4E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9B4E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9B4E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9B4E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9B4E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9B4E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9B4E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9B4E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9B4E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9B4E38"/>
    <w:pPr>
      <w:spacing w:after="0" w:line="240" w:lineRule="auto"/>
    </w:pPr>
  </w:style>
  <w:style w:type="character" w:styleId="HTMLVariable">
    <w:name w:val="HTML Variable"/>
    <w:basedOn w:val="DefaultParagraphFont"/>
    <w:uiPriority w:val="99"/>
    <w:semiHidden/>
    <w:unhideWhenUsed/>
    <w:rsid w:val="009B4E38"/>
    <w:rPr>
      <w:i/>
      <w:iCs/>
    </w:rPr>
  </w:style>
  <w:style w:type="character" w:styleId="HTMLTypewriter">
    <w:name w:val="HTML Typewriter"/>
    <w:basedOn w:val="DefaultParagraphFont"/>
    <w:uiPriority w:val="99"/>
    <w:semiHidden/>
    <w:unhideWhenUsed/>
    <w:rsid w:val="009B4E38"/>
    <w:rPr>
      <w:rFonts w:ascii="Consolas" w:hAnsi="Consolas"/>
      <w:sz w:val="20"/>
      <w:szCs w:val="20"/>
    </w:rPr>
  </w:style>
  <w:style w:type="character" w:styleId="HTMLSample">
    <w:name w:val="HTML Sample"/>
    <w:basedOn w:val="DefaultParagraphFont"/>
    <w:uiPriority w:val="99"/>
    <w:semiHidden/>
    <w:unhideWhenUsed/>
    <w:rsid w:val="009B4E38"/>
    <w:rPr>
      <w:rFonts w:ascii="Consolas" w:hAnsi="Consolas"/>
      <w:sz w:val="24"/>
      <w:szCs w:val="24"/>
    </w:rPr>
  </w:style>
  <w:style w:type="paragraph" w:styleId="HTMLPreformatted">
    <w:name w:val="HTML Preformatted"/>
    <w:basedOn w:val="Normal"/>
    <w:link w:val="HTMLPreformattedChar"/>
    <w:uiPriority w:val="99"/>
    <w:semiHidden/>
    <w:unhideWhenUsed/>
    <w:rsid w:val="009B4E38"/>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B4E38"/>
    <w:rPr>
      <w:rFonts w:ascii="Consolas" w:hAnsi="Consolas"/>
      <w:sz w:val="20"/>
      <w:szCs w:val="20"/>
    </w:rPr>
  </w:style>
  <w:style w:type="character" w:styleId="HTMLKeyboard">
    <w:name w:val="HTML Keyboard"/>
    <w:basedOn w:val="DefaultParagraphFont"/>
    <w:uiPriority w:val="99"/>
    <w:semiHidden/>
    <w:unhideWhenUsed/>
    <w:rsid w:val="009B4E38"/>
    <w:rPr>
      <w:rFonts w:ascii="Consolas" w:hAnsi="Consolas"/>
      <w:sz w:val="20"/>
      <w:szCs w:val="20"/>
    </w:rPr>
  </w:style>
  <w:style w:type="character" w:styleId="HTMLDefinition">
    <w:name w:val="HTML Definition"/>
    <w:basedOn w:val="DefaultParagraphFont"/>
    <w:uiPriority w:val="99"/>
    <w:semiHidden/>
    <w:unhideWhenUsed/>
    <w:rsid w:val="009B4E38"/>
    <w:rPr>
      <w:i/>
      <w:iCs/>
    </w:rPr>
  </w:style>
  <w:style w:type="character" w:styleId="HTMLCode">
    <w:name w:val="HTML Code"/>
    <w:basedOn w:val="DefaultParagraphFont"/>
    <w:uiPriority w:val="99"/>
    <w:semiHidden/>
    <w:unhideWhenUsed/>
    <w:rsid w:val="009B4E38"/>
    <w:rPr>
      <w:rFonts w:ascii="Consolas" w:hAnsi="Consolas"/>
      <w:sz w:val="20"/>
      <w:szCs w:val="20"/>
    </w:rPr>
  </w:style>
  <w:style w:type="character" w:styleId="HTMLCite">
    <w:name w:val="HTML Cite"/>
    <w:basedOn w:val="DefaultParagraphFont"/>
    <w:uiPriority w:val="99"/>
    <w:semiHidden/>
    <w:unhideWhenUsed/>
    <w:rsid w:val="009B4E38"/>
    <w:rPr>
      <w:i/>
      <w:iCs/>
    </w:rPr>
  </w:style>
  <w:style w:type="paragraph" w:styleId="HTMLAddress">
    <w:name w:val="HTML Address"/>
    <w:basedOn w:val="Normal"/>
    <w:link w:val="HTMLAddressChar"/>
    <w:uiPriority w:val="99"/>
    <w:semiHidden/>
    <w:unhideWhenUsed/>
    <w:rsid w:val="009B4E38"/>
    <w:pPr>
      <w:spacing w:line="240" w:lineRule="auto"/>
    </w:pPr>
    <w:rPr>
      <w:i/>
      <w:iCs/>
    </w:rPr>
  </w:style>
  <w:style w:type="character" w:customStyle="1" w:styleId="HTMLAddressChar">
    <w:name w:val="HTML Address Char"/>
    <w:basedOn w:val="DefaultParagraphFont"/>
    <w:link w:val="HTMLAddress"/>
    <w:uiPriority w:val="99"/>
    <w:semiHidden/>
    <w:rsid w:val="009B4E38"/>
    <w:rPr>
      <w:i/>
      <w:iCs/>
    </w:rPr>
  </w:style>
  <w:style w:type="character" w:styleId="HTMLAcronym">
    <w:name w:val="HTML Acronym"/>
    <w:basedOn w:val="DefaultParagraphFont"/>
    <w:uiPriority w:val="99"/>
    <w:semiHidden/>
    <w:unhideWhenUsed/>
    <w:rsid w:val="009B4E38"/>
  </w:style>
  <w:style w:type="paragraph" w:styleId="NormalWeb">
    <w:name w:val="Normal (Web)"/>
    <w:basedOn w:val="Normal"/>
    <w:uiPriority w:val="99"/>
    <w:semiHidden/>
    <w:unhideWhenUsed/>
    <w:rsid w:val="009B4E38"/>
    <w:rPr>
      <w:rFonts w:cs="Times New Roman"/>
      <w:szCs w:val="24"/>
    </w:rPr>
  </w:style>
  <w:style w:type="paragraph" w:styleId="PlainText">
    <w:name w:val="Plain Text"/>
    <w:basedOn w:val="Normal"/>
    <w:link w:val="PlainTextChar"/>
    <w:uiPriority w:val="99"/>
    <w:semiHidden/>
    <w:unhideWhenUsed/>
    <w:rsid w:val="009B4E38"/>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B4E38"/>
    <w:rPr>
      <w:rFonts w:ascii="Consolas" w:hAnsi="Consolas"/>
      <w:sz w:val="21"/>
      <w:szCs w:val="21"/>
    </w:rPr>
  </w:style>
  <w:style w:type="paragraph" w:styleId="DocumentMap">
    <w:name w:val="Document Map"/>
    <w:basedOn w:val="Normal"/>
    <w:link w:val="DocumentMapChar"/>
    <w:uiPriority w:val="99"/>
    <w:semiHidden/>
    <w:unhideWhenUsed/>
    <w:rsid w:val="009B4E38"/>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B4E38"/>
    <w:rPr>
      <w:rFonts w:ascii="Segoe UI" w:hAnsi="Segoe UI" w:cs="Segoe UI"/>
      <w:sz w:val="16"/>
      <w:szCs w:val="16"/>
    </w:rPr>
  </w:style>
  <w:style w:type="character" w:styleId="Emphasis">
    <w:name w:val="Emphasis"/>
    <w:basedOn w:val="DefaultParagraphFont"/>
    <w:uiPriority w:val="20"/>
    <w:qFormat/>
    <w:rsid w:val="009B4E38"/>
    <w:rPr>
      <w:i/>
      <w:iCs/>
    </w:rPr>
  </w:style>
  <w:style w:type="character" w:styleId="Strong">
    <w:name w:val="Strong"/>
    <w:basedOn w:val="DefaultParagraphFont"/>
    <w:uiPriority w:val="22"/>
    <w:qFormat/>
    <w:rsid w:val="009B4E38"/>
    <w:rPr>
      <w:b/>
      <w:bCs/>
    </w:rPr>
  </w:style>
  <w:style w:type="character" w:styleId="FollowedHyperlink">
    <w:name w:val="FollowedHyperlink"/>
    <w:basedOn w:val="DefaultParagraphFont"/>
    <w:uiPriority w:val="99"/>
    <w:semiHidden/>
    <w:unhideWhenUsed/>
    <w:rsid w:val="009B4E38"/>
    <w:rPr>
      <w:color w:val="954F72" w:themeColor="followedHyperlink"/>
      <w:u w:val="single"/>
    </w:rPr>
  </w:style>
  <w:style w:type="character" w:styleId="Hyperlink">
    <w:name w:val="Hyperlink"/>
    <w:basedOn w:val="DefaultParagraphFont"/>
    <w:uiPriority w:val="99"/>
    <w:semiHidden/>
    <w:unhideWhenUsed/>
    <w:rsid w:val="009B4E38"/>
    <w:rPr>
      <w:color w:val="0563C1" w:themeColor="hyperlink"/>
      <w:u w:val="single"/>
    </w:rPr>
  </w:style>
  <w:style w:type="paragraph" w:styleId="BlockText">
    <w:name w:val="Block Text"/>
    <w:basedOn w:val="Normal"/>
    <w:uiPriority w:val="99"/>
    <w:semiHidden/>
    <w:unhideWhenUsed/>
    <w:rsid w:val="009B4E38"/>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Indent3">
    <w:name w:val="Body Text Indent 3"/>
    <w:basedOn w:val="Normal"/>
    <w:link w:val="BodyTextIndent3Char"/>
    <w:uiPriority w:val="99"/>
    <w:semiHidden/>
    <w:unhideWhenUsed/>
    <w:rsid w:val="009B4E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B4E38"/>
    <w:rPr>
      <w:sz w:val="16"/>
      <w:szCs w:val="16"/>
    </w:rPr>
  </w:style>
  <w:style w:type="paragraph" w:styleId="BodyTextIndent2">
    <w:name w:val="Body Text Indent 2"/>
    <w:basedOn w:val="Normal"/>
    <w:link w:val="BodyTextIndent2Char"/>
    <w:uiPriority w:val="99"/>
    <w:semiHidden/>
    <w:unhideWhenUsed/>
    <w:rsid w:val="009B4E38"/>
    <w:pPr>
      <w:spacing w:after="120" w:line="480" w:lineRule="auto"/>
      <w:ind w:left="283"/>
    </w:pPr>
  </w:style>
  <w:style w:type="character" w:customStyle="1" w:styleId="BodyTextIndent2Char">
    <w:name w:val="Body Text Indent 2 Char"/>
    <w:basedOn w:val="DefaultParagraphFont"/>
    <w:link w:val="BodyTextIndent2"/>
    <w:uiPriority w:val="99"/>
    <w:semiHidden/>
    <w:rsid w:val="009B4E38"/>
  </w:style>
  <w:style w:type="paragraph" w:styleId="BodyText3">
    <w:name w:val="Body Text 3"/>
    <w:basedOn w:val="Normal"/>
    <w:link w:val="BodyText3Char"/>
    <w:uiPriority w:val="99"/>
    <w:semiHidden/>
    <w:unhideWhenUsed/>
    <w:rsid w:val="009B4E38"/>
    <w:pPr>
      <w:spacing w:after="120"/>
    </w:pPr>
    <w:rPr>
      <w:sz w:val="16"/>
      <w:szCs w:val="16"/>
    </w:rPr>
  </w:style>
  <w:style w:type="character" w:customStyle="1" w:styleId="BodyText3Char">
    <w:name w:val="Body Text 3 Char"/>
    <w:basedOn w:val="DefaultParagraphFont"/>
    <w:link w:val="BodyText3"/>
    <w:uiPriority w:val="99"/>
    <w:semiHidden/>
    <w:rsid w:val="009B4E38"/>
    <w:rPr>
      <w:sz w:val="16"/>
      <w:szCs w:val="16"/>
    </w:rPr>
  </w:style>
  <w:style w:type="paragraph" w:styleId="BodyText2">
    <w:name w:val="Body Text 2"/>
    <w:basedOn w:val="Normal"/>
    <w:link w:val="BodyText2Char"/>
    <w:uiPriority w:val="99"/>
    <w:semiHidden/>
    <w:unhideWhenUsed/>
    <w:rsid w:val="009B4E38"/>
    <w:pPr>
      <w:spacing w:after="120" w:line="480" w:lineRule="auto"/>
    </w:pPr>
  </w:style>
  <w:style w:type="character" w:customStyle="1" w:styleId="BodyText2Char">
    <w:name w:val="Body Text 2 Char"/>
    <w:basedOn w:val="DefaultParagraphFont"/>
    <w:link w:val="BodyText2"/>
    <w:uiPriority w:val="99"/>
    <w:semiHidden/>
    <w:rsid w:val="009B4E38"/>
  </w:style>
  <w:style w:type="paragraph" w:styleId="NoteHeading">
    <w:name w:val="Note Heading"/>
    <w:basedOn w:val="Normal"/>
    <w:next w:val="Normal"/>
    <w:link w:val="NoteHeadingChar"/>
    <w:uiPriority w:val="99"/>
    <w:semiHidden/>
    <w:unhideWhenUsed/>
    <w:rsid w:val="009B4E38"/>
    <w:pPr>
      <w:spacing w:line="240" w:lineRule="auto"/>
    </w:pPr>
  </w:style>
  <w:style w:type="character" w:customStyle="1" w:styleId="NoteHeadingChar">
    <w:name w:val="Note Heading Char"/>
    <w:basedOn w:val="DefaultParagraphFont"/>
    <w:link w:val="NoteHeading"/>
    <w:uiPriority w:val="99"/>
    <w:semiHidden/>
    <w:rsid w:val="009B4E38"/>
  </w:style>
  <w:style w:type="paragraph" w:styleId="BodyTextIndent">
    <w:name w:val="Body Text Indent"/>
    <w:basedOn w:val="Normal"/>
    <w:link w:val="BodyTextIndentChar"/>
    <w:uiPriority w:val="99"/>
    <w:semiHidden/>
    <w:unhideWhenUsed/>
    <w:rsid w:val="009B4E38"/>
    <w:pPr>
      <w:spacing w:after="120"/>
      <w:ind w:left="283"/>
    </w:pPr>
  </w:style>
  <w:style w:type="character" w:customStyle="1" w:styleId="BodyTextIndentChar">
    <w:name w:val="Body Text Indent Char"/>
    <w:basedOn w:val="DefaultParagraphFont"/>
    <w:link w:val="BodyTextIndent"/>
    <w:uiPriority w:val="99"/>
    <w:semiHidden/>
    <w:rsid w:val="009B4E38"/>
  </w:style>
  <w:style w:type="paragraph" w:styleId="BodyTextFirstIndent2">
    <w:name w:val="Body Text First Indent 2"/>
    <w:basedOn w:val="BodyTextIndent"/>
    <w:link w:val="BodyTextFirstIndent2Char"/>
    <w:uiPriority w:val="99"/>
    <w:semiHidden/>
    <w:unhideWhenUsed/>
    <w:rsid w:val="009B4E38"/>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B4E38"/>
  </w:style>
  <w:style w:type="paragraph" w:styleId="BodyText">
    <w:name w:val="Body Text"/>
    <w:basedOn w:val="Normal"/>
    <w:link w:val="BodyTextChar"/>
    <w:uiPriority w:val="99"/>
    <w:semiHidden/>
    <w:unhideWhenUsed/>
    <w:rsid w:val="009B4E38"/>
    <w:pPr>
      <w:spacing w:after="120"/>
    </w:pPr>
  </w:style>
  <w:style w:type="character" w:customStyle="1" w:styleId="BodyTextChar">
    <w:name w:val="Body Text Char"/>
    <w:basedOn w:val="DefaultParagraphFont"/>
    <w:link w:val="BodyText"/>
    <w:uiPriority w:val="99"/>
    <w:semiHidden/>
    <w:rsid w:val="009B4E38"/>
  </w:style>
  <w:style w:type="paragraph" w:styleId="BodyTextFirstIndent">
    <w:name w:val="Body Text First Indent"/>
    <w:basedOn w:val="BodyText"/>
    <w:link w:val="BodyTextFirstIndentChar"/>
    <w:uiPriority w:val="99"/>
    <w:semiHidden/>
    <w:unhideWhenUsed/>
    <w:rsid w:val="009B4E38"/>
    <w:pPr>
      <w:spacing w:after="160"/>
      <w:ind w:firstLine="360"/>
    </w:pPr>
  </w:style>
  <w:style w:type="character" w:customStyle="1" w:styleId="BodyTextFirstIndentChar">
    <w:name w:val="Body Text First Indent Char"/>
    <w:basedOn w:val="BodyTextChar"/>
    <w:link w:val="BodyTextFirstIndent"/>
    <w:uiPriority w:val="99"/>
    <w:semiHidden/>
    <w:rsid w:val="009B4E38"/>
  </w:style>
  <w:style w:type="paragraph" w:styleId="Date">
    <w:name w:val="Date"/>
    <w:basedOn w:val="Normal"/>
    <w:next w:val="Normal"/>
    <w:link w:val="DateChar"/>
    <w:uiPriority w:val="99"/>
    <w:semiHidden/>
    <w:unhideWhenUsed/>
    <w:rsid w:val="009B4E38"/>
  </w:style>
  <w:style w:type="character" w:customStyle="1" w:styleId="DateChar">
    <w:name w:val="Date Char"/>
    <w:basedOn w:val="DefaultParagraphFont"/>
    <w:link w:val="Date"/>
    <w:uiPriority w:val="99"/>
    <w:semiHidden/>
    <w:rsid w:val="009B4E38"/>
  </w:style>
  <w:style w:type="paragraph" w:styleId="Salutation">
    <w:name w:val="Salutation"/>
    <w:basedOn w:val="Normal"/>
    <w:next w:val="Normal"/>
    <w:link w:val="SalutationChar"/>
    <w:uiPriority w:val="99"/>
    <w:semiHidden/>
    <w:unhideWhenUsed/>
    <w:rsid w:val="009B4E38"/>
  </w:style>
  <w:style w:type="character" w:customStyle="1" w:styleId="SalutationChar">
    <w:name w:val="Salutation Char"/>
    <w:basedOn w:val="DefaultParagraphFont"/>
    <w:link w:val="Salutation"/>
    <w:uiPriority w:val="99"/>
    <w:semiHidden/>
    <w:rsid w:val="009B4E38"/>
  </w:style>
  <w:style w:type="paragraph" w:styleId="Subtitle">
    <w:name w:val="Subtitle"/>
    <w:basedOn w:val="Normal"/>
    <w:next w:val="Normal"/>
    <w:link w:val="SubtitleChar"/>
    <w:uiPriority w:val="11"/>
    <w:qFormat/>
    <w:rsid w:val="009B4E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4E38"/>
    <w:rPr>
      <w:rFonts w:eastAsiaTheme="minorEastAsia"/>
      <w:color w:val="5A5A5A" w:themeColor="text1" w:themeTint="A5"/>
      <w:spacing w:val="15"/>
    </w:rPr>
  </w:style>
  <w:style w:type="paragraph" w:styleId="MessageHeader">
    <w:name w:val="Message Header"/>
    <w:basedOn w:val="Normal"/>
    <w:link w:val="MessageHeaderChar"/>
    <w:uiPriority w:val="99"/>
    <w:semiHidden/>
    <w:unhideWhenUsed/>
    <w:rsid w:val="009B4E3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B4E38"/>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9B4E38"/>
    <w:pPr>
      <w:spacing w:after="120"/>
      <w:ind w:left="1415"/>
      <w:contextualSpacing/>
    </w:pPr>
  </w:style>
  <w:style w:type="paragraph" w:styleId="ListContinue4">
    <w:name w:val="List Continue 4"/>
    <w:basedOn w:val="Normal"/>
    <w:uiPriority w:val="99"/>
    <w:semiHidden/>
    <w:unhideWhenUsed/>
    <w:rsid w:val="009B4E38"/>
    <w:pPr>
      <w:spacing w:after="120"/>
      <w:ind w:left="1132"/>
      <w:contextualSpacing/>
    </w:pPr>
  </w:style>
  <w:style w:type="paragraph" w:styleId="ListContinue3">
    <w:name w:val="List Continue 3"/>
    <w:basedOn w:val="Normal"/>
    <w:uiPriority w:val="99"/>
    <w:semiHidden/>
    <w:unhideWhenUsed/>
    <w:rsid w:val="009B4E38"/>
    <w:pPr>
      <w:spacing w:after="120"/>
      <w:ind w:left="849"/>
      <w:contextualSpacing/>
    </w:pPr>
  </w:style>
  <w:style w:type="paragraph" w:styleId="ListContinue2">
    <w:name w:val="List Continue 2"/>
    <w:basedOn w:val="Normal"/>
    <w:uiPriority w:val="99"/>
    <w:semiHidden/>
    <w:unhideWhenUsed/>
    <w:rsid w:val="009B4E38"/>
    <w:pPr>
      <w:spacing w:after="120"/>
      <w:ind w:left="566"/>
      <w:contextualSpacing/>
    </w:pPr>
  </w:style>
  <w:style w:type="paragraph" w:styleId="ListContinue">
    <w:name w:val="List Continue"/>
    <w:basedOn w:val="Normal"/>
    <w:uiPriority w:val="99"/>
    <w:semiHidden/>
    <w:unhideWhenUsed/>
    <w:rsid w:val="009B4E38"/>
    <w:pPr>
      <w:spacing w:after="120"/>
      <w:ind w:left="283"/>
      <w:contextualSpacing/>
    </w:pPr>
  </w:style>
  <w:style w:type="paragraph" w:styleId="Signature">
    <w:name w:val="Signature"/>
    <w:basedOn w:val="Normal"/>
    <w:link w:val="SignatureChar"/>
    <w:uiPriority w:val="99"/>
    <w:semiHidden/>
    <w:unhideWhenUsed/>
    <w:rsid w:val="009B4E38"/>
    <w:pPr>
      <w:spacing w:line="240" w:lineRule="auto"/>
      <w:ind w:left="4252"/>
    </w:pPr>
  </w:style>
  <w:style w:type="character" w:customStyle="1" w:styleId="SignatureChar">
    <w:name w:val="Signature Char"/>
    <w:basedOn w:val="DefaultParagraphFont"/>
    <w:link w:val="Signature"/>
    <w:uiPriority w:val="99"/>
    <w:semiHidden/>
    <w:rsid w:val="009B4E38"/>
  </w:style>
  <w:style w:type="paragraph" w:styleId="Closing">
    <w:name w:val="Closing"/>
    <w:basedOn w:val="Normal"/>
    <w:link w:val="ClosingChar"/>
    <w:uiPriority w:val="99"/>
    <w:semiHidden/>
    <w:unhideWhenUsed/>
    <w:rsid w:val="009B4E38"/>
    <w:pPr>
      <w:spacing w:line="240" w:lineRule="auto"/>
      <w:ind w:left="4252"/>
    </w:pPr>
  </w:style>
  <w:style w:type="character" w:customStyle="1" w:styleId="ClosingChar">
    <w:name w:val="Closing Char"/>
    <w:basedOn w:val="DefaultParagraphFont"/>
    <w:link w:val="Closing"/>
    <w:uiPriority w:val="99"/>
    <w:semiHidden/>
    <w:rsid w:val="009B4E38"/>
  </w:style>
  <w:style w:type="paragraph" w:styleId="ListNumber5">
    <w:name w:val="List Number 5"/>
    <w:basedOn w:val="Normal"/>
    <w:uiPriority w:val="99"/>
    <w:semiHidden/>
    <w:unhideWhenUsed/>
    <w:rsid w:val="009B4E38"/>
    <w:pPr>
      <w:numPr>
        <w:numId w:val="2"/>
      </w:numPr>
      <w:contextualSpacing/>
    </w:pPr>
  </w:style>
  <w:style w:type="paragraph" w:styleId="ListNumber4">
    <w:name w:val="List Number 4"/>
    <w:basedOn w:val="Normal"/>
    <w:uiPriority w:val="99"/>
    <w:semiHidden/>
    <w:unhideWhenUsed/>
    <w:rsid w:val="009B4E38"/>
    <w:pPr>
      <w:numPr>
        <w:numId w:val="3"/>
      </w:numPr>
      <w:contextualSpacing/>
    </w:pPr>
  </w:style>
  <w:style w:type="paragraph" w:styleId="ListNumber3">
    <w:name w:val="List Number 3"/>
    <w:basedOn w:val="Normal"/>
    <w:uiPriority w:val="99"/>
    <w:semiHidden/>
    <w:unhideWhenUsed/>
    <w:rsid w:val="009B4E38"/>
    <w:pPr>
      <w:numPr>
        <w:numId w:val="4"/>
      </w:numPr>
      <w:contextualSpacing/>
    </w:pPr>
  </w:style>
  <w:style w:type="paragraph" w:styleId="ListNumber2">
    <w:name w:val="List Number 2"/>
    <w:basedOn w:val="Normal"/>
    <w:uiPriority w:val="99"/>
    <w:semiHidden/>
    <w:unhideWhenUsed/>
    <w:rsid w:val="009B4E38"/>
    <w:pPr>
      <w:numPr>
        <w:numId w:val="5"/>
      </w:numPr>
      <w:contextualSpacing/>
    </w:pPr>
  </w:style>
  <w:style w:type="paragraph" w:styleId="ListBullet5">
    <w:name w:val="List Bullet 5"/>
    <w:basedOn w:val="Normal"/>
    <w:uiPriority w:val="99"/>
    <w:semiHidden/>
    <w:unhideWhenUsed/>
    <w:rsid w:val="009B4E38"/>
    <w:pPr>
      <w:numPr>
        <w:numId w:val="6"/>
      </w:numPr>
      <w:contextualSpacing/>
    </w:pPr>
  </w:style>
  <w:style w:type="paragraph" w:styleId="ListBullet4">
    <w:name w:val="List Bullet 4"/>
    <w:basedOn w:val="Normal"/>
    <w:uiPriority w:val="99"/>
    <w:semiHidden/>
    <w:unhideWhenUsed/>
    <w:rsid w:val="009B4E38"/>
    <w:pPr>
      <w:numPr>
        <w:numId w:val="7"/>
      </w:numPr>
      <w:contextualSpacing/>
    </w:pPr>
  </w:style>
  <w:style w:type="paragraph" w:styleId="ListBullet3">
    <w:name w:val="List Bullet 3"/>
    <w:basedOn w:val="Normal"/>
    <w:uiPriority w:val="99"/>
    <w:semiHidden/>
    <w:unhideWhenUsed/>
    <w:rsid w:val="009B4E38"/>
    <w:pPr>
      <w:numPr>
        <w:numId w:val="8"/>
      </w:numPr>
      <w:contextualSpacing/>
    </w:pPr>
  </w:style>
  <w:style w:type="paragraph" w:styleId="ListBullet2">
    <w:name w:val="List Bullet 2"/>
    <w:basedOn w:val="Normal"/>
    <w:uiPriority w:val="99"/>
    <w:semiHidden/>
    <w:unhideWhenUsed/>
    <w:rsid w:val="009B4E38"/>
    <w:pPr>
      <w:numPr>
        <w:numId w:val="9"/>
      </w:numPr>
      <w:contextualSpacing/>
    </w:pPr>
  </w:style>
  <w:style w:type="paragraph" w:styleId="List5">
    <w:name w:val="List 5"/>
    <w:basedOn w:val="Normal"/>
    <w:uiPriority w:val="99"/>
    <w:semiHidden/>
    <w:unhideWhenUsed/>
    <w:rsid w:val="009B4E38"/>
    <w:pPr>
      <w:ind w:left="1415" w:hanging="283"/>
      <w:contextualSpacing/>
    </w:pPr>
  </w:style>
  <w:style w:type="paragraph" w:styleId="List4">
    <w:name w:val="List 4"/>
    <w:basedOn w:val="Normal"/>
    <w:uiPriority w:val="99"/>
    <w:semiHidden/>
    <w:unhideWhenUsed/>
    <w:rsid w:val="009B4E38"/>
    <w:pPr>
      <w:ind w:left="1132" w:hanging="283"/>
      <w:contextualSpacing/>
    </w:pPr>
  </w:style>
  <w:style w:type="paragraph" w:styleId="List3">
    <w:name w:val="List 3"/>
    <w:basedOn w:val="Normal"/>
    <w:uiPriority w:val="99"/>
    <w:semiHidden/>
    <w:unhideWhenUsed/>
    <w:rsid w:val="009B4E38"/>
    <w:pPr>
      <w:ind w:left="849" w:hanging="283"/>
      <w:contextualSpacing/>
    </w:pPr>
  </w:style>
  <w:style w:type="paragraph" w:styleId="List2">
    <w:name w:val="List 2"/>
    <w:basedOn w:val="Normal"/>
    <w:uiPriority w:val="99"/>
    <w:semiHidden/>
    <w:unhideWhenUsed/>
    <w:rsid w:val="009B4E38"/>
    <w:pPr>
      <w:ind w:left="566" w:hanging="283"/>
      <w:contextualSpacing/>
    </w:pPr>
  </w:style>
  <w:style w:type="paragraph" w:styleId="ListNumber">
    <w:name w:val="List Number"/>
    <w:basedOn w:val="Normal"/>
    <w:uiPriority w:val="99"/>
    <w:semiHidden/>
    <w:unhideWhenUsed/>
    <w:rsid w:val="009B4E38"/>
    <w:pPr>
      <w:numPr>
        <w:numId w:val="10"/>
      </w:numPr>
      <w:contextualSpacing/>
    </w:pPr>
  </w:style>
  <w:style w:type="paragraph" w:styleId="ListBullet">
    <w:name w:val="List Bullet"/>
    <w:basedOn w:val="Normal"/>
    <w:uiPriority w:val="99"/>
    <w:semiHidden/>
    <w:unhideWhenUsed/>
    <w:rsid w:val="009B4E38"/>
    <w:pPr>
      <w:numPr>
        <w:numId w:val="11"/>
      </w:numPr>
      <w:contextualSpacing/>
    </w:pPr>
  </w:style>
  <w:style w:type="paragraph" w:styleId="List">
    <w:name w:val="List"/>
    <w:basedOn w:val="Normal"/>
    <w:uiPriority w:val="99"/>
    <w:semiHidden/>
    <w:unhideWhenUsed/>
    <w:rsid w:val="009B4E38"/>
    <w:pPr>
      <w:ind w:left="283" w:hanging="283"/>
      <w:contextualSpacing/>
    </w:pPr>
  </w:style>
  <w:style w:type="paragraph" w:styleId="TOAHeading">
    <w:name w:val="toa heading"/>
    <w:basedOn w:val="Normal"/>
    <w:next w:val="Normal"/>
    <w:uiPriority w:val="99"/>
    <w:semiHidden/>
    <w:unhideWhenUsed/>
    <w:rsid w:val="009B4E38"/>
    <w:pPr>
      <w:spacing w:before="120"/>
    </w:pPr>
    <w:rPr>
      <w:rFonts w:asciiTheme="majorHAnsi" w:eastAsiaTheme="majorEastAsia" w:hAnsiTheme="majorHAnsi" w:cstheme="majorBidi"/>
      <w:b/>
      <w:bCs/>
      <w:szCs w:val="24"/>
    </w:rPr>
  </w:style>
  <w:style w:type="paragraph" w:styleId="MacroText">
    <w:name w:val="macro"/>
    <w:link w:val="MacroTextChar"/>
    <w:uiPriority w:val="99"/>
    <w:semiHidden/>
    <w:unhideWhenUsed/>
    <w:rsid w:val="009B4E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B4E38"/>
    <w:rPr>
      <w:rFonts w:ascii="Consolas" w:hAnsi="Consolas"/>
      <w:sz w:val="20"/>
      <w:szCs w:val="20"/>
    </w:rPr>
  </w:style>
  <w:style w:type="paragraph" w:styleId="TableofAuthorities">
    <w:name w:val="table of authorities"/>
    <w:basedOn w:val="Normal"/>
    <w:next w:val="Normal"/>
    <w:uiPriority w:val="99"/>
    <w:semiHidden/>
    <w:unhideWhenUsed/>
    <w:rsid w:val="009B4E38"/>
    <w:pPr>
      <w:ind w:left="220" w:hanging="220"/>
    </w:pPr>
  </w:style>
  <w:style w:type="paragraph" w:styleId="EndnoteText">
    <w:name w:val="endnote text"/>
    <w:basedOn w:val="Normal"/>
    <w:link w:val="EndnoteTextChar"/>
    <w:uiPriority w:val="99"/>
    <w:semiHidden/>
    <w:unhideWhenUsed/>
    <w:rsid w:val="009B4E38"/>
    <w:pPr>
      <w:spacing w:line="240" w:lineRule="auto"/>
    </w:pPr>
    <w:rPr>
      <w:sz w:val="20"/>
      <w:szCs w:val="20"/>
    </w:rPr>
  </w:style>
  <w:style w:type="character" w:customStyle="1" w:styleId="EndnoteTextChar">
    <w:name w:val="Endnote Text Char"/>
    <w:basedOn w:val="DefaultParagraphFont"/>
    <w:link w:val="EndnoteText"/>
    <w:uiPriority w:val="99"/>
    <w:semiHidden/>
    <w:rsid w:val="009B4E38"/>
    <w:rPr>
      <w:sz w:val="20"/>
      <w:szCs w:val="20"/>
    </w:rPr>
  </w:style>
  <w:style w:type="character" w:styleId="EndnoteReference">
    <w:name w:val="endnote reference"/>
    <w:basedOn w:val="DefaultParagraphFont"/>
    <w:uiPriority w:val="99"/>
    <w:semiHidden/>
    <w:unhideWhenUsed/>
    <w:rsid w:val="009B4E38"/>
    <w:rPr>
      <w:vertAlign w:val="superscript"/>
    </w:rPr>
  </w:style>
  <w:style w:type="character" w:styleId="PageNumber">
    <w:name w:val="page number"/>
    <w:basedOn w:val="DefaultParagraphFont"/>
    <w:uiPriority w:val="99"/>
    <w:semiHidden/>
    <w:unhideWhenUsed/>
    <w:rsid w:val="009B4E38"/>
  </w:style>
  <w:style w:type="character" w:styleId="LineNumber">
    <w:name w:val="line number"/>
    <w:basedOn w:val="DefaultParagraphFont"/>
    <w:uiPriority w:val="99"/>
    <w:semiHidden/>
    <w:unhideWhenUsed/>
    <w:rsid w:val="009B4E38"/>
  </w:style>
  <w:style w:type="character" w:styleId="CommentReference">
    <w:name w:val="annotation reference"/>
    <w:basedOn w:val="DefaultParagraphFont"/>
    <w:uiPriority w:val="99"/>
    <w:semiHidden/>
    <w:unhideWhenUsed/>
    <w:rsid w:val="009B4E38"/>
    <w:rPr>
      <w:sz w:val="16"/>
      <w:szCs w:val="16"/>
    </w:rPr>
  </w:style>
  <w:style w:type="character" w:styleId="FootnoteReference">
    <w:name w:val="footnote reference"/>
    <w:basedOn w:val="DefaultParagraphFont"/>
    <w:uiPriority w:val="99"/>
    <w:unhideWhenUsed/>
    <w:rsid w:val="009B4E38"/>
    <w:rPr>
      <w:vertAlign w:val="superscript"/>
    </w:rPr>
  </w:style>
  <w:style w:type="paragraph" w:styleId="EnvelopeReturn">
    <w:name w:val="envelope return"/>
    <w:basedOn w:val="Normal"/>
    <w:uiPriority w:val="99"/>
    <w:semiHidden/>
    <w:unhideWhenUsed/>
    <w:rsid w:val="009B4E38"/>
    <w:pPr>
      <w:spacing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9B4E38"/>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TableofFigures">
    <w:name w:val="table of figures"/>
    <w:basedOn w:val="Normal"/>
    <w:next w:val="Normal"/>
    <w:uiPriority w:val="99"/>
    <w:semiHidden/>
    <w:unhideWhenUsed/>
    <w:rsid w:val="009B4E38"/>
  </w:style>
  <w:style w:type="paragraph" w:styleId="Caption">
    <w:name w:val="caption"/>
    <w:basedOn w:val="Normal"/>
    <w:next w:val="Normal"/>
    <w:uiPriority w:val="35"/>
    <w:unhideWhenUsed/>
    <w:qFormat/>
    <w:rsid w:val="009B4E38"/>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9B4E38"/>
    <w:pPr>
      <w:spacing w:line="240" w:lineRule="auto"/>
      <w:ind w:left="220" w:hanging="220"/>
    </w:pPr>
  </w:style>
  <w:style w:type="paragraph" w:styleId="IndexHeading">
    <w:name w:val="index heading"/>
    <w:basedOn w:val="Normal"/>
    <w:next w:val="Index1"/>
    <w:uiPriority w:val="99"/>
    <w:semiHidden/>
    <w:unhideWhenUsed/>
    <w:rsid w:val="009B4E38"/>
    <w:rPr>
      <w:rFonts w:asciiTheme="majorHAnsi" w:eastAsiaTheme="majorEastAsia" w:hAnsiTheme="majorHAnsi" w:cstheme="majorBidi"/>
      <w:b/>
      <w:bCs/>
    </w:rPr>
  </w:style>
  <w:style w:type="paragraph" w:styleId="Footer">
    <w:name w:val="footer"/>
    <w:basedOn w:val="Normal"/>
    <w:link w:val="FooterChar"/>
    <w:uiPriority w:val="99"/>
    <w:unhideWhenUsed/>
    <w:rsid w:val="009B4E38"/>
    <w:pPr>
      <w:tabs>
        <w:tab w:val="center" w:pos="4513"/>
        <w:tab w:val="right" w:pos="9026"/>
      </w:tabs>
      <w:spacing w:line="240" w:lineRule="auto"/>
    </w:pPr>
  </w:style>
  <w:style w:type="character" w:customStyle="1" w:styleId="FooterChar">
    <w:name w:val="Footer Char"/>
    <w:basedOn w:val="DefaultParagraphFont"/>
    <w:link w:val="Footer"/>
    <w:uiPriority w:val="99"/>
    <w:rsid w:val="009B4E38"/>
  </w:style>
  <w:style w:type="paragraph" w:styleId="Header">
    <w:name w:val="header"/>
    <w:basedOn w:val="Normal"/>
    <w:link w:val="HeaderChar"/>
    <w:uiPriority w:val="99"/>
    <w:unhideWhenUsed/>
    <w:rsid w:val="009B4E38"/>
    <w:pPr>
      <w:tabs>
        <w:tab w:val="center" w:pos="4513"/>
        <w:tab w:val="right" w:pos="9026"/>
      </w:tabs>
      <w:spacing w:line="240" w:lineRule="auto"/>
    </w:pPr>
  </w:style>
  <w:style w:type="character" w:customStyle="1" w:styleId="HeaderChar">
    <w:name w:val="Header Char"/>
    <w:basedOn w:val="DefaultParagraphFont"/>
    <w:link w:val="Header"/>
    <w:uiPriority w:val="99"/>
    <w:rsid w:val="009B4E38"/>
  </w:style>
  <w:style w:type="paragraph" w:styleId="CommentText">
    <w:name w:val="annotation text"/>
    <w:basedOn w:val="Normal"/>
    <w:link w:val="CommentTextChar"/>
    <w:uiPriority w:val="99"/>
    <w:semiHidden/>
    <w:unhideWhenUsed/>
    <w:rsid w:val="009B4E38"/>
    <w:pPr>
      <w:spacing w:line="240" w:lineRule="auto"/>
    </w:pPr>
    <w:rPr>
      <w:sz w:val="20"/>
      <w:szCs w:val="20"/>
    </w:rPr>
  </w:style>
  <w:style w:type="character" w:customStyle="1" w:styleId="CommentTextChar">
    <w:name w:val="Comment Text Char"/>
    <w:basedOn w:val="DefaultParagraphFont"/>
    <w:link w:val="CommentText"/>
    <w:uiPriority w:val="99"/>
    <w:semiHidden/>
    <w:rsid w:val="009B4E38"/>
    <w:rPr>
      <w:sz w:val="20"/>
      <w:szCs w:val="20"/>
    </w:rPr>
  </w:style>
  <w:style w:type="paragraph" w:styleId="FootnoteText">
    <w:name w:val="footnote text"/>
    <w:basedOn w:val="Normal"/>
    <w:link w:val="FootnoteTextChar"/>
    <w:uiPriority w:val="99"/>
    <w:unhideWhenUsed/>
    <w:rsid w:val="009B4E38"/>
    <w:pPr>
      <w:spacing w:line="240" w:lineRule="auto"/>
    </w:pPr>
    <w:rPr>
      <w:sz w:val="20"/>
      <w:szCs w:val="20"/>
    </w:rPr>
  </w:style>
  <w:style w:type="character" w:customStyle="1" w:styleId="FootnoteTextChar">
    <w:name w:val="Footnote Text Char"/>
    <w:basedOn w:val="DefaultParagraphFont"/>
    <w:link w:val="FootnoteText"/>
    <w:uiPriority w:val="99"/>
    <w:rsid w:val="009B4E38"/>
    <w:rPr>
      <w:sz w:val="20"/>
      <w:szCs w:val="20"/>
    </w:rPr>
  </w:style>
  <w:style w:type="paragraph" w:styleId="NormalIndent">
    <w:name w:val="Normal Indent"/>
    <w:basedOn w:val="Normal"/>
    <w:uiPriority w:val="99"/>
    <w:semiHidden/>
    <w:unhideWhenUsed/>
    <w:rsid w:val="009B4E38"/>
    <w:pPr>
      <w:ind w:left="720"/>
    </w:pPr>
  </w:style>
  <w:style w:type="paragraph" w:styleId="TOC9">
    <w:name w:val="toc 9"/>
    <w:basedOn w:val="Normal"/>
    <w:next w:val="Normal"/>
    <w:autoRedefine/>
    <w:uiPriority w:val="39"/>
    <w:semiHidden/>
    <w:unhideWhenUsed/>
    <w:rsid w:val="009B4E38"/>
    <w:pPr>
      <w:spacing w:after="100"/>
      <w:ind w:left="1760"/>
    </w:pPr>
  </w:style>
  <w:style w:type="paragraph" w:styleId="TOC8">
    <w:name w:val="toc 8"/>
    <w:basedOn w:val="Normal"/>
    <w:next w:val="Normal"/>
    <w:autoRedefine/>
    <w:uiPriority w:val="39"/>
    <w:semiHidden/>
    <w:unhideWhenUsed/>
    <w:rsid w:val="009B4E38"/>
    <w:pPr>
      <w:spacing w:after="100"/>
      <w:ind w:left="1540"/>
    </w:pPr>
  </w:style>
  <w:style w:type="paragraph" w:styleId="TOC7">
    <w:name w:val="toc 7"/>
    <w:basedOn w:val="Normal"/>
    <w:next w:val="Normal"/>
    <w:autoRedefine/>
    <w:uiPriority w:val="39"/>
    <w:semiHidden/>
    <w:unhideWhenUsed/>
    <w:rsid w:val="009B4E38"/>
    <w:pPr>
      <w:spacing w:after="100"/>
      <w:ind w:left="1320"/>
    </w:pPr>
  </w:style>
  <w:style w:type="paragraph" w:styleId="TOC6">
    <w:name w:val="toc 6"/>
    <w:basedOn w:val="Normal"/>
    <w:next w:val="Normal"/>
    <w:autoRedefine/>
    <w:uiPriority w:val="39"/>
    <w:semiHidden/>
    <w:unhideWhenUsed/>
    <w:rsid w:val="009B4E38"/>
    <w:pPr>
      <w:spacing w:after="100"/>
      <w:ind w:left="1100"/>
    </w:pPr>
  </w:style>
  <w:style w:type="paragraph" w:styleId="TOC5">
    <w:name w:val="toc 5"/>
    <w:basedOn w:val="Normal"/>
    <w:next w:val="Normal"/>
    <w:autoRedefine/>
    <w:uiPriority w:val="39"/>
    <w:semiHidden/>
    <w:unhideWhenUsed/>
    <w:rsid w:val="009B4E38"/>
    <w:pPr>
      <w:spacing w:after="100"/>
      <w:ind w:left="880"/>
    </w:pPr>
  </w:style>
  <w:style w:type="paragraph" w:styleId="TOC4">
    <w:name w:val="toc 4"/>
    <w:basedOn w:val="Normal"/>
    <w:next w:val="Normal"/>
    <w:autoRedefine/>
    <w:uiPriority w:val="39"/>
    <w:semiHidden/>
    <w:unhideWhenUsed/>
    <w:rsid w:val="009B4E38"/>
    <w:pPr>
      <w:spacing w:after="100"/>
      <w:ind w:left="660"/>
    </w:pPr>
  </w:style>
  <w:style w:type="paragraph" w:styleId="TOC3">
    <w:name w:val="toc 3"/>
    <w:basedOn w:val="Normal"/>
    <w:next w:val="Normal"/>
    <w:autoRedefine/>
    <w:uiPriority w:val="39"/>
    <w:semiHidden/>
    <w:unhideWhenUsed/>
    <w:rsid w:val="009B4E38"/>
    <w:pPr>
      <w:spacing w:after="100"/>
      <w:ind w:left="440"/>
    </w:pPr>
  </w:style>
  <w:style w:type="paragraph" w:styleId="TOC2">
    <w:name w:val="toc 2"/>
    <w:basedOn w:val="Normal"/>
    <w:next w:val="Normal"/>
    <w:autoRedefine/>
    <w:uiPriority w:val="39"/>
    <w:semiHidden/>
    <w:unhideWhenUsed/>
    <w:rsid w:val="009B4E38"/>
    <w:pPr>
      <w:spacing w:after="100"/>
      <w:ind w:left="220"/>
    </w:pPr>
  </w:style>
  <w:style w:type="paragraph" w:styleId="TOC1">
    <w:name w:val="toc 1"/>
    <w:basedOn w:val="Normal"/>
    <w:next w:val="Normal"/>
    <w:autoRedefine/>
    <w:uiPriority w:val="39"/>
    <w:semiHidden/>
    <w:unhideWhenUsed/>
    <w:rsid w:val="009B4E38"/>
    <w:pPr>
      <w:spacing w:after="100"/>
    </w:pPr>
  </w:style>
  <w:style w:type="paragraph" w:styleId="Index9">
    <w:name w:val="index 9"/>
    <w:basedOn w:val="Normal"/>
    <w:next w:val="Normal"/>
    <w:autoRedefine/>
    <w:uiPriority w:val="99"/>
    <w:semiHidden/>
    <w:unhideWhenUsed/>
    <w:rsid w:val="009B4E38"/>
    <w:pPr>
      <w:spacing w:line="240" w:lineRule="auto"/>
      <w:ind w:left="1980" w:hanging="220"/>
    </w:pPr>
  </w:style>
  <w:style w:type="paragraph" w:styleId="Index8">
    <w:name w:val="index 8"/>
    <w:basedOn w:val="Normal"/>
    <w:next w:val="Normal"/>
    <w:autoRedefine/>
    <w:uiPriority w:val="99"/>
    <w:semiHidden/>
    <w:unhideWhenUsed/>
    <w:rsid w:val="009B4E38"/>
    <w:pPr>
      <w:spacing w:line="240" w:lineRule="auto"/>
      <w:ind w:left="1760" w:hanging="220"/>
    </w:pPr>
  </w:style>
  <w:style w:type="paragraph" w:styleId="Index7">
    <w:name w:val="index 7"/>
    <w:basedOn w:val="Normal"/>
    <w:next w:val="Normal"/>
    <w:autoRedefine/>
    <w:uiPriority w:val="99"/>
    <w:semiHidden/>
    <w:unhideWhenUsed/>
    <w:rsid w:val="009B4E38"/>
    <w:pPr>
      <w:spacing w:line="240" w:lineRule="auto"/>
      <w:ind w:left="1540" w:hanging="220"/>
    </w:pPr>
  </w:style>
  <w:style w:type="paragraph" w:styleId="Index6">
    <w:name w:val="index 6"/>
    <w:basedOn w:val="Normal"/>
    <w:next w:val="Normal"/>
    <w:autoRedefine/>
    <w:uiPriority w:val="99"/>
    <w:semiHidden/>
    <w:unhideWhenUsed/>
    <w:rsid w:val="009B4E38"/>
    <w:pPr>
      <w:spacing w:line="240" w:lineRule="auto"/>
      <w:ind w:left="1320" w:hanging="220"/>
    </w:pPr>
  </w:style>
  <w:style w:type="paragraph" w:styleId="Index5">
    <w:name w:val="index 5"/>
    <w:basedOn w:val="Normal"/>
    <w:next w:val="Normal"/>
    <w:autoRedefine/>
    <w:uiPriority w:val="99"/>
    <w:semiHidden/>
    <w:unhideWhenUsed/>
    <w:rsid w:val="009B4E38"/>
    <w:pPr>
      <w:spacing w:line="240" w:lineRule="auto"/>
      <w:ind w:left="1100" w:hanging="220"/>
    </w:pPr>
  </w:style>
  <w:style w:type="paragraph" w:styleId="Index4">
    <w:name w:val="index 4"/>
    <w:basedOn w:val="Normal"/>
    <w:next w:val="Normal"/>
    <w:autoRedefine/>
    <w:uiPriority w:val="99"/>
    <w:semiHidden/>
    <w:unhideWhenUsed/>
    <w:rsid w:val="009B4E38"/>
    <w:pPr>
      <w:spacing w:line="240" w:lineRule="auto"/>
      <w:ind w:left="880" w:hanging="220"/>
    </w:pPr>
  </w:style>
  <w:style w:type="paragraph" w:styleId="Index3">
    <w:name w:val="index 3"/>
    <w:basedOn w:val="Normal"/>
    <w:next w:val="Normal"/>
    <w:autoRedefine/>
    <w:uiPriority w:val="99"/>
    <w:semiHidden/>
    <w:unhideWhenUsed/>
    <w:rsid w:val="009B4E38"/>
    <w:pPr>
      <w:spacing w:line="240" w:lineRule="auto"/>
      <w:ind w:left="660" w:hanging="220"/>
    </w:pPr>
  </w:style>
  <w:style w:type="paragraph" w:styleId="Index2">
    <w:name w:val="index 2"/>
    <w:basedOn w:val="Normal"/>
    <w:next w:val="Normal"/>
    <w:autoRedefine/>
    <w:uiPriority w:val="99"/>
    <w:semiHidden/>
    <w:unhideWhenUsed/>
    <w:rsid w:val="009B4E38"/>
    <w:pPr>
      <w:spacing w:line="240" w:lineRule="auto"/>
      <w:ind w:left="440" w:hanging="220"/>
    </w:pPr>
  </w:style>
  <w:style w:type="character" w:customStyle="1" w:styleId="Heading9Char">
    <w:name w:val="Heading 9 Char"/>
    <w:basedOn w:val="DefaultParagraphFont"/>
    <w:link w:val="Heading9"/>
    <w:uiPriority w:val="9"/>
    <w:semiHidden/>
    <w:rsid w:val="009B4E38"/>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9B4E38"/>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9B4E38"/>
    <w:rPr>
      <w:rFonts w:asciiTheme="majorHAnsi" w:eastAsiaTheme="majorEastAsia" w:hAnsiTheme="majorHAnsi" w:cstheme="majorBidi"/>
      <w:i/>
      <w:iCs/>
      <w:color w:val="1F4D78" w:themeColor="accent1" w:themeShade="7F"/>
    </w:rPr>
  </w:style>
  <w:style w:type="character" w:customStyle="1" w:styleId="Heading6Char">
    <w:name w:val="Heading 6 Char"/>
    <w:basedOn w:val="DefaultParagraphFont"/>
    <w:link w:val="Heading6"/>
    <w:uiPriority w:val="9"/>
    <w:semiHidden/>
    <w:rsid w:val="009B4E38"/>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9B4E38"/>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9B4E38"/>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9B4E3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B4E38"/>
    <w:rPr>
      <w:rFonts w:asciiTheme="majorHAnsi" w:eastAsiaTheme="majorEastAsia" w:hAnsiTheme="majorHAnsi" w:cstheme="majorBidi"/>
      <w:color w:val="2E74B5" w:themeColor="accent1" w:themeShade="BF"/>
      <w:sz w:val="26"/>
      <w:szCs w:val="26"/>
    </w:rPr>
  </w:style>
  <w:style w:type="paragraph" w:customStyle="1" w:styleId="CitaviBibliographyEntry">
    <w:name w:val="Citavi Bibliography Entry"/>
    <w:basedOn w:val="Normal"/>
    <w:link w:val="CitaviBibliographyEntryChar"/>
    <w:rsid w:val="009B4E38"/>
    <w:pPr>
      <w:tabs>
        <w:tab w:val="left" w:pos="283"/>
      </w:tabs>
      <w:ind w:left="283" w:hanging="283"/>
    </w:pPr>
  </w:style>
  <w:style w:type="character" w:customStyle="1" w:styleId="CitaviBibliographyEntryChar">
    <w:name w:val="Citavi Bibliography Entry Char"/>
    <w:basedOn w:val="DefaultParagraphFont"/>
    <w:link w:val="CitaviBibliographyEntry"/>
    <w:rsid w:val="009B4E38"/>
    <w:rPr>
      <w:rFonts w:ascii="Times New Roman" w:hAnsi="Times New Roman"/>
      <w:sz w:val="24"/>
    </w:rPr>
  </w:style>
  <w:style w:type="paragraph" w:customStyle="1" w:styleId="CitaviBibliographyHeading">
    <w:name w:val="Citavi Bibliography Heading"/>
    <w:basedOn w:val="Heading1"/>
    <w:link w:val="CitaviBibliographyHeadingChar"/>
    <w:rsid w:val="009B4E38"/>
    <w:pPr>
      <w:jc w:val="left"/>
    </w:pPr>
  </w:style>
  <w:style w:type="character" w:customStyle="1" w:styleId="CitaviBibliographyHeadingChar">
    <w:name w:val="Citavi Bibliography Heading Char"/>
    <w:basedOn w:val="DefaultParagraphFont"/>
    <w:link w:val="CitaviBibliographyHeading"/>
    <w:rsid w:val="009B4E38"/>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F52FA1"/>
    <w:rPr>
      <w:b/>
      <w:bCs/>
    </w:rPr>
  </w:style>
  <w:style w:type="character" w:customStyle="1" w:styleId="CommentSubjectChar">
    <w:name w:val="Comment Subject Char"/>
    <w:basedOn w:val="CommentTextChar"/>
    <w:link w:val="CommentSubject"/>
    <w:uiPriority w:val="99"/>
    <w:semiHidden/>
    <w:rsid w:val="00F52FA1"/>
    <w:rPr>
      <w:b/>
      <w:bCs/>
      <w:sz w:val="20"/>
      <w:szCs w:val="20"/>
    </w:rPr>
  </w:style>
  <w:style w:type="paragraph" w:styleId="BalloonText">
    <w:name w:val="Balloon Text"/>
    <w:basedOn w:val="Normal"/>
    <w:link w:val="BalloonTextChar"/>
    <w:uiPriority w:val="99"/>
    <w:semiHidden/>
    <w:unhideWhenUsed/>
    <w:rsid w:val="00F52F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FA1"/>
    <w:rPr>
      <w:rFonts w:ascii="Segoe UI" w:hAnsi="Segoe UI" w:cs="Segoe UI"/>
      <w:sz w:val="18"/>
      <w:szCs w:val="18"/>
    </w:rPr>
  </w:style>
  <w:style w:type="paragraph" w:customStyle="1" w:styleId="Aufzhlung">
    <w:name w:val="Aufzählung"/>
    <w:basedOn w:val="Normal"/>
    <w:link w:val="AufzhlungZchn"/>
    <w:qFormat/>
    <w:rsid w:val="003E633B"/>
    <w:pPr>
      <w:numPr>
        <w:numId w:val="17"/>
      </w:numPr>
      <w:spacing w:before="240" w:after="240"/>
      <w:contextualSpacing/>
    </w:pPr>
    <w:rPr>
      <w:rFonts w:eastAsia="Times New Roman" w:cs="Times New Roman"/>
      <w:szCs w:val="24"/>
      <w:lang w:eastAsia="de-DE"/>
    </w:rPr>
  </w:style>
  <w:style w:type="character" w:customStyle="1" w:styleId="AufzhlungZchn">
    <w:name w:val="Aufzählung Zchn"/>
    <w:link w:val="Aufzhlung"/>
    <w:rsid w:val="003E633B"/>
    <w:rPr>
      <w:rFonts w:ascii="Times New Roman" w:eastAsia="Times New Roman" w:hAnsi="Times New Roman" w:cs="Times New Roman"/>
      <w:sz w:val="24"/>
      <w:szCs w:val="24"/>
      <w:lang w:eastAsia="de-DE"/>
    </w:rPr>
  </w:style>
  <w:style w:type="paragraph" w:customStyle="1" w:styleId="Quotation">
    <w:name w:val="Quotation"/>
    <w:basedOn w:val="Normal"/>
    <w:next w:val="Normal"/>
    <w:qFormat/>
    <w:rsid w:val="00860B72"/>
    <w:pPr>
      <w:spacing w:before="240" w:after="240"/>
      <w:ind w:left="709"/>
      <w:contextualSpacing/>
    </w:pPr>
    <w:rPr>
      <w:rFonts w:eastAsia="Times New Roman" w:cs="Times New Roman"/>
      <w:szCs w:val="24"/>
      <w:lang w:eastAsia="de-DE"/>
    </w:rPr>
  </w:style>
  <w:style w:type="table" w:styleId="TableGrid">
    <w:name w:val="Table Grid"/>
    <w:basedOn w:val="TableNormal"/>
    <w:uiPriority w:val="39"/>
    <w:rsid w:val="0010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
    <w:name w:val="Citavi Bibliography"/>
    <w:basedOn w:val="Normal"/>
    <w:rsid w:val="005008FC"/>
    <w:pPr>
      <w:spacing w:after="120" w:line="360" w:lineRule="atLeast"/>
    </w:pPr>
    <w:rPr>
      <w:rFonts w:eastAsia="Times New Roman" w:cs="Times New Roman"/>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7724">
      <w:bodyDiv w:val="1"/>
      <w:marLeft w:val="0"/>
      <w:marRight w:val="0"/>
      <w:marTop w:val="0"/>
      <w:marBottom w:val="0"/>
      <w:divBdr>
        <w:top w:val="none" w:sz="0" w:space="0" w:color="auto"/>
        <w:left w:val="none" w:sz="0" w:space="0" w:color="auto"/>
        <w:bottom w:val="none" w:sz="0" w:space="0" w:color="auto"/>
        <w:right w:val="none" w:sz="0" w:space="0" w:color="auto"/>
      </w:divBdr>
    </w:div>
    <w:div w:id="219633063">
      <w:bodyDiv w:val="1"/>
      <w:marLeft w:val="0"/>
      <w:marRight w:val="0"/>
      <w:marTop w:val="0"/>
      <w:marBottom w:val="0"/>
      <w:divBdr>
        <w:top w:val="none" w:sz="0" w:space="0" w:color="auto"/>
        <w:left w:val="none" w:sz="0" w:space="0" w:color="auto"/>
        <w:bottom w:val="none" w:sz="0" w:space="0" w:color="auto"/>
        <w:right w:val="none" w:sz="0" w:space="0" w:color="auto"/>
      </w:divBdr>
      <w:divsChild>
        <w:div w:id="785121472">
          <w:marLeft w:val="994"/>
          <w:marRight w:val="0"/>
          <w:marTop w:val="0"/>
          <w:marBottom w:val="0"/>
          <w:divBdr>
            <w:top w:val="none" w:sz="0" w:space="0" w:color="auto"/>
            <w:left w:val="none" w:sz="0" w:space="0" w:color="auto"/>
            <w:bottom w:val="none" w:sz="0" w:space="0" w:color="auto"/>
            <w:right w:val="none" w:sz="0" w:space="0" w:color="auto"/>
          </w:divBdr>
        </w:div>
        <w:div w:id="1127972713">
          <w:marLeft w:val="994"/>
          <w:marRight w:val="0"/>
          <w:marTop w:val="0"/>
          <w:marBottom w:val="0"/>
          <w:divBdr>
            <w:top w:val="none" w:sz="0" w:space="0" w:color="auto"/>
            <w:left w:val="none" w:sz="0" w:space="0" w:color="auto"/>
            <w:bottom w:val="none" w:sz="0" w:space="0" w:color="auto"/>
            <w:right w:val="none" w:sz="0" w:space="0" w:color="auto"/>
          </w:divBdr>
        </w:div>
        <w:div w:id="1129199732">
          <w:marLeft w:val="994"/>
          <w:marRight w:val="0"/>
          <w:marTop w:val="0"/>
          <w:marBottom w:val="0"/>
          <w:divBdr>
            <w:top w:val="none" w:sz="0" w:space="0" w:color="auto"/>
            <w:left w:val="none" w:sz="0" w:space="0" w:color="auto"/>
            <w:bottom w:val="none" w:sz="0" w:space="0" w:color="auto"/>
            <w:right w:val="none" w:sz="0" w:space="0" w:color="auto"/>
          </w:divBdr>
        </w:div>
        <w:div w:id="1163545675">
          <w:marLeft w:val="994"/>
          <w:marRight w:val="0"/>
          <w:marTop w:val="0"/>
          <w:marBottom w:val="0"/>
          <w:divBdr>
            <w:top w:val="none" w:sz="0" w:space="0" w:color="auto"/>
            <w:left w:val="none" w:sz="0" w:space="0" w:color="auto"/>
            <w:bottom w:val="none" w:sz="0" w:space="0" w:color="auto"/>
            <w:right w:val="none" w:sz="0" w:space="0" w:color="auto"/>
          </w:divBdr>
        </w:div>
        <w:div w:id="2063866365">
          <w:marLeft w:val="274"/>
          <w:marRight w:val="0"/>
          <w:marTop w:val="0"/>
          <w:marBottom w:val="0"/>
          <w:divBdr>
            <w:top w:val="none" w:sz="0" w:space="0" w:color="auto"/>
            <w:left w:val="none" w:sz="0" w:space="0" w:color="auto"/>
            <w:bottom w:val="none" w:sz="0" w:space="0" w:color="auto"/>
            <w:right w:val="none" w:sz="0" w:space="0" w:color="auto"/>
          </w:divBdr>
        </w:div>
        <w:div w:id="2107460197">
          <w:marLeft w:val="274"/>
          <w:marRight w:val="0"/>
          <w:marTop w:val="0"/>
          <w:marBottom w:val="0"/>
          <w:divBdr>
            <w:top w:val="none" w:sz="0" w:space="0" w:color="auto"/>
            <w:left w:val="none" w:sz="0" w:space="0" w:color="auto"/>
            <w:bottom w:val="none" w:sz="0" w:space="0" w:color="auto"/>
            <w:right w:val="none" w:sz="0" w:space="0" w:color="auto"/>
          </w:divBdr>
        </w:div>
      </w:divsChild>
    </w:div>
    <w:div w:id="400757201">
      <w:bodyDiv w:val="1"/>
      <w:marLeft w:val="0"/>
      <w:marRight w:val="0"/>
      <w:marTop w:val="0"/>
      <w:marBottom w:val="0"/>
      <w:divBdr>
        <w:top w:val="none" w:sz="0" w:space="0" w:color="auto"/>
        <w:left w:val="none" w:sz="0" w:space="0" w:color="auto"/>
        <w:bottom w:val="none" w:sz="0" w:space="0" w:color="auto"/>
        <w:right w:val="none" w:sz="0" w:space="0" w:color="auto"/>
      </w:divBdr>
      <w:divsChild>
        <w:div w:id="924265405">
          <w:marLeft w:val="446"/>
          <w:marRight w:val="0"/>
          <w:marTop w:val="0"/>
          <w:marBottom w:val="0"/>
          <w:divBdr>
            <w:top w:val="none" w:sz="0" w:space="0" w:color="auto"/>
            <w:left w:val="none" w:sz="0" w:space="0" w:color="auto"/>
            <w:bottom w:val="none" w:sz="0" w:space="0" w:color="auto"/>
            <w:right w:val="none" w:sz="0" w:space="0" w:color="auto"/>
          </w:divBdr>
        </w:div>
        <w:div w:id="1122266689">
          <w:marLeft w:val="446"/>
          <w:marRight w:val="0"/>
          <w:marTop w:val="0"/>
          <w:marBottom w:val="0"/>
          <w:divBdr>
            <w:top w:val="none" w:sz="0" w:space="0" w:color="auto"/>
            <w:left w:val="none" w:sz="0" w:space="0" w:color="auto"/>
            <w:bottom w:val="none" w:sz="0" w:space="0" w:color="auto"/>
            <w:right w:val="none" w:sz="0" w:space="0" w:color="auto"/>
          </w:divBdr>
        </w:div>
      </w:divsChild>
    </w:div>
    <w:div w:id="445930399">
      <w:bodyDiv w:val="1"/>
      <w:marLeft w:val="0"/>
      <w:marRight w:val="0"/>
      <w:marTop w:val="0"/>
      <w:marBottom w:val="0"/>
      <w:divBdr>
        <w:top w:val="none" w:sz="0" w:space="0" w:color="auto"/>
        <w:left w:val="none" w:sz="0" w:space="0" w:color="auto"/>
        <w:bottom w:val="none" w:sz="0" w:space="0" w:color="auto"/>
        <w:right w:val="none" w:sz="0" w:space="0" w:color="auto"/>
      </w:divBdr>
    </w:div>
    <w:div w:id="567036567">
      <w:bodyDiv w:val="1"/>
      <w:marLeft w:val="0"/>
      <w:marRight w:val="0"/>
      <w:marTop w:val="0"/>
      <w:marBottom w:val="0"/>
      <w:divBdr>
        <w:top w:val="none" w:sz="0" w:space="0" w:color="auto"/>
        <w:left w:val="none" w:sz="0" w:space="0" w:color="auto"/>
        <w:bottom w:val="none" w:sz="0" w:space="0" w:color="auto"/>
        <w:right w:val="none" w:sz="0" w:space="0" w:color="auto"/>
      </w:divBdr>
    </w:div>
    <w:div w:id="657537671">
      <w:bodyDiv w:val="1"/>
      <w:marLeft w:val="0"/>
      <w:marRight w:val="0"/>
      <w:marTop w:val="0"/>
      <w:marBottom w:val="0"/>
      <w:divBdr>
        <w:top w:val="none" w:sz="0" w:space="0" w:color="auto"/>
        <w:left w:val="none" w:sz="0" w:space="0" w:color="auto"/>
        <w:bottom w:val="none" w:sz="0" w:space="0" w:color="auto"/>
        <w:right w:val="none" w:sz="0" w:space="0" w:color="auto"/>
      </w:divBdr>
    </w:div>
    <w:div w:id="724838905">
      <w:bodyDiv w:val="1"/>
      <w:marLeft w:val="0"/>
      <w:marRight w:val="0"/>
      <w:marTop w:val="0"/>
      <w:marBottom w:val="0"/>
      <w:divBdr>
        <w:top w:val="none" w:sz="0" w:space="0" w:color="auto"/>
        <w:left w:val="none" w:sz="0" w:space="0" w:color="auto"/>
        <w:bottom w:val="none" w:sz="0" w:space="0" w:color="auto"/>
        <w:right w:val="none" w:sz="0" w:space="0" w:color="auto"/>
      </w:divBdr>
    </w:div>
    <w:div w:id="809441450">
      <w:bodyDiv w:val="1"/>
      <w:marLeft w:val="0"/>
      <w:marRight w:val="0"/>
      <w:marTop w:val="0"/>
      <w:marBottom w:val="0"/>
      <w:divBdr>
        <w:top w:val="none" w:sz="0" w:space="0" w:color="auto"/>
        <w:left w:val="none" w:sz="0" w:space="0" w:color="auto"/>
        <w:bottom w:val="none" w:sz="0" w:space="0" w:color="auto"/>
        <w:right w:val="none" w:sz="0" w:space="0" w:color="auto"/>
      </w:divBdr>
    </w:div>
    <w:div w:id="881792907">
      <w:bodyDiv w:val="1"/>
      <w:marLeft w:val="0"/>
      <w:marRight w:val="0"/>
      <w:marTop w:val="0"/>
      <w:marBottom w:val="0"/>
      <w:divBdr>
        <w:top w:val="none" w:sz="0" w:space="0" w:color="auto"/>
        <w:left w:val="none" w:sz="0" w:space="0" w:color="auto"/>
        <w:bottom w:val="none" w:sz="0" w:space="0" w:color="auto"/>
        <w:right w:val="none" w:sz="0" w:space="0" w:color="auto"/>
      </w:divBdr>
      <w:divsChild>
        <w:div w:id="2247947">
          <w:marLeft w:val="446"/>
          <w:marRight w:val="0"/>
          <w:marTop w:val="0"/>
          <w:marBottom w:val="0"/>
          <w:divBdr>
            <w:top w:val="none" w:sz="0" w:space="0" w:color="auto"/>
            <w:left w:val="none" w:sz="0" w:space="0" w:color="auto"/>
            <w:bottom w:val="none" w:sz="0" w:space="0" w:color="auto"/>
            <w:right w:val="none" w:sz="0" w:space="0" w:color="auto"/>
          </w:divBdr>
        </w:div>
        <w:div w:id="578559679">
          <w:marLeft w:val="446"/>
          <w:marRight w:val="0"/>
          <w:marTop w:val="0"/>
          <w:marBottom w:val="0"/>
          <w:divBdr>
            <w:top w:val="none" w:sz="0" w:space="0" w:color="auto"/>
            <w:left w:val="none" w:sz="0" w:space="0" w:color="auto"/>
            <w:bottom w:val="none" w:sz="0" w:space="0" w:color="auto"/>
            <w:right w:val="none" w:sz="0" w:space="0" w:color="auto"/>
          </w:divBdr>
        </w:div>
        <w:div w:id="648247457">
          <w:marLeft w:val="446"/>
          <w:marRight w:val="0"/>
          <w:marTop w:val="0"/>
          <w:marBottom w:val="0"/>
          <w:divBdr>
            <w:top w:val="none" w:sz="0" w:space="0" w:color="auto"/>
            <w:left w:val="none" w:sz="0" w:space="0" w:color="auto"/>
            <w:bottom w:val="none" w:sz="0" w:space="0" w:color="auto"/>
            <w:right w:val="none" w:sz="0" w:space="0" w:color="auto"/>
          </w:divBdr>
        </w:div>
        <w:div w:id="778796610">
          <w:marLeft w:val="446"/>
          <w:marRight w:val="0"/>
          <w:marTop w:val="0"/>
          <w:marBottom w:val="0"/>
          <w:divBdr>
            <w:top w:val="none" w:sz="0" w:space="0" w:color="auto"/>
            <w:left w:val="none" w:sz="0" w:space="0" w:color="auto"/>
            <w:bottom w:val="none" w:sz="0" w:space="0" w:color="auto"/>
            <w:right w:val="none" w:sz="0" w:space="0" w:color="auto"/>
          </w:divBdr>
        </w:div>
        <w:div w:id="1117068548">
          <w:marLeft w:val="446"/>
          <w:marRight w:val="0"/>
          <w:marTop w:val="0"/>
          <w:marBottom w:val="0"/>
          <w:divBdr>
            <w:top w:val="none" w:sz="0" w:space="0" w:color="auto"/>
            <w:left w:val="none" w:sz="0" w:space="0" w:color="auto"/>
            <w:bottom w:val="none" w:sz="0" w:space="0" w:color="auto"/>
            <w:right w:val="none" w:sz="0" w:space="0" w:color="auto"/>
          </w:divBdr>
        </w:div>
        <w:div w:id="1217738562">
          <w:marLeft w:val="446"/>
          <w:marRight w:val="0"/>
          <w:marTop w:val="0"/>
          <w:marBottom w:val="0"/>
          <w:divBdr>
            <w:top w:val="none" w:sz="0" w:space="0" w:color="auto"/>
            <w:left w:val="none" w:sz="0" w:space="0" w:color="auto"/>
            <w:bottom w:val="none" w:sz="0" w:space="0" w:color="auto"/>
            <w:right w:val="none" w:sz="0" w:space="0" w:color="auto"/>
          </w:divBdr>
        </w:div>
        <w:div w:id="1453010740">
          <w:marLeft w:val="446"/>
          <w:marRight w:val="0"/>
          <w:marTop w:val="0"/>
          <w:marBottom w:val="0"/>
          <w:divBdr>
            <w:top w:val="none" w:sz="0" w:space="0" w:color="auto"/>
            <w:left w:val="none" w:sz="0" w:space="0" w:color="auto"/>
            <w:bottom w:val="none" w:sz="0" w:space="0" w:color="auto"/>
            <w:right w:val="none" w:sz="0" w:space="0" w:color="auto"/>
          </w:divBdr>
        </w:div>
      </w:divsChild>
    </w:div>
    <w:div w:id="1042636096">
      <w:bodyDiv w:val="1"/>
      <w:marLeft w:val="0"/>
      <w:marRight w:val="0"/>
      <w:marTop w:val="0"/>
      <w:marBottom w:val="0"/>
      <w:divBdr>
        <w:top w:val="none" w:sz="0" w:space="0" w:color="auto"/>
        <w:left w:val="none" w:sz="0" w:space="0" w:color="auto"/>
        <w:bottom w:val="none" w:sz="0" w:space="0" w:color="auto"/>
        <w:right w:val="none" w:sz="0" w:space="0" w:color="auto"/>
      </w:divBdr>
      <w:divsChild>
        <w:div w:id="406611926">
          <w:marLeft w:val="446"/>
          <w:marRight w:val="0"/>
          <w:marTop w:val="0"/>
          <w:marBottom w:val="0"/>
          <w:divBdr>
            <w:top w:val="none" w:sz="0" w:space="0" w:color="auto"/>
            <w:left w:val="none" w:sz="0" w:space="0" w:color="auto"/>
            <w:bottom w:val="none" w:sz="0" w:space="0" w:color="auto"/>
            <w:right w:val="none" w:sz="0" w:space="0" w:color="auto"/>
          </w:divBdr>
        </w:div>
        <w:div w:id="421804057">
          <w:marLeft w:val="446"/>
          <w:marRight w:val="0"/>
          <w:marTop w:val="0"/>
          <w:marBottom w:val="0"/>
          <w:divBdr>
            <w:top w:val="none" w:sz="0" w:space="0" w:color="auto"/>
            <w:left w:val="none" w:sz="0" w:space="0" w:color="auto"/>
            <w:bottom w:val="none" w:sz="0" w:space="0" w:color="auto"/>
            <w:right w:val="none" w:sz="0" w:space="0" w:color="auto"/>
          </w:divBdr>
        </w:div>
        <w:div w:id="640355040">
          <w:marLeft w:val="446"/>
          <w:marRight w:val="0"/>
          <w:marTop w:val="0"/>
          <w:marBottom w:val="0"/>
          <w:divBdr>
            <w:top w:val="none" w:sz="0" w:space="0" w:color="auto"/>
            <w:left w:val="none" w:sz="0" w:space="0" w:color="auto"/>
            <w:bottom w:val="none" w:sz="0" w:space="0" w:color="auto"/>
            <w:right w:val="none" w:sz="0" w:space="0" w:color="auto"/>
          </w:divBdr>
        </w:div>
        <w:div w:id="1635404613">
          <w:marLeft w:val="446"/>
          <w:marRight w:val="0"/>
          <w:marTop w:val="0"/>
          <w:marBottom w:val="0"/>
          <w:divBdr>
            <w:top w:val="none" w:sz="0" w:space="0" w:color="auto"/>
            <w:left w:val="none" w:sz="0" w:space="0" w:color="auto"/>
            <w:bottom w:val="none" w:sz="0" w:space="0" w:color="auto"/>
            <w:right w:val="none" w:sz="0" w:space="0" w:color="auto"/>
          </w:divBdr>
        </w:div>
      </w:divsChild>
    </w:div>
    <w:div w:id="1240022418">
      <w:bodyDiv w:val="1"/>
      <w:marLeft w:val="0"/>
      <w:marRight w:val="0"/>
      <w:marTop w:val="0"/>
      <w:marBottom w:val="0"/>
      <w:divBdr>
        <w:top w:val="none" w:sz="0" w:space="0" w:color="auto"/>
        <w:left w:val="none" w:sz="0" w:space="0" w:color="auto"/>
        <w:bottom w:val="none" w:sz="0" w:space="0" w:color="auto"/>
        <w:right w:val="none" w:sz="0" w:space="0" w:color="auto"/>
      </w:divBdr>
    </w:div>
    <w:div w:id="1316642520">
      <w:bodyDiv w:val="1"/>
      <w:marLeft w:val="0"/>
      <w:marRight w:val="0"/>
      <w:marTop w:val="0"/>
      <w:marBottom w:val="0"/>
      <w:divBdr>
        <w:top w:val="none" w:sz="0" w:space="0" w:color="auto"/>
        <w:left w:val="none" w:sz="0" w:space="0" w:color="auto"/>
        <w:bottom w:val="none" w:sz="0" w:space="0" w:color="auto"/>
        <w:right w:val="none" w:sz="0" w:space="0" w:color="auto"/>
      </w:divBdr>
      <w:divsChild>
        <w:div w:id="448668199">
          <w:marLeft w:val="994"/>
          <w:marRight w:val="0"/>
          <w:marTop w:val="0"/>
          <w:marBottom w:val="0"/>
          <w:divBdr>
            <w:top w:val="none" w:sz="0" w:space="0" w:color="auto"/>
            <w:left w:val="none" w:sz="0" w:space="0" w:color="auto"/>
            <w:bottom w:val="none" w:sz="0" w:space="0" w:color="auto"/>
            <w:right w:val="none" w:sz="0" w:space="0" w:color="auto"/>
          </w:divBdr>
        </w:div>
        <w:div w:id="494229577">
          <w:marLeft w:val="994"/>
          <w:marRight w:val="0"/>
          <w:marTop w:val="0"/>
          <w:marBottom w:val="0"/>
          <w:divBdr>
            <w:top w:val="none" w:sz="0" w:space="0" w:color="auto"/>
            <w:left w:val="none" w:sz="0" w:space="0" w:color="auto"/>
            <w:bottom w:val="none" w:sz="0" w:space="0" w:color="auto"/>
            <w:right w:val="none" w:sz="0" w:space="0" w:color="auto"/>
          </w:divBdr>
        </w:div>
        <w:div w:id="514880727">
          <w:marLeft w:val="994"/>
          <w:marRight w:val="0"/>
          <w:marTop w:val="0"/>
          <w:marBottom w:val="0"/>
          <w:divBdr>
            <w:top w:val="none" w:sz="0" w:space="0" w:color="auto"/>
            <w:left w:val="none" w:sz="0" w:space="0" w:color="auto"/>
            <w:bottom w:val="none" w:sz="0" w:space="0" w:color="auto"/>
            <w:right w:val="none" w:sz="0" w:space="0" w:color="auto"/>
          </w:divBdr>
        </w:div>
        <w:div w:id="516240522">
          <w:marLeft w:val="274"/>
          <w:marRight w:val="0"/>
          <w:marTop w:val="0"/>
          <w:marBottom w:val="0"/>
          <w:divBdr>
            <w:top w:val="none" w:sz="0" w:space="0" w:color="auto"/>
            <w:left w:val="none" w:sz="0" w:space="0" w:color="auto"/>
            <w:bottom w:val="none" w:sz="0" w:space="0" w:color="auto"/>
            <w:right w:val="none" w:sz="0" w:space="0" w:color="auto"/>
          </w:divBdr>
        </w:div>
        <w:div w:id="518088289">
          <w:marLeft w:val="994"/>
          <w:marRight w:val="0"/>
          <w:marTop w:val="0"/>
          <w:marBottom w:val="0"/>
          <w:divBdr>
            <w:top w:val="none" w:sz="0" w:space="0" w:color="auto"/>
            <w:left w:val="none" w:sz="0" w:space="0" w:color="auto"/>
            <w:bottom w:val="none" w:sz="0" w:space="0" w:color="auto"/>
            <w:right w:val="none" w:sz="0" w:space="0" w:color="auto"/>
          </w:divBdr>
        </w:div>
        <w:div w:id="599217009">
          <w:marLeft w:val="994"/>
          <w:marRight w:val="0"/>
          <w:marTop w:val="0"/>
          <w:marBottom w:val="0"/>
          <w:divBdr>
            <w:top w:val="none" w:sz="0" w:space="0" w:color="auto"/>
            <w:left w:val="none" w:sz="0" w:space="0" w:color="auto"/>
            <w:bottom w:val="none" w:sz="0" w:space="0" w:color="auto"/>
            <w:right w:val="none" w:sz="0" w:space="0" w:color="auto"/>
          </w:divBdr>
        </w:div>
        <w:div w:id="747847089">
          <w:marLeft w:val="274"/>
          <w:marRight w:val="0"/>
          <w:marTop w:val="0"/>
          <w:marBottom w:val="0"/>
          <w:divBdr>
            <w:top w:val="none" w:sz="0" w:space="0" w:color="auto"/>
            <w:left w:val="none" w:sz="0" w:space="0" w:color="auto"/>
            <w:bottom w:val="none" w:sz="0" w:space="0" w:color="auto"/>
            <w:right w:val="none" w:sz="0" w:space="0" w:color="auto"/>
          </w:divBdr>
        </w:div>
        <w:div w:id="776947395">
          <w:marLeft w:val="994"/>
          <w:marRight w:val="0"/>
          <w:marTop w:val="0"/>
          <w:marBottom w:val="0"/>
          <w:divBdr>
            <w:top w:val="none" w:sz="0" w:space="0" w:color="auto"/>
            <w:left w:val="none" w:sz="0" w:space="0" w:color="auto"/>
            <w:bottom w:val="none" w:sz="0" w:space="0" w:color="auto"/>
            <w:right w:val="none" w:sz="0" w:space="0" w:color="auto"/>
          </w:divBdr>
        </w:div>
        <w:div w:id="850728149">
          <w:marLeft w:val="274"/>
          <w:marRight w:val="0"/>
          <w:marTop w:val="0"/>
          <w:marBottom w:val="0"/>
          <w:divBdr>
            <w:top w:val="none" w:sz="0" w:space="0" w:color="auto"/>
            <w:left w:val="none" w:sz="0" w:space="0" w:color="auto"/>
            <w:bottom w:val="none" w:sz="0" w:space="0" w:color="auto"/>
            <w:right w:val="none" w:sz="0" w:space="0" w:color="auto"/>
          </w:divBdr>
        </w:div>
        <w:div w:id="1204058250">
          <w:marLeft w:val="994"/>
          <w:marRight w:val="0"/>
          <w:marTop w:val="0"/>
          <w:marBottom w:val="0"/>
          <w:divBdr>
            <w:top w:val="none" w:sz="0" w:space="0" w:color="auto"/>
            <w:left w:val="none" w:sz="0" w:space="0" w:color="auto"/>
            <w:bottom w:val="none" w:sz="0" w:space="0" w:color="auto"/>
            <w:right w:val="none" w:sz="0" w:space="0" w:color="auto"/>
          </w:divBdr>
        </w:div>
        <w:div w:id="1356883739">
          <w:marLeft w:val="994"/>
          <w:marRight w:val="0"/>
          <w:marTop w:val="0"/>
          <w:marBottom w:val="0"/>
          <w:divBdr>
            <w:top w:val="none" w:sz="0" w:space="0" w:color="auto"/>
            <w:left w:val="none" w:sz="0" w:space="0" w:color="auto"/>
            <w:bottom w:val="none" w:sz="0" w:space="0" w:color="auto"/>
            <w:right w:val="none" w:sz="0" w:space="0" w:color="auto"/>
          </w:divBdr>
        </w:div>
        <w:div w:id="1406609477">
          <w:marLeft w:val="994"/>
          <w:marRight w:val="0"/>
          <w:marTop w:val="0"/>
          <w:marBottom w:val="0"/>
          <w:divBdr>
            <w:top w:val="none" w:sz="0" w:space="0" w:color="auto"/>
            <w:left w:val="none" w:sz="0" w:space="0" w:color="auto"/>
            <w:bottom w:val="none" w:sz="0" w:space="0" w:color="auto"/>
            <w:right w:val="none" w:sz="0" w:space="0" w:color="auto"/>
          </w:divBdr>
        </w:div>
        <w:div w:id="1510439094">
          <w:marLeft w:val="994"/>
          <w:marRight w:val="0"/>
          <w:marTop w:val="0"/>
          <w:marBottom w:val="0"/>
          <w:divBdr>
            <w:top w:val="none" w:sz="0" w:space="0" w:color="auto"/>
            <w:left w:val="none" w:sz="0" w:space="0" w:color="auto"/>
            <w:bottom w:val="none" w:sz="0" w:space="0" w:color="auto"/>
            <w:right w:val="none" w:sz="0" w:space="0" w:color="auto"/>
          </w:divBdr>
        </w:div>
        <w:div w:id="1752043512">
          <w:marLeft w:val="274"/>
          <w:marRight w:val="0"/>
          <w:marTop w:val="0"/>
          <w:marBottom w:val="0"/>
          <w:divBdr>
            <w:top w:val="none" w:sz="0" w:space="0" w:color="auto"/>
            <w:left w:val="none" w:sz="0" w:space="0" w:color="auto"/>
            <w:bottom w:val="none" w:sz="0" w:space="0" w:color="auto"/>
            <w:right w:val="none" w:sz="0" w:space="0" w:color="auto"/>
          </w:divBdr>
        </w:div>
        <w:div w:id="1774322298">
          <w:marLeft w:val="274"/>
          <w:marRight w:val="0"/>
          <w:marTop w:val="0"/>
          <w:marBottom w:val="0"/>
          <w:divBdr>
            <w:top w:val="none" w:sz="0" w:space="0" w:color="auto"/>
            <w:left w:val="none" w:sz="0" w:space="0" w:color="auto"/>
            <w:bottom w:val="none" w:sz="0" w:space="0" w:color="auto"/>
            <w:right w:val="none" w:sz="0" w:space="0" w:color="auto"/>
          </w:divBdr>
        </w:div>
      </w:divsChild>
    </w:div>
    <w:div w:id="1498379922">
      <w:bodyDiv w:val="1"/>
      <w:marLeft w:val="0"/>
      <w:marRight w:val="0"/>
      <w:marTop w:val="0"/>
      <w:marBottom w:val="0"/>
      <w:divBdr>
        <w:top w:val="none" w:sz="0" w:space="0" w:color="auto"/>
        <w:left w:val="none" w:sz="0" w:space="0" w:color="auto"/>
        <w:bottom w:val="none" w:sz="0" w:space="0" w:color="auto"/>
        <w:right w:val="none" w:sz="0" w:space="0" w:color="auto"/>
      </w:divBdr>
    </w:div>
    <w:div w:id="1670210328">
      <w:bodyDiv w:val="1"/>
      <w:marLeft w:val="0"/>
      <w:marRight w:val="0"/>
      <w:marTop w:val="0"/>
      <w:marBottom w:val="0"/>
      <w:divBdr>
        <w:top w:val="none" w:sz="0" w:space="0" w:color="auto"/>
        <w:left w:val="none" w:sz="0" w:space="0" w:color="auto"/>
        <w:bottom w:val="none" w:sz="0" w:space="0" w:color="auto"/>
        <w:right w:val="none" w:sz="0" w:space="0" w:color="auto"/>
      </w:divBdr>
    </w:div>
    <w:div w:id="1742288950">
      <w:bodyDiv w:val="1"/>
      <w:marLeft w:val="0"/>
      <w:marRight w:val="0"/>
      <w:marTop w:val="0"/>
      <w:marBottom w:val="0"/>
      <w:divBdr>
        <w:top w:val="none" w:sz="0" w:space="0" w:color="auto"/>
        <w:left w:val="none" w:sz="0" w:space="0" w:color="auto"/>
        <w:bottom w:val="none" w:sz="0" w:space="0" w:color="auto"/>
        <w:right w:val="none" w:sz="0" w:space="0" w:color="auto"/>
      </w:divBdr>
    </w:div>
    <w:div w:id="1907295435">
      <w:bodyDiv w:val="1"/>
      <w:marLeft w:val="0"/>
      <w:marRight w:val="0"/>
      <w:marTop w:val="0"/>
      <w:marBottom w:val="0"/>
      <w:divBdr>
        <w:top w:val="none" w:sz="0" w:space="0" w:color="auto"/>
        <w:left w:val="none" w:sz="0" w:space="0" w:color="auto"/>
        <w:bottom w:val="none" w:sz="0" w:space="0" w:color="auto"/>
        <w:right w:val="none" w:sz="0" w:space="0" w:color="auto"/>
      </w:divBdr>
    </w:div>
    <w:div w:id="2010326635">
      <w:bodyDiv w:val="1"/>
      <w:marLeft w:val="0"/>
      <w:marRight w:val="0"/>
      <w:marTop w:val="0"/>
      <w:marBottom w:val="0"/>
      <w:divBdr>
        <w:top w:val="none" w:sz="0" w:space="0" w:color="auto"/>
        <w:left w:val="none" w:sz="0" w:space="0" w:color="auto"/>
        <w:bottom w:val="none" w:sz="0" w:space="0" w:color="auto"/>
        <w:right w:val="none" w:sz="0" w:space="0" w:color="auto"/>
      </w:divBdr>
      <w:divsChild>
        <w:div w:id="20997108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E47B-8E37-49CE-849E-0EF17E99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10058</Words>
  <Characters>54745</Characters>
  <Application>Microsoft Office Word</Application>
  <DocSecurity>4</DocSecurity>
  <Lines>456</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Kranert</dc:creator>
  <cp:keywords/>
  <dc:description/>
  <cp:lastModifiedBy>Gibson, Lyn</cp:lastModifiedBy>
  <cp:revision>2</cp:revision>
  <cp:lastPrinted>2016-09-16T14:02:00Z</cp:lastPrinted>
  <dcterms:created xsi:type="dcterms:W3CDTF">2016-10-18T08:56:00Z</dcterms:created>
  <dcterms:modified xsi:type="dcterms:W3CDTF">2016-10-18T08:56:00Z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False</vt:lpwstr>
  </property>
</Properties>
</file>