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A739" w14:textId="459825E9" w:rsidR="004F5192" w:rsidRPr="005D7508" w:rsidRDefault="00C67895" w:rsidP="005D7508">
      <w:pPr>
        <w:spacing w:line="480" w:lineRule="auto"/>
        <w:jc w:val="both"/>
        <w:rPr>
          <w:rFonts w:ascii="Times New Roman" w:hAnsi="Times New Roman" w:cs="Times New Roman"/>
          <w:b/>
          <w:bCs/>
          <w:sz w:val="24"/>
          <w:szCs w:val="24"/>
        </w:rPr>
      </w:pPr>
      <w:bookmarkStart w:id="0" w:name="_Hlk173396661"/>
      <w:r>
        <w:rPr>
          <w:rFonts w:ascii="Times New Roman" w:hAnsi="Times New Roman" w:cs="Times New Roman"/>
          <w:b/>
          <w:bCs/>
          <w:sz w:val="24"/>
          <w:szCs w:val="24"/>
        </w:rPr>
        <w:t xml:space="preserve">The </w:t>
      </w:r>
      <w:r w:rsidR="00ED6295">
        <w:rPr>
          <w:rFonts w:ascii="Times New Roman" w:hAnsi="Times New Roman" w:cs="Times New Roman"/>
          <w:b/>
          <w:bCs/>
          <w:sz w:val="24"/>
          <w:szCs w:val="24"/>
        </w:rPr>
        <w:t xml:space="preserve"> </w:t>
      </w:r>
      <w:r w:rsidR="005D7508" w:rsidRPr="005D7508">
        <w:rPr>
          <w:rFonts w:ascii="Times New Roman" w:hAnsi="Times New Roman" w:cs="Times New Roman"/>
          <w:b/>
          <w:bCs/>
          <w:sz w:val="24"/>
          <w:szCs w:val="24"/>
        </w:rPr>
        <w:t xml:space="preserve">UK </w:t>
      </w:r>
      <w:r w:rsidR="00E87128" w:rsidRPr="005D7508">
        <w:rPr>
          <w:rFonts w:ascii="Times New Roman" w:hAnsi="Times New Roman" w:cs="Times New Roman"/>
          <w:b/>
          <w:bCs/>
          <w:sz w:val="24"/>
          <w:szCs w:val="24"/>
        </w:rPr>
        <w:t xml:space="preserve">Cancer nurses </w:t>
      </w:r>
      <w:r w:rsidR="00E26DD3">
        <w:rPr>
          <w:rFonts w:ascii="Times New Roman" w:hAnsi="Times New Roman" w:cs="Times New Roman"/>
          <w:b/>
          <w:bCs/>
          <w:sz w:val="24"/>
          <w:szCs w:val="24"/>
        </w:rPr>
        <w:t xml:space="preserve">safe </w:t>
      </w:r>
      <w:r w:rsidR="006124D7">
        <w:rPr>
          <w:rFonts w:ascii="Times New Roman" w:hAnsi="Times New Roman" w:cs="Times New Roman"/>
          <w:b/>
          <w:bCs/>
          <w:sz w:val="24"/>
          <w:szCs w:val="24"/>
        </w:rPr>
        <w:t>handl</w:t>
      </w:r>
      <w:r w:rsidR="008719FF">
        <w:rPr>
          <w:rFonts w:ascii="Times New Roman" w:hAnsi="Times New Roman" w:cs="Times New Roman"/>
          <w:b/>
          <w:bCs/>
          <w:sz w:val="24"/>
          <w:szCs w:val="24"/>
        </w:rPr>
        <w:t xml:space="preserve">ing </w:t>
      </w:r>
      <w:r>
        <w:rPr>
          <w:rFonts w:ascii="Times New Roman" w:hAnsi="Times New Roman" w:cs="Times New Roman"/>
          <w:b/>
          <w:bCs/>
          <w:sz w:val="24"/>
          <w:szCs w:val="24"/>
        </w:rPr>
        <w:t xml:space="preserve">practice </w:t>
      </w:r>
      <w:r w:rsidR="008719FF">
        <w:rPr>
          <w:rFonts w:ascii="Times New Roman" w:hAnsi="Times New Roman" w:cs="Times New Roman"/>
          <w:b/>
          <w:bCs/>
          <w:sz w:val="24"/>
          <w:szCs w:val="24"/>
        </w:rPr>
        <w:t xml:space="preserve">of </w:t>
      </w:r>
      <w:r w:rsidR="00E87128" w:rsidRPr="005D7508">
        <w:rPr>
          <w:rFonts w:ascii="Times New Roman" w:hAnsi="Times New Roman" w:cs="Times New Roman"/>
          <w:b/>
          <w:bCs/>
          <w:sz w:val="24"/>
          <w:szCs w:val="24"/>
        </w:rPr>
        <w:t>cytotoxic drug</w:t>
      </w:r>
      <w:r w:rsidR="008719FF">
        <w:rPr>
          <w:rFonts w:ascii="Times New Roman" w:hAnsi="Times New Roman" w:cs="Times New Roman"/>
          <w:b/>
          <w:bCs/>
          <w:sz w:val="24"/>
          <w:szCs w:val="24"/>
        </w:rPr>
        <w:t>s</w:t>
      </w:r>
      <w:r w:rsidR="009075C6">
        <w:rPr>
          <w:rFonts w:ascii="Times New Roman" w:hAnsi="Times New Roman" w:cs="Times New Roman"/>
          <w:b/>
          <w:bCs/>
          <w:sz w:val="24"/>
          <w:szCs w:val="24"/>
        </w:rPr>
        <w:t>:</w:t>
      </w:r>
      <w:r w:rsidR="008719FF">
        <w:rPr>
          <w:rFonts w:ascii="Times New Roman" w:hAnsi="Times New Roman" w:cs="Times New Roman"/>
          <w:b/>
          <w:bCs/>
          <w:sz w:val="24"/>
          <w:szCs w:val="24"/>
        </w:rPr>
        <w:t xml:space="preserve"> a</w:t>
      </w:r>
      <w:r w:rsidR="005D7508" w:rsidRPr="005D7508">
        <w:rPr>
          <w:rFonts w:ascii="Times New Roman" w:hAnsi="Times New Roman" w:cs="Times New Roman"/>
          <w:b/>
          <w:bCs/>
          <w:sz w:val="24"/>
          <w:szCs w:val="24"/>
        </w:rPr>
        <w:t xml:space="preserve"> </w:t>
      </w:r>
      <w:r w:rsidR="008B54E1">
        <w:rPr>
          <w:rFonts w:ascii="Times New Roman" w:hAnsi="Times New Roman" w:cs="Times New Roman"/>
          <w:b/>
          <w:bCs/>
          <w:sz w:val="24"/>
          <w:szCs w:val="24"/>
        </w:rPr>
        <w:t xml:space="preserve">survey </w:t>
      </w:r>
      <w:r w:rsidR="005D7508" w:rsidRPr="005D7508">
        <w:rPr>
          <w:rFonts w:ascii="Times New Roman" w:hAnsi="Times New Roman" w:cs="Times New Roman"/>
          <w:b/>
          <w:bCs/>
          <w:sz w:val="24"/>
          <w:szCs w:val="24"/>
        </w:rPr>
        <w:t xml:space="preserve">study. </w:t>
      </w:r>
    </w:p>
    <w:bookmarkEnd w:id="0"/>
    <w:p w14:paraId="1C5129C6" w14:textId="3A92795B" w:rsidR="005D7508" w:rsidRDefault="00E87128" w:rsidP="005D7508">
      <w:pPr>
        <w:pStyle w:val="xmsonormal"/>
        <w:shd w:val="clear" w:color="auto" w:fill="FFFFFF"/>
        <w:spacing w:before="0" w:beforeAutospacing="0" w:after="0" w:afterAutospacing="0" w:line="480" w:lineRule="auto"/>
        <w:rPr>
          <w:b/>
          <w:bCs/>
          <w:color w:val="242424"/>
          <w:bdr w:val="none" w:sz="0" w:space="0" w:color="auto" w:frame="1"/>
        </w:rPr>
      </w:pPr>
      <w:r w:rsidRPr="005D7508">
        <w:rPr>
          <w:b/>
          <w:bCs/>
          <w:color w:val="242424"/>
          <w:bdr w:val="none" w:sz="0" w:space="0" w:color="auto" w:frame="1"/>
        </w:rPr>
        <w:t>Abstract</w:t>
      </w:r>
    </w:p>
    <w:p w14:paraId="68528256" w14:textId="1860E337" w:rsidR="003429B4" w:rsidRDefault="003429B4" w:rsidP="005D7508">
      <w:pPr>
        <w:pStyle w:val="xmsonormal"/>
        <w:shd w:val="clear" w:color="auto" w:fill="FFFFFF"/>
        <w:spacing w:before="0" w:beforeAutospacing="0" w:after="0" w:afterAutospacing="0" w:line="480" w:lineRule="auto"/>
        <w:rPr>
          <w:color w:val="242424"/>
        </w:rPr>
      </w:pPr>
      <w:r w:rsidRPr="003429B4">
        <w:rPr>
          <w:b/>
          <w:bCs/>
          <w:color w:val="242424"/>
        </w:rPr>
        <w:t>Background</w:t>
      </w:r>
      <w:r>
        <w:rPr>
          <w:b/>
          <w:bCs/>
          <w:color w:val="242424"/>
        </w:rPr>
        <w:t xml:space="preserve">: </w:t>
      </w:r>
      <w:r w:rsidRPr="003429B4">
        <w:rPr>
          <w:color w:val="242424"/>
        </w:rPr>
        <w:t xml:space="preserve">Cytotoxic drugs (CDs) potentially pose significant risks to cancer nurses. This study aimed to determine UK cancer nurses' perceptions and experiences regarding potential exposure to CDs,  knowledge of hazard, use of personal protective equipment (PPE) including closed systems transfer devices( CSTDs) and perceived  health issues. </w:t>
      </w:r>
    </w:p>
    <w:p w14:paraId="5984AAB7" w14:textId="77777777" w:rsidR="003429B4" w:rsidRDefault="003429B4" w:rsidP="005D7508">
      <w:pPr>
        <w:pStyle w:val="xmsonormal"/>
        <w:shd w:val="clear" w:color="auto" w:fill="FFFFFF"/>
        <w:spacing w:before="0" w:beforeAutospacing="0" w:after="0" w:afterAutospacing="0" w:line="480" w:lineRule="auto"/>
        <w:rPr>
          <w:color w:val="242424"/>
        </w:rPr>
      </w:pPr>
      <w:r w:rsidRPr="003429B4">
        <w:rPr>
          <w:b/>
          <w:bCs/>
          <w:color w:val="242424"/>
        </w:rPr>
        <w:t>Methods</w:t>
      </w:r>
      <w:r w:rsidRPr="003429B4">
        <w:rPr>
          <w:b/>
          <w:bCs/>
          <w:color w:val="242424"/>
        </w:rPr>
        <w:t>:</w:t>
      </w:r>
      <w:r w:rsidRPr="003429B4">
        <w:rPr>
          <w:color w:val="242424"/>
        </w:rPr>
        <w:t xml:space="preserve"> A cross-sectional survey was conducted across the UK, facilitated through the UK Oncology Nursing Society. Descriptive analyses were employed. </w:t>
      </w:r>
    </w:p>
    <w:p w14:paraId="19877B61" w14:textId="51960BEA" w:rsidR="003429B4" w:rsidRDefault="003429B4" w:rsidP="005D7508">
      <w:pPr>
        <w:pStyle w:val="xmsonormal"/>
        <w:shd w:val="clear" w:color="auto" w:fill="FFFFFF"/>
        <w:spacing w:before="0" w:beforeAutospacing="0" w:after="0" w:afterAutospacing="0" w:line="480" w:lineRule="auto"/>
        <w:rPr>
          <w:color w:val="242424"/>
        </w:rPr>
      </w:pPr>
      <w:r w:rsidRPr="003429B4">
        <w:rPr>
          <w:b/>
          <w:bCs/>
          <w:color w:val="242424"/>
        </w:rPr>
        <w:t>Results</w:t>
      </w:r>
      <w:r w:rsidRPr="003429B4">
        <w:rPr>
          <w:b/>
          <w:bCs/>
          <w:color w:val="242424"/>
        </w:rPr>
        <w:t>:</w:t>
      </w:r>
      <w:r w:rsidRPr="003429B4">
        <w:rPr>
          <w:color w:val="242424"/>
        </w:rPr>
        <w:t xml:space="preserve"> The survey revealed that PPE predominantly plastic aprons (97% n=723) and either glove, vinyl (53% n=393), and gloves labelled for chemotherapy (62% n=466). Additionally, knowledge of safe handling precautions across the UK, ranged from 86% to 96%. Closed systems were implemented in some always to sometimes (70%), and never used (30%). Perceived health issues were reported by 161 participants, both female (93%) and male (6%). </w:t>
      </w:r>
    </w:p>
    <w:p w14:paraId="58B43EE7" w14:textId="0453FD42" w:rsidR="003429B4" w:rsidRPr="005D7508" w:rsidRDefault="003429B4" w:rsidP="005D7508">
      <w:pPr>
        <w:pStyle w:val="xmsonormal"/>
        <w:shd w:val="clear" w:color="auto" w:fill="FFFFFF"/>
        <w:spacing w:before="0" w:beforeAutospacing="0" w:after="0" w:afterAutospacing="0" w:line="480" w:lineRule="auto"/>
        <w:rPr>
          <w:color w:val="242424"/>
        </w:rPr>
      </w:pPr>
      <w:r w:rsidRPr="003429B4">
        <w:rPr>
          <w:b/>
          <w:bCs/>
          <w:color w:val="242424"/>
        </w:rPr>
        <w:t>Conclusions</w:t>
      </w:r>
      <w:r w:rsidRPr="003429B4">
        <w:rPr>
          <w:b/>
          <w:bCs/>
          <w:color w:val="242424"/>
        </w:rPr>
        <w:t>:</w:t>
      </w:r>
      <w:r w:rsidRPr="003429B4">
        <w:rPr>
          <w:color w:val="242424"/>
        </w:rPr>
        <w:t xml:space="preserve"> This study shows, an overall high level of knowledge of the hazards of CDs and plastic aprons and gloves are the primary protection against occupational exposure. There is a variation in use of CSTDs. Cancer nurses perceive their health is compromised as staff  self-report health issues attributed to the administration of CDs. Recommendation should be that all cancer treatment settings should implement CSTDs across the UK.</w:t>
      </w:r>
    </w:p>
    <w:p w14:paraId="76807EEE" w14:textId="77777777" w:rsidR="003429B4" w:rsidRDefault="003429B4" w:rsidP="005D7508">
      <w:pPr>
        <w:spacing w:line="480" w:lineRule="auto"/>
        <w:jc w:val="both"/>
        <w:rPr>
          <w:rFonts w:ascii="Times New Roman" w:hAnsi="Times New Roman" w:cs="Times New Roman"/>
          <w:b/>
          <w:bCs/>
          <w:sz w:val="24"/>
          <w:szCs w:val="24"/>
        </w:rPr>
      </w:pPr>
    </w:p>
    <w:p w14:paraId="34C9A710" w14:textId="25277A03" w:rsidR="004F5192"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Introduction:</w:t>
      </w:r>
    </w:p>
    <w:p w14:paraId="371AE8C8" w14:textId="6C0AF012" w:rsidR="00C1516F"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Control of Substances Hazardous to Health UK regulations </w:t>
      </w:r>
      <w:r w:rsidR="00793B2A" w:rsidRPr="005D7508">
        <w:rPr>
          <w:rFonts w:ascii="Times New Roman" w:hAnsi="Times New Roman" w:cs="Times New Roman"/>
          <w:sz w:val="24"/>
          <w:szCs w:val="24"/>
        </w:rPr>
        <w:t>(</w:t>
      </w:r>
      <w:r w:rsidR="00AE0A35">
        <w:rPr>
          <w:rFonts w:ascii="Times New Roman" w:hAnsi="Times New Roman" w:cs="Times New Roman"/>
          <w:sz w:val="24"/>
          <w:szCs w:val="24"/>
        </w:rPr>
        <w:t>Control of substances hazardous to health</w:t>
      </w:r>
      <w:r w:rsidR="008B54E1">
        <w:rPr>
          <w:rFonts w:ascii="Times New Roman" w:hAnsi="Times New Roman" w:cs="Times New Roman"/>
          <w:sz w:val="24"/>
          <w:szCs w:val="24"/>
        </w:rPr>
        <w:t xml:space="preserve"> [</w:t>
      </w:r>
      <w:r w:rsidR="00793B2A" w:rsidRPr="005D7508">
        <w:rPr>
          <w:rFonts w:ascii="Times New Roman" w:hAnsi="Times New Roman" w:cs="Times New Roman"/>
          <w:sz w:val="24"/>
          <w:szCs w:val="24"/>
        </w:rPr>
        <w:t>COSHH</w:t>
      </w:r>
      <w:r w:rsidR="008B54E1">
        <w:rPr>
          <w:rFonts w:ascii="Times New Roman" w:hAnsi="Times New Roman" w:cs="Times New Roman"/>
          <w:sz w:val="24"/>
          <w:szCs w:val="24"/>
        </w:rPr>
        <w:t>]</w:t>
      </w:r>
      <w:r w:rsidR="00793B2A" w:rsidRPr="005D7508">
        <w:rPr>
          <w:rFonts w:ascii="Times New Roman" w:hAnsi="Times New Roman" w:cs="Times New Roman"/>
          <w:sz w:val="24"/>
          <w:szCs w:val="24"/>
        </w:rPr>
        <w:t>, 20</w:t>
      </w:r>
      <w:r w:rsidR="006A15FA">
        <w:rPr>
          <w:rFonts w:ascii="Times New Roman" w:hAnsi="Times New Roman" w:cs="Times New Roman"/>
          <w:sz w:val="24"/>
          <w:szCs w:val="24"/>
        </w:rPr>
        <w:t>0</w:t>
      </w:r>
      <w:r w:rsidR="00AE0A35">
        <w:rPr>
          <w:rFonts w:ascii="Times New Roman" w:hAnsi="Times New Roman" w:cs="Times New Roman"/>
          <w:sz w:val="24"/>
          <w:szCs w:val="24"/>
        </w:rPr>
        <w:t>2</w:t>
      </w:r>
      <w:r w:rsidR="00793B2A" w:rsidRPr="005D7508">
        <w:rPr>
          <w:rFonts w:ascii="Times New Roman" w:hAnsi="Times New Roman" w:cs="Times New Roman"/>
          <w:sz w:val="24"/>
          <w:szCs w:val="24"/>
        </w:rPr>
        <w:t xml:space="preserve">) </w:t>
      </w:r>
      <w:r w:rsidRPr="005D7508">
        <w:rPr>
          <w:rFonts w:ascii="Times New Roman" w:hAnsi="Times New Roman" w:cs="Times New Roman"/>
          <w:sz w:val="24"/>
          <w:szCs w:val="24"/>
        </w:rPr>
        <w:t>have defined chemotherapy as dangerous</w:t>
      </w:r>
      <w:r w:rsidR="00656B82">
        <w:rPr>
          <w:rFonts w:ascii="Times New Roman" w:hAnsi="Times New Roman" w:cs="Times New Roman"/>
          <w:sz w:val="24"/>
          <w:szCs w:val="24"/>
        </w:rPr>
        <w:t xml:space="preserve"> cytotoxic drug (CD)</w:t>
      </w:r>
      <w:r w:rsidRPr="005D7508">
        <w:rPr>
          <w:rFonts w:ascii="Times New Roman" w:hAnsi="Times New Roman" w:cs="Times New Roman"/>
          <w:sz w:val="24"/>
          <w:szCs w:val="24"/>
        </w:rPr>
        <w:t>, and the law requires adequate control and safety in the workplace</w:t>
      </w:r>
      <w:r w:rsidR="00000414">
        <w:rPr>
          <w:rFonts w:ascii="Times New Roman" w:hAnsi="Times New Roman" w:cs="Times New Roman"/>
          <w:sz w:val="24"/>
          <w:szCs w:val="24"/>
        </w:rPr>
        <w:t xml:space="preserve"> (Health Safety Executive </w:t>
      </w:r>
      <w:r w:rsidR="00B5650D">
        <w:rPr>
          <w:rFonts w:ascii="Times New Roman" w:hAnsi="Times New Roman" w:cs="Times New Roman"/>
          <w:sz w:val="24"/>
          <w:szCs w:val="24"/>
        </w:rPr>
        <w:t xml:space="preserve">[HSE] </w:t>
      </w:r>
      <w:r w:rsidR="00000414">
        <w:rPr>
          <w:rFonts w:ascii="Times New Roman" w:hAnsi="Times New Roman" w:cs="Times New Roman"/>
          <w:sz w:val="24"/>
          <w:szCs w:val="24"/>
        </w:rPr>
        <w:t>2020)</w:t>
      </w:r>
      <w:r w:rsidRPr="005D7508">
        <w:rPr>
          <w:rFonts w:ascii="Times New Roman" w:hAnsi="Times New Roman" w:cs="Times New Roman"/>
          <w:sz w:val="24"/>
          <w:szCs w:val="24"/>
        </w:rPr>
        <w:t xml:space="preserve">. </w:t>
      </w:r>
    </w:p>
    <w:p w14:paraId="1E611494" w14:textId="009E5A9A" w:rsidR="0055147D" w:rsidRPr="005D7508" w:rsidRDefault="00E87128" w:rsidP="005D7508">
      <w:pPr>
        <w:spacing w:line="480" w:lineRule="auto"/>
        <w:jc w:val="both"/>
        <w:rPr>
          <w:rFonts w:ascii="Times New Roman" w:hAnsi="Times New Roman" w:cs="Times New Roman"/>
          <w:sz w:val="24"/>
          <w:szCs w:val="24"/>
        </w:rPr>
      </w:pPr>
      <w:r w:rsidRPr="0055147D">
        <w:rPr>
          <w:rFonts w:ascii="Times New Roman" w:hAnsi="Times New Roman" w:cs="Times New Roman"/>
          <w:sz w:val="24"/>
          <w:szCs w:val="24"/>
        </w:rPr>
        <w:t xml:space="preserve">The Hierarchy of Controls is </w:t>
      </w:r>
      <w:r w:rsidRPr="005D7508">
        <w:rPr>
          <w:rFonts w:ascii="Times New Roman" w:hAnsi="Times New Roman" w:cs="Times New Roman"/>
          <w:sz w:val="24"/>
          <w:szCs w:val="24"/>
        </w:rPr>
        <w:t xml:space="preserve">deemed a </w:t>
      </w:r>
      <w:r w:rsidRPr="0055147D">
        <w:rPr>
          <w:rFonts w:ascii="Times New Roman" w:hAnsi="Times New Roman" w:cs="Times New Roman"/>
          <w:sz w:val="24"/>
          <w:szCs w:val="24"/>
        </w:rPr>
        <w:t xml:space="preserve">systematic approach </w:t>
      </w:r>
      <w:r w:rsidRPr="005D7508">
        <w:rPr>
          <w:rFonts w:ascii="Times New Roman" w:hAnsi="Times New Roman" w:cs="Times New Roman"/>
          <w:sz w:val="24"/>
          <w:szCs w:val="24"/>
        </w:rPr>
        <w:t xml:space="preserve">to </w:t>
      </w:r>
      <w:r w:rsidRPr="0055147D">
        <w:rPr>
          <w:rFonts w:ascii="Times New Roman" w:hAnsi="Times New Roman" w:cs="Times New Roman"/>
          <w:sz w:val="24"/>
          <w:szCs w:val="24"/>
        </w:rPr>
        <w:t xml:space="preserve">managing and mitigating risks associated with hazardous substances, including </w:t>
      </w:r>
      <w:r w:rsidR="00570BFF" w:rsidRPr="00570BFF">
        <w:rPr>
          <w:rFonts w:ascii="Times New Roman" w:hAnsi="Times New Roman" w:cs="Times New Roman"/>
          <w:sz w:val="24"/>
          <w:szCs w:val="24"/>
        </w:rPr>
        <w:t>CDs</w:t>
      </w:r>
      <w:r w:rsidR="00570BFF">
        <w:rPr>
          <w:rFonts w:ascii="Times New Roman" w:hAnsi="Times New Roman" w:cs="Times New Roman"/>
          <w:sz w:val="24"/>
          <w:szCs w:val="24"/>
        </w:rPr>
        <w:t xml:space="preserve"> </w:t>
      </w:r>
      <w:r w:rsidR="002170BC">
        <w:rPr>
          <w:rFonts w:ascii="Times New Roman" w:hAnsi="Times New Roman" w:cs="Times New Roman"/>
          <w:sz w:val="24"/>
          <w:szCs w:val="24"/>
        </w:rPr>
        <w:t>(</w:t>
      </w:r>
      <w:r w:rsidR="002170BC" w:rsidRPr="005D7508">
        <w:rPr>
          <w:rFonts w:ascii="Times New Roman" w:hAnsi="Times New Roman" w:cs="Times New Roman"/>
          <w:sz w:val="24"/>
          <w:szCs w:val="24"/>
        </w:rPr>
        <w:t>Centres</w:t>
      </w:r>
      <w:r w:rsidR="002170BC" w:rsidRPr="0055147D">
        <w:rPr>
          <w:rFonts w:ascii="Times New Roman" w:hAnsi="Times New Roman" w:cs="Times New Roman"/>
          <w:sz w:val="24"/>
          <w:szCs w:val="24"/>
        </w:rPr>
        <w:t xml:space="preserve"> for Disease Control and Prevention [CDC], 2022)</w:t>
      </w:r>
      <w:r w:rsidRPr="0055147D">
        <w:rPr>
          <w:rFonts w:ascii="Times New Roman" w:hAnsi="Times New Roman" w:cs="Times New Roman"/>
          <w:sz w:val="24"/>
          <w:szCs w:val="24"/>
        </w:rPr>
        <w:t>. This model prioriti</w:t>
      </w:r>
      <w:r w:rsidRPr="005D7508">
        <w:rPr>
          <w:rFonts w:ascii="Times New Roman" w:hAnsi="Times New Roman" w:cs="Times New Roman"/>
          <w:sz w:val="24"/>
          <w:szCs w:val="24"/>
        </w:rPr>
        <w:t>s</w:t>
      </w:r>
      <w:r w:rsidRPr="0055147D">
        <w:rPr>
          <w:rFonts w:ascii="Times New Roman" w:hAnsi="Times New Roman" w:cs="Times New Roman"/>
          <w:sz w:val="24"/>
          <w:szCs w:val="24"/>
        </w:rPr>
        <w:t xml:space="preserve">es control strategies based on their effectiveness in reducing or eliminating exposure to hazards, structured in descending order of reliability and protective value. The application of the </w:t>
      </w:r>
      <w:r w:rsidRPr="005D7508">
        <w:rPr>
          <w:rFonts w:ascii="Times New Roman" w:hAnsi="Times New Roman" w:cs="Times New Roman"/>
          <w:sz w:val="24"/>
          <w:szCs w:val="24"/>
        </w:rPr>
        <w:t>‘</w:t>
      </w:r>
      <w:r w:rsidRPr="0055147D">
        <w:rPr>
          <w:rFonts w:ascii="Times New Roman" w:hAnsi="Times New Roman" w:cs="Times New Roman"/>
          <w:sz w:val="24"/>
          <w:szCs w:val="24"/>
        </w:rPr>
        <w:t>Hierarchy of Controls</w:t>
      </w:r>
      <w:r w:rsidRPr="005D7508">
        <w:rPr>
          <w:rFonts w:ascii="Times New Roman" w:hAnsi="Times New Roman" w:cs="Times New Roman"/>
          <w:sz w:val="24"/>
          <w:szCs w:val="24"/>
        </w:rPr>
        <w:t>’</w:t>
      </w:r>
      <w:r w:rsidRPr="0055147D">
        <w:rPr>
          <w:rFonts w:ascii="Times New Roman" w:hAnsi="Times New Roman" w:cs="Times New Roman"/>
          <w:sz w:val="24"/>
          <w:szCs w:val="24"/>
        </w:rPr>
        <w:t xml:space="preserve"> in the context of </w:t>
      </w:r>
      <w:r w:rsidR="00570BFF">
        <w:rPr>
          <w:rFonts w:ascii="Times New Roman" w:hAnsi="Times New Roman" w:cs="Times New Roman"/>
          <w:sz w:val="24"/>
          <w:szCs w:val="24"/>
        </w:rPr>
        <w:t xml:space="preserve">CDs </w:t>
      </w:r>
      <w:r w:rsidRPr="0055147D">
        <w:rPr>
          <w:rFonts w:ascii="Times New Roman" w:hAnsi="Times New Roman" w:cs="Times New Roman"/>
          <w:sz w:val="24"/>
          <w:szCs w:val="24"/>
        </w:rPr>
        <w:t>is essential to safeguard healthcare workers from potential health risks such as carcinogenicity, reproductive toxicity, and organ damage (National Institute for Occupational Safety and Health [NIOSH], 20</w:t>
      </w:r>
      <w:r w:rsidR="002170BC">
        <w:rPr>
          <w:rFonts w:ascii="Times New Roman" w:hAnsi="Times New Roman" w:cs="Times New Roman"/>
          <w:sz w:val="24"/>
          <w:szCs w:val="24"/>
        </w:rPr>
        <w:t>16; European Biosafety Network [EBN] 2024</w:t>
      </w:r>
      <w:r w:rsidRPr="0055147D">
        <w:rPr>
          <w:rFonts w:ascii="Times New Roman" w:hAnsi="Times New Roman" w:cs="Times New Roman"/>
          <w:sz w:val="24"/>
          <w:szCs w:val="24"/>
        </w:rPr>
        <w:t>).</w:t>
      </w:r>
    </w:p>
    <w:p w14:paraId="0D5F3607" w14:textId="54B65CCF" w:rsidR="00651850" w:rsidRDefault="00E87128" w:rsidP="005D7508">
      <w:pPr>
        <w:spacing w:line="480" w:lineRule="auto"/>
        <w:jc w:val="both"/>
        <w:rPr>
          <w:rFonts w:ascii="Times New Roman" w:hAnsi="Times New Roman" w:cs="Times New Roman"/>
        </w:rPr>
      </w:pPr>
      <w:r w:rsidRPr="005D7508">
        <w:rPr>
          <w:rFonts w:ascii="Times New Roman" w:hAnsi="Times New Roman" w:cs="Times New Roman"/>
          <w:sz w:val="24"/>
          <w:szCs w:val="24"/>
        </w:rPr>
        <w:t>Although elimination and substitution are the gold standard</w:t>
      </w:r>
      <w:r w:rsidR="00000414">
        <w:rPr>
          <w:rFonts w:ascii="Times New Roman" w:hAnsi="Times New Roman" w:cs="Times New Roman"/>
          <w:sz w:val="24"/>
          <w:szCs w:val="24"/>
        </w:rPr>
        <w:t xml:space="preserve">, </w:t>
      </w:r>
      <w:r w:rsidRPr="005D7508">
        <w:rPr>
          <w:rFonts w:ascii="Times New Roman" w:hAnsi="Times New Roman" w:cs="Times New Roman"/>
          <w:sz w:val="24"/>
          <w:szCs w:val="24"/>
        </w:rPr>
        <w:t>the next level of protection and risk reduction is the implement</w:t>
      </w:r>
      <w:r w:rsidRPr="0055147D">
        <w:rPr>
          <w:rFonts w:ascii="Times New Roman" w:hAnsi="Times New Roman" w:cs="Times New Roman"/>
          <w:sz w:val="24"/>
          <w:szCs w:val="24"/>
        </w:rPr>
        <w:t>ation of engineering controls, such as biological safety cabinets and closed system transfer devices (CSTDs)</w:t>
      </w:r>
      <w:r w:rsidRPr="00651850">
        <w:rPr>
          <w:rFonts w:ascii="Times New Roman" w:hAnsi="Times New Roman" w:cs="Times New Roman"/>
          <w:sz w:val="24"/>
          <w:szCs w:val="24"/>
        </w:rPr>
        <w:t xml:space="preserve"> </w:t>
      </w:r>
      <w:r>
        <w:rPr>
          <w:rFonts w:ascii="Times New Roman" w:hAnsi="Times New Roman" w:cs="Times New Roman"/>
          <w:sz w:val="24"/>
          <w:szCs w:val="24"/>
        </w:rPr>
        <w:t>(</w:t>
      </w:r>
      <w:r w:rsidRPr="00CB39B9">
        <w:rPr>
          <w:rFonts w:ascii="Times New Roman" w:hAnsi="Times New Roman" w:cs="Times New Roman"/>
        </w:rPr>
        <w:t>Eisenberg &amp; Klein, 2021</w:t>
      </w:r>
      <w:r>
        <w:rPr>
          <w:rFonts w:ascii="Times New Roman" w:hAnsi="Times New Roman" w:cs="Times New Roman"/>
        </w:rPr>
        <w:t>)</w:t>
      </w:r>
      <w:r w:rsidRPr="005D7508">
        <w:rPr>
          <w:rFonts w:ascii="Times New Roman" w:hAnsi="Times New Roman" w:cs="Times New Roman"/>
          <w:sz w:val="24"/>
          <w:szCs w:val="24"/>
        </w:rPr>
        <w:t>.</w:t>
      </w:r>
      <w:r>
        <w:rPr>
          <w:rFonts w:ascii="Times New Roman" w:hAnsi="Times New Roman" w:cs="Times New Roman"/>
          <w:sz w:val="24"/>
          <w:szCs w:val="24"/>
        </w:rPr>
        <w:t xml:space="preserve"> </w:t>
      </w:r>
      <w:r w:rsidRPr="005D7508">
        <w:rPr>
          <w:rFonts w:ascii="Times New Roman" w:hAnsi="Times New Roman" w:cs="Times New Roman"/>
          <w:sz w:val="24"/>
          <w:szCs w:val="24"/>
        </w:rPr>
        <w:t>These controls</w:t>
      </w:r>
      <w:r w:rsidRPr="0055147D">
        <w:rPr>
          <w:rFonts w:ascii="Times New Roman" w:hAnsi="Times New Roman" w:cs="Times New Roman"/>
          <w:sz w:val="24"/>
          <w:szCs w:val="24"/>
        </w:rPr>
        <w:t xml:space="preserve"> are designed to contain or limit the release of </w:t>
      </w:r>
      <w:r w:rsidR="00000414">
        <w:rPr>
          <w:rFonts w:ascii="Times New Roman" w:hAnsi="Times New Roman" w:cs="Times New Roman"/>
          <w:sz w:val="24"/>
          <w:szCs w:val="24"/>
        </w:rPr>
        <w:t>CD</w:t>
      </w:r>
      <w:r w:rsidRPr="005D7508">
        <w:rPr>
          <w:rFonts w:ascii="Times New Roman" w:hAnsi="Times New Roman" w:cs="Times New Roman"/>
          <w:sz w:val="24"/>
          <w:szCs w:val="24"/>
        </w:rPr>
        <w:t>s</w:t>
      </w:r>
      <w:r w:rsidRPr="0055147D">
        <w:rPr>
          <w:rFonts w:ascii="Times New Roman" w:hAnsi="Times New Roman" w:cs="Times New Roman"/>
          <w:sz w:val="24"/>
          <w:szCs w:val="24"/>
        </w:rPr>
        <w:t xml:space="preserve"> into the workplace. These controls are vital in creating a barrier between the hazard and the healthcare worker, significantly reducing the likelihood of exposure</w:t>
      </w:r>
      <w:r w:rsidRPr="00651850">
        <w:rPr>
          <w:rFonts w:ascii="Times New Roman" w:hAnsi="Times New Roman" w:cs="Times New Roman"/>
        </w:rPr>
        <w:t xml:space="preserve"> </w:t>
      </w:r>
      <w:r>
        <w:rPr>
          <w:rFonts w:ascii="Times New Roman" w:hAnsi="Times New Roman" w:cs="Times New Roman"/>
        </w:rPr>
        <w:t>(</w:t>
      </w:r>
      <w:r w:rsidRPr="00CB39B9">
        <w:rPr>
          <w:rFonts w:ascii="Times New Roman" w:hAnsi="Times New Roman" w:cs="Times New Roman"/>
        </w:rPr>
        <w:t>Mead et al., 2017</w:t>
      </w:r>
      <w:r>
        <w:rPr>
          <w:rFonts w:ascii="Times New Roman" w:hAnsi="Times New Roman" w:cs="Times New Roman"/>
        </w:rPr>
        <w:t xml:space="preserve">; </w:t>
      </w:r>
      <w:r w:rsidRPr="00CB39B9">
        <w:rPr>
          <w:rFonts w:ascii="Times New Roman" w:hAnsi="Times New Roman" w:cs="Times New Roman"/>
        </w:rPr>
        <w:t>Eisenberg &amp; Klein, 2021</w:t>
      </w:r>
      <w:r>
        <w:rPr>
          <w:rFonts w:ascii="Times New Roman" w:hAnsi="Times New Roman" w:cs="Times New Roman"/>
        </w:rPr>
        <w:t>)</w:t>
      </w:r>
      <w:r w:rsidRPr="0055147D">
        <w:rPr>
          <w:rFonts w:ascii="Times New Roman" w:hAnsi="Times New Roman" w:cs="Times New Roman"/>
          <w:sz w:val="24"/>
          <w:szCs w:val="24"/>
        </w:rPr>
        <w:t>. Recent advancements in engineering controls have further enhanced their efficiency, ensuring better protection for healthcare personnel (CDC, 2022).</w:t>
      </w:r>
      <w:r w:rsidRPr="005D7508">
        <w:rPr>
          <w:rFonts w:ascii="Times New Roman" w:hAnsi="Times New Roman" w:cs="Times New Roman"/>
          <w:sz w:val="24"/>
          <w:szCs w:val="24"/>
        </w:rPr>
        <w:t xml:space="preserve"> </w:t>
      </w:r>
      <w:r>
        <w:rPr>
          <w:rFonts w:ascii="Times New Roman" w:hAnsi="Times New Roman" w:cs="Times New Roman"/>
          <w:sz w:val="24"/>
          <w:szCs w:val="24"/>
        </w:rPr>
        <w:t>Currently</w:t>
      </w:r>
      <w:r w:rsidR="00000414">
        <w:rPr>
          <w:rFonts w:ascii="Times New Roman" w:hAnsi="Times New Roman" w:cs="Times New Roman"/>
          <w:sz w:val="24"/>
          <w:szCs w:val="24"/>
        </w:rPr>
        <w:t xml:space="preserve">, </w:t>
      </w:r>
      <w:r>
        <w:rPr>
          <w:rFonts w:ascii="Times New Roman" w:hAnsi="Times New Roman" w:cs="Times New Roman"/>
          <w:sz w:val="24"/>
          <w:szCs w:val="24"/>
        </w:rPr>
        <w:t xml:space="preserve">the use of CSTD in the UK is optional </w:t>
      </w:r>
      <w:r w:rsidRPr="00CB39B9">
        <w:rPr>
          <w:rFonts w:ascii="Times New Roman" w:hAnsi="Times New Roman" w:cs="Times New Roman"/>
        </w:rPr>
        <w:t>(Yu</w:t>
      </w:r>
      <w:r>
        <w:rPr>
          <w:rFonts w:ascii="Times New Roman" w:hAnsi="Times New Roman" w:cs="Times New Roman"/>
        </w:rPr>
        <w:t xml:space="preserve"> et al.,</w:t>
      </w:r>
      <w:r w:rsidRPr="00CB39B9">
        <w:rPr>
          <w:rFonts w:ascii="Times New Roman" w:hAnsi="Times New Roman" w:cs="Times New Roman"/>
        </w:rPr>
        <w:t xml:space="preserve"> 2020)</w:t>
      </w:r>
      <w:r>
        <w:rPr>
          <w:rFonts w:ascii="Times New Roman" w:hAnsi="Times New Roman" w:cs="Times New Roman"/>
        </w:rPr>
        <w:t xml:space="preserve">; however, the recent White </w:t>
      </w:r>
      <w:r w:rsidR="000926FA">
        <w:rPr>
          <w:rFonts w:ascii="Times New Roman" w:hAnsi="Times New Roman" w:cs="Times New Roman"/>
        </w:rPr>
        <w:t>P</w:t>
      </w:r>
      <w:r>
        <w:rPr>
          <w:rFonts w:ascii="Times New Roman" w:hAnsi="Times New Roman" w:cs="Times New Roman"/>
        </w:rPr>
        <w:t>aper</w:t>
      </w:r>
      <w:r w:rsidR="000926FA">
        <w:rPr>
          <w:rFonts w:ascii="Times New Roman" w:hAnsi="Times New Roman" w:cs="Times New Roman"/>
        </w:rPr>
        <w:t xml:space="preserve"> by </w:t>
      </w:r>
      <w:r>
        <w:rPr>
          <w:rFonts w:ascii="Times New Roman" w:hAnsi="Times New Roman" w:cs="Times New Roman"/>
        </w:rPr>
        <w:t>EBN</w:t>
      </w:r>
      <w:r w:rsidR="000926FA">
        <w:rPr>
          <w:rFonts w:ascii="Times New Roman" w:hAnsi="Times New Roman" w:cs="Times New Roman"/>
        </w:rPr>
        <w:t xml:space="preserve"> (</w:t>
      </w:r>
      <w:r>
        <w:rPr>
          <w:rFonts w:ascii="Times New Roman" w:hAnsi="Times New Roman" w:cs="Times New Roman"/>
        </w:rPr>
        <w:t xml:space="preserve">2024) advocates that all countries should implement CSTDs. </w:t>
      </w:r>
    </w:p>
    <w:p w14:paraId="18A8703B" w14:textId="77777777" w:rsidR="0055147D" w:rsidRPr="0055147D"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lastRenderedPageBreak/>
        <w:t xml:space="preserve">Most cancer nurses who handle and administrate </w:t>
      </w:r>
      <w:r>
        <w:rPr>
          <w:rFonts w:ascii="Times New Roman" w:hAnsi="Times New Roman" w:cs="Times New Roman"/>
          <w:sz w:val="24"/>
          <w:szCs w:val="24"/>
        </w:rPr>
        <w:t>CD</w:t>
      </w:r>
      <w:r w:rsidRPr="005D7508">
        <w:rPr>
          <w:rFonts w:ascii="Times New Roman" w:hAnsi="Times New Roman" w:cs="Times New Roman"/>
          <w:sz w:val="24"/>
          <w:szCs w:val="24"/>
        </w:rPr>
        <w:t xml:space="preserve">s rely on workplace policies and procedures to reduce the risk. </w:t>
      </w:r>
      <w:r w:rsidRPr="0055147D">
        <w:rPr>
          <w:rFonts w:ascii="Times New Roman" w:hAnsi="Times New Roman" w:cs="Times New Roman"/>
          <w:sz w:val="24"/>
          <w:szCs w:val="24"/>
        </w:rPr>
        <w:t xml:space="preserve">The protection includes implementing standard operating procedures (SOPs) for handling </w:t>
      </w:r>
      <w:r>
        <w:rPr>
          <w:rFonts w:ascii="Times New Roman" w:hAnsi="Times New Roman" w:cs="Times New Roman"/>
          <w:sz w:val="24"/>
          <w:szCs w:val="24"/>
        </w:rPr>
        <w:t>CD</w:t>
      </w:r>
      <w:r w:rsidRPr="005D7508">
        <w:rPr>
          <w:rFonts w:ascii="Times New Roman" w:hAnsi="Times New Roman" w:cs="Times New Roman"/>
          <w:sz w:val="24"/>
          <w:szCs w:val="24"/>
        </w:rPr>
        <w:t>s</w:t>
      </w:r>
      <w:r w:rsidRPr="0055147D">
        <w:rPr>
          <w:rFonts w:ascii="Times New Roman" w:hAnsi="Times New Roman" w:cs="Times New Roman"/>
          <w:sz w:val="24"/>
          <w:szCs w:val="24"/>
        </w:rPr>
        <w:t>, comprehensive training programs for healthcare workers, and enforcing proper work practices</w:t>
      </w:r>
      <w:r>
        <w:rPr>
          <w:rFonts w:ascii="Times New Roman" w:hAnsi="Times New Roman" w:cs="Times New Roman"/>
          <w:sz w:val="24"/>
          <w:szCs w:val="24"/>
        </w:rPr>
        <w:t xml:space="preserve"> (</w:t>
      </w:r>
      <w:bookmarkStart w:id="1" w:name="_Hlk173404362"/>
      <w:r w:rsidR="00F942CE">
        <w:rPr>
          <w:rFonts w:ascii="Times New Roman" w:hAnsi="Times New Roman" w:cs="Times New Roman"/>
          <w:sz w:val="24"/>
          <w:szCs w:val="24"/>
        </w:rPr>
        <w:t xml:space="preserve"> Crickman, 2017; </w:t>
      </w:r>
      <w:r w:rsidRPr="00CB39B9">
        <w:rPr>
          <w:rFonts w:ascii="Times New Roman" w:hAnsi="Times New Roman" w:cs="Times New Roman"/>
        </w:rPr>
        <w:t>Coyne et al., 2019</w:t>
      </w:r>
      <w:bookmarkEnd w:id="1"/>
      <w:r>
        <w:rPr>
          <w:rFonts w:ascii="Times New Roman" w:hAnsi="Times New Roman" w:cs="Times New Roman"/>
        </w:rPr>
        <w:t xml:space="preserve">; </w:t>
      </w:r>
      <w:r w:rsidRPr="00CB39B9">
        <w:rPr>
          <w:rFonts w:ascii="Times New Roman" w:hAnsi="Times New Roman" w:cs="Times New Roman"/>
        </w:rPr>
        <w:t>Lin et al., 20</w:t>
      </w:r>
      <w:r w:rsidR="00E52599">
        <w:rPr>
          <w:rFonts w:ascii="Times New Roman" w:hAnsi="Times New Roman" w:cs="Times New Roman"/>
        </w:rPr>
        <w:t xml:space="preserve">19; </w:t>
      </w:r>
      <w:r w:rsidR="00000414">
        <w:rPr>
          <w:rFonts w:ascii="Times New Roman" w:hAnsi="Times New Roman" w:cs="Times New Roman"/>
        </w:rPr>
        <w:t xml:space="preserve">Toland and Simons, 2020; </w:t>
      </w:r>
      <w:r w:rsidR="00E52599">
        <w:rPr>
          <w:rFonts w:ascii="Times New Roman" w:hAnsi="Times New Roman" w:cs="Times New Roman"/>
        </w:rPr>
        <w:t>Sharp et al. 2024</w:t>
      </w:r>
      <w:r w:rsidRPr="00CB39B9">
        <w:rPr>
          <w:rFonts w:ascii="Times New Roman" w:hAnsi="Times New Roman" w:cs="Times New Roman"/>
        </w:rPr>
        <w:t>)</w:t>
      </w:r>
      <w:r>
        <w:rPr>
          <w:rFonts w:ascii="Times New Roman" w:hAnsi="Times New Roman" w:cs="Times New Roman"/>
        </w:rPr>
        <w:t xml:space="preserve">. </w:t>
      </w:r>
      <w:r w:rsidRPr="0055147D">
        <w:rPr>
          <w:rFonts w:ascii="Times New Roman" w:hAnsi="Times New Roman" w:cs="Times New Roman"/>
          <w:sz w:val="24"/>
          <w:szCs w:val="24"/>
        </w:rPr>
        <w:t xml:space="preserve">Administrative measures are crucial in promoting a safety culture and ensuring consistent adherence to safe handling practices </w:t>
      </w:r>
      <w:r w:rsidRPr="00CB39B9">
        <w:rPr>
          <w:rFonts w:ascii="Times New Roman" w:hAnsi="Times New Roman" w:cs="Times New Roman"/>
        </w:rPr>
        <w:t>(Mead et al., 2017</w:t>
      </w:r>
      <w:r>
        <w:rPr>
          <w:rFonts w:ascii="Times New Roman" w:hAnsi="Times New Roman" w:cs="Times New Roman"/>
        </w:rPr>
        <w:t>;</w:t>
      </w:r>
      <w:r w:rsidR="00E52599" w:rsidRPr="00E52599">
        <w:rPr>
          <w:rFonts w:ascii="Times New Roman" w:hAnsi="Times New Roman" w:cs="Times New Roman"/>
        </w:rPr>
        <w:t xml:space="preserve"> </w:t>
      </w:r>
      <w:r w:rsidR="00E52599" w:rsidRPr="00CB39B9">
        <w:rPr>
          <w:rFonts w:ascii="Times New Roman" w:hAnsi="Times New Roman" w:cs="Times New Roman"/>
        </w:rPr>
        <w:t>Coyne et al., 2019</w:t>
      </w:r>
      <w:r w:rsidR="00E52599">
        <w:rPr>
          <w:rFonts w:ascii="Times New Roman" w:hAnsi="Times New Roman" w:cs="Times New Roman"/>
        </w:rPr>
        <w:t>;</w:t>
      </w:r>
      <w:r>
        <w:rPr>
          <w:rFonts w:ascii="Times New Roman" w:hAnsi="Times New Roman" w:cs="Times New Roman"/>
        </w:rPr>
        <w:t xml:space="preserve"> </w:t>
      </w:r>
      <w:r w:rsidRPr="00CB39B9">
        <w:rPr>
          <w:rFonts w:ascii="Times New Roman" w:hAnsi="Times New Roman" w:cs="Times New Roman"/>
        </w:rPr>
        <w:t>Yu et al., 2020; Eisenberg &amp; Klein, 2021)</w:t>
      </w:r>
      <w:r w:rsidR="00000414">
        <w:rPr>
          <w:rFonts w:ascii="Times New Roman" w:hAnsi="Times New Roman" w:cs="Times New Roman"/>
          <w:sz w:val="24"/>
          <w:szCs w:val="24"/>
        </w:rPr>
        <w:t xml:space="preserve">. </w:t>
      </w:r>
    </w:p>
    <w:p w14:paraId="10E63811" w14:textId="77777777" w:rsidR="0055147D" w:rsidRPr="0055147D" w:rsidRDefault="00E87128" w:rsidP="005D7508">
      <w:pPr>
        <w:spacing w:line="480" w:lineRule="auto"/>
        <w:jc w:val="both"/>
        <w:rPr>
          <w:rFonts w:ascii="Times New Roman" w:hAnsi="Times New Roman" w:cs="Times New Roman"/>
          <w:sz w:val="24"/>
          <w:szCs w:val="24"/>
        </w:rPr>
      </w:pPr>
      <w:r w:rsidRPr="0055147D">
        <w:rPr>
          <w:rFonts w:ascii="Times New Roman" w:hAnsi="Times New Roman" w:cs="Times New Roman"/>
          <w:sz w:val="24"/>
          <w:szCs w:val="24"/>
        </w:rPr>
        <w:t xml:space="preserve">Personal protective equipment (PPE) forms the last line of </w:t>
      </w:r>
      <w:r w:rsidRPr="005D7508">
        <w:rPr>
          <w:rFonts w:ascii="Times New Roman" w:hAnsi="Times New Roman" w:cs="Times New Roman"/>
          <w:sz w:val="24"/>
          <w:szCs w:val="24"/>
        </w:rPr>
        <w:t>defence</w:t>
      </w:r>
      <w:r w:rsidRPr="0055147D">
        <w:rPr>
          <w:rFonts w:ascii="Times New Roman" w:hAnsi="Times New Roman" w:cs="Times New Roman"/>
          <w:sz w:val="24"/>
          <w:szCs w:val="24"/>
        </w:rPr>
        <w:t xml:space="preserve"> in the hierarchy. It includes gloves, gowns, respiratory protection, and eye protection specifically designed to provide a barrier against hazardous drug exposure. While PPE is less protective than other controls, it is an essential component of a comprehensive safety strategy, particularly when other controls do not eliminate the risk. </w:t>
      </w:r>
    </w:p>
    <w:p w14:paraId="6B01933A" w14:textId="041771EB" w:rsidR="00B56981" w:rsidRPr="006A76D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There </w:t>
      </w:r>
      <w:r w:rsidR="00C1516F" w:rsidRPr="005D7508">
        <w:rPr>
          <w:rFonts w:ascii="Times New Roman" w:hAnsi="Times New Roman" w:cs="Times New Roman"/>
          <w:sz w:val="24"/>
          <w:szCs w:val="24"/>
        </w:rPr>
        <w:t xml:space="preserve">has been one dominant survey by Polovich and Clarke (2012) implemented </w:t>
      </w:r>
      <w:r w:rsidR="0083559C" w:rsidRPr="005D7508">
        <w:rPr>
          <w:rFonts w:ascii="Times New Roman" w:hAnsi="Times New Roman" w:cs="Times New Roman"/>
          <w:sz w:val="24"/>
          <w:szCs w:val="24"/>
        </w:rPr>
        <w:t>global</w:t>
      </w:r>
      <w:r w:rsidR="00C1516F" w:rsidRPr="005D7508">
        <w:rPr>
          <w:rFonts w:ascii="Times New Roman" w:hAnsi="Times New Roman" w:cs="Times New Roman"/>
          <w:sz w:val="24"/>
          <w:szCs w:val="24"/>
        </w:rPr>
        <w:t>ly (</w:t>
      </w:r>
      <w:bookmarkStart w:id="2" w:name="_Hlk159828208"/>
      <w:r w:rsidR="00D76F98" w:rsidRPr="005D7508">
        <w:rPr>
          <w:rFonts w:ascii="Times New Roman" w:hAnsi="Times New Roman" w:cs="Times New Roman"/>
          <w:sz w:val="24"/>
          <w:szCs w:val="24"/>
        </w:rPr>
        <w:t xml:space="preserve">Callahan et al., 2016; Graeve et al., 2017a &amp; b; </w:t>
      </w:r>
      <w:r w:rsidRPr="005D7508">
        <w:rPr>
          <w:rFonts w:ascii="Times New Roman" w:hAnsi="Times New Roman" w:cs="Times New Roman"/>
          <w:sz w:val="24"/>
          <w:szCs w:val="24"/>
        </w:rPr>
        <w:t xml:space="preserve">Mahdy et al., 2017; He et al., 2017; </w:t>
      </w:r>
      <w:r w:rsidR="00EB422C">
        <w:rPr>
          <w:rFonts w:ascii="Times New Roman" w:hAnsi="Times New Roman" w:cs="Times New Roman"/>
          <w:sz w:val="24"/>
          <w:szCs w:val="24"/>
        </w:rPr>
        <w:t xml:space="preserve">Menonna-Quinn et al., 2019; </w:t>
      </w:r>
      <w:r w:rsidR="00D76F98" w:rsidRPr="005D7508">
        <w:rPr>
          <w:rFonts w:ascii="Times New Roman" w:hAnsi="Times New Roman" w:cs="Times New Roman"/>
          <w:sz w:val="24"/>
          <w:szCs w:val="24"/>
        </w:rPr>
        <w:t xml:space="preserve">Abu-Sharour et al., 2021; </w:t>
      </w:r>
      <w:r w:rsidRPr="005D7508">
        <w:rPr>
          <w:rFonts w:ascii="Times New Roman" w:hAnsi="Times New Roman" w:cs="Times New Roman"/>
          <w:sz w:val="24"/>
          <w:szCs w:val="24"/>
        </w:rPr>
        <w:t>Srisintorn et al., 2021</w:t>
      </w:r>
      <w:bookmarkEnd w:id="2"/>
      <w:r w:rsidRPr="005D7508">
        <w:rPr>
          <w:rFonts w:ascii="Times New Roman" w:hAnsi="Times New Roman" w:cs="Times New Roman"/>
          <w:sz w:val="24"/>
          <w:szCs w:val="24"/>
        </w:rPr>
        <w:t xml:space="preserve">) exploring the </w:t>
      </w:r>
      <w:r w:rsidR="00F6243E" w:rsidRPr="006D245B">
        <w:rPr>
          <w:rFonts w:ascii="Times New Roman" w:hAnsi="Times New Roman" w:cs="Times New Roman"/>
          <w:sz w:val="24"/>
          <w:szCs w:val="24"/>
        </w:rPr>
        <w:t xml:space="preserve">Theoretical </w:t>
      </w:r>
      <w:r w:rsidRPr="006D245B">
        <w:rPr>
          <w:rFonts w:ascii="Times New Roman" w:hAnsi="Times New Roman" w:cs="Times New Roman"/>
          <w:sz w:val="24"/>
          <w:szCs w:val="24"/>
        </w:rPr>
        <w:t>Factors Predicting Use of Hazardous Drug Safe-Handling Precautions</w:t>
      </w:r>
      <w:r w:rsidRPr="005D7508">
        <w:rPr>
          <w:rFonts w:ascii="Times New Roman" w:hAnsi="Times New Roman" w:cs="Times New Roman"/>
          <w:color w:val="000000"/>
          <w:sz w:val="24"/>
          <w:szCs w:val="24"/>
          <w:shd w:val="clear" w:color="auto" w:fill="FFFFFF"/>
        </w:rPr>
        <w:t xml:space="preserve"> </w:t>
      </w:r>
      <w:r w:rsidRPr="005D7508">
        <w:rPr>
          <w:rFonts w:ascii="Times New Roman" w:hAnsi="Times New Roman" w:cs="Times New Roman"/>
          <w:sz w:val="24"/>
          <w:szCs w:val="24"/>
        </w:rPr>
        <w:t xml:space="preserve">to understand the attitudes, </w:t>
      </w:r>
      <w:r w:rsidRPr="00660D6B">
        <w:rPr>
          <w:rFonts w:ascii="Times New Roman" w:hAnsi="Times New Roman" w:cs="Times New Roman"/>
          <w:sz w:val="24"/>
          <w:szCs w:val="24"/>
        </w:rPr>
        <w:t xml:space="preserve">knowledge, and usage of protection among the cancer nurses involved in handling and administrating </w:t>
      </w:r>
      <w:r w:rsidR="003C6ECB" w:rsidRPr="00660D6B">
        <w:rPr>
          <w:rFonts w:ascii="Times New Roman" w:hAnsi="Times New Roman" w:cs="Times New Roman"/>
          <w:sz w:val="24"/>
          <w:szCs w:val="24"/>
        </w:rPr>
        <w:t xml:space="preserve">CDs people living with </w:t>
      </w:r>
      <w:r w:rsidRPr="00660D6B">
        <w:rPr>
          <w:rFonts w:ascii="Times New Roman" w:hAnsi="Times New Roman" w:cs="Times New Roman"/>
          <w:sz w:val="24"/>
          <w:szCs w:val="24"/>
        </w:rPr>
        <w:t xml:space="preserve">cancer. In </w:t>
      </w:r>
      <w:r w:rsidR="008B54E1" w:rsidRPr="00660D6B">
        <w:rPr>
          <w:rFonts w:ascii="Times New Roman" w:hAnsi="Times New Roman" w:cs="Times New Roman"/>
          <w:sz w:val="24"/>
          <w:szCs w:val="24"/>
        </w:rPr>
        <w:t>t</w:t>
      </w:r>
      <w:r w:rsidRPr="00660D6B">
        <w:rPr>
          <w:rFonts w:ascii="Times New Roman" w:hAnsi="Times New Roman" w:cs="Times New Roman"/>
          <w:sz w:val="24"/>
          <w:szCs w:val="24"/>
        </w:rPr>
        <w:t xml:space="preserve">he UK, </w:t>
      </w:r>
      <w:r w:rsidR="008B54E1" w:rsidRPr="00660D6B">
        <w:rPr>
          <w:rFonts w:ascii="Times New Roman" w:hAnsi="Times New Roman" w:cs="Times New Roman"/>
          <w:sz w:val="24"/>
          <w:szCs w:val="24"/>
        </w:rPr>
        <w:t>two</w:t>
      </w:r>
      <w:r w:rsidRPr="00660D6B">
        <w:rPr>
          <w:rFonts w:ascii="Times New Roman" w:hAnsi="Times New Roman" w:cs="Times New Roman"/>
          <w:sz w:val="24"/>
          <w:szCs w:val="24"/>
        </w:rPr>
        <w:t xml:space="preserve"> studies</w:t>
      </w:r>
      <w:r w:rsidR="008B54E1" w:rsidRPr="00660D6B">
        <w:rPr>
          <w:rFonts w:ascii="Times New Roman" w:hAnsi="Times New Roman" w:cs="Times New Roman"/>
          <w:sz w:val="24"/>
          <w:szCs w:val="24"/>
        </w:rPr>
        <w:t xml:space="preserve"> in the last ten years </w:t>
      </w:r>
      <w:r w:rsidRPr="00660D6B">
        <w:rPr>
          <w:rFonts w:ascii="Times New Roman" w:hAnsi="Times New Roman" w:cs="Times New Roman"/>
          <w:sz w:val="24"/>
          <w:szCs w:val="24"/>
        </w:rPr>
        <w:t>have explored the safe handling of chemotherapy (Simons and Toland, 2017, 20</w:t>
      </w:r>
      <w:r w:rsidR="0090219E" w:rsidRPr="00660D6B">
        <w:rPr>
          <w:rFonts w:ascii="Times New Roman" w:hAnsi="Times New Roman" w:cs="Times New Roman"/>
          <w:sz w:val="24"/>
          <w:szCs w:val="24"/>
        </w:rPr>
        <w:t>19</w:t>
      </w:r>
      <w:r w:rsidRPr="00660D6B">
        <w:rPr>
          <w:rFonts w:ascii="Times New Roman" w:hAnsi="Times New Roman" w:cs="Times New Roman"/>
          <w:sz w:val="24"/>
          <w:szCs w:val="24"/>
        </w:rPr>
        <w:t xml:space="preserve">). </w:t>
      </w:r>
      <w:r w:rsidR="00F6243E" w:rsidRPr="00660D6B">
        <w:rPr>
          <w:rFonts w:ascii="Times New Roman" w:hAnsi="Times New Roman" w:cs="Times New Roman"/>
          <w:sz w:val="24"/>
          <w:szCs w:val="24"/>
        </w:rPr>
        <w:t xml:space="preserve">However, it </w:t>
      </w:r>
      <w:r w:rsidRPr="00660D6B">
        <w:rPr>
          <w:rFonts w:ascii="Times New Roman" w:hAnsi="Times New Roman" w:cs="Times New Roman"/>
          <w:sz w:val="24"/>
          <w:szCs w:val="24"/>
        </w:rPr>
        <w:t>appears that there is</w:t>
      </w:r>
      <w:r w:rsidR="00F6243E" w:rsidRPr="00660D6B">
        <w:rPr>
          <w:rFonts w:ascii="Times New Roman" w:hAnsi="Times New Roman" w:cs="Times New Roman"/>
          <w:sz w:val="24"/>
          <w:szCs w:val="24"/>
        </w:rPr>
        <w:t xml:space="preserve"> a lack of evidence of how this forms a picture across the whole of the UK, </w:t>
      </w:r>
      <w:r w:rsidR="006A76D8" w:rsidRPr="00660D6B">
        <w:rPr>
          <w:rFonts w:ascii="Times New Roman" w:hAnsi="Times New Roman" w:cs="Times New Roman"/>
          <w:sz w:val="24"/>
          <w:szCs w:val="24"/>
        </w:rPr>
        <w:t>understand if and how nurses' health is affected</w:t>
      </w:r>
      <w:r w:rsidR="009F1A27" w:rsidRPr="00660D6B">
        <w:rPr>
          <w:rFonts w:ascii="Times New Roman" w:hAnsi="Times New Roman" w:cs="Times New Roman"/>
          <w:sz w:val="24"/>
          <w:szCs w:val="24"/>
        </w:rPr>
        <w:t xml:space="preserve"> </w:t>
      </w:r>
      <w:r w:rsidR="006A76D8" w:rsidRPr="00660D6B">
        <w:rPr>
          <w:rFonts w:ascii="Times New Roman" w:hAnsi="Times New Roman" w:cs="Times New Roman"/>
          <w:sz w:val="24"/>
          <w:szCs w:val="24"/>
        </w:rPr>
        <w:t>when</w:t>
      </w:r>
      <w:r w:rsidR="006A76D8">
        <w:rPr>
          <w:rFonts w:ascii="Times New Roman" w:hAnsi="Times New Roman" w:cs="Times New Roman"/>
          <w:sz w:val="24"/>
          <w:szCs w:val="24"/>
        </w:rPr>
        <w:t xml:space="preserve"> </w:t>
      </w:r>
      <w:r w:rsidR="009F1A27" w:rsidRPr="006A76D8">
        <w:rPr>
          <w:rFonts w:ascii="Times New Roman" w:hAnsi="Times New Roman" w:cs="Times New Roman"/>
          <w:sz w:val="24"/>
          <w:szCs w:val="24"/>
        </w:rPr>
        <w:t>handling the</w:t>
      </w:r>
      <w:r w:rsidR="006A76D8">
        <w:rPr>
          <w:rFonts w:ascii="Times New Roman" w:hAnsi="Times New Roman" w:cs="Times New Roman"/>
          <w:sz w:val="24"/>
          <w:szCs w:val="24"/>
        </w:rPr>
        <w:t xml:space="preserve"> CDs </w:t>
      </w:r>
      <w:r w:rsidR="008B54E1" w:rsidRPr="006A76D8">
        <w:rPr>
          <w:rFonts w:ascii="Times New Roman" w:hAnsi="Times New Roman" w:cs="Times New Roman"/>
          <w:sz w:val="24"/>
          <w:szCs w:val="24"/>
        </w:rPr>
        <w:t xml:space="preserve">(Simons and Toland, 2017, </w:t>
      </w:r>
      <w:r w:rsidR="008B54E1" w:rsidRPr="0090219E">
        <w:rPr>
          <w:rFonts w:ascii="Times New Roman" w:hAnsi="Times New Roman" w:cs="Times New Roman"/>
          <w:sz w:val="24"/>
          <w:szCs w:val="24"/>
        </w:rPr>
        <w:t>20</w:t>
      </w:r>
      <w:r w:rsidR="0090219E">
        <w:rPr>
          <w:rFonts w:ascii="Times New Roman" w:hAnsi="Times New Roman" w:cs="Times New Roman"/>
          <w:sz w:val="24"/>
          <w:szCs w:val="24"/>
        </w:rPr>
        <w:t>19</w:t>
      </w:r>
      <w:r w:rsidR="008B54E1" w:rsidRPr="0090219E">
        <w:rPr>
          <w:rFonts w:ascii="Times New Roman" w:hAnsi="Times New Roman" w:cs="Times New Roman"/>
          <w:sz w:val="24"/>
          <w:szCs w:val="24"/>
        </w:rPr>
        <w:t>)</w:t>
      </w:r>
      <w:r w:rsidR="00F6243E" w:rsidRPr="0090219E">
        <w:rPr>
          <w:rFonts w:ascii="Times New Roman" w:hAnsi="Times New Roman" w:cs="Times New Roman"/>
          <w:sz w:val="24"/>
          <w:szCs w:val="24"/>
        </w:rPr>
        <w:t>.</w:t>
      </w:r>
      <w:r w:rsidR="00F6243E" w:rsidRPr="006A76D8">
        <w:rPr>
          <w:rFonts w:ascii="Times New Roman" w:hAnsi="Times New Roman" w:cs="Times New Roman"/>
          <w:sz w:val="24"/>
          <w:szCs w:val="24"/>
        </w:rPr>
        <w:t xml:space="preserve"> </w:t>
      </w:r>
    </w:p>
    <w:p w14:paraId="753FF27A" w14:textId="5CDCA508" w:rsidR="003C6ECB" w:rsidRPr="00660D6B" w:rsidRDefault="003C6ECB" w:rsidP="003C6ECB">
      <w:pPr>
        <w:pStyle w:val="xmsonormal"/>
        <w:shd w:val="clear" w:color="auto" w:fill="FFFFFF"/>
        <w:spacing w:before="0" w:beforeAutospacing="0" w:after="0" w:afterAutospacing="0" w:line="480" w:lineRule="auto"/>
        <w:jc w:val="both"/>
        <w:rPr>
          <w:color w:val="242424"/>
          <w:bdr w:val="none" w:sz="0" w:space="0" w:color="auto" w:frame="1"/>
        </w:rPr>
      </w:pPr>
      <w:r w:rsidRPr="00660D6B">
        <w:lastRenderedPageBreak/>
        <w:t xml:space="preserve">This study aimed to determine UK cancer nurses' perceptions and experiences regarding potential exposure to </w:t>
      </w:r>
      <w:r w:rsidR="00570BFF" w:rsidRPr="00660D6B">
        <w:t>CDs</w:t>
      </w:r>
      <w:r w:rsidRPr="00660D6B">
        <w:t xml:space="preserve">, including hazard knowledge, use of PPE and closed systems and self-reported </w:t>
      </w:r>
      <w:r w:rsidR="006A65F2">
        <w:t>health issues</w:t>
      </w:r>
      <w:r w:rsidRPr="00660D6B">
        <w:t xml:space="preserve">. </w:t>
      </w:r>
    </w:p>
    <w:p w14:paraId="05698286" w14:textId="31461D05" w:rsidR="004F5192"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Methodology:</w:t>
      </w:r>
    </w:p>
    <w:p w14:paraId="3BC10DC5" w14:textId="76AC3DEC" w:rsidR="004F5192"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A cross-sectional survey study was conducted </w:t>
      </w:r>
      <w:r w:rsidR="00D058FA" w:rsidRPr="005D7508">
        <w:rPr>
          <w:rFonts w:ascii="Times New Roman" w:hAnsi="Times New Roman" w:cs="Times New Roman"/>
          <w:sz w:val="24"/>
          <w:szCs w:val="24"/>
        </w:rPr>
        <w:t>from October</w:t>
      </w:r>
      <w:r w:rsidRPr="005D7508">
        <w:rPr>
          <w:rFonts w:ascii="Times New Roman" w:hAnsi="Times New Roman" w:cs="Times New Roman"/>
          <w:sz w:val="24"/>
          <w:szCs w:val="24"/>
        </w:rPr>
        <w:t xml:space="preserve"> 2022 – July 2023. A validated survey (Polovich and Clarke 2012) was reviewed by a UK-represented stakeholder group for content consistency and applicability. The </w:t>
      </w:r>
      <w:r w:rsidR="00F6243E" w:rsidRPr="005D7508">
        <w:rPr>
          <w:rFonts w:ascii="Times New Roman" w:hAnsi="Times New Roman" w:cs="Times New Roman"/>
          <w:sz w:val="24"/>
          <w:szCs w:val="24"/>
        </w:rPr>
        <w:t xml:space="preserve">online </w:t>
      </w:r>
      <w:r w:rsidRPr="005D7508">
        <w:rPr>
          <w:rFonts w:ascii="Times New Roman" w:hAnsi="Times New Roman" w:cs="Times New Roman"/>
          <w:sz w:val="24"/>
          <w:szCs w:val="24"/>
        </w:rPr>
        <w:t xml:space="preserve">survey was administered using a university-subscribed Novi survey tool </w:t>
      </w:r>
      <w:r w:rsidR="00F6243E" w:rsidRPr="005D7508">
        <w:rPr>
          <w:rFonts w:ascii="Times New Roman" w:hAnsi="Times New Roman" w:cs="Times New Roman"/>
          <w:sz w:val="24"/>
          <w:szCs w:val="24"/>
        </w:rPr>
        <w:t xml:space="preserve">through a link for </w:t>
      </w:r>
      <w:r w:rsidRPr="005D7508">
        <w:rPr>
          <w:rFonts w:ascii="Times New Roman" w:hAnsi="Times New Roman" w:cs="Times New Roman"/>
          <w:sz w:val="24"/>
          <w:szCs w:val="24"/>
        </w:rPr>
        <w:t xml:space="preserve">the participants. Informed consent was obtained after the participants had reviewed the privacy </w:t>
      </w:r>
      <w:r w:rsidR="00D058FA" w:rsidRPr="005D7508">
        <w:rPr>
          <w:rFonts w:ascii="Times New Roman" w:hAnsi="Times New Roman" w:cs="Times New Roman"/>
          <w:sz w:val="24"/>
          <w:szCs w:val="24"/>
        </w:rPr>
        <w:t>statement</w:t>
      </w:r>
      <w:r w:rsidRPr="005D7508">
        <w:rPr>
          <w:rFonts w:ascii="Times New Roman" w:hAnsi="Times New Roman" w:cs="Times New Roman"/>
          <w:sz w:val="24"/>
          <w:szCs w:val="24"/>
        </w:rPr>
        <w:t xml:space="preserve"> and participation information sheet</w:t>
      </w:r>
      <w:r w:rsidR="00F6243E" w:rsidRPr="005D7508">
        <w:rPr>
          <w:rFonts w:ascii="Times New Roman" w:hAnsi="Times New Roman" w:cs="Times New Roman"/>
          <w:sz w:val="24"/>
          <w:szCs w:val="24"/>
        </w:rPr>
        <w:t xml:space="preserve">. </w:t>
      </w:r>
    </w:p>
    <w:p w14:paraId="783A1628" w14:textId="6C04E631" w:rsidR="00F6243E"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The survey included </w:t>
      </w:r>
      <w:r w:rsidR="001B519A" w:rsidRPr="005D7508">
        <w:rPr>
          <w:rFonts w:ascii="Times New Roman" w:hAnsi="Times New Roman" w:cs="Times New Roman"/>
          <w:sz w:val="24"/>
          <w:szCs w:val="24"/>
        </w:rPr>
        <w:t>14</w:t>
      </w:r>
      <w:r w:rsidRPr="005D7508">
        <w:rPr>
          <w:rFonts w:ascii="Times New Roman" w:hAnsi="Times New Roman" w:cs="Times New Roman"/>
          <w:sz w:val="24"/>
          <w:szCs w:val="24"/>
        </w:rPr>
        <w:t xml:space="preserve"> sections; </w:t>
      </w:r>
      <w:r w:rsidR="00116433" w:rsidRPr="005D7508">
        <w:rPr>
          <w:rFonts w:ascii="Times New Roman" w:hAnsi="Times New Roman" w:cs="Times New Roman"/>
          <w:sz w:val="24"/>
          <w:szCs w:val="24"/>
        </w:rPr>
        <w:t xml:space="preserve">however, only descriptive statistics will be presented, including </w:t>
      </w:r>
      <w:r w:rsidRPr="005D7508">
        <w:rPr>
          <w:rFonts w:ascii="Times New Roman" w:hAnsi="Times New Roman" w:cs="Times New Roman"/>
          <w:sz w:val="24"/>
          <w:szCs w:val="24"/>
        </w:rPr>
        <w:t>knowledge of hazards, usage of personal protective equipment (PPE), (cytotoxic preparation, administration, disposal</w:t>
      </w:r>
      <w:r w:rsidR="00116433" w:rsidRPr="005D7508">
        <w:rPr>
          <w:rFonts w:ascii="Times New Roman" w:hAnsi="Times New Roman" w:cs="Times New Roman"/>
          <w:sz w:val="24"/>
          <w:szCs w:val="24"/>
        </w:rPr>
        <w:t>)</w:t>
      </w:r>
      <w:r w:rsidR="009075C6">
        <w:rPr>
          <w:rFonts w:ascii="Times New Roman" w:hAnsi="Times New Roman" w:cs="Times New Roman"/>
          <w:sz w:val="24"/>
          <w:szCs w:val="24"/>
        </w:rPr>
        <w:t xml:space="preserve">, CSTDs </w:t>
      </w:r>
      <w:r w:rsidR="00116433" w:rsidRPr="005D7508">
        <w:rPr>
          <w:rFonts w:ascii="Times New Roman" w:hAnsi="Times New Roman" w:cs="Times New Roman"/>
          <w:sz w:val="24"/>
          <w:szCs w:val="24"/>
        </w:rPr>
        <w:t xml:space="preserve"> and </w:t>
      </w:r>
      <w:r w:rsidR="006A65F2">
        <w:rPr>
          <w:rFonts w:ascii="Times New Roman" w:hAnsi="Times New Roman" w:cs="Times New Roman"/>
          <w:sz w:val="24"/>
          <w:szCs w:val="24"/>
        </w:rPr>
        <w:t>health Issues</w:t>
      </w:r>
      <w:r w:rsidR="00116433" w:rsidRPr="005D7508">
        <w:rPr>
          <w:rFonts w:ascii="Times New Roman" w:hAnsi="Times New Roman" w:cs="Times New Roman"/>
          <w:sz w:val="24"/>
          <w:szCs w:val="24"/>
        </w:rPr>
        <w:t xml:space="preserve"> effects</w:t>
      </w:r>
    </w:p>
    <w:p w14:paraId="6770E355" w14:textId="77777777" w:rsidR="004F5192"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Population and sampling:</w:t>
      </w:r>
    </w:p>
    <w:p w14:paraId="70CE15CF" w14:textId="09155858" w:rsidR="004F5192"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The survey was open to any cancer nurses practising in the UK who were willing to participate and consent to the study. Nurses who had yet to gain experience </w:t>
      </w:r>
      <w:r w:rsidRPr="00660D6B">
        <w:rPr>
          <w:rFonts w:ascii="Times New Roman" w:hAnsi="Times New Roman" w:cs="Times New Roman"/>
          <w:sz w:val="24"/>
          <w:szCs w:val="24"/>
        </w:rPr>
        <w:t xml:space="preserve">handling </w:t>
      </w:r>
      <w:r w:rsidR="00570BFF" w:rsidRPr="00660D6B">
        <w:rPr>
          <w:rFonts w:ascii="Times New Roman" w:hAnsi="Times New Roman" w:cs="Times New Roman"/>
          <w:sz w:val="24"/>
          <w:szCs w:val="24"/>
        </w:rPr>
        <w:t xml:space="preserve">CDs </w:t>
      </w:r>
      <w:r w:rsidRPr="00660D6B">
        <w:rPr>
          <w:rFonts w:ascii="Times New Roman" w:hAnsi="Times New Roman" w:cs="Times New Roman"/>
          <w:sz w:val="24"/>
          <w:szCs w:val="24"/>
        </w:rPr>
        <w:t>or</w:t>
      </w:r>
      <w:r w:rsidRPr="005D7508">
        <w:rPr>
          <w:rFonts w:ascii="Times New Roman" w:hAnsi="Times New Roman" w:cs="Times New Roman"/>
          <w:sz w:val="24"/>
          <w:szCs w:val="24"/>
        </w:rPr>
        <w:t xml:space="preserve"> administration to patients or nurses practising in other countries or the EU were excluded from the study. Convenience sampling was applied with dissemination routes that allow maximum recruitment capacity. Recruitment for the survey was sought through advertisements and reminders on the social media pages of the UK Oncology Nursing Society. The distribution created a snowball effect amongst the participants, who encouraged other cancer non-UKONS members to participate in the survey. </w:t>
      </w:r>
    </w:p>
    <w:p w14:paraId="61BAD6AF" w14:textId="3BD97024" w:rsidR="004F5192"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Ethical co</w:t>
      </w:r>
      <w:r w:rsidR="006A65F2">
        <w:rPr>
          <w:rFonts w:ascii="Times New Roman" w:hAnsi="Times New Roman" w:cs="Times New Roman"/>
          <w:b/>
          <w:bCs/>
          <w:sz w:val="24"/>
          <w:szCs w:val="24"/>
        </w:rPr>
        <w:t>nside</w:t>
      </w:r>
      <w:r w:rsidRPr="005D7508">
        <w:rPr>
          <w:rFonts w:ascii="Times New Roman" w:hAnsi="Times New Roman" w:cs="Times New Roman"/>
          <w:b/>
          <w:bCs/>
          <w:sz w:val="24"/>
          <w:szCs w:val="24"/>
        </w:rPr>
        <w:t>rations</w:t>
      </w:r>
    </w:p>
    <w:p w14:paraId="57CAD5D5" w14:textId="77777777" w:rsidR="009C66D5"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sz w:val="24"/>
          <w:szCs w:val="24"/>
        </w:rPr>
        <w:t>Ethical approv</w:t>
      </w:r>
      <w:r w:rsidR="001B519A" w:rsidRPr="005D7508">
        <w:rPr>
          <w:rFonts w:ascii="Times New Roman" w:hAnsi="Times New Roman" w:cs="Times New Roman"/>
          <w:sz w:val="24"/>
          <w:szCs w:val="24"/>
        </w:rPr>
        <w:t>al</w:t>
      </w:r>
      <w:r w:rsidRPr="005D7508">
        <w:rPr>
          <w:rFonts w:ascii="Times New Roman" w:hAnsi="Times New Roman" w:cs="Times New Roman"/>
          <w:sz w:val="24"/>
          <w:szCs w:val="24"/>
        </w:rPr>
        <w:t xml:space="preserve"> </w:t>
      </w:r>
      <w:r w:rsidR="001B519A" w:rsidRPr="005D7508">
        <w:rPr>
          <w:rFonts w:ascii="Times New Roman" w:hAnsi="Times New Roman" w:cs="Times New Roman"/>
          <w:sz w:val="24"/>
          <w:szCs w:val="24"/>
        </w:rPr>
        <w:t xml:space="preserve">was </w:t>
      </w:r>
      <w:r w:rsidRPr="005D7508">
        <w:rPr>
          <w:rFonts w:ascii="Times New Roman" w:hAnsi="Times New Roman" w:cs="Times New Roman"/>
          <w:sz w:val="24"/>
          <w:szCs w:val="24"/>
        </w:rPr>
        <w:t xml:space="preserve">granted by </w:t>
      </w:r>
      <w:r w:rsidRPr="005D7508">
        <w:rPr>
          <w:rFonts w:ascii="Times New Roman" w:hAnsi="Times New Roman" w:cs="Times New Roman"/>
          <w:color w:val="FFFFFF" w:themeColor="background1"/>
          <w:sz w:val="24"/>
          <w:szCs w:val="24"/>
        </w:rPr>
        <w:t xml:space="preserve">Edinburgh Napier University </w:t>
      </w:r>
      <w:r w:rsidRPr="005D7508">
        <w:rPr>
          <w:rFonts w:ascii="Times New Roman" w:hAnsi="Times New Roman" w:cs="Times New Roman"/>
          <w:sz w:val="24"/>
          <w:szCs w:val="24"/>
        </w:rPr>
        <w:t xml:space="preserve">(SHSC2895752). </w:t>
      </w:r>
    </w:p>
    <w:p w14:paraId="1B7A398D" w14:textId="77777777" w:rsidR="004F5192"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Data Analysis:</w:t>
      </w:r>
    </w:p>
    <w:p w14:paraId="3AFEA2A6" w14:textId="77777777" w:rsidR="004F5192"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The data collected were analysed using SPSS (version 26.0). Descriptive data was calculated using the survey responses' percentages, frequencies, mean, and standard deviations. </w:t>
      </w:r>
    </w:p>
    <w:p w14:paraId="55B29EA2" w14:textId="77777777" w:rsidR="004F5192"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Results:</w:t>
      </w:r>
    </w:p>
    <w:p w14:paraId="20563FDA" w14:textId="5EBD1289" w:rsidR="00660D6B" w:rsidRDefault="00660D6B" w:rsidP="005D7508">
      <w:pPr>
        <w:spacing w:line="480" w:lineRule="auto"/>
        <w:jc w:val="both"/>
        <w:rPr>
          <w:rFonts w:ascii="Times New Roman" w:hAnsi="Times New Roman" w:cs="Times New Roman"/>
          <w:sz w:val="24"/>
          <w:szCs w:val="24"/>
        </w:rPr>
      </w:pPr>
      <w:r w:rsidRPr="00660D6B">
        <w:rPr>
          <w:rFonts w:ascii="Times New Roman" w:hAnsi="Times New Roman" w:cs="Times New Roman"/>
          <w:b/>
          <w:bCs/>
          <w:sz w:val="24"/>
          <w:szCs w:val="24"/>
        </w:rPr>
        <w:t xml:space="preserve">Nursing </w:t>
      </w:r>
      <w:r>
        <w:rPr>
          <w:rFonts w:ascii="Times New Roman" w:hAnsi="Times New Roman" w:cs="Times New Roman"/>
          <w:b/>
          <w:bCs/>
          <w:sz w:val="24"/>
          <w:szCs w:val="24"/>
        </w:rPr>
        <w:t xml:space="preserve">and </w:t>
      </w:r>
      <w:r w:rsidR="006969F6">
        <w:rPr>
          <w:rFonts w:ascii="Times New Roman" w:hAnsi="Times New Roman" w:cs="Times New Roman"/>
          <w:b/>
          <w:bCs/>
          <w:sz w:val="24"/>
          <w:szCs w:val="24"/>
        </w:rPr>
        <w:t>s</w:t>
      </w:r>
      <w:r>
        <w:rPr>
          <w:rFonts w:ascii="Times New Roman" w:hAnsi="Times New Roman" w:cs="Times New Roman"/>
          <w:b/>
          <w:bCs/>
          <w:sz w:val="24"/>
          <w:szCs w:val="24"/>
        </w:rPr>
        <w:t xml:space="preserve">etting </w:t>
      </w:r>
      <w:r w:rsidR="006969F6">
        <w:rPr>
          <w:rFonts w:ascii="Times New Roman" w:hAnsi="Times New Roman" w:cs="Times New Roman"/>
          <w:b/>
          <w:bCs/>
          <w:sz w:val="24"/>
          <w:szCs w:val="24"/>
        </w:rPr>
        <w:t>c</w:t>
      </w:r>
      <w:r w:rsidRPr="00660D6B">
        <w:rPr>
          <w:rFonts w:ascii="Times New Roman" w:hAnsi="Times New Roman" w:cs="Times New Roman"/>
          <w:b/>
          <w:bCs/>
          <w:sz w:val="24"/>
          <w:szCs w:val="24"/>
        </w:rPr>
        <w:t>haracteristics:</w:t>
      </w:r>
      <w:r>
        <w:rPr>
          <w:rFonts w:ascii="Times New Roman" w:hAnsi="Times New Roman" w:cs="Times New Roman"/>
          <w:sz w:val="24"/>
          <w:szCs w:val="24"/>
        </w:rPr>
        <w:t xml:space="preserve"> </w:t>
      </w:r>
    </w:p>
    <w:p w14:paraId="66BBD21B" w14:textId="1B8C5D92" w:rsidR="00CC2295" w:rsidRDefault="00116433"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Six hundred and seventy-five n</w:t>
      </w:r>
      <w:r w:rsidR="00E87128" w:rsidRPr="005D7508">
        <w:rPr>
          <w:rFonts w:ascii="Times New Roman" w:hAnsi="Times New Roman" w:cs="Times New Roman"/>
          <w:sz w:val="24"/>
          <w:szCs w:val="24"/>
        </w:rPr>
        <w:t xml:space="preserve">urses answered all the sections, including the demography, and the other participants (n=183) answered the sections partially and thought only relevant to them (Table 2). </w:t>
      </w:r>
      <w:r w:rsidRPr="005D7508">
        <w:rPr>
          <w:rFonts w:ascii="Times New Roman" w:hAnsi="Times New Roman" w:cs="Times New Roman"/>
          <w:sz w:val="24"/>
          <w:szCs w:val="24"/>
        </w:rPr>
        <w:t xml:space="preserve">Education levels were reported </w:t>
      </w:r>
      <w:r w:rsidR="00E87128" w:rsidRPr="005D7508">
        <w:rPr>
          <w:rFonts w:ascii="Times New Roman" w:hAnsi="Times New Roman" w:cs="Times New Roman"/>
          <w:sz w:val="24"/>
          <w:szCs w:val="24"/>
        </w:rPr>
        <w:t>a</w:t>
      </w:r>
      <w:r w:rsidRPr="005D7508">
        <w:rPr>
          <w:rFonts w:ascii="Times New Roman" w:hAnsi="Times New Roman" w:cs="Times New Roman"/>
          <w:sz w:val="24"/>
          <w:szCs w:val="24"/>
        </w:rPr>
        <w:t>s</w:t>
      </w:r>
      <w:r w:rsidR="00E87128" w:rsidRPr="005D7508">
        <w:rPr>
          <w:rFonts w:ascii="Times New Roman" w:hAnsi="Times New Roman" w:cs="Times New Roman"/>
          <w:sz w:val="24"/>
          <w:szCs w:val="24"/>
        </w:rPr>
        <w:t xml:space="preserve"> having the highest bachelor's degrees (24.2% diploma, 60.6% bachelor's degree, and 15.1% master's degree). The mean age of the participants was 41.3 </w:t>
      </w:r>
      <w:r w:rsidR="003A0231" w:rsidRPr="005D7508">
        <w:rPr>
          <w:rFonts w:ascii="Times New Roman" w:hAnsi="Times New Roman" w:cs="Times New Roman"/>
          <w:sz w:val="24"/>
          <w:szCs w:val="24"/>
        </w:rPr>
        <w:t>years;</w:t>
      </w:r>
      <w:r w:rsidR="00E87128" w:rsidRPr="005D7508">
        <w:rPr>
          <w:rFonts w:ascii="Times New Roman" w:hAnsi="Times New Roman" w:cs="Times New Roman"/>
          <w:sz w:val="24"/>
          <w:szCs w:val="24"/>
        </w:rPr>
        <w:t xml:space="preserve"> the average nursing experience was 14.3 Years; the mean oncology nursing experience was 10.9 years; the mean chemotherapy handling experience was 10.3 years. </w:t>
      </w:r>
      <w:r w:rsidRPr="005D7508">
        <w:rPr>
          <w:rFonts w:ascii="Times New Roman" w:hAnsi="Times New Roman" w:cs="Times New Roman"/>
          <w:sz w:val="24"/>
          <w:szCs w:val="24"/>
        </w:rPr>
        <w:t>Ninety-eight per cent</w:t>
      </w:r>
      <w:r w:rsidR="00E87128" w:rsidRPr="005D7508">
        <w:rPr>
          <w:rFonts w:ascii="Times New Roman" w:hAnsi="Times New Roman" w:cs="Times New Roman"/>
          <w:sz w:val="24"/>
          <w:szCs w:val="24"/>
        </w:rPr>
        <w:t xml:space="preserve"> (n=661) had training in oncology nursing, and 2% (n=14)</w:t>
      </w:r>
      <w:r w:rsidR="00B26C21">
        <w:rPr>
          <w:rFonts w:ascii="Times New Roman" w:hAnsi="Times New Roman" w:cs="Times New Roman"/>
          <w:sz w:val="24"/>
          <w:szCs w:val="24"/>
        </w:rPr>
        <w:t>)</w:t>
      </w:r>
      <w:r w:rsidR="00E87128" w:rsidRPr="005D7508">
        <w:rPr>
          <w:rFonts w:ascii="Times New Roman" w:hAnsi="Times New Roman" w:cs="Times New Roman"/>
          <w:sz w:val="24"/>
          <w:szCs w:val="24"/>
        </w:rPr>
        <w:t xml:space="preserve"> did not have a training history. </w:t>
      </w:r>
      <w:r w:rsidR="00457B2F" w:rsidRPr="005D7508">
        <w:rPr>
          <w:rFonts w:ascii="Times New Roman" w:hAnsi="Times New Roman" w:cs="Times New Roman"/>
          <w:sz w:val="24"/>
          <w:szCs w:val="24"/>
        </w:rPr>
        <w:t xml:space="preserve">Just under seventy-six per cent </w:t>
      </w:r>
      <w:r w:rsidR="00E87128" w:rsidRPr="005D7508">
        <w:rPr>
          <w:rFonts w:ascii="Times New Roman" w:hAnsi="Times New Roman" w:cs="Times New Roman"/>
          <w:sz w:val="24"/>
          <w:szCs w:val="24"/>
        </w:rPr>
        <w:t xml:space="preserve">(n=509) were members of the UK </w:t>
      </w:r>
      <w:r w:rsidR="00457B2F" w:rsidRPr="005D7508">
        <w:rPr>
          <w:rFonts w:ascii="Times New Roman" w:hAnsi="Times New Roman" w:cs="Times New Roman"/>
          <w:sz w:val="24"/>
          <w:szCs w:val="24"/>
        </w:rPr>
        <w:t>O</w:t>
      </w:r>
      <w:r w:rsidR="00E87128" w:rsidRPr="005D7508">
        <w:rPr>
          <w:rFonts w:ascii="Times New Roman" w:hAnsi="Times New Roman" w:cs="Times New Roman"/>
          <w:sz w:val="24"/>
          <w:szCs w:val="24"/>
        </w:rPr>
        <w:t xml:space="preserve">ncology </w:t>
      </w:r>
      <w:r w:rsidR="00457B2F" w:rsidRPr="005D7508">
        <w:rPr>
          <w:rFonts w:ascii="Times New Roman" w:hAnsi="Times New Roman" w:cs="Times New Roman"/>
          <w:sz w:val="24"/>
          <w:szCs w:val="24"/>
        </w:rPr>
        <w:t>N</w:t>
      </w:r>
      <w:r w:rsidR="00E87128" w:rsidRPr="005D7508">
        <w:rPr>
          <w:rFonts w:ascii="Times New Roman" w:hAnsi="Times New Roman" w:cs="Times New Roman"/>
          <w:sz w:val="24"/>
          <w:szCs w:val="24"/>
        </w:rPr>
        <w:t xml:space="preserve">ursing </w:t>
      </w:r>
      <w:r w:rsidR="00457B2F" w:rsidRPr="005D7508">
        <w:rPr>
          <w:rFonts w:ascii="Times New Roman" w:hAnsi="Times New Roman" w:cs="Times New Roman"/>
          <w:sz w:val="24"/>
          <w:szCs w:val="24"/>
        </w:rPr>
        <w:t>S</w:t>
      </w:r>
      <w:r w:rsidR="00E87128" w:rsidRPr="005D7508">
        <w:rPr>
          <w:rFonts w:ascii="Times New Roman" w:hAnsi="Times New Roman" w:cs="Times New Roman"/>
          <w:sz w:val="24"/>
          <w:szCs w:val="24"/>
        </w:rPr>
        <w:t>ociety. The mean number of patients handled by nurses each day was 8.17± 10.043, and the mean number of patients treated in the unit per day was 44.05± 42.133</w:t>
      </w:r>
      <w:r w:rsidR="00457B2F" w:rsidRPr="005D7508">
        <w:rPr>
          <w:rFonts w:ascii="Times New Roman" w:hAnsi="Times New Roman" w:cs="Times New Roman"/>
          <w:sz w:val="24"/>
          <w:szCs w:val="24"/>
        </w:rPr>
        <w:t xml:space="preserve">  </w:t>
      </w:r>
      <w:r w:rsidR="00E87128" w:rsidRPr="005D7508">
        <w:rPr>
          <w:rFonts w:ascii="Times New Roman" w:hAnsi="Times New Roman" w:cs="Times New Roman"/>
          <w:sz w:val="24"/>
          <w:szCs w:val="24"/>
        </w:rPr>
        <w:t xml:space="preserve">The highest number of participants </w:t>
      </w:r>
      <w:r w:rsidR="009E5A13" w:rsidRPr="005D7508">
        <w:rPr>
          <w:rFonts w:ascii="Times New Roman" w:hAnsi="Times New Roman" w:cs="Times New Roman"/>
          <w:sz w:val="24"/>
          <w:szCs w:val="24"/>
        </w:rPr>
        <w:t>we</w:t>
      </w:r>
      <w:r w:rsidR="00E87128" w:rsidRPr="005D7508">
        <w:rPr>
          <w:rFonts w:ascii="Times New Roman" w:hAnsi="Times New Roman" w:cs="Times New Roman"/>
          <w:sz w:val="24"/>
          <w:szCs w:val="24"/>
        </w:rPr>
        <w:t>re from the England south</w:t>
      </w:r>
      <w:r w:rsidR="00A65AAD" w:rsidRPr="005D7508">
        <w:rPr>
          <w:rFonts w:ascii="Times New Roman" w:hAnsi="Times New Roman" w:cs="Times New Roman"/>
          <w:sz w:val="24"/>
          <w:szCs w:val="24"/>
        </w:rPr>
        <w:t>east</w:t>
      </w:r>
      <w:r w:rsidR="00E87128" w:rsidRPr="005D7508">
        <w:rPr>
          <w:rFonts w:ascii="Times New Roman" w:hAnsi="Times New Roman" w:cs="Times New Roman"/>
          <w:sz w:val="24"/>
          <w:szCs w:val="24"/>
        </w:rPr>
        <w:t xml:space="preserve"> region</w:t>
      </w:r>
      <w:r w:rsidR="00D76F98">
        <w:rPr>
          <w:rFonts w:ascii="Times New Roman" w:hAnsi="Times New Roman" w:cs="Times New Roman"/>
          <w:sz w:val="24"/>
          <w:szCs w:val="24"/>
        </w:rPr>
        <w:t xml:space="preserve"> </w:t>
      </w:r>
      <w:r w:rsidR="00B01967" w:rsidRPr="005D7508">
        <w:rPr>
          <w:rFonts w:ascii="Times New Roman" w:hAnsi="Times New Roman" w:cs="Times New Roman"/>
          <w:sz w:val="24"/>
          <w:szCs w:val="24"/>
        </w:rPr>
        <w:t>(n=149)</w:t>
      </w:r>
      <w:r w:rsidR="00E87128" w:rsidRPr="005D7508">
        <w:rPr>
          <w:rFonts w:ascii="Times New Roman" w:hAnsi="Times New Roman" w:cs="Times New Roman"/>
          <w:sz w:val="24"/>
          <w:szCs w:val="24"/>
        </w:rPr>
        <w:t xml:space="preserve">, followed by </w:t>
      </w:r>
      <w:r w:rsidR="00A90EB9" w:rsidRPr="005D7508">
        <w:rPr>
          <w:rFonts w:ascii="Times New Roman" w:hAnsi="Times New Roman" w:cs="Times New Roman"/>
          <w:sz w:val="24"/>
          <w:szCs w:val="24"/>
        </w:rPr>
        <w:t>Scotland</w:t>
      </w:r>
      <w:r w:rsidR="00D76F98">
        <w:rPr>
          <w:rFonts w:ascii="Times New Roman" w:hAnsi="Times New Roman" w:cs="Times New Roman"/>
          <w:sz w:val="24"/>
          <w:szCs w:val="24"/>
        </w:rPr>
        <w:t xml:space="preserve"> </w:t>
      </w:r>
      <w:r w:rsidR="00A90EB9" w:rsidRPr="005D7508">
        <w:rPr>
          <w:rFonts w:ascii="Times New Roman" w:hAnsi="Times New Roman" w:cs="Times New Roman"/>
          <w:sz w:val="24"/>
          <w:szCs w:val="24"/>
        </w:rPr>
        <w:t xml:space="preserve">(n=86), </w:t>
      </w:r>
      <w:r w:rsidR="00E87128" w:rsidRPr="005D7508">
        <w:rPr>
          <w:rFonts w:ascii="Times New Roman" w:hAnsi="Times New Roman" w:cs="Times New Roman"/>
          <w:sz w:val="24"/>
          <w:szCs w:val="24"/>
        </w:rPr>
        <w:t>England southwest</w:t>
      </w:r>
      <w:r w:rsidR="00D76F98">
        <w:rPr>
          <w:rFonts w:ascii="Times New Roman" w:hAnsi="Times New Roman" w:cs="Times New Roman"/>
          <w:sz w:val="24"/>
          <w:szCs w:val="24"/>
        </w:rPr>
        <w:t xml:space="preserve"> </w:t>
      </w:r>
      <w:r w:rsidR="00B01967" w:rsidRPr="005D7508">
        <w:rPr>
          <w:rFonts w:ascii="Times New Roman" w:hAnsi="Times New Roman" w:cs="Times New Roman"/>
          <w:sz w:val="24"/>
          <w:szCs w:val="24"/>
        </w:rPr>
        <w:t>(n=</w:t>
      </w:r>
      <w:r w:rsidR="00A90EB9" w:rsidRPr="005D7508">
        <w:rPr>
          <w:rFonts w:ascii="Times New Roman" w:hAnsi="Times New Roman" w:cs="Times New Roman"/>
          <w:sz w:val="24"/>
          <w:szCs w:val="24"/>
        </w:rPr>
        <w:t>84</w:t>
      </w:r>
      <w:r w:rsidR="00B01967" w:rsidRPr="005D7508">
        <w:rPr>
          <w:rFonts w:ascii="Times New Roman" w:hAnsi="Times New Roman" w:cs="Times New Roman"/>
          <w:sz w:val="24"/>
          <w:szCs w:val="24"/>
        </w:rPr>
        <w:t>)</w:t>
      </w:r>
      <w:r w:rsidR="00E87128" w:rsidRPr="005D7508">
        <w:rPr>
          <w:rFonts w:ascii="Times New Roman" w:hAnsi="Times New Roman" w:cs="Times New Roman"/>
          <w:sz w:val="24"/>
          <w:szCs w:val="24"/>
        </w:rPr>
        <w:t xml:space="preserve">, England </w:t>
      </w:r>
      <w:r w:rsidR="00AD01A9" w:rsidRPr="005D7508">
        <w:rPr>
          <w:rFonts w:ascii="Times New Roman" w:hAnsi="Times New Roman" w:cs="Times New Roman"/>
          <w:sz w:val="24"/>
          <w:szCs w:val="24"/>
        </w:rPr>
        <w:t>Northwest</w:t>
      </w:r>
      <w:r w:rsidR="00D76F98">
        <w:rPr>
          <w:rFonts w:ascii="Times New Roman" w:hAnsi="Times New Roman" w:cs="Times New Roman"/>
          <w:sz w:val="24"/>
          <w:szCs w:val="24"/>
        </w:rPr>
        <w:t xml:space="preserve"> </w:t>
      </w:r>
      <w:r w:rsidR="00B01967" w:rsidRPr="005D7508">
        <w:rPr>
          <w:rFonts w:ascii="Times New Roman" w:hAnsi="Times New Roman" w:cs="Times New Roman"/>
          <w:sz w:val="24"/>
          <w:szCs w:val="24"/>
        </w:rPr>
        <w:t>(n=</w:t>
      </w:r>
      <w:r w:rsidR="0009430D" w:rsidRPr="005D7508">
        <w:rPr>
          <w:rFonts w:ascii="Times New Roman" w:hAnsi="Times New Roman" w:cs="Times New Roman"/>
          <w:sz w:val="24"/>
          <w:szCs w:val="24"/>
        </w:rPr>
        <w:t>82</w:t>
      </w:r>
      <w:r w:rsidR="00B01967" w:rsidRPr="005D7508">
        <w:rPr>
          <w:rFonts w:ascii="Times New Roman" w:hAnsi="Times New Roman" w:cs="Times New Roman"/>
          <w:sz w:val="24"/>
          <w:szCs w:val="24"/>
        </w:rPr>
        <w:t>)</w:t>
      </w:r>
      <w:r w:rsidR="00A65AAD" w:rsidRPr="005D7508">
        <w:rPr>
          <w:rFonts w:ascii="Times New Roman" w:hAnsi="Times New Roman" w:cs="Times New Roman"/>
          <w:sz w:val="24"/>
          <w:szCs w:val="24"/>
        </w:rPr>
        <w:t>,</w:t>
      </w:r>
      <w:r w:rsidR="00540C4C" w:rsidRPr="005D7508">
        <w:rPr>
          <w:rFonts w:ascii="Times New Roman" w:hAnsi="Times New Roman" w:cs="Times New Roman"/>
          <w:sz w:val="24"/>
          <w:szCs w:val="24"/>
        </w:rPr>
        <w:t xml:space="preserve"> </w:t>
      </w:r>
      <w:r w:rsidR="00AD01A9" w:rsidRPr="005D7508">
        <w:rPr>
          <w:rFonts w:ascii="Times New Roman" w:hAnsi="Times New Roman" w:cs="Times New Roman"/>
          <w:sz w:val="24"/>
          <w:szCs w:val="24"/>
        </w:rPr>
        <w:t>England</w:t>
      </w:r>
      <w:r w:rsidR="00B01967" w:rsidRPr="005D7508">
        <w:rPr>
          <w:rFonts w:ascii="Times New Roman" w:hAnsi="Times New Roman" w:cs="Times New Roman"/>
          <w:sz w:val="24"/>
          <w:szCs w:val="24"/>
        </w:rPr>
        <w:t xml:space="preserve"> </w:t>
      </w:r>
      <w:r w:rsidR="00AD01A9" w:rsidRPr="005D7508">
        <w:rPr>
          <w:rFonts w:ascii="Times New Roman" w:hAnsi="Times New Roman" w:cs="Times New Roman"/>
          <w:sz w:val="24"/>
          <w:szCs w:val="24"/>
        </w:rPr>
        <w:t>Midlands</w:t>
      </w:r>
      <w:r w:rsidR="00D76F98">
        <w:rPr>
          <w:rFonts w:ascii="Times New Roman" w:hAnsi="Times New Roman" w:cs="Times New Roman"/>
          <w:sz w:val="24"/>
          <w:szCs w:val="24"/>
        </w:rPr>
        <w:t xml:space="preserve"> </w:t>
      </w:r>
      <w:r w:rsidR="00B01967" w:rsidRPr="005D7508">
        <w:rPr>
          <w:rFonts w:ascii="Times New Roman" w:hAnsi="Times New Roman" w:cs="Times New Roman"/>
          <w:sz w:val="24"/>
          <w:szCs w:val="24"/>
        </w:rPr>
        <w:t>(n=</w:t>
      </w:r>
      <w:r w:rsidR="0009430D" w:rsidRPr="005D7508">
        <w:rPr>
          <w:rFonts w:ascii="Times New Roman" w:hAnsi="Times New Roman" w:cs="Times New Roman"/>
          <w:sz w:val="24"/>
          <w:szCs w:val="24"/>
        </w:rPr>
        <w:t>79</w:t>
      </w:r>
      <w:r w:rsidR="00B01967" w:rsidRPr="005D7508">
        <w:rPr>
          <w:rFonts w:ascii="Times New Roman" w:hAnsi="Times New Roman" w:cs="Times New Roman"/>
          <w:sz w:val="24"/>
          <w:szCs w:val="24"/>
        </w:rPr>
        <w:t>)</w:t>
      </w:r>
      <w:r w:rsidR="00AD01A9" w:rsidRPr="005D7508">
        <w:rPr>
          <w:rFonts w:ascii="Times New Roman" w:hAnsi="Times New Roman" w:cs="Times New Roman"/>
          <w:sz w:val="24"/>
          <w:szCs w:val="24"/>
        </w:rPr>
        <w:t xml:space="preserve">, </w:t>
      </w:r>
      <w:r w:rsidR="00A65AAD" w:rsidRPr="005D7508">
        <w:rPr>
          <w:rFonts w:ascii="Times New Roman" w:hAnsi="Times New Roman" w:cs="Times New Roman"/>
          <w:sz w:val="24"/>
          <w:szCs w:val="24"/>
        </w:rPr>
        <w:t>England Northeast</w:t>
      </w:r>
      <w:r w:rsidR="00D76F98">
        <w:rPr>
          <w:rFonts w:ascii="Times New Roman" w:hAnsi="Times New Roman" w:cs="Times New Roman"/>
          <w:sz w:val="24"/>
          <w:szCs w:val="24"/>
        </w:rPr>
        <w:t xml:space="preserve"> </w:t>
      </w:r>
      <w:r w:rsidR="00B01967" w:rsidRPr="005D7508">
        <w:rPr>
          <w:rFonts w:ascii="Times New Roman" w:hAnsi="Times New Roman" w:cs="Times New Roman"/>
          <w:sz w:val="24"/>
          <w:szCs w:val="24"/>
        </w:rPr>
        <w:t>(n=</w:t>
      </w:r>
      <w:r w:rsidR="0009430D" w:rsidRPr="005D7508">
        <w:rPr>
          <w:rFonts w:ascii="Times New Roman" w:hAnsi="Times New Roman" w:cs="Times New Roman"/>
          <w:sz w:val="24"/>
          <w:szCs w:val="24"/>
        </w:rPr>
        <w:t>78</w:t>
      </w:r>
      <w:r w:rsidR="009E5A13" w:rsidRPr="005D7508">
        <w:rPr>
          <w:rFonts w:ascii="Times New Roman" w:hAnsi="Times New Roman" w:cs="Times New Roman"/>
          <w:sz w:val="24"/>
          <w:szCs w:val="24"/>
        </w:rPr>
        <w:t>), England</w:t>
      </w:r>
      <w:r w:rsidR="00A65AAD" w:rsidRPr="005D7508">
        <w:rPr>
          <w:rFonts w:ascii="Times New Roman" w:hAnsi="Times New Roman" w:cs="Times New Roman"/>
          <w:sz w:val="24"/>
          <w:szCs w:val="24"/>
        </w:rPr>
        <w:t xml:space="preserve"> London</w:t>
      </w:r>
      <w:r w:rsidR="00D76F98">
        <w:rPr>
          <w:rFonts w:ascii="Times New Roman" w:hAnsi="Times New Roman" w:cs="Times New Roman"/>
          <w:sz w:val="24"/>
          <w:szCs w:val="24"/>
        </w:rPr>
        <w:t xml:space="preserve"> </w:t>
      </w:r>
      <w:r w:rsidR="00B01967" w:rsidRPr="005D7508">
        <w:rPr>
          <w:rFonts w:ascii="Times New Roman" w:hAnsi="Times New Roman" w:cs="Times New Roman"/>
          <w:sz w:val="24"/>
          <w:szCs w:val="24"/>
        </w:rPr>
        <w:t>(n=</w:t>
      </w:r>
      <w:r w:rsidR="0009430D" w:rsidRPr="005D7508">
        <w:rPr>
          <w:rFonts w:ascii="Times New Roman" w:hAnsi="Times New Roman" w:cs="Times New Roman"/>
          <w:sz w:val="24"/>
          <w:szCs w:val="24"/>
        </w:rPr>
        <w:t>52</w:t>
      </w:r>
      <w:r w:rsidR="00B01967" w:rsidRPr="005D7508">
        <w:rPr>
          <w:rFonts w:ascii="Times New Roman" w:hAnsi="Times New Roman" w:cs="Times New Roman"/>
          <w:sz w:val="24"/>
          <w:szCs w:val="24"/>
        </w:rPr>
        <w:t>)</w:t>
      </w:r>
      <w:r w:rsidR="00A65AAD" w:rsidRPr="005D7508">
        <w:rPr>
          <w:rFonts w:ascii="Times New Roman" w:hAnsi="Times New Roman" w:cs="Times New Roman"/>
          <w:sz w:val="24"/>
          <w:szCs w:val="24"/>
        </w:rPr>
        <w:t>, Northern</w:t>
      </w:r>
      <w:r w:rsidR="00457B2F" w:rsidRPr="005D7508">
        <w:rPr>
          <w:rFonts w:ascii="Times New Roman" w:hAnsi="Times New Roman" w:cs="Times New Roman"/>
          <w:sz w:val="24"/>
          <w:szCs w:val="24"/>
        </w:rPr>
        <w:t xml:space="preserve"> </w:t>
      </w:r>
      <w:r w:rsidR="00A65AAD" w:rsidRPr="005D7508">
        <w:rPr>
          <w:rFonts w:ascii="Times New Roman" w:hAnsi="Times New Roman" w:cs="Times New Roman"/>
          <w:sz w:val="24"/>
          <w:szCs w:val="24"/>
        </w:rPr>
        <w:t>Ireland</w:t>
      </w:r>
      <w:r w:rsidR="00457B2F" w:rsidRPr="005D7508">
        <w:rPr>
          <w:rFonts w:ascii="Times New Roman" w:hAnsi="Times New Roman" w:cs="Times New Roman"/>
          <w:sz w:val="24"/>
          <w:szCs w:val="24"/>
        </w:rPr>
        <w:t xml:space="preserve"> </w:t>
      </w:r>
      <w:r w:rsidR="00B01967" w:rsidRPr="005D7508">
        <w:rPr>
          <w:rFonts w:ascii="Times New Roman" w:hAnsi="Times New Roman" w:cs="Times New Roman"/>
          <w:sz w:val="24"/>
          <w:szCs w:val="24"/>
        </w:rPr>
        <w:t>(n=</w:t>
      </w:r>
      <w:r w:rsidR="0009430D" w:rsidRPr="005D7508">
        <w:rPr>
          <w:rFonts w:ascii="Times New Roman" w:hAnsi="Times New Roman" w:cs="Times New Roman"/>
          <w:sz w:val="24"/>
          <w:szCs w:val="24"/>
        </w:rPr>
        <w:t>42</w:t>
      </w:r>
      <w:r w:rsidR="00B01967" w:rsidRPr="005D7508">
        <w:rPr>
          <w:rFonts w:ascii="Times New Roman" w:hAnsi="Times New Roman" w:cs="Times New Roman"/>
          <w:sz w:val="24"/>
          <w:szCs w:val="24"/>
        </w:rPr>
        <w:t>)</w:t>
      </w:r>
      <w:r w:rsidR="00A65AAD" w:rsidRPr="005D7508">
        <w:rPr>
          <w:rFonts w:ascii="Times New Roman" w:hAnsi="Times New Roman" w:cs="Times New Roman"/>
          <w:sz w:val="24"/>
          <w:szCs w:val="24"/>
        </w:rPr>
        <w:t>, Wales</w:t>
      </w:r>
      <w:r w:rsidR="00D76F98">
        <w:rPr>
          <w:rFonts w:ascii="Times New Roman" w:hAnsi="Times New Roman" w:cs="Times New Roman"/>
          <w:sz w:val="24"/>
          <w:szCs w:val="24"/>
        </w:rPr>
        <w:t xml:space="preserve"> </w:t>
      </w:r>
      <w:r w:rsidR="00B01967" w:rsidRPr="005D7508">
        <w:rPr>
          <w:rFonts w:ascii="Times New Roman" w:hAnsi="Times New Roman" w:cs="Times New Roman"/>
          <w:sz w:val="24"/>
          <w:szCs w:val="24"/>
        </w:rPr>
        <w:t>(n=</w:t>
      </w:r>
      <w:r w:rsidR="00540C4C" w:rsidRPr="005D7508">
        <w:rPr>
          <w:rFonts w:ascii="Times New Roman" w:hAnsi="Times New Roman" w:cs="Times New Roman"/>
          <w:sz w:val="24"/>
          <w:szCs w:val="24"/>
        </w:rPr>
        <w:t>23</w:t>
      </w:r>
      <w:r w:rsidR="00B01967" w:rsidRPr="005D7508">
        <w:rPr>
          <w:rFonts w:ascii="Times New Roman" w:hAnsi="Times New Roman" w:cs="Times New Roman"/>
          <w:sz w:val="24"/>
          <w:szCs w:val="24"/>
        </w:rPr>
        <w:t>)</w:t>
      </w:r>
      <w:r w:rsidR="00A65AAD" w:rsidRPr="005D7508">
        <w:rPr>
          <w:rFonts w:ascii="Times New Roman" w:hAnsi="Times New Roman" w:cs="Times New Roman"/>
          <w:sz w:val="24"/>
          <w:szCs w:val="24"/>
        </w:rPr>
        <w:t>.</w:t>
      </w:r>
      <w:r w:rsidR="009E5A13" w:rsidRPr="005D7508">
        <w:rPr>
          <w:rFonts w:ascii="Times New Roman" w:hAnsi="Times New Roman" w:cs="Times New Roman"/>
          <w:sz w:val="24"/>
          <w:szCs w:val="24"/>
        </w:rPr>
        <w:t xml:space="preserve"> </w:t>
      </w:r>
    </w:p>
    <w:p w14:paraId="4E783CD6" w14:textId="56DA9994" w:rsidR="00750B73" w:rsidRDefault="00E87128" w:rsidP="005D750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highest number of participants worked ( n = 675) in the Cancer centres ( n = 357), followed by  District General Hospitals ( n = 238), Private Hospitals ( n = 40), others ( n= 25), and community and home care settings ( n= 15). </w:t>
      </w:r>
    </w:p>
    <w:p w14:paraId="6A28A641" w14:textId="77777777" w:rsidR="006969F6" w:rsidRPr="005D7508" w:rsidRDefault="006969F6" w:rsidP="006969F6">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Ninety-eight per cent (n=794) of participants agree that there are written policies for safe handling within their workplace. 76% (n=620) participants workplace prepare</w:t>
      </w:r>
      <w:r>
        <w:rPr>
          <w:rFonts w:ascii="Times New Roman" w:hAnsi="Times New Roman" w:cs="Times New Roman"/>
          <w:sz w:val="24"/>
          <w:szCs w:val="24"/>
        </w:rPr>
        <w:t xml:space="preserve"> CDs</w:t>
      </w:r>
      <w:r w:rsidRPr="005D7508">
        <w:rPr>
          <w:rFonts w:ascii="Times New Roman" w:hAnsi="Times New Roman" w:cs="Times New Roman"/>
          <w:sz w:val="24"/>
          <w:szCs w:val="24"/>
        </w:rPr>
        <w:t xml:space="preserve"> in the aseptic pharmacy; 17% (n=138) prepared </w:t>
      </w:r>
      <w:r>
        <w:rPr>
          <w:rFonts w:ascii="Times New Roman" w:hAnsi="Times New Roman" w:cs="Times New Roman"/>
          <w:sz w:val="24"/>
          <w:szCs w:val="24"/>
        </w:rPr>
        <w:t>CDs</w:t>
      </w:r>
      <w:r w:rsidRPr="005D7508">
        <w:rPr>
          <w:rFonts w:ascii="Times New Roman" w:hAnsi="Times New Roman" w:cs="Times New Roman"/>
          <w:sz w:val="24"/>
          <w:szCs w:val="24"/>
        </w:rPr>
        <w:t xml:space="preserve"> are brought from off-site locations; followed by 2% (n=16) in designated preparation room, 2%(n=13) in treatment area and 3% (n=24) in other areas. Spill kits to manage the spills of </w:t>
      </w:r>
      <w:r>
        <w:rPr>
          <w:rFonts w:ascii="Times New Roman" w:hAnsi="Times New Roman" w:cs="Times New Roman"/>
          <w:sz w:val="24"/>
          <w:szCs w:val="24"/>
        </w:rPr>
        <w:t>CDs</w:t>
      </w:r>
      <w:r w:rsidRPr="005D7508">
        <w:rPr>
          <w:rFonts w:ascii="Times New Roman" w:hAnsi="Times New Roman" w:cs="Times New Roman"/>
          <w:sz w:val="24"/>
          <w:szCs w:val="24"/>
        </w:rPr>
        <w:t xml:space="preserve"> are available in 99% (n=724) of workplaces, and 1% (n=5) of workplaces are reported not to have spill kits. </w:t>
      </w:r>
    </w:p>
    <w:p w14:paraId="2E9DB131" w14:textId="77B27D1B" w:rsidR="00B26C21" w:rsidRDefault="00E87128" w:rsidP="00B26C21">
      <w:pPr>
        <w:spacing w:line="480" w:lineRule="auto"/>
        <w:jc w:val="both"/>
        <w:rPr>
          <w:rFonts w:ascii="Times New Roman" w:hAnsi="Times New Roman" w:cs="Times New Roman"/>
          <w:sz w:val="24"/>
          <w:szCs w:val="24"/>
        </w:rPr>
      </w:pPr>
      <w:r>
        <w:rPr>
          <w:rFonts w:ascii="Times New Roman" w:hAnsi="Times New Roman" w:cs="Times New Roman"/>
          <w:sz w:val="24"/>
          <w:szCs w:val="24"/>
        </w:rPr>
        <w:t>The participants' training experience ( n = 675)</w:t>
      </w:r>
      <w:r w:rsidR="004A2A6C">
        <w:rPr>
          <w:rFonts w:ascii="Times New Roman" w:hAnsi="Times New Roman" w:cs="Times New Roman"/>
          <w:sz w:val="24"/>
          <w:szCs w:val="24"/>
        </w:rPr>
        <w:t xml:space="preserve"> was varied. The highest reported training was workplace training ( n = 291), followed by </w:t>
      </w:r>
      <w:r w:rsidR="002B659A">
        <w:rPr>
          <w:rFonts w:ascii="Times New Roman" w:hAnsi="Times New Roman" w:cs="Times New Roman"/>
          <w:sz w:val="24"/>
          <w:szCs w:val="24"/>
        </w:rPr>
        <w:t>university</w:t>
      </w:r>
      <w:r>
        <w:rPr>
          <w:rFonts w:ascii="Times New Roman" w:hAnsi="Times New Roman" w:cs="Times New Roman"/>
          <w:sz w:val="24"/>
          <w:szCs w:val="24"/>
        </w:rPr>
        <w:t xml:space="preserve"> accredited training</w:t>
      </w:r>
      <w:r w:rsidR="004A2A6C">
        <w:rPr>
          <w:rFonts w:ascii="Times New Roman" w:hAnsi="Times New Roman" w:cs="Times New Roman"/>
          <w:sz w:val="24"/>
          <w:szCs w:val="24"/>
        </w:rPr>
        <w:t xml:space="preserve"> ( n= 211) </w:t>
      </w:r>
      <w:r>
        <w:rPr>
          <w:rFonts w:ascii="Times New Roman" w:hAnsi="Times New Roman" w:cs="Times New Roman"/>
          <w:sz w:val="24"/>
          <w:szCs w:val="24"/>
        </w:rPr>
        <w:t xml:space="preserve">and </w:t>
      </w:r>
      <w:r w:rsidR="004A2A6C">
        <w:rPr>
          <w:rFonts w:ascii="Times New Roman" w:hAnsi="Times New Roman" w:cs="Times New Roman"/>
          <w:sz w:val="24"/>
          <w:szCs w:val="24"/>
        </w:rPr>
        <w:t xml:space="preserve">UKONS </w:t>
      </w:r>
      <w:r w:rsidR="001979A2">
        <w:rPr>
          <w:rFonts w:ascii="Times New Roman" w:hAnsi="Times New Roman" w:cs="Times New Roman"/>
          <w:sz w:val="24"/>
          <w:szCs w:val="24"/>
        </w:rPr>
        <w:t>chemotherapy</w:t>
      </w:r>
      <w:r w:rsidR="004A2A6C">
        <w:rPr>
          <w:rFonts w:ascii="Times New Roman" w:hAnsi="Times New Roman" w:cs="Times New Roman"/>
          <w:sz w:val="24"/>
          <w:szCs w:val="24"/>
        </w:rPr>
        <w:t xml:space="preserve"> </w:t>
      </w:r>
      <w:r w:rsidR="001E65BA">
        <w:rPr>
          <w:rFonts w:ascii="Times New Roman" w:hAnsi="Times New Roman" w:cs="Times New Roman"/>
          <w:sz w:val="24"/>
          <w:szCs w:val="24"/>
        </w:rPr>
        <w:t>training</w:t>
      </w:r>
      <w:r w:rsidR="004A2A6C">
        <w:rPr>
          <w:rFonts w:ascii="Times New Roman" w:hAnsi="Times New Roman" w:cs="Times New Roman"/>
          <w:sz w:val="24"/>
          <w:szCs w:val="24"/>
        </w:rPr>
        <w:t xml:space="preserve"> ( n= 149), with others ( n = 15) and not applying ( n= 9). The results are presented</w:t>
      </w:r>
      <w:r>
        <w:rPr>
          <w:rFonts w:ascii="Times New Roman" w:hAnsi="Times New Roman" w:cs="Times New Roman"/>
          <w:sz w:val="24"/>
          <w:szCs w:val="24"/>
        </w:rPr>
        <w:t xml:space="preserve"> </w:t>
      </w:r>
      <w:r w:rsidR="004A2A6C">
        <w:rPr>
          <w:rFonts w:ascii="Times New Roman" w:hAnsi="Times New Roman" w:cs="Times New Roman"/>
          <w:sz w:val="24"/>
          <w:szCs w:val="24"/>
        </w:rPr>
        <w:t>proportionally for the different regions of the UK (figure 4).</w:t>
      </w:r>
    </w:p>
    <w:p w14:paraId="33C9D589" w14:textId="761E1055" w:rsidR="002B659A" w:rsidRPr="006A76D8" w:rsidRDefault="00E87128" w:rsidP="002B659A">
      <w:pPr>
        <w:spacing w:line="480" w:lineRule="auto"/>
        <w:rPr>
          <w:rFonts w:ascii="Times New Roman" w:hAnsi="Times New Roman" w:cs="Times New Roman"/>
          <w:b/>
          <w:bCs/>
          <w:sz w:val="24"/>
          <w:szCs w:val="24"/>
        </w:rPr>
      </w:pPr>
      <w:r w:rsidRPr="006A76D8">
        <w:rPr>
          <w:rFonts w:ascii="Times New Roman" w:hAnsi="Times New Roman" w:cs="Times New Roman"/>
          <w:b/>
          <w:bCs/>
          <w:sz w:val="24"/>
          <w:szCs w:val="24"/>
        </w:rPr>
        <w:t xml:space="preserve">Nurses' knowledge </w:t>
      </w:r>
      <w:r w:rsidR="006A76D8">
        <w:rPr>
          <w:rFonts w:ascii="Times New Roman" w:hAnsi="Times New Roman" w:cs="Times New Roman"/>
          <w:b/>
          <w:bCs/>
          <w:sz w:val="24"/>
          <w:szCs w:val="24"/>
        </w:rPr>
        <w:t>of hazard of CDs</w:t>
      </w:r>
      <w:r w:rsidR="00814D27">
        <w:rPr>
          <w:rFonts w:ascii="Times New Roman" w:hAnsi="Times New Roman" w:cs="Times New Roman"/>
          <w:b/>
          <w:bCs/>
          <w:sz w:val="24"/>
          <w:szCs w:val="24"/>
        </w:rPr>
        <w:t>:</w:t>
      </w:r>
    </w:p>
    <w:p w14:paraId="6111B5F2" w14:textId="5545570F" w:rsidR="00557221" w:rsidRPr="005D7508" w:rsidRDefault="006A76D8" w:rsidP="00557221">
      <w:pPr>
        <w:spacing w:line="480" w:lineRule="auto"/>
        <w:jc w:val="both"/>
        <w:rPr>
          <w:rFonts w:ascii="Times New Roman" w:hAnsi="Times New Roman" w:cs="Times New Roman"/>
          <w:kern w:val="2"/>
          <w:sz w:val="24"/>
          <w:szCs w:val="24"/>
          <w14:ligatures w14:val="standardContextual"/>
        </w:rPr>
      </w:pPr>
      <w:r w:rsidRPr="00C67895">
        <w:rPr>
          <w:rFonts w:ascii="Times New Roman" w:hAnsi="Times New Roman" w:cs="Times New Roman"/>
          <w:sz w:val="24"/>
          <w:szCs w:val="24"/>
        </w:rPr>
        <w:t xml:space="preserve">Nurses were tested by asking twelve questions to assess their knowledge of hazards which were true or false answer at the start of the </w:t>
      </w:r>
      <w:r w:rsidR="00D800F6" w:rsidRPr="00C67895">
        <w:rPr>
          <w:rFonts w:ascii="Times New Roman" w:hAnsi="Times New Roman" w:cs="Times New Roman"/>
          <w:sz w:val="24"/>
          <w:szCs w:val="24"/>
        </w:rPr>
        <w:t>survey</w:t>
      </w:r>
      <w:r w:rsidRPr="00C67895">
        <w:rPr>
          <w:rFonts w:ascii="Times New Roman" w:hAnsi="Times New Roman" w:cs="Times New Roman"/>
          <w:sz w:val="24"/>
          <w:szCs w:val="24"/>
        </w:rPr>
        <w:t xml:space="preserve">. </w:t>
      </w:r>
      <w:r w:rsidR="00E87128" w:rsidRPr="00C67895">
        <w:rPr>
          <w:rFonts w:ascii="Times New Roman" w:hAnsi="Times New Roman" w:cs="Times New Roman"/>
          <w:sz w:val="24"/>
          <w:szCs w:val="24"/>
        </w:rPr>
        <w:t>The</w:t>
      </w:r>
      <w:r w:rsidR="00E87128" w:rsidRPr="005D7508">
        <w:rPr>
          <w:rFonts w:ascii="Times New Roman" w:hAnsi="Times New Roman" w:cs="Times New Roman"/>
          <w:sz w:val="24"/>
          <w:szCs w:val="24"/>
        </w:rPr>
        <w:t xml:space="preserve"> survey results</w:t>
      </w:r>
      <w:r w:rsidR="00E87128">
        <w:rPr>
          <w:rFonts w:ascii="Times New Roman" w:hAnsi="Times New Roman" w:cs="Times New Roman"/>
          <w:sz w:val="24"/>
          <w:szCs w:val="24"/>
        </w:rPr>
        <w:t xml:space="preserve"> </w:t>
      </w:r>
      <w:r w:rsidR="00E87128" w:rsidRPr="005D7508">
        <w:rPr>
          <w:rFonts w:ascii="Times New Roman" w:hAnsi="Times New Roman" w:cs="Times New Roman"/>
          <w:sz w:val="24"/>
          <w:szCs w:val="24"/>
        </w:rPr>
        <w:t>indicate high knowledge among the</w:t>
      </w:r>
      <w:r w:rsidR="00E87128">
        <w:rPr>
          <w:rFonts w:ascii="Times New Roman" w:hAnsi="Times New Roman" w:cs="Times New Roman"/>
          <w:sz w:val="24"/>
          <w:szCs w:val="24"/>
        </w:rPr>
        <w:t xml:space="preserve"> participants</w:t>
      </w:r>
      <w:r w:rsidR="00E87128" w:rsidRPr="005D7508">
        <w:rPr>
          <w:rFonts w:ascii="Times New Roman" w:hAnsi="Times New Roman" w:cs="Times New Roman"/>
          <w:sz w:val="24"/>
          <w:szCs w:val="24"/>
        </w:rPr>
        <w:t xml:space="preserve">, with a mean of 10.4 ± 1.41; 89.5% of the nurses scored higher knowledge (9-12); 10.5% scored moderate knowledge (5-8). The frequency and percentages of correct and incorrect responses to the 12 knowledge questions of the survey are presented (Table </w:t>
      </w:r>
      <w:r w:rsidR="00660D6B">
        <w:rPr>
          <w:rFonts w:ascii="Times New Roman" w:hAnsi="Times New Roman" w:cs="Times New Roman"/>
          <w:sz w:val="24"/>
          <w:szCs w:val="24"/>
        </w:rPr>
        <w:t>1</w:t>
      </w:r>
      <w:r w:rsidR="00E87128" w:rsidRPr="005D7508">
        <w:rPr>
          <w:rFonts w:ascii="Times New Roman" w:hAnsi="Times New Roman" w:cs="Times New Roman"/>
          <w:sz w:val="24"/>
          <w:szCs w:val="24"/>
        </w:rPr>
        <w:t xml:space="preserve">). </w:t>
      </w:r>
    </w:p>
    <w:p w14:paraId="7F7DF933" w14:textId="77777777" w:rsidR="002B659A" w:rsidRPr="005D7508" w:rsidRDefault="002B659A" w:rsidP="002B659A">
      <w:pPr>
        <w:spacing w:line="480" w:lineRule="auto"/>
        <w:jc w:val="both"/>
        <w:rPr>
          <w:rFonts w:ascii="Times New Roman" w:hAnsi="Times New Roman" w:cs="Times New Roman"/>
          <w:b/>
          <w:bCs/>
          <w:sz w:val="24"/>
          <w:szCs w:val="24"/>
        </w:rPr>
      </w:pPr>
    </w:p>
    <w:p w14:paraId="5AF9D4D1" w14:textId="79DBC864" w:rsidR="00B11A66" w:rsidRPr="005D7508" w:rsidRDefault="00B11A66" w:rsidP="005D7508">
      <w:pPr>
        <w:spacing w:line="480" w:lineRule="auto"/>
        <w:rPr>
          <w:rFonts w:ascii="Times New Roman" w:hAnsi="Times New Roman" w:cs="Times New Roman"/>
          <w:sz w:val="24"/>
          <w:szCs w:val="24"/>
        </w:rPr>
      </w:pPr>
    </w:p>
    <w:p w14:paraId="3D663469" w14:textId="77777777" w:rsidR="00C1516F" w:rsidRPr="005D7508" w:rsidRDefault="00C1516F" w:rsidP="005D7508">
      <w:pPr>
        <w:spacing w:line="480" w:lineRule="auto"/>
        <w:rPr>
          <w:rFonts w:ascii="Times New Roman" w:hAnsi="Times New Roman" w:cs="Times New Roman"/>
          <w:b/>
          <w:bCs/>
          <w:sz w:val="24"/>
          <w:szCs w:val="24"/>
        </w:rPr>
      </w:pPr>
    </w:p>
    <w:p w14:paraId="14F57BDC" w14:textId="77777777" w:rsidR="00D06647" w:rsidRPr="005D7508" w:rsidRDefault="00D06647" w:rsidP="005D7508">
      <w:pPr>
        <w:spacing w:line="480" w:lineRule="auto"/>
        <w:jc w:val="both"/>
        <w:rPr>
          <w:rFonts w:ascii="Times New Roman" w:hAnsi="Times New Roman" w:cs="Times New Roman"/>
          <w:sz w:val="24"/>
          <w:szCs w:val="24"/>
        </w:rPr>
      </w:pPr>
    </w:p>
    <w:p w14:paraId="289D66FD" w14:textId="77777777" w:rsidR="00C3270E" w:rsidRPr="005D7508" w:rsidRDefault="00C3270E" w:rsidP="005D7508">
      <w:pPr>
        <w:spacing w:line="480" w:lineRule="auto"/>
        <w:jc w:val="both"/>
        <w:rPr>
          <w:rFonts w:ascii="Times New Roman" w:hAnsi="Times New Roman" w:cs="Times New Roman"/>
          <w:sz w:val="24"/>
          <w:szCs w:val="24"/>
        </w:rPr>
      </w:pPr>
    </w:p>
    <w:tbl>
      <w:tblPr>
        <w:tblStyle w:val="TableGrid"/>
        <w:tblpPr w:leftFromText="180" w:rightFromText="180" w:vertAnchor="page" w:horzAnchor="margin" w:tblpY="1141"/>
        <w:tblW w:w="8426"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4474"/>
        <w:gridCol w:w="2108"/>
        <w:gridCol w:w="1844"/>
      </w:tblGrid>
      <w:tr w:rsidR="00F37F09" w14:paraId="01777BF7" w14:textId="77777777" w:rsidTr="00407E7B">
        <w:trPr>
          <w:trHeight w:val="339"/>
        </w:trPr>
        <w:tc>
          <w:tcPr>
            <w:tcW w:w="4474" w:type="dxa"/>
          </w:tcPr>
          <w:p w14:paraId="3984B700"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b/>
                <w:bCs/>
                <w:sz w:val="16"/>
                <w:szCs w:val="16"/>
              </w:rPr>
              <w:t>Question</w:t>
            </w:r>
          </w:p>
        </w:tc>
        <w:tc>
          <w:tcPr>
            <w:tcW w:w="2108" w:type="dxa"/>
            <w:shd w:val="clear" w:color="auto" w:fill="auto"/>
          </w:tcPr>
          <w:p w14:paraId="31E909E0" w14:textId="77777777" w:rsidR="00C1516F" w:rsidRPr="00407E7B" w:rsidRDefault="00E87128" w:rsidP="005D7508">
            <w:pPr>
              <w:spacing w:line="480" w:lineRule="auto"/>
              <w:jc w:val="center"/>
              <w:rPr>
                <w:rFonts w:ascii="Times New Roman" w:hAnsi="Times New Roman" w:cs="Times New Roman"/>
                <w:b/>
                <w:bCs/>
                <w:sz w:val="16"/>
                <w:szCs w:val="16"/>
              </w:rPr>
            </w:pPr>
            <w:r w:rsidRPr="00407E7B">
              <w:rPr>
                <w:rFonts w:ascii="Times New Roman" w:hAnsi="Times New Roman" w:cs="Times New Roman"/>
                <w:b/>
                <w:bCs/>
                <w:sz w:val="16"/>
                <w:szCs w:val="16"/>
              </w:rPr>
              <w:t>Correct Answer</w:t>
            </w:r>
          </w:p>
          <w:p w14:paraId="336D5298" w14:textId="18D0F8ED" w:rsidR="006A76D8" w:rsidRPr="00407E7B" w:rsidRDefault="006A76D8" w:rsidP="005D7508">
            <w:pPr>
              <w:spacing w:line="480" w:lineRule="auto"/>
              <w:jc w:val="center"/>
              <w:rPr>
                <w:rFonts w:ascii="Times New Roman" w:hAnsi="Times New Roman" w:cs="Times New Roman"/>
                <w:b/>
                <w:bCs/>
                <w:sz w:val="16"/>
                <w:szCs w:val="16"/>
              </w:rPr>
            </w:pPr>
            <w:r w:rsidRPr="00407E7B">
              <w:rPr>
                <w:rFonts w:ascii="Times New Roman" w:hAnsi="Times New Roman" w:cs="Times New Roman"/>
                <w:b/>
                <w:bCs/>
                <w:sz w:val="16"/>
                <w:szCs w:val="16"/>
              </w:rPr>
              <w:t>( N = 858)</w:t>
            </w:r>
          </w:p>
        </w:tc>
        <w:tc>
          <w:tcPr>
            <w:tcW w:w="1844" w:type="dxa"/>
            <w:shd w:val="clear" w:color="auto" w:fill="auto"/>
          </w:tcPr>
          <w:p w14:paraId="73317B93" w14:textId="77777777" w:rsidR="00C1516F" w:rsidRPr="00407E7B" w:rsidRDefault="00E87128" w:rsidP="005D7508">
            <w:pPr>
              <w:spacing w:line="480" w:lineRule="auto"/>
              <w:jc w:val="center"/>
              <w:rPr>
                <w:rFonts w:ascii="Times New Roman" w:hAnsi="Times New Roman" w:cs="Times New Roman"/>
                <w:b/>
                <w:bCs/>
                <w:sz w:val="16"/>
                <w:szCs w:val="16"/>
              </w:rPr>
            </w:pPr>
            <w:r w:rsidRPr="00407E7B">
              <w:rPr>
                <w:rFonts w:ascii="Times New Roman" w:hAnsi="Times New Roman" w:cs="Times New Roman"/>
                <w:b/>
                <w:bCs/>
                <w:sz w:val="16"/>
                <w:szCs w:val="16"/>
              </w:rPr>
              <w:t>Incorrect Answer</w:t>
            </w:r>
          </w:p>
          <w:p w14:paraId="040651A9" w14:textId="26732D7B" w:rsidR="006A76D8" w:rsidRPr="00407E7B" w:rsidRDefault="006A76D8" w:rsidP="005D7508">
            <w:pPr>
              <w:spacing w:line="480" w:lineRule="auto"/>
              <w:jc w:val="center"/>
              <w:rPr>
                <w:rFonts w:ascii="Times New Roman" w:hAnsi="Times New Roman" w:cs="Times New Roman"/>
                <w:b/>
                <w:bCs/>
                <w:sz w:val="16"/>
                <w:szCs w:val="16"/>
              </w:rPr>
            </w:pPr>
            <w:r w:rsidRPr="00407E7B">
              <w:rPr>
                <w:rFonts w:ascii="Times New Roman" w:hAnsi="Times New Roman" w:cs="Times New Roman"/>
                <w:b/>
                <w:bCs/>
                <w:sz w:val="16"/>
                <w:szCs w:val="16"/>
              </w:rPr>
              <w:t>( N=858)</w:t>
            </w:r>
          </w:p>
        </w:tc>
      </w:tr>
      <w:tr w:rsidR="00F37F09" w14:paraId="036B48D4" w14:textId="77777777" w:rsidTr="00B11A66">
        <w:trPr>
          <w:trHeight w:val="339"/>
        </w:trPr>
        <w:tc>
          <w:tcPr>
            <w:tcW w:w="4474" w:type="dxa"/>
            <w:vAlign w:val="center"/>
          </w:tcPr>
          <w:p w14:paraId="5FDB75B7"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 xml:space="preserve">1. Chemotherapy can enter the body through breathing it in </w:t>
            </w:r>
          </w:p>
        </w:tc>
        <w:tc>
          <w:tcPr>
            <w:tcW w:w="2108" w:type="dxa"/>
            <w:shd w:val="clear" w:color="auto" w:fill="auto"/>
            <w:vAlign w:val="center"/>
          </w:tcPr>
          <w:p w14:paraId="013FD629"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759 (88%)</w:t>
            </w:r>
          </w:p>
        </w:tc>
        <w:tc>
          <w:tcPr>
            <w:tcW w:w="1844" w:type="dxa"/>
            <w:shd w:val="clear" w:color="auto" w:fill="auto"/>
            <w:vAlign w:val="center"/>
          </w:tcPr>
          <w:p w14:paraId="09079852"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99 (12%)</w:t>
            </w:r>
          </w:p>
        </w:tc>
      </w:tr>
      <w:tr w:rsidR="00F37F09" w14:paraId="340561B6" w14:textId="77777777" w:rsidTr="00B11A66">
        <w:trPr>
          <w:trHeight w:val="339"/>
        </w:trPr>
        <w:tc>
          <w:tcPr>
            <w:tcW w:w="4474" w:type="dxa"/>
            <w:vAlign w:val="center"/>
          </w:tcPr>
          <w:p w14:paraId="45D58D1F"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2. Chemotherapy can enter the body through ingesting it</w:t>
            </w:r>
          </w:p>
        </w:tc>
        <w:tc>
          <w:tcPr>
            <w:tcW w:w="2108" w:type="dxa"/>
            <w:shd w:val="clear" w:color="auto" w:fill="auto"/>
            <w:vAlign w:val="center"/>
          </w:tcPr>
          <w:p w14:paraId="2C93C4E1"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848 (99%)</w:t>
            </w:r>
          </w:p>
        </w:tc>
        <w:tc>
          <w:tcPr>
            <w:tcW w:w="1844" w:type="dxa"/>
            <w:shd w:val="clear" w:color="auto" w:fill="auto"/>
            <w:vAlign w:val="center"/>
          </w:tcPr>
          <w:p w14:paraId="3BF4A908"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10 (1%)</w:t>
            </w:r>
          </w:p>
        </w:tc>
      </w:tr>
      <w:tr w:rsidR="00F37F09" w14:paraId="3E75FBAB" w14:textId="77777777" w:rsidTr="00B11A66">
        <w:trPr>
          <w:trHeight w:val="668"/>
        </w:trPr>
        <w:tc>
          <w:tcPr>
            <w:tcW w:w="4474" w:type="dxa"/>
            <w:vAlign w:val="center"/>
          </w:tcPr>
          <w:p w14:paraId="4D8259BC"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3. Chemotherapy cannot enter the body through contact with contaminated surfaces</w:t>
            </w:r>
          </w:p>
        </w:tc>
        <w:tc>
          <w:tcPr>
            <w:tcW w:w="2108" w:type="dxa"/>
            <w:shd w:val="clear" w:color="auto" w:fill="auto"/>
            <w:vAlign w:val="center"/>
          </w:tcPr>
          <w:p w14:paraId="1CB95A3D"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682 (79%)</w:t>
            </w:r>
          </w:p>
        </w:tc>
        <w:tc>
          <w:tcPr>
            <w:tcW w:w="1844" w:type="dxa"/>
            <w:shd w:val="clear" w:color="auto" w:fill="auto"/>
            <w:vAlign w:val="center"/>
          </w:tcPr>
          <w:p w14:paraId="0DC7A0F1"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176 (21%)</w:t>
            </w:r>
          </w:p>
        </w:tc>
      </w:tr>
      <w:tr w:rsidR="00F37F09" w14:paraId="0C2F5CD0" w14:textId="77777777" w:rsidTr="00B11A66">
        <w:trPr>
          <w:trHeight w:val="745"/>
        </w:trPr>
        <w:tc>
          <w:tcPr>
            <w:tcW w:w="4474" w:type="dxa"/>
            <w:vAlign w:val="center"/>
          </w:tcPr>
          <w:p w14:paraId="4F4498DA"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4. Chemotherapy can enter the body through contact with spills and splashes</w:t>
            </w:r>
          </w:p>
        </w:tc>
        <w:tc>
          <w:tcPr>
            <w:tcW w:w="2108" w:type="dxa"/>
            <w:shd w:val="clear" w:color="auto" w:fill="auto"/>
            <w:vAlign w:val="center"/>
          </w:tcPr>
          <w:p w14:paraId="15A8B2D9"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852 (99%)</w:t>
            </w:r>
          </w:p>
        </w:tc>
        <w:tc>
          <w:tcPr>
            <w:tcW w:w="1844" w:type="dxa"/>
            <w:shd w:val="clear" w:color="auto" w:fill="auto"/>
            <w:vAlign w:val="center"/>
          </w:tcPr>
          <w:p w14:paraId="03E1E589"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6 (1%)</w:t>
            </w:r>
          </w:p>
        </w:tc>
      </w:tr>
      <w:tr w:rsidR="00F37F09" w14:paraId="618BB91E" w14:textId="77777777" w:rsidTr="00B11A66">
        <w:trPr>
          <w:trHeight w:val="680"/>
        </w:trPr>
        <w:tc>
          <w:tcPr>
            <w:tcW w:w="4474" w:type="dxa"/>
            <w:vAlign w:val="center"/>
          </w:tcPr>
          <w:p w14:paraId="10085934"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5. Chemotherapy gas and vapour in air can enter the body through the skin and mucous membranes</w:t>
            </w:r>
          </w:p>
        </w:tc>
        <w:tc>
          <w:tcPr>
            <w:tcW w:w="2108" w:type="dxa"/>
            <w:shd w:val="clear" w:color="auto" w:fill="auto"/>
            <w:vAlign w:val="center"/>
          </w:tcPr>
          <w:p w14:paraId="2B52D7DD"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750 (87%)</w:t>
            </w:r>
          </w:p>
        </w:tc>
        <w:tc>
          <w:tcPr>
            <w:tcW w:w="1844" w:type="dxa"/>
            <w:shd w:val="clear" w:color="auto" w:fill="auto"/>
            <w:vAlign w:val="center"/>
          </w:tcPr>
          <w:p w14:paraId="24300710"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108 (13%)</w:t>
            </w:r>
          </w:p>
        </w:tc>
      </w:tr>
      <w:tr w:rsidR="00F37F09" w14:paraId="435915B1" w14:textId="77777777" w:rsidTr="00B11A66">
        <w:trPr>
          <w:trHeight w:val="680"/>
        </w:trPr>
        <w:tc>
          <w:tcPr>
            <w:tcW w:w="4474" w:type="dxa"/>
            <w:vAlign w:val="center"/>
          </w:tcPr>
          <w:p w14:paraId="4849989A"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6. Oral forms of chemotherapy do not have the potential to be absorbed</w:t>
            </w:r>
          </w:p>
        </w:tc>
        <w:tc>
          <w:tcPr>
            <w:tcW w:w="2108" w:type="dxa"/>
            <w:shd w:val="clear" w:color="auto" w:fill="auto"/>
            <w:vAlign w:val="center"/>
          </w:tcPr>
          <w:p w14:paraId="4A702A94"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809 (94%)</w:t>
            </w:r>
          </w:p>
        </w:tc>
        <w:tc>
          <w:tcPr>
            <w:tcW w:w="1844" w:type="dxa"/>
            <w:shd w:val="clear" w:color="auto" w:fill="auto"/>
            <w:vAlign w:val="center"/>
          </w:tcPr>
          <w:p w14:paraId="4C1E596A"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49 (6%)</w:t>
            </w:r>
          </w:p>
        </w:tc>
      </w:tr>
      <w:tr w:rsidR="00F37F09" w14:paraId="221712C3" w14:textId="77777777" w:rsidTr="00B11A66">
        <w:trPr>
          <w:trHeight w:val="339"/>
        </w:trPr>
        <w:tc>
          <w:tcPr>
            <w:tcW w:w="4474" w:type="dxa"/>
            <w:vAlign w:val="center"/>
          </w:tcPr>
          <w:p w14:paraId="4BA20D81"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7. Chemotherapy in liquid form can be absorbed through the skin</w:t>
            </w:r>
          </w:p>
        </w:tc>
        <w:tc>
          <w:tcPr>
            <w:tcW w:w="2108" w:type="dxa"/>
            <w:shd w:val="clear" w:color="auto" w:fill="auto"/>
            <w:vAlign w:val="center"/>
          </w:tcPr>
          <w:p w14:paraId="22ECDE6A"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805 (94%)</w:t>
            </w:r>
          </w:p>
        </w:tc>
        <w:tc>
          <w:tcPr>
            <w:tcW w:w="1844" w:type="dxa"/>
            <w:shd w:val="clear" w:color="auto" w:fill="auto"/>
            <w:vAlign w:val="center"/>
          </w:tcPr>
          <w:p w14:paraId="741D4619"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53 (6%)</w:t>
            </w:r>
          </w:p>
        </w:tc>
      </w:tr>
      <w:tr w:rsidR="00F37F09" w14:paraId="46FB25F3" w14:textId="77777777" w:rsidTr="00B11A66">
        <w:trPr>
          <w:trHeight w:val="668"/>
        </w:trPr>
        <w:tc>
          <w:tcPr>
            <w:tcW w:w="4474" w:type="dxa"/>
            <w:vAlign w:val="center"/>
          </w:tcPr>
          <w:p w14:paraId="6A37890C"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8. A surgical mask protects from chemotherapy aerosols</w:t>
            </w:r>
          </w:p>
        </w:tc>
        <w:tc>
          <w:tcPr>
            <w:tcW w:w="2108" w:type="dxa"/>
            <w:shd w:val="clear" w:color="auto" w:fill="auto"/>
            <w:vAlign w:val="center"/>
          </w:tcPr>
          <w:p w14:paraId="6F9172C3"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382 (45%)</w:t>
            </w:r>
          </w:p>
        </w:tc>
        <w:tc>
          <w:tcPr>
            <w:tcW w:w="1844" w:type="dxa"/>
            <w:shd w:val="clear" w:color="auto" w:fill="auto"/>
            <w:vAlign w:val="center"/>
          </w:tcPr>
          <w:p w14:paraId="39ECA823"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476 (55%)</w:t>
            </w:r>
          </w:p>
        </w:tc>
      </w:tr>
      <w:tr w:rsidR="00F37F09" w14:paraId="236F9732" w14:textId="77777777" w:rsidTr="00B11A66">
        <w:trPr>
          <w:trHeight w:val="339"/>
        </w:trPr>
        <w:tc>
          <w:tcPr>
            <w:tcW w:w="4474" w:type="dxa"/>
            <w:vAlign w:val="center"/>
          </w:tcPr>
          <w:p w14:paraId="2BEBAFF3"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9. All types of gloves provide the same level of protection</w:t>
            </w:r>
          </w:p>
        </w:tc>
        <w:tc>
          <w:tcPr>
            <w:tcW w:w="2108" w:type="dxa"/>
            <w:shd w:val="clear" w:color="auto" w:fill="auto"/>
            <w:vAlign w:val="center"/>
          </w:tcPr>
          <w:p w14:paraId="0BC9BA7F"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728 (85%)</w:t>
            </w:r>
          </w:p>
        </w:tc>
        <w:tc>
          <w:tcPr>
            <w:tcW w:w="1844" w:type="dxa"/>
            <w:shd w:val="clear" w:color="auto" w:fill="auto"/>
            <w:vAlign w:val="center"/>
          </w:tcPr>
          <w:p w14:paraId="55045CF9"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130 (15%)</w:t>
            </w:r>
          </w:p>
        </w:tc>
      </w:tr>
      <w:tr w:rsidR="00F37F09" w14:paraId="52F0AF2C" w14:textId="77777777" w:rsidTr="00B11A66">
        <w:trPr>
          <w:trHeight w:val="680"/>
        </w:trPr>
        <w:tc>
          <w:tcPr>
            <w:tcW w:w="4474" w:type="dxa"/>
            <w:vAlign w:val="center"/>
          </w:tcPr>
          <w:p w14:paraId="0B0831BC"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10. Chemotherapy can more easily enter the body through damaged skin</w:t>
            </w:r>
          </w:p>
        </w:tc>
        <w:tc>
          <w:tcPr>
            <w:tcW w:w="2108" w:type="dxa"/>
            <w:shd w:val="clear" w:color="auto" w:fill="auto"/>
            <w:vAlign w:val="center"/>
          </w:tcPr>
          <w:p w14:paraId="5468A13C"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809 (94%)</w:t>
            </w:r>
          </w:p>
        </w:tc>
        <w:tc>
          <w:tcPr>
            <w:tcW w:w="1844" w:type="dxa"/>
            <w:shd w:val="clear" w:color="auto" w:fill="auto"/>
            <w:vAlign w:val="center"/>
          </w:tcPr>
          <w:p w14:paraId="4CFE4D84"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49 (6%)</w:t>
            </w:r>
          </w:p>
        </w:tc>
      </w:tr>
      <w:tr w:rsidR="00F37F09" w14:paraId="76D20FAA" w14:textId="77777777" w:rsidTr="00B11A66">
        <w:trPr>
          <w:trHeight w:val="680"/>
        </w:trPr>
        <w:tc>
          <w:tcPr>
            <w:tcW w:w="4474" w:type="dxa"/>
            <w:vAlign w:val="center"/>
          </w:tcPr>
          <w:p w14:paraId="767D0C3D"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11. Alcohol hand sanitiser is as effective as soap and water in removing chemotherapy residue</w:t>
            </w:r>
          </w:p>
        </w:tc>
        <w:tc>
          <w:tcPr>
            <w:tcW w:w="2108" w:type="dxa"/>
            <w:shd w:val="clear" w:color="auto" w:fill="auto"/>
            <w:vAlign w:val="center"/>
          </w:tcPr>
          <w:p w14:paraId="364B7786"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797 (93%)</w:t>
            </w:r>
          </w:p>
        </w:tc>
        <w:tc>
          <w:tcPr>
            <w:tcW w:w="1844" w:type="dxa"/>
            <w:shd w:val="clear" w:color="auto" w:fill="auto"/>
            <w:vAlign w:val="center"/>
          </w:tcPr>
          <w:p w14:paraId="083510CC"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61 (7%)</w:t>
            </w:r>
          </w:p>
        </w:tc>
      </w:tr>
      <w:tr w:rsidR="00F37F09" w14:paraId="18EE1BC6" w14:textId="77777777" w:rsidTr="00B11A66">
        <w:trPr>
          <w:trHeight w:val="668"/>
        </w:trPr>
        <w:tc>
          <w:tcPr>
            <w:tcW w:w="4474" w:type="dxa"/>
            <w:vAlign w:val="center"/>
          </w:tcPr>
          <w:p w14:paraId="73AFD761" w14:textId="77777777" w:rsidR="00C1516F" w:rsidRPr="005D7508" w:rsidRDefault="00E87128" w:rsidP="005D7508">
            <w:pPr>
              <w:spacing w:line="480" w:lineRule="auto"/>
              <w:rPr>
                <w:rFonts w:ascii="Times New Roman" w:hAnsi="Times New Roman" w:cs="Times New Roman"/>
                <w:sz w:val="16"/>
                <w:szCs w:val="16"/>
              </w:rPr>
            </w:pPr>
            <w:r w:rsidRPr="005D7508">
              <w:rPr>
                <w:rFonts w:ascii="Times New Roman" w:hAnsi="Times New Roman" w:cs="Times New Roman"/>
                <w:sz w:val="16"/>
                <w:szCs w:val="16"/>
              </w:rPr>
              <w:t>12. Chemotherapy can enter the body through contaminated foods, beverages, or cosmetics</w:t>
            </w:r>
          </w:p>
        </w:tc>
        <w:tc>
          <w:tcPr>
            <w:tcW w:w="2108" w:type="dxa"/>
            <w:shd w:val="clear" w:color="auto" w:fill="auto"/>
            <w:vAlign w:val="center"/>
          </w:tcPr>
          <w:p w14:paraId="3BE6905C"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710 (83%)</w:t>
            </w:r>
          </w:p>
        </w:tc>
        <w:tc>
          <w:tcPr>
            <w:tcW w:w="1844" w:type="dxa"/>
            <w:shd w:val="clear" w:color="auto" w:fill="auto"/>
            <w:vAlign w:val="center"/>
          </w:tcPr>
          <w:p w14:paraId="173CF776" w14:textId="77777777" w:rsidR="00C1516F" w:rsidRPr="005D7508" w:rsidRDefault="00E87128" w:rsidP="005D7508">
            <w:pPr>
              <w:spacing w:line="480" w:lineRule="auto"/>
              <w:jc w:val="center"/>
              <w:rPr>
                <w:rFonts w:ascii="Times New Roman" w:hAnsi="Times New Roman" w:cs="Times New Roman"/>
                <w:b/>
                <w:bCs/>
                <w:sz w:val="16"/>
                <w:szCs w:val="16"/>
              </w:rPr>
            </w:pPr>
            <w:r w:rsidRPr="005D7508">
              <w:rPr>
                <w:rFonts w:ascii="Times New Roman" w:hAnsi="Times New Roman" w:cs="Times New Roman"/>
                <w:sz w:val="16"/>
                <w:szCs w:val="16"/>
              </w:rPr>
              <w:t>148 (17%)</w:t>
            </w:r>
          </w:p>
        </w:tc>
      </w:tr>
    </w:tbl>
    <w:p w14:paraId="01AC2D5C" w14:textId="77777777" w:rsidR="00711DD5" w:rsidRPr="005D7508" w:rsidRDefault="00711DD5" w:rsidP="005D7508">
      <w:pPr>
        <w:spacing w:line="480" w:lineRule="auto"/>
        <w:jc w:val="both"/>
        <w:rPr>
          <w:rFonts w:ascii="Times New Roman" w:hAnsi="Times New Roman" w:cs="Times New Roman"/>
          <w:sz w:val="24"/>
          <w:szCs w:val="24"/>
        </w:rPr>
      </w:pPr>
    </w:p>
    <w:p w14:paraId="4554DF43" w14:textId="77777777" w:rsidR="00B11A66" w:rsidRPr="005D7508" w:rsidRDefault="00B11A66" w:rsidP="005D7508">
      <w:pPr>
        <w:spacing w:line="480" w:lineRule="auto"/>
        <w:jc w:val="both"/>
        <w:rPr>
          <w:rFonts w:ascii="Times New Roman" w:hAnsi="Times New Roman" w:cs="Times New Roman"/>
          <w:sz w:val="24"/>
          <w:szCs w:val="24"/>
        </w:rPr>
      </w:pPr>
    </w:p>
    <w:p w14:paraId="6405FA10" w14:textId="77777777" w:rsidR="00B11A66" w:rsidRPr="005D7508" w:rsidRDefault="00B11A66" w:rsidP="005D7508">
      <w:pPr>
        <w:spacing w:line="480" w:lineRule="auto"/>
        <w:jc w:val="both"/>
        <w:rPr>
          <w:rFonts w:ascii="Times New Roman" w:hAnsi="Times New Roman" w:cs="Times New Roman"/>
          <w:sz w:val="24"/>
          <w:szCs w:val="24"/>
        </w:rPr>
      </w:pPr>
    </w:p>
    <w:p w14:paraId="545717CB" w14:textId="77777777" w:rsidR="00B11A66" w:rsidRPr="005D7508" w:rsidRDefault="00B11A66" w:rsidP="005D7508">
      <w:pPr>
        <w:spacing w:line="480" w:lineRule="auto"/>
        <w:jc w:val="both"/>
        <w:rPr>
          <w:rFonts w:ascii="Times New Roman" w:hAnsi="Times New Roman" w:cs="Times New Roman"/>
          <w:sz w:val="24"/>
          <w:szCs w:val="24"/>
        </w:rPr>
      </w:pPr>
    </w:p>
    <w:p w14:paraId="2C38BABD" w14:textId="77777777" w:rsidR="00B11A66" w:rsidRPr="005D7508" w:rsidRDefault="00B11A66" w:rsidP="005D7508">
      <w:pPr>
        <w:spacing w:line="480" w:lineRule="auto"/>
        <w:jc w:val="both"/>
        <w:rPr>
          <w:rFonts w:ascii="Times New Roman" w:hAnsi="Times New Roman" w:cs="Times New Roman"/>
          <w:sz w:val="24"/>
          <w:szCs w:val="24"/>
        </w:rPr>
      </w:pPr>
    </w:p>
    <w:p w14:paraId="17609F08" w14:textId="77777777" w:rsidR="00B11A66" w:rsidRPr="005D7508" w:rsidRDefault="00B11A66" w:rsidP="005D7508">
      <w:pPr>
        <w:spacing w:line="480" w:lineRule="auto"/>
        <w:jc w:val="both"/>
        <w:rPr>
          <w:rFonts w:ascii="Times New Roman" w:hAnsi="Times New Roman" w:cs="Times New Roman"/>
          <w:sz w:val="24"/>
          <w:szCs w:val="24"/>
        </w:rPr>
      </w:pPr>
    </w:p>
    <w:p w14:paraId="70C1BC7C" w14:textId="77777777" w:rsidR="00B11A66" w:rsidRPr="005D7508" w:rsidRDefault="00B11A66" w:rsidP="005D7508">
      <w:pPr>
        <w:spacing w:line="480" w:lineRule="auto"/>
        <w:jc w:val="both"/>
        <w:rPr>
          <w:rFonts w:ascii="Times New Roman" w:hAnsi="Times New Roman" w:cs="Times New Roman"/>
          <w:sz w:val="24"/>
          <w:szCs w:val="24"/>
        </w:rPr>
      </w:pPr>
    </w:p>
    <w:p w14:paraId="5368E54B" w14:textId="77777777" w:rsidR="00B11A66" w:rsidRPr="005D7508" w:rsidRDefault="00B11A66" w:rsidP="005D7508">
      <w:pPr>
        <w:spacing w:line="480" w:lineRule="auto"/>
        <w:jc w:val="both"/>
        <w:rPr>
          <w:rFonts w:ascii="Times New Roman" w:hAnsi="Times New Roman" w:cs="Times New Roman"/>
          <w:sz w:val="24"/>
          <w:szCs w:val="24"/>
        </w:rPr>
      </w:pPr>
    </w:p>
    <w:p w14:paraId="7A315F03" w14:textId="31A51EFC" w:rsidR="00B11A66"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b/>
          <w:bCs/>
          <w:kern w:val="2"/>
          <w:sz w:val="24"/>
          <w:szCs w:val="24"/>
          <w14:ligatures w14:val="standardContextual"/>
        </w:rPr>
        <w:t xml:space="preserve">Table </w:t>
      </w:r>
      <w:r w:rsidR="00660D6B">
        <w:rPr>
          <w:rFonts w:ascii="Times New Roman" w:hAnsi="Times New Roman" w:cs="Times New Roman"/>
          <w:b/>
          <w:bCs/>
          <w:kern w:val="2"/>
          <w:sz w:val="24"/>
          <w:szCs w:val="24"/>
          <w14:ligatures w14:val="standardContextual"/>
        </w:rPr>
        <w:t>1</w:t>
      </w:r>
      <w:r w:rsidRPr="005D7508">
        <w:rPr>
          <w:rFonts w:ascii="Times New Roman" w:hAnsi="Times New Roman" w:cs="Times New Roman"/>
          <w:b/>
          <w:bCs/>
          <w:kern w:val="2"/>
          <w:sz w:val="24"/>
          <w:szCs w:val="24"/>
          <w14:ligatures w14:val="standardContextual"/>
        </w:rPr>
        <w:t xml:space="preserve">: Nurses Knowledge about Chemotherapy </w:t>
      </w:r>
      <w:r w:rsidR="006A76D8">
        <w:rPr>
          <w:rFonts w:ascii="Times New Roman" w:hAnsi="Times New Roman" w:cs="Times New Roman"/>
          <w:b/>
          <w:bCs/>
          <w:kern w:val="2"/>
          <w:sz w:val="24"/>
          <w:szCs w:val="24"/>
          <w14:ligatures w14:val="standardContextual"/>
        </w:rPr>
        <w:t xml:space="preserve">occupational </w:t>
      </w:r>
      <w:r w:rsidRPr="005D7508">
        <w:rPr>
          <w:rFonts w:ascii="Times New Roman" w:hAnsi="Times New Roman" w:cs="Times New Roman"/>
          <w:b/>
          <w:bCs/>
          <w:kern w:val="2"/>
          <w:sz w:val="24"/>
          <w:szCs w:val="24"/>
          <w14:ligatures w14:val="standardContextual"/>
        </w:rPr>
        <w:t>exposure</w:t>
      </w:r>
      <w:r w:rsidR="00557221">
        <w:rPr>
          <w:rFonts w:ascii="Times New Roman" w:hAnsi="Times New Roman" w:cs="Times New Roman"/>
          <w:b/>
          <w:bCs/>
          <w:kern w:val="2"/>
          <w:sz w:val="24"/>
          <w:szCs w:val="24"/>
          <w14:ligatures w14:val="standardContextual"/>
        </w:rPr>
        <w:t xml:space="preserve"> in the UK</w:t>
      </w:r>
    </w:p>
    <w:p w14:paraId="161B83B1" w14:textId="77777777" w:rsidR="00D9525E" w:rsidRDefault="00D9525E">
      <w:pPr>
        <w:rPr>
          <w:rFonts w:ascii="Times New Roman" w:hAnsi="Times New Roman" w:cs="Times New Roman"/>
          <w:b/>
          <w:bCs/>
          <w:sz w:val="24"/>
          <w:szCs w:val="24"/>
        </w:rPr>
      </w:pPr>
      <w:r>
        <w:rPr>
          <w:rFonts w:ascii="Times New Roman" w:hAnsi="Times New Roman" w:cs="Times New Roman"/>
          <w:b/>
          <w:bCs/>
          <w:sz w:val="24"/>
          <w:szCs w:val="24"/>
        </w:rPr>
        <w:br w:type="page"/>
      </w:r>
    </w:p>
    <w:p w14:paraId="3F70A1A9" w14:textId="0BF376A6" w:rsidR="00B11A66" w:rsidRPr="005D7508" w:rsidRDefault="00E87128" w:rsidP="005D7508">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Safe Handling Precautions:</w:t>
      </w:r>
    </w:p>
    <w:p w14:paraId="072800E6" w14:textId="77777777" w:rsidR="00B11A66"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The usage of chemotherapy-labelled gloves was practised by 62% (n=466) during administration, 63% (n=430) during disposal, and 59% (n=298) during handling of excreta. Usage of other non-chemo gloves </w:t>
      </w:r>
      <w:r w:rsidR="00557221">
        <w:rPr>
          <w:rFonts w:ascii="Times New Roman" w:hAnsi="Times New Roman" w:cs="Times New Roman"/>
          <w:sz w:val="24"/>
          <w:szCs w:val="24"/>
        </w:rPr>
        <w:t xml:space="preserve">is </w:t>
      </w:r>
      <w:r w:rsidRPr="005D7508">
        <w:rPr>
          <w:rFonts w:ascii="Times New Roman" w:hAnsi="Times New Roman" w:cs="Times New Roman"/>
          <w:sz w:val="24"/>
          <w:szCs w:val="24"/>
        </w:rPr>
        <w:t xml:space="preserve">reported by 53% (n=393) during administration, 53% (n=359) during the disposal, and 60% (n=299) during the handling of excreta. Double gloves are used by 15% (n=110) during administration, 14% (n=93) during disposal, and 15% (n=77) during the handling of excreta. </w:t>
      </w:r>
    </w:p>
    <w:p w14:paraId="24B721BE" w14:textId="7041DF0A" w:rsidR="00B11A66"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Plastic aprons were used by 97% (n=723) during administration, 96% (n=655) during disposal, and 98% (n=492) during the handling of excreta. A few participants practised the re-use of plastic aprons during disposal (7% n=50) and the handling of excreta (3% n=17). Eye protection was used by 42% (n=279) of participants during administration, 37% (n=229) during disposal, and 32% (n=147) during the handling of excreta. Respirator/mask was used by 50% (n=334) during the administration, 47% (n=292) during the disposal, and 47% (n=216) during the handling of excreta. </w:t>
      </w:r>
    </w:p>
    <w:p w14:paraId="116C6952" w14:textId="3D46EAC0" w:rsidR="006969F6" w:rsidRPr="005D7508" w:rsidRDefault="006969F6" w:rsidP="006969F6">
      <w:pPr>
        <w:spacing w:line="480" w:lineRule="auto"/>
        <w:jc w:val="both"/>
        <w:rPr>
          <w:rFonts w:ascii="Times New Roman" w:hAnsi="Times New Roman" w:cs="Times New Roman"/>
          <w:sz w:val="24"/>
          <w:szCs w:val="24"/>
        </w:rPr>
      </w:pPr>
    </w:p>
    <w:p w14:paraId="2096339E" w14:textId="14900F4E" w:rsidR="008377C1" w:rsidRDefault="008377C1" w:rsidP="00060341">
      <w:pPr>
        <w:spacing w:line="480" w:lineRule="auto"/>
        <w:rPr>
          <w:rFonts w:ascii="Times New Roman" w:hAnsi="Times New Roman" w:cs="Times New Roman"/>
          <w:sz w:val="24"/>
          <w:szCs w:val="24"/>
        </w:rPr>
      </w:pPr>
    </w:p>
    <w:tbl>
      <w:tblPr>
        <w:tblpPr w:leftFromText="180" w:rightFromText="180" w:horzAnchor="margin" w:tblpXSpec="center" w:tblpY="-34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4"/>
        <w:gridCol w:w="1369"/>
        <w:gridCol w:w="1379"/>
        <w:gridCol w:w="1357"/>
        <w:gridCol w:w="1360"/>
        <w:gridCol w:w="1342"/>
        <w:gridCol w:w="1129"/>
      </w:tblGrid>
      <w:tr w:rsidR="008377C1" w:rsidRPr="001979A2" w14:paraId="0E8D1903" w14:textId="77777777" w:rsidTr="0060407A">
        <w:trPr>
          <w:trHeight w:val="427"/>
        </w:trPr>
        <w:tc>
          <w:tcPr>
            <w:tcW w:w="1694" w:type="dxa"/>
            <w:vMerge w:val="restart"/>
            <w:shd w:val="clear" w:color="auto" w:fill="AEAAAA" w:themeFill="background2" w:themeFillShade="BF"/>
            <w:tcMar>
              <w:top w:w="15" w:type="dxa"/>
              <w:left w:w="78" w:type="dxa"/>
              <w:bottom w:w="0" w:type="dxa"/>
              <w:right w:w="78" w:type="dxa"/>
            </w:tcMar>
            <w:vAlign w:val="center"/>
            <w:hideMark/>
          </w:tcPr>
          <w:p w14:paraId="08B27E32"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b/>
                <w:bCs/>
                <w:color w:val="FFFFFF" w:themeColor="background1"/>
                <w:kern w:val="2"/>
                <w:lang w:eastAsia="en-GB"/>
              </w:rPr>
              <w:t>Safe Handling Precautions</w:t>
            </w:r>
          </w:p>
        </w:tc>
        <w:tc>
          <w:tcPr>
            <w:tcW w:w="7936" w:type="dxa"/>
            <w:gridSpan w:val="6"/>
            <w:shd w:val="clear" w:color="auto" w:fill="AEAAAA" w:themeFill="background2" w:themeFillShade="BF"/>
            <w:tcMar>
              <w:top w:w="15" w:type="dxa"/>
              <w:left w:w="78" w:type="dxa"/>
              <w:bottom w:w="0" w:type="dxa"/>
              <w:right w:w="78" w:type="dxa"/>
            </w:tcMar>
            <w:vAlign w:val="center"/>
            <w:hideMark/>
          </w:tcPr>
          <w:p w14:paraId="429FFBD6" w14:textId="614ACCD3" w:rsidR="008377C1" w:rsidRPr="001979A2" w:rsidRDefault="008377C1" w:rsidP="008377C1">
            <w:pPr>
              <w:spacing w:line="256" w:lineRule="auto"/>
              <w:rPr>
                <w:rFonts w:ascii="Arial" w:eastAsia="Times New Roman" w:hAnsi="Arial" w:cs="Arial"/>
                <w:b/>
                <w:bCs/>
                <w:sz w:val="24"/>
                <w:szCs w:val="24"/>
                <w:lang w:eastAsia="en-GB"/>
              </w:rPr>
            </w:pPr>
            <w:r w:rsidRPr="008377C1">
              <w:rPr>
                <w:rFonts w:ascii="Arial" w:eastAsia="Times New Roman" w:hAnsi="Arial" w:cs="Arial"/>
                <w:b/>
                <w:bCs/>
                <w:color w:val="FFFFFF" w:themeColor="background1"/>
                <w:sz w:val="24"/>
                <w:szCs w:val="24"/>
                <w:lang w:eastAsia="en-GB"/>
              </w:rPr>
              <w:t>% and mean figures within administration, disposal and handling of excreta</w:t>
            </w:r>
          </w:p>
        </w:tc>
      </w:tr>
      <w:tr w:rsidR="0060407A" w:rsidRPr="001979A2" w14:paraId="6B65800F" w14:textId="77777777" w:rsidTr="0060407A">
        <w:trPr>
          <w:trHeight w:val="594"/>
        </w:trPr>
        <w:tc>
          <w:tcPr>
            <w:tcW w:w="1694" w:type="dxa"/>
            <w:vMerge/>
            <w:shd w:val="clear" w:color="auto" w:fill="AEAAAA" w:themeFill="background2" w:themeFillShade="BF"/>
            <w:vAlign w:val="center"/>
            <w:hideMark/>
          </w:tcPr>
          <w:p w14:paraId="56053A84" w14:textId="77777777" w:rsidR="008377C1" w:rsidRPr="001979A2" w:rsidRDefault="008377C1" w:rsidP="00ED15FF">
            <w:pPr>
              <w:spacing w:after="0" w:line="240" w:lineRule="auto"/>
              <w:rPr>
                <w:rFonts w:ascii="Arial" w:eastAsia="Times New Roman" w:hAnsi="Arial" w:cs="Arial"/>
                <w:sz w:val="36"/>
                <w:szCs w:val="36"/>
                <w:lang w:eastAsia="en-GB"/>
              </w:rPr>
            </w:pPr>
          </w:p>
        </w:tc>
        <w:tc>
          <w:tcPr>
            <w:tcW w:w="2748" w:type="dxa"/>
            <w:gridSpan w:val="2"/>
            <w:shd w:val="clear" w:color="auto" w:fill="D0CECE" w:themeFill="background2" w:themeFillShade="E6"/>
            <w:tcMar>
              <w:top w:w="15" w:type="dxa"/>
              <w:left w:w="78" w:type="dxa"/>
              <w:bottom w:w="0" w:type="dxa"/>
              <w:right w:w="78" w:type="dxa"/>
            </w:tcMar>
            <w:vAlign w:val="center"/>
            <w:hideMark/>
          </w:tcPr>
          <w:p w14:paraId="21A2BD29" w14:textId="77777777" w:rsidR="008377C1" w:rsidRPr="001979A2" w:rsidRDefault="008377C1" w:rsidP="00ED15FF">
            <w:pPr>
              <w:spacing w:line="256" w:lineRule="auto"/>
              <w:jc w:val="center"/>
              <w:rPr>
                <w:rFonts w:ascii="Arial" w:eastAsia="Times New Roman" w:hAnsi="Arial" w:cs="Arial"/>
                <w:b/>
                <w:bCs/>
                <w:sz w:val="36"/>
                <w:szCs w:val="36"/>
                <w:lang w:eastAsia="en-GB"/>
              </w:rPr>
            </w:pPr>
            <w:r w:rsidRPr="001979A2">
              <w:rPr>
                <w:rFonts w:ascii="Gill Sans MT" w:eastAsia="Times New Roman" w:hAnsi="Gill Sans MT" w:cs="Arial"/>
                <w:b/>
                <w:bCs/>
                <w:color w:val="000000"/>
                <w:kern w:val="2"/>
                <w:lang w:eastAsia="en-GB"/>
              </w:rPr>
              <w:t>Administration            N=747</w:t>
            </w:r>
          </w:p>
        </w:tc>
        <w:tc>
          <w:tcPr>
            <w:tcW w:w="2717" w:type="dxa"/>
            <w:gridSpan w:val="2"/>
            <w:shd w:val="clear" w:color="auto" w:fill="D0CECE" w:themeFill="background2" w:themeFillShade="E6"/>
            <w:tcMar>
              <w:top w:w="15" w:type="dxa"/>
              <w:left w:w="78" w:type="dxa"/>
              <w:bottom w:w="0" w:type="dxa"/>
              <w:right w:w="78" w:type="dxa"/>
            </w:tcMar>
            <w:vAlign w:val="center"/>
            <w:hideMark/>
          </w:tcPr>
          <w:p w14:paraId="7B3F9440" w14:textId="77777777" w:rsidR="008377C1" w:rsidRPr="001979A2" w:rsidRDefault="008377C1" w:rsidP="00ED15FF">
            <w:pPr>
              <w:spacing w:line="256" w:lineRule="auto"/>
              <w:jc w:val="center"/>
              <w:rPr>
                <w:rFonts w:ascii="Arial" w:eastAsia="Times New Roman" w:hAnsi="Arial" w:cs="Arial"/>
                <w:b/>
                <w:bCs/>
                <w:sz w:val="36"/>
                <w:szCs w:val="36"/>
                <w:lang w:eastAsia="en-GB"/>
              </w:rPr>
            </w:pPr>
            <w:r w:rsidRPr="001979A2">
              <w:rPr>
                <w:rFonts w:ascii="Gill Sans MT" w:eastAsia="Times New Roman" w:hAnsi="Gill Sans MT" w:cs="Arial"/>
                <w:b/>
                <w:bCs/>
                <w:color w:val="000000"/>
                <w:kern w:val="2"/>
                <w:lang w:eastAsia="en-GB"/>
              </w:rPr>
              <w:t>Disposal                    N=682</w:t>
            </w:r>
          </w:p>
        </w:tc>
        <w:tc>
          <w:tcPr>
            <w:tcW w:w="2471" w:type="dxa"/>
            <w:gridSpan w:val="2"/>
            <w:shd w:val="clear" w:color="auto" w:fill="D0CECE" w:themeFill="background2" w:themeFillShade="E6"/>
            <w:tcMar>
              <w:top w:w="15" w:type="dxa"/>
              <w:left w:w="78" w:type="dxa"/>
              <w:bottom w:w="0" w:type="dxa"/>
              <w:right w:w="78" w:type="dxa"/>
            </w:tcMar>
            <w:vAlign w:val="center"/>
            <w:hideMark/>
          </w:tcPr>
          <w:p w14:paraId="51274A98" w14:textId="77777777" w:rsidR="008377C1" w:rsidRPr="001979A2" w:rsidRDefault="008377C1" w:rsidP="00ED15FF">
            <w:pPr>
              <w:spacing w:line="256" w:lineRule="auto"/>
              <w:jc w:val="center"/>
              <w:rPr>
                <w:rFonts w:ascii="Arial" w:eastAsia="Times New Roman" w:hAnsi="Arial" w:cs="Arial"/>
                <w:b/>
                <w:bCs/>
                <w:sz w:val="36"/>
                <w:szCs w:val="36"/>
                <w:lang w:eastAsia="en-GB"/>
              </w:rPr>
            </w:pPr>
            <w:r w:rsidRPr="001979A2">
              <w:rPr>
                <w:rFonts w:ascii="Gill Sans MT" w:eastAsia="Times New Roman" w:hAnsi="Gill Sans MT" w:cs="Arial"/>
                <w:b/>
                <w:bCs/>
                <w:color w:val="000000"/>
                <w:kern w:val="2"/>
                <w:lang w:eastAsia="en-GB"/>
              </w:rPr>
              <w:t>Handling excreta      N=502</w:t>
            </w:r>
          </w:p>
        </w:tc>
      </w:tr>
      <w:tr w:rsidR="008377C1" w:rsidRPr="001979A2" w14:paraId="38E72FF0" w14:textId="77777777" w:rsidTr="0060407A">
        <w:trPr>
          <w:trHeight w:val="450"/>
        </w:trPr>
        <w:tc>
          <w:tcPr>
            <w:tcW w:w="1694" w:type="dxa"/>
            <w:vMerge/>
            <w:shd w:val="clear" w:color="auto" w:fill="AEAAAA" w:themeFill="background2" w:themeFillShade="BF"/>
            <w:vAlign w:val="center"/>
            <w:hideMark/>
          </w:tcPr>
          <w:p w14:paraId="2FEEAD4C" w14:textId="77777777" w:rsidR="008377C1" w:rsidRPr="001979A2" w:rsidRDefault="008377C1" w:rsidP="00ED15FF">
            <w:pPr>
              <w:spacing w:after="0" w:line="240" w:lineRule="auto"/>
              <w:rPr>
                <w:rFonts w:ascii="Arial" w:eastAsia="Times New Roman" w:hAnsi="Arial" w:cs="Arial"/>
                <w:sz w:val="36"/>
                <w:szCs w:val="36"/>
                <w:lang w:eastAsia="en-GB"/>
              </w:rPr>
            </w:pPr>
          </w:p>
        </w:tc>
        <w:tc>
          <w:tcPr>
            <w:tcW w:w="1369" w:type="dxa"/>
            <w:shd w:val="clear" w:color="auto" w:fill="auto"/>
            <w:tcMar>
              <w:top w:w="15" w:type="dxa"/>
              <w:left w:w="78" w:type="dxa"/>
              <w:bottom w:w="0" w:type="dxa"/>
              <w:right w:w="78" w:type="dxa"/>
            </w:tcMar>
            <w:vAlign w:val="center"/>
            <w:hideMark/>
          </w:tcPr>
          <w:p w14:paraId="727AFB2C"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n (%)</w:t>
            </w:r>
          </w:p>
        </w:tc>
        <w:tc>
          <w:tcPr>
            <w:tcW w:w="1379" w:type="dxa"/>
            <w:shd w:val="clear" w:color="auto" w:fill="auto"/>
            <w:tcMar>
              <w:top w:w="15" w:type="dxa"/>
              <w:left w:w="78" w:type="dxa"/>
              <w:bottom w:w="0" w:type="dxa"/>
              <w:right w:w="78" w:type="dxa"/>
            </w:tcMar>
            <w:vAlign w:val="center"/>
            <w:hideMark/>
          </w:tcPr>
          <w:p w14:paraId="7302BA85"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Mean</w:t>
            </w:r>
          </w:p>
        </w:tc>
        <w:tc>
          <w:tcPr>
            <w:tcW w:w="1357" w:type="dxa"/>
            <w:shd w:val="clear" w:color="auto" w:fill="auto"/>
            <w:tcMar>
              <w:top w:w="15" w:type="dxa"/>
              <w:left w:w="78" w:type="dxa"/>
              <w:bottom w:w="0" w:type="dxa"/>
              <w:right w:w="78" w:type="dxa"/>
            </w:tcMar>
            <w:vAlign w:val="center"/>
            <w:hideMark/>
          </w:tcPr>
          <w:p w14:paraId="4ABA841D"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n (%)</w:t>
            </w:r>
          </w:p>
        </w:tc>
        <w:tc>
          <w:tcPr>
            <w:tcW w:w="1360" w:type="dxa"/>
            <w:shd w:val="clear" w:color="auto" w:fill="auto"/>
            <w:tcMar>
              <w:top w:w="15" w:type="dxa"/>
              <w:left w:w="78" w:type="dxa"/>
              <w:bottom w:w="0" w:type="dxa"/>
              <w:right w:w="78" w:type="dxa"/>
            </w:tcMar>
            <w:vAlign w:val="center"/>
            <w:hideMark/>
          </w:tcPr>
          <w:p w14:paraId="706B39DA"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Mean</w:t>
            </w:r>
          </w:p>
        </w:tc>
        <w:tc>
          <w:tcPr>
            <w:tcW w:w="1342" w:type="dxa"/>
            <w:shd w:val="clear" w:color="auto" w:fill="auto"/>
            <w:tcMar>
              <w:top w:w="15" w:type="dxa"/>
              <w:left w:w="78" w:type="dxa"/>
              <w:bottom w:w="0" w:type="dxa"/>
              <w:right w:w="78" w:type="dxa"/>
            </w:tcMar>
            <w:vAlign w:val="center"/>
            <w:hideMark/>
          </w:tcPr>
          <w:p w14:paraId="5C9760EC"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n (%)</w:t>
            </w:r>
          </w:p>
        </w:tc>
        <w:tc>
          <w:tcPr>
            <w:tcW w:w="1129" w:type="dxa"/>
            <w:shd w:val="clear" w:color="auto" w:fill="auto"/>
            <w:tcMar>
              <w:top w:w="15" w:type="dxa"/>
              <w:left w:w="78" w:type="dxa"/>
              <w:bottom w:w="0" w:type="dxa"/>
              <w:right w:w="78" w:type="dxa"/>
            </w:tcMar>
            <w:vAlign w:val="center"/>
            <w:hideMark/>
          </w:tcPr>
          <w:p w14:paraId="366E19F9"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Mean</w:t>
            </w:r>
          </w:p>
        </w:tc>
      </w:tr>
      <w:tr w:rsidR="008377C1" w:rsidRPr="001979A2" w14:paraId="65C24B61" w14:textId="77777777" w:rsidTr="0060407A">
        <w:trPr>
          <w:trHeight w:val="450"/>
        </w:trPr>
        <w:tc>
          <w:tcPr>
            <w:tcW w:w="1694" w:type="dxa"/>
            <w:shd w:val="clear" w:color="auto" w:fill="auto"/>
            <w:tcMar>
              <w:top w:w="15" w:type="dxa"/>
              <w:left w:w="78" w:type="dxa"/>
              <w:bottom w:w="0" w:type="dxa"/>
              <w:right w:w="78" w:type="dxa"/>
            </w:tcMar>
            <w:vAlign w:val="center"/>
            <w:hideMark/>
          </w:tcPr>
          <w:p w14:paraId="5FAE15D5"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Closed system</w:t>
            </w:r>
          </w:p>
        </w:tc>
        <w:tc>
          <w:tcPr>
            <w:tcW w:w="1369" w:type="dxa"/>
            <w:shd w:val="clear" w:color="auto" w:fill="auto"/>
            <w:tcMar>
              <w:top w:w="10" w:type="dxa"/>
              <w:left w:w="10" w:type="dxa"/>
              <w:bottom w:w="0" w:type="dxa"/>
              <w:right w:w="10" w:type="dxa"/>
            </w:tcMar>
            <w:vAlign w:val="center"/>
            <w:hideMark/>
          </w:tcPr>
          <w:p w14:paraId="348881D4"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521 (70%)</w:t>
            </w:r>
          </w:p>
        </w:tc>
        <w:tc>
          <w:tcPr>
            <w:tcW w:w="1379" w:type="dxa"/>
            <w:shd w:val="clear" w:color="auto" w:fill="auto"/>
            <w:tcMar>
              <w:top w:w="10" w:type="dxa"/>
              <w:left w:w="10" w:type="dxa"/>
              <w:bottom w:w="0" w:type="dxa"/>
              <w:right w:w="10" w:type="dxa"/>
            </w:tcMar>
            <w:vAlign w:val="center"/>
            <w:hideMark/>
          </w:tcPr>
          <w:p w14:paraId="73E98452"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2.98</w:t>
            </w:r>
          </w:p>
        </w:tc>
        <w:tc>
          <w:tcPr>
            <w:tcW w:w="1357" w:type="dxa"/>
            <w:shd w:val="clear" w:color="auto" w:fill="auto"/>
            <w:tcMar>
              <w:top w:w="15" w:type="dxa"/>
              <w:left w:w="78" w:type="dxa"/>
              <w:bottom w:w="0" w:type="dxa"/>
              <w:right w:w="78" w:type="dxa"/>
            </w:tcMar>
            <w:vAlign w:val="center"/>
            <w:hideMark/>
          </w:tcPr>
          <w:p w14:paraId="6086239D"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60" w:type="dxa"/>
            <w:shd w:val="clear" w:color="auto" w:fill="auto"/>
            <w:tcMar>
              <w:top w:w="15" w:type="dxa"/>
              <w:left w:w="78" w:type="dxa"/>
              <w:bottom w:w="0" w:type="dxa"/>
              <w:right w:w="78" w:type="dxa"/>
            </w:tcMar>
            <w:vAlign w:val="center"/>
            <w:hideMark/>
          </w:tcPr>
          <w:p w14:paraId="1511388C"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42" w:type="dxa"/>
            <w:shd w:val="clear" w:color="auto" w:fill="auto"/>
            <w:tcMar>
              <w:top w:w="15" w:type="dxa"/>
              <w:left w:w="78" w:type="dxa"/>
              <w:bottom w:w="0" w:type="dxa"/>
              <w:right w:w="78" w:type="dxa"/>
            </w:tcMar>
            <w:vAlign w:val="center"/>
            <w:hideMark/>
          </w:tcPr>
          <w:p w14:paraId="50B305A9"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129" w:type="dxa"/>
            <w:shd w:val="clear" w:color="auto" w:fill="auto"/>
            <w:tcMar>
              <w:top w:w="15" w:type="dxa"/>
              <w:left w:w="78" w:type="dxa"/>
              <w:bottom w:w="0" w:type="dxa"/>
              <w:right w:w="78" w:type="dxa"/>
            </w:tcMar>
            <w:vAlign w:val="center"/>
            <w:hideMark/>
          </w:tcPr>
          <w:p w14:paraId="7EED0413"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r>
      <w:tr w:rsidR="008377C1" w:rsidRPr="001979A2" w14:paraId="430F734F" w14:textId="77777777" w:rsidTr="0060407A">
        <w:trPr>
          <w:trHeight w:val="594"/>
        </w:trPr>
        <w:tc>
          <w:tcPr>
            <w:tcW w:w="1694" w:type="dxa"/>
            <w:shd w:val="clear" w:color="auto" w:fill="auto"/>
            <w:tcMar>
              <w:top w:w="15" w:type="dxa"/>
              <w:left w:w="78" w:type="dxa"/>
              <w:bottom w:w="0" w:type="dxa"/>
              <w:right w:w="78" w:type="dxa"/>
            </w:tcMar>
            <w:vAlign w:val="center"/>
            <w:hideMark/>
          </w:tcPr>
          <w:p w14:paraId="69D2B974"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Gloves labelled for use with chemotherapy</w:t>
            </w:r>
          </w:p>
        </w:tc>
        <w:tc>
          <w:tcPr>
            <w:tcW w:w="1369" w:type="dxa"/>
            <w:shd w:val="clear" w:color="auto" w:fill="auto"/>
            <w:tcMar>
              <w:top w:w="10" w:type="dxa"/>
              <w:left w:w="10" w:type="dxa"/>
              <w:bottom w:w="0" w:type="dxa"/>
              <w:right w:w="10" w:type="dxa"/>
            </w:tcMar>
            <w:vAlign w:val="center"/>
            <w:hideMark/>
          </w:tcPr>
          <w:p w14:paraId="54218296"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466 (62%)</w:t>
            </w:r>
          </w:p>
        </w:tc>
        <w:tc>
          <w:tcPr>
            <w:tcW w:w="1379" w:type="dxa"/>
            <w:shd w:val="clear" w:color="auto" w:fill="auto"/>
            <w:tcMar>
              <w:top w:w="10" w:type="dxa"/>
              <w:left w:w="10" w:type="dxa"/>
              <w:bottom w:w="0" w:type="dxa"/>
              <w:right w:w="10" w:type="dxa"/>
            </w:tcMar>
            <w:vAlign w:val="center"/>
            <w:hideMark/>
          </w:tcPr>
          <w:p w14:paraId="249BA077"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3.02</w:t>
            </w:r>
          </w:p>
        </w:tc>
        <w:tc>
          <w:tcPr>
            <w:tcW w:w="1357" w:type="dxa"/>
            <w:shd w:val="clear" w:color="auto" w:fill="auto"/>
            <w:tcMar>
              <w:top w:w="10" w:type="dxa"/>
              <w:left w:w="10" w:type="dxa"/>
              <w:bottom w:w="0" w:type="dxa"/>
              <w:right w:w="10" w:type="dxa"/>
            </w:tcMar>
            <w:vAlign w:val="center"/>
            <w:hideMark/>
          </w:tcPr>
          <w:p w14:paraId="0167C542"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430 (63%)</w:t>
            </w:r>
          </w:p>
        </w:tc>
        <w:tc>
          <w:tcPr>
            <w:tcW w:w="1360" w:type="dxa"/>
            <w:shd w:val="clear" w:color="auto" w:fill="auto"/>
            <w:tcMar>
              <w:top w:w="10" w:type="dxa"/>
              <w:left w:w="10" w:type="dxa"/>
              <w:bottom w:w="0" w:type="dxa"/>
              <w:right w:w="10" w:type="dxa"/>
            </w:tcMar>
            <w:vAlign w:val="center"/>
            <w:hideMark/>
          </w:tcPr>
          <w:p w14:paraId="05072828"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3.02</w:t>
            </w:r>
          </w:p>
        </w:tc>
        <w:tc>
          <w:tcPr>
            <w:tcW w:w="1342" w:type="dxa"/>
            <w:shd w:val="clear" w:color="auto" w:fill="auto"/>
            <w:tcMar>
              <w:top w:w="10" w:type="dxa"/>
              <w:left w:w="10" w:type="dxa"/>
              <w:bottom w:w="0" w:type="dxa"/>
              <w:right w:w="10" w:type="dxa"/>
            </w:tcMar>
            <w:vAlign w:val="center"/>
            <w:hideMark/>
          </w:tcPr>
          <w:p w14:paraId="7E9C3C54"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298 (59%)</w:t>
            </w:r>
          </w:p>
        </w:tc>
        <w:tc>
          <w:tcPr>
            <w:tcW w:w="1129" w:type="dxa"/>
            <w:shd w:val="clear" w:color="auto" w:fill="auto"/>
            <w:tcMar>
              <w:top w:w="10" w:type="dxa"/>
              <w:left w:w="10" w:type="dxa"/>
              <w:bottom w:w="0" w:type="dxa"/>
              <w:right w:w="10" w:type="dxa"/>
            </w:tcMar>
            <w:vAlign w:val="center"/>
            <w:hideMark/>
          </w:tcPr>
          <w:p w14:paraId="4AC357E3"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2.69</w:t>
            </w:r>
          </w:p>
        </w:tc>
      </w:tr>
      <w:tr w:rsidR="008377C1" w:rsidRPr="001979A2" w14:paraId="2A38EE87" w14:textId="77777777" w:rsidTr="0060407A">
        <w:trPr>
          <w:trHeight w:val="450"/>
        </w:trPr>
        <w:tc>
          <w:tcPr>
            <w:tcW w:w="1694" w:type="dxa"/>
            <w:shd w:val="clear" w:color="auto" w:fill="auto"/>
            <w:tcMar>
              <w:top w:w="15" w:type="dxa"/>
              <w:left w:w="78" w:type="dxa"/>
              <w:bottom w:w="0" w:type="dxa"/>
              <w:right w:w="78" w:type="dxa"/>
            </w:tcMar>
            <w:vAlign w:val="center"/>
            <w:hideMark/>
          </w:tcPr>
          <w:p w14:paraId="42C7815B"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other gloves (e.g.: vinyl)</w:t>
            </w:r>
          </w:p>
        </w:tc>
        <w:tc>
          <w:tcPr>
            <w:tcW w:w="1369" w:type="dxa"/>
            <w:shd w:val="clear" w:color="auto" w:fill="auto"/>
            <w:tcMar>
              <w:top w:w="10" w:type="dxa"/>
              <w:left w:w="10" w:type="dxa"/>
              <w:bottom w:w="0" w:type="dxa"/>
              <w:right w:w="10" w:type="dxa"/>
            </w:tcMar>
            <w:vAlign w:val="center"/>
            <w:hideMark/>
          </w:tcPr>
          <w:p w14:paraId="7ABA49D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393 (53%)</w:t>
            </w:r>
          </w:p>
        </w:tc>
        <w:tc>
          <w:tcPr>
            <w:tcW w:w="1379" w:type="dxa"/>
            <w:shd w:val="clear" w:color="auto" w:fill="auto"/>
            <w:tcMar>
              <w:top w:w="10" w:type="dxa"/>
              <w:left w:w="10" w:type="dxa"/>
              <w:bottom w:w="0" w:type="dxa"/>
              <w:right w:w="10" w:type="dxa"/>
            </w:tcMar>
            <w:vAlign w:val="center"/>
            <w:hideMark/>
          </w:tcPr>
          <w:p w14:paraId="57B079E7"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2.39</w:t>
            </w:r>
          </w:p>
        </w:tc>
        <w:tc>
          <w:tcPr>
            <w:tcW w:w="1357" w:type="dxa"/>
            <w:shd w:val="clear" w:color="auto" w:fill="auto"/>
            <w:tcMar>
              <w:top w:w="10" w:type="dxa"/>
              <w:left w:w="10" w:type="dxa"/>
              <w:bottom w:w="0" w:type="dxa"/>
              <w:right w:w="10" w:type="dxa"/>
            </w:tcMar>
            <w:vAlign w:val="center"/>
            <w:hideMark/>
          </w:tcPr>
          <w:p w14:paraId="28416BD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359 (53%)</w:t>
            </w:r>
          </w:p>
        </w:tc>
        <w:tc>
          <w:tcPr>
            <w:tcW w:w="1360" w:type="dxa"/>
            <w:shd w:val="clear" w:color="auto" w:fill="auto"/>
            <w:tcMar>
              <w:top w:w="10" w:type="dxa"/>
              <w:left w:w="10" w:type="dxa"/>
              <w:bottom w:w="0" w:type="dxa"/>
              <w:right w:w="10" w:type="dxa"/>
            </w:tcMar>
            <w:vAlign w:val="center"/>
            <w:hideMark/>
          </w:tcPr>
          <w:p w14:paraId="70D3A1B3"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2.39</w:t>
            </w:r>
          </w:p>
        </w:tc>
        <w:tc>
          <w:tcPr>
            <w:tcW w:w="1342" w:type="dxa"/>
            <w:shd w:val="clear" w:color="auto" w:fill="auto"/>
            <w:tcMar>
              <w:top w:w="10" w:type="dxa"/>
              <w:left w:w="10" w:type="dxa"/>
              <w:bottom w:w="0" w:type="dxa"/>
              <w:right w:w="10" w:type="dxa"/>
            </w:tcMar>
            <w:vAlign w:val="center"/>
            <w:hideMark/>
          </w:tcPr>
          <w:p w14:paraId="01EF3483"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299 (60%)</w:t>
            </w:r>
          </w:p>
        </w:tc>
        <w:tc>
          <w:tcPr>
            <w:tcW w:w="1129" w:type="dxa"/>
            <w:shd w:val="clear" w:color="auto" w:fill="auto"/>
            <w:tcMar>
              <w:top w:w="10" w:type="dxa"/>
              <w:left w:w="10" w:type="dxa"/>
              <w:bottom w:w="0" w:type="dxa"/>
              <w:right w:w="10" w:type="dxa"/>
            </w:tcMar>
            <w:vAlign w:val="center"/>
            <w:hideMark/>
          </w:tcPr>
          <w:p w14:paraId="50BE2908"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2.65</w:t>
            </w:r>
          </w:p>
        </w:tc>
      </w:tr>
      <w:tr w:rsidR="008377C1" w:rsidRPr="001979A2" w14:paraId="206CBBA3" w14:textId="77777777" w:rsidTr="0060407A">
        <w:trPr>
          <w:trHeight w:val="450"/>
        </w:trPr>
        <w:tc>
          <w:tcPr>
            <w:tcW w:w="1694" w:type="dxa"/>
            <w:shd w:val="clear" w:color="auto" w:fill="auto"/>
            <w:tcMar>
              <w:top w:w="15" w:type="dxa"/>
              <w:left w:w="78" w:type="dxa"/>
              <w:bottom w:w="0" w:type="dxa"/>
              <w:right w:w="78" w:type="dxa"/>
            </w:tcMar>
            <w:vAlign w:val="center"/>
            <w:hideMark/>
          </w:tcPr>
          <w:p w14:paraId="65237A9F"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Double gloves</w:t>
            </w:r>
          </w:p>
        </w:tc>
        <w:tc>
          <w:tcPr>
            <w:tcW w:w="1369" w:type="dxa"/>
            <w:shd w:val="clear" w:color="auto" w:fill="auto"/>
            <w:tcMar>
              <w:top w:w="10" w:type="dxa"/>
              <w:left w:w="10" w:type="dxa"/>
              <w:bottom w:w="0" w:type="dxa"/>
              <w:right w:w="10" w:type="dxa"/>
            </w:tcMar>
            <w:vAlign w:val="center"/>
            <w:hideMark/>
          </w:tcPr>
          <w:p w14:paraId="1D240DD7"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110 (15%)</w:t>
            </w:r>
          </w:p>
        </w:tc>
        <w:tc>
          <w:tcPr>
            <w:tcW w:w="1379" w:type="dxa"/>
            <w:shd w:val="clear" w:color="auto" w:fill="auto"/>
            <w:tcMar>
              <w:top w:w="10" w:type="dxa"/>
              <w:left w:w="10" w:type="dxa"/>
              <w:bottom w:w="0" w:type="dxa"/>
              <w:right w:w="10" w:type="dxa"/>
            </w:tcMar>
            <w:vAlign w:val="center"/>
            <w:hideMark/>
          </w:tcPr>
          <w:p w14:paraId="0B33B00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0.34</w:t>
            </w:r>
          </w:p>
        </w:tc>
        <w:tc>
          <w:tcPr>
            <w:tcW w:w="1357" w:type="dxa"/>
            <w:shd w:val="clear" w:color="auto" w:fill="auto"/>
            <w:tcMar>
              <w:top w:w="10" w:type="dxa"/>
              <w:left w:w="10" w:type="dxa"/>
              <w:bottom w:w="0" w:type="dxa"/>
              <w:right w:w="10" w:type="dxa"/>
            </w:tcMar>
            <w:vAlign w:val="center"/>
            <w:hideMark/>
          </w:tcPr>
          <w:p w14:paraId="58F58603"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93(14%)</w:t>
            </w:r>
          </w:p>
        </w:tc>
        <w:tc>
          <w:tcPr>
            <w:tcW w:w="1360" w:type="dxa"/>
            <w:shd w:val="clear" w:color="auto" w:fill="auto"/>
            <w:tcMar>
              <w:top w:w="10" w:type="dxa"/>
              <w:left w:w="10" w:type="dxa"/>
              <w:bottom w:w="0" w:type="dxa"/>
              <w:right w:w="10" w:type="dxa"/>
            </w:tcMar>
            <w:vAlign w:val="center"/>
            <w:hideMark/>
          </w:tcPr>
          <w:p w14:paraId="5E231022"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0.33</w:t>
            </w:r>
          </w:p>
        </w:tc>
        <w:tc>
          <w:tcPr>
            <w:tcW w:w="1342" w:type="dxa"/>
            <w:shd w:val="clear" w:color="auto" w:fill="auto"/>
            <w:tcMar>
              <w:top w:w="10" w:type="dxa"/>
              <w:left w:w="10" w:type="dxa"/>
              <w:bottom w:w="0" w:type="dxa"/>
              <w:right w:w="10" w:type="dxa"/>
            </w:tcMar>
            <w:vAlign w:val="center"/>
            <w:hideMark/>
          </w:tcPr>
          <w:p w14:paraId="022EC98A"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77 (15%)</w:t>
            </w:r>
          </w:p>
        </w:tc>
        <w:tc>
          <w:tcPr>
            <w:tcW w:w="1129" w:type="dxa"/>
            <w:shd w:val="clear" w:color="auto" w:fill="auto"/>
            <w:tcMar>
              <w:top w:w="10" w:type="dxa"/>
              <w:left w:w="10" w:type="dxa"/>
              <w:bottom w:w="0" w:type="dxa"/>
              <w:right w:w="10" w:type="dxa"/>
            </w:tcMar>
            <w:vAlign w:val="center"/>
            <w:hideMark/>
          </w:tcPr>
          <w:p w14:paraId="57F656C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0.50</w:t>
            </w:r>
          </w:p>
        </w:tc>
      </w:tr>
      <w:tr w:rsidR="008377C1" w:rsidRPr="001979A2" w14:paraId="7DB1E5ED" w14:textId="77777777" w:rsidTr="0060407A">
        <w:trPr>
          <w:trHeight w:val="594"/>
        </w:trPr>
        <w:tc>
          <w:tcPr>
            <w:tcW w:w="1694" w:type="dxa"/>
            <w:shd w:val="clear" w:color="auto" w:fill="auto"/>
            <w:tcMar>
              <w:top w:w="15" w:type="dxa"/>
              <w:left w:w="78" w:type="dxa"/>
              <w:bottom w:w="0" w:type="dxa"/>
              <w:right w:w="78" w:type="dxa"/>
            </w:tcMar>
            <w:vAlign w:val="center"/>
            <w:hideMark/>
          </w:tcPr>
          <w:p w14:paraId="0667196F"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Gowns labelled for use with chemotherapy</w:t>
            </w:r>
          </w:p>
        </w:tc>
        <w:tc>
          <w:tcPr>
            <w:tcW w:w="1369" w:type="dxa"/>
            <w:shd w:val="clear" w:color="auto" w:fill="auto"/>
            <w:tcMar>
              <w:top w:w="10" w:type="dxa"/>
              <w:left w:w="10" w:type="dxa"/>
              <w:bottom w:w="0" w:type="dxa"/>
              <w:right w:w="10" w:type="dxa"/>
            </w:tcMar>
            <w:vAlign w:val="center"/>
            <w:hideMark/>
          </w:tcPr>
          <w:p w14:paraId="3C477A29"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111 (15%)</w:t>
            </w:r>
          </w:p>
        </w:tc>
        <w:tc>
          <w:tcPr>
            <w:tcW w:w="1379" w:type="dxa"/>
            <w:shd w:val="clear" w:color="auto" w:fill="auto"/>
            <w:tcMar>
              <w:top w:w="10" w:type="dxa"/>
              <w:left w:w="10" w:type="dxa"/>
              <w:bottom w:w="0" w:type="dxa"/>
              <w:right w:w="10" w:type="dxa"/>
            </w:tcMar>
            <w:vAlign w:val="center"/>
            <w:hideMark/>
          </w:tcPr>
          <w:p w14:paraId="1D2651A3"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0.55</w:t>
            </w:r>
          </w:p>
        </w:tc>
        <w:tc>
          <w:tcPr>
            <w:tcW w:w="1357" w:type="dxa"/>
            <w:shd w:val="clear" w:color="auto" w:fill="auto"/>
            <w:tcMar>
              <w:top w:w="10" w:type="dxa"/>
              <w:left w:w="10" w:type="dxa"/>
              <w:bottom w:w="0" w:type="dxa"/>
              <w:right w:w="10" w:type="dxa"/>
            </w:tcMar>
            <w:vAlign w:val="center"/>
            <w:hideMark/>
          </w:tcPr>
          <w:p w14:paraId="62168C6A"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102 (15%)</w:t>
            </w:r>
          </w:p>
        </w:tc>
        <w:tc>
          <w:tcPr>
            <w:tcW w:w="1360" w:type="dxa"/>
            <w:shd w:val="clear" w:color="auto" w:fill="auto"/>
            <w:tcMar>
              <w:top w:w="10" w:type="dxa"/>
              <w:left w:w="10" w:type="dxa"/>
              <w:bottom w:w="0" w:type="dxa"/>
              <w:right w:w="10" w:type="dxa"/>
            </w:tcMar>
            <w:vAlign w:val="center"/>
            <w:hideMark/>
          </w:tcPr>
          <w:p w14:paraId="1615B32D"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0.54</w:t>
            </w:r>
          </w:p>
        </w:tc>
        <w:tc>
          <w:tcPr>
            <w:tcW w:w="1342" w:type="dxa"/>
            <w:shd w:val="clear" w:color="auto" w:fill="auto"/>
            <w:tcMar>
              <w:top w:w="10" w:type="dxa"/>
              <w:left w:w="10" w:type="dxa"/>
              <w:bottom w:w="0" w:type="dxa"/>
              <w:right w:w="10" w:type="dxa"/>
            </w:tcMar>
            <w:vAlign w:val="center"/>
            <w:hideMark/>
          </w:tcPr>
          <w:p w14:paraId="598771B4"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56 (11%)</w:t>
            </w:r>
          </w:p>
        </w:tc>
        <w:tc>
          <w:tcPr>
            <w:tcW w:w="1129" w:type="dxa"/>
            <w:shd w:val="clear" w:color="auto" w:fill="auto"/>
            <w:tcMar>
              <w:top w:w="10" w:type="dxa"/>
              <w:left w:w="10" w:type="dxa"/>
              <w:bottom w:w="0" w:type="dxa"/>
              <w:right w:w="10" w:type="dxa"/>
            </w:tcMar>
            <w:vAlign w:val="center"/>
            <w:hideMark/>
          </w:tcPr>
          <w:p w14:paraId="3C21F49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0.42</w:t>
            </w:r>
          </w:p>
        </w:tc>
      </w:tr>
      <w:tr w:rsidR="008377C1" w:rsidRPr="001979A2" w14:paraId="2E32DAF4" w14:textId="77777777" w:rsidTr="0060407A">
        <w:trPr>
          <w:trHeight w:val="450"/>
        </w:trPr>
        <w:tc>
          <w:tcPr>
            <w:tcW w:w="1694" w:type="dxa"/>
            <w:shd w:val="clear" w:color="auto" w:fill="auto"/>
            <w:tcMar>
              <w:top w:w="15" w:type="dxa"/>
              <w:left w:w="78" w:type="dxa"/>
              <w:bottom w:w="0" w:type="dxa"/>
              <w:right w:w="78" w:type="dxa"/>
            </w:tcMar>
            <w:vAlign w:val="center"/>
            <w:hideMark/>
          </w:tcPr>
          <w:p w14:paraId="2CCEAC76"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other gowns</w:t>
            </w:r>
          </w:p>
        </w:tc>
        <w:tc>
          <w:tcPr>
            <w:tcW w:w="1369" w:type="dxa"/>
            <w:shd w:val="clear" w:color="auto" w:fill="auto"/>
            <w:tcMar>
              <w:top w:w="10" w:type="dxa"/>
              <w:left w:w="10" w:type="dxa"/>
              <w:bottom w:w="0" w:type="dxa"/>
              <w:right w:w="10" w:type="dxa"/>
            </w:tcMar>
            <w:vAlign w:val="center"/>
            <w:hideMark/>
          </w:tcPr>
          <w:p w14:paraId="0FBAEBF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83 (11%)</w:t>
            </w:r>
          </w:p>
        </w:tc>
        <w:tc>
          <w:tcPr>
            <w:tcW w:w="1379" w:type="dxa"/>
            <w:shd w:val="clear" w:color="auto" w:fill="auto"/>
            <w:tcMar>
              <w:top w:w="10" w:type="dxa"/>
              <w:left w:w="10" w:type="dxa"/>
              <w:bottom w:w="0" w:type="dxa"/>
              <w:right w:w="10" w:type="dxa"/>
            </w:tcMar>
            <w:vAlign w:val="center"/>
            <w:hideMark/>
          </w:tcPr>
          <w:p w14:paraId="10FBD01B"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0.28</w:t>
            </w:r>
          </w:p>
        </w:tc>
        <w:tc>
          <w:tcPr>
            <w:tcW w:w="1357" w:type="dxa"/>
            <w:shd w:val="clear" w:color="auto" w:fill="auto"/>
            <w:tcMar>
              <w:top w:w="10" w:type="dxa"/>
              <w:left w:w="10" w:type="dxa"/>
              <w:bottom w:w="0" w:type="dxa"/>
              <w:right w:w="10" w:type="dxa"/>
            </w:tcMar>
            <w:vAlign w:val="center"/>
            <w:hideMark/>
          </w:tcPr>
          <w:p w14:paraId="276B6012"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65 (10%)</w:t>
            </w:r>
          </w:p>
        </w:tc>
        <w:tc>
          <w:tcPr>
            <w:tcW w:w="1360" w:type="dxa"/>
            <w:shd w:val="clear" w:color="auto" w:fill="auto"/>
            <w:tcMar>
              <w:top w:w="10" w:type="dxa"/>
              <w:left w:w="10" w:type="dxa"/>
              <w:bottom w:w="0" w:type="dxa"/>
              <w:right w:w="10" w:type="dxa"/>
            </w:tcMar>
            <w:vAlign w:val="center"/>
            <w:hideMark/>
          </w:tcPr>
          <w:p w14:paraId="5D515839"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0.25</w:t>
            </w:r>
          </w:p>
        </w:tc>
        <w:tc>
          <w:tcPr>
            <w:tcW w:w="1342" w:type="dxa"/>
            <w:shd w:val="clear" w:color="auto" w:fill="auto"/>
            <w:tcMar>
              <w:top w:w="10" w:type="dxa"/>
              <w:left w:w="10" w:type="dxa"/>
              <w:bottom w:w="0" w:type="dxa"/>
              <w:right w:w="10" w:type="dxa"/>
            </w:tcMar>
            <w:vAlign w:val="center"/>
            <w:hideMark/>
          </w:tcPr>
          <w:p w14:paraId="14B259B4"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55 (11%)</w:t>
            </w:r>
          </w:p>
        </w:tc>
        <w:tc>
          <w:tcPr>
            <w:tcW w:w="1129" w:type="dxa"/>
            <w:shd w:val="clear" w:color="auto" w:fill="auto"/>
            <w:tcMar>
              <w:top w:w="10" w:type="dxa"/>
              <w:left w:w="10" w:type="dxa"/>
              <w:bottom w:w="0" w:type="dxa"/>
              <w:right w:w="10" w:type="dxa"/>
            </w:tcMar>
            <w:vAlign w:val="center"/>
            <w:hideMark/>
          </w:tcPr>
          <w:p w14:paraId="1927FD73"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0.30</w:t>
            </w:r>
          </w:p>
        </w:tc>
      </w:tr>
      <w:tr w:rsidR="008377C1" w:rsidRPr="001979A2" w14:paraId="13D19AFA" w14:textId="77777777" w:rsidTr="0060407A">
        <w:trPr>
          <w:trHeight w:val="450"/>
        </w:trPr>
        <w:tc>
          <w:tcPr>
            <w:tcW w:w="1694" w:type="dxa"/>
            <w:shd w:val="clear" w:color="auto" w:fill="auto"/>
            <w:tcMar>
              <w:top w:w="15" w:type="dxa"/>
              <w:left w:w="78" w:type="dxa"/>
              <w:bottom w:w="0" w:type="dxa"/>
              <w:right w:w="78" w:type="dxa"/>
            </w:tcMar>
            <w:vAlign w:val="center"/>
            <w:hideMark/>
          </w:tcPr>
          <w:p w14:paraId="700682A0"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Plastic aprons</w:t>
            </w:r>
          </w:p>
        </w:tc>
        <w:tc>
          <w:tcPr>
            <w:tcW w:w="1369" w:type="dxa"/>
            <w:shd w:val="clear" w:color="auto" w:fill="auto"/>
            <w:tcMar>
              <w:top w:w="10" w:type="dxa"/>
              <w:left w:w="10" w:type="dxa"/>
              <w:bottom w:w="0" w:type="dxa"/>
              <w:right w:w="10" w:type="dxa"/>
            </w:tcMar>
            <w:vAlign w:val="center"/>
            <w:hideMark/>
          </w:tcPr>
          <w:p w14:paraId="44CE38F9"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723 (97%)</w:t>
            </w:r>
          </w:p>
        </w:tc>
        <w:tc>
          <w:tcPr>
            <w:tcW w:w="1379" w:type="dxa"/>
            <w:shd w:val="clear" w:color="auto" w:fill="auto"/>
            <w:tcMar>
              <w:top w:w="10" w:type="dxa"/>
              <w:left w:w="10" w:type="dxa"/>
              <w:bottom w:w="0" w:type="dxa"/>
              <w:right w:w="10" w:type="dxa"/>
            </w:tcMar>
            <w:vAlign w:val="center"/>
            <w:hideMark/>
          </w:tcPr>
          <w:p w14:paraId="366C843F"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4.72</w:t>
            </w:r>
          </w:p>
        </w:tc>
        <w:tc>
          <w:tcPr>
            <w:tcW w:w="1357" w:type="dxa"/>
            <w:shd w:val="clear" w:color="auto" w:fill="auto"/>
            <w:tcMar>
              <w:top w:w="10" w:type="dxa"/>
              <w:left w:w="10" w:type="dxa"/>
              <w:bottom w:w="0" w:type="dxa"/>
              <w:right w:w="10" w:type="dxa"/>
            </w:tcMar>
            <w:vAlign w:val="center"/>
            <w:hideMark/>
          </w:tcPr>
          <w:p w14:paraId="7C1A2BEA"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655 (96%)</w:t>
            </w:r>
          </w:p>
        </w:tc>
        <w:tc>
          <w:tcPr>
            <w:tcW w:w="1360" w:type="dxa"/>
            <w:shd w:val="clear" w:color="auto" w:fill="auto"/>
            <w:tcMar>
              <w:top w:w="10" w:type="dxa"/>
              <w:left w:w="10" w:type="dxa"/>
              <w:bottom w:w="0" w:type="dxa"/>
              <w:right w:w="10" w:type="dxa"/>
            </w:tcMar>
            <w:vAlign w:val="center"/>
            <w:hideMark/>
          </w:tcPr>
          <w:p w14:paraId="1313B7B5"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4.66</w:t>
            </w:r>
          </w:p>
        </w:tc>
        <w:tc>
          <w:tcPr>
            <w:tcW w:w="1342" w:type="dxa"/>
            <w:shd w:val="clear" w:color="auto" w:fill="auto"/>
            <w:tcMar>
              <w:top w:w="10" w:type="dxa"/>
              <w:left w:w="10" w:type="dxa"/>
              <w:bottom w:w="0" w:type="dxa"/>
              <w:right w:w="10" w:type="dxa"/>
            </w:tcMar>
            <w:vAlign w:val="center"/>
            <w:hideMark/>
          </w:tcPr>
          <w:p w14:paraId="767B4C6E"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492 (98%)</w:t>
            </w:r>
          </w:p>
        </w:tc>
        <w:tc>
          <w:tcPr>
            <w:tcW w:w="1129" w:type="dxa"/>
            <w:shd w:val="clear" w:color="auto" w:fill="auto"/>
            <w:tcMar>
              <w:top w:w="10" w:type="dxa"/>
              <w:left w:w="10" w:type="dxa"/>
              <w:bottom w:w="0" w:type="dxa"/>
              <w:right w:w="10" w:type="dxa"/>
            </w:tcMar>
            <w:vAlign w:val="center"/>
            <w:hideMark/>
          </w:tcPr>
          <w:p w14:paraId="73300235"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4.77</w:t>
            </w:r>
          </w:p>
        </w:tc>
      </w:tr>
      <w:tr w:rsidR="008377C1" w:rsidRPr="001979A2" w14:paraId="06DEA8A1" w14:textId="77777777" w:rsidTr="0060407A">
        <w:trPr>
          <w:trHeight w:val="450"/>
        </w:trPr>
        <w:tc>
          <w:tcPr>
            <w:tcW w:w="1694" w:type="dxa"/>
            <w:shd w:val="clear" w:color="auto" w:fill="auto"/>
            <w:tcMar>
              <w:top w:w="15" w:type="dxa"/>
              <w:left w:w="78" w:type="dxa"/>
              <w:bottom w:w="0" w:type="dxa"/>
              <w:right w:w="78" w:type="dxa"/>
            </w:tcMar>
            <w:vAlign w:val="center"/>
            <w:hideMark/>
          </w:tcPr>
          <w:p w14:paraId="6B3315B3"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Re-use Plastic aprons</w:t>
            </w:r>
          </w:p>
        </w:tc>
        <w:tc>
          <w:tcPr>
            <w:tcW w:w="1369" w:type="dxa"/>
            <w:shd w:val="clear" w:color="auto" w:fill="auto"/>
            <w:tcMar>
              <w:top w:w="15" w:type="dxa"/>
              <w:left w:w="78" w:type="dxa"/>
              <w:bottom w:w="0" w:type="dxa"/>
              <w:right w:w="78" w:type="dxa"/>
            </w:tcMar>
            <w:vAlign w:val="center"/>
            <w:hideMark/>
          </w:tcPr>
          <w:p w14:paraId="21D46CAA"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79" w:type="dxa"/>
            <w:shd w:val="clear" w:color="auto" w:fill="auto"/>
            <w:tcMar>
              <w:top w:w="15" w:type="dxa"/>
              <w:left w:w="78" w:type="dxa"/>
              <w:bottom w:w="0" w:type="dxa"/>
              <w:right w:w="78" w:type="dxa"/>
            </w:tcMar>
            <w:vAlign w:val="center"/>
            <w:hideMark/>
          </w:tcPr>
          <w:p w14:paraId="6D597A51"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57" w:type="dxa"/>
            <w:shd w:val="clear" w:color="auto" w:fill="auto"/>
            <w:tcMar>
              <w:top w:w="10" w:type="dxa"/>
              <w:left w:w="10" w:type="dxa"/>
              <w:bottom w:w="0" w:type="dxa"/>
              <w:right w:w="10" w:type="dxa"/>
            </w:tcMar>
            <w:vAlign w:val="center"/>
            <w:hideMark/>
          </w:tcPr>
          <w:p w14:paraId="1CB656F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50 (7%)</w:t>
            </w:r>
          </w:p>
        </w:tc>
        <w:tc>
          <w:tcPr>
            <w:tcW w:w="1360" w:type="dxa"/>
            <w:shd w:val="clear" w:color="auto" w:fill="auto"/>
            <w:tcMar>
              <w:top w:w="10" w:type="dxa"/>
              <w:left w:w="10" w:type="dxa"/>
              <w:bottom w:w="0" w:type="dxa"/>
              <w:right w:w="10" w:type="dxa"/>
            </w:tcMar>
            <w:vAlign w:val="center"/>
            <w:hideMark/>
          </w:tcPr>
          <w:p w14:paraId="1A33C835"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0.21</w:t>
            </w:r>
          </w:p>
        </w:tc>
        <w:tc>
          <w:tcPr>
            <w:tcW w:w="1342" w:type="dxa"/>
            <w:shd w:val="clear" w:color="auto" w:fill="auto"/>
            <w:tcMar>
              <w:top w:w="10" w:type="dxa"/>
              <w:left w:w="10" w:type="dxa"/>
              <w:bottom w:w="0" w:type="dxa"/>
              <w:right w:w="10" w:type="dxa"/>
            </w:tcMar>
            <w:vAlign w:val="center"/>
            <w:hideMark/>
          </w:tcPr>
          <w:p w14:paraId="4F9457BE"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17 (3%)</w:t>
            </w:r>
          </w:p>
        </w:tc>
        <w:tc>
          <w:tcPr>
            <w:tcW w:w="1129" w:type="dxa"/>
            <w:shd w:val="clear" w:color="auto" w:fill="auto"/>
            <w:tcMar>
              <w:top w:w="10" w:type="dxa"/>
              <w:left w:w="10" w:type="dxa"/>
              <w:bottom w:w="0" w:type="dxa"/>
              <w:right w:w="10" w:type="dxa"/>
            </w:tcMar>
            <w:vAlign w:val="center"/>
            <w:hideMark/>
          </w:tcPr>
          <w:p w14:paraId="08F70099"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0.11</w:t>
            </w:r>
          </w:p>
        </w:tc>
      </w:tr>
      <w:tr w:rsidR="008377C1" w:rsidRPr="001979A2" w14:paraId="7216CA54" w14:textId="77777777" w:rsidTr="0060407A">
        <w:trPr>
          <w:trHeight w:val="450"/>
        </w:trPr>
        <w:tc>
          <w:tcPr>
            <w:tcW w:w="1694" w:type="dxa"/>
            <w:shd w:val="clear" w:color="auto" w:fill="auto"/>
            <w:tcMar>
              <w:top w:w="15" w:type="dxa"/>
              <w:left w:w="78" w:type="dxa"/>
              <w:bottom w:w="0" w:type="dxa"/>
              <w:right w:w="78" w:type="dxa"/>
            </w:tcMar>
            <w:vAlign w:val="center"/>
            <w:hideMark/>
          </w:tcPr>
          <w:p w14:paraId="26F7E110"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reuse disposable gloves</w:t>
            </w:r>
          </w:p>
        </w:tc>
        <w:tc>
          <w:tcPr>
            <w:tcW w:w="1369" w:type="dxa"/>
            <w:shd w:val="clear" w:color="auto" w:fill="auto"/>
            <w:tcMar>
              <w:top w:w="15" w:type="dxa"/>
              <w:left w:w="78" w:type="dxa"/>
              <w:bottom w:w="0" w:type="dxa"/>
              <w:right w:w="78" w:type="dxa"/>
            </w:tcMar>
            <w:vAlign w:val="center"/>
            <w:hideMark/>
          </w:tcPr>
          <w:p w14:paraId="0E81DB9D"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79" w:type="dxa"/>
            <w:shd w:val="clear" w:color="auto" w:fill="auto"/>
            <w:tcMar>
              <w:top w:w="15" w:type="dxa"/>
              <w:left w:w="78" w:type="dxa"/>
              <w:bottom w:w="0" w:type="dxa"/>
              <w:right w:w="78" w:type="dxa"/>
            </w:tcMar>
            <w:vAlign w:val="center"/>
            <w:hideMark/>
          </w:tcPr>
          <w:p w14:paraId="26D2BD60"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57" w:type="dxa"/>
            <w:shd w:val="clear" w:color="auto" w:fill="auto"/>
            <w:tcMar>
              <w:top w:w="15" w:type="dxa"/>
              <w:left w:w="78" w:type="dxa"/>
              <w:bottom w:w="0" w:type="dxa"/>
              <w:right w:w="78" w:type="dxa"/>
            </w:tcMar>
            <w:vAlign w:val="center"/>
            <w:hideMark/>
          </w:tcPr>
          <w:p w14:paraId="7DB7CD36"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60" w:type="dxa"/>
            <w:shd w:val="clear" w:color="auto" w:fill="auto"/>
            <w:tcMar>
              <w:top w:w="15" w:type="dxa"/>
              <w:left w:w="78" w:type="dxa"/>
              <w:bottom w:w="0" w:type="dxa"/>
              <w:right w:w="78" w:type="dxa"/>
            </w:tcMar>
            <w:vAlign w:val="center"/>
            <w:hideMark/>
          </w:tcPr>
          <w:p w14:paraId="0F487972"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342" w:type="dxa"/>
            <w:shd w:val="clear" w:color="auto" w:fill="auto"/>
            <w:tcMar>
              <w:top w:w="15" w:type="dxa"/>
              <w:left w:w="78" w:type="dxa"/>
              <w:bottom w:w="0" w:type="dxa"/>
              <w:right w:w="78" w:type="dxa"/>
            </w:tcMar>
            <w:vAlign w:val="center"/>
            <w:hideMark/>
          </w:tcPr>
          <w:p w14:paraId="6A67C262"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c>
          <w:tcPr>
            <w:tcW w:w="1129" w:type="dxa"/>
            <w:shd w:val="clear" w:color="auto" w:fill="auto"/>
            <w:tcMar>
              <w:top w:w="15" w:type="dxa"/>
              <w:left w:w="78" w:type="dxa"/>
              <w:bottom w:w="0" w:type="dxa"/>
              <w:right w:w="78" w:type="dxa"/>
            </w:tcMar>
            <w:vAlign w:val="center"/>
            <w:hideMark/>
          </w:tcPr>
          <w:p w14:paraId="29991DBE" w14:textId="77777777" w:rsidR="008377C1" w:rsidRPr="001979A2" w:rsidRDefault="008377C1" w:rsidP="00ED15FF">
            <w:pPr>
              <w:spacing w:line="256" w:lineRule="auto"/>
              <w:jc w:val="center"/>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N/A</w:t>
            </w:r>
          </w:p>
        </w:tc>
      </w:tr>
      <w:tr w:rsidR="008377C1" w:rsidRPr="001979A2" w14:paraId="34D75909" w14:textId="77777777" w:rsidTr="0060407A">
        <w:trPr>
          <w:trHeight w:val="450"/>
        </w:trPr>
        <w:tc>
          <w:tcPr>
            <w:tcW w:w="1694" w:type="dxa"/>
            <w:shd w:val="clear" w:color="auto" w:fill="auto"/>
            <w:tcMar>
              <w:top w:w="15" w:type="dxa"/>
              <w:left w:w="78" w:type="dxa"/>
              <w:bottom w:w="0" w:type="dxa"/>
              <w:right w:w="78" w:type="dxa"/>
            </w:tcMar>
            <w:vAlign w:val="center"/>
            <w:hideMark/>
          </w:tcPr>
          <w:p w14:paraId="6F5CDD37"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eye protection</w:t>
            </w:r>
          </w:p>
        </w:tc>
        <w:tc>
          <w:tcPr>
            <w:tcW w:w="1369" w:type="dxa"/>
            <w:shd w:val="clear" w:color="auto" w:fill="auto"/>
            <w:tcMar>
              <w:top w:w="10" w:type="dxa"/>
              <w:left w:w="10" w:type="dxa"/>
              <w:bottom w:w="0" w:type="dxa"/>
              <w:right w:w="10" w:type="dxa"/>
            </w:tcMar>
            <w:vAlign w:val="center"/>
            <w:hideMark/>
          </w:tcPr>
          <w:p w14:paraId="589F8BFA"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320 (43%)</w:t>
            </w:r>
          </w:p>
        </w:tc>
        <w:tc>
          <w:tcPr>
            <w:tcW w:w="1379" w:type="dxa"/>
            <w:shd w:val="clear" w:color="auto" w:fill="auto"/>
            <w:tcMar>
              <w:top w:w="10" w:type="dxa"/>
              <w:left w:w="10" w:type="dxa"/>
              <w:bottom w:w="0" w:type="dxa"/>
              <w:right w:w="10" w:type="dxa"/>
            </w:tcMar>
            <w:vAlign w:val="center"/>
            <w:hideMark/>
          </w:tcPr>
          <w:p w14:paraId="7BC9DF8A"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1.41</w:t>
            </w:r>
          </w:p>
        </w:tc>
        <w:tc>
          <w:tcPr>
            <w:tcW w:w="1357" w:type="dxa"/>
            <w:shd w:val="clear" w:color="auto" w:fill="auto"/>
            <w:tcMar>
              <w:top w:w="10" w:type="dxa"/>
              <w:left w:w="10" w:type="dxa"/>
              <w:bottom w:w="0" w:type="dxa"/>
              <w:right w:w="10" w:type="dxa"/>
            </w:tcMar>
            <w:vAlign w:val="center"/>
            <w:hideMark/>
          </w:tcPr>
          <w:p w14:paraId="0A91BCA7"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256 (38%)</w:t>
            </w:r>
          </w:p>
        </w:tc>
        <w:tc>
          <w:tcPr>
            <w:tcW w:w="1360" w:type="dxa"/>
            <w:shd w:val="clear" w:color="auto" w:fill="auto"/>
            <w:tcMar>
              <w:top w:w="10" w:type="dxa"/>
              <w:left w:w="10" w:type="dxa"/>
              <w:bottom w:w="0" w:type="dxa"/>
              <w:right w:w="10" w:type="dxa"/>
            </w:tcMar>
            <w:vAlign w:val="center"/>
            <w:hideMark/>
          </w:tcPr>
          <w:p w14:paraId="13FF0E8A"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1.29</w:t>
            </w:r>
          </w:p>
        </w:tc>
        <w:tc>
          <w:tcPr>
            <w:tcW w:w="1342" w:type="dxa"/>
            <w:shd w:val="clear" w:color="auto" w:fill="auto"/>
            <w:tcMar>
              <w:top w:w="10" w:type="dxa"/>
              <w:left w:w="10" w:type="dxa"/>
              <w:bottom w:w="0" w:type="dxa"/>
              <w:right w:w="10" w:type="dxa"/>
            </w:tcMar>
            <w:vAlign w:val="center"/>
            <w:hideMark/>
          </w:tcPr>
          <w:p w14:paraId="3ADD7CA1"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159 (32%)</w:t>
            </w:r>
          </w:p>
        </w:tc>
        <w:tc>
          <w:tcPr>
            <w:tcW w:w="1129" w:type="dxa"/>
            <w:shd w:val="clear" w:color="auto" w:fill="auto"/>
            <w:tcMar>
              <w:top w:w="10" w:type="dxa"/>
              <w:left w:w="10" w:type="dxa"/>
              <w:bottom w:w="0" w:type="dxa"/>
              <w:right w:w="10" w:type="dxa"/>
            </w:tcMar>
            <w:vAlign w:val="center"/>
            <w:hideMark/>
          </w:tcPr>
          <w:p w14:paraId="5E0304AD"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1.16</w:t>
            </w:r>
          </w:p>
        </w:tc>
      </w:tr>
      <w:tr w:rsidR="008377C1" w:rsidRPr="001979A2" w14:paraId="051878FA" w14:textId="77777777" w:rsidTr="0060407A">
        <w:trPr>
          <w:trHeight w:val="496"/>
        </w:trPr>
        <w:tc>
          <w:tcPr>
            <w:tcW w:w="1694" w:type="dxa"/>
            <w:shd w:val="clear" w:color="auto" w:fill="auto"/>
            <w:tcMar>
              <w:top w:w="15" w:type="dxa"/>
              <w:left w:w="78" w:type="dxa"/>
              <w:bottom w:w="0" w:type="dxa"/>
              <w:right w:w="78" w:type="dxa"/>
            </w:tcMar>
            <w:vAlign w:val="center"/>
            <w:hideMark/>
          </w:tcPr>
          <w:p w14:paraId="447F6F3B" w14:textId="77777777" w:rsidR="008377C1" w:rsidRPr="001979A2" w:rsidRDefault="008377C1" w:rsidP="00ED15FF">
            <w:pPr>
              <w:spacing w:line="256" w:lineRule="auto"/>
              <w:rPr>
                <w:rFonts w:ascii="Arial" w:eastAsia="Times New Roman" w:hAnsi="Arial" w:cs="Arial"/>
                <w:sz w:val="36"/>
                <w:szCs w:val="36"/>
                <w:lang w:eastAsia="en-GB"/>
              </w:rPr>
            </w:pPr>
            <w:r w:rsidRPr="001979A2">
              <w:rPr>
                <w:rFonts w:ascii="Gill Sans MT" w:eastAsia="Times New Roman" w:hAnsi="Gill Sans MT" w:cs="Arial"/>
                <w:b/>
                <w:bCs/>
                <w:color w:val="000000"/>
                <w:kern w:val="2"/>
                <w:sz w:val="20"/>
                <w:szCs w:val="20"/>
                <w:lang w:eastAsia="en-GB"/>
              </w:rPr>
              <w:t>Respirator/mask</w:t>
            </w:r>
          </w:p>
        </w:tc>
        <w:tc>
          <w:tcPr>
            <w:tcW w:w="1369" w:type="dxa"/>
            <w:shd w:val="clear" w:color="auto" w:fill="auto"/>
            <w:tcMar>
              <w:top w:w="10" w:type="dxa"/>
              <w:left w:w="10" w:type="dxa"/>
              <w:bottom w:w="0" w:type="dxa"/>
              <w:right w:w="10" w:type="dxa"/>
            </w:tcMar>
            <w:vAlign w:val="center"/>
            <w:hideMark/>
          </w:tcPr>
          <w:p w14:paraId="67DB16C7"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380 (51%)</w:t>
            </w:r>
          </w:p>
        </w:tc>
        <w:tc>
          <w:tcPr>
            <w:tcW w:w="1379" w:type="dxa"/>
            <w:shd w:val="clear" w:color="auto" w:fill="auto"/>
            <w:tcMar>
              <w:top w:w="10" w:type="dxa"/>
              <w:left w:w="10" w:type="dxa"/>
              <w:bottom w:w="0" w:type="dxa"/>
              <w:right w:w="10" w:type="dxa"/>
            </w:tcMar>
            <w:vAlign w:val="center"/>
            <w:hideMark/>
          </w:tcPr>
          <w:p w14:paraId="5B05C328"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2.16</w:t>
            </w:r>
          </w:p>
        </w:tc>
        <w:tc>
          <w:tcPr>
            <w:tcW w:w="1357" w:type="dxa"/>
            <w:shd w:val="clear" w:color="auto" w:fill="auto"/>
            <w:tcMar>
              <w:top w:w="10" w:type="dxa"/>
              <w:left w:w="10" w:type="dxa"/>
              <w:bottom w:w="0" w:type="dxa"/>
              <w:right w:w="10" w:type="dxa"/>
            </w:tcMar>
            <w:vAlign w:val="center"/>
            <w:hideMark/>
          </w:tcPr>
          <w:p w14:paraId="071CC0D5"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320 (47%)</w:t>
            </w:r>
          </w:p>
        </w:tc>
        <w:tc>
          <w:tcPr>
            <w:tcW w:w="1360" w:type="dxa"/>
            <w:shd w:val="clear" w:color="auto" w:fill="auto"/>
            <w:tcMar>
              <w:top w:w="10" w:type="dxa"/>
              <w:left w:w="10" w:type="dxa"/>
              <w:bottom w:w="0" w:type="dxa"/>
              <w:right w:w="10" w:type="dxa"/>
            </w:tcMar>
            <w:vAlign w:val="center"/>
            <w:hideMark/>
          </w:tcPr>
          <w:p w14:paraId="751E630C"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2.06</w:t>
            </w:r>
          </w:p>
        </w:tc>
        <w:tc>
          <w:tcPr>
            <w:tcW w:w="1342" w:type="dxa"/>
            <w:shd w:val="clear" w:color="auto" w:fill="auto"/>
            <w:tcMar>
              <w:top w:w="10" w:type="dxa"/>
              <w:left w:w="10" w:type="dxa"/>
              <w:bottom w:w="0" w:type="dxa"/>
              <w:right w:w="10" w:type="dxa"/>
            </w:tcMar>
            <w:vAlign w:val="center"/>
            <w:hideMark/>
          </w:tcPr>
          <w:p w14:paraId="29CAC1FD"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234 (47%)</w:t>
            </w:r>
          </w:p>
        </w:tc>
        <w:tc>
          <w:tcPr>
            <w:tcW w:w="1129" w:type="dxa"/>
            <w:shd w:val="clear" w:color="auto" w:fill="auto"/>
            <w:tcMar>
              <w:top w:w="10" w:type="dxa"/>
              <w:left w:w="10" w:type="dxa"/>
              <w:bottom w:w="0" w:type="dxa"/>
              <w:right w:w="10" w:type="dxa"/>
            </w:tcMar>
            <w:vAlign w:val="center"/>
            <w:hideMark/>
          </w:tcPr>
          <w:p w14:paraId="6280DFD9" w14:textId="77777777" w:rsidR="008377C1" w:rsidRPr="001979A2" w:rsidRDefault="008377C1" w:rsidP="00ED15FF">
            <w:pPr>
              <w:spacing w:line="256" w:lineRule="auto"/>
              <w:jc w:val="center"/>
              <w:textAlignment w:val="bottom"/>
              <w:rPr>
                <w:rFonts w:ascii="Arial" w:eastAsia="Times New Roman" w:hAnsi="Arial" w:cs="Arial"/>
                <w:sz w:val="36"/>
                <w:szCs w:val="36"/>
                <w:lang w:eastAsia="en-GB"/>
              </w:rPr>
            </w:pPr>
            <w:r w:rsidRPr="001979A2">
              <w:rPr>
                <w:rFonts w:ascii="Gill Sans MT" w:eastAsia="Times New Roman" w:hAnsi="Gill Sans MT" w:cs="Arial"/>
                <w:color w:val="000000"/>
                <w:kern w:val="2"/>
                <w:sz w:val="20"/>
                <w:szCs w:val="20"/>
                <w:lang w:eastAsia="en-GB"/>
              </w:rPr>
              <w:t>2.12</w:t>
            </w:r>
          </w:p>
        </w:tc>
      </w:tr>
    </w:tbl>
    <w:p w14:paraId="3993BA3D" w14:textId="77777777" w:rsidR="00D9344C" w:rsidRDefault="008377C1">
      <w:pPr>
        <w:rPr>
          <w:rFonts w:ascii="Times New Roman" w:hAnsi="Times New Roman" w:cs="Times New Roman"/>
          <w:b/>
          <w:bCs/>
          <w:sz w:val="24"/>
          <w:szCs w:val="24"/>
        </w:rPr>
      </w:pPr>
      <w:r w:rsidRPr="008377C1">
        <w:rPr>
          <w:rFonts w:ascii="Times New Roman" w:hAnsi="Times New Roman" w:cs="Times New Roman"/>
          <w:b/>
          <w:bCs/>
          <w:sz w:val="24"/>
          <w:szCs w:val="24"/>
        </w:rPr>
        <w:t xml:space="preserve">Table </w:t>
      </w:r>
      <w:r w:rsidR="00D9344C">
        <w:rPr>
          <w:rFonts w:ascii="Times New Roman" w:hAnsi="Times New Roman" w:cs="Times New Roman"/>
          <w:b/>
          <w:bCs/>
          <w:sz w:val="24"/>
          <w:szCs w:val="24"/>
        </w:rPr>
        <w:t>2</w:t>
      </w:r>
      <w:r>
        <w:rPr>
          <w:rFonts w:ascii="Times New Roman" w:hAnsi="Times New Roman" w:cs="Times New Roman"/>
          <w:b/>
          <w:bCs/>
          <w:sz w:val="24"/>
          <w:szCs w:val="24"/>
        </w:rPr>
        <w:t>:</w:t>
      </w:r>
      <w:r w:rsidRPr="008377C1">
        <w:rPr>
          <w:rFonts w:ascii="Times New Roman" w:hAnsi="Times New Roman" w:cs="Times New Roman"/>
          <w:b/>
          <w:bCs/>
          <w:sz w:val="24"/>
          <w:szCs w:val="24"/>
        </w:rPr>
        <w:t xml:space="preserve"> Frequency ( %) of safe handling precautions for administration, disposal and handling of excreta</w:t>
      </w:r>
    </w:p>
    <w:p w14:paraId="40B405AE" w14:textId="77777777" w:rsidR="00D9344C" w:rsidRDefault="00D9344C">
      <w:pPr>
        <w:rPr>
          <w:rFonts w:ascii="Times New Roman" w:hAnsi="Times New Roman" w:cs="Times New Roman"/>
          <w:b/>
          <w:bCs/>
          <w:sz w:val="24"/>
          <w:szCs w:val="24"/>
        </w:rPr>
      </w:pPr>
    </w:p>
    <w:p w14:paraId="554ACA56" w14:textId="77777777" w:rsidR="00D9344C" w:rsidRDefault="00D9344C" w:rsidP="00D9344C">
      <w:pPr>
        <w:spacing w:line="480" w:lineRule="auto"/>
        <w:rPr>
          <w:rFonts w:ascii="Times New Roman" w:hAnsi="Times New Roman" w:cs="Times New Roman"/>
          <w:sz w:val="24"/>
          <w:szCs w:val="24"/>
        </w:rPr>
      </w:pPr>
      <w:r>
        <w:rPr>
          <w:rFonts w:ascii="Times New Roman" w:hAnsi="Times New Roman" w:cs="Times New Roman"/>
          <w:sz w:val="24"/>
          <w:szCs w:val="24"/>
        </w:rPr>
        <w:t xml:space="preserve">Seventy percent </w:t>
      </w:r>
      <w:r w:rsidRPr="005D7508">
        <w:rPr>
          <w:rFonts w:ascii="Times New Roman" w:hAnsi="Times New Roman" w:cs="Times New Roman"/>
          <w:sz w:val="24"/>
          <w:szCs w:val="24"/>
        </w:rPr>
        <w:t xml:space="preserve">(n=521/747) have had experience using a closed system during the administration of the </w:t>
      </w:r>
      <w:r>
        <w:rPr>
          <w:rFonts w:ascii="Times New Roman" w:hAnsi="Times New Roman" w:cs="Times New Roman"/>
          <w:sz w:val="24"/>
          <w:szCs w:val="24"/>
        </w:rPr>
        <w:t>CDs (Table 3)</w:t>
      </w:r>
      <w:r w:rsidRPr="005D7508">
        <w:rPr>
          <w:rFonts w:ascii="Times New Roman" w:hAnsi="Times New Roman" w:cs="Times New Roman"/>
          <w:sz w:val="24"/>
          <w:szCs w:val="24"/>
        </w:rPr>
        <w:t xml:space="preserve">. This result includes the regular and occasional usage of the CTSD. Table </w:t>
      </w:r>
      <w:r>
        <w:rPr>
          <w:rFonts w:ascii="Times New Roman" w:hAnsi="Times New Roman" w:cs="Times New Roman"/>
          <w:sz w:val="24"/>
          <w:szCs w:val="24"/>
        </w:rPr>
        <w:t>3</w:t>
      </w:r>
      <w:r w:rsidRPr="005D7508">
        <w:rPr>
          <w:rFonts w:ascii="Times New Roman" w:hAnsi="Times New Roman" w:cs="Times New Roman"/>
          <w:sz w:val="24"/>
          <w:szCs w:val="24"/>
        </w:rPr>
        <w:t xml:space="preserve"> displays the frequency of usage for the always, very frequently, occasionally, rarely, very rarely, and never-used closed system</w:t>
      </w:r>
      <w:r>
        <w:rPr>
          <w:rFonts w:ascii="Times New Roman" w:hAnsi="Times New Roman" w:cs="Times New Roman"/>
          <w:sz w:val="24"/>
          <w:szCs w:val="24"/>
        </w:rPr>
        <w:t xml:space="preserve">s. The use of closed systems is represented proportionally by workplace (Figure 1 ) and regionally (Figure 2). </w:t>
      </w:r>
    </w:p>
    <w:p w14:paraId="68293329" w14:textId="735C8DAC" w:rsidR="008377C1" w:rsidRDefault="008377C1">
      <w:pPr>
        <w:rPr>
          <w:rFonts w:ascii="Times New Roman" w:hAnsi="Times New Roman" w:cs="Times New Roman"/>
          <w:b/>
          <w:bCs/>
          <w:sz w:val="24"/>
          <w:szCs w:val="24"/>
        </w:rPr>
      </w:pPr>
      <w:r w:rsidRPr="008377C1">
        <w:rPr>
          <w:rFonts w:ascii="Times New Roman" w:hAnsi="Times New Roman" w:cs="Times New Roman"/>
          <w:b/>
          <w:bCs/>
          <w:sz w:val="24"/>
          <w:szCs w:val="24"/>
        </w:rPr>
        <w:br w:type="page"/>
      </w:r>
    </w:p>
    <w:p w14:paraId="78163ED5" w14:textId="77777777" w:rsidR="00D9344C" w:rsidRDefault="00D9344C">
      <w:pPr>
        <w:rPr>
          <w:rFonts w:ascii="Times New Roman" w:hAnsi="Times New Roman" w:cs="Times New Roman"/>
          <w:b/>
          <w:bCs/>
          <w:sz w:val="24"/>
          <w:szCs w:val="24"/>
        </w:rPr>
      </w:pPr>
    </w:p>
    <w:p w14:paraId="19D8B23B" w14:textId="77777777" w:rsidR="00D9344C" w:rsidRPr="008377C1" w:rsidRDefault="00D9344C">
      <w:pPr>
        <w:rPr>
          <w:rFonts w:ascii="Times New Roman" w:hAnsi="Times New Roman" w:cs="Times New Roman"/>
          <w:b/>
          <w:bCs/>
          <w:sz w:val="24"/>
          <w:szCs w:val="24"/>
        </w:rPr>
      </w:pPr>
    </w:p>
    <w:tbl>
      <w:tblPr>
        <w:tblpPr w:leftFromText="180" w:rightFromText="180" w:vertAnchor="page" w:horzAnchor="margin" w:tblpY="90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4"/>
        <w:gridCol w:w="928"/>
        <w:gridCol w:w="1146"/>
        <w:gridCol w:w="1297"/>
        <w:gridCol w:w="811"/>
        <w:gridCol w:w="736"/>
        <w:gridCol w:w="781"/>
        <w:gridCol w:w="747"/>
        <w:gridCol w:w="1320"/>
      </w:tblGrid>
      <w:tr w:rsidR="008377C1" w14:paraId="66B51A5F" w14:textId="77777777" w:rsidTr="0060407A">
        <w:trPr>
          <w:trHeight w:val="6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15" w:type="dxa"/>
              <w:left w:w="78" w:type="dxa"/>
              <w:bottom w:w="0" w:type="dxa"/>
              <w:right w:w="78" w:type="dxa"/>
            </w:tcMar>
            <w:vAlign w:val="center"/>
          </w:tcPr>
          <w:p w14:paraId="6DCAB45D" w14:textId="77777777" w:rsidR="008377C1" w:rsidRDefault="008377C1" w:rsidP="008377C1">
            <w:pPr>
              <w:spacing w:line="480" w:lineRule="auto"/>
              <w:rPr>
                <w:rFonts w:ascii="Times New Roman" w:eastAsia="Times New Roman" w:hAnsi="Times New Roman" w:cs="Times New Roman"/>
                <w:b/>
                <w:bCs/>
                <w:color w:val="000000"/>
                <w:kern w:val="2"/>
                <w:sz w:val="16"/>
                <w:szCs w:val="16"/>
                <w:lang w:eastAsia="en-GB"/>
              </w:rPr>
            </w:pPr>
            <w:r w:rsidRPr="005D7508">
              <w:rPr>
                <w:rFonts w:ascii="Times New Roman" w:eastAsia="Times New Roman" w:hAnsi="Times New Roman" w:cs="Times New Roman"/>
                <w:b/>
                <w:bCs/>
                <w:color w:val="000000"/>
                <w:kern w:val="2"/>
                <w:sz w:val="16"/>
                <w:szCs w:val="16"/>
                <w:lang w:eastAsia="en-GB"/>
              </w:rPr>
              <w:t xml:space="preserve">Frequency of usage of Closed System </w:t>
            </w:r>
          </w:p>
          <w:p w14:paraId="14763FAF" w14:textId="77777777" w:rsidR="008377C1" w:rsidRPr="005D7508" w:rsidRDefault="008377C1" w:rsidP="008377C1">
            <w:pPr>
              <w:spacing w:line="480" w:lineRule="auto"/>
              <w:rPr>
                <w:rFonts w:ascii="Times New Roman" w:eastAsia="Times New Roman" w:hAnsi="Times New Roman" w:cs="Times New Roman"/>
                <w:b/>
                <w:bCs/>
                <w:color w:val="000000"/>
                <w:kern w:val="2"/>
                <w:sz w:val="16"/>
                <w:szCs w:val="16"/>
                <w:lang w:eastAsia="en-GB"/>
              </w:rPr>
            </w:pPr>
            <w:r>
              <w:rPr>
                <w:rFonts w:ascii="Times New Roman" w:eastAsia="Times New Roman" w:hAnsi="Times New Roman" w:cs="Times New Roman"/>
                <w:b/>
                <w:bCs/>
                <w:color w:val="000000"/>
                <w:kern w:val="2"/>
                <w:sz w:val="16"/>
                <w:szCs w:val="16"/>
                <w:lang w:eastAsia="en-GB"/>
              </w:rPr>
              <w:t>N = 747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78" w:type="dxa"/>
              <w:bottom w:w="0" w:type="dxa"/>
              <w:right w:w="78" w:type="dxa"/>
            </w:tcMar>
            <w:vAlign w:val="center"/>
          </w:tcPr>
          <w:p w14:paraId="1775E5A2" w14:textId="77777777" w:rsidR="008377C1" w:rsidRPr="005D7508" w:rsidRDefault="008377C1" w:rsidP="008377C1">
            <w:pPr>
              <w:spacing w:line="480" w:lineRule="auto"/>
              <w:jc w:val="center"/>
              <w:rPr>
                <w:rFonts w:ascii="Times New Roman" w:eastAsia="Times New Roman" w:hAnsi="Times New Roman" w:cs="Times New Roman"/>
                <w:b/>
                <w:bCs/>
                <w:sz w:val="16"/>
                <w:szCs w:val="16"/>
                <w:lang w:eastAsia="en-GB"/>
              </w:rPr>
            </w:pPr>
            <w:r w:rsidRPr="005D7508">
              <w:rPr>
                <w:rFonts w:ascii="Times New Roman" w:hAnsi="Times New Roman" w:cs="Times New Roman"/>
                <w:b/>
                <w:bCs/>
                <w:color w:val="000000"/>
                <w:sz w:val="16"/>
                <w:szCs w:val="16"/>
              </w:rPr>
              <w:t xml:space="preserve">Always </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78" w:type="dxa"/>
              <w:bottom w:w="0" w:type="dxa"/>
              <w:right w:w="78" w:type="dxa"/>
            </w:tcMar>
            <w:vAlign w:val="center"/>
          </w:tcPr>
          <w:p w14:paraId="20F72F27" w14:textId="77777777" w:rsidR="008377C1" w:rsidRPr="005D7508" w:rsidRDefault="008377C1" w:rsidP="008377C1">
            <w:pPr>
              <w:spacing w:line="480" w:lineRule="auto"/>
              <w:jc w:val="center"/>
              <w:rPr>
                <w:rFonts w:ascii="Times New Roman" w:eastAsia="Times New Roman" w:hAnsi="Times New Roman" w:cs="Times New Roman"/>
                <w:b/>
                <w:bCs/>
                <w:color w:val="000000"/>
                <w:kern w:val="2"/>
                <w:sz w:val="16"/>
                <w:szCs w:val="16"/>
                <w:lang w:eastAsia="en-GB"/>
              </w:rPr>
            </w:pPr>
            <w:r w:rsidRPr="005D7508">
              <w:rPr>
                <w:rFonts w:ascii="Times New Roman" w:hAnsi="Times New Roman" w:cs="Times New Roman"/>
                <w:b/>
                <w:bCs/>
                <w:color w:val="000000"/>
                <w:sz w:val="16"/>
                <w:szCs w:val="16"/>
              </w:rPr>
              <w:t>Very Frequently</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78" w:type="dxa"/>
              <w:bottom w:w="0" w:type="dxa"/>
              <w:right w:w="78" w:type="dxa"/>
            </w:tcMar>
            <w:vAlign w:val="center"/>
          </w:tcPr>
          <w:p w14:paraId="45D8A098" w14:textId="77777777" w:rsidR="008377C1" w:rsidRPr="005D7508" w:rsidRDefault="008377C1" w:rsidP="008377C1">
            <w:pPr>
              <w:spacing w:line="480" w:lineRule="auto"/>
              <w:jc w:val="center"/>
              <w:rPr>
                <w:rFonts w:ascii="Times New Roman" w:eastAsia="Times New Roman" w:hAnsi="Times New Roman" w:cs="Times New Roman"/>
                <w:b/>
                <w:bCs/>
                <w:sz w:val="16"/>
                <w:szCs w:val="16"/>
                <w:lang w:eastAsia="en-GB"/>
              </w:rPr>
            </w:pPr>
            <w:r w:rsidRPr="005D7508">
              <w:rPr>
                <w:rFonts w:ascii="Times New Roman" w:hAnsi="Times New Roman" w:cs="Times New Roman"/>
                <w:b/>
                <w:bCs/>
                <w:color w:val="000000"/>
                <w:sz w:val="16"/>
                <w:szCs w:val="16"/>
              </w:rPr>
              <w:t xml:space="preserve">Occasionally </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78" w:type="dxa"/>
              <w:bottom w:w="0" w:type="dxa"/>
              <w:right w:w="78" w:type="dxa"/>
            </w:tcMar>
            <w:vAlign w:val="center"/>
          </w:tcPr>
          <w:p w14:paraId="2295AE41" w14:textId="77777777" w:rsidR="008377C1" w:rsidRPr="005D7508" w:rsidRDefault="008377C1" w:rsidP="008377C1">
            <w:pPr>
              <w:spacing w:line="480" w:lineRule="auto"/>
              <w:jc w:val="center"/>
              <w:rPr>
                <w:rFonts w:ascii="Times New Roman" w:eastAsia="Times New Roman" w:hAnsi="Times New Roman" w:cs="Times New Roman"/>
                <w:b/>
                <w:bCs/>
                <w:sz w:val="16"/>
                <w:szCs w:val="16"/>
                <w:lang w:eastAsia="en-GB"/>
              </w:rPr>
            </w:pPr>
            <w:r w:rsidRPr="005D7508">
              <w:rPr>
                <w:rFonts w:ascii="Times New Roman" w:hAnsi="Times New Roman" w:cs="Times New Roman"/>
                <w:b/>
                <w:bCs/>
                <w:color w:val="000000"/>
                <w:sz w:val="16"/>
                <w:szCs w:val="16"/>
              </w:rPr>
              <w:t xml:space="preserve">Rarely </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78" w:type="dxa"/>
              <w:bottom w:w="0" w:type="dxa"/>
              <w:right w:w="78" w:type="dxa"/>
            </w:tcMar>
            <w:vAlign w:val="center"/>
          </w:tcPr>
          <w:p w14:paraId="634AAE94" w14:textId="77777777" w:rsidR="008377C1" w:rsidRPr="005D7508" w:rsidRDefault="008377C1" w:rsidP="008377C1">
            <w:pPr>
              <w:spacing w:line="480" w:lineRule="auto"/>
              <w:jc w:val="center"/>
              <w:textAlignment w:val="bottom"/>
              <w:rPr>
                <w:rFonts w:ascii="Times New Roman" w:eastAsia="Times New Roman" w:hAnsi="Times New Roman" w:cs="Times New Roman"/>
                <w:b/>
                <w:bCs/>
                <w:sz w:val="16"/>
                <w:szCs w:val="16"/>
                <w:lang w:eastAsia="en-GB"/>
              </w:rPr>
            </w:pPr>
            <w:r w:rsidRPr="005D7508">
              <w:rPr>
                <w:rFonts w:ascii="Times New Roman" w:hAnsi="Times New Roman" w:cs="Times New Roman"/>
                <w:b/>
                <w:bCs/>
                <w:color w:val="000000"/>
                <w:sz w:val="16"/>
                <w:szCs w:val="16"/>
              </w:rPr>
              <w:t xml:space="preserve">Very Rarely </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78" w:type="dxa"/>
              <w:bottom w:w="0" w:type="dxa"/>
              <w:right w:w="78" w:type="dxa"/>
            </w:tcMar>
            <w:vAlign w:val="center"/>
          </w:tcPr>
          <w:p w14:paraId="43186218" w14:textId="77777777" w:rsidR="008377C1" w:rsidRPr="005D7508" w:rsidRDefault="008377C1" w:rsidP="008377C1">
            <w:pPr>
              <w:spacing w:line="480" w:lineRule="auto"/>
              <w:jc w:val="center"/>
              <w:rPr>
                <w:rFonts w:ascii="Times New Roman" w:eastAsia="Times New Roman" w:hAnsi="Times New Roman" w:cs="Times New Roman"/>
                <w:b/>
                <w:bCs/>
                <w:sz w:val="16"/>
                <w:szCs w:val="16"/>
                <w:lang w:eastAsia="en-GB"/>
              </w:rPr>
            </w:pPr>
            <w:r w:rsidRPr="005D7508">
              <w:rPr>
                <w:rFonts w:ascii="Times New Roman" w:hAnsi="Times New Roman" w:cs="Times New Roman"/>
                <w:b/>
                <w:bCs/>
                <w:color w:val="000000"/>
                <w:sz w:val="16"/>
                <w:szCs w:val="16"/>
              </w:rPr>
              <w:t>Never</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15" w:type="dxa"/>
              <w:left w:w="78" w:type="dxa"/>
              <w:bottom w:w="0" w:type="dxa"/>
              <w:right w:w="78" w:type="dxa"/>
            </w:tcMar>
            <w:vAlign w:val="center"/>
          </w:tcPr>
          <w:p w14:paraId="19781600" w14:textId="77777777" w:rsidR="008377C1" w:rsidRPr="005D7508" w:rsidRDefault="008377C1" w:rsidP="008377C1">
            <w:pPr>
              <w:spacing w:line="480" w:lineRule="auto"/>
              <w:jc w:val="center"/>
              <w:rPr>
                <w:rFonts w:ascii="Times New Roman" w:hAnsi="Times New Roman" w:cs="Times New Roman"/>
                <w:b/>
                <w:bCs/>
                <w:color w:val="000000"/>
                <w:sz w:val="16"/>
                <w:szCs w:val="16"/>
              </w:rPr>
            </w:pPr>
            <w:r w:rsidRPr="005D7508">
              <w:rPr>
                <w:rFonts w:ascii="Times New Roman" w:hAnsi="Times New Roman" w:cs="Times New Roman"/>
                <w:b/>
                <w:bCs/>
                <w:color w:val="000000"/>
                <w:sz w:val="16"/>
                <w:szCs w:val="16"/>
              </w:rPr>
              <w:t xml:space="preserve">Used </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15" w:type="dxa"/>
              <w:left w:w="78" w:type="dxa"/>
              <w:bottom w:w="0" w:type="dxa"/>
              <w:right w:w="78" w:type="dxa"/>
            </w:tcMar>
            <w:vAlign w:val="center"/>
          </w:tcPr>
          <w:p w14:paraId="2EF0CB54" w14:textId="77777777" w:rsidR="008377C1" w:rsidRPr="005D7508" w:rsidRDefault="008377C1" w:rsidP="008377C1">
            <w:pPr>
              <w:spacing w:line="480" w:lineRule="auto"/>
              <w:jc w:val="center"/>
              <w:rPr>
                <w:rFonts w:ascii="Times New Roman" w:hAnsi="Times New Roman" w:cs="Times New Roman"/>
                <w:b/>
                <w:bCs/>
                <w:color w:val="000000"/>
                <w:sz w:val="16"/>
                <w:szCs w:val="16"/>
              </w:rPr>
            </w:pPr>
            <w:r w:rsidRPr="005D7508">
              <w:rPr>
                <w:rFonts w:ascii="Times New Roman" w:hAnsi="Times New Roman" w:cs="Times New Roman"/>
                <w:b/>
                <w:bCs/>
                <w:color w:val="000000"/>
                <w:sz w:val="16"/>
                <w:szCs w:val="16"/>
              </w:rPr>
              <w:t>Never used</w:t>
            </w:r>
          </w:p>
        </w:tc>
      </w:tr>
      <w:tr w:rsidR="008377C1" w14:paraId="43C5BE71" w14:textId="77777777" w:rsidTr="008377C1">
        <w:trPr>
          <w:trHeight w:val="640"/>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hideMark/>
          </w:tcPr>
          <w:p w14:paraId="4CC1ABF1" w14:textId="77777777" w:rsidR="008377C1" w:rsidRPr="005D7508" w:rsidRDefault="008377C1" w:rsidP="008377C1">
            <w:pPr>
              <w:spacing w:line="480" w:lineRule="auto"/>
              <w:rPr>
                <w:rFonts w:ascii="Times New Roman" w:eastAsia="Times New Roman" w:hAnsi="Times New Roman" w:cs="Times New Roman"/>
                <w:sz w:val="16"/>
                <w:szCs w:val="16"/>
                <w:lang w:eastAsia="en-GB"/>
              </w:rPr>
            </w:pPr>
            <w:r w:rsidRPr="005D7508">
              <w:rPr>
                <w:rFonts w:ascii="Times New Roman" w:eastAsia="Times New Roman" w:hAnsi="Times New Roman" w:cs="Times New Roman"/>
                <w:b/>
                <w:bCs/>
                <w:color w:val="000000"/>
                <w:kern w:val="2"/>
                <w:sz w:val="16"/>
                <w:szCs w:val="16"/>
                <w:lang w:eastAsia="en-GB"/>
              </w:rPr>
              <w:t>During Preparation</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3CEE18F0" w14:textId="77777777" w:rsidR="008377C1" w:rsidRPr="005D7508" w:rsidRDefault="008377C1" w:rsidP="008377C1">
            <w:pPr>
              <w:spacing w:line="480" w:lineRule="auto"/>
              <w:jc w:val="center"/>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54 (56%)</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153F879B" w14:textId="77777777" w:rsidR="008377C1" w:rsidRPr="005D7508" w:rsidRDefault="008377C1" w:rsidP="008377C1">
            <w:pPr>
              <w:spacing w:line="480" w:lineRule="auto"/>
              <w:jc w:val="center"/>
              <w:rPr>
                <w:rFonts w:ascii="Times New Roman" w:eastAsia="Times New Roman" w:hAnsi="Times New Roman" w:cs="Times New Roman"/>
                <w:color w:val="000000"/>
                <w:kern w:val="2"/>
                <w:sz w:val="16"/>
                <w:szCs w:val="16"/>
                <w:lang w:eastAsia="en-GB"/>
              </w:rPr>
            </w:pPr>
            <w:r w:rsidRPr="005D7508">
              <w:rPr>
                <w:rFonts w:ascii="Times New Roman" w:hAnsi="Times New Roman" w:cs="Times New Roman"/>
                <w:color w:val="000000"/>
                <w:sz w:val="16"/>
                <w:szCs w:val="16"/>
              </w:rPr>
              <w:t>6 (6%)</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414205AC" w14:textId="77777777" w:rsidR="008377C1" w:rsidRPr="005D7508" w:rsidRDefault="008377C1" w:rsidP="008377C1">
            <w:pPr>
              <w:spacing w:line="480" w:lineRule="auto"/>
              <w:jc w:val="center"/>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5 (5%)</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1CE07273" w14:textId="77777777" w:rsidR="008377C1" w:rsidRPr="005D7508" w:rsidRDefault="008377C1" w:rsidP="008377C1">
            <w:pPr>
              <w:spacing w:line="480" w:lineRule="auto"/>
              <w:jc w:val="center"/>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1 (1%)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69936CE2" w14:textId="77777777" w:rsidR="008377C1" w:rsidRPr="005D7508" w:rsidRDefault="008377C1" w:rsidP="008377C1">
            <w:pPr>
              <w:spacing w:line="480" w:lineRule="auto"/>
              <w:jc w:val="center"/>
              <w:textAlignment w:val="bottom"/>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5 (5%)</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57C50267" w14:textId="77777777" w:rsidR="008377C1" w:rsidRPr="005D7508" w:rsidRDefault="008377C1" w:rsidP="008377C1">
            <w:pPr>
              <w:spacing w:line="480" w:lineRule="auto"/>
              <w:jc w:val="center"/>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26 (27%)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3BF9FD43" w14:textId="77777777" w:rsidR="008377C1" w:rsidRPr="005D7508" w:rsidRDefault="008377C1" w:rsidP="008377C1">
            <w:pPr>
              <w:spacing w:line="480" w:lineRule="auto"/>
              <w:jc w:val="center"/>
              <w:rPr>
                <w:rFonts w:ascii="Times New Roman" w:hAnsi="Times New Roman" w:cs="Times New Roman"/>
                <w:color w:val="000000"/>
                <w:sz w:val="16"/>
                <w:szCs w:val="16"/>
              </w:rPr>
            </w:pPr>
            <w:r w:rsidRPr="005D7508">
              <w:rPr>
                <w:rFonts w:ascii="Times New Roman" w:hAnsi="Times New Roman" w:cs="Times New Roman"/>
                <w:color w:val="000000"/>
                <w:sz w:val="16"/>
                <w:szCs w:val="16"/>
              </w:rPr>
              <w:t>71 (73%)</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0075D700" w14:textId="77777777" w:rsidR="008377C1" w:rsidRPr="005D7508" w:rsidRDefault="008377C1" w:rsidP="008377C1">
            <w:pPr>
              <w:spacing w:line="480" w:lineRule="auto"/>
              <w:jc w:val="center"/>
              <w:rPr>
                <w:rFonts w:ascii="Times New Roman" w:hAnsi="Times New Roman" w:cs="Times New Roman"/>
                <w:color w:val="000000"/>
                <w:sz w:val="16"/>
                <w:szCs w:val="16"/>
              </w:rPr>
            </w:pPr>
            <w:r w:rsidRPr="005D7508">
              <w:rPr>
                <w:rFonts w:ascii="Times New Roman" w:hAnsi="Times New Roman" w:cs="Times New Roman"/>
                <w:color w:val="000000"/>
                <w:sz w:val="16"/>
                <w:szCs w:val="16"/>
              </w:rPr>
              <w:t>26 (27%)</w:t>
            </w:r>
          </w:p>
        </w:tc>
      </w:tr>
      <w:tr w:rsidR="008377C1" w14:paraId="04CBB8A2" w14:textId="77777777" w:rsidTr="008377C1">
        <w:trPr>
          <w:trHeight w:val="526"/>
        </w:trPr>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hideMark/>
          </w:tcPr>
          <w:p w14:paraId="1427CBAC" w14:textId="77777777" w:rsidR="008377C1" w:rsidRPr="005D7508" w:rsidRDefault="008377C1" w:rsidP="008377C1">
            <w:pPr>
              <w:spacing w:line="480" w:lineRule="auto"/>
              <w:rPr>
                <w:rFonts w:ascii="Times New Roman" w:eastAsia="Times New Roman" w:hAnsi="Times New Roman" w:cs="Times New Roman"/>
                <w:sz w:val="16"/>
                <w:szCs w:val="16"/>
                <w:lang w:eastAsia="en-GB"/>
              </w:rPr>
            </w:pPr>
            <w:r w:rsidRPr="005D7508">
              <w:rPr>
                <w:rFonts w:ascii="Times New Roman" w:eastAsia="Times New Roman" w:hAnsi="Times New Roman" w:cs="Times New Roman"/>
                <w:b/>
                <w:bCs/>
                <w:color w:val="000000"/>
                <w:kern w:val="2"/>
                <w:sz w:val="16"/>
                <w:szCs w:val="16"/>
                <w:lang w:eastAsia="en-GB"/>
              </w:rPr>
              <w:t>During Administration</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55BD4386" w14:textId="77777777" w:rsidR="008377C1" w:rsidRPr="005D7508" w:rsidRDefault="008377C1" w:rsidP="008377C1">
            <w:pPr>
              <w:spacing w:line="480" w:lineRule="auto"/>
              <w:jc w:val="center"/>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325(44%)</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58D454CE" w14:textId="77777777" w:rsidR="008377C1" w:rsidRPr="005D7508" w:rsidRDefault="008377C1" w:rsidP="008377C1">
            <w:pPr>
              <w:spacing w:line="480" w:lineRule="auto"/>
              <w:jc w:val="center"/>
              <w:rPr>
                <w:rFonts w:ascii="Times New Roman" w:eastAsia="Times New Roman" w:hAnsi="Times New Roman" w:cs="Times New Roman"/>
                <w:color w:val="000000"/>
                <w:kern w:val="2"/>
                <w:sz w:val="16"/>
                <w:szCs w:val="16"/>
                <w:lang w:eastAsia="en-GB"/>
              </w:rPr>
            </w:pPr>
            <w:r w:rsidRPr="005D7508">
              <w:rPr>
                <w:rFonts w:ascii="Times New Roman" w:hAnsi="Times New Roman" w:cs="Times New Roman"/>
                <w:color w:val="000000"/>
                <w:sz w:val="16"/>
                <w:szCs w:val="16"/>
              </w:rPr>
              <w:t>95 (13%)</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 w:type="dxa"/>
              <w:left w:w="10" w:type="dxa"/>
              <w:bottom w:w="0" w:type="dxa"/>
              <w:right w:w="10" w:type="dxa"/>
            </w:tcMar>
            <w:vAlign w:val="center"/>
          </w:tcPr>
          <w:p w14:paraId="64C6369B" w14:textId="77777777" w:rsidR="008377C1" w:rsidRPr="005D7508" w:rsidRDefault="008377C1" w:rsidP="008377C1">
            <w:pPr>
              <w:spacing w:line="480" w:lineRule="auto"/>
              <w:jc w:val="center"/>
              <w:textAlignment w:val="bottom"/>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49 (7%)</w:t>
            </w:r>
          </w:p>
        </w:tc>
        <w:tc>
          <w:tcPr>
            <w:tcW w:w="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 w:type="dxa"/>
              <w:left w:w="10" w:type="dxa"/>
              <w:bottom w:w="0" w:type="dxa"/>
              <w:right w:w="10" w:type="dxa"/>
            </w:tcMar>
            <w:vAlign w:val="center"/>
          </w:tcPr>
          <w:p w14:paraId="2329B4FF" w14:textId="77777777" w:rsidR="008377C1" w:rsidRPr="005D7508" w:rsidRDefault="008377C1" w:rsidP="008377C1">
            <w:pPr>
              <w:spacing w:line="480" w:lineRule="auto"/>
              <w:jc w:val="center"/>
              <w:rPr>
                <w:rFonts w:ascii="Times New Roman" w:eastAsia="Times New Roman" w:hAnsi="Times New Roman" w:cs="Times New Roman"/>
                <w:color w:val="000000"/>
                <w:kern w:val="2"/>
                <w:sz w:val="16"/>
                <w:szCs w:val="16"/>
                <w:lang w:eastAsia="en-GB"/>
              </w:rPr>
            </w:pPr>
            <w:r w:rsidRPr="005D7508">
              <w:rPr>
                <w:rFonts w:ascii="Times New Roman" w:hAnsi="Times New Roman" w:cs="Times New Roman"/>
                <w:color w:val="000000"/>
                <w:sz w:val="16"/>
                <w:szCs w:val="16"/>
              </w:rPr>
              <w:t>19 (3%)</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12116891" w14:textId="77777777" w:rsidR="008377C1" w:rsidRPr="005D7508" w:rsidRDefault="008377C1" w:rsidP="008377C1">
            <w:pPr>
              <w:spacing w:line="480" w:lineRule="auto"/>
              <w:jc w:val="center"/>
              <w:textAlignment w:val="bottom"/>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33 (4%)</w:t>
            </w:r>
          </w:p>
        </w:tc>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40E5328E" w14:textId="77777777" w:rsidR="008377C1" w:rsidRPr="005D7508" w:rsidRDefault="008377C1" w:rsidP="008377C1">
            <w:pPr>
              <w:spacing w:line="480" w:lineRule="auto"/>
              <w:jc w:val="center"/>
              <w:rPr>
                <w:rFonts w:ascii="Times New Roman" w:eastAsia="Times New Roman" w:hAnsi="Times New Roman" w:cs="Times New Roman"/>
                <w:sz w:val="16"/>
                <w:szCs w:val="16"/>
                <w:lang w:eastAsia="en-GB"/>
              </w:rPr>
            </w:pPr>
            <w:r w:rsidRPr="005D7508">
              <w:rPr>
                <w:rFonts w:ascii="Times New Roman" w:hAnsi="Times New Roman" w:cs="Times New Roman"/>
                <w:color w:val="000000"/>
                <w:sz w:val="16"/>
                <w:szCs w:val="16"/>
              </w:rPr>
              <w:t>226 (30%)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33D14E0C" w14:textId="77777777" w:rsidR="008377C1" w:rsidRPr="005D7508" w:rsidRDefault="008377C1" w:rsidP="008377C1">
            <w:pPr>
              <w:spacing w:line="480" w:lineRule="auto"/>
              <w:jc w:val="center"/>
              <w:rPr>
                <w:rFonts w:ascii="Times New Roman" w:hAnsi="Times New Roman" w:cs="Times New Roman"/>
                <w:color w:val="000000"/>
                <w:sz w:val="16"/>
                <w:szCs w:val="16"/>
              </w:rPr>
            </w:pPr>
            <w:r w:rsidRPr="005D7508">
              <w:rPr>
                <w:rFonts w:ascii="Times New Roman" w:hAnsi="Times New Roman" w:cs="Times New Roman"/>
                <w:color w:val="000000"/>
                <w:sz w:val="16"/>
                <w:szCs w:val="16"/>
              </w:rPr>
              <w:t>521 (70%)</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78" w:type="dxa"/>
              <w:bottom w:w="0" w:type="dxa"/>
              <w:right w:w="78" w:type="dxa"/>
            </w:tcMar>
            <w:vAlign w:val="center"/>
          </w:tcPr>
          <w:p w14:paraId="7FAC01BD" w14:textId="77777777" w:rsidR="008377C1" w:rsidRPr="005D7508" w:rsidRDefault="008377C1" w:rsidP="008377C1">
            <w:pPr>
              <w:spacing w:line="480" w:lineRule="auto"/>
              <w:jc w:val="center"/>
              <w:rPr>
                <w:rFonts w:ascii="Times New Roman" w:hAnsi="Times New Roman" w:cs="Times New Roman"/>
                <w:color w:val="000000"/>
                <w:sz w:val="16"/>
                <w:szCs w:val="16"/>
              </w:rPr>
            </w:pPr>
            <w:r w:rsidRPr="005D7508">
              <w:rPr>
                <w:rFonts w:ascii="Times New Roman" w:hAnsi="Times New Roman" w:cs="Times New Roman"/>
                <w:color w:val="000000"/>
                <w:sz w:val="16"/>
                <w:szCs w:val="16"/>
              </w:rPr>
              <w:t>226 (30%)</w:t>
            </w:r>
          </w:p>
        </w:tc>
      </w:tr>
      <w:tr w:rsidR="008377C1" w14:paraId="6093FAA3" w14:textId="77777777" w:rsidTr="008377C1">
        <w:trPr>
          <w:trHeight w:val="526"/>
        </w:trPr>
        <w:tc>
          <w:tcPr>
            <w:tcW w:w="96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78" w:type="dxa"/>
              <w:bottom w:w="0" w:type="dxa"/>
              <w:right w:w="78" w:type="dxa"/>
            </w:tcMar>
            <w:vAlign w:val="center"/>
          </w:tcPr>
          <w:p w14:paraId="1676D3D4" w14:textId="77777777" w:rsidR="008377C1" w:rsidRPr="005D7508" w:rsidRDefault="008377C1" w:rsidP="008377C1">
            <w:pPr>
              <w:spacing w:line="480" w:lineRule="auto"/>
              <w:rPr>
                <w:rFonts w:ascii="Times New Roman" w:hAnsi="Times New Roman" w:cs="Times New Roman"/>
                <w:color w:val="000000"/>
                <w:sz w:val="16"/>
                <w:szCs w:val="16"/>
              </w:rPr>
            </w:pPr>
            <w:r w:rsidRPr="005D7508">
              <w:rPr>
                <w:rFonts w:ascii="Times New Roman" w:hAnsi="Times New Roman" w:cs="Times New Roman"/>
                <w:color w:val="000000"/>
                <w:sz w:val="16"/>
                <w:szCs w:val="16"/>
              </w:rPr>
              <w:t>Used—Had experience using the closed system (includes frequency from always, very frequently, occasionally, rarely, very rarely).</w:t>
            </w:r>
          </w:p>
          <w:p w14:paraId="67A92F99" w14:textId="77777777" w:rsidR="008377C1" w:rsidRPr="005D7508" w:rsidRDefault="008377C1" w:rsidP="008377C1">
            <w:pPr>
              <w:spacing w:line="480" w:lineRule="auto"/>
              <w:rPr>
                <w:rFonts w:ascii="Times New Roman" w:hAnsi="Times New Roman" w:cs="Times New Roman"/>
                <w:color w:val="000000"/>
                <w:sz w:val="16"/>
                <w:szCs w:val="16"/>
              </w:rPr>
            </w:pPr>
            <w:r w:rsidRPr="005D7508">
              <w:rPr>
                <w:rFonts w:ascii="Times New Roman" w:hAnsi="Times New Roman" w:cs="Times New Roman"/>
                <w:color w:val="000000"/>
                <w:sz w:val="16"/>
                <w:szCs w:val="16"/>
              </w:rPr>
              <w:t>Never used- No experience using the closed system (includes only the Never category)</w:t>
            </w:r>
          </w:p>
        </w:tc>
      </w:tr>
    </w:tbl>
    <w:p w14:paraId="1F06A4A8" w14:textId="031873A9" w:rsidR="008377C1" w:rsidRDefault="008377C1" w:rsidP="008377C1">
      <w:pPr>
        <w:spacing w:line="480" w:lineRule="auto"/>
        <w:rPr>
          <w:rFonts w:ascii="Times New Roman" w:hAnsi="Times New Roman" w:cs="Times New Roman"/>
          <w:b/>
          <w:bCs/>
          <w:sz w:val="24"/>
          <w:szCs w:val="24"/>
        </w:rPr>
      </w:pPr>
      <w:r w:rsidRPr="005D7508">
        <w:rPr>
          <w:rFonts w:ascii="Times New Roman" w:hAnsi="Times New Roman" w:cs="Times New Roman"/>
          <w:b/>
          <w:bCs/>
          <w:sz w:val="24"/>
          <w:szCs w:val="24"/>
        </w:rPr>
        <w:t xml:space="preserve">Table </w:t>
      </w:r>
      <w:r w:rsidR="00D9344C">
        <w:rPr>
          <w:rFonts w:ascii="Times New Roman" w:hAnsi="Times New Roman" w:cs="Times New Roman"/>
          <w:b/>
          <w:bCs/>
          <w:sz w:val="24"/>
          <w:szCs w:val="24"/>
        </w:rPr>
        <w:t>3</w:t>
      </w:r>
      <w:r>
        <w:rPr>
          <w:rFonts w:ascii="Times New Roman" w:hAnsi="Times New Roman" w:cs="Times New Roman"/>
          <w:b/>
          <w:bCs/>
          <w:sz w:val="24"/>
          <w:szCs w:val="24"/>
        </w:rPr>
        <w:t>:</w:t>
      </w:r>
      <w:r w:rsidRPr="005D7508">
        <w:rPr>
          <w:rFonts w:ascii="Times New Roman" w:hAnsi="Times New Roman" w:cs="Times New Roman"/>
          <w:b/>
          <w:bCs/>
          <w:sz w:val="24"/>
          <w:szCs w:val="24"/>
        </w:rPr>
        <w:t xml:space="preserve"> Frequency </w:t>
      </w:r>
      <w:r>
        <w:rPr>
          <w:rFonts w:ascii="Times New Roman" w:hAnsi="Times New Roman" w:cs="Times New Roman"/>
          <w:b/>
          <w:bCs/>
          <w:sz w:val="24"/>
          <w:szCs w:val="24"/>
        </w:rPr>
        <w:t>( %</w:t>
      </w:r>
      <w:r w:rsidR="0060407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D7508">
        <w:rPr>
          <w:rFonts w:ascii="Times New Roman" w:hAnsi="Times New Roman" w:cs="Times New Roman"/>
          <w:b/>
          <w:bCs/>
          <w:sz w:val="24"/>
          <w:szCs w:val="24"/>
        </w:rPr>
        <w:t>of Usage of Closed System</w:t>
      </w:r>
      <w:r>
        <w:rPr>
          <w:rFonts w:ascii="Times New Roman" w:hAnsi="Times New Roman" w:cs="Times New Roman"/>
          <w:b/>
          <w:bCs/>
          <w:sz w:val="24"/>
          <w:szCs w:val="24"/>
        </w:rPr>
        <w:t xml:space="preserve"> </w:t>
      </w:r>
    </w:p>
    <w:p w14:paraId="425D1EBE" w14:textId="2D0DB524" w:rsidR="00A00BD8" w:rsidRDefault="00A00BD8" w:rsidP="008377C1">
      <w:pPr>
        <w:spacing w:line="480" w:lineRule="auto"/>
        <w:rPr>
          <w:rFonts w:ascii="Times New Roman" w:hAnsi="Times New Roman" w:cs="Times New Roman"/>
          <w:b/>
          <w:bCs/>
          <w:sz w:val="24"/>
          <w:szCs w:val="24"/>
        </w:rPr>
      </w:pPr>
      <w:r w:rsidRPr="00805CC2">
        <w:rPr>
          <w:rFonts w:ascii="Times New Roman" w:hAnsi="Times New Roman" w:cs="Times New Roman"/>
          <w:b/>
          <w:bCs/>
          <w:noProof/>
          <w:sz w:val="24"/>
          <w:szCs w:val="24"/>
        </w:rPr>
        <w:drawing>
          <wp:inline distT="0" distB="0" distL="0" distR="0" wp14:anchorId="01EAEB3E" wp14:editId="4CC56A13">
            <wp:extent cx="5731510" cy="3684905"/>
            <wp:effectExtent l="0" t="0" r="2540" b="0"/>
            <wp:docPr id="4" name="Picture 3" descr="A graph of a bar chart&#10;&#10;Description automatically generated with medium confidence">
              <a:extLst xmlns:a="http://schemas.openxmlformats.org/drawingml/2006/main">
                <a:ext uri="{FF2B5EF4-FFF2-40B4-BE49-F238E27FC236}">
                  <a16:creationId xmlns:a16="http://schemas.microsoft.com/office/drawing/2014/main" id="{8A1C3C2B-ED1F-5984-AC02-8E72523ACE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a bar chart&#10;&#10;Description automatically generated with medium confidence">
                      <a:extLst>
                        <a:ext uri="{FF2B5EF4-FFF2-40B4-BE49-F238E27FC236}">
                          <a16:creationId xmlns:a16="http://schemas.microsoft.com/office/drawing/2014/main" id="{8A1C3C2B-ED1F-5984-AC02-8E72523ACEF7}"/>
                        </a:ext>
                      </a:extLst>
                    </pic:cNvPr>
                    <pic:cNvPicPr>
                      <a:picLocks noChangeAspect="1"/>
                    </pic:cNvPicPr>
                  </pic:nvPicPr>
                  <pic:blipFill>
                    <a:blip r:embed="rId8"/>
                    <a:stretch>
                      <a:fillRect/>
                    </a:stretch>
                  </pic:blipFill>
                  <pic:spPr>
                    <a:xfrm>
                      <a:off x="0" y="0"/>
                      <a:ext cx="5731510" cy="3684905"/>
                    </a:xfrm>
                    <a:prstGeom prst="rect">
                      <a:avLst/>
                    </a:prstGeom>
                  </pic:spPr>
                </pic:pic>
              </a:graphicData>
            </a:graphic>
          </wp:inline>
        </w:drawing>
      </w:r>
    </w:p>
    <w:p w14:paraId="7BA424D1" w14:textId="54C552E6" w:rsidR="00A00BD8" w:rsidRPr="005D7508" w:rsidRDefault="00A00BD8" w:rsidP="00A00BD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t>1</w:t>
      </w:r>
      <w:r>
        <w:rPr>
          <w:rFonts w:ascii="Times New Roman" w:hAnsi="Times New Roman" w:cs="Times New Roman"/>
          <w:b/>
          <w:bCs/>
          <w:sz w:val="24"/>
          <w:szCs w:val="24"/>
        </w:rPr>
        <w:t>: Use of closed systems in workplace settings</w:t>
      </w:r>
    </w:p>
    <w:p w14:paraId="21816248" w14:textId="3CDFB7D9" w:rsidR="00A00BD8" w:rsidRDefault="00A00BD8" w:rsidP="008377C1">
      <w:pPr>
        <w:spacing w:line="480" w:lineRule="auto"/>
        <w:rPr>
          <w:rFonts w:ascii="Times New Roman" w:hAnsi="Times New Roman" w:cs="Times New Roman"/>
          <w:b/>
          <w:bCs/>
          <w:sz w:val="24"/>
          <w:szCs w:val="24"/>
        </w:rPr>
      </w:pPr>
      <w:r>
        <w:rPr>
          <w:noProof/>
          <w14:ligatures w14:val="standardContextual"/>
        </w:rPr>
        <w:drawing>
          <wp:inline distT="0" distB="0" distL="0" distR="0" wp14:anchorId="6D9CDE2A" wp14:editId="25F092E4">
            <wp:extent cx="5731510" cy="3665855"/>
            <wp:effectExtent l="0" t="0" r="2540" b="0"/>
            <wp:docPr id="1239734707" name="Picture 4" descr="A graph showing a number of closed systems&#10;&#10;Description automatically generated">
              <a:extLst xmlns:a="http://schemas.openxmlformats.org/drawingml/2006/main">
                <a:ext uri="{FF2B5EF4-FFF2-40B4-BE49-F238E27FC236}">
                  <a16:creationId xmlns:a16="http://schemas.microsoft.com/office/drawing/2014/main" id="{0213BD06-29C1-D214-D10A-96F2DC43B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34707" name="Picture 4" descr="A graph showing a number of closed systems&#10;&#10;Description automatically generated">
                      <a:extLst>
                        <a:ext uri="{FF2B5EF4-FFF2-40B4-BE49-F238E27FC236}">
                          <a16:creationId xmlns:a16="http://schemas.microsoft.com/office/drawing/2014/main" id="{0213BD06-29C1-D214-D10A-96F2DC43B3A0}"/>
                        </a:ext>
                      </a:extLst>
                    </pic:cNvPr>
                    <pic:cNvPicPr>
                      <a:picLocks noChangeAspect="1"/>
                    </pic:cNvPicPr>
                  </pic:nvPicPr>
                  <pic:blipFill>
                    <a:blip r:embed="rId9"/>
                    <a:stretch>
                      <a:fillRect/>
                    </a:stretch>
                  </pic:blipFill>
                  <pic:spPr>
                    <a:xfrm>
                      <a:off x="0" y="0"/>
                      <a:ext cx="5731510" cy="3665855"/>
                    </a:xfrm>
                    <a:prstGeom prst="rect">
                      <a:avLst/>
                    </a:prstGeom>
                  </pic:spPr>
                </pic:pic>
              </a:graphicData>
            </a:graphic>
          </wp:inline>
        </w:drawing>
      </w:r>
    </w:p>
    <w:p w14:paraId="4BC4DEFA" w14:textId="162491FC" w:rsidR="00A00BD8" w:rsidRDefault="00A00BD8" w:rsidP="00A00BD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Figure </w:t>
      </w:r>
      <w:r w:rsidR="003429B4">
        <w:rPr>
          <w:rFonts w:ascii="Times New Roman" w:hAnsi="Times New Roman" w:cs="Times New Roman"/>
          <w:b/>
          <w:bCs/>
          <w:sz w:val="24"/>
          <w:szCs w:val="24"/>
        </w:rPr>
        <w:t>2</w:t>
      </w:r>
      <w:r>
        <w:rPr>
          <w:rFonts w:ascii="Times New Roman" w:hAnsi="Times New Roman" w:cs="Times New Roman"/>
          <w:b/>
          <w:bCs/>
          <w:sz w:val="24"/>
          <w:szCs w:val="24"/>
        </w:rPr>
        <w:t xml:space="preserve">: </w:t>
      </w:r>
      <w:r w:rsidRPr="005D7508">
        <w:rPr>
          <w:rFonts w:ascii="Times New Roman" w:hAnsi="Times New Roman" w:cs="Times New Roman"/>
          <w:b/>
          <w:bCs/>
          <w:sz w:val="24"/>
          <w:szCs w:val="24"/>
        </w:rPr>
        <w:t xml:space="preserve"> </w:t>
      </w:r>
      <w:r>
        <w:rPr>
          <w:rFonts w:ascii="Times New Roman" w:hAnsi="Times New Roman" w:cs="Times New Roman"/>
          <w:b/>
          <w:bCs/>
          <w:sz w:val="24"/>
          <w:szCs w:val="24"/>
        </w:rPr>
        <w:t>Proportional</w:t>
      </w:r>
      <w:r w:rsidRPr="005D7508">
        <w:rPr>
          <w:rFonts w:ascii="Times New Roman" w:hAnsi="Times New Roman" w:cs="Times New Roman"/>
          <w:b/>
          <w:bCs/>
          <w:sz w:val="24"/>
          <w:szCs w:val="24"/>
        </w:rPr>
        <w:t xml:space="preserve"> Usage of Closed System</w:t>
      </w:r>
      <w:r>
        <w:rPr>
          <w:rFonts w:ascii="Times New Roman" w:hAnsi="Times New Roman" w:cs="Times New Roman"/>
          <w:b/>
          <w:bCs/>
          <w:sz w:val="24"/>
          <w:szCs w:val="24"/>
        </w:rPr>
        <w:t xml:space="preserve"> per region </w:t>
      </w:r>
    </w:p>
    <w:p w14:paraId="4D051196" w14:textId="06551A97" w:rsidR="00C3270E" w:rsidRPr="005D7508" w:rsidRDefault="0060407A" w:rsidP="0088021D">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Perceived </w:t>
      </w:r>
      <w:r w:rsidR="006A65F2">
        <w:rPr>
          <w:rFonts w:ascii="Times New Roman" w:hAnsi="Times New Roman" w:cs="Times New Roman"/>
          <w:b/>
          <w:bCs/>
          <w:sz w:val="24"/>
          <w:szCs w:val="24"/>
        </w:rPr>
        <w:t xml:space="preserve">health </w:t>
      </w:r>
      <w:r w:rsidR="00457E9B">
        <w:rPr>
          <w:rFonts w:ascii="Times New Roman" w:hAnsi="Times New Roman" w:cs="Times New Roman"/>
          <w:b/>
          <w:bCs/>
          <w:sz w:val="24"/>
          <w:szCs w:val="24"/>
        </w:rPr>
        <w:t>i</w:t>
      </w:r>
      <w:r w:rsidR="006A65F2">
        <w:rPr>
          <w:rFonts w:ascii="Times New Roman" w:hAnsi="Times New Roman" w:cs="Times New Roman"/>
          <w:b/>
          <w:bCs/>
          <w:sz w:val="24"/>
          <w:szCs w:val="24"/>
        </w:rPr>
        <w:t>ssues</w:t>
      </w:r>
      <w:r w:rsidR="00E87128" w:rsidRPr="005D7508">
        <w:rPr>
          <w:rFonts w:ascii="Times New Roman" w:hAnsi="Times New Roman" w:cs="Times New Roman"/>
          <w:b/>
          <w:bCs/>
          <w:sz w:val="24"/>
          <w:szCs w:val="24"/>
        </w:rPr>
        <w:t>:</w:t>
      </w:r>
    </w:p>
    <w:p w14:paraId="568082FB" w14:textId="4F962189" w:rsidR="00AB2ABB"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The survey participants </w:t>
      </w:r>
      <w:r w:rsidR="0060407A">
        <w:rPr>
          <w:rFonts w:ascii="Times New Roman" w:hAnsi="Times New Roman" w:cs="Times New Roman"/>
          <w:sz w:val="24"/>
          <w:szCs w:val="24"/>
        </w:rPr>
        <w:t xml:space="preserve">reported perceived </w:t>
      </w:r>
      <w:r w:rsidR="006A65F2">
        <w:rPr>
          <w:rFonts w:ascii="Times New Roman" w:hAnsi="Times New Roman" w:cs="Times New Roman"/>
          <w:sz w:val="24"/>
          <w:szCs w:val="24"/>
        </w:rPr>
        <w:t xml:space="preserve">health issues </w:t>
      </w:r>
      <w:r w:rsidRPr="005D7508">
        <w:rPr>
          <w:rFonts w:ascii="Times New Roman" w:hAnsi="Times New Roman" w:cs="Times New Roman"/>
          <w:sz w:val="24"/>
          <w:szCs w:val="24"/>
        </w:rPr>
        <w:t xml:space="preserve">experienced through an </w:t>
      </w:r>
      <w:r w:rsidR="00A00BD8">
        <w:rPr>
          <w:rFonts w:ascii="Times New Roman" w:hAnsi="Times New Roman" w:cs="Times New Roman"/>
          <w:sz w:val="24"/>
          <w:szCs w:val="24"/>
        </w:rPr>
        <w:t xml:space="preserve">unbiased </w:t>
      </w:r>
      <w:r w:rsidRPr="005D7508">
        <w:rPr>
          <w:rFonts w:ascii="Times New Roman" w:hAnsi="Times New Roman" w:cs="Times New Roman"/>
          <w:sz w:val="24"/>
          <w:szCs w:val="24"/>
        </w:rPr>
        <w:t xml:space="preserve">open-ended optional question. </w:t>
      </w:r>
      <w:r w:rsidR="00B11A66" w:rsidRPr="005D7508">
        <w:rPr>
          <w:rFonts w:ascii="Times New Roman" w:hAnsi="Times New Roman" w:cs="Times New Roman"/>
          <w:sz w:val="24"/>
          <w:szCs w:val="24"/>
        </w:rPr>
        <w:t xml:space="preserve">Eighteen per cent </w:t>
      </w:r>
      <w:r w:rsidRPr="005D7508">
        <w:rPr>
          <w:rFonts w:ascii="Times New Roman" w:hAnsi="Times New Roman" w:cs="Times New Roman"/>
          <w:sz w:val="24"/>
          <w:szCs w:val="24"/>
        </w:rPr>
        <w:t xml:space="preserve">(n=161) of the survey participants </w:t>
      </w:r>
      <w:r w:rsidR="0060407A">
        <w:rPr>
          <w:rFonts w:ascii="Times New Roman" w:hAnsi="Times New Roman" w:cs="Times New Roman"/>
          <w:sz w:val="24"/>
          <w:szCs w:val="24"/>
        </w:rPr>
        <w:t xml:space="preserve">reported perceived </w:t>
      </w:r>
      <w:r w:rsidR="006A65F2">
        <w:rPr>
          <w:rFonts w:ascii="Times New Roman" w:hAnsi="Times New Roman" w:cs="Times New Roman"/>
          <w:sz w:val="24"/>
          <w:szCs w:val="24"/>
        </w:rPr>
        <w:t>health Issues</w:t>
      </w:r>
      <w:r w:rsidRPr="005D7508">
        <w:rPr>
          <w:rFonts w:ascii="Times New Roman" w:hAnsi="Times New Roman" w:cs="Times New Roman"/>
          <w:sz w:val="24"/>
          <w:szCs w:val="24"/>
        </w:rPr>
        <w:t xml:space="preserve"> effects</w:t>
      </w:r>
      <w:r w:rsidR="001979A2">
        <w:rPr>
          <w:rFonts w:ascii="Times New Roman" w:hAnsi="Times New Roman" w:cs="Times New Roman"/>
          <w:sz w:val="24"/>
          <w:szCs w:val="24"/>
        </w:rPr>
        <w:t xml:space="preserve">; </w:t>
      </w:r>
      <w:r w:rsidR="00524E84" w:rsidRPr="005D7508">
        <w:rPr>
          <w:rFonts w:ascii="Times New Roman" w:hAnsi="Times New Roman" w:cs="Times New Roman"/>
          <w:sz w:val="24"/>
          <w:szCs w:val="24"/>
        </w:rPr>
        <w:t>ten</w:t>
      </w:r>
      <w:r w:rsidRPr="005D7508">
        <w:rPr>
          <w:rFonts w:ascii="Times New Roman" w:hAnsi="Times New Roman" w:cs="Times New Roman"/>
          <w:sz w:val="24"/>
          <w:szCs w:val="24"/>
        </w:rPr>
        <w:t xml:space="preserve"> male participants, 150 female participants, and one participant who remained anonymous. </w:t>
      </w:r>
      <w:r w:rsidR="00524E84" w:rsidRPr="005D7508">
        <w:rPr>
          <w:rFonts w:ascii="Times New Roman" w:hAnsi="Times New Roman" w:cs="Times New Roman"/>
          <w:sz w:val="24"/>
          <w:szCs w:val="24"/>
        </w:rPr>
        <w:t>Sixty-four</w:t>
      </w:r>
      <w:r w:rsidRPr="005D7508">
        <w:rPr>
          <w:rFonts w:ascii="Times New Roman" w:hAnsi="Times New Roman" w:cs="Times New Roman"/>
          <w:sz w:val="24"/>
          <w:szCs w:val="24"/>
        </w:rPr>
        <w:t xml:space="preserve"> participants </w:t>
      </w:r>
      <w:r w:rsidR="0060407A">
        <w:rPr>
          <w:rFonts w:ascii="Times New Roman" w:hAnsi="Times New Roman" w:cs="Times New Roman"/>
          <w:sz w:val="24"/>
          <w:szCs w:val="24"/>
        </w:rPr>
        <w:t>self-</w:t>
      </w:r>
      <w:r w:rsidRPr="005D7508">
        <w:rPr>
          <w:rFonts w:ascii="Times New Roman" w:hAnsi="Times New Roman" w:cs="Times New Roman"/>
          <w:sz w:val="24"/>
          <w:szCs w:val="24"/>
        </w:rPr>
        <w:t xml:space="preserve">reported one </w:t>
      </w:r>
      <w:r w:rsidR="006A65F2">
        <w:rPr>
          <w:rFonts w:ascii="Times New Roman" w:hAnsi="Times New Roman" w:cs="Times New Roman"/>
          <w:sz w:val="24"/>
          <w:szCs w:val="24"/>
        </w:rPr>
        <w:t>health Issues</w:t>
      </w:r>
      <w:r w:rsidRPr="005D7508">
        <w:rPr>
          <w:rFonts w:ascii="Times New Roman" w:hAnsi="Times New Roman" w:cs="Times New Roman"/>
          <w:sz w:val="24"/>
          <w:szCs w:val="24"/>
        </w:rPr>
        <w:t xml:space="preserve"> effect; 66 participants </w:t>
      </w:r>
      <w:r w:rsidR="001979A2">
        <w:rPr>
          <w:rFonts w:ascii="Times New Roman" w:hAnsi="Times New Roman" w:cs="Times New Roman"/>
          <w:sz w:val="24"/>
          <w:szCs w:val="24"/>
        </w:rPr>
        <w:t>self-</w:t>
      </w:r>
      <w:r w:rsidRPr="005D7508">
        <w:rPr>
          <w:rFonts w:ascii="Times New Roman" w:hAnsi="Times New Roman" w:cs="Times New Roman"/>
          <w:sz w:val="24"/>
          <w:szCs w:val="24"/>
        </w:rPr>
        <w:t xml:space="preserve">reported more than one </w:t>
      </w:r>
      <w:r w:rsidR="006A65F2">
        <w:rPr>
          <w:rFonts w:ascii="Times New Roman" w:hAnsi="Times New Roman" w:cs="Times New Roman"/>
          <w:sz w:val="24"/>
          <w:szCs w:val="24"/>
        </w:rPr>
        <w:t>health Issues</w:t>
      </w:r>
      <w:r w:rsidRPr="005D7508">
        <w:rPr>
          <w:rFonts w:ascii="Times New Roman" w:hAnsi="Times New Roman" w:cs="Times New Roman"/>
          <w:sz w:val="24"/>
          <w:szCs w:val="24"/>
        </w:rPr>
        <w:t xml:space="preserve"> effect (2 </w:t>
      </w:r>
      <w:r w:rsidR="006A65F2">
        <w:rPr>
          <w:rFonts w:ascii="Times New Roman" w:hAnsi="Times New Roman" w:cs="Times New Roman"/>
          <w:sz w:val="24"/>
          <w:szCs w:val="24"/>
        </w:rPr>
        <w:t xml:space="preserve">health </w:t>
      </w:r>
      <w:r w:rsidR="00457E9B">
        <w:rPr>
          <w:rFonts w:ascii="Times New Roman" w:hAnsi="Times New Roman" w:cs="Times New Roman"/>
          <w:sz w:val="24"/>
          <w:szCs w:val="24"/>
        </w:rPr>
        <w:t>i</w:t>
      </w:r>
      <w:r w:rsidR="006A65F2">
        <w:rPr>
          <w:rFonts w:ascii="Times New Roman" w:hAnsi="Times New Roman" w:cs="Times New Roman"/>
          <w:sz w:val="24"/>
          <w:szCs w:val="24"/>
        </w:rPr>
        <w:t>ssues</w:t>
      </w:r>
      <w:r w:rsidRPr="005D7508">
        <w:rPr>
          <w:rFonts w:ascii="Times New Roman" w:hAnsi="Times New Roman" w:cs="Times New Roman"/>
          <w:sz w:val="24"/>
          <w:szCs w:val="24"/>
        </w:rPr>
        <w:t xml:space="preserve"> ), and 31 participants </w:t>
      </w:r>
      <w:r w:rsidR="001979A2">
        <w:rPr>
          <w:rFonts w:ascii="Times New Roman" w:hAnsi="Times New Roman" w:cs="Times New Roman"/>
          <w:sz w:val="24"/>
          <w:szCs w:val="24"/>
        </w:rPr>
        <w:t>self-</w:t>
      </w:r>
      <w:r w:rsidRPr="005D7508">
        <w:rPr>
          <w:rFonts w:ascii="Times New Roman" w:hAnsi="Times New Roman" w:cs="Times New Roman"/>
          <w:sz w:val="24"/>
          <w:szCs w:val="24"/>
        </w:rPr>
        <w:t xml:space="preserve">reported more than two </w:t>
      </w:r>
      <w:r w:rsidR="006A65F2">
        <w:rPr>
          <w:rFonts w:ascii="Times New Roman" w:hAnsi="Times New Roman" w:cs="Times New Roman"/>
          <w:sz w:val="24"/>
          <w:szCs w:val="24"/>
        </w:rPr>
        <w:t>health Issues</w:t>
      </w:r>
      <w:r w:rsidR="00457E9B">
        <w:rPr>
          <w:rFonts w:ascii="Times New Roman" w:hAnsi="Times New Roman" w:cs="Times New Roman"/>
          <w:sz w:val="24"/>
          <w:szCs w:val="24"/>
        </w:rPr>
        <w:t xml:space="preserve"> </w:t>
      </w:r>
      <w:r w:rsidRPr="005D7508">
        <w:rPr>
          <w:rFonts w:ascii="Times New Roman" w:hAnsi="Times New Roman" w:cs="Times New Roman"/>
          <w:sz w:val="24"/>
          <w:szCs w:val="24"/>
        </w:rPr>
        <w:t xml:space="preserve">(3 </w:t>
      </w:r>
      <w:r w:rsidR="006A65F2">
        <w:rPr>
          <w:rFonts w:ascii="Times New Roman" w:hAnsi="Times New Roman" w:cs="Times New Roman"/>
          <w:sz w:val="24"/>
          <w:szCs w:val="24"/>
        </w:rPr>
        <w:t xml:space="preserve">health </w:t>
      </w:r>
      <w:r w:rsidR="00457E9B">
        <w:rPr>
          <w:rFonts w:ascii="Times New Roman" w:hAnsi="Times New Roman" w:cs="Times New Roman"/>
          <w:sz w:val="24"/>
          <w:szCs w:val="24"/>
        </w:rPr>
        <w:t>i</w:t>
      </w:r>
      <w:r w:rsidR="006A65F2">
        <w:rPr>
          <w:rFonts w:ascii="Times New Roman" w:hAnsi="Times New Roman" w:cs="Times New Roman"/>
          <w:sz w:val="24"/>
          <w:szCs w:val="24"/>
        </w:rPr>
        <w:t>ssues</w:t>
      </w:r>
      <w:r w:rsidRPr="005D7508">
        <w:rPr>
          <w:rFonts w:ascii="Times New Roman" w:hAnsi="Times New Roman" w:cs="Times New Roman"/>
          <w:sz w:val="24"/>
          <w:szCs w:val="24"/>
        </w:rPr>
        <w:t xml:space="preserve">). The </w:t>
      </w:r>
      <w:r w:rsidR="0060407A">
        <w:rPr>
          <w:rFonts w:ascii="Times New Roman" w:hAnsi="Times New Roman" w:cs="Times New Roman"/>
          <w:sz w:val="24"/>
          <w:szCs w:val="24"/>
        </w:rPr>
        <w:t xml:space="preserve">reported perceived </w:t>
      </w:r>
      <w:r w:rsidR="006A65F2">
        <w:rPr>
          <w:rFonts w:ascii="Times New Roman" w:hAnsi="Times New Roman" w:cs="Times New Roman"/>
          <w:sz w:val="24"/>
          <w:szCs w:val="24"/>
        </w:rPr>
        <w:t>health Issues</w:t>
      </w:r>
      <w:r w:rsidR="0060407A">
        <w:rPr>
          <w:rFonts w:ascii="Times New Roman" w:hAnsi="Times New Roman" w:cs="Times New Roman"/>
          <w:sz w:val="24"/>
          <w:szCs w:val="24"/>
        </w:rPr>
        <w:t>-</w:t>
      </w:r>
      <w:r w:rsidRPr="005D7508">
        <w:rPr>
          <w:rFonts w:ascii="Times New Roman" w:hAnsi="Times New Roman" w:cs="Times New Roman"/>
          <w:sz w:val="24"/>
          <w:szCs w:val="24"/>
        </w:rPr>
        <w:t xml:space="preserve">effects by male participants were hair loss, headaches, skin rash, skin irritation, anxiety, and nasal congestion. </w:t>
      </w:r>
      <w:r w:rsidR="00D420F8">
        <w:rPr>
          <w:rFonts w:ascii="Times New Roman" w:hAnsi="Times New Roman" w:cs="Times New Roman"/>
          <w:sz w:val="24"/>
          <w:szCs w:val="24"/>
        </w:rPr>
        <w:t xml:space="preserve">In Figure three the perceived self-reported health issues are rated in frequency of reporting. </w:t>
      </w:r>
    </w:p>
    <w:p w14:paraId="119AA873" w14:textId="5C91ABC6" w:rsidR="00E15539" w:rsidRDefault="002D6554" w:rsidP="005D7508">
      <w:pPr>
        <w:spacing w:line="480" w:lineRule="auto"/>
        <w:rPr>
          <w:rFonts w:ascii="Times New Roman" w:hAnsi="Times New Roman" w:cs="Times New Roman"/>
          <w:b/>
          <w:bCs/>
          <w:sz w:val="24"/>
          <w:szCs w:val="24"/>
        </w:rPr>
      </w:pPr>
      <w:r>
        <w:rPr>
          <w:noProof/>
          <w14:ligatures w14:val="standardContextual"/>
        </w:rPr>
        <w:drawing>
          <wp:inline distT="0" distB="0" distL="0" distR="0" wp14:anchorId="5B77A96A" wp14:editId="78878896">
            <wp:extent cx="4552589" cy="2732764"/>
            <wp:effectExtent l="0" t="0" r="635" b="0"/>
            <wp:docPr id="2" name="table">
              <a:extLst xmlns:a="http://schemas.openxmlformats.org/drawingml/2006/main">
                <a:ext uri="{FF2B5EF4-FFF2-40B4-BE49-F238E27FC236}">
                  <a16:creationId xmlns:a16="http://schemas.microsoft.com/office/drawing/2014/main" id="{01E1EFF4-8CEE-63AF-CF1A-4A44AADF12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01E1EFF4-8CEE-63AF-CF1A-4A44AADF12EF}"/>
                        </a:ext>
                      </a:extLst>
                    </pic:cNvPr>
                    <pic:cNvPicPr>
                      <a:picLocks noChangeAspect="1"/>
                    </pic:cNvPicPr>
                  </pic:nvPicPr>
                  <pic:blipFill>
                    <a:blip r:embed="rId10"/>
                    <a:stretch>
                      <a:fillRect/>
                    </a:stretch>
                  </pic:blipFill>
                  <pic:spPr>
                    <a:xfrm>
                      <a:off x="0" y="0"/>
                      <a:ext cx="4568001" cy="2742015"/>
                    </a:xfrm>
                    <a:prstGeom prst="rect">
                      <a:avLst/>
                    </a:prstGeom>
                  </pic:spPr>
                </pic:pic>
              </a:graphicData>
            </a:graphic>
          </wp:inline>
        </w:drawing>
      </w:r>
    </w:p>
    <w:p w14:paraId="05788F48" w14:textId="32718C78" w:rsidR="00A00BD8" w:rsidRPr="005D7508" w:rsidRDefault="00A00BD8" w:rsidP="00A00BD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Figure 3 </w:t>
      </w:r>
      <w:r>
        <w:rPr>
          <w:rFonts w:ascii="Times New Roman" w:hAnsi="Times New Roman" w:cs="Times New Roman"/>
          <w:b/>
          <w:bCs/>
          <w:sz w:val="24"/>
          <w:szCs w:val="24"/>
        </w:rPr>
        <w:t>Perceived self-reported</w:t>
      </w:r>
      <w:r>
        <w:rPr>
          <w:rFonts w:ascii="Times New Roman" w:hAnsi="Times New Roman" w:cs="Times New Roman"/>
          <w:b/>
          <w:bCs/>
          <w:sz w:val="24"/>
          <w:szCs w:val="24"/>
        </w:rPr>
        <w:t xml:space="preserve"> </w:t>
      </w:r>
      <w:r w:rsidR="006A65F2">
        <w:rPr>
          <w:rFonts w:ascii="Times New Roman" w:hAnsi="Times New Roman" w:cs="Times New Roman"/>
          <w:b/>
          <w:bCs/>
          <w:sz w:val="24"/>
          <w:szCs w:val="24"/>
        </w:rPr>
        <w:t xml:space="preserve">health issues </w:t>
      </w:r>
      <w:r>
        <w:rPr>
          <w:rFonts w:ascii="Times New Roman" w:hAnsi="Times New Roman" w:cs="Times New Roman"/>
          <w:b/>
          <w:bCs/>
          <w:sz w:val="24"/>
          <w:szCs w:val="24"/>
        </w:rPr>
        <w:t xml:space="preserve">rated in frequency of reporting. </w:t>
      </w:r>
    </w:p>
    <w:p w14:paraId="748D5E6C" w14:textId="4A000180" w:rsidR="0088021D" w:rsidRPr="005D7508" w:rsidRDefault="00E87128" w:rsidP="0088021D">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 xml:space="preserve">The survey did not find a statistically significant difference in the </w:t>
      </w:r>
      <w:r w:rsidR="008377C1">
        <w:rPr>
          <w:rFonts w:ascii="Times New Roman" w:hAnsi="Times New Roman" w:cs="Times New Roman"/>
          <w:sz w:val="24"/>
          <w:szCs w:val="24"/>
        </w:rPr>
        <w:t xml:space="preserve">perceived </w:t>
      </w:r>
      <w:r w:rsidR="006A65F2">
        <w:rPr>
          <w:rFonts w:ascii="Times New Roman" w:hAnsi="Times New Roman" w:cs="Times New Roman"/>
          <w:sz w:val="24"/>
          <w:szCs w:val="24"/>
        </w:rPr>
        <w:t xml:space="preserve">health issues </w:t>
      </w:r>
      <w:r w:rsidRPr="005D7508">
        <w:rPr>
          <w:rFonts w:ascii="Times New Roman" w:hAnsi="Times New Roman" w:cs="Times New Roman"/>
          <w:sz w:val="24"/>
          <w:szCs w:val="24"/>
        </w:rPr>
        <w:t xml:space="preserve">reported using a closed system transfer device during administration. </w:t>
      </w:r>
      <w:r w:rsidR="008377C1">
        <w:rPr>
          <w:rFonts w:ascii="Times New Roman" w:hAnsi="Times New Roman" w:cs="Times New Roman"/>
          <w:sz w:val="24"/>
          <w:szCs w:val="24"/>
        </w:rPr>
        <w:t xml:space="preserve">Perceived </w:t>
      </w:r>
      <w:r w:rsidR="006A65F2">
        <w:rPr>
          <w:rFonts w:ascii="Times New Roman" w:hAnsi="Times New Roman" w:cs="Times New Roman"/>
          <w:sz w:val="24"/>
          <w:szCs w:val="24"/>
        </w:rPr>
        <w:t xml:space="preserve">health issues </w:t>
      </w:r>
      <w:r w:rsidRPr="005D7508">
        <w:rPr>
          <w:rFonts w:ascii="Times New Roman" w:hAnsi="Times New Roman" w:cs="Times New Roman"/>
          <w:sz w:val="24"/>
          <w:szCs w:val="24"/>
        </w:rPr>
        <w:t>were reported in the 35% never-used CS</w:t>
      </w:r>
      <w:r w:rsidR="00E15539">
        <w:rPr>
          <w:rFonts w:ascii="Times New Roman" w:hAnsi="Times New Roman" w:cs="Times New Roman"/>
          <w:sz w:val="24"/>
          <w:szCs w:val="24"/>
        </w:rPr>
        <w:t>T</w:t>
      </w:r>
      <w:r w:rsidRPr="005D7508">
        <w:rPr>
          <w:rFonts w:ascii="Times New Roman" w:hAnsi="Times New Roman" w:cs="Times New Roman"/>
          <w:sz w:val="24"/>
          <w:szCs w:val="24"/>
        </w:rPr>
        <w:t>D category (n=56), the 36% always-used C</w:t>
      </w:r>
      <w:r w:rsidR="00E15539">
        <w:rPr>
          <w:rFonts w:ascii="Times New Roman" w:hAnsi="Times New Roman" w:cs="Times New Roman"/>
          <w:sz w:val="24"/>
          <w:szCs w:val="24"/>
        </w:rPr>
        <w:t>ST</w:t>
      </w:r>
      <w:r w:rsidRPr="005D7508">
        <w:rPr>
          <w:rFonts w:ascii="Times New Roman" w:hAnsi="Times New Roman" w:cs="Times New Roman"/>
          <w:sz w:val="24"/>
          <w:szCs w:val="24"/>
        </w:rPr>
        <w:t xml:space="preserve">D category (n=58), and the </w:t>
      </w:r>
      <w:r w:rsidR="00E15539" w:rsidRPr="005D7508">
        <w:rPr>
          <w:rFonts w:ascii="Times New Roman" w:hAnsi="Times New Roman" w:cs="Times New Roman"/>
          <w:sz w:val="24"/>
          <w:szCs w:val="24"/>
        </w:rPr>
        <w:t>23% partially used</w:t>
      </w:r>
      <w:r w:rsidRPr="005D7508">
        <w:rPr>
          <w:rFonts w:ascii="Times New Roman" w:hAnsi="Times New Roman" w:cs="Times New Roman"/>
          <w:sz w:val="24"/>
          <w:szCs w:val="24"/>
        </w:rPr>
        <w:t xml:space="preserve"> C</w:t>
      </w:r>
      <w:r w:rsidR="00E15539">
        <w:rPr>
          <w:rFonts w:ascii="Times New Roman" w:hAnsi="Times New Roman" w:cs="Times New Roman"/>
          <w:sz w:val="24"/>
          <w:szCs w:val="24"/>
        </w:rPr>
        <w:t>ST</w:t>
      </w:r>
      <w:r w:rsidRPr="005D7508">
        <w:rPr>
          <w:rFonts w:ascii="Times New Roman" w:hAnsi="Times New Roman" w:cs="Times New Roman"/>
          <w:sz w:val="24"/>
          <w:szCs w:val="24"/>
        </w:rPr>
        <w:t xml:space="preserve">D category (n=36). </w:t>
      </w:r>
    </w:p>
    <w:p w14:paraId="66C661EC" w14:textId="582CF679" w:rsidR="00EF7589" w:rsidRPr="005D7508" w:rsidRDefault="00E87128" w:rsidP="005D7508">
      <w:pPr>
        <w:spacing w:line="480" w:lineRule="auto"/>
        <w:rPr>
          <w:rFonts w:ascii="Times New Roman" w:hAnsi="Times New Roman" w:cs="Times New Roman"/>
          <w:b/>
          <w:bCs/>
          <w:sz w:val="24"/>
          <w:szCs w:val="24"/>
        </w:rPr>
      </w:pPr>
      <w:r w:rsidRPr="005D7508">
        <w:rPr>
          <w:rFonts w:ascii="Times New Roman" w:hAnsi="Times New Roman" w:cs="Times New Roman"/>
          <w:b/>
          <w:bCs/>
          <w:sz w:val="24"/>
          <w:szCs w:val="24"/>
        </w:rPr>
        <w:t>Discussion:</w:t>
      </w:r>
    </w:p>
    <w:p w14:paraId="63A7862E" w14:textId="7B6F6ABE" w:rsidR="00524E84" w:rsidRDefault="00E87128" w:rsidP="005D7508">
      <w:pPr>
        <w:spacing w:line="480" w:lineRule="auto"/>
        <w:rPr>
          <w:rFonts w:ascii="Times New Roman" w:hAnsi="Times New Roman" w:cs="Times New Roman"/>
          <w:sz w:val="24"/>
          <w:szCs w:val="24"/>
        </w:rPr>
      </w:pPr>
      <w:r w:rsidRPr="005D7508">
        <w:rPr>
          <w:rFonts w:ascii="Times New Roman" w:hAnsi="Times New Roman" w:cs="Times New Roman"/>
          <w:sz w:val="24"/>
          <w:szCs w:val="24"/>
        </w:rPr>
        <w:t>Th</w:t>
      </w:r>
      <w:r w:rsidR="00EB422C">
        <w:rPr>
          <w:rFonts w:ascii="Times New Roman" w:hAnsi="Times New Roman" w:cs="Times New Roman"/>
          <w:sz w:val="24"/>
          <w:szCs w:val="24"/>
        </w:rPr>
        <w:t xml:space="preserve">e results from this study contribute to the body of knowledge of </w:t>
      </w:r>
      <w:r w:rsidR="00645F37">
        <w:rPr>
          <w:rFonts w:ascii="Times New Roman" w:hAnsi="Times New Roman" w:cs="Times New Roman"/>
          <w:sz w:val="24"/>
          <w:szCs w:val="24"/>
        </w:rPr>
        <w:t>p</w:t>
      </w:r>
      <w:r w:rsidR="00682125">
        <w:rPr>
          <w:rFonts w:ascii="Times New Roman" w:hAnsi="Times New Roman" w:cs="Times New Roman"/>
          <w:sz w:val="24"/>
          <w:szCs w:val="24"/>
        </w:rPr>
        <w:t xml:space="preserve">ractice in </w:t>
      </w:r>
      <w:r w:rsidR="0060407A">
        <w:rPr>
          <w:rFonts w:ascii="Times New Roman" w:hAnsi="Times New Roman" w:cs="Times New Roman"/>
          <w:sz w:val="24"/>
          <w:szCs w:val="24"/>
        </w:rPr>
        <w:t xml:space="preserve">a sample of cancer nurses and </w:t>
      </w:r>
      <w:r w:rsidR="00645F37">
        <w:rPr>
          <w:rFonts w:ascii="Times New Roman" w:hAnsi="Times New Roman" w:cs="Times New Roman"/>
          <w:sz w:val="24"/>
          <w:szCs w:val="24"/>
        </w:rPr>
        <w:t xml:space="preserve">their knowledge of hazards, </w:t>
      </w:r>
      <w:r w:rsidR="0060407A">
        <w:rPr>
          <w:rFonts w:ascii="Times New Roman" w:hAnsi="Times New Roman" w:cs="Times New Roman"/>
          <w:sz w:val="24"/>
          <w:szCs w:val="24"/>
        </w:rPr>
        <w:t>safe handling precautions of CDs</w:t>
      </w:r>
      <w:r w:rsidR="00645F37">
        <w:rPr>
          <w:rFonts w:ascii="Times New Roman" w:hAnsi="Times New Roman" w:cs="Times New Roman"/>
          <w:sz w:val="24"/>
          <w:szCs w:val="24"/>
        </w:rPr>
        <w:t xml:space="preserve"> and perceived </w:t>
      </w:r>
      <w:r w:rsidR="00D420F8">
        <w:rPr>
          <w:rFonts w:ascii="Times New Roman" w:hAnsi="Times New Roman" w:cs="Times New Roman"/>
          <w:sz w:val="24"/>
          <w:szCs w:val="24"/>
        </w:rPr>
        <w:t xml:space="preserve">health issues </w:t>
      </w:r>
      <w:r w:rsidR="00645F37">
        <w:rPr>
          <w:rFonts w:ascii="Times New Roman" w:hAnsi="Times New Roman" w:cs="Times New Roman"/>
          <w:sz w:val="24"/>
          <w:szCs w:val="24"/>
        </w:rPr>
        <w:t>from occupational exposure</w:t>
      </w:r>
      <w:r w:rsidR="0060407A">
        <w:rPr>
          <w:rFonts w:ascii="Times New Roman" w:hAnsi="Times New Roman" w:cs="Times New Roman"/>
          <w:sz w:val="24"/>
          <w:szCs w:val="24"/>
        </w:rPr>
        <w:t xml:space="preserve"> </w:t>
      </w:r>
      <w:r w:rsidR="00EB422C">
        <w:rPr>
          <w:rFonts w:ascii="Times New Roman" w:hAnsi="Times New Roman" w:cs="Times New Roman"/>
          <w:sz w:val="24"/>
          <w:szCs w:val="24"/>
        </w:rPr>
        <w:t xml:space="preserve">within </w:t>
      </w:r>
      <w:r w:rsidRPr="005D7508">
        <w:rPr>
          <w:rFonts w:ascii="Times New Roman" w:hAnsi="Times New Roman" w:cs="Times New Roman"/>
          <w:sz w:val="24"/>
          <w:szCs w:val="24"/>
        </w:rPr>
        <w:t>the UK</w:t>
      </w:r>
      <w:r w:rsidR="0060407A">
        <w:rPr>
          <w:rFonts w:ascii="Times New Roman" w:hAnsi="Times New Roman" w:cs="Times New Roman"/>
          <w:sz w:val="24"/>
          <w:szCs w:val="24"/>
        </w:rPr>
        <w:t xml:space="preserve">. </w:t>
      </w:r>
      <w:r w:rsidRPr="005D7508">
        <w:rPr>
          <w:rFonts w:ascii="Times New Roman" w:hAnsi="Times New Roman" w:cs="Times New Roman"/>
          <w:sz w:val="24"/>
          <w:szCs w:val="24"/>
        </w:rPr>
        <w:t xml:space="preserve"> </w:t>
      </w:r>
    </w:p>
    <w:p w14:paraId="63135A66" w14:textId="528EE0F3" w:rsidR="00DB17A8" w:rsidRPr="00DB17A8" w:rsidRDefault="00645F37" w:rsidP="00DB17A8">
      <w:pPr>
        <w:spacing w:line="480" w:lineRule="auto"/>
        <w:jc w:val="both"/>
        <w:rPr>
          <w:rFonts w:ascii="Times New Roman" w:hAnsi="Times New Roman" w:cs="Times New Roman"/>
          <w:sz w:val="24"/>
          <w:szCs w:val="24"/>
        </w:rPr>
      </w:pPr>
      <w:r w:rsidRPr="00645F37">
        <w:rPr>
          <w:rFonts w:ascii="Times New Roman" w:hAnsi="Times New Roman" w:cs="Times New Roman"/>
          <w:b/>
          <w:bCs/>
          <w:sz w:val="24"/>
          <w:szCs w:val="24"/>
        </w:rPr>
        <w:t xml:space="preserve">Knowledge of hazard: </w:t>
      </w:r>
      <w:r w:rsidR="00DB17A8" w:rsidRPr="00DB17A8">
        <w:rPr>
          <w:rFonts w:ascii="Times New Roman" w:hAnsi="Times New Roman" w:cs="Times New Roman"/>
          <w:sz w:val="24"/>
          <w:szCs w:val="24"/>
        </w:rPr>
        <w:t>Participants in this study demonstrated a high level of knowledge, consistent with global findings (Borges et al., 2014; Hon et al., 2015; Callahan et al., 2016; Nwagbo et al., 2017; Srisintorn et al., 2021). However, Table 1 reveals some misunderstandings about the hazards of cytotoxic drugs (CDs) across the UK. Even a small gap in knowledge among a minority could lead to unsafe handling practices and potential occupational exposure—one case of exposure is one too many.</w:t>
      </w:r>
    </w:p>
    <w:p w14:paraId="787FEB38" w14:textId="77777777" w:rsidR="00DB17A8" w:rsidRPr="00DB17A8" w:rsidRDefault="00DB17A8" w:rsidP="00DB17A8">
      <w:pPr>
        <w:spacing w:line="480" w:lineRule="auto"/>
        <w:jc w:val="both"/>
        <w:rPr>
          <w:rFonts w:ascii="Times New Roman" w:hAnsi="Times New Roman" w:cs="Times New Roman"/>
          <w:sz w:val="24"/>
          <w:szCs w:val="24"/>
        </w:rPr>
      </w:pPr>
      <w:r w:rsidRPr="00DB17A8">
        <w:rPr>
          <w:rFonts w:ascii="Times New Roman" w:hAnsi="Times New Roman" w:cs="Times New Roman"/>
          <w:sz w:val="24"/>
          <w:szCs w:val="24"/>
        </w:rPr>
        <w:t>Notably, 98% of participants reported prior training, spanning accredited education and in-house programs, including UK Oncology Nursing Society (UKONS) training. This aligns with patterns seen in both UK and global studies (Polovich &amp; Clark, 2012; Callahan et al., 2016; Silver et al., 2016; Deroy et al., 2017; Mahdy et al., 2017; Alehashem &amp; Baniasadi, 2018; Simons &amp; Toland, 2019; Srisintorn et al., 2021). In-house training practices reflect trends identified in global research (Shahrasbi et al., 2014; Hanafi et al., 2015; Tuna &amp; Baykal, 2017; Alehashem &amp; Baniasadi, 2018).</w:t>
      </w:r>
    </w:p>
    <w:p w14:paraId="48AFCF99" w14:textId="5D577DA1" w:rsidR="00742410" w:rsidRPr="008C06A0" w:rsidRDefault="00DB17A8" w:rsidP="00DB17A8">
      <w:pPr>
        <w:spacing w:line="480" w:lineRule="auto"/>
        <w:jc w:val="both"/>
        <w:rPr>
          <w:rFonts w:ascii="Times New Roman" w:hAnsi="Times New Roman" w:cs="Times New Roman"/>
          <w:sz w:val="24"/>
          <w:szCs w:val="24"/>
        </w:rPr>
      </w:pPr>
      <w:r w:rsidRPr="00DB17A8">
        <w:rPr>
          <w:rFonts w:ascii="Times New Roman" w:hAnsi="Times New Roman" w:cs="Times New Roman"/>
          <w:sz w:val="24"/>
          <w:szCs w:val="24"/>
        </w:rPr>
        <w:t>Training in this study is predominantly workplace-based rather than academically accredited. While this doesn’t imply workplace training is substandard, it highlights variation in organizational approaches—some rely on in-house programs, while others invest in higher academic qualifications for handling CDs. This variability underscores the need for further research to address standardization in safe handling practices across the UK.</w:t>
      </w:r>
      <w:r w:rsidR="00E87128" w:rsidRPr="008C06A0">
        <w:rPr>
          <w:rFonts w:ascii="Times New Roman" w:hAnsi="Times New Roman" w:cs="Times New Roman"/>
          <w:sz w:val="24"/>
          <w:szCs w:val="24"/>
        </w:rPr>
        <w:t xml:space="preserve"> </w:t>
      </w:r>
    </w:p>
    <w:p w14:paraId="5494DB6C" w14:textId="4E18EEBB" w:rsidR="00D27960" w:rsidRDefault="00762F2D" w:rsidP="005D7508">
      <w:pPr>
        <w:spacing w:line="480" w:lineRule="auto"/>
        <w:jc w:val="both"/>
        <w:rPr>
          <w:rFonts w:ascii="Times New Roman" w:hAnsi="Times New Roman" w:cs="Times New Roman"/>
          <w:sz w:val="24"/>
          <w:szCs w:val="24"/>
        </w:rPr>
      </w:pPr>
      <w:r w:rsidRPr="00762F2D">
        <w:rPr>
          <w:rFonts w:ascii="Times New Roman" w:hAnsi="Times New Roman" w:cs="Times New Roman"/>
          <w:b/>
          <w:bCs/>
          <w:sz w:val="24"/>
          <w:szCs w:val="24"/>
        </w:rPr>
        <w:t xml:space="preserve">Safe handling Precautions: </w:t>
      </w:r>
      <w:r w:rsidR="00E87128" w:rsidRPr="006D27A8">
        <w:rPr>
          <w:rFonts w:ascii="Times New Roman" w:hAnsi="Times New Roman" w:cs="Times New Roman"/>
          <w:sz w:val="24"/>
          <w:szCs w:val="24"/>
        </w:rPr>
        <w:t xml:space="preserve">The cancer nurses </w:t>
      </w:r>
      <w:r w:rsidR="006F258C" w:rsidRPr="006D27A8">
        <w:rPr>
          <w:rFonts w:ascii="Times New Roman" w:hAnsi="Times New Roman" w:cs="Times New Roman"/>
          <w:sz w:val="24"/>
          <w:szCs w:val="24"/>
        </w:rPr>
        <w:t xml:space="preserve">reported </w:t>
      </w:r>
      <w:r w:rsidR="005536A8">
        <w:rPr>
          <w:rFonts w:ascii="Times New Roman" w:hAnsi="Times New Roman" w:cs="Times New Roman"/>
          <w:sz w:val="24"/>
          <w:szCs w:val="24"/>
        </w:rPr>
        <w:t xml:space="preserve">a high use of </w:t>
      </w:r>
      <w:r w:rsidR="00E87128" w:rsidRPr="006D27A8">
        <w:rPr>
          <w:rFonts w:ascii="Times New Roman" w:hAnsi="Times New Roman" w:cs="Times New Roman"/>
          <w:sz w:val="24"/>
          <w:szCs w:val="24"/>
        </w:rPr>
        <w:t>safe handling precautions</w:t>
      </w:r>
      <w:r w:rsidR="00645F37">
        <w:rPr>
          <w:rFonts w:ascii="Times New Roman" w:hAnsi="Times New Roman" w:cs="Times New Roman"/>
          <w:sz w:val="24"/>
          <w:szCs w:val="24"/>
        </w:rPr>
        <w:t>.</w:t>
      </w:r>
      <w:r w:rsidR="00610F89">
        <w:rPr>
          <w:rFonts w:ascii="Times New Roman" w:hAnsi="Times New Roman" w:cs="Times New Roman"/>
          <w:sz w:val="24"/>
          <w:szCs w:val="24"/>
        </w:rPr>
        <w:t xml:space="preserve"> </w:t>
      </w:r>
      <w:r w:rsidR="00645F37" w:rsidRPr="002B77E1">
        <w:rPr>
          <w:rFonts w:ascii="Times New Roman" w:hAnsi="Times New Roman" w:cs="Times New Roman"/>
          <w:sz w:val="24"/>
          <w:szCs w:val="24"/>
        </w:rPr>
        <w:t xml:space="preserve">It </w:t>
      </w:r>
      <w:r w:rsidR="006F258C" w:rsidRPr="002B77E1">
        <w:rPr>
          <w:rFonts w:ascii="Times New Roman" w:hAnsi="Times New Roman" w:cs="Times New Roman"/>
          <w:sz w:val="24"/>
          <w:szCs w:val="24"/>
        </w:rPr>
        <w:t xml:space="preserve"> is noted that the ‘plastic apron’ is the primary body protection with differing interpretations attached to the 'gloves for chemotherapy use’ versus ‘vinyl </w:t>
      </w:r>
      <w:r w:rsidR="008D5334" w:rsidRPr="002B77E1">
        <w:rPr>
          <w:rFonts w:ascii="Times New Roman" w:hAnsi="Times New Roman" w:cs="Times New Roman"/>
          <w:sz w:val="24"/>
          <w:szCs w:val="24"/>
        </w:rPr>
        <w:t>gloves’</w:t>
      </w:r>
      <w:r w:rsidR="006F258C" w:rsidRPr="002B77E1">
        <w:rPr>
          <w:rFonts w:ascii="Times New Roman" w:hAnsi="Times New Roman" w:cs="Times New Roman"/>
          <w:sz w:val="24"/>
          <w:szCs w:val="24"/>
        </w:rPr>
        <w:t xml:space="preserve">. </w:t>
      </w:r>
      <w:r w:rsidR="00981BCB" w:rsidRPr="002B77E1">
        <w:rPr>
          <w:rFonts w:ascii="Times New Roman" w:hAnsi="Times New Roman" w:cs="Times New Roman"/>
          <w:sz w:val="24"/>
          <w:szCs w:val="24"/>
        </w:rPr>
        <w:t>The</w:t>
      </w:r>
      <w:r w:rsidR="00981BCB" w:rsidRPr="006D27A8">
        <w:rPr>
          <w:rFonts w:ascii="Times New Roman" w:hAnsi="Times New Roman" w:cs="Times New Roman"/>
          <w:sz w:val="24"/>
          <w:szCs w:val="24"/>
        </w:rPr>
        <w:t xml:space="preserve"> survey results for this study indicate that only 62% wore chemotherapy gloves during administration and 63% during the disposal of the </w:t>
      </w:r>
      <w:r w:rsidR="00570BFF">
        <w:rPr>
          <w:rFonts w:ascii="Times New Roman" w:hAnsi="Times New Roman" w:cs="Times New Roman"/>
          <w:sz w:val="24"/>
          <w:szCs w:val="24"/>
        </w:rPr>
        <w:t>CDs</w:t>
      </w:r>
      <w:r w:rsidR="00981BCB" w:rsidRPr="006D27A8">
        <w:rPr>
          <w:rFonts w:ascii="Times New Roman" w:hAnsi="Times New Roman" w:cs="Times New Roman"/>
          <w:sz w:val="24"/>
          <w:szCs w:val="24"/>
        </w:rPr>
        <w:t xml:space="preserve">. These results suggest that the UK has a </w:t>
      </w:r>
      <w:r w:rsidR="00E87128" w:rsidRPr="006D27A8">
        <w:rPr>
          <w:rFonts w:ascii="Times New Roman" w:hAnsi="Times New Roman" w:cs="Times New Roman"/>
          <w:sz w:val="24"/>
          <w:szCs w:val="24"/>
        </w:rPr>
        <w:t>lower-than-average</w:t>
      </w:r>
      <w:r w:rsidR="00981BCB" w:rsidRPr="006D27A8">
        <w:rPr>
          <w:rFonts w:ascii="Times New Roman" w:hAnsi="Times New Roman" w:cs="Times New Roman"/>
          <w:sz w:val="24"/>
          <w:szCs w:val="24"/>
        </w:rPr>
        <w:t xml:space="preserve"> </w:t>
      </w:r>
      <w:r w:rsidR="0001109C" w:rsidRPr="00C67895">
        <w:rPr>
          <w:rFonts w:ascii="Times New Roman" w:hAnsi="Times New Roman" w:cs="Times New Roman"/>
          <w:sz w:val="24"/>
          <w:szCs w:val="24"/>
        </w:rPr>
        <w:t xml:space="preserve">chemotherapy </w:t>
      </w:r>
      <w:r w:rsidR="00981BCB" w:rsidRPr="00C67895">
        <w:rPr>
          <w:rFonts w:ascii="Times New Roman" w:hAnsi="Times New Roman" w:cs="Times New Roman"/>
          <w:sz w:val="24"/>
          <w:szCs w:val="24"/>
        </w:rPr>
        <w:t>glove</w:t>
      </w:r>
      <w:r w:rsidR="008C06A0">
        <w:rPr>
          <w:rFonts w:ascii="Times New Roman" w:hAnsi="Times New Roman" w:cs="Times New Roman"/>
          <w:sz w:val="24"/>
          <w:szCs w:val="24"/>
        </w:rPr>
        <w:t xml:space="preserve"> use</w:t>
      </w:r>
      <w:r w:rsidR="00981BCB" w:rsidRPr="006D27A8">
        <w:rPr>
          <w:rFonts w:ascii="Times New Roman" w:hAnsi="Times New Roman" w:cs="Times New Roman"/>
          <w:sz w:val="24"/>
          <w:szCs w:val="24"/>
        </w:rPr>
        <w:t xml:space="preserve">, similar to  </w:t>
      </w:r>
      <w:r w:rsidR="00E87128" w:rsidRPr="006D27A8">
        <w:rPr>
          <w:rFonts w:ascii="Times New Roman" w:hAnsi="Times New Roman" w:cs="Times New Roman"/>
          <w:sz w:val="24"/>
          <w:szCs w:val="24"/>
        </w:rPr>
        <w:t xml:space="preserve">Asefa et al. (2021), </w:t>
      </w:r>
      <w:r w:rsidR="00981BCB" w:rsidRPr="006D27A8">
        <w:rPr>
          <w:rFonts w:ascii="Times New Roman" w:hAnsi="Times New Roman" w:cs="Times New Roman"/>
          <w:sz w:val="24"/>
          <w:szCs w:val="24"/>
        </w:rPr>
        <w:t>who stated</w:t>
      </w:r>
      <w:r w:rsidR="00E87128" w:rsidRPr="006D27A8">
        <w:rPr>
          <w:rFonts w:ascii="Times New Roman" w:hAnsi="Times New Roman" w:cs="Times New Roman"/>
          <w:sz w:val="24"/>
          <w:szCs w:val="24"/>
        </w:rPr>
        <w:t xml:space="preserve"> that, in one hospital, 72.7% of nurses wear gloves when handling </w:t>
      </w:r>
      <w:r w:rsidR="00570BFF">
        <w:rPr>
          <w:rFonts w:ascii="Times New Roman" w:hAnsi="Times New Roman" w:cs="Times New Roman"/>
          <w:sz w:val="24"/>
          <w:szCs w:val="24"/>
        </w:rPr>
        <w:t>CDs</w:t>
      </w:r>
      <w:r w:rsidR="00E87128">
        <w:rPr>
          <w:rFonts w:ascii="Times New Roman" w:hAnsi="Times New Roman" w:cs="Times New Roman"/>
          <w:sz w:val="24"/>
          <w:szCs w:val="24"/>
        </w:rPr>
        <w:t xml:space="preserve">. However, other studies highlight a higher use of gloves; </w:t>
      </w:r>
      <w:r w:rsidR="00E87128" w:rsidRPr="005D7508">
        <w:rPr>
          <w:rFonts w:ascii="Times New Roman" w:hAnsi="Times New Roman" w:cs="Times New Roman"/>
          <w:sz w:val="24"/>
          <w:szCs w:val="24"/>
        </w:rPr>
        <w:t xml:space="preserve">Dejoy et al. (2017), </w:t>
      </w:r>
      <w:r w:rsidR="00E87128">
        <w:rPr>
          <w:rFonts w:ascii="Times New Roman" w:hAnsi="Times New Roman" w:cs="Times New Roman"/>
          <w:sz w:val="24"/>
          <w:szCs w:val="24"/>
        </w:rPr>
        <w:t xml:space="preserve">with </w:t>
      </w:r>
      <w:r w:rsidR="00E87128" w:rsidRPr="005D7508">
        <w:rPr>
          <w:rFonts w:ascii="Times New Roman" w:hAnsi="Times New Roman" w:cs="Times New Roman"/>
          <w:sz w:val="24"/>
          <w:szCs w:val="24"/>
        </w:rPr>
        <w:t xml:space="preserve"> 87% of participants using chemotherapy gloves; He et al.</w:t>
      </w:r>
      <w:r w:rsidR="00E87128">
        <w:rPr>
          <w:rFonts w:ascii="Times New Roman" w:hAnsi="Times New Roman" w:cs="Times New Roman"/>
          <w:sz w:val="24"/>
          <w:szCs w:val="24"/>
        </w:rPr>
        <w:t xml:space="preserve"> (2017), </w:t>
      </w:r>
      <w:r w:rsidR="00E87128" w:rsidRPr="005D7508">
        <w:rPr>
          <w:rFonts w:ascii="Times New Roman" w:hAnsi="Times New Roman" w:cs="Times New Roman"/>
          <w:sz w:val="24"/>
          <w:szCs w:val="24"/>
        </w:rPr>
        <w:t>90% of participants used chemotherapy gloves</w:t>
      </w:r>
      <w:r w:rsidR="00E87128">
        <w:rPr>
          <w:rFonts w:ascii="Times New Roman" w:hAnsi="Times New Roman" w:cs="Times New Roman"/>
          <w:sz w:val="24"/>
          <w:szCs w:val="24"/>
        </w:rPr>
        <w:t xml:space="preserve">. For this study, it may be worth stating </w:t>
      </w:r>
      <w:r w:rsidR="00E87128" w:rsidRPr="002B77E1">
        <w:rPr>
          <w:rFonts w:ascii="Times New Roman" w:hAnsi="Times New Roman" w:cs="Times New Roman"/>
          <w:sz w:val="24"/>
          <w:szCs w:val="24"/>
        </w:rPr>
        <w:t>that 'gloves for use with chemotherapy' may</w:t>
      </w:r>
      <w:r w:rsidR="00E87128">
        <w:rPr>
          <w:rFonts w:ascii="Times New Roman" w:hAnsi="Times New Roman" w:cs="Times New Roman"/>
          <w:sz w:val="24"/>
          <w:szCs w:val="24"/>
        </w:rPr>
        <w:t xml:space="preserve"> have yet to be universally understood or that people us</w:t>
      </w:r>
      <w:r w:rsidR="005536A8">
        <w:rPr>
          <w:rFonts w:ascii="Times New Roman" w:hAnsi="Times New Roman" w:cs="Times New Roman"/>
          <w:sz w:val="24"/>
          <w:szCs w:val="24"/>
        </w:rPr>
        <w:t>e</w:t>
      </w:r>
      <w:r w:rsidR="00E87128">
        <w:rPr>
          <w:rFonts w:ascii="Times New Roman" w:hAnsi="Times New Roman" w:cs="Times New Roman"/>
          <w:sz w:val="24"/>
          <w:szCs w:val="24"/>
        </w:rPr>
        <w:t xml:space="preserve"> ordinary gloves for chemotherapy administration. Further investigation is required to determine </w:t>
      </w:r>
      <w:r w:rsidR="00682125">
        <w:rPr>
          <w:rFonts w:ascii="Times New Roman" w:hAnsi="Times New Roman" w:cs="Times New Roman"/>
          <w:sz w:val="24"/>
          <w:szCs w:val="24"/>
        </w:rPr>
        <w:t>the detail of use</w:t>
      </w:r>
      <w:r w:rsidR="00E87128">
        <w:rPr>
          <w:rFonts w:ascii="Times New Roman" w:hAnsi="Times New Roman" w:cs="Times New Roman"/>
          <w:sz w:val="24"/>
          <w:szCs w:val="24"/>
        </w:rPr>
        <w:t xml:space="preserve">. </w:t>
      </w:r>
      <w:r w:rsidR="00D27960" w:rsidRPr="00D27960">
        <w:rPr>
          <w:rFonts w:ascii="Times New Roman" w:hAnsi="Times New Roman" w:cs="Times New Roman"/>
          <w:i/>
          <w:iCs/>
          <w:sz w:val="24"/>
          <w:szCs w:val="24"/>
        </w:rPr>
        <w:t>Gowns for chemotherapy</w:t>
      </w:r>
      <w:r w:rsidR="00D27960">
        <w:rPr>
          <w:rFonts w:ascii="Times New Roman" w:hAnsi="Times New Roman" w:cs="Times New Roman"/>
          <w:sz w:val="24"/>
          <w:szCs w:val="24"/>
        </w:rPr>
        <w:t xml:space="preserve"> are also noted as a standard by the USA Oncology Nursing Society (</w:t>
      </w:r>
      <w:r w:rsidR="00B70670">
        <w:rPr>
          <w:rFonts w:ascii="Times New Roman" w:hAnsi="Times New Roman" w:cs="Times New Roman"/>
          <w:sz w:val="24"/>
          <w:szCs w:val="24"/>
        </w:rPr>
        <w:t>ONS 2024</w:t>
      </w:r>
      <w:r w:rsidR="00D27960">
        <w:rPr>
          <w:rFonts w:ascii="Times New Roman" w:hAnsi="Times New Roman" w:cs="Times New Roman"/>
          <w:sz w:val="24"/>
          <w:szCs w:val="24"/>
        </w:rPr>
        <w:t xml:space="preserve">) whereas the ‘apron’ is the dominant PPE wear in the UK. </w:t>
      </w:r>
    </w:p>
    <w:p w14:paraId="1DC8401C" w14:textId="7236BC2A" w:rsidR="00025791"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sz w:val="24"/>
          <w:szCs w:val="24"/>
        </w:rPr>
        <w:t>Respirators/masks w</w:t>
      </w:r>
      <w:r w:rsidR="00E31D1C" w:rsidRPr="005D7508">
        <w:rPr>
          <w:rFonts w:ascii="Times New Roman" w:hAnsi="Times New Roman" w:cs="Times New Roman"/>
          <w:sz w:val="24"/>
          <w:szCs w:val="24"/>
        </w:rPr>
        <w:t>ere</w:t>
      </w:r>
      <w:r w:rsidRPr="005D7508">
        <w:rPr>
          <w:rFonts w:ascii="Times New Roman" w:hAnsi="Times New Roman" w:cs="Times New Roman"/>
          <w:sz w:val="24"/>
          <w:szCs w:val="24"/>
        </w:rPr>
        <w:t xml:space="preserve"> used by 50% (n=334) during the administration and 47% (n=292) during the disposal, </w:t>
      </w:r>
      <w:r w:rsidR="00A07A9F">
        <w:rPr>
          <w:rFonts w:ascii="Times New Roman" w:hAnsi="Times New Roman" w:cs="Times New Roman"/>
          <w:sz w:val="24"/>
          <w:szCs w:val="24"/>
        </w:rPr>
        <w:t xml:space="preserve">which is different from other global </w:t>
      </w:r>
      <w:r w:rsidRPr="005D7508">
        <w:rPr>
          <w:rFonts w:ascii="Times New Roman" w:hAnsi="Times New Roman" w:cs="Times New Roman"/>
          <w:sz w:val="24"/>
          <w:szCs w:val="24"/>
        </w:rPr>
        <w:t xml:space="preserve">studies, </w:t>
      </w:r>
      <w:r w:rsidR="00A07A9F" w:rsidRPr="005D7508">
        <w:rPr>
          <w:rFonts w:ascii="Times New Roman" w:hAnsi="Times New Roman" w:cs="Times New Roman"/>
          <w:sz w:val="24"/>
          <w:szCs w:val="24"/>
        </w:rPr>
        <w:t>with only 7% wearing masks</w:t>
      </w:r>
      <w:r w:rsidR="00A07A9F">
        <w:rPr>
          <w:rFonts w:ascii="Times New Roman" w:hAnsi="Times New Roman" w:cs="Times New Roman"/>
          <w:sz w:val="24"/>
          <w:szCs w:val="24"/>
        </w:rPr>
        <w:t xml:space="preserve"> </w:t>
      </w:r>
      <w:r w:rsidR="00A00BD8">
        <w:rPr>
          <w:rFonts w:ascii="Times New Roman" w:hAnsi="Times New Roman" w:cs="Times New Roman"/>
          <w:sz w:val="24"/>
          <w:szCs w:val="24"/>
        </w:rPr>
        <w:t>(</w:t>
      </w:r>
      <w:r w:rsidRPr="005D7508">
        <w:rPr>
          <w:rFonts w:ascii="Times New Roman" w:hAnsi="Times New Roman" w:cs="Times New Roman"/>
          <w:sz w:val="24"/>
          <w:szCs w:val="24"/>
        </w:rPr>
        <w:t>Asefa et al.,2021</w:t>
      </w:r>
      <w:r w:rsidR="00F30B09">
        <w:rPr>
          <w:rFonts w:ascii="Times New Roman" w:hAnsi="Times New Roman" w:cs="Times New Roman"/>
          <w:sz w:val="24"/>
          <w:szCs w:val="24"/>
        </w:rPr>
        <w:t>;</w:t>
      </w:r>
      <w:r w:rsidRPr="005D7508">
        <w:rPr>
          <w:rFonts w:ascii="Times New Roman" w:hAnsi="Times New Roman" w:cs="Times New Roman"/>
          <w:sz w:val="24"/>
          <w:szCs w:val="24"/>
        </w:rPr>
        <w:t xml:space="preserve"> Benoist et al.,2022</w:t>
      </w:r>
      <w:r w:rsidR="00A07A9F">
        <w:rPr>
          <w:rFonts w:ascii="Times New Roman" w:hAnsi="Times New Roman" w:cs="Times New Roman"/>
          <w:sz w:val="24"/>
          <w:szCs w:val="24"/>
        </w:rPr>
        <w:t>)</w:t>
      </w:r>
      <w:r w:rsidRPr="005D7508">
        <w:rPr>
          <w:rFonts w:ascii="Times New Roman" w:hAnsi="Times New Roman" w:cs="Times New Roman"/>
          <w:sz w:val="24"/>
          <w:szCs w:val="24"/>
        </w:rPr>
        <w:t xml:space="preserve">. </w:t>
      </w:r>
      <w:r w:rsidR="005536A8">
        <w:rPr>
          <w:rFonts w:ascii="Times New Roman" w:hAnsi="Times New Roman" w:cs="Times New Roman"/>
          <w:sz w:val="24"/>
          <w:szCs w:val="24"/>
        </w:rPr>
        <w:t>The m</w:t>
      </w:r>
      <w:r w:rsidR="00A07A9F">
        <w:rPr>
          <w:rFonts w:ascii="Times New Roman" w:hAnsi="Times New Roman" w:cs="Times New Roman"/>
          <w:sz w:val="24"/>
          <w:szCs w:val="24"/>
        </w:rPr>
        <w:t>ask-wearing</w:t>
      </w:r>
      <w:r w:rsidR="005536A8">
        <w:rPr>
          <w:rFonts w:ascii="Times New Roman" w:hAnsi="Times New Roman" w:cs="Times New Roman"/>
          <w:sz w:val="24"/>
          <w:szCs w:val="24"/>
        </w:rPr>
        <w:t xml:space="preserve"> question in </w:t>
      </w:r>
      <w:r w:rsidR="005536A8" w:rsidRPr="00C870AD">
        <w:rPr>
          <w:rFonts w:ascii="Times New Roman" w:hAnsi="Times New Roman" w:cs="Times New Roman"/>
          <w:i/>
          <w:iCs/>
          <w:sz w:val="24"/>
          <w:szCs w:val="24"/>
        </w:rPr>
        <w:t>knowledge of hazards</w:t>
      </w:r>
      <w:r w:rsidR="005536A8">
        <w:rPr>
          <w:rFonts w:ascii="Times New Roman" w:hAnsi="Times New Roman" w:cs="Times New Roman"/>
          <w:sz w:val="24"/>
          <w:szCs w:val="24"/>
        </w:rPr>
        <w:t xml:space="preserve"> </w:t>
      </w:r>
      <w:r w:rsidR="00A07A9F">
        <w:rPr>
          <w:rFonts w:ascii="Times New Roman" w:hAnsi="Times New Roman" w:cs="Times New Roman"/>
          <w:sz w:val="24"/>
          <w:szCs w:val="24"/>
        </w:rPr>
        <w:t>also</w:t>
      </w:r>
      <w:r w:rsidR="00F30B09">
        <w:rPr>
          <w:rFonts w:ascii="Times New Roman" w:hAnsi="Times New Roman" w:cs="Times New Roman"/>
          <w:sz w:val="24"/>
          <w:szCs w:val="24"/>
        </w:rPr>
        <w:t xml:space="preserve"> showed diversity in the knowledge scores; this may have been confused with the recent use of wearing masks during the pandemic. </w:t>
      </w:r>
      <w:r w:rsidR="00A07A9F">
        <w:rPr>
          <w:rFonts w:ascii="Times New Roman" w:hAnsi="Times New Roman" w:cs="Times New Roman"/>
          <w:sz w:val="24"/>
          <w:szCs w:val="24"/>
        </w:rPr>
        <w:t>It is worth stating that s</w:t>
      </w:r>
      <w:r w:rsidR="006D27A8">
        <w:rPr>
          <w:rFonts w:ascii="Times New Roman" w:hAnsi="Times New Roman" w:cs="Times New Roman"/>
          <w:sz w:val="24"/>
          <w:szCs w:val="24"/>
        </w:rPr>
        <w:t xml:space="preserve">urgical masks </w:t>
      </w:r>
      <w:r w:rsidR="008741D4">
        <w:rPr>
          <w:rFonts w:ascii="Times New Roman" w:hAnsi="Times New Roman" w:cs="Times New Roman"/>
          <w:sz w:val="24"/>
          <w:szCs w:val="24"/>
        </w:rPr>
        <w:t>do not provide respiratory protection from chemotherapy aerosol exposure. Air purifying respirators must be fit tested to ensure minimal exposure ( USP General chapter &gt;800 201</w:t>
      </w:r>
      <w:r w:rsidR="00336456">
        <w:rPr>
          <w:rFonts w:ascii="Times New Roman" w:hAnsi="Times New Roman" w:cs="Times New Roman"/>
          <w:sz w:val="24"/>
          <w:szCs w:val="24"/>
        </w:rPr>
        <w:t>7</w:t>
      </w:r>
      <w:r w:rsidR="008741D4">
        <w:rPr>
          <w:rFonts w:ascii="Times New Roman" w:hAnsi="Times New Roman" w:cs="Times New Roman"/>
          <w:sz w:val="24"/>
          <w:szCs w:val="24"/>
        </w:rPr>
        <w:t xml:space="preserve">). </w:t>
      </w:r>
    </w:p>
    <w:p w14:paraId="6F9A8DA9" w14:textId="731351A1" w:rsidR="00F262A9" w:rsidRPr="00F262A9" w:rsidRDefault="00762F2D" w:rsidP="00F262A9">
      <w:pPr>
        <w:spacing w:line="480" w:lineRule="auto"/>
        <w:jc w:val="both"/>
        <w:rPr>
          <w:rFonts w:ascii="Times New Roman" w:hAnsi="Times New Roman" w:cs="Times New Roman"/>
          <w:sz w:val="24"/>
          <w:szCs w:val="24"/>
        </w:rPr>
      </w:pPr>
      <w:r w:rsidRPr="00762F2D">
        <w:rPr>
          <w:rFonts w:ascii="Times New Roman" w:hAnsi="Times New Roman" w:cs="Times New Roman"/>
          <w:b/>
          <w:bCs/>
          <w:sz w:val="24"/>
          <w:szCs w:val="24"/>
        </w:rPr>
        <w:t xml:space="preserve">Closed </w:t>
      </w:r>
      <w:r w:rsidR="00A00BD8">
        <w:rPr>
          <w:rFonts w:ascii="Times New Roman" w:hAnsi="Times New Roman" w:cs="Times New Roman"/>
          <w:b/>
          <w:bCs/>
          <w:sz w:val="24"/>
          <w:szCs w:val="24"/>
        </w:rPr>
        <w:t>S</w:t>
      </w:r>
      <w:r w:rsidRPr="00762F2D">
        <w:rPr>
          <w:rFonts w:ascii="Times New Roman" w:hAnsi="Times New Roman" w:cs="Times New Roman"/>
          <w:b/>
          <w:bCs/>
          <w:sz w:val="24"/>
          <w:szCs w:val="24"/>
        </w:rPr>
        <w:t xml:space="preserve">ystem Transfer </w:t>
      </w:r>
      <w:r>
        <w:rPr>
          <w:rFonts w:ascii="Times New Roman" w:hAnsi="Times New Roman" w:cs="Times New Roman"/>
          <w:b/>
          <w:bCs/>
          <w:sz w:val="24"/>
          <w:szCs w:val="24"/>
        </w:rPr>
        <w:t>D</w:t>
      </w:r>
      <w:r w:rsidRPr="00762F2D">
        <w:rPr>
          <w:rFonts w:ascii="Times New Roman" w:hAnsi="Times New Roman" w:cs="Times New Roman"/>
          <w:b/>
          <w:bCs/>
          <w:sz w:val="24"/>
          <w:szCs w:val="24"/>
        </w:rPr>
        <w:t>evices</w:t>
      </w:r>
      <w:r>
        <w:rPr>
          <w:rFonts w:ascii="Times New Roman" w:hAnsi="Times New Roman" w:cs="Times New Roman"/>
          <w:sz w:val="24"/>
          <w:szCs w:val="24"/>
        </w:rPr>
        <w:t>:</w:t>
      </w:r>
      <w:r w:rsidR="00460DA5">
        <w:rPr>
          <w:rFonts w:ascii="Times New Roman" w:hAnsi="Times New Roman" w:cs="Times New Roman"/>
          <w:sz w:val="24"/>
          <w:szCs w:val="24"/>
        </w:rPr>
        <w:t xml:space="preserve"> </w:t>
      </w:r>
      <w:r w:rsidR="00F262A9" w:rsidRPr="00F262A9">
        <w:rPr>
          <w:rFonts w:ascii="Times New Roman" w:hAnsi="Times New Roman" w:cs="Times New Roman"/>
          <w:sz w:val="24"/>
          <w:szCs w:val="24"/>
        </w:rPr>
        <w:t>This study highlights variable implementation of CSTDs across the UK, with some cancer nurses consistently using CSTDs while others never do. The reported percentages of consistent use (44%) and any use (70%) align closely with an American study by Menonna-Quinn et al. (2019), which reported 69% frequent use. However, these findings surpass the usage levels reported in Simons and Toland's (2017) UK study, which indicated a 44% usage rate overall.</w:t>
      </w:r>
    </w:p>
    <w:p w14:paraId="173985A2" w14:textId="6D496C7A" w:rsidR="00F262A9" w:rsidRPr="00F262A9" w:rsidRDefault="00F262A9" w:rsidP="00F262A9">
      <w:pPr>
        <w:spacing w:line="480" w:lineRule="auto"/>
        <w:jc w:val="both"/>
        <w:rPr>
          <w:rFonts w:ascii="Times New Roman" w:hAnsi="Times New Roman" w:cs="Times New Roman"/>
          <w:sz w:val="24"/>
          <w:szCs w:val="24"/>
        </w:rPr>
      </w:pPr>
      <w:r w:rsidRPr="00F262A9">
        <w:rPr>
          <w:rFonts w:ascii="Times New Roman" w:hAnsi="Times New Roman" w:cs="Times New Roman"/>
          <w:sz w:val="24"/>
          <w:szCs w:val="24"/>
        </w:rPr>
        <w:t xml:space="preserve">While this study did not identify statistically significant correlations between perceived health issues and the use of CSTDs, the findings provide insight into current practices across the UK. According to the UK Health and Safety Executive (HSE), the directive is to "use totally enclosed systems where reasonably practicable" (HSE, 2020). This raises a critical question: if some </w:t>
      </w:r>
      <w:r>
        <w:rPr>
          <w:rFonts w:ascii="Times New Roman" w:hAnsi="Times New Roman" w:cs="Times New Roman"/>
          <w:sz w:val="24"/>
          <w:szCs w:val="24"/>
        </w:rPr>
        <w:t xml:space="preserve">health care settings and regions of the UK </w:t>
      </w:r>
      <w:r w:rsidRPr="00F262A9">
        <w:rPr>
          <w:rFonts w:ascii="Times New Roman" w:hAnsi="Times New Roman" w:cs="Times New Roman"/>
          <w:sz w:val="24"/>
          <w:szCs w:val="24"/>
        </w:rPr>
        <w:t>have implemented CSTDs, does this not demonstrate their reasonable practicability to</w:t>
      </w:r>
      <w:r>
        <w:rPr>
          <w:rFonts w:ascii="Times New Roman" w:hAnsi="Times New Roman" w:cs="Times New Roman"/>
          <w:sz w:val="24"/>
          <w:szCs w:val="24"/>
        </w:rPr>
        <w:t xml:space="preserve"> implement across the UK to </w:t>
      </w:r>
      <w:r w:rsidRPr="00F262A9">
        <w:rPr>
          <w:rFonts w:ascii="Times New Roman" w:hAnsi="Times New Roman" w:cs="Times New Roman"/>
          <w:sz w:val="24"/>
          <w:szCs w:val="24"/>
        </w:rPr>
        <w:t xml:space="preserve"> reduce occupational exposure risks for cancer nurses?</w:t>
      </w:r>
    </w:p>
    <w:p w14:paraId="14C8476F" w14:textId="789B212F" w:rsidR="00F262A9" w:rsidRPr="00F262A9" w:rsidRDefault="00F262A9" w:rsidP="00F262A9">
      <w:pPr>
        <w:spacing w:line="480" w:lineRule="auto"/>
        <w:jc w:val="both"/>
        <w:rPr>
          <w:rFonts w:ascii="Times New Roman" w:hAnsi="Times New Roman" w:cs="Times New Roman"/>
          <w:sz w:val="24"/>
          <w:szCs w:val="24"/>
        </w:rPr>
      </w:pPr>
      <w:r w:rsidRPr="00F262A9">
        <w:rPr>
          <w:rFonts w:ascii="Times New Roman" w:hAnsi="Times New Roman" w:cs="Times New Roman"/>
          <w:sz w:val="24"/>
          <w:szCs w:val="24"/>
        </w:rPr>
        <w:t>Although elimination and substitution are the gold standards in the Hierarchy of Controls, the next level of protection and risk reduction is the implementation of engineering controls, such CSTDs (Eisenberg &amp; Klein, 2021). These controls are designed to contain or limit the release of cytotoxic drugs (CDs) into the workplace. Engineering controls are vital for creating a barrier between the hazard and the healthcare worker, significantly reducing the likelihood of exposure (Mead et al., 2017; Eisenberg &amp; Klein, 2021).</w:t>
      </w:r>
    </w:p>
    <w:p w14:paraId="62692DE9" w14:textId="495D4283" w:rsidR="00F262A9" w:rsidRPr="00F262A9" w:rsidRDefault="00F262A9" w:rsidP="00F262A9">
      <w:pPr>
        <w:spacing w:line="480" w:lineRule="auto"/>
        <w:jc w:val="both"/>
        <w:rPr>
          <w:rFonts w:ascii="Times New Roman" w:hAnsi="Times New Roman" w:cs="Times New Roman"/>
          <w:sz w:val="24"/>
          <w:szCs w:val="24"/>
        </w:rPr>
      </w:pPr>
      <w:r w:rsidRPr="00F262A9">
        <w:rPr>
          <w:rFonts w:ascii="Times New Roman" w:hAnsi="Times New Roman" w:cs="Times New Roman"/>
          <w:sz w:val="24"/>
          <w:szCs w:val="24"/>
        </w:rPr>
        <w:t xml:space="preserve">In the </w:t>
      </w:r>
      <w:r w:rsidR="00CD6883">
        <w:rPr>
          <w:rFonts w:ascii="Times New Roman" w:hAnsi="Times New Roman" w:cs="Times New Roman"/>
          <w:sz w:val="24"/>
          <w:szCs w:val="24"/>
        </w:rPr>
        <w:t>‘</w:t>
      </w:r>
      <w:r w:rsidRPr="00F262A9">
        <w:rPr>
          <w:rFonts w:ascii="Times New Roman" w:hAnsi="Times New Roman" w:cs="Times New Roman"/>
          <w:sz w:val="24"/>
          <w:szCs w:val="24"/>
        </w:rPr>
        <w:t>Hierarchy of Controls</w:t>
      </w:r>
      <w:r w:rsidR="00CD6883">
        <w:rPr>
          <w:rFonts w:ascii="Times New Roman" w:hAnsi="Times New Roman" w:cs="Times New Roman"/>
          <w:sz w:val="24"/>
          <w:szCs w:val="24"/>
        </w:rPr>
        <w:t>’</w:t>
      </w:r>
      <w:r w:rsidRPr="00F262A9">
        <w:rPr>
          <w:rFonts w:ascii="Times New Roman" w:hAnsi="Times New Roman" w:cs="Times New Roman"/>
          <w:sz w:val="24"/>
          <w:szCs w:val="24"/>
        </w:rPr>
        <w:t>, the use of CSTDs aligns with both engineering controls (creating barriers between workers and hazards) and, when integrated into pharmacy workflows, supports elimination by reducing exposure risks at the source. This is essential for protecting healthcare workers from potential health risks, including carcinogenicity, reproductive toxicity, and organ damage (</w:t>
      </w:r>
      <w:r w:rsidRPr="00F262A9">
        <w:rPr>
          <w:rFonts w:ascii="Times New Roman" w:hAnsi="Times New Roman" w:cs="Times New Roman"/>
          <w:sz w:val="24"/>
          <w:szCs w:val="24"/>
        </w:rPr>
        <w:t>Centres</w:t>
      </w:r>
      <w:r w:rsidRPr="00F262A9">
        <w:rPr>
          <w:rFonts w:ascii="Times New Roman" w:hAnsi="Times New Roman" w:cs="Times New Roman"/>
          <w:sz w:val="24"/>
          <w:szCs w:val="24"/>
        </w:rPr>
        <w:t xml:space="preserve"> for Disease Control and Prevention [CDC], 2022).</w:t>
      </w:r>
    </w:p>
    <w:p w14:paraId="78133382" w14:textId="77777777" w:rsidR="00F262A9" w:rsidRPr="00F262A9" w:rsidRDefault="00F262A9" w:rsidP="00F262A9">
      <w:pPr>
        <w:spacing w:line="480" w:lineRule="auto"/>
        <w:jc w:val="both"/>
        <w:rPr>
          <w:rFonts w:ascii="Times New Roman" w:hAnsi="Times New Roman" w:cs="Times New Roman"/>
          <w:sz w:val="24"/>
          <w:szCs w:val="24"/>
        </w:rPr>
      </w:pPr>
      <w:r w:rsidRPr="00F262A9">
        <w:rPr>
          <w:rFonts w:ascii="Times New Roman" w:hAnsi="Times New Roman" w:cs="Times New Roman"/>
          <w:sz w:val="24"/>
          <w:szCs w:val="24"/>
        </w:rPr>
        <w:t>Despite the variance in CSTD use across practice settings, the most recent guidance from EBN (2024) strongly advocates for CSTDs to be used universally from pharmacy preparation to administration, ensuring a consistent reduction in occupational exposure. This recommendation is further substantiated by Bernabeu-Martinez et al. (2021), who found that nurses using CSTDs still engaged in "spiking" infusion bags and attaching CSTDs to syringes just before administration—an identified exposure risk.</w:t>
      </w:r>
    </w:p>
    <w:p w14:paraId="13AC09B3" w14:textId="77777777" w:rsidR="00F262A9" w:rsidRPr="00F262A9" w:rsidRDefault="00F262A9" w:rsidP="00F262A9">
      <w:pPr>
        <w:spacing w:line="480" w:lineRule="auto"/>
        <w:jc w:val="both"/>
        <w:rPr>
          <w:rFonts w:ascii="Times New Roman" w:hAnsi="Times New Roman" w:cs="Times New Roman"/>
          <w:sz w:val="24"/>
          <w:szCs w:val="24"/>
        </w:rPr>
      </w:pPr>
      <w:r w:rsidRPr="00F262A9">
        <w:rPr>
          <w:rFonts w:ascii="Times New Roman" w:hAnsi="Times New Roman" w:cs="Times New Roman"/>
          <w:sz w:val="24"/>
          <w:szCs w:val="24"/>
        </w:rPr>
        <w:t>To truly integrate CSTDs within the Hierarchy of Controls, organizations must aim for elimination of exposure risks through comprehensive workflow integration, starting at the pharmacy level and continuing through to administration units. This approach minimizes risk at its earliest stage, safeguarding healthcare staff.</w:t>
      </w:r>
    </w:p>
    <w:p w14:paraId="49FCDB16" w14:textId="39E8EC08" w:rsidR="00F262A9" w:rsidRPr="00F262A9" w:rsidRDefault="00F262A9" w:rsidP="00F262A9">
      <w:pPr>
        <w:spacing w:line="480" w:lineRule="auto"/>
        <w:jc w:val="both"/>
        <w:rPr>
          <w:rFonts w:ascii="Times New Roman" w:hAnsi="Times New Roman" w:cs="Times New Roman"/>
          <w:sz w:val="24"/>
          <w:szCs w:val="24"/>
        </w:rPr>
      </w:pPr>
      <w:r w:rsidRPr="00F262A9">
        <w:rPr>
          <w:rFonts w:ascii="Times New Roman" w:hAnsi="Times New Roman" w:cs="Times New Roman"/>
          <w:sz w:val="24"/>
          <w:szCs w:val="24"/>
        </w:rPr>
        <w:t xml:space="preserve">Additional research is necessary to evaluate closed system </w:t>
      </w:r>
      <w:r w:rsidRPr="00F262A9">
        <w:rPr>
          <w:rFonts w:ascii="Times New Roman" w:hAnsi="Times New Roman" w:cs="Times New Roman"/>
          <w:sz w:val="24"/>
          <w:szCs w:val="24"/>
        </w:rPr>
        <w:t>use,</w:t>
      </w:r>
      <w:r w:rsidRPr="00F262A9">
        <w:rPr>
          <w:rFonts w:ascii="Times New Roman" w:hAnsi="Times New Roman" w:cs="Times New Roman"/>
          <w:sz w:val="24"/>
          <w:szCs w:val="24"/>
        </w:rPr>
        <w:t xml:space="preserve"> and the specific risks associated with "spiking" infusion bags in the UK. Furthermore, local risk assessments must be conducted to ensure consistency and alignment with safety standards nationwide. Implementing CSTDs universally is not merely a recommendation but a critical step toward prioritizing health and safety within the chemotherapy workflow system.</w:t>
      </w:r>
    </w:p>
    <w:p w14:paraId="5D4B0180" w14:textId="1BACD462" w:rsidR="00DB17A8" w:rsidRPr="00DB17A8" w:rsidRDefault="00DB17A8" w:rsidP="00DB17A8">
      <w:pPr>
        <w:spacing w:line="480" w:lineRule="auto"/>
        <w:jc w:val="both"/>
        <w:rPr>
          <w:rFonts w:ascii="Times New Roman" w:hAnsi="Times New Roman" w:cs="Times New Roman"/>
          <w:sz w:val="24"/>
          <w:szCs w:val="24"/>
        </w:rPr>
      </w:pPr>
      <w:r w:rsidRPr="00DB17A8">
        <w:rPr>
          <w:rFonts w:ascii="Times New Roman" w:hAnsi="Times New Roman" w:cs="Times New Roman"/>
          <w:b/>
          <w:bCs/>
          <w:sz w:val="24"/>
          <w:szCs w:val="24"/>
        </w:rPr>
        <w:t>Health Issues in CD Handling and Administration</w:t>
      </w:r>
      <w:r w:rsidR="00881EBA">
        <w:rPr>
          <w:rFonts w:ascii="Times New Roman" w:hAnsi="Times New Roman" w:cs="Times New Roman"/>
          <w:b/>
          <w:bCs/>
          <w:sz w:val="24"/>
          <w:szCs w:val="24"/>
        </w:rPr>
        <w:t xml:space="preserve">: </w:t>
      </w:r>
      <w:r w:rsidRPr="00DB17A8">
        <w:rPr>
          <w:rFonts w:ascii="Times New Roman" w:hAnsi="Times New Roman" w:cs="Times New Roman"/>
          <w:sz w:val="24"/>
          <w:szCs w:val="24"/>
        </w:rPr>
        <w:t xml:space="preserve">Perceived health issues reported by participants in this study align closely with findings from multiple global studies (Shahrasbi et al., 2014; Borges et al., 2015; Orujlu et al., 2016; Hanafi et al., 2017; He et al., 2017; Mahdy et al., 2017; Topcu et al., 2017; Tuna &amp; Baykal, 2017; Batista et al., 2021; Soheili et al., 2021) and one UK-specific study (Simons &amp; Toland, 2017). The predominant health issues observed were subcutaneous reactions and hair loss or thinning. Additionally, participants frequently reported concerns related to reproductive health, including pregnancy complications, fertility problems, </w:t>
      </w:r>
      <w:r w:rsidRPr="00DB17A8">
        <w:rPr>
          <w:rFonts w:ascii="Times New Roman" w:hAnsi="Times New Roman" w:cs="Times New Roman"/>
          <w:sz w:val="24"/>
          <w:szCs w:val="24"/>
        </w:rPr>
        <w:t>foetal</w:t>
      </w:r>
      <w:r w:rsidRPr="00DB17A8">
        <w:rPr>
          <w:rFonts w:ascii="Times New Roman" w:hAnsi="Times New Roman" w:cs="Times New Roman"/>
          <w:sz w:val="24"/>
          <w:szCs w:val="24"/>
        </w:rPr>
        <w:t xml:space="preserve"> abnormalities, and hormonal imbalances. These reproductive and hormonal concerns mirror findings from other studies (Borges et al., 2015; Orujlu et al., 2016; Mahdy et al., 2017; Simons &amp; Toland, 2017).</w:t>
      </w:r>
    </w:p>
    <w:p w14:paraId="218570E1" w14:textId="77777777" w:rsidR="00DB17A8" w:rsidRPr="00DB17A8" w:rsidRDefault="00DB17A8" w:rsidP="00DB17A8">
      <w:pPr>
        <w:spacing w:line="480" w:lineRule="auto"/>
        <w:jc w:val="both"/>
        <w:rPr>
          <w:rFonts w:ascii="Times New Roman" w:hAnsi="Times New Roman" w:cs="Times New Roman"/>
          <w:sz w:val="24"/>
          <w:szCs w:val="24"/>
        </w:rPr>
      </w:pPr>
      <w:r w:rsidRPr="00DB17A8">
        <w:rPr>
          <w:rFonts w:ascii="Times New Roman" w:hAnsi="Times New Roman" w:cs="Times New Roman"/>
          <w:sz w:val="24"/>
          <w:szCs w:val="24"/>
        </w:rPr>
        <w:t>Notably, most individuals administering cytotoxic drugs (CDs) are women, who often navigate critical hormonal life stages such as menstruation, reproduction, and menopause. The majority of health issues were reported by participants aged 31 to 50. While women form the primary group affected, this study also highlights that men perceive health risks associated with handling CDs. Overall, 24% of participants reported health concerns related to their work.</w:t>
      </w:r>
    </w:p>
    <w:p w14:paraId="1748385D" w14:textId="77777777" w:rsidR="00DB17A8" w:rsidRPr="00DB17A8" w:rsidRDefault="00DB17A8" w:rsidP="00DB17A8">
      <w:pPr>
        <w:spacing w:line="480" w:lineRule="auto"/>
        <w:jc w:val="both"/>
        <w:rPr>
          <w:rFonts w:ascii="Times New Roman" w:hAnsi="Times New Roman" w:cs="Times New Roman"/>
          <w:sz w:val="24"/>
          <w:szCs w:val="24"/>
        </w:rPr>
      </w:pPr>
      <w:r w:rsidRPr="00DB17A8">
        <w:rPr>
          <w:rFonts w:ascii="Times New Roman" w:hAnsi="Times New Roman" w:cs="Times New Roman"/>
          <w:sz w:val="24"/>
          <w:szCs w:val="24"/>
        </w:rPr>
        <w:t>Understanding the degree and scope of these perceived health issues requires further investigation to explore their complexity. Retrospective and prospective epidemiological studies are necessary to quantify the acute and long-term impacts of CD handling on the UK workforce. Additionally, research into potential workflow contamination, spanning from pharmacy to administration units, is critical.</w:t>
      </w:r>
    </w:p>
    <w:p w14:paraId="48A70C58" w14:textId="77777777" w:rsidR="00DB17A8" w:rsidRPr="00DB17A8" w:rsidRDefault="00DB17A8" w:rsidP="00DB17A8">
      <w:pPr>
        <w:spacing w:line="480" w:lineRule="auto"/>
        <w:jc w:val="both"/>
        <w:rPr>
          <w:rFonts w:ascii="Times New Roman" w:hAnsi="Times New Roman" w:cs="Times New Roman"/>
          <w:sz w:val="24"/>
          <w:szCs w:val="24"/>
        </w:rPr>
      </w:pPr>
      <w:r w:rsidRPr="00DB17A8">
        <w:rPr>
          <w:rFonts w:ascii="Times New Roman" w:hAnsi="Times New Roman" w:cs="Times New Roman"/>
          <w:sz w:val="24"/>
          <w:szCs w:val="24"/>
        </w:rPr>
        <w:t>The United States is proactively addressing similar issues by establishing a cancer nurse registry to collect cohort data (Clark, 2024). In the UK, the introduction of the UKONS digital passport (UKONS, 2024) presents an opportunity to gather anonymized, large-scale data. This initiative could help quantify the number of units and healthcare professionals involved in administering systemic anti-cancer treatments across the country. Such data could enhance understanding of clinical practices, ensure equitable access to personal protective equipment (PPE), and promote the consistent use of closed-system transfer devices (CSTDs) to mitigate exposure risks.</w:t>
      </w:r>
    </w:p>
    <w:p w14:paraId="08B8D4D5" w14:textId="7435E2CA" w:rsidR="000F113C" w:rsidRDefault="000F113C" w:rsidP="005D75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part of a wider programme of research which will include a </w:t>
      </w:r>
      <w:r w:rsidR="0052467F">
        <w:rPr>
          <w:rFonts w:ascii="Times New Roman" w:hAnsi="Times New Roman" w:cs="Times New Roman"/>
          <w:sz w:val="24"/>
          <w:szCs w:val="24"/>
        </w:rPr>
        <w:t>s</w:t>
      </w:r>
      <w:r>
        <w:rPr>
          <w:rFonts w:ascii="Times New Roman" w:hAnsi="Times New Roman" w:cs="Times New Roman"/>
          <w:sz w:val="24"/>
          <w:szCs w:val="24"/>
        </w:rPr>
        <w:t>ystematic review (Campbell et al 2024); a</w:t>
      </w:r>
      <w:r w:rsidR="00891491">
        <w:rPr>
          <w:rFonts w:ascii="Times New Roman" w:hAnsi="Times New Roman" w:cs="Times New Roman"/>
          <w:sz w:val="24"/>
          <w:szCs w:val="24"/>
        </w:rPr>
        <w:t>n</w:t>
      </w:r>
      <w:r>
        <w:rPr>
          <w:rFonts w:ascii="Times New Roman" w:hAnsi="Times New Roman" w:cs="Times New Roman"/>
          <w:sz w:val="24"/>
          <w:szCs w:val="24"/>
        </w:rPr>
        <w:t xml:space="preserve"> article of predicative factors associated with CD safe handling precautions and </w:t>
      </w:r>
      <w:r w:rsidR="00F262A9">
        <w:rPr>
          <w:rFonts w:ascii="Times New Roman" w:hAnsi="Times New Roman" w:cs="Times New Roman"/>
          <w:sz w:val="24"/>
          <w:szCs w:val="24"/>
        </w:rPr>
        <w:t>a</w:t>
      </w:r>
      <w:r w:rsidR="0052467F">
        <w:rPr>
          <w:rFonts w:ascii="Times New Roman" w:hAnsi="Times New Roman" w:cs="Times New Roman"/>
          <w:sz w:val="24"/>
          <w:szCs w:val="24"/>
        </w:rPr>
        <w:t xml:space="preserve"> qualitative article on the </w:t>
      </w:r>
      <w:r>
        <w:rPr>
          <w:rFonts w:ascii="Times New Roman" w:hAnsi="Times New Roman" w:cs="Times New Roman"/>
          <w:sz w:val="24"/>
          <w:szCs w:val="24"/>
        </w:rPr>
        <w:t xml:space="preserve"> </w:t>
      </w:r>
      <w:r w:rsidR="00891491">
        <w:rPr>
          <w:rFonts w:ascii="Times New Roman" w:hAnsi="Times New Roman" w:cs="Times New Roman"/>
          <w:sz w:val="24"/>
          <w:szCs w:val="24"/>
        </w:rPr>
        <w:t>perceptions and experience of potential occupational exposure to CDs</w:t>
      </w:r>
      <w:r>
        <w:rPr>
          <w:rFonts w:ascii="Times New Roman" w:hAnsi="Times New Roman" w:cs="Times New Roman"/>
          <w:sz w:val="24"/>
          <w:szCs w:val="24"/>
        </w:rPr>
        <w:t xml:space="preserve">.  </w:t>
      </w:r>
    </w:p>
    <w:p w14:paraId="19339EF0" w14:textId="4A1AD964" w:rsidR="00EF7589" w:rsidRPr="00460DA5"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b/>
          <w:bCs/>
          <w:sz w:val="24"/>
          <w:szCs w:val="24"/>
        </w:rPr>
        <w:t xml:space="preserve">Conclusion and Recommendations: </w:t>
      </w:r>
    </w:p>
    <w:p w14:paraId="5E549EA8" w14:textId="2D2A6A64" w:rsidR="00D21EF8" w:rsidRPr="00762F2D" w:rsidRDefault="00FF1C12" w:rsidP="005D7508">
      <w:pPr>
        <w:spacing w:line="480" w:lineRule="auto"/>
        <w:jc w:val="both"/>
        <w:rPr>
          <w:rFonts w:ascii="Times New Roman" w:hAnsi="Times New Roman" w:cs="Times New Roman"/>
          <w:sz w:val="24"/>
          <w:szCs w:val="24"/>
        </w:rPr>
      </w:pPr>
      <w:r w:rsidRPr="00762F2D">
        <w:rPr>
          <w:rFonts w:ascii="Times New Roman" w:hAnsi="Times New Roman" w:cs="Times New Roman"/>
          <w:sz w:val="24"/>
          <w:szCs w:val="24"/>
        </w:rPr>
        <w:t>T</w:t>
      </w:r>
      <w:r w:rsidR="00682125" w:rsidRPr="00762F2D">
        <w:rPr>
          <w:rFonts w:ascii="Times New Roman" w:hAnsi="Times New Roman" w:cs="Times New Roman"/>
          <w:sz w:val="24"/>
          <w:szCs w:val="24"/>
        </w:rPr>
        <w:t>his UK study reveals that v</w:t>
      </w:r>
      <w:r w:rsidR="00E87128" w:rsidRPr="00762F2D">
        <w:rPr>
          <w:rFonts w:ascii="Times New Roman" w:hAnsi="Times New Roman" w:cs="Times New Roman"/>
          <w:sz w:val="24"/>
          <w:szCs w:val="24"/>
        </w:rPr>
        <w:t xml:space="preserve">ariation exists </w:t>
      </w:r>
      <w:r w:rsidR="00B24EAA" w:rsidRPr="00762F2D">
        <w:rPr>
          <w:rFonts w:ascii="Times New Roman" w:hAnsi="Times New Roman" w:cs="Times New Roman"/>
          <w:sz w:val="24"/>
          <w:szCs w:val="24"/>
        </w:rPr>
        <w:t xml:space="preserve">providing </w:t>
      </w:r>
      <w:r w:rsidRPr="00762F2D">
        <w:rPr>
          <w:rFonts w:ascii="Times New Roman" w:hAnsi="Times New Roman" w:cs="Times New Roman"/>
          <w:sz w:val="24"/>
          <w:szCs w:val="24"/>
        </w:rPr>
        <w:t xml:space="preserve">somewhat </w:t>
      </w:r>
      <w:r w:rsidR="00682125" w:rsidRPr="00762F2D">
        <w:rPr>
          <w:rFonts w:ascii="Times New Roman" w:hAnsi="Times New Roman" w:cs="Times New Roman"/>
          <w:sz w:val="24"/>
          <w:szCs w:val="24"/>
        </w:rPr>
        <w:t>adequate control and safety in the workplace</w:t>
      </w:r>
      <w:r w:rsidR="00E87128" w:rsidRPr="00762F2D">
        <w:rPr>
          <w:rFonts w:ascii="Times New Roman" w:hAnsi="Times New Roman" w:cs="Times New Roman"/>
          <w:sz w:val="24"/>
          <w:szCs w:val="24"/>
        </w:rPr>
        <w:t>; there</w:t>
      </w:r>
      <w:r w:rsidR="001E65BA" w:rsidRPr="00762F2D">
        <w:rPr>
          <w:rFonts w:ascii="Times New Roman" w:hAnsi="Times New Roman" w:cs="Times New Roman"/>
          <w:sz w:val="24"/>
          <w:szCs w:val="24"/>
        </w:rPr>
        <w:t xml:space="preserve"> is </w:t>
      </w:r>
      <w:r w:rsidR="00E87128" w:rsidRPr="00762F2D">
        <w:rPr>
          <w:rFonts w:ascii="Times New Roman" w:hAnsi="Times New Roman" w:cs="Times New Roman"/>
          <w:sz w:val="24"/>
          <w:szCs w:val="24"/>
        </w:rPr>
        <w:t>a high reported availability of guidance for practice</w:t>
      </w:r>
      <w:r w:rsidR="001E65BA" w:rsidRPr="00762F2D">
        <w:rPr>
          <w:rFonts w:ascii="Times New Roman" w:hAnsi="Times New Roman" w:cs="Times New Roman"/>
          <w:sz w:val="24"/>
          <w:szCs w:val="24"/>
        </w:rPr>
        <w:t xml:space="preserve"> but </w:t>
      </w:r>
      <w:r w:rsidR="00D21EF8" w:rsidRPr="00762F2D">
        <w:rPr>
          <w:rFonts w:ascii="Times New Roman" w:hAnsi="Times New Roman" w:cs="Times New Roman"/>
          <w:sz w:val="24"/>
          <w:szCs w:val="24"/>
        </w:rPr>
        <w:t xml:space="preserve">variation in </w:t>
      </w:r>
      <w:r w:rsidR="001E65BA" w:rsidRPr="00762F2D">
        <w:rPr>
          <w:rFonts w:ascii="Times New Roman" w:hAnsi="Times New Roman" w:cs="Times New Roman"/>
          <w:sz w:val="24"/>
          <w:szCs w:val="24"/>
        </w:rPr>
        <w:t xml:space="preserve"> practice </w:t>
      </w:r>
      <w:r w:rsidR="00B24EAA" w:rsidRPr="00762F2D">
        <w:rPr>
          <w:rFonts w:ascii="Times New Roman" w:hAnsi="Times New Roman" w:cs="Times New Roman"/>
          <w:sz w:val="24"/>
          <w:szCs w:val="24"/>
        </w:rPr>
        <w:t xml:space="preserve">for </w:t>
      </w:r>
      <w:r w:rsidR="001E65BA" w:rsidRPr="00762F2D">
        <w:rPr>
          <w:rFonts w:ascii="Times New Roman" w:hAnsi="Times New Roman" w:cs="Times New Roman"/>
          <w:sz w:val="24"/>
          <w:szCs w:val="24"/>
        </w:rPr>
        <w:t>training</w:t>
      </w:r>
      <w:r w:rsidR="00E87128" w:rsidRPr="00762F2D">
        <w:rPr>
          <w:rFonts w:ascii="Times New Roman" w:hAnsi="Times New Roman" w:cs="Times New Roman"/>
          <w:sz w:val="24"/>
          <w:szCs w:val="24"/>
        </w:rPr>
        <w:t xml:space="preserve">. There is a commonality in using plastic aprons and gloves for </w:t>
      </w:r>
      <w:r w:rsidR="00682125" w:rsidRPr="00762F2D">
        <w:rPr>
          <w:rFonts w:ascii="Times New Roman" w:hAnsi="Times New Roman" w:cs="Times New Roman"/>
          <w:sz w:val="24"/>
          <w:szCs w:val="24"/>
        </w:rPr>
        <w:t xml:space="preserve">the main </w:t>
      </w:r>
      <w:r w:rsidR="00E87128" w:rsidRPr="00762F2D">
        <w:rPr>
          <w:rFonts w:ascii="Times New Roman" w:hAnsi="Times New Roman" w:cs="Times New Roman"/>
          <w:sz w:val="24"/>
          <w:szCs w:val="24"/>
        </w:rPr>
        <w:t xml:space="preserve">PPE across the </w:t>
      </w:r>
      <w:r w:rsidR="00762F2D" w:rsidRPr="00762F2D">
        <w:rPr>
          <w:rFonts w:ascii="Times New Roman" w:hAnsi="Times New Roman" w:cs="Times New Roman"/>
          <w:sz w:val="24"/>
          <w:szCs w:val="24"/>
        </w:rPr>
        <w:t>UK,</w:t>
      </w:r>
      <w:r w:rsidR="00682125" w:rsidRPr="00762F2D">
        <w:rPr>
          <w:rFonts w:ascii="Times New Roman" w:hAnsi="Times New Roman" w:cs="Times New Roman"/>
          <w:sz w:val="24"/>
          <w:szCs w:val="24"/>
        </w:rPr>
        <w:t xml:space="preserve"> </w:t>
      </w:r>
      <w:r w:rsidR="00762F2D">
        <w:rPr>
          <w:rFonts w:ascii="Times New Roman" w:hAnsi="Times New Roman" w:cs="Times New Roman"/>
          <w:sz w:val="24"/>
          <w:szCs w:val="24"/>
        </w:rPr>
        <w:t xml:space="preserve">but inconsistency of use </w:t>
      </w:r>
      <w:r w:rsidR="00E87128" w:rsidRPr="00762F2D">
        <w:rPr>
          <w:rFonts w:ascii="Times New Roman" w:hAnsi="Times New Roman" w:cs="Times New Roman"/>
          <w:sz w:val="24"/>
          <w:szCs w:val="24"/>
        </w:rPr>
        <w:t>C</w:t>
      </w:r>
      <w:r w:rsidR="001E65BA" w:rsidRPr="00762F2D">
        <w:rPr>
          <w:rFonts w:ascii="Times New Roman" w:hAnsi="Times New Roman" w:cs="Times New Roman"/>
          <w:sz w:val="24"/>
          <w:szCs w:val="24"/>
        </w:rPr>
        <w:t>S</w:t>
      </w:r>
      <w:r w:rsidR="00E87128" w:rsidRPr="00762F2D">
        <w:rPr>
          <w:rFonts w:ascii="Times New Roman" w:hAnsi="Times New Roman" w:cs="Times New Roman"/>
          <w:sz w:val="24"/>
          <w:szCs w:val="24"/>
        </w:rPr>
        <w:t xml:space="preserve">TDs. </w:t>
      </w:r>
      <w:r w:rsidR="00D21EF8" w:rsidRPr="00762F2D">
        <w:rPr>
          <w:rFonts w:ascii="Times New Roman" w:hAnsi="Times New Roman" w:cs="Times New Roman"/>
          <w:sz w:val="24"/>
          <w:szCs w:val="24"/>
        </w:rPr>
        <w:t>Th</w:t>
      </w:r>
      <w:r w:rsidR="00891491">
        <w:rPr>
          <w:rFonts w:ascii="Times New Roman" w:hAnsi="Times New Roman" w:cs="Times New Roman"/>
          <w:sz w:val="24"/>
          <w:szCs w:val="24"/>
        </w:rPr>
        <w:t>e PPE use</w:t>
      </w:r>
      <w:r w:rsidR="00D21EF8" w:rsidRPr="00762F2D">
        <w:rPr>
          <w:rFonts w:ascii="Times New Roman" w:hAnsi="Times New Roman" w:cs="Times New Roman"/>
          <w:sz w:val="24"/>
          <w:szCs w:val="24"/>
        </w:rPr>
        <w:t xml:space="preserve"> is not as robust, and under the requirements, against the </w:t>
      </w:r>
      <w:r w:rsidR="00891491">
        <w:rPr>
          <w:rFonts w:ascii="Times New Roman" w:hAnsi="Times New Roman" w:cs="Times New Roman"/>
          <w:sz w:val="24"/>
          <w:szCs w:val="24"/>
        </w:rPr>
        <w:t>global</w:t>
      </w:r>
      <w:r w:rsidR="00D21EF8" w:rsidRPr="00762F2D">
        <w:rPr>
          <w:rFonts w:ascii="Times New Roman" w:hAnsi="Times New Roman" w:cs="Times New Roman"/>
          <w:sz w:val="24"/>
          <w:szCs w:val="24"/>
        </w:rPr>
        <w:t xml:space="preserve"> PPE or the European Biosafety Network CSTD guidance. </w:t>
      </w:r>
    </w:p>
    <w:p w14:paraId="0008AFB9" w14:textId="2A48BED1" w:rsidR="00EF7589" w:rsidRDefault="00682125" w:rsidP="005D7508">
      <w:pPr>
        <w:spacing w:line="480" w:lineRule="auto"/>
        <w:jc w:val="both"/>
        <w:rPr>
          <w:rFonts w:ascii="Times New Roman" w:hAnsi="Times New Roman" w:cs="Times New Roman"/>
          <w:sz w:val="24"/>
          <w:szCs w:val="24"/>
        </w:rPr>
      </w:pPr>
      <w:r w:rsidRPr="00762F2D">
        <w:rPr>
          <w:rFonts w:ascii="Times New Roman" w:hAnsi="Times New Roman" w:cs="Times New Roman"/>
          <w:sz w:val="24"/>
          <w:szCs w:val="24"/>
        </w:rPr>
        <w:t xml:space="preserve">As there is a </w:t>
      </w:r>
      <w:r w:rsidR="00117863" w:rsidRPr="00762F2D">
        <w:rPr>
          <w:rFonts w:ascii="Times New Roman" w:hAnsi="Times New Roman" w:cs="Times New Roman"/>
          <w:sz w:val="24"/>
          <w:szCs w:val="24"/>
        </w:rPr>
        <w:t xml:space="preserve">perception of </w:t>
      </w:r>
      <w:r w:rsidR="00762F2D" w:rsidRPr="00762F2D">
        <w:rPr>
          <w:rFonts w:ascii="Times New Roman" w:hAnsi="Times New Roman" w:cs="Times New Roman"/>
          <w:sz w:val="24"/>
          <w:szCs w:val="24"/>
        </w:rPr>
        <w:t>staffs’</w:t>
      </w:r>
      <w:r w:rsidR="00B24EAA" w:rsidRPr="00762F2D">
        <w:rPr>
          <w:rFonts w:ascii="Times New Roman" w:hAnsi="Times New Roman" w:cs="Times New Roman"/>
          <w:sz w:val="24"/>
          <w:szCs w:val="24"/>
        </w:rPr>
        <w:t xml:space="preserve"> </w:t>
      </w:r>
      <w:r w:rsidRPr="00762F2D">
        <w:rPr>
          <w:rFonts w:ascii="Times New Roman" w:hAnsi="Times New Roman" w:cs="Times New Roman"/>
          <w:sz w:val="24"/>
          <w:szCs w:val="24"/>
        </w:rPr>
        <w:t xml:space="preserve">health being compromised, </w:t>
      </w:r>
      <w:r w:rsidR="00D21EF8" w:rsidRPr="00762F2D">
        <w:rPr>
          <w:rFonts w:ascii="Times New Roman" w:hAnsi="Times New Roman" w:cs="Times New Roman"/>
          <w:sz w:val="24"/>
          <w:szCs w:val="24"/>
        </w:rPr>
        <w:t xml:space="preserve">and in line with a number of global studies, </w:t>
      </w:r>
      <w:r w:rsidRPr="00762F2D">
        <w:rPr>
          <w:rFonts w:ascii="Times New Roman" w:hAnsi="Times New Roman" w:cs="Times New Roman"/>
          <w:sz w:val="24"/>
          <w:szCs w:val="24"/>
        </w:rPr>
        <w:t xml:space="preserve">with the </w:t>
      </w:r>
      <w:r w:rsidR="00D21EF8" w:rsidRPr="00762F2D">
        <w:rPr>
          <w:rFonts w:ascii="Times New Roman" w:hAnsi="Times New Roman" w:cs="Times New Roman"/>
          <w:sz w:val="24"/>
          <w:szCs w:val="24"/>
        </w:rPr>
        <w:t>reporting</w:t>
      </w:r>
      <w:r w:rsidRPr="00762F2D">
        <w:rPr>
          <w:rFonts w:ascii="Times New Roman" w:hAnsi="Times New Roman" w:cs="Times New Roman"/>
          <w:sz w:val="24"/>
          <w:szCs w:val="24"/>
        </w:rPr>
        <w:t xml:space="preserve"> </w:t>
      </w:r>
      <w:r w:rsidR="00B24EAA" w:rsidRPr="00762F2D">
        <w:rPr>
          <w:rFonts w:ascii="Times New Roman" w:hAnsi="Times New Roman" w:cs="Times New Roman"/>
          <w:sz w:val="24"/>
          <w:szCs w:val="24"/>
        </w:rPr>
        <w:t xml:space="preserve">perceived </w:t>
      </w:r>
      <w:r w:rsidR="006A65F2">
        <w:rPr>
          <w:rFonts w:ascii="Times New Roman" w:hAnsi="Times New Roman" w:cs="Times New Roman"/>
          <w:sz w:val="24"/>
          <w:szCs w:val="24"/>
        </w:rPr>
        <w:t>health Issues</w:t>
      </w:r>
      <w:r w:rsidRPr="00762F2D">
        <w:rPr>
          <w:rFonts w:ascii="Times New Roman" w:hAnsi="Times New Roman" w:cs="Times New Roman"/>
          <w:sz w:val="24"/>
          <w:szCs w:val="24"/>
        </w:rPr>
        <w:t>-</w:t>
      </w:r>
      <w:r w:rsidR="00117863" w:rsidRPr="00762F2D">
        <w:rPr>
          <w:rFonts w:ascii="Times New Roman" w:hAnsi="Times New Roman" w:cs="Times New Roman"/>
          <w:sz w:val="24"/>
          <w:szCs w:val="24"/>
        </w:rPr>
        <w:t>effects</w:t>
      </w:r>
      <w:r w:rsidR="00D21EF8" w:rsidRPr="00762F2D">
        <w:rPr>
          <w:rFonts w:ascii="Times New Roman" w:hAnsi="Times New Roman" w:cs="Times New Roman"/>
          <w:sz w:val="24"/>
          <w:szCs w:val="24"/>
        </w:rPr>
        <w:t>,</w:t>
      </w:r>
      <w:r w:rsidRPr="00762F2D">
        <w:rPr>
          <w:rFonts w:ascii="Times New Roman" w:hAnsi="Times New Roman" w:cs="Times New Roman"/>
          <w:sz w:val="24"/>
          <w:szCs w:val="24"/>
        </w:rPr>
        <w:t xml:space="preserve"> there needs to be a focus on observing practice, risk assessment and environmental monitoring. </w:t>
      </w:r>
      <w:r w:rsidR="00D21EF8" w:rsidRPr="00762F2D">
        <w:rPr>
          <w:rFonts w:ascii="Times New Roman" w:hAnsi="Times New Roman" w:cs="Times New Roman"/>
          <w:sz w:val="24"/>
          <w:szCs w:val="24"/>
        </w:rPr>
        <w:t>Practice across the UK should be equitable for PPE and CSTDs</w:t>
      </w:r>
      <w:r w:rsidRPr="00762F2D">
        <w:rPr>
          <w:rFonts w:ascii="Times New Roman" w:hAnsi="Times New Roman" w:cs="Times New Roman"/>
          <w:sz w:val="24"/>
          <w:szCs w:val="24"/>
        </w:rPr>
        <w:t>. Standardised educ</w:t>
      </w:r>
      <w:r w:rsidR="00FF1C12" w:rsidRPr="00762F2D">
        <w:rPr>
          <w:rFonts w:ascii="Times New Roman" w:hAnsi="Times New Roman" w:cs="Times New Roman"/>
          <w:sz w:val="24"/>
          <w:szCs w:val="24"/>
        </w:rPr>
        <w:t>a</w:t>
      </w:r>
      <w:r w:rsidRPr="00762F2D">
        <w:rPr>
          <w:rFonts w:ascii="Times New Roman" w:hAnsi="Times New Roman" w:cs="Times New Roman"/>
          <w:sz w:val="24"/>
          <w:szCs w:val="24"/>
        </w:rPr>
        <w:t xml:space="preserve">tion pathways need to be explored </w:t>
      </w:r>
      <w:r w:rsidR="00117863" w:rsidRPr="00762F2D">
        <w:rPr>
          <w:rFonts w:ascii="Times New Roman" w:hAnsi="Times New Roman" w:cs="Times New Roman"/>
          <w:sz w:val="24"/>
          <w:szCs w:val="24"/>
        </w:rPr>
        <w:t>to provide a consistent knowledge base for safe staff and patient care.</w:t>
      </w:r>
      <w:r w:rsidR="00117863">
        <w:rPr>
          <w:rFonts w:ascii="Times New Roman" w:hAnsi="Times New Roman" w:cs="Times New Roman"/>
          <w:sz w:val="24"/>
          <w:szCs w:val="24"/>
        </w:rPr>
        <w:t xml:space="preserve"> </w:t>
      </w:r>
    </w:p>
    <w:p w14:paraId="149B78A0" w14:textId="77777777" w:rsidR="00D216D6" w:rsidRDefault="00992D76" w:rsidP="005D7508">
      <w:pPr>
        <w:spacing w:line="480" w:lineRule="auto"/>
        <w:jc w:val="both"/>
        <w:rPr>
          <w:rFonts w:ascii="Times New Roman" w:hAnsi="Times New Roman" w:cs="Times New Roman"/>
          <w:b/>
          <w:bCs/>
          <w:sz w:val="24"/>
          <w:szCs w:val="24"/>
        </w:rPr>
      </w:pPr>
      <w:r w:rsidRPr="00992D76">
        <w:rPr>
          <w:rFonts w:ascii="Times New Roman" w:hAnsi="Times New Roman" w:cs="Times New Roman"/>
          <w:b/>
          <w:bCs/>
          <w:sz w:val="24"/>
          <w:szCs w:val="24"/>
        </w:rPr>
        <w:t>Limitations</w:t>
      </w:r>
      <w:r>
        <w:rPr>
          <w:rFonts w:ascii="Times New Roman" w:hAnsi="Times New Roman" w:cs="Times New Roman"/>
          <w:b/>
          <w:bCs/>
          <w:sz w:val="24"/>
          <w:szCs w:val="24"/>
        </w:rPr>
        <w:t xml:space="preserve">: </w:t>
      </w:r>
    </w:p>
    <w:p w14:paraId="433A6193" w14:textId="6463E14B" w:rsidR="00D216D6" w:rsidRPr="00D216D6" w:rsidRDefault="00D216D6" w:rsidP="005D7508">
      <w:pPr>
        <w:spacing w:line="480" w:lineRule="auto"/>
        <w:jc w:val="both"/>
        <w:rPr>
          <w:rFonts w:ascii="Times New Roman" w:hAnsi="Times New Roman" w:cs="Times New Roman"/>
          <w:b/>
          <w:bCs/>
          <w:sz w:val="24"/>
          <w:szCs w:val="24"/>
        </w:rPr>
      </w:pPr>
      <w:r w:rsidRPr="00762F2D">
        <w:rPr>
          <w:rFonts w:ascii="Times New Roman" w:hAnsi="Times New Roman" w:cs="Times New Roman"/>
          <w:sz w:val="24"/>
          <w:szCs w:val="24"/>
        </w:rPr>
        <w:t xml:space="preserve">This study has a several limitations; the first limitation is that this is a small sample population in comparison to all the cancer nurses administering and disposing CDs across the UK. It does give us a picture of the </w:t>
      </w:r>
      <w:r w:rsidR="00A00BD8">
        <w:rPr>
          <w:rFonts w:ascii="Times New Roman" w:hAnsi="Times New Roman" w:cs="Times New Roman"/>
          <w:sz w:val="24"/>
          <w:szCs w:val="24"/>
        </w:rPr>
        <w:t xml:space="preserve">practice </w:t>
      </w:r>
      <w:r w:rsidRPr="00762F2D">
        <w:rPr>
          <w:rFonts w:ascii="Times New Roman" w:hAnsi="Times New Roman" w:cs="Times New Roman"/>
          <w:sz w:val="24"/>
          <w:szCs w:val="24"/>
        </w:rPr>
        <w:t>that exist across the UK, and this is a platform for further research. The survey is a self-reported perception of  knowledge of hazards, PPE and closed system use</w:t>
      </w:r>
      <w:r w:rsidR="00A00BD8">
        <w:rPr>
          <w:rFonts w:ascii="Times New Roman" w:hAnsi="Times New Roman" w:cs="Times New Roman"/>
          <w:sz w:val="24"/>
          <w:szCs w:val="24"/>
        </w:rPr>
        <w:t xml:space="preserve"> and </w:t>
      </w:r>
      <w:r w:rsidR="006A65F2">
        <w:rPr>
          <w:rFonts w:ascii="Times New Roman" w:hAnsi="Times New Roman" w:cs="Times New Roman"/>
          <w:sz w:val="24"/>
          <w:szCs w:val="24"/>
        </w:rPr>
        <w:t>health Issues</w:t>
      </w:r>
      <w:r w:rsidR="00A00BD8">
        <w:rPr>
          <w:rFonts w:ascii="Times New Roman" w:hAnsi="Times New Roman" w:cs="Times New Roman"/>
          <w:sz w:val="24"/>
          <w:szCs w:val="24"/>
        </w:rPr>
        <w:t>-effects</w:t>
      </w:r>
      <w:r w:rsidRPr="00762F2D">
        <w:rPr>
          <w:rFonts w:ascii="Times New Roman" w:hAnsi="Times New Roman" w:cs="Times New Roman"/>
          <w:sz w:val="24"/>
          <w:szCs w:val="24"/>
        </w:rPr>
        <w:t xml:space="preserve">. To understand the complexity of administering and disposal of CDs future research </w:t>
      </w:r>
      <w:r w:rsidR="00B24EAA" w:rsidRPr="00762F2D">
        <w:rPr>
          <w:rFonts w:ascii="Times New Roman" w:hAnsi="Times New Roman" w:cs="Times New Roman"/>
          <w:sz w:val="24"/>
          <w:szCs w:val="24"/>
        </w:rPr>
        <w:t xml:space="preserve">must </w:t>
      </w:r>
      <w:r w:rsidRPr="00762F2D">
        <w:rPr>
          <w:rFonts w:ascii="Times New Roman" w:hAnsi="Times New Roman" w:cs="Times New Roman"/>
          <w:sz w:val="24"/>
          <w:szCs w:val="24"/>
        </w:rPr>
        <w:t>include exploration through observation of PPE use and risk assessment behaviours. Although the survey asked an open-ended question about perceived health issue this again was a self-reported activity</w:t>
      </w:r>
      <w:r w:rsidR="00A00BD8">
        <w:rPr>
          <w:rFonts w:ascii="Times New Roman" w:hAnsi="Times New Roman" w:cs="Times New Roman"/>
          <w:sz w:val="24"/>
          <w:szCs w:val="24"/>
        </w:rPr>
        <w:t xml:space="preserve"> and does not result in providing proof, as </w:t>
      </w:r>
      <w:r w:rsidR="006A65F2">
        <w:rPr>
          <w:rFonts w:ascii="Times New Roman" w:hAnsi="Times New Roman" w:cs="Times New Roman"/>
          <w:sz w:val="24"/>
          <w:szCs w:val="24"/>
        </w:rPr>
        <w:t>health Issues</w:t>
      </w:r>
      <w:r w:rsidR="00A00BD8">
        <w:rPr>
          <w:rFonts w:ascii="Times New Roman" w:hAnsi="Times New Roman" w:cs="Times New Roman"/>
          <w:sz w:val="24"/>
          <w:szCs w:val="24"/>
        </w:rPr>
        <w:t xml:space="preserve">-effects can be associated with other environmental or workplace stressor. </w:t>
      </w:r>
    </w:p>
    <w:p w14:paraId="780B4374" w14:textId="4D29754F" w:rsidR="00EF7589" w:rsidRPr="005D7508" w:rsidRDefault="00E87128" w:rsidP="005D7508">
      <w:pPr>
        <w:spacing w:line="480" w:lineRule="auto"/>
        <w:jc w:val="both"/>
        <w:rPr>
          <w:rFonts w:ascii="Times New Roman" w:hAnsi="Times New Roman" w:cs="Times New Roman"/>
          <w:sz w:val="24"/>
          <w:szCs w:val="24"/>
        </w:rPr>
      </w:pPr>
      <w:r w:rsidRPr="005D7508">
        <w:rPr>
          <w:rFonts w:ascii="Times New Roman" w:hAnsi="Times New Roman" w:cs="Times New Roman"/>
          <w:b/>
          <w:bCs/>
          <w:sz w:val="24"/>
          <w:szCs w:val="24"/>
        </w:rPr>
        <w:t>Acknowledgement:</w:t>
      </w:r>
      <w:r w:rsidR="00460DA5">
        <w:rPr>
          <w:rFonts w:ascii="Times New Roman" w:hAnsi="Times New Roman" w:cs="Times New Roman"/>
          <w:b/>
          <w:bCs/>
          <w:sz w:val="24"/>
          <w:szCs w:val="24"/>
        </w:rPr>
        <w:t xml:space="preserve"> </w:t>
      </w:r>
      <w:r w:rsidRPr="005D7508">
        <w:rPr>
          <w:rFonts w:ascii="Times New Roman" w:hAnsi="Times New Roman" w:cs="Times New Roman"/>
          <w:sz w:val="24"/>
          <w:szCs w:val="24"/>
        </w:rPr>
        <w:t xml:space="preserve">This study was </w:t>
      </w:r>
      <w:r w:rsidR="002B11BA">
        <w:rPr>
          <w:rFonts w:ascii="Times New Roman" w:hAnsi="Times New Roman" w:cs="Times New Roman"/>
          <w:sz w:val="24"/>
          <w:szCs w:val="24"/>
        </w:rPr>
        <w:t xml:space="preserve">funded </w:t>
      </w:r>
      <w:r w:rsidRPr="005D7508">
        <w:rPr>
          <w:rFonts w:ascii="Times New Roman" w:hAnsi="Times New Roman" w:cs="Times New Roman"/>
          <w:sz w:val="24"/>
          <w:szCs w:val="24"/>
        </w:rPr>
        <w:t xml:space="preserve">by a United Kingdom Cancer Nurses Society (UKONS) grant. </w:t>
      </w:r>
      <w:r w:rsidR="006B22AA">
        <w:rPr>
          <w:rFonts w:ascii="Times New Roman" w:hAnsi="Times New Roman" w:cs="Times New Roman"/>
          <w:sz w:val="24"/>
          <w:szCs w:val="24"/>
        </w:rPr>
        <w:t xml:space="preserve">Thank you to  Dr Martha Polovich for the use of the survey. </w:t>
      </w:r>
    </w:p>
    <w:p w14:paraId="5E98C027" w14:textId="6C916646" w:rsidR="00133644" w:rsidRPr="005D7508" w:rsidRDefault="00E87128" w:rsidP="00460DA5">
      <w:pPr>
        <w:spacing w:line="480" w:lineRule="auto"/>
        <w:jc w:val="both"/>
        <w:rPr>
          <w:rFonts w:ascii="Times New Roman" w:hAnsi="Times New Roman" w:cs="Times New Roman"/>
          <w:b/>
          <w:bCs/>
          <w:sz w:val="24"/>
          <w:szCs w:val="24"/>
        </w:rPr>
      </w:pPr>
      <w:r w:rsidRPr="005D7508">
        <w:rPr>
          <w:rFonts w:ascii="Times New Roman" w:hAnsi="Times New Roman" w:cs="Times New Roman"/>
          <w:b/>
          <w:bCs/>
          <w:sz w:val="24"/>
          <w:szCs w:val="24"/>
        </w:rPr>
        <w:t>References:</w:t>
      </w:r>
    </w:p>
    <w:p w14:paraId="2510845E" w14:textId="77777777" w:rsidR="00D5716D" w:rsidRDefault="00E87128" w:rsidP="000D1179">
      <w:pPr>
        <w:spacing w:line="360" w:lineRule="auto"/>
        <w:rPr>
          <w:rFonts w:ascii="Times New Roman" w:eastAsia="Calibri" w:hAnsi="Times New Roman" w:cs="Times New Roman"/>
          <w:sz w:val="24"/>
          <w:szCs w:val="24"/>
        </w:rPr>
      </w:pPr>
      <w:r w:rsidRPr="00CB39B9">
        <w:rPr>
          <w:rFonts w:ascii="Times New Roman" w:hAnsi="Times New Roman" w:cs="Times New Roman"/>
        </w:rPr>
        <w:t>Abu Sharour L, Subih M, Bani Salameh A,</w:t>
      </w:r>
      <w:r w:rsidR="00336456">
        <w:rPr>
          <w:rFonts w:ascii="Times New Roman" w:hAnsi="Times New Roman" w:cs="Times New Roman"/>
        </w:rPr>
        <w:t xml:space="preserve"> </w:t>
      </w:r>
      <w:r w:rsidR="00336456">
        <w:rPr>
          <w:rFonts w:ascii="Times New Roman" w:eastAsia="Calibri" w:hAnsi="Times New Roman" w:cs="Times New Roman"/>
          <w:sz w:val="24"/>
          <w:szCs w:val="24"/>
        </w:rPr>
        <w:t xml:space="preserve">et al </w:t>
      </w:r>
      <w:r w:rsidRPr="00CB39B9">
        <w:rPr>
          <w:rFonts w:ascii="Times New Roman" w:hAnsi="Times New Roman" w:cs="Times New Roman"/>
        </w:rPr>
        <w:t>(2021). Predictors of chemotherapy safe-handling precautions and knowledge among a sample of Jordanian oncology nurses: a model-building approach. Workplace Health &amp; Safety, 69(3), 115-123.</w:t>
      </w:r>
      <w:r>
        <w:rPr>
          <w:rFonts w:ascii="Times New Roman" w:hAnsi="Times New Roman" w:cs="Times New Roman"/>
        </w:rPr>
        <w:t xml:space="preserve"> </w:t>
      </w:r>
    </w:p>
    <w:p w14:paraId="05B2C8B8" w14:textId="77777777" w:rsidR="00B37FA9" w:rsidRPr="005D7508" w:rsidRDefault="00E87128" w:rsidP="000D1179">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rPr>
        <w:t xml:space="preserve">Asefa S, Aga F, Dinegde NG, </w:t>
      </w:r>
      <w:r w:rsidR="00336456">
        <w:rPr>
          <w:rFonts w:ascii="Times New Roman" w:eastAsia="Calibri" w:hAnsi="Times New Roman" w:cs="Times New Roman"/>
          <w:sz w:val="24"/>
          <w:szCs w:val="24"/>
        </w:rPr>
        <w:t xml:space="preserve">et al </w:t>
      </w:r>
      <w:r w:rsidRPr="005D7508">
        <w:rPr>
          <w:rFonts w:ascii="Times New Roman" w:eastAsia="Calibri" w:hAnsi="Times New Roman" w:cs="Times New Roman"/>
          <w:sz w:val="24"/>
          <w:szCs w:val="24"/>
        </w:rPr>
        <w:t>(2021). Knowledge and practices on the safe handling of cytotoxic drugs among oncology nurses working at tertiary teaching hospitals in Addis Ababa, Ethiopia. Drug, healthcare, and patient safety, (13) 71-80.</w:t>
      </w:r>
    </w:p>
    <w:p w14:paraId="36CAE1A8" w14:textId="77777777" w:rsidR="005D7290" w:rsidRPr="005D7508" w:rsidRDefault="00E87128" w:rsidP="000D1179">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rPr>
        <w:t xml:space="preserve">Batista, KC, Sousa, KHJF, Ruas, CADS, </w:t>
      </w:r>
      <w:r w:rsidR="00336456">
        <w:rPr>
          <w:rFonts w:ascii="Times New Roman" w:eastAsia="Calibri" w:hAnsi="Times New Roman" w:cs="Times New Roman"/>
          <w:sz w:val="24"/>
          <w:szCs w:val="24"/>
        </w:rPr>
        <w:t xml:space="preserve">et al </w:t>
      </w:r>
      <w:r w:rsidRPr="005D7508">
        <w:rPr>
          <w:rFonts w:ascii="Times New Roman" w:eastAsia="Calibri" w:hAnsi="Times New Roman" w:cs="Times New Roman"/>
          <w:sz w:val="24"/>
          <w:szCs w:val="24"/>
        </w:rPr>
        <w:t>(2022). Knowledge about antineoplastic drugs: implications for the health of nursing workers in a general hospital. Revista Brasileira de Enfermagem, 75(3): e 20210025.</w:t>
      </w:r>
    </w:p>
    <w:p w14:paraId="203FC752" w14:textId="77777777" w:rsidR="00272759" w:rsidRDefault="00E87128" w:rsidP="000D1179">
      <w:pPr>
        <w:spacing w:line="360" w:lineRule="auto"/>
        <w:rPr>
          <w:rFonts w:ascii="Times New Roman" w:eastAsia="Calibri" w:hAnsi="Times New Roman" w:cs="Times New Roman"/>
          <w:color w:val="0563C1" w:themeColor="hyperlink"/>
          <w:sz w:val="24"/>
          <w:szCs w:val="24"/>
          <w:u w:val="single"/>
          <w:shd w:val="clear" w:color="auto" w:fill="FFFFFF"/>
        </w:rPr>
      </w:pPr>
      <w:r w:rsidRPr="005D7508">
        <w:rPr>
          <w:rFonts w:ascii="Times New Roman" w:eastAsia="Calibri" w:hAnsi="Times New Roman" w:cs="Times New Roman"/>
          <w:sz w:val="24"/>
          <w:szCs w:val="24"/>
        </w:rPr>
        <w:t>Benoist H, Busson A, Faveyrial A, et al (2022) Perception, knowledge, and handling practice regarding the risk of exposure to antineoplastic drugs in oncology day hospitalisation units and compounding unit staff. Journal of Oncology Pharmacy Practice. 0(0) p 1-11</w:t>
      </w:r>
      <w:r w:rsidRPr="005D7508">
        <w:rPr>
          <w:rFonts w:ascii="Times New Roman" w:eastAsia="Calibri" w:hAnsi="Times New Roman" w:cs="Times New Roman"/>
          <w:color w:val="494949"/>
          <w:sz w:val="24"/>
          <w:szCs w:val="24"/>
          <w:shd w:val="clear" w:color="auto" w:fill="FFFFFF"/>
        </w:rPr>
        <w:t xml:space="preserve">  </w:t>
      </w:r>
      <w:hyperlink r:id="rId11" w:history="1">
        <w:r w:rsidRPr="005D7508">
          <w:rPr>
            <w:rFonts w:ascii="Times New Roman" w:eastAsia="Calibri" w:hAnsi="Times New Roman" w:cs="Times New Roman"/>
            <w:color w:val="0563C1" w:themeColor="hyperlink"/>
            <w:sz w:val="24"/>
            <w:szCs w:val="24"/>
            <w:u w:val="single"/>
            <w:shd w:val="clear" w:color="auto" w:fill="FFFFFF"/>
          </w:rPr>
          <w:t>https://doi.org/10.1177/10781552221103803</w:t>
        </w:r>
      </w:hyperlink>
    </w:p>
    <w:p w14:paraId="49CE4DBC" w14:textId="77777777" w:rsidR="00336900" w:rsidRPr="005D7508" w:rsidRDefault="00E87128" w:rsidP="000D1179">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shd w:val="clear" w:color="auto" w:fill="FFFFFF"/>
        </w:rPr>
        <w:t>Borges G G, Silvino ZR, dos Santos LCG</w:t>
      </w:r>
      <w:r w:rsidR="00393018">
        <w:rPr>
          <w:rFonts w:ascii="Times New Roman" w:eastAsia="Calibri" w:hAnsi="Times New Roman" w:cs="Times New Roman"/>
          <w:sz w:val="24"/>
          <w:szCs w:val="24"/>
          <w:shd w:val="clear" w:color="auto" w:fill="FFFFFF"/>
        </w:rPr>
        <w:t xml:space="preserve"> </w:t>
      </w:r>
      <w:r w:rsidRPr="005D7508">
        <w:rPr>
          <w:rFonts w:ascii="Times New Roman" w:eastAsia="Calibri" w:hAnsi="Times New Roman" w:cs="Times New Roman"/>
          <w:sz w:val="24"/>
          <w:szCs w:val="24"/>
          <w:shd w:val="clear" w:color="auto" w:fill="FFFFFF"/>
        </w:rPr>
        <w:t>(2015). Proposal for best practice guidelines on chemical exposure risk for nurses of a chemotherapy unit. Revista De Pesquisa Cuidado é Fundamental Online, 7(4), 3506–3515. https://doi.org/10.9789/2175-5361.2015.v7i4.3506-3515</w:t>
      </w:r>
    </w:p>
    <w:p w14:paraId="0A8900F0" w14:textId="77777777" w:rsidR="00336900" w:rsidRDefault="00E87128" w:rsidP="000D1179">
      <w:pPr>
        <w:spacing w:line="360" w:lineRule="auto"/>
        <w:rPr>
          <w:rFonts w:ascii="Times New Roman" w:eastAsia="Calibri" w:hAnsi="Times New Roman" w:cs="Times New Roman"/>
          <w:color w:val="0563C1" w:themeColor="hyperlink"/>
          <w:sz w:val="24"/>
          <w:szCs w:val="24"/>
          <w:u w:val="single"/>
          <w:shd w:val="clear" w:color="auto" w:fill="FFFFFF"/>
        </w:rPr>
      </w:pPr>
      <w:r w:rsidRPr="005D7508">
        <w:rPr>
          <w:rFonts w:ascii="Times New Roman" w:eastAsia="Calibri" w:hAnsi="Times New Roman" w:cs="Times New Roman"/>
          <w:sz w:val="24"/>
          <w:szCs w:val="24"/>
        </w:rPr>
        <w:t>Callahan A, Ames,N, Manning</w:t>
      </w:r>
      <w:r w:rsidR="00393018">
        <w:rPr>
          <w:rFonts w:ascii="Times New Roman" w:eastAsia="Calibri" w:hAnsi="Times New Roman" w:cs="Times New Roman"/>
          <w:sz w:val="24"/>
          <w:szCs w:val="24"/>
        </w:rPr>
        <w:t xml:space="preserve"> </w:t>
      </w:r>
      <w:r w:rsidRPr="005D7508">
        <w:rPr>
          <w:rFonts w:ascii="Times New Roman" w:eastAsia="Calibri" w:hAnsi="Times New Roman" w:cs="Times New Roman"/>
          <w:sz w:val="24"/>
          <w:szCs w:val="24"/>
        </w:rPr>
        <w:t xml:space="preserve">ML, </w:t>
      </w:r>
      <w:r w:rsidR="00393018" w:rsidRPr="005D7508">
        <w:rPr>
          <w:rFonts w:ascii="Times New Roman" w:eastAsia="Calibri" w:hAnsi="Times New Roman" w:cs="Times New Roman"/>
          <w:sz w:val="24"/>
          <w:szCs w:val="24"/>
        </w:rPr>
        <w:t xml:space="preserve">et al </w:t>
      </w:r>
      <w:r w:rsidRPr="005D7508">
        <w:rPr>
          <w:rFonts w:ascii="Times New Roman" w:eastAsia="Calibri" w:hAnsi="Times New Roman" w:cs="Times New Roman"/>
          <w:sz w:val="24"/>
          <w:szCs w:val="24"/>
        </w:rPr>
        <w:t>(2016). Factors Influencing Nurses' Use of Hazardous Drug Safe-Handling Precautions. Oncology nursing forum, 43 3, 342-9</w:t>
      </w:r>
      <w:r w:rsidRPr="005D7508">
        <w:rPr>
          <w:rFonts w:ascii="Times New Roman" w:eastAsia="Calibri" w:hAnsi="Times New Roman" w:cs="Times New Roman"/>
          <w:color w:val="2E414F"/>
          <w:sz w:val="24"/>
          <w:szCs w:val="24"/>
          <w:shd w:val="clear" w:color="auto" w:fill="FFFFFF"/>
        </w:rPr>
        <w:t>.</w:t>
      </w:r>
      <w:r w:rsidRPr="005D7508">
        <w:rPr>
          <w:rFonts w:ascii="Times New Roman" w:eastAsia="Calibri" w:hAnsi="Times New Roman" w:cs="Times New Roman"/>
          <w:sz w:val="24"/>
          <w:szCs w:val="24"/>
        </w:rPr>
        <w:t xml:space="preserve"> </w:t>
      </w:r>
      <w:hyperlink r:id="rId12" w:history="1">
        <w:r w:rsidRPr="005D7508">
          <w:rPr>
            <w:rFonts w:ascii="Times New Roman" w:eastAsia="Calibri" w:hAnsi="Times New Roman" w:cs="Times New Roman"/>
            <w:color w:val="0563C1" w:themeColor="hyperlink"/>
            <w:sz w:val="24"/>
            <w:szCs w:val="24"/>
            <w:u w:val="single"/>
          </w:rPr>
          <w:t>https://doi.org/</w:t>
        </w:r>
        <w:r w:rsidRPr="005D7508">
          <w:rPr>
            <w:rFonts w:ascii="Times New Roman" w:eastAsia="Calibri" w:hAnsi="Times New Roman" w:cs="Times New Roman"/>
            <w:color w:val="0563C1" w:themeColor="hyperlink"/>
            <w:sz w:val="24"/>
            <w:szCs w:val="24"/>
            <w:u w:val="single"/>
            <w:shd w:val="clear" w:color="auto" w:fill="FFFFFF"/>
          </w:rPr>
          <w:t>10.1188/16.ONF.43-03AP</w:t>
        </w:r>
      </w:hyperlink>
    </w:p>
    <w:p w14:paraId="230D9625" w14:textId="77777777" w:rsidR="00290E4A" w:rsidRDefault="00290E4A" w:rsidP="000D1179">
      <w:pPr>
        <w:spacing w:line="360" w:lineRule="auto"/>
        <w:rPr>
          <w:rFonts w:ascii="Times New Roman" w:eastAsia="Calibri" w:hAnsi="Times New Roman" w:cs="Times New Roman"/>
          <w:color w:val="0563C1" w:themeColor="hyperlink"/>
          <w:sz w:val="24"/>
          <w:szCs w:val="24"/>
          <w:u w:val="single"/>
          <w:shd w:val="clear" w:color="auto" w:fill="FFFFFF"/>
        </w:rPr>
      </w:pPr>
    </w:p>
    <w:p w14:paraId="1ED4A4E1" w14:textId="7EAA18D0" w:rsidR="00290E4A" w:rsidRDefault="00290E4A" w:rsidP="000D1179">
      <w:pPr>
        <w:spacing w:line="360" w:lineRule="auto"/>
        <w:rPr>
          <w:rFonts w:ascii="Times New Roman" w:eastAsia="Calibri" w:hAnsi="Times New Roman" w:cs="Times New Roman"/>
          <w:color w:val="0563C1" w:themeColor="hyperlink"/>
          <w:sz w:val="24"/>
          <w:szCs w:val="24"/>
          <w:u w:val="single"/>
          <w:shd w:val="clear" w:color="auto" w:fill="FFFFFF"/>
        </w:rPr>
      </w:pPr>
      <w:r w:rsidRPr="00290E4A">
        <w:rPr>
          <w:rFonts w:ascii="Times New Roman" w:eastAsia="Calibri" w:hAnsi="Times New Roman" w:cs="Times New Roman"/>
          <w:sz w:val="24"/>
          <w:szCs w:val="24"/>
          <w:shd w:val="clear" w:color="auto" w:fill="FFFFFF"/>
        </w:rPr>
        <w:t>Campbell, K., Afseth, J., Dunham, M., King, M. and Dicksit, D. (2024), Global Cancer Nurse's Experiences and Perceptions of Potential Occupational Exposure to Cytotoxic Drugs: Mixed Method Systematic Review With Framework Synthesis. J Clin Nurs, 33: 4585-4601.</w:t>
      </w:r>
      <w:r w:rsidRPr="00290E4A">
        <w:rPr>
          <w:rFonts w:ascii="Times New Roman" w:eastAsia="Calibri" w:hAnsi="Times New Roman" w:cs="Times New Roman"/>
          <w:sz w:val="24"/>
          <w:szCs w:val="24"/>
          <w:u w:val="single"/>
          <w:shd w:val="clear" w:color="auto" w:fill="FFFFFF"/>
        </w:rPr>
        <w:t> </w:t>
      </w:r>
      <w:hyperlink r:id="rId13" w:history="1">
        <w:r w:rsidRPr="00290E4A">
          <w:rPr>
            <w:rStyle w:val="Hyperlink"/>
            <w:rFonts w:ascii="Times New Roman" w:eastAsia="Calibri" w:hAnsi="Times New Roman" w:cs="Times New Roman"/>
            <w:sz w:val="24"/>
            <w:szCs w:val="24"/>
            <w:shd w:val="clear" w:color="auto" w:fill="FFFFFF"/>
          </w:rPr>
          <w:t>https://doi.org/10.1111/jocn.17488</w:t>
        </w:r>
      </w:hyperlink>
    </w:p>
    <w:p w14:paraId="441EA223" w14:textId="36DD8640" w:rsidR="003B1B9B" w:rsidRPr="005D7508" w:rsidRDefault="003B1B9B" w:rsidP="003B1B9B">
      <w:pPr>
        <w:spacing w:line="360" w:lineRule="auto"/>
        <w:rPr>
          <w:rFonts w:ascii="Times New Roman" w:eastAsia="Calibri" w:hAnsi="Times New Roman" w:cs="Times New Roman"/>
          <w:sz w:val="24"/>
          <w:szCs w:val="24"/>
        </w:rPr>
      </w:pPr>
      <w:r w:rsidRPr="002A7CD4">
        <w:rPr>
          <w:rFonts w:ascii="Times New Roman" w:eastAsia="Calibri" w:hAnsi="Times New Roman" w:cs="Times New Roman"/>
          <w:sz w:val="24"/>
          <w:szCs w:val="24"/>
          <w:shd w:val="clear" w:color="auto" w:fill="FFFFFF"/>
        </w:rPr>
        <w:t>Clark C (2024)</w:t>
      </w:r>
      <w:r w:rsidRPr="002A7CD4">
        <w:rPr>
          <w:rFonts w:ascii="Source Sans Pro" w:eastAsia="Times New Roman" w:hAnsi="Source Sans Pro" w:cs="Times New Roman"/>
          <w:sz w:val="24"/>
          <w:szCs w:val="24"/>
          <w:lang w:eastAsia="en-GB"/>
        </w:rPr>
        <w:t xml:space="preserve"> </w:t>
      </w:r>
      <w:hyperlink r:id="rId14" w:history="1">
        <w:r w:rsidRPr="002A7CD4">
          <w:rPr>
            <w:rStyle w:val="Hyperlink"/>
            <w:rFonts w:ascii="Times New Roman" w:eastAsia="Calibri" w:hAnsi="Times New Roman" w:cs="Times New Roman"/>
            <w:color w:val="auto"/>
            <w:sz w:val="24"/>
            <w:szCs w:val="24"/>
            <w:u w:val="none"/>
            <w:shd w:val="clear" w:color="auto" w:fill="FFFFFF"/>
          </w:rPr>
          <w:t>Occupational exposure to hazardous cancer drugs: protecting nurses through practice, products and research</w:t>
        </w:r>
      </w:hyperlink>
      <w:r w:rsidRPr="002A7CD4">
        <w:rPr>
          <w:rFonts w:ascii="Times New Roman" w:eastAsia="Calibri" w:hAnsi="Times New Roman" w:cs="Times New Roman"/>
          <w:sz w:val="24"/>
          <w:szCs w:val="24"/>
          <w:shd w:val="clear" w:color="auto" w:fill="FFFFFF"/>
        </w:rPr>
        <w:t>. British Journal of Nursing </w:t>
      </w:r>
      <w:r w:rsidRPr="002A7CD4">
        <w:rPr>
          <w:rFonts w:ascii="Times New Roman" w:eastAsia="Calibri" w:hAnsi="Times New Roman" w:cs="Times New Roman"/>
          <w:color w:val="0563C1" w:themeColor="hyperlink"/>
          <w:sz w:val="24"/>
          <w:szCs w:val="24"/>
          <w:shd w:val="clear" w:color="auto" w:fill="FFFFFF"/>
        </w:rPr>
        <w:t> </w:t>
      </w:r>
      <w:r w:rsidRPr="002A7CD4">
        <w:rPr>
          <w:rFonts w:ascii="Times New Roman" w:eastAsia="Calibri" w:hAnsi="Times New Roman" w:cs="Times New Roman"/>
          <w:sz w:val="24"/>
          <w:szCs w:val="24"/>
          <w:shd w:val="clear" w:color="auto" w:fill="FFFFFF"/>
        </w:rPr>
        <w:t>33:17, S10-S14</w:t>
      </w:r>
      <w:r w:rsidRPr="002A7CD4">
        <w:rPr>
          <w:rFonts w:ascii="Times New Roman" w:eastAsia="Calibri" w:hAnsi="Times New Roman" w:cs="Times New Roman"/>
          <w:sz w:val="24"/>
          <w:szCs w:val="24"/>
          <w:u w:val="single"/>
          <w:shd w:val="clear" w:color="auto" w:fill="FFFFFF"/>
        </w:rPr>
        <w:t xml:space="preserve"> </w:t>
      </w:r>
      <w:hyperlink r:id="rId15" w:history="1">
        <w:r w:rsidR="002A7CD4" w:rsidRPr="002A7CD4">
          <w:rPr>
            <w:rStyle w:val="Hyperlink"/>
            <w:rFonts w:ascii="Times New Roman" w:eastAsia="Calibri" w:hAnsi="Times New Roman" w:cs="Times New Roman"/>
            <w:sz w:val="24"/>
            <w:szCs w:val="24"/>
            <w:shd w:val="clear" w:color="auto" w:fill="FFFFFF"/>
          </w:rPr>
          <w:t>https://doi.org/10.12968/bjon.2024.0328</w:t>
        </w:r>
      </w:hyperlink>
    </w:p>
    <w:p w14:paraId="44F5B048" w14:textId="77777777" w:rsidR="00793B2A" w:rsidRDefault="00E87128" w:rsidP="000D1179">
      <w:pPr>
        <w:spacing w:line="360" w:lineRule="auto"/>
        <w:rPr>
          <w:rFonts w:ascii="Times New Roman" w:hAnsi="Times New Roman" w:cs="Times New Roman"/>
          <w:sz w:val="24"/>
          <w:szCs w:val="24"/>
        </w:rPr>
      </w:pPr>
      <w:r w:rsidRPr="005D7508">
        <w:rPr>
          <w:rFonts w:ascii="Times New Roman" w:hAnsi="Times New Roman" w:cs="Times New Roman"/>
          <w:sz w:val="24"/>
          <w:szCs w:val="24"/>
        </w:rPr>
        <w:t xml:space="preserve">Control of Substances Hazardous to Health Regulations (COSHH) (2002) available at </w:t>
      </w:r>
      <w:hyperlink r:id="rId16" w:history="1">
        <w:r w:rsidRPr="005D7508">
          <w:rPr>
            <w:rStyle w:val="Hyperlink"/>
            <w:rFonts w:ascii="Times New Roman" w:hAnsi="Times New Roman" w:cs="Times New Roman"/>
            <w:sz w:val="24"/>
            <w:szCs w:val="24"/>
          </w:rPr>
          <w:t>https://www.hse.gov.uk/coshh/</w:t>
        </w:r>
      </w:hyperlink>
      <w:r w:rsidRPr="005D7508">
        <w:rPr>
          <w:rFonts w:ascii="Times New Roman" w:hAnsi="Times New Roman" w:cs="Times New Roman"/>
          <w:sz w:val="24"/>
          <w:szCs w:val="24"/>
        </w:rPr>
        <w:t xml:space="preserve"> {[ last accessed October 2023]</w:t>
      </w:r>
    </w:p>
    <w:p w14:paraId="2078A3BC" w14:textId="77777777" w:rsidR="00E52599" w:rsidRDefault="00E87128" w:rsidP="00E52599">
      <w:pPr>
        <w:spacing w:line="360" w:lineRule="auto"/>
        <w:rPr>
          <w:rStyle w:val="Hyperlink"/>
          <w:rFonts w:ascii="Times New Roman" w:hAnsi="Times New Roman" w:cs="Times New Roman"/>
          <w:shd w:val="clear" w:color="auto" w:fill="FFFFFF"/>
        </w:rPr>
      </w:pPr>
      <w:r w:rsidRPr="00CB39B9">
        <w:rPr>
          <w:rFonts w:ascii="Times New Roman" w:hAnsi="Times New Roman" w:cs="Times New Roman"/>
          <w:shd w:val="clear" w:color="auto" w:fill="FFFFFF"/>
        </w:rPr>
        <w:t xml:space="preserve">Coyne E, </w:t>
      </w:r>
      <w:r w:rsidRPr="00CB39B9">
        <w:rPr>
          <w:rFonts w:ascii="Times New Roman" w:hAnsi="Times New Roman" w:cs="Times New Roman"/>
          <w:color w:val="212121"/>
          <w:shd w:val="clear" w:color="auto" w:fill="FFFFFF"/>
        </w:rPr>
        <w:t xml:space="preserve">Northfield S, Ash K, </w:t>
      </w:r>
      <w:r w:rsidR="00393018" w:rsidRPr="005D7508">
        <w:rPr>
          <w:rFonts w:ascii="Times New Roman" w:eastAsia="Calibri" w:hAnsi="Times New Roman" w:cs="Times New Roman"/>
          <w:sz w:val="24"/>
          <w:szCs w:val="24"/>
        </w:rPr>
        <w:t>et al</w:t>
      </w:r>
      <w:r w:rsidRPr="00CB39B9">
        <w:rPr>
          <w:rFonts w:ascii="Times New Roman" w:hAnsi="Times New Roman" w:cs="Times New Roman"/>
          <w:color w:val="212121"/>
          <w:shd w:val="clear" w:color="auto" w:fill="FFFFFF"/>
        </w:rPr>
        <w:t xml:space="preserve"> (2019). Current evidence of education and safety requirements for the nursing administration of chemotherapy: An integrative review. European journal of oncology nursing: the official journal of European Oncology Nursing Society, 41, 24–32. </w:t>
      </w:r>
      <w:hyperlink r:id="rId17" w:history="1">
        <w:r w:rsidRPr="00CB39B9">
          <w:rPr>
            <w:rStyle w:val="Hyperlink"/>
            <w:rFonts w:ascii="Times New Roman" w:hAnsi="Times New Roman" w:cs="Times New Roman"/>
            <w:shd w:val="clear" w:color="auto" w:fill="FFFFFF"/>
          </w:rPr>
          <w:t>https://doi.org/10.1016/j.ejon.2019.05.001</w:t>
        </w:r>
      </w:hyperlink>
    </w:p>
    <w:p w14:paraId="4F2E1426" w14:textId="77777777" w:rsidR="00F942CE" w:rsidRPr="00CB39B9" w:rsidRDefault="00E87128" w:rsidP="00E52599">
      <w:pPr>
        <w:spacing w:line="360" w:lineRule="auto"/>
        <w:rPr>
          <w:rFonts w:ascii="Times New Roman" w:hAnsi="Times New Roman" w:cs="Times New Roman"/>
          <w:color w:val="212121"/>
          <w:shd w:val="clear" w:color="auto" w:fill="FFFFFF"/>
        </w:rPr>
      </w:pPr>
      <w:r w:rsidRPr="00F942CE">
        <w:rPr>
          <w:rFonts w:ascii="Times New Roman" w:hAnsi="Times New Roman" w:cs="Times New Roman"/>
          <w:color w:val="212121"/>
          <w:shd w:val="clear" w:color="auto" w:fill="FFFFFF"/>
        </w:rPr>
        <w:t>Crickman R (2017) Chemotherapy safe handling: limiting nursing exposure with a hazardous drug control program. Clinical Journal of Oncology Nursing. 21, 1, 73-78. doi: 10.1188/17.CJON.73-78</w:t>
      </w:r>
    </w:p>
    <w:p w14:paraId="35C7E021" w14:textId="77777777" w:rsidR="001F613A" w:rsidRDefault="00E87128" w:rsidP="00C63188">
      <w:pPr>
        <w:spacing w:line="360" w:lineRule="auto"/>
        <w:rPr>
          <w:rFonts w:ascii="Times New Roman" w:eastAsia="Calibri" w:hAnsi="Times New Roman" w:cs="Times New Roman"/>
          <w:color w:val="0563C1" w:themeColor="hyperlink"/>
          <w:sz w:val="24"/>
          <w:szCs w:val="24"/>
          <w:u w:val="single"/>
        </w:rPr>
      </w:pPr>
      <w:r w:rsidRPr="005D7508">
        <w:rPr>
          <w:rFonts w:ascii="Times New Roman" w:eastAsia="Calibri" w:hAnsi="Times New Roman" w:cs="Times New Roman"/>
          <w:sz w:val="24"/>
          <w:szCs w:val="24"/>
        </w:rPr>
        <w:t xml:space="preserve">DeJoy DM, Smith TD, Woldu H, </w:t>
      </w:r>
      <w:r w:rsidR="00393018" w:rsidRPr="005D7508">
        <w:rPr>
          <w:rFonts w:ascii="Times New Roman" w:eastAsia="Calibri" w:hAnsi="Times New Roman" w:cs="Times New Roman"/>
          <w:sz w:val="24"/>
          <w:szCs w:val="24"/>
        </w:rPr>
        <w:t xml:space="preserve">et al </w:t>
      </w:r>
      <w:r w:rsidRPr="005D7508">
        <w:rPr>
          <w:rFonts w:ascii="Times New Roman" w:eastAsia="Calibri" w:hAnsi="Times New Roman" w:cs="Times New Roman"/>
          <w:sz w:val="24"/>
          <w:szCs w:val="24"/>
        </w:rPr>
        <w:t xml:space="preserve">(2017). Effects of organisational safety practices and perceived safety climate on PPE usage, engineering controls, and adverse events involving liquid antineoplastic drugs among nurses. Journal of occupational and environmental hygiene, 14(7), 485-493. </w:t>
      </w:r>
      <w:hyperlink r:id="rId18" w:history="1">
        <w:r w:rsidRPr="005D7508">
          <w:rPr>
            <w:rFonts w:ascii="Times New Roman" w:eastAsia="Calibri" w:hAnsi="Times New Roman" w:cs="Times New Roman"/>
            <w:color w:val="0563C1" w:themeColor="hyperlink"/>
            <w:sz w:val="24"/>
            <w:szCs w:val="24"/>
            <w:u w:val="single"/>
          </w:rPr>
          <w:t>https://doi.org/10.1080/15459624.2017.1285496</w:t>
        </w:r>
      </w:hyperlink>
    </w:p>
    <w:p w14:paraId="4FEE2229" w14:textId="77777777" w:rsidR="00E52599" w:rsidRPr="00CB39B9" w:rsidRDefault="00E87128" w:rsidP="00E52599">
      <w:pPr>
        <w:spacing w:line="360" w:lineRule="auto"/>
        <w:rPr>
          <w:rStyle w:val="Hyperlink"/>
          <w:rFonts w:ascii="Times New Roman" w:hAnsi="Times New Roman" w:cs="Times New Roman"/>
          <w:shd w:val="clear" w:color="auto" w:fill="FFFFFF"/>
        </w:rPr>
      </w:pPr>
      <w:r w:rsidRPr="00CB39B9">
        <w:rPr>
          <w:rFonts w:ascii="Times New Roman" w:hAnsi="Times New Roman" w:cs="Times New Roman"/>
          <w:shd w:val="clear" w:color="auto" w:fill="FFFFFF"/>
        </w:rPr>
        <w:t xml:space="preserve">Eisenberg S, Klein C </w:t>
      </w:r>
      <w:r w:rsidRPr="00CB39B9">
        <w:rPr>
          <w:rFonts w:ascii="Times New Roman" w:hAnsi="Times New Roman" w:cs="Times New Roman"/>
          <w:color w:val="212121"/>
          <w:shd w:val="clear" w:color="auto" w:fill="FFFFFF"/>
        </w:rPr>
        <w:t xml:space="preserve">(2021). Safe Handling of Hazardous Drugs in Home Infusion. Journal of Infusion Nursing: the official publication of the Infusion Nurses Society, 44(3), 137–146. </w:t>
      </w:r>
      <w:hyperlink r:id="rId19" w:history="1">
        <w:r w:rsidRPr="00CB39B9">
          <w:rPr>
            <w:rStyle w:val="Hyperlink"/>
            <w:rFonts w:ascii="Times New Roman" w:hAnsi="Times New Roman" w:cs="Times New Roman"/>
            <w:shd w:val="clear" w:color="auto" w:fill="FFFFFF"/>
          </w:rPr>
          <w:t>https://doi.org/10.1097/NAN.0000000000000424</w:t>
        </w:r>
      </w:hyperlink>
    </w:p>
    <w:p w14:paraId="7DA1665E" w14:textId="77777777" w:rsidR="00ED6295" w:rsidRDefault="00E87128" w:rsidP="00C63188">
      <w:pPr>
        <w:spacing w:line="360" w:lineRule="auto"/>
        <w:rPr>
          <w:rFonts w:ascii="Times New Roman" w:eastAsia="Calibri" w:hAnsi="Times New Roman" w:cs="Times New Roman"/>
          <w:sz w:val="24"/>
          <w:szCs w:val="24"/>
          <w:shd w:val="clear" w:color="auto" w:fill="FFFFFF"/>
        </w:rPr>
      </w:pPr>
      <w:bookmarkStart w:id="3" w:name="_Hlk161739895"/>
      <w:r>
        <w:rPr>
          <w:rFonts w:ascii="Times New Roman" w:eastAsia="Calibri" w:hAnsi="Times New Roman" w:cs="Times New Roman"/>
          <w:sz w:val="24"/>
          <w:szCs w:val="24"/>
          <w:shd w:val="clear" w:color="auto" w:fill="FFFFFF"/>
        </w:rPr>
        <w:t xml:space="preserve">European Bio Safety Network (2024) White Paper </w:t>
      </w:r>
      <w:r w:rsidRPr="001A16AF">
        <w:rPr>
          <w:rFonts w:ascii="Times New Roman" w:eastAsia="Calibri" w:hAnsi="Times New Roman" w:cs="Times New Roman"/>
          <w:sz w:val="24"/>
          <w:szCs w:val="24"/>
          <w:shd w:val="clear" w:color="auto" w:fill="FFFFFF"/>
        </w:rPr>
        <w:t>Preventing Contamination, Exposure and Health Impacts for Workers from Hazardous Medicinal Products (HMPs) through Closed System Implementation</w:t>
      </w:r>
      <w:r>
        <w:rPr>
          <w:rFonts w:ascii="Times New Roman" w:eastAsia="Calibri" w:hAnsi="Times New Roman" w:cs="Times New Roman"/>
          <w:sz w:val="24"/>
          <w:szCs w:val="24"/>
          <w:shd w:val="clear" w:color="auto" w:fill="FFFFFF"/>
        </w:rPr>
        <w:t xml:space="preserve"> </w:t>
      </w:r>
      <w:hyperlink r:id="rId20" w:history="1">
        <w:r w:rsidRPr="00551B12">
          <w:rPr>
            <w:rStyle w:val="Hyperlink"/>
            <w:rFonts w:ascii="Times New Roman" w:eastAsia="Calibri" w:hAnsi="Times New Roman" w:cs="Times New Roman"/>
            <w:sz w:val="24"/>
            <w:szCs w:val="24"/>
            <w:shd w:val="clear" w:color="auto" w:fill="FFFFFF"/>
          </w:rPr>
          <w:t>https://www.europeanbiosafetynetwork.eu/wp-content/uploads/2024/04/EBN-white-paper-on-HMPs__5.04.2024.pdf</w:t>
        </w:r>
      </w:hyperlink>
    </w:p>
    <w:bookmarkEnd w:id="3"/>
    <w:p w14:paraId="33E11E6F" w14:textId="77777777" w:rsidR="005D7290" w:rsidRPr="005D7508" w:rsidRDefault="00E87128" w:rsidP="00B5650D">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rPr>
        <w:t xml:space="preserve">Hanafi S, Torkamandi H, Bagheri S, </w:t>
      </w:r>
      <w:r w:rsidR="00393018" w:rsidRPr="005D7508">
        <w:rPr>
          <w:rFonts w:ascii="Times New Roman" w:eastAsia="Calibri" w:hAnsi="Times New Roman" w:cs="Times New Roman"/>
          <w:sz w:val="24"/>
          <w:szCs w:val="24"/>
        </w:rPr>
        <w:t xml:space="preserve">et al </w:t>
      </w:r>
      <w:r w:rsidRPr="005D7508">
        <w:rPr>
          <w:rFonts w:ascii="Times New Roman" w:eastAsia="Calibri" w:hAnsi="Times New Roman" w:cs="Times New Roman"/>
          <w:sz w:val="24"/>
          <w:szCs w:val="24"/>
        </w:rPr>
        <w:t xml:space="preserve">(2015). Safe Handling of Cytotoxic Drugs and Risk of Occupational Exposure to Nursing Staffs. Journal of Pharmaceutical Care 3(1-2) pg. 11-15. </w:t>
      </w:r>
    </w:p>
    <w:p w14:paraId="5E594C95" w14:textId="77777777" w:rsidR="00B37FA9" w:rsidRDefault="00E87128" w:rsidP="00B5650D">
      <w:pPr>
        <w:spacing w:line="360" w:lineRule="auto"/>
        <w:rPr>
          <w:rFonts w:ascii="Times New Roman" w:eastAsia="Calibri" w:hAnsi="Times New Roman" w:cs="Times New Roman"/>
          <w:color w:val="212121"/>
          <w:sz w:val="24"/>
          <w:szCs w:val="24"/>
          <w:shd w:val="clear" w:color="auto" w:fill="FFFFFF"/>
        </w:rPr>
      </w:pPr>
      <w:r w:rsidRPr="005D7508">
        <w:rPr>
          <w:rFonts w:ascii="Times New Roman" w:eastAsia="Calibri" w:hAnsi="Times New Roman" w:cs="Times New Roman"/>
          <w:sz w:val="24"/>
          <w:szCs w:val="24"/>
          <w:shd w:val="clear" w:color="auto" w:fill="FFFFFF"/>
        </w:rPr>
        <w:t xml:space="preserve">He </w:t>
      </w:r>
      <w:r w:rsidRPr="005D7508">
        <w:rPr>
          <w:rFonts w:ascii="Times New Roman" w:eastAsia="Calibri" w:hAnsi="Times New Roman" w:cs="Times New Roman"/>
          <w:color w:val="212121"/>
          <w:sz w:val="24"/>
          <w:szCs w:val="24"/>
          <w:shd w:val="clear" w:color="auto" w:fill="FFFFFF"/>
        </w:rPr>
        <w:t xml:space="preserve">B, Mendelsohn-Victor K, McCullagh MC, </w:t>
      </w:r>
      <w:r w:rsidR="00393018" w:rsidRPr="005D7508">
        <w:rPr>
          <w:rFonts w:ascii="Times New Roman" w:eastAsia="Calibri" w:hAnsi="Times New Roman" w:cs="Times New Roman"/>
          <w:sz w:val="24"/>
          <w:szCs w:val="24"/>
        </w:rPr>
        <w:t xml:space="preserve">et al </w:t>
      </w:r>
      <w:r w:rsidRPr="005D7508">
        <w:rPr>
          <w:rFonts w:ascii="Times New Roman" w:eastAsia="Calibri" w:hAnsi="Times New Roman" w:cs="Times New Roman"/>
          <w:color w:val="212121"/>
          <w:sz w:val="24"/>
          <w:szCs w:val="24"/>
          <w:shd w:val="clear" w:color="auto" w:fill="FFFFFF"/>
        </w:rPr>
        <w:t xml:space="preserve">(2017). Personal Protective Equipment Use and Hazardous Drug Spills Among Ambulatory Oncology Nurses. Oncology Nursing Forum, 44(1), 60–65. </w:t>
      </w:r>
      <w:hyperlink r:id="rId21" w:history="1">
        <w:r w:rsidR="00C63188" w:rsidRPr="00696E8A">
          <w:rPr>
            <w:rStyle w:val="Hyperlink"/>
            <w:rFonts w:ascii="Times New Roman" w:eastAsia="Calibri" w:hAnsi="Times New Roman" w:cs="Times New Roman"/>
            <w:sz w:val="24"/>
            <w:szCs w:val="24"/>
            <w:shd w:val="clear" w:color="auto" w:fill="FFFFFF"/>
          </w:rPr>
          <w:t>https://doi.org/10.1188/17.ONF.60-65</w:t>
        </w:r>
      </w:hyperlink>
    </w:p>
    <w:p w14:paraId="22DBDC2D" w14:textId="77777777" w:rsidR="00C63188" w:rsidRPr="005D7508" w:rsidRDefault="00E87128" w:rsidP="00B5650D">
      <w:pPr>
        <w:spacing w:line="360" w:lineRule="auto"/>
        <w:rPr>
          <w:rFonts w:ascii="Times New Roman" w:eastAsia="Calibri" w:hAnsi="Times New Roman" w:cs="Times New Roman"/>
          <w:sz w:val="24"/>
          <w:szCs w:val="24"/>
        </w:rPr>
      </w:pPr>
      <w:r>
        <w:rPr>
          <w:rFonts w:ascii="Times New Roman" w:eastAsia="Calibri" w:hAnsi="Times New Roman" w:cs="Times New Roman"/>
          <w:color w:val="212121"/>
          <w:sz w:val="24"/>
          <w:szCs w:val="24"/>
          <w:shd w:val="clear" w:color="auto" w:fill="FFFFFF"/>
        </w:rPr>
        <w:t>Health and Safety Executive</w:t>
      </w:r>
      <w:r w:rsidR="00393018">
        <w:rPr>
          <w:rFonts w:ascii="Times New Roman" w:eastAsia="Calibri" w:hAnsi="Times New Roman" w:cs="Times New Roman"/>
          <w:color w:val="212121"/>
          <w:sz w:val="24"/>
          <w:szCs w:val="24"/>
          <w:shd w:val="clear" w:color="auto" w:fill="FFFFFF"/>
        </w:rPr>
        <w:t xml:space="preserve"> (2020)</w:t>
      </w:r>
      <w:r>
        <w:rPr>
          <w:rFonts w:ascii="Times New Roman" w:eastAsia="Calibri" w:hAnsi="Times New Roman" w:cs="Times New Roman"/>
          <w:color w:val="212121"/>
          <w:sz w:val="24"/>
          <w:szCs w:val="24"/>
          <w:shd w:val="clear" w:color="auto" w:fill="FFFFFF"/>
        </w:rPr>
        <w:t xml:space="preserve"> </w:t>
      </w:r>
      <w:hyperlink r:id="rId22" w:history="1">
        <w:r w:rsidRPr="00696E8A">
          <w:rPr>
            <w:rStyle w:val="Hyperlink"/>
            <w:rFonts w:ascii="Times New Roman" w:eastAsia="Calibri" w:hAnsi="Times New Roman" w:cs="Times New Roman"/>
            <w:sz w:val="24"/>
            <w:szCs w:val="24"/>
            <w:shd w:val="clear" w:color="auto" w:fill="FFFFFF"/>
          </w:rPr>
          <w:t>https://www.hse.gov.uk/healthservices/safe-use-cytotoxic-drugs.htm</w:t>
        </w:r>
      </w:hyperlink>
      <w:r>
        <w:rPr>
          <w:rFonts w:ascii="Times New Roman" w:eastAsia="Calibri" w:hAnsi="Times New Roman" w:cs="Times New Roman"/>
          <w:color w:val="212121"/>
          <w:sz w:val="24"/>
          <w:szCs w:val="24"/>
          <w:shd w:val="clear" w:color="auto" w:fill="FFFFFF"/>
        </w:rPr>
        <w:t xml:space="preserve"> [last accessed August 2024]</w:t>
      </w:r>
    </w:p>
    <w:p w14:paraId="679A8156" w14:textId="77777777" w:rsidR="00336900" w:rsidRPr="005D7508" w:rsidRDefault="00E87128" w:rsidP="00B5650D">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shd w:val="clear" w:color="auto" w:fill="FFFFFF"/>
        </w:rPr>
        <w:t>Hon CY</w:t>
      </w:r>
      <w:r w:rsidRPr="005D7508">
        <w:rPr>
          <w:rFonts w:ascii="Times New Roman" w:eastAsia="Calibri" w:hAnsi="Times New Roman" w:cs="Times New Roman"/>
          <w:color w:val="212121"/>
          <w:sz w:val="24"/>
          <w:szCs w:val="24"/>
          <w:shd w:val="clear" w:color="auto" w:fill="FFFFFF"/>
        </w:rPr>
        <w:t xml:space="preserve">, Teschke K, Shen, H (2015). Health Care Workers' Knowledge, Perceptions, and Behaviors Regarding Antineoplastic Drugs: Survey From British Columbia, Canada. Journal of occupational and environmental hygiene, 12(10), 669–677. </w:t>
      </w:r>
      <w:hyperlink r:id="rId23" w:history="1">
        <w:r w:rsidRPr="005D7508">
          <w:rPr>
            <w:rFonts w:ascii="Times New Roman" w:eastAsia="Calibri" w:hAnsi="Times New Roman" w:cs="Times New Roman"/>
            <w:color w:val="0563C1" w:themeColor="hyperlink"/>
            <w:sz w:val="24"/>
            <w:szCs w:val="24"/>
            <w:u w:val="single"/>
            <w:shd w:val="clear" w:color="auto" w:fill="FFFFFF"/>
          </w:rPr>
          <w:t>https://doi.org/10.1080/15459624.2015.1029618</w:t>
        </w:r>
      </w:hyperlink>
    </w:p>
    <w:p w14:paraId="2D60BC06" w14:textId="77777777" w:rsidR="00E52599" w:rsidRPr="00CB39B9" w:rsidRDefault="00E87128" w:rsidP="00E52599">
      <w:pPr>
        <w:spacing w:line="360" w:lineRule="auto"/>
        <w:rPr>
          <w:rStyle w:val="Hyperlink"/>
          <w:rFonts w:ascii="Times New Roman" w:hAnsi="Times New Roman" w:cs="Times New Roman"/>
          <w:shd w:val="clear" w:color="auto" w:fill="FFFFFF"/>
        </w:rPr>
      </w:pPr>
      <w:r w:rsidRPr="00CB39B9">
        <w:rPr>
          <w:rFonts w:ascii="Times New Roman" w:hAnsi="Times New Roman" w:cs="Times New Roman"/>
          <w:shd w:val="clear" w:color="auto" w:fill="FFFFFF"/>
        </w:rPr>
        <w:t>Lin Y</w:t>
      </w:r>
      <w:r w:rsidR="00393018">
        <w:rPr>
          <w:rFonts w:ascii="Times New Roman" w:hAnsi="Times New Roman" w:cs="Times New Roman"/>
          <w:shd w:val="clear" w:color="auto" w:fill="FFFFFF"/>
        </w:rPr>
        <w:t>,</w:t>
      </w:r>
      <w:r w:rsidRPr="00CB39B9">
        <w:rPr>
          <w:rFonts w:ascii="Times New Roman" w:hAnsi="Times New Roman" w:cs="Times New Roman"/>
          <w:shd w:val="clear" w:color="auto" w:fill="FFFFFF"/>
        </w:rPr>
        <w:t xml:space="preserve"> </w:t>
      </w:r>
      <w:r w:rsidRPr="00CB39B9">
        <w:rPr>
          <w:rFonts w:ascii="Times New Roman" w:hAnsi="Times New Roman" w:cs="Times New Roman"/>
          <w:color w:val="212121"/>
          <w:shd w:val="clear" w:color="auto" w:fill="FFFFFF"/>
        </w:rPr>
        <w:t xml:space="preserve">Chang Y, Lin YC, </w:t>
      </w:r>
      <w:r w:rsidR="00393018" w:rsidRPr="005D7508">
        <w:rPr>
          <w:rFonts w:ascii="Times New Roman" w:eastAsia="Calibri" w:hAnsi="Times New Roman" w:cs="Times New Roman"/>
          <w:sz w:val="24"/>
          <w:szCs w:val="24"/>
        </w:rPr>
        <w:t xml:space="preserve">et al </w:t>
      </w:r>
      <w:r w:rsidRPr="00CB39B9">
        <w:rPr>
          <w:rFonts w:ascii="Times New Roman" w:hAnsi="Times New Roman" w:cs="Times New Roman"/>
          <w:color w:val="212121"/>
          <w:shd w:val="clear" w:color="auto" w:fill="FFFFFF"/>
        </w:rPr>
        <w:t xml:space="preserve">(2019). Factors Influencing Nurses' Use of Hazardous Drug Safe Handling Precautions. Oncology nursing forum, 46(3), E86–E97. </w:t>
      </w:r>
      <w:hyperlink r:id="rId24" w:history="1">
        <w:r w:rsidRPr="00CB39B9">
          <w:rPr>
            <w:rStyle w:val="Hyperlink"/>
            <w:rFonts w:ascii="Times New Roman" w:hAnsi="Times New Roman" w:cs="Times New Roman"/>
            <w:shd w:val="clear" w:color="auto" w:fill="FFFFFF"/>
          </w:rPr>
          <w:t>https://doi.org/10.1188/19.ONF.E86-E97</w:t>
        </w:r>
      </w:hyperlink>
    </w:p>
    <w:p w14:paraId="731A0EB7" w14:textId="77777777" w:rsidR="005D7290" w:rsidRDefault="00E87128" w:rsidP="00ED6295">
      <w:pPr>
        <w:spacing w:line="360" w:lineRule="auto"/>
        <w:rPr>
          <w:rFonts w:ascii="Times New Roman" w:eastAsia="Calibri" w:hAnsi="Times New Roman" w:cs="Times New Roman"/>
          <w:color w:val="2E414F"/>
          <w:sz w:val="24"/>
          <w:szCs w:val="24"/>
          <w:shd w:val="clear" w:color="auto" w:fill="FFFFFF"/>
        </w:rPr>
      </w:pPr>
      <w:r w:rsidRPr="005D7508">
        <w:rPr>
          <w:rFonts w:ascii="Times New Roman" w:eastAsia="Calibri" w:hAnsi="Times New Roman" w:cs="Times New Roman"/>
          <w:sz w:val="24"/>
          <w:szCs w:val="24"/>
          <w:shd w:val="clear" w:color="auto" w:fill="FFFFFF"/>
        </w:rPr>
        <w:t xml:space="preserve">Mahdy </w:t>
      </w:r>
      <w:r w:rsidRPr="005D7508">
        <w:rPr>
          <w:rFonts w:ascii="Times New Roman" w:eastAsia="Calibri" w:hAnsi="Times New Roman" w:cs="Times New Roman"/>
          <w:color w:val="2E414F"/>
          <w:sz w:val="24"/>
          <w:szCs w:val="24"/>
          <w:shd w:val="clear" w:color="auto" w:fill="FFFFFF"/>
        </w:rPr>
        <w:t>NE, Rahman AA,</w:t>
      </w:r>
      <w:r w:rsidR="00861579">
        <w:rPr>
          <w:rFonts w:ascii="Times New Roman" w:eastAsia="Calibri" w:hAnsi="Times New Roman" w:cs="Times New Roman"/>
          <w:color w:val="2E414F"/>
          <w:sz w:val="24"/>
          <w:szCs w:val="24"/>
          <w:shd w:val="clear" w:color="auto" w:fill="FFFFFF"/>
        </w:rPr>
        <w:t xml:space="preserve"> </w:t>
      </w:r>
      <w:r w:rsidRPr="005D7508">
        <w:rPr>
          <w:rFonts w:ascii="Times New Roman" w:eastAsia="Calibri" w:hAnsi="Times New Roman" w:cs="Times New Roman"/>
          <w:color w:val="2E414F"/>
          <w:sz w:val="24"/>
          <w:szCs w:val="24"/>
          <w:shd w:val="clear" w:color="auto" w:fill="FFFFFF"/>
        </w:rPr>
        <w:t>Hassan HA (2017). Cytotoxic Drugs Safety Guidelines: Its Effect on Awareness and Safe Handling Practices of Oncology Nurses. </w:t>
      </w:r>
      <w:r w:rsidRPr="005D7508">
        <w:rPr>
          <w:rFonts w:ascii="Times New Roman" w:eastAsia="Calibri" w:hAnsi="Times New Roman" w:cs="Times New Roman"/>
          <w:i/>
          <w:iCs/>
          <w:color w:val="2E414F"/>
          <w:sz w:val="24"/>
          <w:szCs w:val="24"/>
        </w:rPr>
        <w:t>IOSR Journal of Nursing and Health Science, 06</w:t>
      </w:r>
      <w:r w:rsidRPr="005D7508">
        <w:rPr>
          <w:rFonts w:ascii="Times New Roman" w:eastAsia="Calibri" w:hAnsi="Times New Roman" w:cs="Times New Roman"/>
          <w:color w:val="2E414F"/>
          <w:sz w:val="24"/>
          <w:szCs w:val="24"/>
          <w:shd w:val="clear" w:color="auto" w:fill="FFFFFF"/>
        </w:rPr>
        <w:t>, 22-33.</w:t>
      </w:r>
    </w:p>
    <w:p w14:paraId="49B368D5" w14:textId="77777777" w:rsidR="00861579" w:rsidRDefault="00E87128" w:rsidP="00861579">
      <w:pPr>
        <w:spacing w:line="360" w:lineRule="auto"/>
        <w:rPr>
          <w:rStyle w:val="Hyperlink"/>
          <w:rFonts w:ascii="Times New Roman" w:hAnsi="Times New Roman" w:cs="Times New Roman"/>
          <w:shd w:val="clear" w:color="auto" w:fill="FFFFFF"/>
        </w:rPr>
      </w:pPr>
      <w:r w:rsidRPr="00CB39B9">
        <w:rPr>
          <w:rFonts w:ascii="Times New Roman" w:hAnsi="Times New Roman" w:cs="Times New Roman"/>
          <w:shd w:val="clear" w:color="auto" w:fill="FFFFFF"/>
        </w:rPr>
        <w:t xml:space="preserve">Meade E (2014). </w:t>
      </w:r>
      <w:r w:rsidRPr="00CB39B9">
        <w:rPr>
          <w:rFonts w:ascii="Times New Roman" w:hAnsi="Times New Roman" w:cs="Times New Roman"/>
          <w:color w:val="212121"/>
          <w:shd w:val="clear" w:color="auto" w:fill="FFFFFF"/>
        </w:rPr>
        <w:t xml:space="preserve">Avoiding accidental exposure to intravenous cytotoxic drugs. British journal of nursing (Mark Allen Publishing), 23(16), S34–S39. </w:t>
      </w:r>
      <w:hyperlink r:id="rId25" w:history="1">
        <w:r w:rsidRPr="00CB39B9">
          <w:rPr>
            <w:rStyle w:val="Hyperlink"/>
            <w:rFonts w:ascii="Times New Roman" w:hAnsi="Times New Roman" w:cs="Times New Roman"/>
            <w:shd w:val="clear" w:color="auto" w:fill="FFFFFF"/>
          </w:rPr>
          <w:t>https://doi.org/10.12968/bjon.2014.23.Sup16.S34</w:t>
        </w:r>
      </w:hyperlink>
    </w:p>
    <w:p w14:paraId="01F332B6" w14:textId="77777777" w:rsidR="003C6ECB" w:rsidRPr="00CB39B9" w:rsidRDefault="003C6ECB" w:rsidP="003C6ECB">
      <w:pPr>
        <w:spacing w:line="360" w:lineRule="auto"/>
        <w:rPr>
          <w:rFonts w:ascii="Times New Roman" w:hAnsi="Times New Roman" w:cs="Times New Roman"/>
          <w:color w:val="212121"/>
          <w:shd w:val="clear" w:color="auto" w:fill="FFFFFF"/>
        </w:rPr>
      </w:pPr>
      <w:r w:rsidRPr="00C22B93">
        <w:rPr>
          <w:rFonts w:ascii="Times New Roman" w:hAnsi="Times New Roman" w:cs="Times New Roman"/>
          <w:shd w:val="clear" w:color="auto" w:fill="FFFFFF"/>
        </w:rPr>
        <w:t xml:space="preserve">Meade, E., </w:t>
      </w:r>
      <w:r w:rsidRPr="00C22B93">
        <w:rPr>
          <w:rFonts w:ascii="Times New Roman" w:hAnsi="Times New Roman" w:cs="Times New Roman"/>
          <w:color w:val="212121"/>
          <w:shd w:val="clear" w:color="auto" w:fill="FFFFFF"/>
        </w:rPr>
        <w:t xml:space="preserve">Simons, A., &amp; Toland, S. (2017). The need for national mandatory guidance on CSTDs. British Journal of Nursing (Mark Allen Publishing), 26(Sup16b), S5–S14. </w:t>
      </w:r>
      <w:hyperlink r:id="rId26" w:history="1">
        <w:r w:rsidRPr="00C22B93">
          <w:rPr>
            <w:rStyle w:val="Hyperlink"/>
            <w:rFonts w:ascii="Times New Roman" w:hAnsi="Times New Roman" w:cs="Times New Roman"/>
            <w:shd w:val="clear" w:color="auto" w:fill="FFFFFF"/>
          </w:rPr>
          <w:t>https://doi.org/10.12968/bjon.2017.26.Sup16b.S5</w:t>
        </w:r>
      </w:hyperlink>
    </w:p>
    <w:p w14:paraId="02C99204" w14:textId="151A17A5" w:rsidR="00861579" w:rsidRPr="00CB39B9" w:rsidRDefault="00E87128" w:rsidP="00E52599">
      <w:pPr>
        <w:spacing w:line="360" w:lineRule="auto"/>
        <w:rPr>
          <w:rFonts w:ascii="Times New Roman" w:hAnsi="Times New Roman" w:cs="Times New Roman"/>
          <w:color w:val="212121"/>
          <w:shd w:val="clear" w:color="auto" w:fill="FFFFFF"/>
        </w:rPr>
      </w:pPr>
      <w:r w:rsidRPr="00861579">
        <w:rPr>
          <w:rFonts w:ascii="Times New Roman" w:hAnsi="Times New Roman" w:cs="Times New Roman"/>
          <w:color w:val="212121"/>
          <w:shd w:val="clear" w:color="auto" w:fill="FFFFFF"/>
        </w:rPr>
        <w:t>Menonna-Quinn</w:t>
      </w:r>
      <w:r>
        <w:rPr>
          <w:rFonts w:ascii="Times New Roman" w:hAnsi="Times New Roman" w:cs="Times New Roman"/>
          <w:color w:val="212121"/>
          <w:shd w:val="clear" w:color="auto" w:fill="FFFFFF"/>
        </w:rPr>
        <w:t xml:space="preserve"> D</w:t>
      </w:r>
      <w:r w:rsidR="00B70A50">
        <w:rPr>
          <w:rFonts w:ascii="Times New Roman" w:hAnsi="Times New Roman" w:cs="Times New Roman"/>
          <w:color w:val="212121"/>
          <w:shd w:val="clear" w:color="auto" w:fill="FFFFFF"/>
        </w:rPr>
        <w:t xml:space="preserve">, </w:t>
      </w:r>
      <w:r w:rsidR="00B70A50" w:rsidRPr="00B70A50">
        <w:rPr>
          <w:rFonts w:ascii="Times New Roman" w:hAnsi="Times New Roman" w:cs="Times New Roman"/>
          <w:color w:val="212121"/>
          <w:shd w:val="clear" w:color="auto" w:fill="FFFFFF"/>
        </w:rPr>
        <w:t>Polovich </w:t>
      </w:r>
      <w:r w:rsidR="00B70A50">
        <w:rPr>
          <w:rFonts w:ascii="Times New Roman" w:hAnsi="Times New Roman" w:cs="Times New Roman"/>
          <w:color w:val="212121"/>
          <w:shd w:val="clear" w:color="auto" w:fill="FFFFFF"/>
        </w:rPr>
        <w:t xml:space="preserve">M, </w:t>
      </w:r>
      <w:r w:rsidR="00B70A50" w:rsidRPr="00B70A50">
        <w:rPr>
          <w:rFonts w:ascii="Times New Roman" w:hAnsi="Times New Roman" w:cs="Times New Roman"/>
          <w:color w:val="212121"/>
          <w:shd w:val="clear" w:color="auto" w:fill="FFFFFF"/>
        </w:rPr>
        <w:t>Marshall</w:t>
      </w:r>
      <w:r w:rsidR="00B70A50">
        <w:rPr>
          <w:rFonts w:ascii="Times New Roman" w:hAnsi="Times New Roman" w:cs="Times New Roman"/>
          <w:color w:val="212121"/>
          <w:shd w:val="clear" w:color="auto" w:fill="FFFFFF"/>
        </w:rPr>
        <w:t xml:space="preserve"> B </w:t>
      </w:r>
      <w:r>
        <w:rPr>
          <w:rFonts w:ascii="Times New Roman" w:hAnsi="Times New Roman" w:cs="Times New Roman"/>
          <w:i/>
          <w:iCs/>
          <w:color w:val="212121"/>
          <w:shd w:val="clear" w:color="auto" w:fill="FFFFFF"/>
        </w:rPr>
        <w:t xml:space="preserve">(2019) </w:t>
      </w:r>
      <w:r w:rsidRPr="00861579">
        <w:rPr>
          <w:rFonts w:ascii="Times New Roman" w:hAnsi="Times New Roman" w:cs="Times New Roman"/>
          <w:color w:val="212121"/>
          <w:shd w:val="clear" w:color="auto" w:fill="FFFFFF"/>
        </w:rPr>
        <w:t>Personal protective equipment: evaluating usage among inpatient and outpatient oncology nurses</w:t>
      </w:r>
      <w:r>
        <w:rPr>
          <w:rFonts w:ascii="Times New Roman" w:hAnsi="Times New Roman" w:cs="Times New Roman"/>
          <w:color w:val="212121"/>
          <w:shd w:val="clear" w:color="auto" w:fill="FFFFFF"/>
        </w:rPr>
        <w:t xml:space="preserve"> </w:t>
      </w:r>
      <w:r w:rsidRPr="00861579">
        <w:rPr>
          <w:rFonts w:ascii="Times New Roman" w:hAnsi="Times New Roman" w:cs="Times New Roman"/>
          <w:color w:val="212121"/>
          <w:shd w:val="clear" w:color="auto" w:fill="FFFFFF"/>
        </w:rPr>
        <w:t>Clin</w:t>
      </w:r>
      <w:r>
        <w:rPr>
          <w:rFonts w:ascii="Times New Roman" w:hAnsi="Times New Roman" w:cs="Times New Roman"/>
          <w:color w:val="212121"/>
          <w:shd w:val="clear" w:color="auto" w:fill="FFFFFF"/>
        </w:rPr>
        <w:t>ical</w:t>
      </w:r>
      <w:r w:rsidRPr="00861579">
        <w:rPr>
          <w:rFonts w:ascii="Times New Roman" w:hAnsi="Times New Roman" w:cs="Times New Roman"/>
          <w:color w:val="212121"/>
          <w:shd w:val="clear" w:color="auto" w:fill="FFFFFF"/>
        </w:rPr>
        <w:t xml:space="preserve"> J</w:t>
      </w:r>
      <w:r>
        <w:rPr>
          <w:rFonts w:ascii="Times New Roman" w:hAnsi="Times New Roman" w:cs="Times New Roman"/>
          <w:color w:val="212121"/>
          <w:shd w:val="clear" w:color="auto" w:fill="FFFFFF"/>
        </w:rPr>
        <w:t>ournal</w:t>
      </w:r>
      <w:r w:rsidRPr="00861579">
        <w:rPr>
          <w:rFonts w:ascii="Times New Roman" w:hAnsi="Times New Roman" w:cs="Times New Roman"/>
          <w:color w:val="212121"/>
          <w:shd w:val="clear" w:color="auto" w:fill="FFFFFF"/>
        </w:rPr>
        <w:t xml:space="preserve"> Oncol</w:t>
      </w:r>
      <w:r>
        <w:rPr>
          <w:rFonts w:ascii="Times New Roman" w:hAnsi="Times New Roman" w:cs="Times New Roman"/>
          <w:color w:val="212121"/>
          <w:shd w:val="clear" w:color="auto" w:fill="FFFFFF"/>
        </w:rPr>
        <w:t>ogy</w:t>
      </w:r>
      <w:r w:rsidRPr="00861579">
        <w:rPr>
          <w:rFonts w:ascii="Times New Roman" w:hAnsi="Times New Roman" w:cs="Times New Roman"/>
          <w:color w:val="212121"/>
          <w:shd w:val="clear" w:color="auto" w:fill="FFFFFF"/>
        </w:rPr>
        <w:t xml:space="preserve"> Nurs</w:t>
      </w:r>
      <w:r>
        <w:rPr>
          <w:rFonts w:ascii="Times New Roman" w:hAnsi="Times New Roman" w:cs="Times New Roman"/>
          <w:color w:val="212121"/>
          <w:shd w:val="clear" w:color="auto" w:fill="FFFFFF"/>
        </w:rPr>
        <w:t>ing</w:t>
      </w:r>
      <w:r w:rsidRPr="00861579">
        <w:rPr>
          <w:rFonts w:ascii="Times New Roman" w:hAnsi="Times New Roman" w:cs="Times New Roman"/>
          <w:color w:val="212121"/>
          <w:shd w:val="clear" w:color="auto" w:fill="FFFFFF"/>
        </w:rPr>
        <w:t>, 23 (3) (2019), pp. 260-265, </w:t>
      </w:r>
      <w:hyperlink r:id="rId27" w:history="1">
        <w:r w:rsidRPr="00B70A50">
          <w:rPr>
            <w:rStyle w:val="Hyperlink"/>
            <w:rFonts w:ascii="Times New Roman" w:hAnsi="Times New Roman" w:cs="Times New Roman"/>
            <w:shd w:val="clear" w:color="auto" w:fill="FFFFFF"/>
          </w:rPr>
          <w:t>https://doi.org/</w:t>
        </w:r>
        <w:hyperlink r:id="rId28" w:tgtFrame="_blank" w:history="1">
          <w:r w:rsidRPr="00B70A50">
            <w:rPr>
              <w:rStyle w:val="Hyperlink"/>
              <w:rFonts w:ascii="Times New Roman" w:hAnsi="Times New Roman" w:cs="Times New Roman"/>
              <w:shd w:val="clear" w:color="auto" w:fill="FFFFFF"/>
            </w:rPr>
            <w:t>10.1188/19.CJON.260-265</w:t>
          </w:r>
        </w:hyperlink>
      </w:hyperlink>
    </w:p>
    <w:p w14:paraId="09F366BE" w14:textId="77777777" w:rsidR="00F942CE" w:rsidRPr="00336456" w:rsidRDefault="00E87128" w:rsidP="00AE0A35">
      <w:pPr>
        <w:spacing w:line="360" w:lineRule="auto"/>
        <w:rPr>
          <w:rFonts w:ascii="Times New Roman" w:hAnsi="Times New Roman" w:cs="Times New Roman"/>
        </w:rPr>
      </w:pPr>
      <w:r w:rsidRPr="00336456">
        <w:rPr>
          <w:rFonts w:ascii="Times New Roman" w:hAnsi="Times New Roman" w:cs="Times New Roman"/>
        </w:rPr>
        <w:t xml:space="preserve">National Institute for Occupational Safety and Health (2004) NIOSH Alert: Preventing Occupational Exposure to Antineoplastic and Other Hazardous Drugs in Healthcare Settings. </w:t>
      </w:r>
      <w:hyperlink r:id="rId29" w:history="1">
        <w:r w:rsidRPr="00336456">
          <w:rPr>
            <w:rStyle w:val="Hyperlink"/>
            <w:rFonts w:ascii="Times New Roman" w:hAnsi="Times New Roman" w:cs="Times New Roman"/>
          </w:rPr>
          <w:t>https://www.cdc.gov/niosh/docs/2004-165/default.html</w:t>
        </w:r>
      </w:hyperlink>
      <w:r w:rsidRPr="00336456">
        <w:rPr>
          <w:rFonts w:ascii="Times New Roman" w:hAnsi="Times New Roman" w:cs="Times New Roman"/>
        </w:rPr>
        <w:t>[ last  accessed: 5August 2024]</w:t>
      </w:r>
    </w:p>
    <w:p w14:paraId="59B93ED9" w14:textId="77777777" w:rsidR="00F942CE" w:rsidRPr="00CB39B9" w:rsidRDefault="00E87128" w:rsidP="00AE0A35">
      <w:pPr>
        <w:spacing w:line="360" w:lineRule="auto"/>
        <w:rPr>
          <w:rFonts w:ascii="Times New Roman" w:hAnsi="Times New Roman" w:cs="Times New Roman"/>
        </w:rPr>
      </w:pPr>
      <w:r w:rsidRPr="00F942CE">
        <w:rPr>
          <w:rFonts w:ascii="Times New Roman" w:hAnsi="Times New Roman" w:cs="Times New Roman"/>
        </w:rPr>
        <w:t>National Institute for Occupational Safety and Health (2016) NIOSH List of Antineoplastic and Other Hazardous Drugs in Healthcare Setti</w:t>
      </w:r>
      <w:r w:rsidRPr="00336456">
        <w:rPr>
          <w:rFonts w:ascii="Times New Roman" w:hAnsi="Times New Roman" w:cs="Times New Roman"/>
        </w:rPr>
        <w:t xml:space="preserve">ngs, 2016. </w:t>
      </w:r>
      <w:hyperlink r:id="rId30" w:history="1">
        <w:r w:rsidRPr="00336456">
          <w:rPr>
            <w:rStyle w:val="Hyperlink"/>
            <w:rFonts w:ascii="Times New Roman" w:hAnsi="Times New Roman" w:cs="Times New Roman"/>
          </w:rPr>
          <w:t>https://www.cdc.gov/niosh/docs/2016-161/default.html</w:t>
        </w:r>
      </w:hyperlink>
      <w:r>
        <w:rPr>
          <w:rFonts w:ascii="Times New Roman" w:hAnsi="Times New Roman" w:cs="Times New Roman"/>
        </w:rPr>
        <w:t xml:space="preserve"> </w:t>
      </w:r>
      <w:r w:rsidRPr="00F942CE">
        <w:rPr>
          <w:rFonts w:ascii="Times New Roman" w:hAnsi="Times New Roman" w:cs="Times New Roman"/>
        </w:rPr>
        <w:t xml:space="preserve"> </w:t>
      </w:r>
      <w:r>
        <w:rPr>
          <w:rFonts w:ascii="Times New Roman" w:hAnsi="Times New Roman" w:cs="Times New Roman"/>
        </w:rPr>
        <w:t>[</w:t>
      </w:r>
      <w:r w:rsidRPr="00F942CE">
        <w:rPr>
          <w:rFonts w:ascii="Times New Roman" w:hAnsi="Times New Roman" w:cs="Times New Roman"/>
        </w:rPr>
        <w:t xml:space="preserve">Last accessed: </w:t>
      </w:r>
      <w:r>
        <w:rPr>
          <w:rFonts w:ascii="Times New Roman" w:hAnsi="Times New Roman" w:cs="Times New Roman"/>
        </w:rPr>
        <w:t>5August 2024</w:t>
      </w:r>
      <w:r w:rsidRPr="00F942CE">
        <w:rPr>
          <w:rFonts w:ascii="Times New Roman" w:hAnsi="Times New Roman" w:cs="Times New Roman"/>
        </w:rPr>
        <w:t>.</w:t>
      </w:r>
      <w:r>
        <w:rPr>
          <w:rFonts w:ascii="Times New Roman" w:hAnsi="Times New Roman" w:cs="Times New Roman"/>
        </w:rPr>
        <w:t>]</w:t>
      </w:r>
    </w:p>
    <w:p w14:paraId="32ACE1AA" w14:textId="77777777" w:rsidR="001841B4" w:rsidRDefault="00E87128" w:rsidP="00B5650D">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rPr>
        <w:t xml:space="preserve">Nwagbo SE, Ilesanmi RE, Ohaeri BM, </w:t>
      </w:r>
      <w:r w:rsidR="00861579" w:rsidRPr="005D7508">
        <w:rPr>
          <w:rFonts w:ascii="Times New Roman" w:eastAsia="Calibri" w:hAnsi="Times New Roman" w:cs="Times New Roman"/>
          <w:sz w:val="24"/>
          <w:szCs w:val="24"/>
        </w:rPr>
        <w:t xml:space="preserve">et al </w:t>
      </w:r>
      <w:r w:rsidRPr="005D7508">
        <w:rPr>
          <w:rFonts w:ascii="Times New Roman" w:eastAsia="Calibri" w:hAnsi="Times New Roman" w:cs="Times New Roman"/>
          <w:sz w:val="24"/>
          <w:szCs w:val="24"/>
        </w:rPr>
        <w:t>(2017). Knowledge of chemotherapy and occupational safety measures among nurses in oncology units. Journal of Clinical Sciences, 14(3), 131.</w:t>
      </w:r>
    </w:p>
    <w:p w14:paraId="0F778E53" w14:textId="58AEEEEF" w:rsidR="00B70670" w:rsidRDefault="00B70670" w:rsidP="00B7067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Oncology Nursing Society (2018) </w:t>
      </w:r>
      <w:r w:rsidRPr="00B70670">
        <w:rPr>
          <w:rFonts w:ascii="Times New Roman" w:eastAsia="Calibri" w:hAnsi="Times New Roman" w:cs="Times New Roman"/>
          <w:sz w:val="24"/>
          <w:szCs w:val="24"/>
        </w:rPr>
        <w:t>Toolkit for Safe Handling of Hazardous Drugs for Nurses</w:t>
      </w:r>
      <w:r>
        <w:rPr>
          <w:rFonts w:ascii="Times New Roman" w:eastAsia="Calibri" w:hAnsi="Times New Roman" w:cs="Times New Roman"/>
          <w:sz w:val="24"/>
          <w:szCs w:val="24"/>
        </w:rPr>
        <w:t xml:space="preserve"> </w:t>
      </w:r>
      <w:r w:rsidRPr="00B70670">
        <w:rPr>
          <w:rFonts w:ascii="Times New Roman" w:eastAsia="Calibri" w:hAnsi="Times New Roman" w:cs="Times New Roman"/>
          <w:sz w:val="24"/>
          <w:szCs w:val="24"/>
        </w:rPr>
        <w:t>in Oncology</w:t>
      </w:r>
      <w:r>
        <w:rPr>
          <w:rFonts w:ascii="Times New Roman" w:eastAsia="Calibri" w:hAnsi="Times New Roman" w:cs="Times New Roman"/>
          <w:sz w:val="24"/>
          <w:szCs w:val="24"/>
        </w:rPr>
        <w:t xml:space="preserve">. </w:t>
      </w:r>
      <w:r w:rsidRPr="00CB39B9">
        <w:rPr>
          <w:rFonts w:ascii="Times New Roman" w:hAnsi="Times New Roman" w:cs="Times New Roman"/>
        </w:rPr>
        <w:t xml:space="preserve">[last accessed </w:t>
      </w:r>
      <w:r>
        <w:rPr>
          <w:rFonts w:ascii="Times New Roman" w:hAnsi="Times New Roman" w:cs="Times New Roman"/>
        </w:rPr>
        <w:t xml:space="preserve">November </w:t>
      </w:r>
      <w:r w:rsidRPr="00CB39B9">
        <w:rPr>
          <w:rFonts w:ascii="Times New Roman" w:hAnsi="Times New Roman" w:cs="Times New Roman"/>
        </w:rPr>
        <w:t>202</w:t>
      </w:r>
      <w:r>
        <w:rPr>
          <w:rFonts w:ascii="Times New Roman" w:hAnsi="Times New Roman" w:cs="Times New Roman"/>
        </w:rPr>
        <w:t>4</w:t>
      </w:r>
      <w:r w:rsidRPr="00CB39B9">
        <w:rPr>
          <w:rFonts w:ascii="Times New Roman" w:hAnsi="Times New Roman" w:cs="Times New Roman"/>
        </w:rPr>
        <w:t>]</w:t>
      </w:r>
    </w:p>
    <w:p w14:paraId="02D6F48B" w14:textId="1F5B5FD1" w:rsidR="00B70670" w:rsidRDefault="003429B4" w:rsidP="00B70670">
      <w:pPr>
        <w:spacing w:after="0" w:line="360" w:lineRule="auto"/>
        <w:rPr>
          <w:rFonts w:ascii="Times New Roman" w:eastAsia="Calibri" w:hAnsi="Times New Roman" w:cs="Times New Roman"/>
          <w:sz w:val="24"/>
          <w:szCs w:val="24"/>
        </w:rPr>
      </w:pPr>
      <w:hyperlink r:id="rId31" w:history="1">
        <w:r w:rsidR="00B70670" w:rsidRPr="00D6645D">
          <w:rPr>
            <w:rStyle w:val="Hyperlink"/>
            <w:rFonts w:ascii="Times New Roman" w:eastAsia="Calibri" w:hAnsi="Times New Roman" w:cs="Times New Roman"/>
            <w:sz w:val="24"/>
            <w:szCs w:val="24"/>
          </w:rPr>
          <w:t>https://www.ons.org/sites/default/files/2018-06/ONS_Safe_Handling_Toolkit_0.pdf</w:t>
        </w:r>
      </w:hyperlink>
    </w:p>
    <w:p w14:paraId="3C694ADE" w14:textId="77777777" w:rsidR="00B70670" w:rsidRDefault="00B70670" w:rsidP="00B5650D">
      <w:pPr>
        <w:spacing w:line="360" w:lineRule="auto"/>
        <w:rPr>
          <w:rFonts w:ascii="Times New Roman" w:eastAsia="Calibri" w:hAnsi="Times New Roman" w:cs="Times New Roman"/>
          <w:sz w:val="24"/>
          <w:szCs w:val="24"/>
        </w:rPr>
      </w:pPr>
    </w:p>
    <w:p w14:paraId="2D5A1552" w14:textId="78E9CCF8" w:rsidR="001841B4" w:rsidRPr="005D7508" w:rsidRDefault="00E87128" w:rsidP="00B5650D">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rPr>
        <w:t xml:space="preserve">Orujlu S, Habibzadeh H, Sakhvidi MJZ, </w:t>
      </w:r>
      <w:r w:rsidR="00861579" w:rsidRPr="005D7508">
        <w:rPr>
          <w:rFonts w:ascii="Times New Roman" w:eastAsia="Calibri" w:hAnsi="Times New Roman" w:cs="Times New Roman"/>
          <w:sz w:val="24"/>
          <w:szCs w:val="24"/>
        </w:rPr>
        <w:t xml:space="preserve">et al </w:t>
      </w:r>
      <w:r w:rsidRPr="005D7508">
        <w:rPr>
          <w:rFonts w:ascii="Times New Roman" w:eastAsia="Calibri" w:hAnsi="Times New Roman" w:cs="Times New Roman"/>
          <w:sz w:val="24"/>
          <w:szCs w:val="24"/>
        </w:rPr>
        <w:t>(2016). Knowledge, attitude, and performance of oncology nurses handling antineoplastic drugs in Urmia University, Iran hospitals. International Journal of Occupational Hygiene, 8(1), 14-21.</w:t>
      </w:r>
    </w:p>
    <w:p w14:paraId="73F0A71A" w14:textId="77777777" w:rsidR="001841B4" w:rsidRDefault="00E87128" w:rsidP="00B5650D">
      <w:pPr>
        <w:spacing w:line="360" w:lineRule="auto"/>
        <w:rPr>
          <w:rFonts w:ascii="Times New Roman" w:eastAsia="Calibri" w:hAnsi="Times New Roman" w:cs="Times New Roman"/>
          <w:color w:val="0563C1" w:themeColor="hyperlink"/>
          <w:sz w:val="24"/>
          <w:szCs w:val="24"/>
          <w:u w:val="single"/>
          <w:shd w:val="clear" w:color="auto" w:fill="FFFFFF"/>
        </w:rPr>
      </w:pPr>
      <w:r w:rsidRPr="005D7508">
        <w:rPr>
          <w:rFonts w:ascii="Times New Roman" w:eastAsia="Calibri" w:hAnsi="Times New Roman" w:cs="Times New Roman"/>
          <w:sz w:val="24"/>
          <w:szCs w:val="24"/>
          <w:shd w:val="clear" w:color="auto" w:fill="FFFFFF"/>
        </w:rPr>
        <w:t>Polovich M,</w:t>
      </w:r>
      <w:r w:rsidR="00861579">
        <w:rPr>
          <w:rFonts w:ascii="Times New Roman" w:eastAsia="Calibri" w:hAnsi="Times New Roman" w:cs="Times New Roman"/>
          <w:sz w:val="24"/>
          <w:szCs w:val="24"/>
          <w:shd w:val="clear" w:color="auto" w:fill="FFFFFF"/>
        </w:rPr>
        <w:t xml:space="preserve"> </w:t>
      </w:r>
      <w:r w:rsidRPr="005D7508">
        <w:rPr>
          <w:rFonts w:ascii="Times New Roman" w:eastAsia="Calibri" w:hAnsi="Times New Roman" w:cs="Times New Roman"/>
          <w:sz w:val="24"/>
          <w:szCs w:val="24"/>
          <w:shd w:val="clear" w:color="auto" w:fill="FFFFFF"/>
        </w:rPr>
        <w:t xml:space="preserve">Clark, </w:t>
      </w:r>
      <w:r w:rsidRPr="005D7508">
        <w:rPr>
          <w:rFonts w:ascii="Times New Roman" w:eastAsia="Calibri" w:hAnsi="Times New Roman" w:cs="Times New Roman"/>
          <w:color w:val="212121"/>
          <w:sz w:val="24"/>
          <w:szCs w:val="24"/>
          <w:shd w:val="clear" w:color="auto" w:fill="FFFFFF"/>
        </w:rPr>
        <w:t xml:space="preserve">PC (2012). Factors influencing oncology nurses' use of hazardous drug safe-handling precautions. Oncology nursing forum, 39(3), E299–E309. </w:t>
      </w:r>
      <w:hyperlink r:id="rId32" w:history="1">
        <w:r w:rsidRPr="005D7508">
          <w:rPr>
            <w:rFonts w:ascii="Times New Roman" w:eastAsia="Calibri" w:hAnsi="Times New Roman" w:cs="Times New Roman"/>
            <w:color w:val="0563C1" w:themeColor="hyperlink"/>
            <w:sz w:val="24"/>
            <w:szCs w:val="24"/>
            <w:u w:val="single"/>
            <w:shd w:val="clear" w:color="auto" w:fill="FFFFFF"/>
          </w:rPr>
          <w:t>https://doi.org/10.1188/12.ONF.E299-E309</w:t>
        </w:r>
      </w:hyperlink>
    </w:p>
    <w:p w14:paraId="7247991D" w14:textId="77777777" w:rsidR="00AE0A35" w:rsidRPr="005D7508" w:rsidRDefault="00E87128" w:rsidP="00B5650D">
      <w:pPr>
        <w:spacing w:line="360" w:lineRule="auto"/>
        <w:rPr>
          <w:rFonts w:ascii="Times New Roman" w:eastAsia="Calibri" w:hAnsi="Times New Roman" w:cs="Times New Roman"/>
          <w:sz w:val="24"/>
          <w:szCs w:val="24"/>
        </w:rPr>
      </w:pPr>
      <w:r w:rsidRPr="00AE0A35">
        <w:rPr>
          <w:rFonts w:ascii="Times New Roman" w:eastAsia="Calibri" w:hAnsi="Times New Roman" w:cs="Times New Roman"/>
          <w:sz w:val="24"/>
          <w:szCs w:val="24"/>
        </w:rPr>
        <w:t>Sharp</w:t>
      </w:r>
      <w:r w:rsidR="00861579">
        <w:rPr>
          <w:rFonts w:ascii="Times New Roman" w:eastAsia="Calibri" w:hAnsi="Times New Roman" w:cs="Times New Roman"/>
          <w:sz w:val="24"/>
          <w:szCs w:val="24"/>
        </w:rPr>
        <w:t xml:space="preserve"> </w:t>
      </w:r>
      <w:r w:rsidRPr="00AE0A35">
        <w:rPr>
          <w:rFonts w:ascii="Times New Roman" w:eastAsia="Calibri" w:hAnsi="Times New Roman" w:cs="Times New Roman"/>
          <w:sz w:val="24"/>
          <w:szCs w:val="24"/>
        </w:rPr>
        <w:t>L, Fransson P, Fowler M</w:t>
      </w:r>
      <w:r w:rsidR="00861579">
        <w:rPr>
          <w:rFonts w:ascii="Times New Roman" w:eastAsia="Calibri" w:hAnsi="Times New Roman" w:cs="Times New Roman"/>
          <w:sz w:val="24"/>
          <w:szCs w:val="24"/>
        </w:rPr>
        <w:t xml:space="preserve"> </w:t>
      </w:r>
      <w:r w:rsidR="00861579" w:rsidRPr="005D7508">
        <w:rPr>
          <w:rFonts w:ascii="Times New Roman" w:eastAsia="Calibri" w:hAnsi="Times New Roman" w:cs="Times New Roman"/>
          <w:sz w:val="24"/>
          <w:szCs w:val="24"/>
        </w:rPr>
        <w:t>et al</w:t>
      </w:r>
      <w:r w:rsidR="00861579">
        <w:rPr>
          <w:rFonts w:ascii="Times New Roman" w:eastAsia="Calibri" w:hAnsi="Times New Roman" w:cs="Times New Roman"/>
          <w:sz w:val="24"/>
          <w:szCs w:val="24"/>
        </w:rPr>
        <w:t xml:space="preserve"> </w:t>
      </w:r>
      <w:r w:rsidRPr="00AE0A35">
        <w:rPr>
          <w:rFonts w:ascii="Times New Roman" w:eastAsia="Calibri" w:hAnsi="Times New Roman" w:cs="Times New Roman"/>
          <w:sz w:val="24"/>
          <w:szCs w:val="24"/>
        </w:rPr>
        <w:t>(2024). Aspects of occupational safety: a survey among European cancer nurses. </w:t>
      </w:r>
      <w:r w:rsidRPr="00AE0A35">
        <w:rPr>
          <w:rFonts w:ascii="Times New Roman" w:eastAsia="Calibri" w:hAnsi="Times New Roman" w:cs="Times New Roman"/>
          <w:i/>
          <w:iCs/>
          <w:sz w:val="24"/>
          <w:szCs w:val="24"/>
        </w:rPr>
        <w:t>European journal of oncology nursing: the official journal of European Oncology Nursing Society</w:t>
      </w:r>
      <w:r w:rsidRPr="00AE0A35">
        <w:rPr>
          <w:rFonts w:ascii="Times New Roman" w:eastAsia="Calibri" w:hAnsi="Times New Roman" w:cs="Times New Roman"/>
          <w:sz w:val="24"/>
          <w:szCs w:val="24"/>
        </w:rPr>
        <w:t>, </w:t>
      </w:r>
      <w:r w:rsidRPr="00AE0A35">
        <w:rPr>
          <w:rFonts w:ascii="Times New Roman" w:eastAsia="Calibri" w:hAnsi="Times New Roman" w:cs="Times New Roman"/>
          <w:i/>
          <w:iCs/>
          <w:sz w:val="24"/>
          <w:szCs w:val="24"/>
        </w:rPr>
        <w:t>70</w:t>
      </w:r>
      <w:r w:rsidRPr="00AE0A35">
        <w:rPr>
          <w:rFonts w:ascii="Times New Roman" w:eastAsia="Calibri" w:hAnsi="Times New Roman" w:cs="Times New Roman"/>
          <w:sz w:val="24"/>
          <w:szCs w:val="24"/>
        </w:rPr>
        <w:t xml:space="preserve">, 102595. </w:t>
      </w:r>
      <w:hyperlink r:id="rId33" w:history="1">
        <w:r w:rsidRPr="00B5650D">
          <w:rPr>
            <w:rStyle w:val="Hyperlink"/>
            <w:rFonts w:ascii="Times New Roman" w:eastAsia="Calibri" w:hAnsi="Times New Roman" w:cs="Times New Roman"/>
            <w:sz w:val="24"/>
            <w:szCs w:val="24"/>
          </w:rPr>
          <w:t>https://doi.org/10.1016/j.ejon.2024.102595</w:t>
        </w:r>
      </w:hyperlink>
    </w:p>
    <w:p w14:paraId="3FC9D35D" w14:textId="72E311A8" w:rsidR="008D25CE" w:rsidRDefault="00E87128" w:rsidP="00B5650D">
      <w:pPr>
        <w:spacing w:line="360" w:lineRule="auto"/>
        <w:rPr>
          <w:rFonts w:ascii="Times New Roman" w:eastAsia="Calibri" w:hAnsi="Times New Roman" w:cs="Times New Roman"/>
          <w:color w:val="0563C1" w:themeColor="hyperlink"/>
          <w:sz w:val="24"/>
          <w:szCs w:val="24"/>
          <w:u w:val="single"/>
          <w:shd w:val="clear" w:color="auto" w:fill="FFFFFF"/>
        </w:rPr>
      </w:pPr>
      <w:r w:rsidRPr="005D7508">
        <w:rPr>
          <w:rFonts w:ascii="Times New Roman" w:eastAsia="Calibri" w:hAnsi="Times New Roman" w:cs="Times New Roman"/>
          <w:sz w:val="24"/>
          <w:szCs w:val="24"/>
          <w:shd w:val="clear" w:color="auto" w:fill="FFFFFF"/>
        </w:rPr>
        <w:t xml:space="preserve">Simons A, Toland S (2017). </w:t>
      </w:r>
      <w:r w:rsidRPr="005D7508">
        <w:rPr>
          <w:rFonts w:ascii="Times New Roman" w:eastAsia="Calibri" w:hAnsi="Times New Roman" w:cs="Times New Roman"/>
          <w:color w:val="212121"/>
          <w:sz w:val="24"/>
          <w:szCs w:val="24"/>
          <w:shd w:val="clear" w:color="auto" w:fill="FFFFFF"/>
        </w:rPr>
        <w:t>Perceived adverse effects from handling systemic anticancer therapy agents. British journal of nursing</w:t>
      </w:r>
      <w:r w:rsidR="006260F6">
        <w:rPr>
          <w:rFonts w:ascii="Times New Roman" w:eastAsia="Calibri" w:hAnsi="Times New Roman" w:cs="Times New Roman"/>
          <w:color w:val="212121"/>
          <w:sz w:val="24"/>
          <w:szCs w:val="24"/>
          <w:shd w:val="clear" w:color="auto" w:fill="FFFFFF"/>
        </w:rPr>
        <w:t xml:space="preserve">, </w:t>
      </w:r>
      <w:r w:rsidRPr="005D7508">
        <w:rPr>
          <w:rFonts w:ascii="Times New Roman" w:eastAsia="Calibri" w:hAnsi="Times New Roman" w:cs="Times New Roman"/>
          <w:color w:val="212121"/>
          <w:sz w:val="24"/>
          <w:szCs w:val="24"/>
          <w:shd w:val="clear" w:color="auto" w:fill="FFFFFF"/>
        </w:rPr>
        <w:t xml:space="preserve">26(16), S38–S44. </w:t>
      </w:r>
      <w:hyperlink r:id="rId34" w:history="1">
        <w:r w:rsidRPr="005D7508">
          <w:rPr>
            <w:rFonts w:ascii="Times New Roman" w:eastAsia="Calibri" w:hAnsi="Times New Roman" w:cs="Times New Roman"/>
            <w:color w:val="0563C1" w:themeColor="hyperlink"/>
            <w:sz w:val="24"/>
            <w:szCs w:val="24"/>
            <w:u w:val="single"/>
            <w:shd w:val="clear" w:color="auto" w:fill="FFFFFF"/>
          </w:rPr>
          <w:t>https://doi.org/10.12968/bjon.2017.26.16.S38</w:t>
        </w:r>
      </w:hyperlink>
    </w:p>
    <w:p w14:paraId="075BEB4C" w14:textId="32B76072" w:rsidR="0090219E" w:rsidRDefault="0090219E" w:rsidP="0090219E">
      <w:pPr>
        <w:spacing w:line="360" w:lineRule="auto"/>
        <w:rPr>
          <w:rFonts w:ascii="Times New Roman" w:eastAsia="Calibri" w:hAnsi="Times New Roman" w:cs="Times New Roman"/>
          <w:color w:val="212121"/>
          <w:sz w:val="24"/>
          <w:szCs w:val="24"/>
          <w:shd w:val="clear" w:color="auto" w:fill="FFFFFF"/>
        </w:rPr>
      </w:pPr>
      <w:r w:rsidRPr="0090219E">
        <w:rPr>
          <w:rFonts w:ascii="Times New Roman" w:eastAsia="Calibri" w:hAnsi="Times New Roman" w:cs="Times New Roman"/>
          <w:color w:val="212121"/>
          <w:sz w:val="24"/>
          <w:szCs w:val="24"/>
          <w:shd w:val="clear" w:color="auto" w:fill="FFFFFF"/>
        </w:rPr>
        <w:t xml:space="preserve">Simons A, Toland S (2019) Systemic anticancer therapy handling safety: healthcare workers’ awareness, knowledge, training and use of protection measures. Cancer Nursing Practice. doi: </w:t>
      </w:r>
      <w:hyperlink r:id="rId35" w:history="1">
        <w:r w:rsidRPr="00D6645D">
          <w:rPr>
            <w:rStyle w:val="Hyperlink"/>
            <w:rFonts w:ascii="Times New Roman" w:eastAsia="Calibri" w:hAnsi="Times New Roman" w:cs="Times New Roman"/>
            <w:sz w:val="24"/>
            <w:szCs w:val="24"/>
            <w:shd w:val="clear" w:color="auto" w:fill="FFFFFF"/>
          </w:rPr>
          <w:t>https://doi.org/10.7748/cnp.2019.e1657</w:t>
        </w:r>
      </w:hyperlink>
    </w:p>
    <w:p w14:paraId="0AF9AAD0" w14:textId="77777777" w:rsidR="001841B4" w:rsidRPr="005D7508" w:rsidRDefault="00E87128" w:rsidP="00B5650D">
      <w:pPr>
        <w:spacing w:line="360" w:lineRule="auto"/>
        <w:rPr>
          <w:rFonts w:ascii="Times New Roman" w:eastAsia="Calibri" w:hAnsi="Times New Roman" w:cs="Times New Roman"/>
          <w:sz w:val="24"/>
          <w:szCs w:val="24"/>
        </w:rPr>
      </w:pPr>
      <w:r w:rsidRPr="005D7508">
        <w:rPr>
          <w:rFonts w:ascii="Times New Roman" w:eastAsia="Calibri" w:hAnsi="Times New Roman" w:cs="Times New Roman"/>
          <w:sz w:val="24"/>
          <w:szCs w:val="24"/>
          <w:shd w:val="clear" w:color="auto" w:fill="FFFFFF"/>
        </w:rPr>
        <w:t xml:space="preserve">Srisintorn </w:t>
      </w:r>
      <w:r w:rsidRPr="005D7508">
        <w:rPr>
          <w:rFonts w:ascii="Times New Roman" w:eastAsia="Calibri" w:hAnsi="Times New Roman" w:cs="Times New Roman"/>
          <w:color w:val="212121"/>
          <w:sz w:val="24"/>
          <w:szCs w:val="24"/>
          <w:shd w:val="clear" w:color="auto" w:fill="FFFFFF"/>
        </w:rPr>
        <w:t xml:space="preserve">W, Geater A, Polovich M, </w:t>
      </w:r>
      <w:r w:rsidR="00861579" w:rsidRPr="005D7508">
        <w:rPr>
          <w:rFonts w:ascii="Times New Roman" w:eastAsia="Calibri" w:hAnsi="Times New Roman" w:cs="Times New Roman"/>
          <w:sz w:val="24"/>
          <w:szCs w:val="24"/>
        </w:rPr>
        <w:t xml:space="preserve">et al </w:t>
      </w:r>
      <w:r w:rsidRPr="005D7508">
        <w:rPr>
          <w:rFonts w:ascii="Times New Roman" w:eastAsia="Calibri" w:hAnsi="Times New Roman" w:cs="Times New Roman"/>
          <w:color w:val="212121"/>
          <w:sz w:val="24"/>
          <w:szCs w:val="24"/>
          <w:shd w:val="clear" w:color="auto" w:fill="FFFFFF"/>
        </w:rPr>
        <w:t xml:space="preserve">(2021). Factors influencing precautions against antineoplastic drug exposure among nurses and nurse assistants in Thailand. International archives of occupational and environmental health, 94(5), 813–822. </w:t>
      </w:r>
      <w:hyperlink r:id="rId36" w:history="1">
        <w:r w:rsidRPr="005D7508">
          <w:rPr>
            <w:rFonts w:ascii="Times New Roman" w:eastAsia="Calibri" w:hAnsi="Times New Roman" w:cs="Times New Roman"/>
            <w:color w:val="0563C1" w:themeColor="hyperlink"/>
            <w:sz w:val="24"/>
            <w:szCs w:val="24"/>
            <w:u w:val="single"/>
            <w:shd w:val="clear" w:color="auto" w:fill="FFFFFF"/>
          </w:rPr>
          <w:t>https://doi.org/10.1007/s00420-020-01649-9</w:t>
        </w:r>
      </w:hyperlink>
    </w:p>
    <w:p w14:paraId="271A9F64" w14:textId="77777777" w:rsidR="008D25CE" w:rsidRPr="005D7508" w:rsidRDefault="00E87128" w:rsidP="00B5650D">
      <w:pPr>
        <w:spacing w:line="360" w:lineRule="auto"/>
        <w:rPr>
          <w:rFonts w:ascii="Times New Roman" w:eastAsia="Calibri" w:hAnsi="Times New Roman" w:cs="Times New Roman"/>
          <w:color w:val="212121"/>
          <w:sz w:val="24"/>
          <w:szCs w:val="24"/>
          <w:shd w:val="clear" w:color="auto" w:fill="FFFFFF"/>
        </w:rPr>
      </w:pPr>
      <w:r w:rsidRPr="005D7508">
        <w:rPr>
          <w:rFonts w:ascii="Times New Roman" w:eastAsia="Calibri" w:hAnsi="Times New Roman" w:cs="Times New Roman"/>
          <w:sz w:val="24"/>
          <w:szCs w:val="24"/>
          <w:shd w:val="clear" w:color="auto" w:fill="FFFFFF"/>
        </w:rPr>
        <w:t xml:space="preserve">Topçu </w:t>
      </w:r>
      <w:r w:rsidRPr="005D7508">
        <w:rPr>
          <w:rFonts w:ascii="Times New Roman" w:eastAsia="Calibri" w:hAnsi="Times New Roman" w:cs="Times New Roman"/>
          <w:color w:val="212121"/>
          <w:sz w:val="24"/>
          <w:szCs w:val="24"/>
          <w:shd w:val="clear" w:color="auto" w:fill="FFFFFF"/>
        </w:rPr>
        <w:t xml:space="preserve">S, Beşer A (2017). Oncology nurses' perspectives on safe handling precautions: a qualitative study. Contemporary nurse, 53(3), 271–283. </w:t>
      </w:r>
      <w:hyperlink r:id="rId37" w:history="1">
        <w:r w:rsidRPr="005D7508">
          <w:rPr>
            <w:rFonts w:ascii="Times New Roman" w:eastAsia="Calibri" w:hAnsi="Times New Roman" w:cs="Times New Roman"/>
            <w:color w:val="0563C1" w:themeColor="hyperlink"/>
            <w:sz w:val="24"/>
            <w:szCs w:val="24"/>
            <w:u w:val="single"/>
            <w:shd w:val="clear" w:color="auto" w:fill="FFFFFF"/>
          </w:rPr>
          <w:t>https://doi.org/10.1080/10376178.2017.1315828</w:t>
        </w:r>
      </w:hyperlink>
    </w:p>
    <w:p w14:paraId="43619126" w14:textId="77777777" w:rsidR="008D25CE" w:rsidRDefault="00E87128" w:rsidP="00B5650D">
      <w:pPr>
        <w:spacing w:line="360" w:lineRule="auto"/>
        <w:rPr>
          <w:rFonts w:ascii="Times New Roman" w:eastAsia="Calibri" w:hAnsi="Times New Roman" w:cs="Times New Roman"/>
          <w:color w:val="0563C1" w:themeColor="hyperlink"/>
          <w:sz w:val="24"/>
          <w:szCs w:val="24"/>
          <w:u w:val="single"/>
          <w:shd w:val="clear" w:color="auto" w:fill="FFFFFF"/>
        </w:rPr>
      </w:pPr>
      <w:r w:rsidRPr="005D7508">
        <w:rPr>
          <w:rFonts w:ascii="Times New Roman" w:eastAsia="Calibri" w:hAnsi="Times New Roman" w:cs="Times New Roman"/>
          <w:sz w:val="24"/>
          <w:szCs w:val="24"/>
          <w:shd w:val="clear" w:color="auto" w:fill="FFFFFF"/>
        </w:rPr>
        <w:t>Tuna</w:t>
      </w:r>
      <w:r w:rsidRPr="005D7508">
        <w:rPr>
          <w:rFonts w:ascii="Times New Roman" w:eastAsia="Calibri" w:hAnsi="Times New Roman" w:cs="Times New Roman"/>
          <w:color w:val="212121"/>
          <w:sz w:val="24"/>
          <w:szCs w:val="24"/>
          <w:shd w:val="clear" w:color="auto" w:fill="FFFFFF"/>
        </w:rPr>
        <w:t xml:space="preserve"> R, Baykal U (2017) A Qualitative Study: Determination of the Working Conditions and Knowledge Levels of Oncology Nurses in Terms of Employee Safety. Int J Nurs Clin Pract 4: 231. doi: </w:t>
      </w:r>
      <w:hyperlink r:id="rId38" w:history="1">
        <w:r w:rsidRPr="005D7508">
          <w:rPr>
            <w:rFonts w:ascii="Times New Roman" w:eastAsia="Calibri" w:hAnsi="Times New Roman" w:cs="Times New Roman"/>
            <w:color w:val="0563C1" w:themeColor="hyperlink"/>
            <w:sz w:val="24"/>
            <w:szCs w:val="24"/>
            <w:u w:val="single"/>
            <w:shd w:val="clear" w:color="auto" w:fill="FFFFFF"/>
          </w:rPr>
          <w:t>https://doi.org/10.15344/2394-4978/2017/231</w:t>
        </w:r>
      </w:hyperlink>
    </w:p>
    <w:p w14:paraId="5EBF68F7" w14:textId="77777777" w:rsidR="003B1B9B" w:rsidRPr="00457E9B" w:rsidRDefault="001E65BA" w:rsidP="00AE0A35">
      <w:pPr>
        <w:spacing w:line="360" w:lineRule="auto"/>
        <w:rPr>
          <w:rFonts w:ascii="Times New Roman" w:eastAsia="Calibri" w:hAnsi="Times New Roman" w:cs="Times New Roman"/>
          <w:sz w:val="24"/>
          <w:szCs w:val="24"/>
          <w:u w:val="single"/>
          <w:shd w:val="clear" w:color="auto" w:fill="FFFFFF"/>
        </w:rPr>
      </w:pPr>
      <w:r w:rsidRPr="00457E9B">
        <w:rPr>
          <w:rFonts w:ascii="Times New Roman" w:eastAsia="Calibri" w:hAnsi="Times New Roman" w:cs="Times New Roman"/>
          <w:sz w:val="24"/>
          <w:szCs w:val="24"/>
          <w:shd w:val="clear" w:color="auto" w:fill="FFFFFF"/>
        </w:rPr>
        <w:t>UK Oncology Nursing Society</w:t>
      </w:r>
      <w:r w:rsidRPr="00457E9B">
        <w:rPr>
          <w:rFonts w:ascii="Times New Roman" w:eastAsia="Calibri" w:hAnsi="Times New Roman" w:cs="Times New Roman"/>
          <w:sz w:val="24"/>
          <w:szCs w:val="24"/>
          <w:u w:val="single"/>
          <w:shd w:val="clear" w:color="auto" w:fill="FFFFFF"/>
        </w:rPr>
        <w:t xml:space="preserve"> </w:t>
      </w:r>
      <w:r w:rsidR="003B1B9B" w:rsidRPr="00457E9B">
        <w:rPr>
          <w:rFonts w:ascii="Times New Roman" w:eastAsia="Calibri" w:hAnsi="Times New Roman" w:cs="Times New Roman"/>
          <w:sz w:val="24"/>
          <w:szCs w:val="24"/>
          <w:u w:val="single"/>
          <w:shd w:val="clear" w:color="auto" w:fill="FFFFFF"/>
        </w:rPr>
        <w:t>2024</w:t>
      </w:r>
    </w:p>
    <w:p w14:paraId="7DBA99EA" w14:textId="14340942" w:rsidR="001E65BA" w:rsidRDefault="003429B4" w:rsidP="00AE0A35">
      <w:pPr>
        <w:spacing w:line="360" w:lineRule="auto"/>
        <w:rPr>
          <w:rFonts w:ascii="Times New Roman" w:eastAsia="Calibri" w:hAnsi="Times New Roman" w:cs="Times New Roman"/>
          <w:color w:val="0563C1" w:themeColor="hyperlink"/>
          <w:sz w:val="24"/>
          <w:szCs w:val="24"/>
          <w:u w:val="single"/>
          <w:shd w:val="clear" w:color="auto" w:fill="FFFFFF"/>
        </w:rPr>
      </w:pPr>
      <w:hyperlink r:id="rId39" w:history="1">
        <w:r w:rsidR="003B1B9B" w:rsidRPr="00457E9B">
          <w:rPr>
            <w:rStyle w:val="Hyperlink"/>
            <w:rFonts w:ascii="Times New Roman" w:eastAsia="Calibri" w:hAnsi="Times New Roman" w:cs="Times New Roman"/>
            <w:sz w:val="24"/>
            <w:szCs w:val="24"/>
            <w:shd w:val="clear" w:color="auto" w:fill="FFFFFF"/>
          </w:rPr>
          <w:t>https://www.ukons.org/site/assets/files/1138/ukons_sact_electronic_passport_version_4.pdf</w:t>
        </w:r>
      </w:hyperlink>
      <w:r w:rsidR="001E65BA" w:rsidRPr="00457E9B">
        <w:rPr>
          <w:rFonts w:ascii="Times New Roman" w:eastAsia="Calibri" w:hAnsi="Times New Roman" w:cs="Times New Roman"/>
          <w:color w:val="0563C1" w:themeColor="hyperlink"/>
          <w:sz w:val="24"/>
          <w:szCs w:val="24"/>
          <w:u w:val="single"/>
          <w:shd w:val="clear" w:color="auto" w:fill="FFFFFF"/>
        </w:rPr>
        <w:t xml:space="preserve"> </w:t>
      </w:r>
      <w:r w:rsidR="001E65BA" w:rsidRPr="00457E9B">
        <w:rPr>
          <w:rFonts w:ascii="Times New Roman" w:hAnsi="Times New Roman" w:cs="Times New Roman"/>
        </w:rPr>
        <w:t>[last accessed October 2024]</w:t>
      </w:r>
    </w:p>
    <w:p w14:paraId="110A4622" w14:textId="1A1CD534" w:rsidR="00AE0A35" w:rsidRPr="00CB39B9" w:rsidRDefault="00E87128" w:rsidP="00AE0A35">
      <w:pPr>
        <w:spacing w:line="360" w:lineRule="auto"/>
        <w:rPr>
          <w:rFonts w:ascii="Times New Roman" w:hAnsi="Times New Roman" w:cs="Times New Roman"/>
        </w:rPr>
      </w:pPr>
      <w:r w:rsidRPr="00CB39B9">
        <w:rPr>
          <w:rFonts w:ascii="Times New Roman" w:hAnsi="Times New Roman" w:cs="Times New Roman"/>
        </w:rPr>
        <w:t xml:space="preserve">United States Convention Pharmacopeia  USP General Chapter (2017). &lt;800&gt; Handlining in Health Care Setting. </w:t>
      </w:r>
      <w:hyperlink r:id="rId40" w:history="1">
        <w:r w:rsidRPr="00CB39B9">
          <w:rPr>
            <w:rStyle w:val="Hyperlink"/>
            <w:rFonts w:ascii="Times New Roman" w:hAnsi="Times New Roman" w:cs="Times New Roman"/>
          </w:rPr>
          <w:t>https://www.usp.org/compounding/general-chapter-hazardous-drugs-handling-healthcare</w:t>
        </w:r>
      </w:hyperlink>
      <w:r w:rsidRPr="00CB39B9">
        <w:rPr>
          <w:rFonts w:ascii="Times New Roman" w:hAnsi="Times New Roman" w:cs="Times New Roman"/>
        </w:rPr>
        <w:t xml:space="preserve"> [ last accessed October 202</w:t>
      </w:r>
      <w:r w:rsidR="001E65BA">
        <w:rPr>
          <w:rFonts w:ascii="Times New Roman" w:hAnsi="Times New Roman" w:cs="Times New Roman"/>
        </w:rPr>
        <w:t>4</w:t>
      </w:r>
      <w:r w:rsidRPr="00CB39B9">
        <w:rPr>
          <w:rFonts w:ascii="Times New Roman" w:hAnsi="Times New Roman" w:cs="Times New Roman"/>
        </w:rPr>
        <w:t>]</w:t>
      </w:r>
    </w:p>
    <w:p w14:paraId="52314C55" w14:textId="77777777" w:rsidR="00AE0A35" w:rsidRDefault="00AE0A35" w:rsidP="005D7508">
      <w:pPr>
        <w:spacing w:line="480" w:lineRule="auto"/>
        <w:rPr>
          <w:rFonts w:ascii="Times New Roman" w:eastAsia="Calibri" w:hAnsi="Times New Roman" w:cs="Times New Roman"/>
          <w:color w:val="0563C1" w:themeColor="hyperlink"/>
          <w:sz w:val="24"/>
          <w:szCs w:val="24"/>
          <w:u w:val="single"/>
          <w:shd w:val="clear" w:color="auto" w:fill="FFFFFF"/>
        </w:rPr>
      </w:pPr>
    </w:p>
    <w:p w14:paraId="484A4BBE" w14:textId="77777777" w:rsidR="00793B2A" w:rsidRPr="005D7508" w:rsidRDefault="00793B2A" w:rsidP="005D7508">
      <w:pPr>
        <w:spacing w:line="480" w:lineRule="auto"/>
        <w:rPr>
          <w:rFonts w:ascii="Times New Roman" w:hAnsi="Times New Roman" w:cs="Times New Roman"/>
          <w:sz w:val="24"/>
          <w:szCs w:val="24"/>
        </w:rPr>
      </w:pPr>
    </w:p>
    <w:sectPr w:rsidR="00793B2A" w:rsidRPr="005D7508">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6D92" w14:textId="77777777" w:rsidR="00E87128" w:rsidRDefault="00E87128">
      <w:pPr>
        <w:spacing w:after="0" w:line="240" w:lineRule="auto"/>
      </w:pPr>
      <w:r>
        <w:separator/>
      </w:r>
    </w:p>
  </w:endnote>
  <w:endnote w:type="continuationSeparator" w:id="0">
    <w:p w14:paraId="535FC1FF" w14:textId="77777777" w:rsidR="00E87128" w:rsidRDefault="00E8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AE1B2" w14:textId="77777777" w:rsidR="006B22AA" w:rsidRDefault="006B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526371"/>
      <w:docPartObj>
        <w:docPartGallery w:val="Page Numbers (Bottom of Page)"/>
        <w:docPartUnique/>
      </w:docPartObj>
    </w:sdtPr>
    <w:sdtEndPr>
      <w:rPr>
        <w:noProof/>
      </w:rPr>
    </w:sdtEndPr>
    <w:sdtContent>
      <w:p w14:paraId="3B2CCB29" w14:textId="77777777" w:rsidR="005D7508" w:rsidRDefault="00E871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AB9FD" w14:textId="77777777" w:rsidR="00116433" w:rsidRDefault="00116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62CE" w14:textId="77777777" w:rsidR="006B22AA" w:rsidRDefault="006B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48F5" w14:textId="77777777" w:rsidR="00E87128" w:rsidRDefault="00E87128">
      <w:pPr>
        <w:spacing w:after="0" w:line="240" w:lineRule="auto"/>
      </w:pPr>
      <w:r>
        <w:separator/>
      </w:r>
    </w:p>
  </w:footnote>
  <w:footnote w:type="continuationSeparator" w:id="0">
    <w:p w14:paraId="2508CBE9" w14:textId="77777777" w:rsidR="00E87128" w:rsidRDefault="00E8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390F" w14:textId="77777777" w:rsidR="006B22AA" w:rsidRDefault="006B2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F699" w14:textId="3AD5ABFB" w:rsidR="006B22AA" w:rsidRDefault="006B2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E98D" w14:textId="77777777" w:rsidR="006B22AA" w:rsidRDefault="006B2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EA6"/>
    <w:multiLevelType w:val="multilevel"/>
    <w:tmpl w:val="14A8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A39CD"/>
    <w:multiLevelType w:val="multilevel"/>
    <w:tmpl w:val="46F2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6357FC"/>
    <w:multiLevelType w:val="multilevel"/>
    <w:tmpl w:val="5EF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2403040">
    <w:abstractNumId w:val="1"/>
  </w:num>
  <w:num w:numId="2" w16cid:durableId="1149984237">
    <w:abstractNumId w:val="2"/>
  </w:num>
  <w:num w:numId="3" w16cid:durableId="1618834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wsjSxNLA0tzAxNTRT0lEKTi0uzszPAykwNKkFAOhtGYItAAAA"/>
  </w:docVars>
  <w:rsids>
    <w:rsidRoot w:val="004F5192"/>
    <w:rsid w:val="00000414"/>
    <w:rsid w:val="000017CD"/>
    <w:rsid w:val="0001109C"/>
    <w:rsid w:val="00025791"/>
    <w:rsid w:val="00055634"/>
    <w:rsid w:val="00060341"/>
    <w:rsid w:val="00081C14"/>
    <w:rsid w:val="000926FA"/>
    <w:rsid w:val="0009430D"/>
    <w:rsid w:val="000A4406"/>
    <w:rsid w:val="000B7552"/>
    <w:rsid w:val="000D1179"/>
    <w:rsid w:val="000E5F62"/>
    <w:rsid w:val="000F094B"/>
    <w:rsid w:val="000F113C"/>
    <w:rsid w:val="00104D22"/>
    <w:rsid w:val="00111B68"/>
    <w:rsid w:val="00116433"/>
    <w:rsid w:val="00117863"/>
    <w:rsid w:val="00124B33"/>
    <w:rsid w:val="00133644"/>
    <w:rsid w:val="00161124"/>
    <w:rsid w:val="00175325"/>
    <w:rsid w:val="001841B4"/>
    <w:rsid w:val="001979A2"/>
    <w:rsid w:val="001A16AF"/>
    <w:rsid w:val="001B519A"/>
    <w:rsid w:val="001C29FA"/>
    <w:rsid w:val="001D59E6"/>
    <w:rsid w:val="001E65BA"/>
    <w:rsid w:val="001F0D8A"/>
    <w:rsid w:val="001F613A"/>
    <w:rsid w:val="002170BC"/>
    <w:rsid w:val="00230D83"/>
    <w:rsid w:val="00252DB8"/>
    <w:rsid w:val="002631FC"/>
    <w:rsid w:val="00272759"/>
    <w:rsid w:val="00290D5B"/>
    <w:rsid w:val="00290E4A"/>
    <w:rsid w:val="002A1001"/>
    <w:rsid w:val="002A7CD4"/>
    <w:rsid w:val="002B11BA"/>
    <w:rsid w:val="002B1755"/>
    <w:rsid w:val="002B659A"/>
    <w:rsid w:val="002B77E1"/>
    <w:rsid w:val="002D6554"/>
    <w:rsid w:val="002D762A"/>
    <w:rsid w:val="002F7869"/>
    <w:rsid w:val="00323C19"/>
    <w:rsid w:val="00336456"/>
    <w:rsid w:val="00336900"/>
    <w:rsid w:val="003429B4"/>
    <w:rsid w:val="003621B1"/>
    <w:rsid w:val="003653C4"/>
    <w:rsid w:val="00386182"/>
    <w:rsid w:val="0039241F"/>
    <w:rsid w:val="00393018"/>
    <w:rsid w:val="003A0231"/>
    <w:rsid w:val="003B1B9B"/>
    <w:rsid w:val="003B61CE"/>
    <w:rsid w:val="003C1D0D"/>
    <w:rsid w:val="003C6ECB"/>
    <w:rsid w:val="003D3A78"/>
    <w:rsid w:val="003E02CB"/>
    <w:rsid w:val="003F490F"/>
    <w:rsid w:val="004071F6"/>
    <w:rsid w:val="00407E7B"/>
    <w:rsid w:val="00457B2F"/>
    <w:rsid w:val="00457E9B"/>
    <w:rsid w:val="00460DA5"/>
    <w:rsid w:val="004977B2"/>
    <w:rsid w:val="004A2A6C"/>
    <w:rsid w:val="004A2FB6"/>
    <w:rsid w:val="004F23E4"/>
    <w:rsid w:val="004F5192"/>
    <w:rsid w:val="004F7670"/>
    <w:rsid w:val="0052467F"/>
    <w:rsid w:val="00524E84"/>
    <w:rsid w:val="00540C4C"/>
    <w:rsid w:val="0055147D"/>
    <w:rsid w:val="00551B12"/>
    <w:rsid w:val="005536A8"/>
    <w:rsid w:val="005540C9"/>
    <w:rsid w:val="00557221"/>
    <w:rsid w:val="00570BFF"/>
    <w:rsid w:val="00587FC8"/>
    <w:rsid w:val="00595237"/>
    <w:rsid w:val="005D7290"/>
    <w:rsid w:val="005D7508"/>
    <w:rsid w:val="0060407A"/>
    <w:rsid w:val="0060567D"/>
    <w:rsid w:val="006071E1"/>
    <w:rsid w:val="00610AD6"/>
    <w:rsid w:val="00610D56"/>
    <w:rsid w:val="00610F89"/>
    <w:rsid w:val="006124D7"/>
    <w:rsid w:val="00617173"/>
    <w:rsid w:val="006260F6"/>
    <w:rsid w:val="00645F37"/>
    <w:rsid w:val="00651850"/>
    <w:rsid w:val="00656B82"/>
    <w:rsid w:val="00660D6B"/>
    <w:rsid w:val="00672DE5"/>
    <w:rsid w:val="00675568"/>
    <w:rsid w:val="00682125"/>
    <w:rsid w:val="00687477"/>
    <w:rsid w:val="00694330"/>
    <w:rsid w:val="006969F6"/>
    <w:rsid w:val="00696E8A"/>
    <w:rsid w:val="006A15FA"/>
    <w:rsid w:val="006A65F2"/>
    <w:rsid w:val="006A76D8"/>
    <w:rsid w:val="006B02A2"/>
    <w:rsid w:val="006B22AA"/>
    <w:rsid w:val="006D245B"/>
    <w:rsid w:val="006D27A8"/>
    <w:rsid w:val="006F0E71"/>
    <w:rsid w:val="006F258C"/>
    <w:rsid w:val="00704C67"/>
    <w:rsid w:val="00711DD5"/>
    <w:rsid w:val="00713FCC"/>
    <w:rsid w:val="00716269"/>
    <w:rsid w:val="007209B8"/>
    <w:rsid w:val="00732BA6"/>
    <w:rsid w:val="00742410"/>
    <w:rsid w:val="00750B73"/>
    <w:rsid w:val="00762E01"/>
    <w:rsid w:val="00762F2D"/>
    <w:rsid w:val="00770F00"/>
    <w:rsid w:val="00785CDE"/>
    <w:rsid w:val="007862EC"/>
    <w:rsid w:val="00793B2A"/>
    <w:rsid w:val="007C0F4B"/>
    <w:rsid w:val="007C66EB"/>
    <w:rsid w:val="007D023D"/>
    <w:rsid w:val="007F451E"/>
    <w:rsid w:val="00801E22"/>
    <w:rsid w:val="00805CC2"/>
    <w:rsid w:val="00814D27"/>
    <w:rsid w:val="0082190F"/>
    <w:rsid w:val="00825837"/>
    <w:rsid w:val="00833FBD"/>
    <w:rsid w:val="0083559C"/>
    <w:rsid w:val="008377C1"/>
    <w:rsid w:val="00840C52"/>
    <w:rsid w:val="00856FD0"/>
    <w:rsid w:val="00861579"/>
    <w:rsid w:val="008719FF"/>
    <w:rsid w:val="008741D4"/>
    <w:rsid w:val="0088021D"/>
    <w:rsid w:val="00880F0C"/>
    <w:rsid w:val="00881EBA"/>
    <w:rsid w:val="00891491"/>
    <w:rsid w:val="008A3E96"/>
    <w:rsid w:val="008B54E1"/>
    <w:rsid w:val="008C06A0"/>
    <w:rsid w:val="008D17D4"/>
    <w:rsid w:val="008D25CE"/>
    <w:rsid w:val="008D5334"/>
    <w:rsid w:val="008E32F4"/>
    <w:rsid w:val="008F609B"/>
    <w:rsid w:val="0090219E"/>
    <w:rsid w:val="009075C6"/>
    <w:rsid w:val="009121CF"/>
    <w:rsid w:val="009664AF"/>
    <w:rsid w:val="00973B99"/>
    <w:rsid w:val="00981403"/>
    <w:rsid w:val="00981BCB"/>
    <w:rsid w:val="009914CC"/>
    <w:rsid w:val="00992D76"/>
    <w:rsid w:val="009C56E6"/>
    <w:rsid w:val="009C66D5"/>
    <w:rsid w:val="009D0133"/>
    <w:rsid w:val="009D5E6C"/>
    <w:rsid w:val="009E22FA"/>
    <w:rsid w:val="009E5A13"/>
    <w:rsid w:val="009F1A27"/>
    <w:rsid w:val="00A00BD8"/>
    <w:rsid w:val="00A02FDE"/>
    <w:rsid w:val="00A07A9F"/>
    <w:rsid w:val="00A115E0"/>
    <w:rsid w:val="00A37030"/>
    <w:rsid w:val="00A577DE"/>
    <w:rsid w:val="00A57FB7"/>
    <w:rsid w:val="00A60003"/>
    <w:rsid w:val="00A62468"/>
    <w:rsid w:val="00A65AAD"/>
    <w:rsid w:val="00A66F69"/>
    <w:rsid w:val="00A670D9"/>
    <w:rsid w:val="00A77B84"/>
    <w:rsid w:val="00A90EB9"/>
    <w:rsid w:val="00A9312D"/>
    <w:rsid w:val="00AA3891"/>
    <w:rsid w:val="00AA569A"/>
    <w:rsid w:val="00AB2ABB"/>
    <w:rsid w:val="00AC64DB"/>
    <w:rsid w:val="00AC67DB"/>
    <w:rsid w:val="00AD002A"/>
    <w:rsid w:val="00AD01A9"/>
    <w:rsid w:val="00AE0A35"/>
    <w:rsid w:val="00AE5A18"/>
    <w:rsid w:val="00AE72CD"/>
    <w:rsid w:val="00B01967"/>
    <w:rsid w:val="00B0645B"/>
    <w:rsid w:val="00B11A66"/>
    <w:rsid w:val="00B24EAA"/>
    <w:rsid w:val="00B26C21"/>
    <w:rsid w:val="00B304C4"/>
    <w:rsid w:val="00B37FA9"/>
    <w:rsid w:val="00B45CE7"/>
    <w:rsid w:val="00B5650D"/>
    <w:rsid w:val="00B56981"/>
    <w:rsid w:val="00B56A81"/>
    <w:rsid w:val="00B70670"/>
    <w:rsid w:val="00B70A50"/>
    <w:rsid w:val="00B75C03"/>
    <w:rsid w:val="00B9262D"/>
    <w:rsid w:val="00B94503"/>
    <w:rsid w:val="00BE176C"/>
    <w:rsid w:val="00BE7570"/>
    <w:rsid w:val="00C1516F"/>
    <w:rsid w:val="00C22B93"/>
    <w:rsid w:val="00C3270E"/>
    <w:rsid w:val="00C45240"/>
    <w:rsid w:val="00C46B6E"/>
    <w:rsid w:val="00C63188"/>
    <w:rsid w:val="00C67895"/>
    <w:rsid w:val="00C70CA8"/>
    <w:rsid w:val="00C870AD"/>
    <w:rsid w:val="00CB39B9"/>
    <w:rsid w:val="00CC2295"/>
    <w:rsid w:val="00CC52E3"/>
    <w:rsid w:val="00CD6883"/>
    <w:rsid w:val="00CE09FE"/>
    <w:rsid w:val="00CF1C93"/>
    <w:rsid w:val="00D058FA"/>
    <w:rsid w:val="00D06647"/>
    <w:rsid w:val="00D11CA0"/>
    <w:rsid w:val="00D216D6"/>
    <w:rsid w:val="00D21EF8"/>
    <w:rsid w:val="00D27960"/>
    <w:rsid w:val="00D27B01"/>
    <w:rsid w:val="00D354DE"/>
    <w:rsid w:val="00D420F8"/>
    <w:rsid w:val="00D5716D"/>
    <w:rsid w:val="00D76F98"/>
    <w:rsid w:val="00D800F6"/>
    <w:rsid w:val="00D9344C"/>
    <w:rsid w:val="00D9525E"/>
    <w:rsid w:val="00DA01F0"/>
    <w:rsid w:val="00DB0622"/>
    <w:rsid w:val="00DB17A8"/>
    <w:rsid w:val="00DC370F"/>
    <w:rsid w:val="00DF4F03"/>
    <w:rsid w:val="00E15539"/>
    <w:rsid w:val="00E23D83"/>
    <w:rsid w:val="00E26DD3"/>
    <w:rsid w:val="00E31D1C"/>
    <w:rsid w:val="00E52599"/>
    <w:rsid w:val="00E8199C"/>
    <w:rsid w:val="00E87128"/>
    <w:rsid w:val="00E87DCF"/>
    <w:rsid w:val="00EB422C"/>
    <w:rsid w:val="00EC1571"/>
    <w:rsid w:val="00ED6295"/>
    <w:rsid w:val="00EF7589"/>
    <w:rsid w:val="00F016EB"/>
    <w:rsid w:val="00F05450"/>
    <w:rsid w:val="00F24187"/>
    <w:rsid w:val="00F262A9"/>
    <w:rsid w:val="00F30B09"/>
    <w:rsid w:val="00F30CAC"/>
    <w:rsid w:val="00F3288A"/>
    <w:rsid w:val="00F34A6E"/>
    <w:rsid w:val="00F37F09"/>
    <w:rsid w:val="00F4009B"/>
    <w:rsid w:val="00F43823"/>
    <w:rsid w:val="00F501C4"/>
    <w:rsid w:val="00F57806"/>
    <w:rsid w:val="00F6243E"/>
    <w:rsid w:val="00F664ED"/>
    <w:rsid w:val="00F774C9"/>
    <w:rsid w:val="00F942CE"/>
    <w:rsid w:val="00F972AB"/>
    <w:rsid w:val="00FA1278"/>
    <w:rsid w:val="00FC29E5"/>
    <w:rsid w:val="00FC3A0F"/>
    <w:rsid w:val="00FD7E4D"/>
    <w:rsid w:val="00FF1C12"/>
    <w:rsid w:val="00FF235C"/>
    <w:rsid w:val="00FF4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F5C8BC"/>
  <w15:chartTrackingRefBased/>
  <w15:docId w15:val="{617D8460-2981-4DF1-BB34-8F638CC7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92"/>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3B2A"/>
    <w:rPr>
      <w:color w:val="0563C1" w:themeColor="hyperlink"/>
      <w:u w:val="single"/>
    </w:rPr>
  </w:style>
  <w:style w:type="paragraph" w:styleId="Header">
    <w:name w:val="header"/>
    <w:basedOn w:val="Normal"/>
    <w:link w:val="HeaderChar"/>
    <w:uiPriority w:val="99"/>
    <w:unhideWhenUsed/>
    <w:rsid w:val="00116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33"/>
    <w:rPr>
      <w:kern w:val="0"/>
      <w14:ligatures w14:val="none"/>
    </w:rPr>
  </w:style>
  <w:style w:type="paragraph" w:styleId="Footer">
    <w:name w:val="footer"/>
    <w:basedOn w:val="Normal"/>
    <w:link w:val="FooterChar"/>
    <w:uiPriority w:val="99"/>
    <w:unhideWhenUsed/>
    <w:rsid w:val="00116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33"/>
    <w:rPr>
      <w:kern w:val="0"/>
      <w14:ligatures w14:val="none"/>
    </w:rPr>
  </w:style>
  <w:style w:type="paragraph" w:customStyle="1" w:styleId="xmsonormal">
    <w:name w:val="x_msonormal"/>
    <w:basedOn w:val="Normal"/>
    <w:rsid w:val="005D75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A16AF"/>
    <w:rPr>
      <w:color w:val="605E5C"/>
      <w:shd w:val="clear" w:color="auto" w:fill="E1DFDD"/>
    </w:rPr>
  </w:style>
  <w:style w:type="character" w:styleId="FollowedHyperlink">
    <w:name w:val="FollowedHyperlink"/>
    <w:basedOn w:val="DefaultParagraphFont"/>
    <w:uiPriority w:val="99"/>
    <w:semiHidden/>
    <w:unhideWhenUsed/>
    <w:rsid w:val="00F942CE"/>
    <w:rPr>
      <w:color w:val="954F72" w:themeColor="followedHyperlink"/>
      <w:u w:val="single"/>
    </w:rPr>
  </w:style>
  <w:style w:type="character" w:styleId="CommentReference">
    <w:name w:val="annotation reference"/>
    <w:basedOn w:val="DefaultParagraphFont"/>
    <w:uiPriority w:val="99"/>
    <w:semiHidden/>
    <w:unhideWhenUsed/>
    <w:rsid w:val="00682125"/>
    <w:rPr>
      <w:sz w:val="16"/>
      <w:szCs w:val="16"/>
    </w:rPr>
  </w:style>
  <w:style w:type="paragraph" w:styleId="CommentText">
    <w:name w:val="annotation text"/>
    <w:basedOn w:val="Normal"/>
    <w:link w:val="CommentTextChar"/>
    <w:uiPriority w:val="99"/>
    <w:unhideWhenUsed/>
    <w:rsid w:val="00682125"/>
    <w:pPr>
      <w:spacing w:line="240" w:lineRule="auto"/>
    </w:pPr>
    <w:rPr>
      <w:sz w:val="20"/>
      <w:szCs w:val="20"/>
    </w:rPr>
  </w:style>
  <w:style w:type="character" w:customStyle="1" w:styleId="CommentTextChar">
    <w:name w:val="Comment Text Char"/>
    <w:basedOn w:val="DefaultParagraphFont"/>
    <w:link w:val="CommentText"/>
    <w:uiPriority w:val="99"/>
    <w:rsid w:val="0068212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2125"/>
    <w:rPr>
      <w:b/>
      <w:bCs/>
    </w:rPr>
  </w:style>
  <w:style w:type="character" w:customStyle="1" w:styleId="CommentSubjectChar">
    <w:name w:val="Comment Subject Char"/>
    <w:basedOn w:val="CommentTextChar"/>
    <w:link w:val="CommentSubject"/>
    <w:uiPriority w:val="99"/>
    <w:semiHidden/>
    <w:rsid w:val="0068212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186840">
      <w:bodyDiv w:val="1"/>
      <w:marLeft w:val="0"/>
      <w:marRight w:val="0"/>
      <w:marTop w:val="0"/>
      <w:marBottom w:val="0"/>
      <w:divBdr>
        <w:top w:val="none" w:sz="0" w:space="0" w:color="auto"/>
        <w:left w:val="none" w:sz="0" w:space="0" w:color="auto"/>
        <w:bottom w:val="none" w:sz="0" w:space="0" w:color="auto"/>
        <w:right w:val="none" w:sz="0" w:space="0" w:color="auto"/>
      </w:divBdr>
    </w:div>
    <w:div w:id="863320887">
      <w:bodyDiv w:val="1"/>
      <w:marLeft w:val="0"/>
      <w:marRight w:val="0"/>
      <w:marTop w:val="0"/>
      <w:marBottom w:val="0"/>
      <w:divBdr>
        <w:top w:val="none" w:sz="0" w:space="0" w:color="auto"/>
        <w:left w:val="none" w:sz="0" w:space="0" w:color="auto"/>
        <w:bottom w:val="none" w:sz="0" w:space="0" w:color="auto"/>
        <w:right w:val="none" w:sz="0" w:space="0" w:color="auto"/>
      </w:divBdr>
    </w:div>
    <w:div w:id="1047683288">
      <w:bodyDiv w:val="1"/>
      <w:marLeft w:val="0"/>
      <w:marRight w:val="0"/>
      <w:marTop w:val="0"/>
      <w:marBottom w:val="0"/>
      <w:divBdr>
        <w:top w:val="none" w:sz="0" w:space="0" w:color="auto"/>
        <w:left w:val="none" w:sz="0" w:space="0" w:color="auto"/>
        <w:bottom w:val="none" w:sz="0" w:space="0" w:color="auto"/>
        <w:right w:val="none" w:sz="0" w:space="0" w:color="auto"/>
      </w:divBdr>
      <w:divsChild>
        <w:div w:id="1823277446">
          <w:marLeft w:val="0"/>
          <w:marRight w:val="0"/>
          <w:marTop w:val="0"/>
          <w:marBottom w:val="0"/>
          <w:divBdr>
            <w:top w:val="none" w:sz="0" w:space="0" w:color="auto"/>
            <w:left w:val="none" w:sz="0" w:space="0" w:color="auto"/>
            <w:bottom w:val="none" w:sz="0" w:space="0" w:color="auto"/>
            <w:right w:val="none" w:sz="0" w:space="0" w:color="auto"/>
          </w:divBdr>
        </w:div>
        <w:div w:id="2116750058">
          <w:marLeft w:val="0"/>
          <w:marRight w:val="0"/>
          <w:marTop w:val="0"/>
          <w:marBottom w:val="0"/>
          <w:divBdr>
            <w:top w:val="none" w:sz="0" w:space="0" w:color="auto"/>
            <w:left w:val="none" w:sz="0" w:space="0" w:color="auto"/>
            <w:bottom w:val="none" w:sz="0" w:space="0" w:color="auto"/>
            <w:right w:val="none" w:sz="0" w:space="0" w:color="auto"/>
          </w:divBdr>
        </w:div>
      </w:divsChild>
    </w:div>
    <w:div w:id="1290934528">
      <w:bodyDiv w:val="1"/>
      <w:marLeft w:val="0"/>
      <w:marRight w:val="0"/>
      <w:marTop w:val="0"/>
      <w:marBottom w:val="0"/>
      <w:divBdr>
        <w:top w:val="none" w:sz="0" w:space="0" w:color="auto"/>
        <w:left w:val="none" w:sz="0" w:space="0" w:color="auto"/>
        <w:bottom w:val="none" w:sz="0" w:space="0" w:color="auto"/>
        <w:right w:val="none" w:sz="0" w:space="0" w:color="auto"/>
      </w:divBdr>
    </w:div>
    <w:div w:id="1568808301">
      <w:bodyDiv w:val="1"/>
      <w:marLeft w:val="0"/>
      <w:marRight w:val="0"/>
      <w:marTop w:val="0"/>
      <w:marBottom w:val="0"/>
      <w:divBdr>
        <w:top w:val="none" w:sz="0" w:space="0" w:color="auto"/>
        <w:left w:val="none" w:sz="0" w:space="0" w:color="auto"/>
        <w:bottom w:val="none" w:sz="0" w:space="0" w:color="auto"/>
        <w:right w:val="none" w:sz="0" w:space="0" w:color="auto"/>
      </w:divBdr>
      <w:divsChild>
        <w:div w:id="1183131721">
          <w:marLeft w:val="0"/>
          <w:marRight w:val="0"/>
          <w:marTop w:val="0"/>
          <w:marBottom w:val="0"/>
          <w:divBdr>
            <w:top w:val="none" w:sz="0" w:space="0" w:color="auto"/>
            <w:left w:val="none" w:sz="0" w:space="0" w:color="auto"/>
            <w:bottom w:val="none" w:sz="0" w:space="0" w:color="auto"/>
            <w:right w:val="none" w:sz="0" w:space="0" w:color="auto"/>
          </w:divBdr>
        </w:div>
        <w:div w:id="113450809">
          <w:marLeft w:val="0"/>
          <w:marRight w:val="0"/>
          <w:marTop w:val="0"/>
          <w:marBottom w:val="0"/>
          <w:divBdr>
            <w:top w:val="none" w:sz="0" w:space="0" w:color="auto"/>
            <w:left w:val="none" w:sz="0" w:space="0" w:color="auto"/>
            <w:bottom w:val="none" w:sz="0" w:space="0" w:color="auto"/>
            <w:right w:val="none" w:sz="0" w:space="0" w:color="auto"/>
          </w:divBdr>
        </w:div>
      </w:divsChild>
    </w:div>
    <w:div w:id="1796288478">
      <w:bodyDiv w:val="1"/>
      <w:marLeft w:val="0"/>
      <w:marRight w:val="0"/>
      <w:marTop w:val="0"/>
      <w:marBottom w:val="0"/>
      <w:divBdr>
        <w:top w:val="none" w:sz="0" w:space="0" w:color="auto"/>
        <w:left w:val="none" w:sz="0" w:space="0" w:color="auto"/>
        <w:bottom w:val="none" w:sz="0" w:space="0" w:color="auto"/>
        <w:right w:val="none" w:sz="0" w:space="0" w:color="auto"/>
      </w:divBdr>
    </w:div>
    <w:div w:id="19333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ocn.17488" TargetMode="External"/><Relationship Id="rId18" Type="http://schemas.openxmlformats.org/officeDocument/2006/relationships/hyperlink" Target="https://doi.org/10.1080/15459624.2017.1285496" TargetMode="External"/><Relationship Id="rId26" Type="http://schemas.openxmlformats.org/officeDocument/2006/relationships/hyperlink" Target="https://doi.org/10.12968/bjon.2017.26.Sup16b.S5" TargetMode="External"/><Relationship Id="rId39" Type="http://schemas.openxmlformats.org/officeDocument/2006/relationships/hyperlink" Target="https://www.ukons.org/site/assets/files/1138/ukons_sact_electronic_passport_version_4.pdf" TargetMode="External"/><Relationship Id="rId21" Type="http://schemas.openxmlformats.org/officeDocument/2006/relationships/hyperlink" Target="https://doi.org/10.1188/17.ONF.60-65" TargetMode="External"/><Relationship Id="rId34" Type="http://schemas.openxmlformats.org/officeDocument/2006/relationships/hyperlink" Target="https://doi.org/10.12968/bjon.2017.26.16.S38"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se.gov.uk/coshh/" TargetMode="External"/><Relationship Id="rId29" Type="http://schemas.openxmlformats.org/officeDocument/2006/relationships/hyperlink" Target="https://www.cdc.gov/niosh/docs/2004-165/defaul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0781552221103803" TargetMode="External"/><Relationship Id="rId24" Type="http://schemas.openxmlformats.org/officeDocument/2006/relationships/hyperlink" Target="https://doi.org/10.1188/19.ONF.E86-E97" TargetMode="External"/><Relationship Id="rId32" Type="http://schemas.openxmlformats.org/officeDocument/2006/relationships/hyperlink" Target="https://doi.org/10.1188/12.ONF.E299-E309" TargetMode="External"/><Relationship Id="rId37" Type="http://schemas.openxmlformats.org/officeDocument/2006/relationships/hyperlink" Target="https://doi.org/10.1080/10376178.2017.1315828" TargetMode="External"/><Relationship Id="rId40" Type="http://schemas.openxmlformats.org/officeDocument/2006/relationships/hyperlink" Target="https://www.usp.org/compounding/general-chapter-hazardous-drugs-handling-healthcare"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2968/bjon.2024.0328" TargetMode="External"/><Relationship Id="rId23" Type="http://schemas.openxmlformats.org/officeDocument/2006/relationships/hyperlink" Target="https://doi.org/10.1080/15459624.2015.1029618" TargetMode="External"/><Relationship Id="rId28" Type="http://schemas.openxmlformats.org/officeDocument/2006/relationships/hyperlink" Target="https://doi.org/10.1188/19.CJON.260-265" TargetMode="External"/><Relationship Id="rId36" Type="http://schemas.openxmlformats.org/officeDocument/2006/relationships/hyperlink" Target="https://doi.org/10.1007/s00420-020-01649-9" TargetMode="External"/><Relationship Id="rId10" Type="http://schemas.openxmlformats.org/officeDocument/2006/relationships/image" Target="media/image3.png"/><Relationship Id="rId19" Type="http://schemas.openxmlformats.org/officeDocument/2006/relationships/hyperlink" Target="https://doi.org/10.1097/NAN.0000000000000424" TargetMode="External"/><Relationship Id="rId31" Type="http://schemas.openxmlformats.org/officeDocument/2006/relationships/hyperlink" Target="https://www.ons.org/sites/default/files/2018-06/ONS_Safe_Handling_Toolkit_0.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gonlinelibrary.com/doi/abs/10.12968/bjon.2024.0328" TargetMode="External"/><Relationship Id="rId22" Type="http://schemas.openxmlformats.org/officeDocument/2006/relationships/hyperlink" Target="https://www.hse.gov.uk/healthservices/safe-use-cytotoxic-drugs.htm" TargetMode="External"/><Relationship Id="rId27" Type="http://schemas.openxmlformats.org/officeDocument/2006/relationships/hyperlink" Target="https://doi.org/" TargetMode="External"/><Relationship Id="rId30" Type="http://schemas.openxmlformats.org/officeDocument/2006/relationships/hyperlink" Target="https://www.cdc.gov/niosh/docs/2016-161/default.html" TargetMode="External"/><Relationship Id="rId35" Type="http://schemas.openxmlformats.org/officeDocument/2006/relationships/hyperlink" Target="https://doi.org/10.7748/cnp.2019.e1657"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188/16.ONF.43-03AP" TargetMode="External"/><Relationship Id="rId17" Type="http://schemas.openxmlformats.org/officeDocument/2006/relationships/hyperlink" Target="https://doi.org/10.1016/j.ejon.2019.05.001" TargetMode="External"/><Relationship Id="rId25" Type="http://schemas.openxmlformats.org/officeDocument/2006/relationships/hyperlink" Target="https://doi.org/10.12968/bjon.2014.23.Sup16.S34" TargetMode="External"/><Relationship Id="rId33" Type="http://schemas.openxmlformats.org/officeDocument/2006/relationships/hyperlink" Target="https://doi.org/10.1016/j.ejon.2024.102595" TargetMode="External"/><Relationship Id="rId38" Type="http://schemas.openxmlformats.org/officeDocument/2006/relationships/hyperlink" Target="https://doi.org/10.15344/2394-4978/2017/231" TargetMode="External"/><Relationship Id="rId46" Type="http://schemas.openxmlformats.org/officeDocument/2006/relationships/footer" Target="footer3.xml"/><Relationship Id="rId20" Type="http://schemas.openxmlformats.org/officeDocument/2006/relationships/hyperlink" Target="https://www.europeanbiosafetynetwork.eu/wp-content/uploads/2024/04/EBN-white-paper-on-HMPs__5.04.2024.pdf"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0C2F-A048-4290-A0B4-BECD9BD4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22</Pages>
  <Words>5612</Words>
  <Characters>31991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Campbell</dc:creator>
  <cp:lastModifiedBy>Campbell, Karen</cp:lastModifiedBy>
  <cp:revision>23</cp:revision>
  <cp:lastPrinted>2024-12-09T17:44:00Z</cp:lastPrinted>
  <dcterms:created xsi:type="dcterms:W3CDTF">2024-12-05T15:37:00Z</dcterms:created>
  <dcterms:modified xsi:type="dcterms:W3CDTF">2024-12-09T18:26:00Z</dcterms:modified>
</cp:coreProperties>
</file>