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34D3C" w14:textId="565FD0AF" w:rsidR="004843F2" w:rsidRPr="00CE1E04" w:rsidRDefault="00DF29B3" w:rsidP="005848C3">
      <w:pPr>
        <w:jc w:val="center"/>
        <w:rPr>
          <w:rFonts w:ascii="Times New Roman" w:hAnsi="Times New Roman" w:cs="Times New Roman"/>
          <w:b/>
          <w:sz w:val="28"/>
          <w:szCs w:val="28"/>
        </w:rPr>
      </w:pPr>
      <w:bookmarkStart w:id="0" w:name="_GoBack"/>
      <w:bookmarkEnd w:id="0"/>
      <w:r w:rsidRPr="00CE1E04">
        <w:rPr>
          <w:rFonts w:ascii="Times New Roman" w:hAnsi="Times New Roman" w:cs="Times New Roman"/>
          <w:b/>
          <w:sz w:val="28"/>
          <w:szCs w:val="28"/>
        </w:rPr>
        <w:t xml:space="preserve">Port Governance </w:t>
      </w:r>
      <w:r w:rsidR="005848C3" w:rsidRPr="00CE1E04">
        <w:rPr>
          <w:rFonts w:ascii="Times New Roman" w:hAnsi="Times New Roman" w:cs="Times New Roman"/>
          <w:b/>
          <w:sz w:val="28"/>
          <w:szCs w:val="28"/>
        </w:rPr>
        <w:t>in Taiwan</w:t>
      </w:r>
      <w:r w:rsidRPr="00CE1E04">
        <w:rPr>
          <w:rFonts w:ascii="Times New Roman" w:hAnsi="Times New Roman" w:cs="Times New Roman"/>
          <w:b/>
          <w:sz w:val="28"/>
          <w:szCs w:val="28"/>
        </w:rPr>
        <w:t xml:space="preserve">: </w:t>
      </w:r>
      <w:r w:rsidR="004E5CFF" w:rsidRPr="00CE1E04">
        <w:rPr>
          <w:rFonts w:ascii="Times New Roman" w:hAnsi="Times New Roman" w:cs="Times New Roman"/>
          <w:b/>
          <w:sz w:val="28"/>
          <w:szCs w:val="28"/>
        </w:rPr>
        <w:t>H</w:t>
      </w:r>
      <w:r w:rsidR="00792B01" w:rsidRPr="00CE1E04">
        <w:rPr>
          <w:rFonts w:ascii="Times New Roman" w:hAnsi="Times New Roman" w:cs="Times New Roman"/>
          <w:b/>
          <w:sz w:val="28"/>
          <w:szCs w:val="28"/>
        </w:rPr>
        <w:t xml:space="preserve">ow </w:t>
      </w:r>
      <w:r w:rsidR="004E5CFF" w:rsidRPr="00CE1E04">
        <w:rPr>
          <w:rFonts w:ascii="Times New Roman" w:hAnsi="Times New Roman" w:cs="Times New Roman"/>
          <w:b/>
          <w:sz w:val="28"/>
          <w:szCs w:val="28"/>
        </w:rPr>
        <w:t>H</w:t>
      </w:r>
      <w:r w:rsidR="00792B01" w:rsidRPr="00CE1E04">
        <w:rPr>
          <w:rFonts w:ascii="Times New Roman" w:hAnsi="Times New Roman" w:cs="Times New Roman"/>
          <w:b/>
          <w:sz w:val="28"/>
          <w:szCs w:val="28"/>
        </w:rPr>
        <w:t xml:space="preserve">ypocrisy </w:t>
      </w:r>
      <w:r w:rsidR="004E5CFF" w:rsidRPr="00CE1E04">
        <w:rPr>
          <w:rFonts w:ascii="Times New Roman" w:hAnsi="Times New Roman" w:cs="Times New Roman"/>
          <w:b/>
          <w:sz w:val="28"/>
          <w:szCs w:val="28"/>
        </w:rPr>
        <w:t>H</w:t>
      </w:r>
      <w:r w:rsidR="00792B01" w:rsidRPr="00CE1E04">
        <w:rPr>
          <w:rFonts w:ascii="Times New Roman" w:hAnsi="Times New Roman" w:cs="Times New Roman"/>
          <w:b/>
          <w:sz w:val="28"/>
          <w:szCs w:val="28"/>
        </w:rPr>
        <w:t xml:space="preserve">elps </w:t>
      </w:r>
      <w:r w:rsidR="004E5CFF" w:rsidRPr="00CE1E04">
        <w:rPr>
          <w:rFonts w:ascii="Times New Roman" w:hAnsi="Times New Roman" w:cs="Times New Roman"/>
          <w:b/>
          <w:sz w:val="28"/>
          <w:szCs w:val="28"/>
        </w:rPr>
        <w:t>M</w:t>
      </w:r>
      <w:r w:rsidR="00792B01" w:rsidRPr="00CE1E04">
        <w:rPr>
          <w:rFonts w:ascii="Times New Roman" w:hAnsi="Times New Roman" w:cs="Times New Roman"/>
          <w:b/>
          <w:sz w:val="28"/>
          <w:szCs w:val="28"/>
        </w:rPr>
        <w:t>eet</w:t>
      </w:r>
      <w:r w:rsidRPr="00CE1E04">
        <w:rPr>
          <w:rFonts w:ascii="Times New Roman" w:hAnsi="Times New Roman" w:cs="Times New Roman"/>
          <w:b/>
          <w:sz w:val="28"/>
          <w:szCs w:val="28"/>
        </w:rPr>
        <w:t xml:space="preserve"> </w:t>
      </w:r>
      <w:r w:rsidR="004E5CFF" w:rsidRPr="00CE1E04">
        <w:rPr>
          <w:rFonts w:ascii="Times New Roman" w:hAnsi="Times New Roman" w:cs="Times New Roman"/>
          <w:b/>
          <w:sz w:val="28"/>
          <w:szCs w:val="28"/>
        </w:rPr>
        <w:t>A</w:t>
      </w:r>
      <w:r w:rsidRPr="00CE1E04">
        <w:rPr>
          <w:rFonts w:ascii="Times New Roman" w:hAnsi="Times New Roman" w:cs="Times New Roman"/>
          <w:b/>
          <w:sz w:val="28"/>
          <w:szCs w:val="28"/>
        </w:rPr>
        <w:t xml:space="preserve">spirations of </w:t>
      </w:r>
      <w:r w:rsidR="004E5CFF" w:rsidRPr="00CE1E04">
        <w:rPr>
          <w:rFonts w:ascii="Times New Roman" w:hAnsi="Times New Roman" w:cs="Times New Roman"/>
          <w:b/>
          <w:sz w:val="28"/>
          <w:szCs w:val="28"/>
        </w:rPr>
        <w:t>C</w:t>
      </w:r>
      <w:r w:rsidRPr="00CE1E04">
        <w:rPr>
          <w:rFonts w:ascii="Times New Roman" w:hAnsi="Times New Roman" w:cs="Times New Roman"/>
          <w:b/>
          <w:sz w:val="28"/>
          <w:szCs w:val="28"/>
        </w:rPr>
        <w:t>hange</w:t>
      </w:r>
    </w:p>
    <w:p w14:paraId="4AA6B06B" w14:textId="77777777" w:rsidR="005848C3" w:rsidRPr="00CE1E04" w:rsidRDefault="005848C3" w:rsidP="00386CB4">
      <w:pPr>
        <w:rPr>
          <w:rFonts w:ascii="Times New Roman" w:hAnsi="Times New Roman" w:cs="Times New Roman"/>
          <w:sz w:val="28"/>
          <w:szCs w:val="28"/>
        </w:rPr>
      </w:pPr>
    </w:p>
    <w:p w14:paraId="77CAC67E" w14:textId="77777777" w:rsidR="00434AB1" w:rsidRPr="00CE1E04" w:rsidRDefault="00434AB1" w:rsidP="00386CB4">
      <w:pPr>
        <w:rPr>
          <w:rFonts w:ascii="Times New Roman" w:hAnsi="Times New Roman" w:cs="Times New Roman"/>
          <w:b/>
          <w:szCs w:val="24"/>
        </w:rPr>
      </w:pPr>
      <w:r w:rsidRPr="00CE1E04">
        <w:rPr>
          <w:rFonts w:ascii="Times New Roman" w:hAnsi="Times New Roman" w:cs="Times New Roman"/>
          <w:b/>
          <w:szCs w:val="24"/>
        </w:rPr>
        <w:t>Abstract</w:t>
      </w:r>
    </w:p>
    <w:p w14:paraId="392DD6DF" w14:textId="2BDE5840" w:rsidR="00434AB1" w:rsidRPr="00CE1E04" w:rsidRDefault="00316E01" w:rsidP="00997048">
      <w:pPr>
        <w:jc w:val="both"/>
        <w:rPr>
          <w:rFonts w:ascii="Times New Roman" w:hAnsi="Times New Roman" w:cs="Times New Roman"/>
          <w:szCs w:val="24"/>
        </w:rPr>
      </w:pPr>
      <w:r w:rsidRPr="00CE1E04">
        <w:rPr>
          <w:rFonts w:ascii="Times New Roman" w:hAnsi="Times New Roman" w:cs="Times New Roman"/>
          <w:szCs w:val="24"/>
        </w:rPr>
        <w:t xml:space="preserve">  In Taiwan</w:t>
      </w:r>
      <w:r w:rsidR="00DF29B3" w:rsidRPr="00CE1E04">
        <w:rPr>
          <w:rFonts w:ascii="Times New Roman" w:hAnsi="Times New Roman" w:cs="Times New Roman"/>
          <w:szCs w:val="24"/>
        </w:rPr>
        <w:t xml:space="preserve">, significant </w:t>
      </w:r>
      <w:r w:rsidR="00434AB1" w:rsidRPr="00CE1E04">
        <w:rPr>
          <w:rFonts w:ascii="Times New Roman" w:hAnsi="Times New Roman" w:cs="Times New Roman"/>
          <w:szCs w:val="24"/>
        </w:rPr>
        <w:t>port</w:t>
      </w:r>
      <w:r w:rsidR="00792B01" w:rsidRPr="00CE1E04">
        <w:rPr>
          <w:rFonts w:ascii="Times New Roman" w:hAnsi="Times New Roman" w:cs="Times New Roman"/>
          <w:szCs w:val="24"/>
        </w:rPr>
        <w:t xml:space="preserve"> reform commenced in 2012 that</w:t>
      </w:r>
      <w:r w:rsidR="00BF5374" w:rsidRPr="00CE1E04">
        <w:rPr>
          <w:rFonts w:ascii="Times New Roman" w:hAnsi="Times New Roman" w:cs="Times New Roman"/>
          <w:szCs w:val="24"/>
        </w:rPr>
        <w:t xml:space="preserve"> aspired to enhance</w:t>
      </w:r>
      <w:r w:rsidR="00434AB1" w:rsidRPr="00CE1E04">
        <w:rPr>
          <w:rFonts w:ascii="Times New Roman" w:hAnsi="Times New Roman" w:cs="Times New Roman"/>
          <w:szCs w:val="24"/>
        </w:rPr>
        <w:t xml:space="preserve"> port</w:t>
      </w:r>
      <w:r w:rsidR="00DF29B3" w:rsidRPr="00CE1E04">
        <w:rPr>
          <w:rFonts w:ascii="Times New Roman" w:hAnsi="Times New Roman" w:cs="Times New Roman"/>
          <w:szCs w:val="24"/>
        </w:rPr>
        <w:t xml:space="preserve"> performan</w:t>
      </w:r>
      <w:r w:rsidRPr="00CE1E04">
        <w:rPr>
          <w:rFonts w:ascii="Times New Roman" w:hAnsi="Times New Roman" w:cs="Times New Roman"/>
          <w:szCs w:val="24"/>
        </w:rPr>
        <w:t>ce and competitiveness.</w:t>
      </w:r>
      <w:r w:rsidR="00434AB1" w:rsidRPr="00CE1E04">
        <w:rPr>
          <w:rFonts w:ascii="Times New Roman" w:hAnsi="Times New Roman" w:cs="Times New Roman"/>
          <w:szCs w:val="24"/>
        </w:rPr>
        <w:t xml:space="preserve"> </w:t>
      </w:r>
      <w:r w:rsidR="00BF5374" w:rsidRPr="00CE1E04">
        <w:rPr>
          <w:rFonts w:ascii="Times New Roman" w:hAnsi="Times New Roman" w:cs="Times New Roman"/>
          <w:szCs w:val="24"/>
        </w:rPr>
        <w:t>P</w:t>
      </w:r>
      <w:r w:rsidR="00DF29B3" w:rsidRPr="00CE1E04">
        <w:rPr>
          <w:rFonts w:ascii="Times New Roman" w:hAnsi="Times New Roman" w:cs="Times New Roman"/>
          <w:szCs w:val="24"/>
        </w:rPr>
        <w:t>reviously managed by four units,</w:t>
      </w:r>
      <w:r w:rsidR="00BF5374" w:rsidRPr="00CE1E04">
        <w:rPr>
          <w:rFonts w:ascii="Times New Roman" w:hAnsi="Times New Roman" w:cs="Times New Roman"/>
          <w:szCs w:val="24"/>
        </w:rPr>
        <w:t xml:space="preserve"> ports</w:t>
      </w:r>
      <w:r w:rsidR="00434AB1" w:rsidRPr="00CE1E04">
        <w:rPr>
          <w:rFonts w:ascii="Times New Roman" w:hAnsi="Times New Roman" w:cs="Times New Roman"/>
          <w:szCs w:val="24"/>
        </w:rPr>
        <w:t xml:space="preserve"> are </w:t>
      </w:r>
      <w:r w:rsidR="00DF29B3" w:rsidRPr="00CE1E04">
        <w:rPr>
          <w:rFonts w:ascii="Times New Roman" w:hAnsi="Times New Roman" w:cs="Times New Roman"/>
          <w:szCs w:val="24"/>
        </w:rPr>
        <w:t xml:space="preserve">now </w:t>
      </w:r>
      <w:r w:rsidR="00434AB1" w:rsidRPr="00CE1E04">
        <w:rPr>
          <w:rFonts w:ascii="Times New Roman" w:hAnsi="Times New Roman" w:cs="Times New Roman"/>
          <w:szCs w:val="24"/>
        </w:rPr>
        <w:t>managed by</w:t>
      </w:r>
      <w:r w:rsidR="00E71873" w:rsidRPr="00CE1E04">
        <w:rPr>
          <w:rFonts w:ascii="Times New Roman" w:hAnsi="Times New Roman" w:cs="Times New Roman"/>
          <w:szCs w:val="24"/>
        </w:rPr>
        <w:t xml:space="preserve"> </w:t>
      </w:r>
      <w:r w:rsidR="00DF29B3" w:rsidRPr="00CE1E04">
        <w:rPr>
          <w:rFonts w:ascii="Times New Roman" w:hAnsi="Times New Roman" w:cs="Times New Roman"/>
          <w:szCs w:val="24"/>
        </w:rPr>
        <w:t>only two</w:t>
      </w:r>
      <w:r w:rsidR="00E71873" w:rsidRPr="00CE1E04">
        <w:rPr>
          <w:rFonts w:ascii="Times New Roman" w:hAnsi="Times New Roman" w:cs="Times New Roman"/>
          <w:szCs w:val="24"/>
        </w:rPr>
        <w:t>:</w:t>
      </w:r>
      <w:r w:rsidR="00DF29B3" w:rsidRPr="00CE1E04">
        <w:rPr>
          <w:rFonts w:ascii="Times New Roman" w:hAnsi="Times New Roman" w:cs="Times New Roman"/>
          <w:szCs w:val="24"/>
        </w:rPr>
        <w:t xml:space="preserve"> the</w:t>
      </w:r>
      <w:r w:rsidR="00434AB1" w:rsidRPr="00CE1E04">
        <w:rPr>
          <w:rFonts w:ascii="Times New Roman" w:hAnsi="Times New Roman" w:cs="Times New Roman"/>
          <w:szCs w:val="24"/>
        </w:rPr>
        <w:t xml:space="preserve"> </w:t>
      </w:r>
      <w:r w:rsidR="005E2769" w:rsidRPr="00CE1E04">
        <w:rPr>
          <w:rFonts w:ascii="Times New Roman" w:hAnsi="Times New Roman" w:cs="Times New Roman"/>
          <w:szCs w:val="24"/>
        </w:rPr>
        <w:t>Maritime and Port Bureau (</w:t>
      </w:r>
      <w:r w:rsidR="00434AB1" w:rsidRPr="00CE1E04">
        <w:rPr>
          <w:rFonts w:ascii="Times New Roman" w:hAnsi="Times New Roman" w:cs="Times New Roman"/>
          <w:szCs w:val="24"/>
        </w:rPr>
        <w:t>MPB</w:t>
      </w:r>
      <w:r w:rsidR="005E2769" w:rsidRPr="00CE1E04">
        <w:rPr>
          <w:rFonts w:ascii="Times New Roman" w:hAnsi="Times New Roman" w:cs="Times New Roman"/>
          <w:szCs w:val="24"/>
        </w:rPr>
        <w:t>)</w:t>
      </w:r>
      <w:r w:rsidR="00434AB1" w:rsidRPr="00CE1E04">
        <w:rPr>
          <w:rFonts w:ascii="Times New Roman" w:hAnsi="Times New Roman" w:cs="Times New Roman"/>
          <w:szCs w:val="24"/>
        </w:rPr>
        <w:t xml:space="preserve"> </w:t>
      </w:r>
      <w:r w:rsidR="00EF1FE7" w:rsidRPr="00CE1E04">
        <w:rPr>
          <w:rFonts w:ascii="Times New Roman" w:hAnsi="Times New Roman" w:cs="Times New Roman"/>
          <w:szCs w:val="24"/>
        </w:rPr>
        <w:t xml:space="preserve">(a port regulator) </w:t>
      </w:r>
      <w:r w:rsidR="00434AB1" w:rsidRPr="00CE1E04">
        <w:rPr>
          <w:rFonts w:ascii="Times New Roman" w:hAnsi="Times New Roman" w:cs="Times New Roman"/>
          <w:szCs w:val="24"/>
        </w:rPr>
        <w:t xml:space="preserve">and </w:t>
      </w:r>
      <w:r w:rsidR="00DF29B3" w:rsidRPr="00CE1E04">
        <w:rPr>
          <w:rFonts w:ascii="Times New Roman" w:hAnsi="Times New Roman" w:cs="Times New Roman"/>
          <w:szCs w:val="24"/>
        </w:rPr>
        <w:t xml:space="preserve">the </w:t>
      </w:r>
      <w:r w:rsidR="005E2769" w:rsidRPr="00CE1E04">
        <w:rPr>
          <w:rFonts w:ascii="Times New Roman" w:hAnsi="Times New Roman" w:cs="Times New Roman"/>
          <w:szCs w:val="24"/>
        </w:rPr>
        <w:t>Taiwan International Ports Corporation (</w:t>
      </w:r>
      <w:r w:rsidR="00434AB1" w:rsidRPr="00CE1E04">
        <w:rPr>
          <w:rFonts w:ascii="Times New Roman" w:hAnsi="Times New Roman" w:cs="Times New Roman"/>
          <w:szCs w:val="24"/>
        </w:rPr>
        <w:t>TIPC</w:t>
      </w:r>
      <w:r w:rsidR="005E2769" w:rsidRPr="00CE1E04">
        <w:rPr>
          <w:rFonts w:ascii="Times New Roman" w:hAnsi="Times New Roman" w:cs="Times New Roman"/>
          <w:szCs w:val="24"/>
        </w:rPr>
        <w:t>)</w:t>
      </w:r>
      <w:r w:rsidR="00EF1FE7" w:rsidRPr="00CE1E04">
        <w:rPr>
          <w:rFonts w:ascii="Times New Roman" w:hAnsi="Times New Roman" w:cs="Times New Roman"/>
          <w:szCs w:val="24"/>
        </w:rPr>
        <w:t xml:space="preserve"> (a full state-owned company)</w:t>
      </w:r>
      <w:r w:rsidR="00434AB1" w:rsidRPr="00CE1E04">
        <w:rPr>
          <w:rFonts w:ascii="Times New Roman" w:hAnsi="Times New Roman" w:cs="Times New Roman"/>
          <w:szCs w:val="24"/>
        </w:rPr>
        <w:t>.</w:t>
      </w:r>
      <w:r w:rsidR="00135946" w:rsidRPr="00CE1E04">
        <w:rPr>
          <w:rFonts w:ascii="Times New Roman" w:hAnsi="Times New Roman" w:cs="Times New Roman"/>
          <w:szCs w:val="24"/>
        </w:rPr>
        <w:t xml:space="preserve"> In this </w:t>
      </w:r>
      <w:r w:rsidR="00220ECC" w:rsidRPr="00CE1E04">
        <w:rPr>
          <w:rFonts w:ascii="Times New Roman" w:hAnsi="Times New Roman" w:cs="Times New Roman"/>
          <w:szCs w:val="24"/>
        </w:rPr>
        <w:t>article</w:t>
      </w:r>
      <w:r w:rsidR="00135946" w:rsidRPr="00CE1E04">
        <w:rPr>
          <w:rFonts w:ascii="Times New Roman" w:hAnsi="Times New Roman" w:cs="Times New Roman"/>
          <w:szCs w:val="24"/>
        </w:rPr>
        <w:t>,</w:t>
      </w:r>
      <w:r w:rsidR="004658C0" w:rsidRPr="00CE1E04">
        <w:rPr>
          <w:rFonts w:ascii="Times New Roman" w:hAnsi="Times New Roman" w:cs="Times New Roman"/>
          <w:szCs w:val="24"/>
        </w:rPr>
        <w:t xml:space="preserve"> </w:t>
      </w:r>
      <w:r w:rsidR="004C0461" w:rsidRPr="00CE1E04">
        <w:rPr>
          <w:rFonts w:ascii="Times New Roman" w:hAnsi="Times New Roman" w:cs="Times New Roman"/>
          <w:szCs w:val="24"/>
        </w:rPr>
        <w:t>we consider the rationale for this reform, the degree of its success and impact, and the challenges of introducing it. W</w:t>
      </w:r>
      <w:r w:rsidR="004658C0" w:rsidRPr="00CE1E04">
        <w:rPr>
          <w:rFonts w:ascii="Times New Roman" w:hAnsi="Times New Roman" w:cs="Times New Roman"/>
          <w:szCs w:val="24"/>
        </w:rPr>
        <w:t xml:space="preserve">e </w:t>
      </w:r>
      <w:r w:rsidR="00135946" w:rsidRPr="00CE1E04">
        <w:rPr>
          <w:rFonts w:ascii="Times New Roman" w:hAnsi="Times New Roman" w:cs="Times New Roman"/>
          <w:szCs w:val="24"/>
        </w:rPr>
        <w:t xml:space="preserve">first </w:t>
      </w:r>
      <w:r w:rsidR="00792B01" w:rsidRPr="00CE1E04">
        <w:rPr>
          <w:rFonts w:ascii="Times New Roman" w:hAnsi="Times New Roman" w:cs="Times New Roman"/>
          <w:szCs w:val="24"/>
        </w:rPr>
        <w:t>outline</w:t>
      </w:r>
      <w:r w:rsidR="004658C0" w:rsidRPr="00CE1E04">
        <w:rPr>
          <w:rFonts w:ascii="Times New Roman" w:hAnsi="Times New Roman" w:cs="Times New Roman"/>
          <w:szCs w:val="24"/>
        </w:rPr>
        <w:t xml:space="preserve"> Taiwan</w:t>
      </w:r>
      <w:r w:rsidR="00792B01" w:rsidRPr="00CE1E04">
        <w:rPr>
          <w:rFonts w:ascii="Times New Roman" w:hAnsi="Times New Roman" w:cs="Times New Roman"/>
          <w:szCs w:val="24"/>
        </w:rPr>
        <w:t>’s main international ports and</w:t>
      </w:r>
      <w:r w:rsidR="00AC71D0" w:rsidRPr="00CE1E04">
        <w:rPr>
          <w:rFonts w:ascii="Times New Roman" w:hAnsi="Times New Roman" w:cs="Times New Roman"/>
          <w:szCs w:val="24"/>
        </w:rPr>
        <w:t xml:space="preserve"> some basic trends regarding cargoes, con</w:t>
      </w:r>
      <w:r w:rsidR="00060723" w:rsidRPr="00CE1E04">
        <w:rPr>
          <w:rFonts w:ascii="Times New Roman" w:hAnsi="Times New Roman" w:cs="Times New Roman"/>
          <w:szCs w:val="24"/>
        </w:rPr>
        <w:t>tainers, ship numbers</w:t>
      </w:r>
      <w:r w:rsidR="00AC71D0" w:rsidRPr="00CE1E04">
        <w:rPr>
          <w:rFonts w:ascii="Times New Roman" w:hAnsi="Times New Roman" w:cs="Times New Roman"/>
          <w:szCs w:val="24"/>
        </w:rPr>
        <w:t xml:space="preserve"> </w:t>
      </w:r>
      <w:r w:rsidR="00A27A48" w:rsidRPr="00CE1E04">
        <w:rPr>
          <w:rFonts w:ascii="Times New Roman" w:hAnsi="Times New Roman" w:cs="Times New Roman"/>
          <w:szCs w:val="24"/>
        </w:rPr>
        <w:t>and port operation effi</w:t>
      </w:r>
      <w:r w:rsidR="00FA2945" w:rsidRPr="00CE1E04">
        <w:rPr>
          <w:rFonts w:ascii="Times New Roman" w:hAnsi="Times New Roman" w:cs="Times New Roman"/>
          <w:szCs w:val="24"/>
        </w:rPr>
        <w:t>c</w:t>
      </w:r>
      <w:r w:rsidR="00792B01" w:rsidRPr="00CE1E04">
        <w:rPr>
          <w:rFonts w:ascii="Times New Roman" w:hAnsi="Times New Roman" w:cs="Times New Roman"/>
          <w:szCs w:val="24"/>
        </w:rPr>
        <w:t>iency from</w:t>
      </w:r>
      <w:r w:rsidR="00AC71D0" w:rsidRPr="00CE1E04">
        <w:rPr>
          <w:rFonts w:ascii="Times New Roman" w:hAnsi="Times New Roman" w:cs="Times New Roman"/>
          <w:szCs w:val="24"/>
        </w:rPr>
        <w:t xml:space="preserve"> 20</w:t>
      </w:r>
      <w:r w:rsidRPr="00CE1E04">
        <w:rPr>
          <w:rFonts w:ascii="Times New Roman" w:hAnsi="Times New Roman" w:cs="Times New Roman"/>
          <w:szCs w:val="24"/>
        </w:rPr>
        <w:t>01</w:t>
      </w:r>
      <w:r w:rsidR="00155DA9" w:rsidRPr="00CE1E04">
        <w:rPr>
          <w:rFonts w:ascii="Times New Roman" w:hAnsi="Times New Roman" w:cs="Times New Roman"/>
          <w:szCs w:val="24"/>
        </w:rPr>
        <w:t>-</w:t>
      </w:r>
      <w:r w:rsidRPr="00CE1E04">
        <w:rPr>
          <w:rFonts w:ascii="Times New Roman" w:hAnsi="Times New Roman" w:cs="Times New Roman"/>
          <w:szCs w:val="24"/>
        </w:rPr>
        <w:t xml:space="preserve"> 2015. Then, </w:t>
      </w:r>
      <w:r w:rsidR="004C0461" w:rsidRPr="00CE1E04">
        <w:rPr>
          <w:rFonts w:ascii="Times New Roman" w:hAnsi="Times New Roman" w:cs="Times New Roman"/>
          <w:szCs w:val="24"/>
        </w:rPr>
        <w:t>drawing on the literature,</w:t>
      </w:r>
      <w:r w:rsidRPr="00CE1E04">
        <w:rPr>
          <w:rFonts w:ascii="Times New Roman" w:hAnsi="Times New Roman" w:cs="Times New Roman"/>
          <w:szCs w:val="24"/>
        </w:rPr>
        <w:t xml:space="preserve"> and</w:t>
      </w:r>
      <w:r w:rsidR="004C0461" w:rsidRPr="00CE1E04">
        <w:rPr>
          <w:rFonts w:ascii="Times New Roman" w:hAnsi="Times New Roman" w:cs="Times New Roman"/>
          <w:szCs w:val="24"/>
        </w:rPr>
        <w:t xml:space="preserve"> on</w:t>
      </w:r>
      <w:r w:rsidRPr="00CE1E04">
        <w:rPr>
          <w:rFonts w:ascii="Times New Roman" w:hAnsi="Times New Roman" w:cs="Times New Roman"/>
          <w:szCs w:val="24"/>
        </w:rPr>
        <w:t xml:space="preserve"> Nils Brunsson’s organi</w:t>
      </w:r>
      <w:r w:rsidR="00CB0D16" w:rsidRPr="00CE1E04">
        <w:rPr>
          <w:rFonts w:ascii="Times New Roman" w:hAnsi="Times New Roman" w:cs="Times New Roman"/>
          <w:szCs w:val="24"/>
        </w:rPr>
        <w:t>s</w:t>
      </w:r>
      <w:r w:rsidRPr="00CE1E04">
        <w:rPr>
          <w:rFonts w:ascii="Times New Roman" w:hAnsi="Times New Roman" w:cs="Times New Roman"/>
          <w:szCs w:val="24"/>
        </w:rPr>
        <w:t>ation of hypocrisy,</w:t>
      </w:r>
      <w:r w:rsidR="00AC71D0" w:rsidRPr="00CE1E04">
        <w:rPr>
          <w:rFonts w:ascii="Times New Roman" w:hAnsi="Times New Roman" w:cs="Times New Roman"/>
          <w:szCs w:val="24"/>
        </w:rPr>
        <w:t xml:space="preserve"> we describe Taiwan’s</w:t>
      </w:r>
      <w:r w:rsidR="004658C0" w:rsidRPr="00CE1E04">
        <w:rPr>
          <w:rFonts w:ascii="Times New Roman" w:hAnsi="Times New Roman" w:cs="Times New Roman"/>
          <w:szCs w:val="24"/>
        </w:rPr>
        <w:t xml:space="preserve"> pre-2012 approach to port governance</w:t>
      </w:r>
      <w:r w:rsidR="00135946" w:rsidRPr="00CE1E04">
        <w:rPr>
          <w:rFonts w:ascii="Times New Roman" w:hAnsi="Times New Roman" w:cs="Times New Roman"/>
          <w:szCs w:val="24"/>
        </w:rPr>
        <w:t xml:space="preserve"> </w:t>
      </w:r>
      <w:r w:rsidR="00AC71D0" w:rsidRPr="00CE1E04">
        <w:rPr>
          <w:rFonts w:ascii="Times New Roman" w:hAnsi="Times New Roman" w:cs="Times New Roman"/>
          <w:szCs w:val="24"/>
        </w:rPr>
        <w:t>and its</w:t>
      </w:r>
      <w:r w:rsidR="00BF5374" w:rsidRPr="00CE1E04">
        <w:rPr>
          <w:rFonts w:ascii="Times New Roman" w:hAnsi="Times New Roman" w:cs="Times New Roman"/>
          <w:szCs w:val="24"/>
        </w:rPr>
        <w:t xml:space="preserve"> reforms of 2012</w:t>
      </w:r>
      <w:r w:rsidR="00AC71D0" w:rsidRPr="00CE1E04">
        <w:rPr>
          <w:rFonts w:ascii="Times New Roman" w:hAnsi="Times New Roman" w:cs="Times New Roman"/>
          <w:szCs w:val="24"/>
        </w:rPr>
        <w:t>. We then detail</w:t>
      </w:r>
      <w:r w:rsidR="00BF5374" w:rsidRPr="00CE1E04">
        <w:rPr>
          <w:rFonts w:ascii="Times New Roman" w:hAnsi="Times New Roman" w:cs="Times New Roman"/>
          <w:szCs w:val="24"/>
        </w:rPr>
        <w:t xml:space="preserve"> how we conducted in-depth </w:t>
      </w:r>
      <w:r w:rsidR="00AC71D0" w:rsidRPr="00CE1E04">
        <w:rPr>
          <w:rFonts w:ascii="Times New Roman" w:hAnsi="Times New Roman" w:cs="Times New Roman"/>
          <w:szCs w:val="24"/>
        </w:rPr>
        <w:t xml:space="preserve">expert </w:t>
      </w:r>
      <w:r w:rsidR="00BF5374" w:rsidRPr="00CE1E04">
        <w:rPr>
          <w:rFonts w:ascii="Times New Roman" w:hAnsi="Times New Roman" w:cs="Times New Roman"/>
          <w:szCs w:val="24"/>
        </w:rPr>
        <w:t>interviews with eight</w:t>
      </w:r>
      <w:r w:rsidR="00135946" w:rsidRPr="00CE1E04">
        <w:rPr>
          <w:rFonts w:ascii="Times New Roman" w:hAnsi="Times New Roman" w:cs="Times New Roman"/>
          <w:szCs w:val="24"/>
        </w:rPr>
        <w:t xml:space="preserve"> </w:t>
      </w:r>
      <w:r w:rsidR="00BF5374" w:rsidRPr="00CE1E04">
        <w:rPr>
          <w:rFonts w:ascii="Times New Roman" w:hAnsi="Times New Roman" w:cs="Times New Roman"/>
          <w:szCs w:val="24"/>
        </w:rPr>
        <w:t>p</w:t>
      </w:r>
      <w:r w:rsidR="00135946" w:rsidRPr="00CE1E04">
        <w:rPr>
          <w:rFonts w:ascii="Times New Roman" w:hAnsi="Times New Roman" w:cs="Times New Roman"/>
          <w:szCs w:val="24"/>
        </w:rPr>
        <w:t xml:space="preserve">ort </w:t>
      </w:r>
      <w:r w:rsidR="00BF5374" w:rsidRPr="00CE1E04">
        <w:rPr>
          <w:rFonts w:ascii="Times New Roman" w:hAnsi="Times New Roman" w:cs="Times New Roman"/>
          <w:szCs w:val="24"/>
        </w:rPr>
        <w:t>g</w:t>
      </w:r>
      <w:r w:rsidR="00135946" w:rsidRPr="00CE1E04">
        <w:rPr>
          <w:rFonts w:ascii="Times New Roman" w:hAnsi="Times New Roman" w:cs="Times New Roman"/>
          <w:szCs w:val="24"/>
        </w:rPr>
        <w:t xml:space="preserve">overnance </w:t>
      </w:r>
      <w:r w:rsidR="00AC71D0" w:rsidRPr="00CE1E04">
        <w:rPr>
          <w:rFonts w:ascii="Times New Roman" w:hAnsi="Times New Roman" w:cs="Times New Roman"/>
          <w:szCs w:val="24"/>
        </w:rPr>
        <w:t>officials, before</w:t>
      </w:r>
      <w:r w:rsidR="00BF5374" w:rsidRPr="00CE1E04">
        <w:rPr>
          <w:rFonts w:ascii="Times New Roman" w:hAnsi="Times New Roman" w:cs="Times New Roman"/>
          <w:szCs w:val="24"/>
        </w:rPr>
        <w:t xml:space="preserve"> present</w:t>
      </w:r>
      <w:r w:rsidR="00AC71D0" w:rsidRPr="00CE1E04">
        <w:rPr>
          <w:rFonts w:ascii="Times New Roman" w:hAnsi="Times New Roman" w:cs="Times New Roman"/>
          <w:szCs w:val="24"/>
        </w:rPr>
        <w:t>ing</w:t>
      </w:r>
      <w:r w:rsidR="00135946" w:rsidRPr="00CE1E04">
        <w:rPr>
          <w:rFonts w:ascii="Times New Roman" w:hAnsi="Times New Roman" w:cs="Times New Roman"/>
          <w:szCs w:val="24"/>
        </w:rPr>
        <w:t xml:space="preserve"> </w:t>
      </w:r>
      <w:r w:rsidR="00BF5374" w:rsidRPr="00CE1E04">
        <w:rPr>
          <w:rFonts w:ascii="Times New Roman" w:hAnsi="Times New Roman" w:cs="Times New Roman"/>
          <w:szCs w:val="24"/>
        </w:rPr>
        <w:t>their thoughts on</w:t>
      </w:r>
      <w:r w:rsidR="00135946" w:rsidRPr="00CE1E04">
        <w:rPr>
          <w:rFonts w:ascii="Times New Roman" w:hAnsi="Times New Roman" w:cs="Times New Roman"/>
          <w:szCs w:val="24"/>
        </w:rPr>
        <w:t xml:space="preserve"> </w:t>
      </w:r>
      <w:r w:rsidR="00BF5374" w:rsidRPr="00CE1E04">
        <w:rPr>
          <w:rFonts w:ascii="Times New Roman" w:hAnsi="Times New Roman" w:cs="Times New Roman"/>
          <w:szCs w:val="24"/>
        </w:rPr>
        <w:t xml:space="preserve">the hopes, challenges, and future of </w:t>
      </w:r>
      <w:r w:rsidR="00135946" w:rsidRPr="00CE1E04">
        <w:rPr>
          <w:rFonts w:ascii="Times New Roman" w:hAnsi="Times New Roman" w:cs="Times New Roman"/>
          <w:szCs w:val="24"/>
        </w:rPr>
        <w:t>Taiwan’s port governance</w:t>
      </w:r>
      <w:r w:rsidR="00BF5374" w:rsidRPr="00CE1E04">
        <w:rPr>
          <w:rFonts w:ascii="Times New Roman" w:hAnsi="Times New Roman" w:cs="Times New Roman"/>
          <w:szCs w:val="24"/>
        </w:rPr>
        <w:t xml:space="preserve">. </w:t>
      </w:r>
      <w:r w:rsidRPr="00CE1E04">
        <w:rPr>
          <w:rFonts w:ascii="Times New Roman" w:hAnsi="Times New Roman" w:cs="Times New Roman"/>
          <w:szCs w:val="24"/>
        </w:rPr>
        <w:t>We draw on Brunsson’s organi</w:t>
      </w:r>
      <w:r w:rsidR="00B5235D" w:rsidRPr="00CE1E04">
        <w:rPr>
          <w:rFonts w:ascii="Times New Roman" w:hAnsi="Times New Roman" w:cs="Times New Roman"/>
          <w:szCs w:val="24"/>
        </w:rPr>
        <w:t>s</w:t>
      </w:r>
      <w:r w:rsidRPr="00CE1E04">
        <w:rPr>
          <w:rFonts w:ascii="Times New Roman" w:hAnsi="Times New Roman" w:cs="Times New Roman"/>
          <w:szCs w:val="24"/>
        </w:rPr>
        <w:t xml:space="preserve">ation of hypocrisy to </w:t>
      </w:r>
      <w:r w:rsidR="005C1AF8" w:rsidRPr="00CE1E04">
        <w:rPr>
          <w:rFonts w:ascii="Times New Roman" w:hAnsi="Times New Roman" w:cs="Times New Roman"/>
          <w:szCs w:val="24"/>
        </w:rPr>
        <w:t>view</w:t>
      </w:r>
      <w:r w:rsidRPr="00CE1E04">
        <w:rPr>
          <w:rFonts w:ascii="Times New Roman" w:hAnsi="Times New Roman" w:cs="Times New Roman"/>
          <w:szCs w:val="24"/>
        </w:rPr>
        <w:t xml:space="preserve"> how Taiwan’</w:t>
      </w:r>
      <w:r w:rsidR="00792B01" w:rsidRPr="00CE1E04">
        <w:rPr>
          <w:rFonts w:ascii="Times New Roman" w:hAnsi="Times New Roman" w:cs="Times New Roman"/>
          <w:szCs w:val="24"/>
        </w:rPr>
        <w:t>s port</w:t>
      </w:r>
      <w:r w:rsidRPr="00CE1E04">
        <w:rPr>
          <w:rFonts w:ascii="Times New Roman" w:hAnsi="Times New Roman" w:cs="Times New Roman"/>
          <w:szCs w:val="24"/>
        </w:rPr>
        <w:t xml:space="preserve"> reform has considered</w:t>
      </w:r>
      <w:r w:rsidR="00792B01" w:rsidRPr="00CE1E04">
        <w:rPr>
          <w:rFonts w:ascii="Times New Roman" w:hAnsi="Times New Roman" w:cs="Times New Roman"/>
          <w:szCs w:val="24"/>
        </w:rPr>
        <w:t xml:space="preserve"> numerous</w:t>
      </w:r>
      <w:r w:rsidRPr="00CE1E04">
        <w:rPr>
          <w:rFonts w:ascii="Times New Roman" w:hAnsi="Times New Roman" w:cs="Times New Roman"/>
          <w:szCs w:val="24"/>
        </w:rPr>
        <w:t xml:space="preserve"> </w:t>
      </w:r>
      <w:r w:rsidR="00792B01" w:rsidRPr="00CE1E04">
        <w:rPr>
          <w:rFonts w:ascii="Times New Roman" w:hAnsi="Times New Roman" w:cs="Times New Roman"/>
          <w:szCs w:val="24"/>
        </w:rPr>
        <w:t>differing</w:t>
      </w:r>
      <w:r w:rsidRPr="00CE1E04">
        <w:rPr>
          <w:rFonts w:ascii="Times New Roman" w:hAnsi="Times New Roman" w:cs="Times New Roman"/>
          <w:szCs w:val="24"/>
        </w:rPr>
        <w:t xml:space="preserve"> stakeholders and perspectives. We d</w:t>
      </w:r>
      <w:r w:rsidR="004C0461" w:rsidRPr="00CE1E04">
        <w:rPr>
          <w:rFonts w:ascii="Times New Roman" w:hAnsi="Times New Roman" w:cs="Times New Roman"/>
          <w:szCs w:val="24"/>
        </w:rPr>
        <w:t>iscuss</w:t>
      </w:r>
      <w:r w:rsidRPr="00CE1E04">
        <w:rPr>
          <w:rFonts w:ascii="Times New Roman" w:hAnsi="Times New Roman" w:cs="Times New Roman"/>
          <w:szCs w:val="24"/>
        </w:rPr>
        <w:t xml:space="preserve"> how </w:t>
      </w:r>
      <w:r w:rsidR="005C1AF8" w:rsidRPr="00CE1E04">
        <w:rPr>
          <w:rFonts w:ascii="Times New Roman" w:hAnsi="Times New Roman" w:cs="Times New Roman"/>
          <w:szCs w:val="24"/>
        </w:rPr>
        <w:t>such an</w:t>
      </w:r>
      <w:r w:rsidRPr="00CE1E04">
        <w:rPr>
          <w:rFonts w:ascii="Times New Roman" w:hAnsi="Times New Roman" w:cs="Times New Roman"/>
          <w:szCs w:val="24"/>
        </w:rPr>
        <w:t xml:space="preserve"> approach has allowed</w:t>
      </w:r>
      <w:r w:rsidR="00792B01" w:rsidRPr="00CE1E04">
        <w:rPr>
          <w:rFonts w:ascii="Times New Roman" w:hAnsi="Times New Roman" w:cs="Times New Roman"/>
          <w:szCs w:val="24"/>
        </w:rPr>
        <w:t xml:space="preserve"> Taiwan to aspire to greater</w:t>
      </w:r>
      <w:r w:rsidRPr="00CE1E04">
        <w:rPr>
          <w:rFonts w:ascii="Times New Roman" w:hAnsi="Times New Roman" w:cs="Times New Roman"/>
          <w:szCs w:val="24"/>
        </w:rPr>
        <w:t xml:space="preserve"> competitive</w:t>
      </w:r>
      <w:r w:rsidR="00792B01" w:rsidRPr="00CE1E04">
        <w:rPr>
          <w:rFonts w:ascii="Times New Roman" w:hAnsi="Times New Roman" w:cs="Times New Roman"/>
          <w:szCs w:val="24"/>
        </w:rPr>
        <w:t>ness,</w:t>
      </w:r>
      <w:r w:rsidRPr="00CE1E04">
        <w:rPr>
          <w:rFonts w:ascii="Times New Roman" w:hAnsi="Times New Roman" w:cs="Times New Roman"/>
          <w:szCs w:val="24"/>
        </w:rPr>
        <w:t xml:space="preserve"> bu</w:t>
      </w:r>
      <w:r w:rsidR="00792B01" w:rsidRPr="00CE1E04">
        <w:rPr>
          <w:rFonts w:ascii="Times New Roman" w:hAnsi="Times New Roman" w:cs="Times New Roman"/>
          <w:szCs w:val="24"/>
        </w:rPr>
        <w:t>t</w:t>
      </w:r>
      <w:r w:rsidRPr="00CE1E04">
        <w:rPr>
          <w:rFonts w:ascii="Times New Roman" w:hAnsi="Times New Roman" w:cs="Times New Roman"/>
          <w:szCs w:val="24"/>
        </w:rPr>
        <w:t xml:space="preserve"> generated challenges such as the need to ad</w:t>
      </w:r>
      <w:r w:rsidR="00854B8C" w:rsidRPr="00CE1E04">
        <w:rPr>
          <w:rFonts w:ascii="Times New Roman" w:hAnsi="Times New Roman" w:cs="Times New Roman"/>
          <w:szCs w:val="24"/>
        </w:rPr>
        <w:t>just</w:t>
      </w:r>
      <w:r w:rsidRPr="00CE1E04">
        <w:rPr>
          <w:rFonts w:ascii="Times New Roman" w:hAnsi="Times New Roman" w:cs="Times New Roman"/>
          <w:szCs w:val="24"/>
        </w:rPr>
        <w:t xml:space="preserve"> workforces</w:t>
      </w:r>
      <w:r w:rsidR="00792B01" w:rsidRPr="00CE1E04">
        <w:rPr>
          <w:rFonts w:ascii="Times New Roman" w:hAnsi="Times New Roman" w:cs="Times New Roman"/>
          <w:szCs w:val="24"/>
        </w:rPr>
        <w:t xml:space="preserve">, and of </w:t>
      </w:r>
      <w:r w:rsidR="004C0461" w:rsidRPr="00CE1E04">
        <w:rPr>
          <w:rFonts w:ascii="Times New Roman" w:hAnsi="Times New Roman" w:cs="Times New Roman"/>
          <w:szCs w:val="24"/>
        </w:rPr>
        <w:t>assessing</w:t>
      </w:r>
      <w:r w:rsidR="00BF5374" w:rsidRPr="00CE1E04">
        <w:rPr>
          <w:rFonts w:ascii="Times New Roman" w:hAnsi="Times New Roman" w:cs="Times New Roman"/>
          <w:szCs w:val="24"/>
        </w:rPr>
        <w:t xml:space="preserve"> the impact of reform</w:t>
      </w:r>
      <w:r w:rsidR="00135946" w:rsidRPr="00CE1E04">
        <w:rPr>
          <w:rFonts w:ascii="Times New Roman" w:hAnsi="Times New Roman" w:cs="Times New Roman"/>
          <w:szCs w:val="24"/>
        </w:rPr>
        <w:t xml:space="preserve"> in Taiwan.</w:t>
      </w:r>
    </w:p>
    <w:p w14:paraId="34982FEC" w14:textId="77777777" w:rsidR="006A2581" w:rsidRPr="00CE1E04" w:rsidRDefault="006A2581" w:rsidP="006A2581">
      <w:pPr>
        <w:rPr>
          <w:rFonts w:ascii="Times New Roman" w:hAnsi="Times New Roman" w:cs="Times New Roman"/>
          <w:szCs w:val="24"/>
        </w:rPr>
      </w:pPr>
    </w:p>
    <w:p w14:paraId="416E4832" w14:textId="0D470F0E" w:rsidR="006A2581" w:rsidRPr="00CE1E04" w:rsidRDefault="006A2581" w:rsidP="006A2581">
      <w:pPr>
        <w:rPr>
          <w:rFonts w:ascii="Times New Roman" w:hAnsi="Times New Roman" w:cs="Times New Roman"/>
          <w:szCs w:val="24"/>
        </w:rPr>
      </w:pPr>
      <w:r w:rsidRPr="00CE1E04">
        <w:rPr>
          <w:rFonts w:ascii="Times New Roman" w:hAnsi="Times New Roman" w:cs="Times New Roman"/>
          <w:szCs w:val="24"/>
        </w:rPr>
        <w:t>Keywords: Port Governance</w:t>
      </w:r>
      <w:r w:rsidR="005C5C96" w:rsidRPr="00CE1E04">
        <w:rPr>
          <w:rFonts w:ascii="Times New Roman" w:hAnsi="Times New Roman" w:cs="Times New Roman"/>
          <w:szCs w:val="24"/>
        </w:rPr>
        <w:t>;</w:t>
      </w:r>
      <w:r w:rsidR="00C555C0" w:rsidRPr="00CE1E04">
        <w:rPr>
          <w:rFonts w:ascii="Times New Roman" w:hAnsi="Times New Roman" w:cs="Times New Roman"/>
          <w:szCs w:val="24"/>
        </w:rPr>
        <w:t xml:space="preserve"> Maritime and Port Bureau</w:t>
      </w:r>
      <w:r w:rsidR="005C5C96" w:rsidRPr="00CE1E04">
        <w:rPr>
          <w:rFonts w:ascii="Times New Roman" w:hAnsi="Times New Roman" w:cs="Times New Roman"/>
          <w:szCs w:val="24"/>
        </w:rPr>
        <w:t>;</w:t>
      </w:r>
      <w:r w:rsidR="00C555C0" w:rsidRPr="00CE1E04">
        <w:rPr>
          <w:rFonts w:ascii="Times New Roman" w:hAnsi="Times New Roman" w:cs="Times New Roman"/>
          <w:szCs w:val="24"/>
        </w:rPr>
        <w:t xml:space="preserve"> Taiwan International Ports Corporation</w:t>
      </w:r>
      <w:r w:rsidR="005C5C96" w:rsidRPr="00CE1E04">
        <w:rPr>
          <w:rFonts w:ascii="Times New Roman" w:hAnsi="Times New Roman" w:cs="Times New Roman"/>
          <w:szCs w:val="24"/>
        </w:rPr>
        <w:t>;</w:t>
      </w:r>
      <w:r w:rsidR="00BD4C16" w:rsidRPr="00CE1E04">
        <w:rPr>
          <w:rFonts w:ascii="Times New Roman" w:hAnsi="Times New Roman" w:cs="Times New Roman"/>
          <w:szCs w:val="24"/>
        </w:rPr>
        <w:t xml:space="preserve"> Change Management</w:t>
      </w:r>
      <w:r w:rsidR="005C5C96" w:rsidRPr="00CE1E04">
        <w:rPr>
          <w:rFonts w:ascii="Times New Roman" w:hAnsi="Times New Roman" w:cs="Times New Roman"/>
          <w:szCs w:val="24"/>
        </w:rPr>
        <w:t>;</w:t>
      </w:r>
      <w:r w:rsidR="00C42F5B" w:rsidRPr="00CE1E04">
        <w:rPr>
          <w:rFonts w:ascii="Times New Roman" w:hAnsi="Times New Roman" w:cs="Times New Roman"/>
          <w:szCs w:val="24"/>
        </w:rPr>
        <w:t xml:space="preserve"> Taiwan</w:t>
      </w:r>
      <w:r w:rsidR="005C5C96" w:rsidRPr="00CE1E04">
        <w:rPr>
          <w:rFonts w:ascii="Times New Roman" w:hAnsi="Times New Roman" w:cs="Times New Roman"/>
          <w:szCs w:val="24"/>
        </w:rPr>
        <w:t>.</w:t>
      </w:r>
    </w:p>
    <w:p w14:paraId="2E98EFAC" w14:textId="77777777" w:rsidR="00135946" w:rsidRPr="00CE1E04" w:rsidRDefault="00135946" w:rsidP="00386CB4">
      <w:pPr>
        <w:rPr>
          <w:rFonts w:ascii="Times New Roman" w:hAnsi="Times New Roman" w:cs="Times New Roman"/>
          <w:szCs w:val="24"/>
        </w:rPr>
      </w:pPr>
    </w:p>
    <w:p w14:paraId="4D733EE2" w14:textId="77777777" w:rsidR="006A2581" w:rsidRPr="00CE1E04" w:rsidRDefault="006A2581" w:rsidP="00386CB4">
      <w:pPr>
        <w:rPr>
          <w:rFonts w:ascii="Times New Roman" w:hAnsi="Times New Roman" w:cs="Times New Roman"/>
          <w:szCs w:val="24"/>
        </w:rPr>
      </w:pPr>
    </w:p>
    <w:p w14:paraId="7F4ED806" w14:textId="30B5481E" w:rsidR="008A6B42" w:rsidRPr="00CE1E04" w:rsidRDefault="008A6B42" w:rsidP="008A6B42">
      <w:pPr>
        <w:pStyle w:val="ListParagraph"/>
        <w:numPr>
          <w:ilvl w:val="0"/>
          <w:numId w:val="1"/>
        </w:numPr>
        <w:ind w:leftChars="0"/>
        <w:rPr>
          <w:rFonts w:ascii="Times New Roman" w:hAnsi="Times New Roman" w:cs="Times New Roman"/>
          <w:b/>
          <w:sz w:val="28"/>
          <w:szCs w:val="28"/>
        </w:rPr>
      </w:pPr>
      <w:r w:rsidRPr="00CE1E04">
        <w:rPr>
          <w:rFonts w:ascii="Times New Roman" w:hAnsi="Times New Roman" w:cs="Times New Roman"/>
          <w:b/>
          <w:sz w:val="28"/>
          <w:szCs w:val="28"/>
        </w:rPr>
        <w:t>Introduction</w:t>
      </w:r>
    </w:p>
    <w:p w14:paraId="6EA27A67" w14:textId="6BE57345" w:rsidR="005D31C8" w:rsidRPr="00CE1E04" w:rsidRDefault="005D31C8" w:rsidP="00600D87">
      <w:pPr>
        <w:autoSpaceDE w:val="0"/>
        <w:autoSpaceDN w:val="0"/>
        <w:adjustRightInd w:val="0"/>
        <w:ind w:firstLineChars="100" w:firstLine="240"/>
        <w:jc w:val="both"/>
        <w:rPr>
          <w:rFonts w:ascii="Times New Roman" w:hAnsi="Times New Roman" w:cs="Times New Roman"/>
          <w:lang w:val="en-GB"/>
        </w:rPr>
      </w:pPr>
      <w:r w:rsidRPr="00CE1E04">
        <w:rPr>
          <w:rFonts w:ascii="Times New Roman" w:hAnsi="Times New Roman" w:cs="Times New Roman"/>
          <w:lang w:val="en-GB"/>
        </w:rPr>
        <w:t xml:space="preserve">In 2012, Taiwan introduced a significantly transformative reform of its port governance with the aspiration to create greater competiveness and profit from its ports. In this </w:t>
      </w:r>
      <w:r w:rsidR="00220ECC" w:rsidRPr="00CE1E04">
        <w:rPr>
          <w:rFonts w:ascii="Times New Roman" w:hAnsi="Times New Roman" w:cs="Times New Roman"/>
          <w:lang w:val="en-GB"/>
        </w:rPr>
        <w:t>article</w:t>
      </w:r>
      <w:r w:rsidRPr="00CE1E04">
        <w:rPr>
          <w:rFonts w:ascii="Times New Roman" w:hAnsi="Times New Roman" w:cs="Times New Roman"/>
          <w:lang w:val="en-GB"/>
        </w:rPr>
        <w:t xml:space="preserve"> we consider the rationale for this reform, the degree of its success and impact, and the challenges associated with introducing it. To do this we first provide some background and basic information about Taiwan and its port trade from 2001 – 2015. This provides a context for a subsequent discussion of some theories and processes of port governance from the literature which are framed around Nils Brunsson’s (2002) </w:t>
      </w:r>
      <w:r w:rsidR="00B5235D" w:rsidRPr="00CE1E04">
        <w:rPr>
          <w:rFonts w:ascii="Times New Roman" w:hAnsi="Times New Roman" w:cs="Times New Roman"/>
          <w:lang w:val="en-GB"/>
        </w:rPr>
        <w:t>organisation</w:t>
      </w:r>
      <w:r w:rsidRPr="00CE1E04">
        <w:rPr>
          <w:rFonts w:ascii="Times New Roman" w:hAnsi="Times New Roman" w:cs="Times New Roman"/>
          <w:lang w:val="en-GB"/>
        </w:rPr>
        <w:t xml:space="preserve"> of hypocrisy. We draw on Brunsson’s work in order to provide a suitable lens and frame through which to view port governance reform in general, and port governance reform in Taiwan in particular. In brief, and by way of an introduction for the reader, Brunsson’s theory is that rather than being something negative or harmful, hypocrisy can in fact be a positive and helpful tool for governments </w:t>
      </w:r>
      <w:r w:rsidRPr="00CE1E04">
        <w:rPr>
          <w:rFonts w:ascii="Times New Roman" w:hAnsi="Times New Roman" w:cs="Times New Roman"/>
          <w:lang w:val="en-GB"/>
        </w:rPr>
        <w:lastRenderedPageBreak/>
        <w:t>to be flexible and move forward with policy introduction. Brunsson defines hypocrisy as an organi</w:t>
      </w:r>
      <w:r w:rsidR="00B5235D" w:rsidRPr="00CE1E04">
        <w:rPr>
          <w:rFonts w:ascii="Times New Roman" w:hAnsi="Times New Roman" w:cs="Times New Roman"/>
          <w:lang w:val="en-GB"/>
        </w:rPr>
        <w:t>s</w:t>
      </w:r>
      <w:r w:rsidRPr="00CE1E04">
        <w:rPr>
          <w:rFonts w:ascii="Times New Roman" w:hAnsi="Times New Roman" w:cs="Times New Roman"/>
          <w:lang w:val="en-GB"/>
        </w:rPr>
        <w:t xml:space="preserve">ation’s ability to be able to ‘say’ one thing but ‘do’ another. In this way </w:t>
      </w:r>
      <w:r w:rsidR="00B5235D" w:rsidRPr="00CE1E04">
        <w:rPr>
          <w:rFonts w:ascii="Times New Roman" w:hAnsi="Times New Roman" w:cs="Times New Roman"/>
          <w:lang w:val="en-GB"/>
        </w:rPr>
        <w:t>organisation</w:t>
      </w:r>
      <w:r w:rsidRPr="00CE1E04">
        <w:rPr>
          <w:rFonts w:ascii="Times New Roman" w:hAnsi="Times New Roman" w:cs="Times New Roman"/>
          <w:lang w:val="en-GB"/>
        </w:rPr>
        <w:t xml:space="preserve">s have the flexibility to move ahead with reform and policy as it allows them to retain a previous stance but implement a new one. </w:t>
      </w:r>
      <w:r w:rsidR="00DB2A6E" w:rsidRPr="00CE1E04">
        <w:rPr>
          <w:rFonts w:ascii="Times New Roman" w:hAnsi="Times New Roman" w:cs="Times New Roman"/>
          <w:lang w:val="en-GB"/>
        </w:rPr>
        <w:t xml:space="preserve">In a port reform context, hypocrisy </w:t>
      </w:r>
      <w:r w:rsidR="00EF3AC5" w:rsidRPr="00CE1E04">
        <w:rPr>
          <w:rFonts w:ascii="Times New Roman" w:hAnsi="Times New Roman" w:cs="Times New Roman"/>
          <w:lang w:val="en-GB"/>
        </w:rPr>
        <w:t xml:space="preserve">(conscious or not) </w:t>
      </w:r>
      <w:r w:rsidR="00DB2A6E" w:rsidRPr="00CE1E04">
        <w:rPr>
          <w:rFonts w:ascii="Times New Roman" w:hAnsi="Times New Roman" w:cs="Times New Roman"/>
          <w:lang w:val="en-GB"/>
        </w:rPr>
        <w:t>can allow governments to say they are introducing new approaches to governance, but nevertheless retain some of the old approaches in order to help smooth the introduction of the new.</w:t>
      </w:r>
    </w:p>
    <w:p w14:paraId="35198779" w14:textId="1856F404" w:rsidR="005D31C8" w:rsidRPr="00CE1E04" w:rsidRDefault="005D31C8" w:rsidP="00600D87">
      <w:pPr>
        <w:autoSpaceDE w:val="0"/>
        <w:autoSpaceDN w:val="0"/>
        <w:adjustRightInd w:val="0"/>
        <w:ind w:firstLineChars="100" w:firstLine="240"/>
        <w:jc w:val="both"/>
        <w:rPr>
          <w:rFonts w:ascii="Times New Roman" w:hAnsi="Times New Roman" w:cs="Times New Roman"/>
          <w:lang w:val="en-GB"/>
        </w:rPr>
      </w:pPr>
      <w:r w:rsidRPr="00CE1E04">
        <w:rPr>
          <w:rFonts w:ascii="Times New Roman" w:hAnsi="Times New Roman" w:cs="Times New Roman"/>
          <w:lang w:val="en-GB"/>
        </w:rPr>
        <w:t>Following this section discussing the literature, we then outline Taiwan’s approach to reform, and the situation pre-2012 and post-2012. This is followed by a brief section which describes and justifies our approach to collectin</w:t>
      </w:r>
      <w:r w:rsidR="00FE24F4" w:rsidRPr="00CE1E04">
        <w:rPr>
          <w:rFonts w:ascii="Times New Roman" w:hAnsi="Times New Roman" w:cs="Times New Roman"/>
          <w:lang w:val="en-GB"/>
        </w:rPr>
        <w:t xml:space="preserve">g empirical data through in-depth interviews with eight key participants in Taiwan’s port governing structure. We then present and analyse this data in the context of the literature and </w:t>
      </w:r>
      <w:r w:rsidR="00EF3AC5" w:rsidRPr="00CE1E04">
        <w:rPr>
          <w:rFonts w:ascii="Times New Roman" w:hAnsi="Times New Roman" w:cs="Times New Roman"/>
          <w:lang w:val="en-GB"/>
        </w:rPr>
        <w:t>through a lens of organised hypocrisy. We</w:t>
      </w:r>
      <w:r w:rsidR="00FE24F4" w:rsidRPr="00CE1E04">
        <w:rPr>
          <w:rFonts w:ascii="Times New Roman" w:hAnsi="Times New Roman" w:cs="Times New Roman"/>
          <w:lang w:val="en-GB"/>
        </w:rPr>
        <w:t xml:space="preserve"> consider </w:t>
      </w:r>
      <w:r w:rsidR="00EF3AC5" w:rsidRPr="00CE1E04">
        <w:rPr>
          <w:rFonts w:ascii="Times New Roman" w:hAnsi="Times New Roman" w:cs="Times New Roman"/>
          <w:lang w:val="en-GB"/>
        </w:rPr>
        <w:t>Taiwan’s</w:t>
      </w:r>
      <w:r w:rsidR="00FE24F4" w:rsidRPr="00CE1E04">
        <w:rPr>
          <w:rFonts w:ascii="Times New Roman" w:hAnsi="Times New Roman" w:cs="Times New Roman"/>
          <w:lang w:val="en-GB"/>
        </w:rPr>
        <w:t xml:space="preserve"> motivation for introduc</w:t>
      </w:r>
      <w:r w:rsidR="00EF3AC5" w:rsidRPr="00CE1E04">
        <w:rPr>
          <w:rFonts w:ascii="Times New Roman" w:hAnsi="Times New Roman" w:cs="Times New Roman"/>
          <w:lang w:val="en-GB"/>
        </w:rPr>
        <w:t>ing</w:t>
      </w:r>
      <w:r w:rsidR="00FE24F4" w:rsidRPr="00CE1E04">
        <w:rPr>
          <w:rFonts w:ascii="Times New Roman" w:hAnsi="Times New Roman" w:cs="Times New Roman"/>
          <w:lang w:val="en-GB"/>
        </w:rPr>
        <w:t xml:space="preserve"> the port reform that took place, the degree of its success and impact, challenges associated with introducing it, and the future direction of Taiwan’s governance. We then conclude with a section that discusses the implications of this data and makes suggestions for future research in Taiwan specifically, and in the field of port governance in general. </w:t>
      </w:r>
    </w:p>
    <w:p w14:paraId="208ACBC0" w14:textId="77777777" w:rsidR="00FE24F4" w:rsidRPr="00CE1E04" w:rsidRDefault="00FE24F4" w:rsidP="00600D87">
      <w:pPr>
        <w:autoSpaceDE w:val="0"/>
        <w:autoSpaceDN w:val="0"/>
        <w:adjustRightInd w:val="0"/>
        <w:ind w:firstLineChars="100" w:firstLine="240"/>
        <w:jc w:val="both"/>
        <w:rPr>
          <w:rFonts w:ascii="Times New Roman" w:hAnsi="Times New Roman" w:cs="Times New Roman"/>
          <w:lang w:val="en-GB"/>
        </w:rPr>
      </w:pPr>
    </w:p>
    <w:p w14:paraId="07B73C5A" w14:textId="0EACDA6E" w:rsidR="00FE24F4" w:rsidRPr="00CE1E04" w:rsidRDefault="00FE24F4" w:rsidP="00FE24F4">
      <w:pPr>
        <w:autoSpaceDE w:val="0"/>
        <w:autoSpaceDN w:val="0"/>
        <w:adjustRightInd w:val="0"/>
        <w:jc w:val="both"/>
        <w:rPr>
          <w:rFonts w:ascii="Times New Roman" w:hAnsi="Times New Roman" w:cs="Times New Roman"/>
          <w:b/>
          <w:lang w:val="en-GB"/>
        </w:rPr>
      </w:pPr>
      <w:r w:rsidRPr="00CE1E04">
        <w:rPr>
          <w:rFonts w:ascii="Times New Roman" w:hAnsi="Times New Roman" w:cs="Times New Roman"/>
          <w:b/>
          <w:lang w:val="en-GB"/>
        </w:rPr>
        <w:t>1.1 Taiwan: some basic data and information about its port trade</w:t>
      </w:r>
    </w:p>
    <w:p w14:paraId="4304C8C7" w14:textId="60FC4A2A" w:rsidR="00573FA6" w:rsidRPr="00CE1E04" w:rsidRDefault="00961953" w:rsidP="006D5023">
      <w:pPr>
        <w:autoSpaceDE w:val="0"/>
        <w:autoSpaceDN w:val="0"/>
        <w:adjustRightInd w:val="0"/>
        <w:ind w:firstLineChars="100" w:firstLine="240"/>
        <w:jc w:val="both"/>
        <w:rPr>
          <w:rFonts w:ascii="Times New Roman" w:hAnsi="Times New Roman" w:cs="Times New Roman"/>
          <w:lang w:val="en-GB"/>
        </w:rPr>
      </w:pPr>
      <w:r w:rsidRPr="00CE1E04">
        <w:rPr>
          <w:rFonts w:ascii="Times New Roman" w:hAnsi="Times New Roman" w:cs="Times New Roman"/>
          <w:lang w:val="en-GB"/>
        </w:rPr>
        <w:t>Taiwan is an island</w:t>
      </w:r>
      <w:r w:rsidR="00280AC4" w:rsidRPr="00CE1E04">
        <w:rPr>
          <w:rFonts w:ascii="Times New Roman" w:hAnsi="Times New Roman" w:cs="Times New Roman"/>
        </w:rPr>
        <w:t xml:space="preserve"> economy entity</w:t>
      </w:r>
      <w:r w:rsidRPr="00CE1E04">
        <w:rPr>
          <w:rFonts w:ascii="Times New Roman" w:hAnsi="Times New Roman" w:cs="Times New Roman"/>
          <w:lang w:val="en-GB"/>
        </w:rPr>
        <w:t>, of about 23</w:t>
      </w:r>
      <w:r w:rsidR="00372AAB" w:rsidRPr="00CE1E04">
        <w:rPr>
          <w:rFonts w:ascii="Times New Roman" w:hAnsi="Times New Roman" w:cs="Times New Roman"/>
          <w:lang w:val="en-GB"/>
        </w:rPr>
        <w:t>.5</w:t>
      </w:r>
      <w:r w:rsidRPr="00CE1E04">
        <w:rPr>
          <w:rFonts w:ascii="Times New Roman" w:hAnsi="Times New Roman" w:cs="Times New Roman"/>
          <w:lang w:val="en-GB"/>
        </w:rPr>
        <w:t xml:space="preserve"> million people living on 36,000 km</w:t>
      </w:r>
      <w:r w:rsidRPr="00CE1E04">
        <w:rPr>
          <w:rFonts w:ascii="Times New Roman" w:hAnsi="Times New Roman" w:cs="Times New Roman"/>
          <w:vertAlign w:val="superscript"/>
          <w:lang w:val="en-GB"/>
        </w:rPr>
        <w:t>2</w:t>
      </w:r>
      <w:r w:rsidR="00AC71D0" w:rsidRPr="00CE1E04">
        <w:rPr>
          <w:rFonts w:ascii="Times New Roman" w:hAnsi="Times New Roman" w:cs="Times New Roman"/>
          <w:lang w:val="en-GB"/>
        </w:rPr>
        <w:t xml:space="preserve"> of land. Its</w:t>
      </w:r>
      <w:r w:rsidRPr="00CE1E04">
        <w:rPr>
          <w:rFonts w:ascii="Times New Roman" w:hAnsi="Times New Roman" w:cs="Times New Roman"/>
          <w:lang w:val="en-GB"/>
        </w:rPr>
        <w:t xml:space="preserve"> central mountainous </w:t>
      </w:r>
      <w:r w:rsidR="00AC71D0" w:rsidRPr="00CE1E04">
        <w:rPr>
          <w:rFonts w:ascii="Times New Roman" w:hAnsi="Times New Roman" w:cs="Times New Roman"/>
          <w:lang w:val="en-GB"/>
        </w:rPr>
        <w:t>terrain means Taiwan’s</w:t>
      </w:r>
      <w:r w:rsidRPr="00CE1E04">
        <w:rPr>
          <w:rFonts w:ascii="Times New Roman" w:hAnsi="Times New Roman" w:cs="Times New Roman"/>
          <w:lang w:val="en-GB"/>
        </w:rPr>
        <w:t xml:space="preserve"> major popul</w:t>
      </w:r>
      <w:r w:rsidR="00AC71D0" w:rsidRPr="00CE1E04">
        <w:rPr>
          <w:rFonts w:ascii="Times New Roman" w:hAnsi="Times New Roman" w:cs="Times New Roman"/>
          <w:lang w:val="en-GB"/>
        </w:rPr>
        <w:t>ation and economic activities occupy</w:t>
      </w:r>
      <w:r w:rsidRPr="00CE1E04">
        <w:rPr>
          <w:rFonts w:ascii="Times New Roman" w:hAnsi="Times New Roman" w:cs="Times New Roman"/>
          <w:lang w:val="en-GB"/>
        </w:rPr>
        <w:t xml:space="preserve"> a narrow, north-south corridor along the west coastal plain. </w:t>
      </w:r>
      <w:r w:rsidRPr="00CE1E04">
        <w:rPr>
          <w:rFonts w:ascii="Times New Roman" w:hAnsi="Times New Roman" w:cs="Times New Roman"/>
        </w:rPr>
        <w:t>In 20</w:t>
      </w:r>
      <w:r w:rsidR="00372AAB" w:rsidRPr="00CE1E04">
        <w:rPr>
          <w:rFonts w:ascii="Times New Roman" w:hAnsi="Times New Roman" w:cs="Times New Roman"/>
        </w:rPr>
        <w:t>15</w:t>
      </w:r>
      <w:r w:rsidRPr="00CE1E04">
        <w:rPr>
          <w:rFonts w:ascii="Times New Roman" w:hAnsi="Times New Roman" w:cs="Times New Roman"/>
        </w:rPr>
        <w:t xml:space="preserve">, Taiwan’s </w:t>
      </w:r>
      <w:r w:rsidR="00372AAB" w:rsidRPr="00CE1E04">
        <w:rPr>
          <w:rFonts w:ascii="Times New Roman" w:eastAsia="DFKai-SB" w:hAnsi="Times New Roman" w:cs="Times New Roman"/>
        </w:rPr>
        <w:t>gross domestic product (GDP)</w:t>
      </w:r>
      <w:r w:rsidRPr="00CE1E04">
        <w:rPr>
          <w:rFonts w:ascii="Times New Roman" w:hAnsi="Times New Roman" w:cs="Times New Roman"/>
        </w:rPr>
        <w:t xml:space="preserve"> was about US$</w:t>
      </w:r>
      <w:r w:rsidR="00372AAB" w:rsidRPr="00CE1E04">
        <w:rPr>
          <w:rFonts w:ascii="Times New Roman" w:hAnsi="Times New Roman" w:cs="Times New Roman"/>
        </w:rPr>
        <w:t>56</w:t>
      </w:r>
      <w:r w:rsidRPr="00CE1E04">
        <w:rPr>
          <w:rFonts w:ascii="Times New Roman" w:hAnsi="Times New Roman" w:cs="Times New Roman"/>
        </w:rPr>
        <w:t>3</w:t>
      </w:r>
      <w:r w:rsidR="00372AAB" w:rsidRPr="00CE1E04">
        <w:rPr>
          <w:rFonts w:ascii="Times New Roman" w:hAnsi="Times New Roman" w:cs="Times New Roman"/>
        </w:rPr>
        <w:t>.57</w:t>
      </w:r>
      <w:r w:rsidRPr="00CE1E04">
        <w:rPr>
          <w:rFonts w:ascii="Times New Roman" w:hAnsi="Times New Roman" w:cs="Times New Roman"/>
        </w:rPr>
        <w:t xml:space="preserve"> billion.</w:t>
      </w:r>
      <w:r w:rsidR="00AC71D0" w:rsidRPr="00CE1E04">
        <w:rPr>
          <w:rFonts w:ascii="Times New Roman" w:hAnsi="Times New Roman" w:cs="Times New Roman"/>
          <w:lang w:val="en-GB"/>
        </w:rPr>
        <w:t xml:space="preserve"> Its</w:t>
      </w:r>
      <w:r w:rsidRPr="00CE1E04">
        <w:rPr>
          <w:rFonts w:ascii="Times New Roman" w:hAnsi="Times New Roman" w:cs="Times New Roman"/>
          <w:lang w:val="en-GB"/>
        </w:rPr>
        <w:t xml:space="preserve"> </w:t>
      </w:r>
      <w:r w:rsidRPr="00CE1E04">
        <w:rPr>
          <w:rFonts w:ascii="Times New Roman" w:hAnsi="Times New Roman" w:cs="Times New Roman"/>
        </w:rPr>
        <w:t>gross export and import values were US$2</w:t>
      </w:r>
      <w:r w:rsidR="00300284" w:rsidRPr="00CE1E04">
        <w:rPr>
          <w:rFonts w:ascii="Times New Roman" w:hAnsi="Times New Roman" w:cs="Times New Roman"/>
        </w:rPr>
        <w:t>80.38</w:t>
      </w:r>
      <w:r w:rsidRPr="00CE1E04">
        <w:rPr>
          <w:rFonts w:ascii="Times New Roman" w:hAnsi="Times New Roman" w:cs="Times New Roman"/>
        </w:rPr>
        <w:t xml:space="preserve"> and US$2</w:t>
      </w:r>
      <w:r w:rsidR="00300284" w:rsidRPr="00CE1E04">
        <w:rPr>
          <w:rFonts w:ascii="Times New Roman" w:hAnsi="Times New Roman" w:cs="Times New Roman"/>
        </w:rPr>
        <w:t>28.62</w:t>
      </w:r>
      <w:r w:rsidRPr="00CE1E04">
        <w:rPr>
          <w:rFonts w:ascii="Times New Roman" w:hAnsi="Times New Roman" w:cs="Times New Roman"/>
        </w:rPr>
        <w:t xml:space="preserve"> billion, accounting for </w:t>
      </w:r>
      <w:r w:rsidR="00283E04" w:rsidRPr="00CE1E04">
        <w:rPr>
          <w:rFonts w:ascii="Times New Roman" w:hAnsi="Times New Roman" w:cs="Times New Roman"/>
        </w:rPr>
        <w:t>49.75</w:t>
      </w:r>
      <w:r w:rsidRPr="00CE1E04">
        <w:rPr>
          <w:rFonts w:ascii="Times New Roman" w:hAnsi="Times New Roman" w:cs="Times New Roman"/>
        </w:rPr>
        <w:t xml:space="preserve">% and </w:t>
      </w:r>
      <w:r w:rsidR="00283E04" w:rsidRPr="00CE1E04">
        <w:rPr>
          <w:rFonts w:ascii="Times New Roman" w:hAnsi="Times New Roman" w:cs="Times New Roman"/>
        </w:rPr>
        <w:t>40</w:t>
      </w:r>
      <w:r w:rsidRPr="00CE1E04">
        <w:rPr>
          <w:rFonts w:ascii="Times New Roman" w:hAnsi="Times New Roman" w:cs="Times New Roman"/>
        </w:rPr>
        <w:t>.</w:t>
      </w:r>
      <w:r w:rsidR="00283E04" w:rsidRPr="00CE1E04">
        <w:rPr>
          <w:rFonts w:ascii="Times New Roman" w:hAnsi="Times New Roman" w:cs="Times New Roman"/>
        </w:rPr>
        <w:t>57</w:t>
      </w:r>
      <w:r w:rsidRPr="00CE1E04">
        <w:rPr>
          <w:rFonts w:ascii="Times New Roman" w:hAnsi="Times New Roman" w:cs="Times New Roman"/>
        </w:rPr>
        <w:t>% of the GDP.</w:t>
      </w:r>
      <w:r w:rsidR="00300284" w:rsidRPr="00CE1E04">
        <w:rPr>
          <w:rStyle w:val="FootnoteReference"/>
          <w:rFonts w:ascii="Times New Roman" w:hAnsi="Times New Roman" w:cs="Times New Roman"/>
        </w:rPr>
        <w:footnoteReference w:id="1"/>
      </w:r>
      <w:r w:rsidRPr="00CE1E04">
        <w:rPr>
          <w:rFonts w:ascii="Times New Roman" w:hAnsi="Times New Roman" w:cs="Times New Roman"/>
          <w:lang w:val="en-GB"/>
        </w:rPr>
        <w:t xml:space="preserve"> Taiwan is highly dependent on foreign trade, </w:t>
      </w:r>
      <w:r w:rsidR="00143F46" w:rsidRPr="00CE1E04">
        <w:rPr>
          <w:rFonts w:ascii="Times New Roman" w:hAnsi="Times New Roman" w:cs="Times New Roman"/>
          <w:lang w:val="en-GB"/>
        </w:rPr>
        <w:t xml:space="preserve">and </w:t>
      </w:r>
      <w:r w:rsidR="00740407" w:rsidRPr="00CE1E04">
        <w:rPr>
          <w:rFonts w:ascii="Times New Roman" w:hAnsi="Times New Roman" w:cs="Times New Roman"/>
          <w:lang w:val="en-GB"/>
        </w:rPr>
        <w:t>thus</w:t>
      </w:r>
      <w:r w:rsidRPr="00CE1E04">
        <w:rPr>
          <w:rFonts w:ascii="Times New Roman" w:hAnsi="Times New Roman" w:cs="Times New Roman"/>
          <w:lang w:val="en-GB"/>
        </w:rPr>
        <w:t xml:space="preserve"> international transportation</w:t>
      </w:r>
      <w:r w:rsidR="00AC71D0" w:rsidRPr="00CE1E04">
        <w:rPr>
          <w:rFonts w:ascii="Times New Roman" w:hAnsi="Times New Roman" w:cs="Times New Roman"/>
          <w:lang w:val="en-GB"/>
        </w:rPr>
        <w:t>, through ports,</w:t>
      </w:r>
      <w:r w:rsidRPr="00CE1E04">
        <w:rPr>
          <w:rFonts w:ascii="Times New Roman" w:hAnsi="Times New Roman" w:cs="Times New Roman"/>
          <w:lang w:val="en-GB"/>
        </w:rPr>
        <w:t xml:space="preserve"> is critical for the sustained prosperity of the economy. According to </w:t>
      </w:r>
      <w:r w:rsidR="00AC71D0" w:rsidRPr="00CE1E04">
        <w:rPr>
          <w:rFonts w:ascii="Times New Roman" w:hAnsi="Times New Roman" w:cs="Times New Roman"/>
          <w:lang w:val="en-GB"/>
        </w:rPr>
        <w:t xml:space="preserve">one </w:t>
      </w:r>
      <w:r w:rsidRPr="00CE1E04">
        <w:rPr>
          <w:rFonts w:ascii="Times New Roman" w:hAnsi="Times New Roman" w:cs="Times New Roman"/>
          <w:lang w:val="en-GB"/>
        </w:rPr>
        <w:t>statistical report published by the Ministry of Transportation and Communication,</w:t>
      </w:r>
      <w:r w:rsidRPr="00CE1E04">
        <w:rPr>
          <w:rStyle w:val="FootnoteReference"/>
          <w:rFonts w:ascii="Times New Roman" w:hAnsi="Times New Roman" w:cs="Times New Roman"/>
          <w:lang w:val="en-GB"/>
        </w:rPr>
        <w:footnoteReference w:id="2"/>
      </w:r>
      <w:r w:rsidRPr="00CE1E04">
        <w:rPr>
          <w:rFonts w:ascii="Times New Roman" w:hAnsi="Times New Roman" w:cs="Times New Roman"/>
          <w:lang w:val="en-GB"/>
        </w:rPr>
        <w:t xml:space="preserve"> over 99% of Taiwan’s annual foreign tra</w:t>
      </w:r>
      <w:r w:rsidR="00AC71D0" w:rsidRPr="00CE1E04">
        <w:rPr>
          <w:rFonts w:ascii="Times New Roman" w:hAnsi="Times New Roman" w:cs="Times New Roman"/>
          <w:lang w:val="en-GB"/>
        </w:rPr>
        <w:t xml:space="preserve">de in tonnes is carried by sea. </w:t>
      </w:r>
      <w:r w:rsidR="00143F46" w:rsidRPr="00CE1E04">
        <w:rPr>
          <w:rFonts w:ascii="Times New Roman" w:hAnsi="Times New Roman" w:cs="Times New Roman"/>
          <w:lang w:val="en-GB"/>
        </w:rPr>
        <w:t>It is therefore not an understatement to say that p</w:t>
      </w:r>
      <w:r w:rsidR="00AC71D0" w:rsidRPr="00CE1E04">
        <w:rPr>
          <w:rFonts w:ascii="Times New Roman" w:hAnsi="Times New Roman" w:cs="Times New Roman"/>
          <w:lang w:val="en-GB"/>
        </w:rPr>
        <w:t>ort governance is thus one of the most significant factors in Taiwan’s economic outlook.</w:t>
      </w:r>
    </w:p>
    <w:p w14:paraId="299747FF" w14:textId="543101D4" w:rsidR="00961953" w:rsidRPr="00CE1E04" w:rsidRDefault="00961953" w:rsidP="00FF33C9">
      <w:pPr>
        <w:jc w:val="both"/>
        <w:rPr>
          <w:rFonts w:ascii="Times New Roman" w:hAnsi="Times New Roman" w:cs="Times New Roman"/>
          <w:lang w:val="en-GB"/>
        </w:rPr>
      </w:pPr>
      <w:r w:rsidRPr="00CE1E04">
        <w:rPr>
          <w:rFonts w:ascii="Times New Roman" w:hAnsi="Times New Roman" w:cs="Times New Roman"/>
          <w:lang w:val="en-GB"/>
        </w:rPr>
        <w:t xml:space="preserve">  </w:t>
      </w:r>
      <w:r w:rsidR="00971A15" w:rsidRPr="00CE1E04">
        <w:rPr>
          <w:rFonts w:ascii="Times New Roman" w:hAnsi="Times New Roman" w:cs="Times New Roman"/>
          <w:lang w:val="en-GB"/>
        </w:rPr>
        <w:t xml:space="preserve">As shown in Figure 1, </w:t>
      </w:r>
      <w:r w:rsidRPr="00CE1E04">
        <w:rPr>
          <w:rFonts w:ascii="Times New Roman" w:hAnsi="Times New Roman" w:cs="Times New Roman"/>
          <w:lang w:val="en-GB"/>
        </w:rPr>
        <w:t xml:space="preserve">Taiwan has four </w:t>
      </w:r>
      <w:r w:rsidR="00926C22" w:rsidRPr="00CE1E04">
        <w:rPr>
          <w:rFonts w:ascii="Times New Roman" w:hAnsi="Times New Roman" w:cs="Times New Roman"/>
          <w:lang w:val="en-GB"/>
        </w:rPr>
        <w:t xml:space="preserve">main </w:t>
      </w:r>
      <w:r w:rsidRPr="00CE1E04">
        <w:rPr>
          <w:rFonts w:ascii="Times New Roman" w:hAnsi="Times New Roman" w:cs="Times New Roman"/>
          <w:lang w:val="en-GB"/>
        </w:rPr>
        <w:t xml:space="preserve">international ports: Kaohsiung, </w:t>
      </w:r>
      <w:r w:rsidRPr="00CE1E04">
        <w:rPr>
          <w:rFonts w:ascii="Times New Roman" w:eastAsia="DFKai-SB" w:hAnsi="Times New Roman" w:cs="Times New Roman"/>
        </w:rPr>
        <w:t>Keelung, Taichung</w:t>
      </w:r>
      <w:r w:rsidRPr="00CE1E04">
        <w:rPr>
          <w:rFonts w:ascii="Times New Roman" w:hAnsi="Times New Roman" w:cs="Times New Roman"/>
          <w:lang w:val="en-GB"/>
        </w:rPr>
        <w:t xml:space="preserve"> and Hu</w:t>
      </w:r>
      <w:r w:rsidR="000B5711" w:rsidRPr="00CE1E04">
        <w:rPr>
          <w:rFonts w:ascii="Times New Roman" w:hAnsi="Times New Roman" w:cs="Times New Roman"/>
          <w:lang w:val="en-GB"/>
        </w:rPr>
        <w:t>a</w:t>
      </w:r>
      <w:r w:rsidRPr="00CE1E04">
        <w:rPr>
          <w:rFonts w:ascii="Times New Roman" w:hAnsi="Times New Roman" w:cs="Times New Roman"/>
          <w:lang w:val="en-GB"/>
        </w:rPr>
        <w:t>lien.</w:t>
      </w:r>
      <w:r w:rsidR="005D2FF1" w:rsidRPr="00CE1E04">
        <w:rPr>
          <w:rStyle w:val="FootnoteReference"/>
          <w:rFonts w:ascii="Times New Roman" w:hAnsi="Times New Roman" w:cs="Times New Roman"/>
          <w:lang w:val="en-GB"/>
        </w:rPr>
        <w:footnoteReference w:id="3"/>
      </w:r>
      <w:r w:rsidR="0075165E" w:rsidRPr="00CE1E04">
        <w:rPr>
          <w:rFonts w:ascii="Times New Roman" w:hAnsi="Times New Roman" w:cs="Times New Roman"/>
          <w:vertAlign w:val="superscript"/>
          <w:lang w:val="en-GB"/>
        </w:rPr>
        <w:t>,</w:t>
      </w:r>
      <w:r w:rsidR="00971A15" w:rsidRPr="00CE1E04">
        <w:rPr>
          <w:rStyle w:val="FootnoteReference"/>
          <w:rFonts w:ascii="Times New Roman" w:eastAsia="DFKai-SB" w:hAnsi="Times New Roman" w:cs="Times New Roman"/>
        </w:rPr>
        <w:footnoteReference w:id="4"/>
      </w:r>
      <w:r w:rsidR="00E925C9" w:rsidRPr="00CE1E04">
        <w:rPr>
          <w:rFonts w:ascii="Times New Roman" w:hAnsi="Times New Roman" w:cs="Times New Roman"/>
          <w:lang w:val="en-GB"/>
        </w:rPr>
        <w:t xml:space="preserve"> </w:t>
      </w:r>
      <w:r w:rsidR="00610F79" w:rsidRPr="00CE1E04">
        <w:rPr>
          <w:rFonts w:ascii="Times New Roman" w:hAnsi="Times New Roman" w:cs="Times New Roman"/>
          <w:lang w:val="en-GB"/>
        </w:rPr>
        <w:t>In addition, there are a number of smaller ports that also operate internationally (Anping, Suao, Mai Liao, and Ho Ping).</w:t>
      </w:r>
    </w:p>
    <w:p w14:paraId="318DA451" w14:textId="1FC7207B" w:rsidR="009C4715" w:rsidRPr="00CE1E04" w:rsidRDefault="009C4715" w:rsidP="009C4715">
      <w:pPr>
        <w:jc w:val="center"/>
        <w:rPr>
          <w:rFonts w:ascii="Times New Roman" w:hAnsi="Times New Roman" w:cs="Times New Roman"/>
          <w:lang w:val="en-GB"/>
        </w:rPr>
      </w:pPr>
      <w:r w:rsidRPr="00CE1E04">
        <w:rPr>
          <w:rFonts w:ascii="Times New Roman" w:hAnsi="Times New Roman" w:cs="Times New Roman"/>
        </w:rPr>
        <w:object w:dxaOrig="6576" w:dyaOrig="4932" w14:anchorId="7F70A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46.75pt" o:ole="">
            <v:imagedata r:id="rId8" o:title=""/>
          </v:shape>
          <o:OLEObject Type="Embed" ProgID="Visio.Drawing.11" ShapeID="_x0000_i1025" DrawAspect="Content" ObjectID="_1531508448" r:id="rId9"/>
        </w:object>
      </w:r>
    </w:p>
    <w:p w14:paraId="2BB1C2FA" w14:textId="3535E3BA" w:rsidR="0091664B" w:rsidRPr="00CE1E04" w:rsidRDefault="0091664B" w:rsidP="005848C3">
      <w:pPr>
        <w:jc w:val="center"/>
        <w:rPr>
          <w:rFonts w:ascii="Times New Roman" w:hAnsi="Times New Roman" w:cs="Times New Roman"/>
        </w:rPr>
      </w:pPr>
    </w:p>
    <w:p w14:paraId="5D91B348" w14:textId="45807E64" w:rsidR="0091664B" w:rsidRPr="00CE1E04" w:rsidRDefault="002A3E56" w:rsidP="005848C3">
      <w:pPr>
        <w:jc w:val="center"/>
        <w:rPr>
          <w:rFonts w:ascii="Times New Roman" w:hAnsi="Times New Roman" w:cs="Times New Roman"/>
          <w:szCs w:val="24"/>
        </w:rPr>
      </w:pPr>
      <w:r w:rsidRPr="00CE1E04">
        <w:rPr>
          <w:rFonts w:ascii="Times New Roman" w:hAnsi="Times New Roman" w:cs="Times New Roman"/>
          <w:szCs w:val="24"/>
        </w:rPr>
        <w:t>Figure 1</w:t>
      </w:r>
      <w:r w:rsidR="000529CD" w:rsidRPr="00CE1E04">
        <w:rPr>
          <w:rFonts w:ascii="Times New Roman" w:hAnsi="Times New Roman" w:cs="Times New Roman"/>
          <w:szCs w:val="24"/>
        </w:rPr>
        <w:t>.</w:t>
      </w:r>
      <w:r w:rsidRPr="00CE1E04">
        <w:rPr>
          <w:rFonts w:ascii="Times New Roman" w:hAnsi="Times New Roman" w:cs="Times New Roman"/>
          <w:szCs w:val="24"/>
        </w:rPr>
        <w:t xml:space="preserve"> </w:t>
      </w:r>
      <w:r w:rsidR="00E60E67" w:rsidRPr="00CE1E04">
        <w:rPr>
          <w:rFonts w:ascii="Times New Roman" w:hAnsi="Times New Roman" w:cs="Times New Roman"/>
          <w:szCs w:val="24"/>
        </w:rPr>
        <w:t>Location of m</w:t>
      </w:r>
      <w:r w:rsidRPr="00CE1E04">
        <w:rPr>
          <w:rFonts w:ascii="Times New Roman" w:hAnsi="Times New Roman" w:cs="Times New Roman"/>
          <w:szCs w:val="24"/>
        </w:rPr>
        <w:t xml:space="preserve">ain </w:t>
      </w:r>
      <w:r w:rsidR="00E60E67" w:rsidRPr="00CE1E04">
        <w:rPr>
          <w:rFonts w:ascii="Times New Roman" w:hAnsi="Times New Roman" w:cs="Times New Roman"/>
          <w:szCs w:val="24"/>
        </w:rPr>
        <w:t>i</w:t>
      </w:r>
      <w:r w:rsidRPr="00CE1E04">
        <w:rPr>
          <w:rFonts w:ascii="Times New Roman" w:hAnsi="Times New Roman" w:cs="Times New Roman"/>
          <w:szCs w:val="24"/>
        </w:rPr>
        <w:t xml:space="preserve">nternational </w:t>
      </w:r>
      <w:r w:rsidR="00E60E67" w:rsidRPr="00CE1E04">
        <w:rPr>
          <w:rFonts w:ascii="Times New Roman" w:hAnsi="Times New Roman" w:cs="Times New Roman"/>
          <w:szCs w:val="24"/>
        </w:rPr>
        <w:t>p</w:t>
      </w:r>
      <w:r w:rsidRPr="00CE1E04">
        <w:rPr>
          <w:rFonts w:ascii="Times New Roman" w:hAnsi="Times New Roman" w:cs="Times New Roman"/>
          <w:szCs w:val="24"/>
        </w:rPr>
        <w:t>orts in Taiwan</w:t>
      </w:r>
    </w:p>
    <w:p w14:paraId="00A379A4" w14:textId="232A0B1D" w:rsidR="00A51A0D" w:rsidRPr="00CE1E04" w:rsidRDefault="00202AE5" w:rsidP="004264DB">
      <w:pPr>
        <w:jc w:val="both"/>
        <w:rPr>
          <w:rFonts w:ascii="Times New Roman" w:hAnsi="Times New Roman" w:cs="Times New Roman"/>
          <w:szCs w:val="24"/>
        </w:rPr>
      </w:pPr>
      <w:r w:rsidRPr="00CE1E04">
        <w:rPr>
          <w:rFonts w:ascii="Times New Roman" w:hAnsi="Times New Roman" w:cs="Times New Roman"/>
          <w:sz w:val="28"/>
          <w:szCs w:val="28"/>
        </w:rPr>
        <w:t xml:space="preserve"> </w:t>
      </w:r>
      <w:r w:rsidRPr="00CE1E04">
        <w:rPr>
          <w:rFonts w:ascii="Times New Roman" w:hAnsi="Times New Roman" w:cs="Times New Roman"/>
          <w:szCs w:val="24"/>
        </w:rPr>
        <w:t xml:space="preserve"> </w:t>
      </w:r>
      <w:r w:rsidR="007B0B8E" w:rsidRPr="00CE1E04">
        <w:rPr>
          <w:rFonts w:ascii="Times New Roman" w:hAnsi="Times New Roman" w:cs="Times New Roman"/>
          <w:szCs w:val="24"/>
        </w:rPr>
        <w:t>Figure 2</w:t>
      </w:r>
      <w:r w:rsidRPr="00CE1E04">
        <w:rPr>
          <w:rFonts w:ascii="Times New Roman" w:hAnsi="Times New Roman" w:cs="Times New Roman"/>
          <w:szCs w:val="24"/>
        </w:rPr>
        <w:t xml:space="preserve"> shows a </w:t>
      </w:r>
      <w:r w:rsidR="003427FF" w:rsidRPr="00CE1E04">
        <w:rPr>
          <w:rFonts w:ascii="Times New Roman" w:hAnsi="Times New Roman" w:cs="Times New Roman"/>
          <w:szCs w:val="24"/>
        </w:rPr>
        <w:t xml:space="preserve">trend of </w:t>
      </w:r>
      <w:r w:rsidRPr="00CE1E04">
        <w:rPr>
          <w:rFonts w:ascii="Times New Roman" w:hAnsi="Times New Roman" w:cs="Times New Roman"/>
          <w:szCs w:val="24"/>
        </w:rPr>
        <w:t xml:space="preserve">cargo </w:t>
      </w:r>
      <w:r w:rsidR="00463BF0" w:rsidRPr="00CE1E04">
        <w:rPr>
          <w:rFonts w:ascii="Times New Roman" w:hAnsi="Times New Roman" w:cs="Times New Roman"/>
          <w:szCs w:val="24"/>
        </w:rPr>
        <w:t>loading/</w:t>
      </w:r>
      <w:r w:rsidR="000E78AC" w:rsidRPr="00CE1E04">
        <w:rPr>
          <w:rFonts w:ascii="Times New Roman" w:hAnsi="Times New Roman" w:cs="Times New Roman"/>
          <w:szCs w:val="24"/>
        </w:rPr>
        <w:t xml:space="preserve">unloading volume </w:t>
      </w:r>
      <w:r w:rsidR="003427FF" w:rsidRPr="00CE1E04">
        <w:rPr>
          <w:rFonts w:ascii="Times New Roman" w:hAnsi="Times New Roman" w:cs="Times New Roman"/>
          <w:szCs w:val="24"/>
        </w:rPr>
        <w:t xml:space="preserve">in </w:t>
      </w:r>
      <w:r w:rsidR="009A52B5" w:rsidRPr="00CE1E04">
        <w:rPr>
          <w:rFonts w:ascii="Times New Roman" w:hAnsi="Times New Roman" w:cs="Times New Roman"/>
          <w:szCs w:val="24"/>
        </w:rPr>
        <w:t xml:space="preserve">the main </w:t>
      </w:r>
      <w:r w:rsidR="003427FF" w:rsidRPr="00CE1E04">
        <w:rPr>
          <w:rFonts w:ascii="Times New Roman" w:hAnsi="Times New Roman" w:cs="Times New Roman"/>
          <w:szCs w:val="24"/>
        </w:rPr>
        <w:t xml:space="preserve">Taiwanese </w:t>
      </w:r>
      <w:r w:rsidR="00E519D2" w:rsidRPr="00CE1E04">
        <w:rPr>
          <w:rFonts w:ascii="Times New Roman" w:hAnsi="Times New Roman" w:cs="Times New Roman"/>
          <w:szCs w:val="24"/>
        </w:rPr>
        <w:t xml:space="preserve">international </w:t>
      </w:r>
      <w:r w:rsidR="003427FF" w:rsidRPr="00CE1E04">
        <w:rPr>
          <w:rFonts w:ascii="Times New Roman" w:hAnsi="Times New Roman" w:cs="Times New Roman"/>
          <w:szCs w:val="24"/>
        </w:rPr>
        <w:t xml:space="preserve">ports </w:t>
      </w:r>
      <w:r w:rsidRPr="00CE1E04">
        <w:rPr>
          <w:rFonts w:ascii="Times New Roman" w:hAnsi="Times New Roman" w:cs="Times New Roman"/>
          <w:szCs w:val="24"/>
        </w:rPr>
        <w:t>between 2001 and 201</w:t>
      </w:r>
      <w:r w:rsidR="00A51A0D" w:rsidRPr="00CE1E04">
        <w:rPr>
          <w:rFonts w:ascii="Times New Roman" w:hAnsi="Times New Roman" w:cs="Times New Roman"/>
          <w:szCs w:val="24"/>
        </w:rPr>
        <w:t>5</w:t>
      </w:r>
      <w:r w:rsidRPr="00CE1E04">
        <w:rPr>
          <w:rFonts w:ascii="Times New Roman" w:hAnsi="Times New Roman" w:cs="Times New Roman"/>
          <w:szCs w:val="24"/>
        </w:rPr>
        <w:t xml:space="preserve">. </w:t>
      </w:r>
      <w:r w:rsidR="00DB0463" w:rsidRPr="00CE1E04">
        <w:rPr>
          <w:rFonts w:ascii="Times New Roman" w:hAnsi="Times New Roman" w:cs="Times New Roman"/>
          <w:szCs w:val="24"/>
        </w:rPr>
        <w:t xml:space="preserve">In 2015, Kaohsiung port accounted for </w:t>
      </w:r>
      <w:r w:rsidR="009A52B5" w:rsidRPr="00CE1E04">
        <w:rPr>
          <w:rFonts w:ascii="Times New Roman" w:hAnsi="Times New Roman" w:cs="Times New Roman"/>
          <w:szCs w:val="24"/>
        </w:rPr>
        <w:t xml:space="preserve">a </w:t>
      </w:r>
      <w:r w:rsidR="00DB0463" w:rsidRPr="00CE1E04">
        <w:rPr>
          <w:rFonts w:ascii="Times New Roman" w:hAnsi="Times New Roman" w:cs="Times New Roman"/>
          <w:szCs w:val="24"/>
        </w:rPr>
        <w:t>major</w:t>
      </w:r>
      <w:r w:rsidR="009A52B5" w:rsidRPr="00CE1E04">
        <w:rPr>
          <w:rFonts w:ascii="Times New Roman" w:hAnsi="Times New Roman" w:cs="Times New Roman"/>
          <w:szCs w:val="24"/>
        </w:rPr>
        <w:t>ity of the</w:t>
      </w:r>
      <w:r w:rsidR="00DB0463" w:rsidRPr="00CE1E04">
        <w:rPr>
          <w:rFonts w:ascii="Times New Roman" w:hAnsi="Times New Roman" w:cs="Times New Roman"/>
          <w:szCs w:val="24"/>
        </w:rPr>
        <w:t xml:space="preserve"> volume</w:t>
      </w:r>
      <w:r w:rsidR="003740EA" w:rsidRPr="00CE1E04">
        <w:rPr>
          <w:rFonts w:ascii="Times New Roman" w:hAnsi="Times New Roman" w:cs="Times New Roman"/>
          <w:szCs w:val="24"/>
        </w:rPr>
        <w:t xml:space="preserve"> (450,383,327 tons</w:t>
      </w:r>
      <w:r w:rsidR="002527BD" w:rsidRPr="00CE1E04">
        <w:rPr>
          <w:rFonts w:ascii="Times New Roman" w:hAnsi="Times New Roman" w:cs="Times New Roman"/>
          <w:szCs w:val="24"/>
        </w:rPr>
        <w:t xml:space="preserve">, </w:t>
      </w:r>
      <w:r w:rsidR="004764C2" w:rsidRPr="00CE1E04">
        <w:rPr>
          <w:rFonts w:ascii="Times New Roman" w:hAnsi="Times New Roman" w:cs="Times New Roman"/>
          <w:szCs w:val="24"/>
        </w:rPr>
        <w:t>62</w:t>
      </w:r>
      <w:r w:rsidR="002527BD" w:rsidRPr="00CE1E04">
        <w:rPr>
          <w:rFonts w:ascii="Times New Roman" w:hAnsi="Times New Roman" w:cs="Times New Roman"/>
          <w:szCs w:val="24"/>
        </w:rPr>
        <w:t>.</w:t>
      </w:r>
      <w:r w:rsidR="004764C2" w:rsidRPr="00CE1E04">
        <w:rPr>
          <w:rFonts w:ascii="Times New Roman" w:hAnsi="Times New Roman" w:cs="Times New Roman"/>
          <w:szCs w:val="24"/>
        </w:rPr>
        <w:t>96</w:t>
      </w:r>
      <w:r w:rsidR="002527BD" w:rsidRPr="00CE1E04">
        <w:rPr>
          <w:rFonts w:ascii="Times New Roman" w:hAnsi="Times New Roman" w:cs="Times New Roman"/>
          <w:szCs w:val="24"/>
        </w:rPr>
        <w:t>%</w:t>
      </w:r>
      <w:r w:rsidR="003740EA" w:rsidRPr="00CE1E04">
        <w:rPr>
          <w:rFonts w:ascii="Times New Roman" w:hAnsi="Times New Roman" w:cs="Times New Roman"/>
          <w:szCs w:val="24"/>
        </w:rPr>
        <w:t>)</w:t>
      </w:r>
      <w:r w:rsidR="00DB0463" w:rsidRPr="00CE1E04">
        <w:rPr>
          <w:rFonts w:ascii="Times New Roman" w:hAnsi="Times New Roman" w:cs="Times New Roman"/>
          <w:szCs w:val="24"/>
        </w:rPr>
        <w:t>, followed by Taichung</w:t>
      </w:r>
      <w:r w:rsidR="003740EA" w:rsidRPr="00CE1E04">
        <w:rPr>
          <w:rFonts w:ascii="Times New Roman" w:hAnsi="Times New Roman" w:cs="Times New Roman"/>
          <w:szCs w:val="24"/>
        </w:rPr>
        <w:t xml:space="preserve"> (121,916,825 tons</w:t>
      </w:r>
      <w:r w:rsidR="002527BD" w:rsidRPr="00CE1E04">
        <w:rPr>
          <w:rFonts w:ascii="Times New Roman" w:hAnsi="Times New Roman" w:cs="Times New Roman"/>
          <w:szCs w:val="24"/>
        </w:rPr>
        <w:t xml:space="preserve">, </w:t>
      </w:r>
      <w:r w:rsidR="004764C2" w:rsidRPr="00CE1E04">
        <w:rPr>
          <w:rFonts w:ascii="Times New Roman" w:hAnsi="Times New Roman" w:cs="Times New Roman"/>
          <w:szCs w:val="24"/>
        </w:rPr>
        <w:t>17</w:t>
      </w:r>
      <w:r w:rsidR="002527BD" w:rsidRPr="00CE1E04">
        <w:rPr>
          <w:rFonts w:ascii="Times New Roman" w:hAnsi="Times New Roman" w:cs="Times New Roman"/>
          <w:szCs w:val="24"/>
        </w:rPr>
        <w:t>.</w:t>
      </w:r>
      <w:r w:rsidR="004764C2" w:rsidRPr="00CE1E04">
        <w:rPr>
          <w:rFonts w:ascii="Times New Roman" w:hAnsi="Times New Roman" w:cs="Times New Roman"/>
          <w:szCs w:val="24"/>
        </w:rPr>
        <w:t>04</w:t>
      </w:r>
      <w:r w:rsidR="002527BD" w:rsidRPr="00CE1E04">
        <w:rPr>
          <w:rFonts w:ascii="Times New Roman" w:hAnsi="Times New Roman" w:cs="Times New Roman"/>
          <w:szCs w:val="24"/>
        </w:rPr>
        <w:t>%</w:t>
      </w:r>
      <w:r w:rsidR="003740EA" w:rsidRPr="00CE1E04">
        <w:rPr>
          <w:rFonts w:ascii="Times New Roman" w:hAnsi="Times New Roman" w:cs="Times New Roman"/>
          <w:szCs w:val="24"/>
        </w:rPr>
        <w:t>)</w:t>
      </w:r>
      <w:r w:rsidR="00DB0463" w:rsidRPr="00CE1E04">
        <w:rPr>
          <w:rFonts w:ascii="Times New Roman" w:hAnsi="Times New Roman" w:cs="Times New Roman"/>
          <w:szCs w:val="24"/>
        </w:rPr>
        <w:t>, Keelung</w:t>
      </w:r>
      <w:r w:rsidR="003740EA" w:rsidRPr="00CE1E04">
        <w:rPr>
          <w:rFonts w:ascii="Times New Roman" w:hAnsi="Times New Roman" w:cs="Times New Roman"/>
          <w:szCs w:val="24"/>
        </w:rPr>
        <w:t xml:space="preserve"> (62,478,862 tons</w:t>
      </w:r>
      <w:r w:rsidR="002527BD" w:rsidRPr="00CE1E04">
        <w:rPr>
          <w:rFonts w:ascii="Times New Roman" w:hAnsi="Times New Roman" w:cs="Times New Roman"/>
          <w:szCs w:val="24"/>
        </w:rPr>
        <w:t xml:space="preserve">, </w:t>
      </w:r>
      <w:r w:rsidR="004764C2" w:rsidRPr="00CE1E04">
        <w:rPr>
          <w:rFonts w:ascii="Times New Roman" w:hAnsi="Times New Roman" w:cs="Times New Roman"/>
          <w:szCs w:val="24"/>
        </w:rPr>
        <w:t>8</w:t>
      </w:r>
      <w:r w:rsidR="002527BD" w:rsidRPr="00CE1E04">
        <w:rPr>
          <w:rFonts w:ascii="Times New Roman" w:hAnsi="Times New Roman" w:cs="Times New Roman"/>
          <w:szCs w:val="24"/>
        </w:rPr>
        <w:t>.7</w:t>
      </w:r>
      <w:r w:rsidR="004764C2" w:rsidRPr="00CE1E04">
        <w:rPr>
          <w:rFonts w:ascii="Times New Roman" w:hAnsi="Times New Roman" w:cs="Times New Roman"/>
          <w:szCs w:val="24"/>
        </w:rPr>
        <w:t>3</w:t>
      </w:r>
      <w:r w:rsidR="002527BD" w:rsidRPr="00CE1E04">
        <w:rPr>
          <w:rFonts w:ascii="Times New Roman" w:hAnsi="Times New Roman" w:cs="Times New Roman"/>
          <w:szCs w:val="24"/>
        </w:rPr>
        <w:t>%</w:t>
      </w:r>
      <w:r w:rsidR="003740EA" w:rsidRPr="00CE1E04">
        <w:rPr>
          <w:rFonts w:ascii="Times New Roman" w:hAnsi="Times New Roman" w:cs="Times New Roman"/>
          <w:szCs w:val="24"/>
        </w:rPr>
        <w:t>)</w:t>
      </w:r>
      <w:r w:rsidR="00DB0463" w:rsidRPr="00CE1E04">
        <w:rPr>
          <w:rFonts w:ascii="Times New Roman" w:hAnsi="Times New Roman" w:cs="Times New Roman"/>
          <w:szCs w:val="24"/>
        </w:rPr>
        <w:t xml:space="preserve">, </w:t>
      </w:r>
      <w:r w:rsidR="004764C2" w:rsidRPr="00CE1E04">
        <w:rPr>
          <w:rFonts w:ascii="Times New Roman" w:hAnsi="Times New Roman" w:cs="Times New Roman"/>
          <w:szCs w:val="24"/>
        </w:rPr>
        <w:t xml:space="preserve">Taipei (67,996,913 tons, 9.51%) and </w:t>
      </w:r>
      <w:r w:rsidR="00DB0463" w:rsidRPr="00CE1E04">
        <w:rPr>
          <w:rFonts w:ascii="Times New Roman" w:hAnsi="Times New Roman" w:cs="Times New Roman"/>
          <w:szCs w:val="24"/>
        </w:rPr>
        <w:t>Hualien</w:t>
      </w:r>
      <w:r w:rsidR="003740EA" w:rsidRPr="00CE1E04">
        <w:rPr>
          <w:rFonts w:ascii="Times New Roman" w:hAnsi="Times New Roman" w:cs="Times New Roman"/>
          <w:szCs w:val="24"/>
        </w:rPr>
        <w:t xml:space="preserve"> (12,550,856 tons</w:t>
      </w:r>
      <w:r w:rsidR="004764C2" w:rsidRPr="00CE1E04">
        <w:rPr>
          <w:rFonts w:ascii="Times New Roman" w:hAnsi="Times New Roman" w:cs="Times New Roman"/>
          <w:szCs w:val="24"/>
        </w:rPr>
        <w:t>, 1.75%</w:t>
      </w:r>
      <w:r w:rsidR="003740EA" w:rsidRPr="00CE1E04">
        <w:rPr>
          <w:rFonts w:ascii="Times New Roman" w:hAnsi="Times New Roman" w:cs="Times New Roman"/>
          <w:szCs w:val="24"/>
        </w:rPr>
        <w:t>)</w:t>
      </w:r>
      <w:r w:rsidR="00DB0463" w:rsidRPr="00CE1E04">
        <w:rPr>
          <w:rFonts w:ascii="Times New Roman" w:hAnsi="Times New Roman" w:cs="Times New Roman"/>
          <w:szCs w:val="24"/>
        </w:rPr>
        <w:t>. In particular, d</w:t>
      </w:r>
      <w:r w:rsidR="003427FF" w:rsidRPr="00CE1E04">
        <w:rPr>
          <w:rFonts w:ascii="Times New Roman" w:hAnsi="Times New Roman" w:cs="Times New Roman"/>
          <w:szCs w:val="24"/>
        </w:rPr>
        <w:t xml:space="preserve">ue to </w:t>
      </w:r>
      <w:r w:rsidR="009A52B5" w:rsidRPr="00CE1E04">
        <w:rPr>
          <w:rFonts w:ascii="Times New Roman" w:hAnsi="Times New Roman" w:cs="Times New Roman"/>
          <w:szCs w:val="24"/>
        </w:rPr>
        <w:t xml:space="preserve">the </w:t>
      </w:r>
      <w:r w:rsidR="003427FF" w:rsidRPr="00CE1E04">
        <w:rPr>
          <w:rFonts w:ascii="Times New Roman" w:hAnsi="Times New Roman" w:cs="Times New Roman"/>
          <w:szCs w:val="24"/>
        </w:rPr>
        <w:t xml:space="preserve">financial crisis in 2009, volume of most ports had </w:t>
      </w:r>
      <w:r w:rsidR="00610F79" w:rsidRPr="00CE1E04">
        <w:rPr>
          <w:rFonts w:ascii="Times New Roman" w:hAnsi="Times New Roman" w:cs="Times New Roman"/>
          <w:szCs w:val="24"/>
        </w:rPr>
        <w:t>de</w:t>
      </w:r>
      <w:r w:rsidR="003427FF" w:rsidRPr="00CE1E04">
        <w:rPr>
          <w:rFonts w:ascii="Times New Roman" w:hAnsi="Times New Roman" w:cs="Times New Roman"/>
          <w:szCs w:val="24"/>
        </w:rPr>
        <w:t>creased</w:t>
      </w:r>
      <w:r w:rsidR="00DB0463" w:rsidRPr="00CE1E04">
        <w:rPr>
          <w:rFonts w:ascii="Times New Roman" w:hAnsi="Times New Roman" w:cs="Times New Roman"/>
          <w:szCs w:val="24"/>
        </w:rPr>
        <w:t>.</w:t>
      </w:r>
      <w:r w:rsidR="003427FF" w:rsidRPr="00CE1E04">
        <w:rPr>
          <w:rFonts w:ascii="Times New Roman" w:hAnsi="Times New Roman" w:cs="Times New Roman"/>
          <w:szCs w:val="24"/>
        </w:rPr>
        <w:t xml:space="preserve"> </w:t>
      </w:r>
      <w:r w:rsidR="00AC71D0" w:rsidRPr="00CE1E04">
        <w:rPr>
          <w:rFonts w:ascii="Times New Roman" w:hAnsi="Times New Roman" w:cs="Times New Roman"/>
          <w:szCs w:val="24"/>
        </w:rPr>
        <w:t>As</w:t>
      </w:r>
      <w:r w:rsidRPr="00CE1E04">
        <w:rPr>
          <w:rFonts w:ascii="Times New Roman" w:hAnsi="Times New Roman" w:cs="Times New Roman"/>
          <w:szCs w:val="24"/>
        </w:rPr>
        <w:t xml:space="preserve"> Taipei port is</w:t>
      </w:r>
      <w:r w:rsidR="000C25B0" w:rsidRPr="00CE1E04">
        <w:rPr>
          <w:rFonts w:ascii="Times New Roman" w:hAnsi="Times New Roman" w:cs="Times New Roman"/>
          <w:szCs w:val="24"/>
        </w:rPr>
        <w:t xml:space="preserve"> a new port and adjacent to</w:t>
      </w:r>
      <w:r w:rsidRPr="00CE1E04">
        <w:rPr>
          <w:rFonts w:ascii="Times New Roman" w:hAnsi="Times New Roman" w:cs="Times New Roman"/>
          <w:szCs w:val="24"/>
        </w:rPr>
        <w:t xml:space="preserve"> </w:t>
      </w:r>
      <w:r w:rsidR="00AC71D0" w:rsidRPr="00CE1E04">
        <w:rPr>
          <w:rFonts w:ascii="Times New Roman" w:hAnsi="Times New Roman" w:cs="Times New Roman"/>
          <w:szCs w:val="24"/>
        </w:rPr>
        <w:t>Keelung port, some</w:t>
      </w:r>
      <w:r w:rsidR="000C25B0" w:rsidRPr="00CE1E04">
        <w:rPr>
          <w:rFonts w:ascii="Times New Roman" w:hAnsi="Times New Roman" w:cs="Times New Roman"/>
          <w:szCs w:val="24"/>
        </w:rPr>
        <w:t xml:space="preserve"> of </w:t>
      </w:r>
      <w:r w:rsidR="00AC71D0" w:rsidRPr="00CE1E04">
        <w:rPr>
          <w:rFonts w:ascii="Times New Roman" w:hAnsi="Times New Roman" w:cs="Times New Roman"/>
          <w:szCs w:val="24"/>
        </w:rPr>
        <w:t xml:space="preserve">the cargo </w:t>
      </w:r>
      <w:r w:rsidR="009A52B5" w:rsidRPr="00CE1E04">
        <w:rPr>
          <w:rFonts w:ascii="Times New Roman" w:hAnsi="Times New Roman" w:cs="Times New Roman"/>
          <w:szCs w:val="24"/>
        </w:rPr>
        <w:t>from</w:t>
      </w:r>
      <w:r w:rsidR="00AC71D0" w:rsidRPr="00CE1E04">
        <w:rPr>
          <w:rFonts w:ascii="Times New Roman" w:hAnsi="Times New Roman" w:cs="Times New Roman"/>
          <w:szCs w:val="24"/>
        </w:rPr>
        <w:t xml:space="preserve"> Keelung port have </w:t>
      </w:r>
      <w:r w:rsidR="009A52B5" w:rsidRPr="00CE1E04">
        <w:rPr>
          <w:rFonts w:ascii="Times New Roman" w:hAnsi="Times New Roman" w:cs="Times New Roman"/>
          <w:szCs w:val="24"/>
        </w:rPr>
        <w:t>moved</w:t>
      </w:r>
      <w:r w:rsidR="000C25B0" w:rsidRPr="00CE1E04">
        <w:rPr>
          <w:rFonts w:ascii="Times New Roman" w:hAnsi="Times New Roman" w:cs="Times New Roman"/>
          <w:szCs w:val="24"/>
        </w:rPr>
        <w:t xml:space="preserve"> to Taipei port in recent years.</w:t>
      </w:r>
      <w:r w:rsidR="0005344C" w:rsidRPr="00CE1E04">
        <w:rPr>
          <w:rFonts w:ascii="Times New Roman" w:hAnsi="Times New Roman" w:cs="Times New Roman"/>
          <w:szCs w:val="24"/>
        </w:rPr>
        <w:t xml:space="preserve"> </w:t>
      </w:r>
    </w:p>
    <w:p w14:paraId="7019AA17" w14:textId="29966EBB" w:rsidR="00820860" w:rsidRPr="00CE1E04" w:rsidRDefault="00C953E9" w:rsidP="00AF0683">
      <w:pPr>
        <w:jc w:val="center"/>
        <w:rPr>
          <w:rFonts w:ascii="Times New Roman" w:hAnsi="Times New Roman" w:cs="Times New Roman"/>
        </w:rPr>
      </w:pPr>
      <w:r w:rsidRPr="00CE1E04">
        <w:rPr>
          <w:rFonts w:ascii="Times New Roman" w:hAnsi="Times New Roman" w:cs="Times New Roman"/>
          <w:noProof/>
          <w:lang w:val="en-GB" w:eastAsia="en-GB"/>
        </w:rPr>
        <w:drawing>
          <wp:inline distT="0" distB="0" distL="0" distR="0" wp14:anchorId="0B22C42B" wp14:editId="75820D30">
            <wp:extent cx="4603750" cy="2708910"/>
            <wp:effectExtent l="0" t="0" r="6350" b="1524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9495BC" w14:textId="7B6C01CC" w:rsidR="00CD00BF" w:rsidRPr="00CE1E04" w:rsidRDefault="00CD00BF" w:rsidP="00CD00BF">
      <w:pPr>
        <w:jc w:val="center"/>
        <w:rPr>
          <w:rFonts w:ascii="Times New Roman" w:hAnsi="Times New Roman" w:cs="Times New Roman"/>
          <w:szCs w:val="24"/>
        </w:rPr>
      </w:pPr>
      <w:r w:rsidRPr="00CE1E04">
        <w:rPr>
          <w:rFonts w:ascii="Times New Roman" w:hAnsi="Times New Roman" w:cs="Times New Roman"/>
          <w:szCs w:val="24"/>
          <w:lang w:val="en-GB"/>
        </w:rPr>
        <w:t xml:space="preserve">Figure </w:t>
      </w:r>
      <w:r w:rsidR="000529CD" w:rsidRPr="00CE1E04">
        <w:rPr>
          <w:rFonts w:ascii="Times New Roman" w:hAnsi="Times New Roman" w:cs="Times New Roman"/>
          <w:szCs w:val="24"/>
          <w:lang w:val="en-GB"/>
        </w:rPr>
        <w:t>2.</w:t>
      </w:r>
      <w:r w:rsidRPr="00CE1E04">
        <w:rPr>
          <w:rFonts w:ascii="Times New Roman" w:hAnsi="Times New Roman" w:cs="Times New Roman"/>
          <w:szCs w:val="24"/>
          <w:lang w:val="en-GB"/>
        </w:rPr>
        <w:t xml:space="preserve"> </w:t>
      </w:r>
      <w:r w:rsidRPr="00CE1E04">
        <w:rPr>
          <w:rFonts w:ascii="Times New Roman" w:hAnsi="Times New Roman" w:cs="Times New Roman"/>
          <w:szCs w:val="24"/>
        </w:rPr>
        <w:t xml:space="preserve">Growth in </w:t>
      </w:r>
      <w:r w:rsidR="00BC3571" w:rsidRPr="00CE1E04">
        <w:rPr>
          <w:rFonts w:ascii="Times New Roman" w:hAnsi="Times New Roman" w:cs="Times New Roman"/>
          <w:szCs w:val="24"/>
        </w:rPr>
        <w:t>c</w:t>
      </w:r>
      <w:r w:rsidRPr="00CE1E04">
        <w:rPr>
          <w:rFonts w:ascii="Times New Roman" w:hAnsi="Times New Roman" w:cs="Times New Roman"/>
          <w:szCs w:val="24"/>
        </w:rPr>
        <w:t xml:space="preserve">argo </w:t>
      </w:r>
      <w:r w:rsidR="00435AF8" w:rsidRPr="00CE1E04">
        <w:rPr>
          <w:rFonts w:ascii="Times New Roman" w:hAnsi="Times New Roman" w:cs="Times New Roman"/>
          <w:szCs w:val="24"/>
        </w:rPr>
        <w:t>l</w:t>
      </w:r>
      <w:r w:rsidRPr="00CE1E04">
        <w:rPr>
          <w:rFonts w:ascii="Times New Roman" w:hAnsi="Times New Roman" w:cs="Times New Roman"/>
          <w:szCs w:val="24"/>
        </w:rPr>
        <w:t>oading</w:t>
      </w:r>
      <w:r w:rsidR="00435AF8" w:rsidRPr="00CE1E04">
        <w:rPr>
          <w:rFonts w:ascii="Times New Roman" w:hAnsi="Times New Roman" w:cs="Times New Roman"/>
          <w:szCs w:val="24"/>
        </w:rPr>
        <w:t>/unloading</w:t>
      </w:r>
      <w:r w:rsidRPr="00CE1E04">
        <w:rPr>
          <w:rFonts w:ascii="Times New Roman" w:hAnsi="Times New Roman" w:cs="Times New Roman"/>
          <w:szCs w:val="24"/>
        </w:rPr>
        <w:t xml:space="preserve"> volume (in tons)</w:t>
      </w:r>
      <w:r w:rsidRPr="00CE1E04">
        <w:rPr>
          <w:rStyle w:val="FootnoteReference"/>
          <w:rFonts w:ascii="Times New Roman" w:hAnsi="Times New Roman" w:cs="Times New Roman"/>
          <w:szCs w:val="24"/>
        </w:rPr>
        <w:footnoteReference w:id="5"/>
      </w:r>
    </w:p>
    <w:p w14:paraId="54414AE0" w14:textId="77777777" w:rsidR="00CD00BF" w:rsidRPr="00CE1E04" w:rsidRDefault="00CD00BF" w:rsidP="00CD00BF">
      <w:pPr>
        <w:snapToGrid w:val="0"/>
        <w:rPr>
          <w:rFonts w:ascii="Times New Roman" w:hAnsi="Times New Roman" w:cs="Times New Roman"/>
          <w:sz w:val="20"/>
          <w:szCs w:val="20"/>
        </w:rPr>
      </w:pPr>
      <w:r w:rsidRPr="00CE1E04">
        <w:rPr>
          <w:rFonts w:ascii="Times New Roman" w:hAnsi="Times New Roman" w:cs="Times New Roman"/>
          <w:sz w:val="20"/>
          <w:szCs w:val="20"/>
        </w:rPr>
        <w:t>Source: Ministry of Transportation and Communication http://www.motc.gov.tw/en/index.jsp</w:t>
      </w:r>
    </w:p>
    <w:p w14:paraId="19C26EBA" w14:textId="77777777" w:rsidR="00CD00BF" w:rsidRPr="00CE1E04" w:rsidRDefault="00CD00BF" w:rsidP="003668D5">
      <w:pPr>
        <w:ind w:firstLineChars="100" w:firstLine="240"/>
        <w:jc w:val="both"/>
        <w:rPr>
          <w:rFonts w:ascii="Times New Roman" w:hAnsi="Times New Roman" w:cs="Times New Roman"/>
          <w:szCs w:val="24"/>
        </w:rPr>
      </w:pPr>
    </w:p>
    <w:p w14:paraId="09D8EA78" w14:textId="488FDC77" w:rsidR="003668D5" w:rsidRPr="00CE1E04" w:rsidRDefault="009D0F41" w:rsidP="003668D5">
      <w:pPr>
        <w:ind w:firstLineChars="100" w:firstLine="240"/>
        <w:jc w:val="both"/>
        <w:rPr>
          <w:rFonts w:ascii="Times New Roman" w:hAnsi="Times New Roman" w:cs="Times New Roman"/>
          <w:szCs w:val="24"/>
        </w:rPr>
      </w:pPr>
      <w:r w:rsidRPr="00CE1E04">
        <w:rPr>
          <w:rFonts w:ascii="Times New Roman" w:hAnsi="Times New Roman" w:cs="Times New Roman"/>
          <w:szCs w:val="24"/>
        </w:rPr>
        <w:t>In 2015</w:t>
      </w:r>
      <w:r w:rsidR="003668D5" w:rsidRPr="00CE1E04">
        <w:rPr>
          <w:rFonts w:ascii="Times New Roman" w:hAnsi="Times New Roman" w:cs="Times New Roman"/>
          <w:szCs w:val="24"/>
        </w:rPr>
        <w:t xml:space="preserve">, Kaohsiung port </w:t>
      </w:r>
      <w:r w:rsidR="00FF3219" w:rsidRPr="00CE1E04">
        <w:rPr>
          <w:rFonts w:ascii="Times New Roman" w:hAnsi="Times New Roman" w:cs="Times New Roman"/>
          <w:szCs w:val="24"/>
        </w:rPr>
        <w:t>accounted for</w:t>
      </w:r>
      <w:r w:rsidR="003668D5" w:rsidRPr="00CE1E04">
        <w:rPr>
          <w:rFonts w:ascii="Times New Roman" w:hAnsi="Times New Roman" w:cs="Times New Roman"/>
          <w:szCs w:val="24"/>
        </w:rPr>
        <w:t xml:space="preserve"> a</w:t>
      </w:r>
      <w:r w:rsidR="00FF3219" w:rsidRPr="00CE1E04">
        <w:rPr>
          <w:rFonts w:ascii="Times New Roman" w:hAnsi="Times New Roman" w:cs="Times New Roman"/>
          <w:szCs w:val="24"/>
        </w:rPr>
        <w:t>pproximately</w:t>
      </w:r>
      <w:r w:rsidR="003668D5" w:rsidRPr="00CE1E04">
        <w:rPr>
          <w:rFonts w:ascii="Times New Roman" w:hAnsi="Times New Roman" w:cs="Times New Roman"/>
          <w:szCs w:val="24"/>
        </w:rPr>
        <w:t xml:space="preserve"> 70% of Taiwan’s total container throughput</w:t>
      </w:r>
      <w:r w:rsidRPr="00CE1E04">
        <w:rPr>
          <w:rFonts w:ascii="Times New Roman" w:hAnsi="Times New Roman" w:cs="Times New Roman"/>
          <w:szCs w:val="24"/>
        </w:rPr>
        <w:t xml:space="preserve"> (1,445,337 TEUs)</w:t>
      </w:r>
      <w:r w:rsidR="003668D5" w:rsidRPr="00CE1E04">
        <w:rPr>
          <w:rFonts w:ascii="Times New Roman" w:hAnsi="Times New Roman" w:cs="Times New Roman"/>
          <w:szCs w:val="24"/>
        </w:rPr>
        <w:t xml:space="preserve">, the remaining 30% </w:t>
      </w:r>
      <w:r w:rsidR="00FF3219" w:rsidRPr="00CE1E04">
        <w:rPr>
          <w:rFonts w:ascii="Times New Roman" w:hAnsi="Times New Roman" w:cs="Times New Roman"/>
          <w:szCs w:val="24"/>
        </w:rPr>
        <w:t>being</w:t>
      </w:r>
      <w:r w:rsidR="003668D5" w:rsidRPr="00CE1E04">
        <w:rPr>
          <w:rFonts w:ascii="Times New Roman" w:hAnsi="Times New Roman" w:cs="Times New Roman"/>
          <w:szCs w:val="24"/>
        </w:rPr>
        <w:t xml:space="preserve"> handled by Taichung</w:t>
      </w:r>
      <w:r w:rsidRPr="00CE1E04">
        <w:rPr>
          <w:rFonts w:ascii="Times New Roman" w:hAnsi="Times New Roman" w:cs="Times New Roman"/>
          <w:szCs w:val="24"/>
        </w:rPr>
        <w:t xml:space="preserve"> (10,264,420 TEUs)</w:t>
      </w:r>
      <w:r w:rsidR="003668D5" w:rsidRPr="00CE1E04">
        <w:rPr>
          <w:rFonts w:ascii="Times New Roman" w:hAnsi="Times New Roman" w:cs="Times New Roman"/>
          <w:szCs w:val="24"/>
        </w:rPr>
        <w:t xml:space="preserve">, Keelung </w:t>
      </w:r>
      <w:r w:rsidRPr="00CE1E04">
        <w:rPr>
          <w:rFonts w:ascii="Times New Roman" w:hAnsi="Times New Roman" w:cs="Times New Roman"/>
          <w:szCs w:val="24"/>
        </w:rPr>
        <w:t xml:space="preserve">(1,447,390 TEUs) </w:t>
      </w:r>
      <w:r w:rsidR="003668D5" w:rsidRPr="00CE1E04">
        <w:rPr>
          <w:rFonts w:ascii="Times New Roman" w:hAnsi="Times New Roman" w:cs="Times New Roman"/>
          <w:szCs w:val="24"/>
        </w:rPr>
        <w:t>and Taipei</w:t>
      </w:r>
      <w:r w:rsidRPr="00CE1E04">
        <w:rPr>
          <w:rFonts w:ascii="Times New Roman" w:hAnsi="Times New Roman" w:cs="Times New Roman"/>
          <w:szCs w:val="24"/>
        </w:rPr>
        <w:t xml:space="preserve"> (1,334,506 TEUs)</w:t>
      </w:r>
      <w:r w:rsidR="003668D5" w:rsidRPr="00CE1E04">
        <w:rPr>
          <w:rFonts w:ascii="Times New Roman" w:hAnsi="Times New Roman" w:cs="Times New Roman"/>
          <w:szCs w:val="24"/>
        </w:rPr>
        <w:t xml:space="preserve">. In particular, the emergence of Taipei </w:t>
      </w:r>
      <w:r w:rsidR="0056789C" w:rsidRPr="00CE1E04">
        <w:rPr>
          <w:rFonts w:ascii="Times New Roman" w:hAnsi="Times New Roman" w:cs="Times New Roman"/>
          <w:szCs w:val="24"/>
        </w:rPr>
        <w:t xml:space="preserve">container </w:t>
      </w:r>
      <w:r w:rsidR="003668D5" w:rsidRPr="00CE1E04">
        <w:rPr>
          <w:rFonts w:ascii="Times New Roman" w:hAnsi="Times New Roman" w:cs="Times New Roman"/>
          <w:szCs w:val="24"/>
        </w:rPr>
        <w:t xml:space="preserve">port </w:t>
      </w:r>
      <w:r w:rsidR="0056789C" w:rsidRPr="00CE1E04">
        <w:rPr>
          <w:rFonts w:ascii="Times New Roman" w:hAnsi="Times New Roman" w:cs="Times New Roman"/>
          <w:szCs w:val="24"/>
        </w:rPr>
        <w:t xml:space="preserve">in 2009 </w:t>
      </w:r>
      <w:r w:rsidR="003668D5" w:rsidRPr="00CE1E04">
        <w:rPr>
          <w:rFonts w:ascii="Times New Roman" w:hAnsi="Times New Roman" w:cs="Times New Roman"/>
          <w:szCs w:val="24"/>
        </w:rPr>
        <w:t>has attracted p</w:t>
      </w:r>
      <w:r w:rsidR="00FF3219" w:rsidRPr="00CE1E04">
        <w:rPr>
          <w:rFonts w:ascii="Times New Roman" w:hAnsi="Times New Roman" w:cs="Times New Roman"/>
          <w:szCs w:val="24"/>
        </w:rPr>
        <w:t>o</w:t>
      </w:r>
      <w:r w:rsidR="003668D5" w:rsidRPr="00CE1E04">
        <w:rPr>
          <w:rFonts w:ascii="Times New Roman" w:hAnsi="Times New Roman" w:cs="Times New Roman"/>
          <w:szCs w:val="24"/>
        </w:rPr>
        <w:t>rt cargo volume f</w:t>
      </w:r>
      <w:r w:rsidR="0056789C" w:rsidRPr="00CE1E04">
        <w:rPr>
          <w:rFonts w:ascii="Times New Roman" w:hAnsi="Times New Roman" w:cs="Times New Roman"/>
          <w:szCs w:val="24"/>
        </w:rPr>
        <w:t>rom Keelung port</w:t>
      </w:r>
      <w:r w:rsidR="003668D5" w:rsidRPr="00CE1E04">
        <w:rPr>
          <w:rFonts w:ascii="Times New Roman" w:hAnsi="Times New Roman" w:cs="Times New Roman"/>
          <w:szCs w:val="24"/>
        </w:rPr>
        <w:t xml:space="preserve">, as shown in </w:t>
      </w:r>
      <w:r w:rsidR="007D2026" w:rsidRPr="00CE1E04">
        <w:rPr>
          <w:rFonts w:ascii="Times New Roman" w:hAnsi="Times New Roman" w:cs="Times New Roman"/>
          <w:szCs w:val="24"/>
        </w:rPr>
        <w:t xml:space="preserve">Figure </w:t>
      </w:r>
      <w:r w:rsidR="00234A1C" w:rsidRPr="00CE1E04">
        <w:rPr>
          <w:rFonts w:ascii="Times New Roman" w:hAnsi="Times New Roman" w:cs="Times New Roman"/>
          <w:szCs w:val="24"/>
        </w:rPr>
        <w:t>3</w:t>
      </w:r>
      <w:r w:rsidR="003668D5" w:rsidRPr="00CE1E04">
        <w:rPr>
          <w:rFonts w:ascii="Times New Roman" w:hAnsi="Times New Roman" w:cs="Times New Roman"/>
          <w:szCs w:val="24"/>
        </w:rPr>
        <w:t>.</w:t>
      </w:r>
    </w:p>
    <w:p w14:paraId="307FDF4F" w14:textId="04A1901B" w:rsidR="00C953E9" w:rsidRPr="00CE1E04" w:rsidRDefault="00C953E9" w:rsidP="00AF0683">
      <w:pPr>
        <w:ind w:firstLineChars="100" w:firstLine="240"/>
        <w:jc w:val="center"/>
        <w:rPr>
          <w:rFonts w:ascii="Times New Roman" w:hAnsi="Times New Roman" w:cs="Times New Roman"/>
          <w:szCs w:val="24"/>
        </w:rPr>
      </w:pPr>
      <w:r w:rsidRPr="00CE1E04">
        <w:rPr>
          <w:rFonts w:ascii="Times New Roman" w:hAnsi="Times New Roman" w:cs="Times New Roman"/>
          <w:noProof/>
          <w:lang w:val="en-GB" w:eastAsia="en-GB"/>
        </w:rPr>
        <w:drawing>
          <wp:inline distT="0" distB="0" distL="0" distR="0" wp14:anchorId="452218BA" wp14:editId="2623EC5E">
            <wp:extent cx="4550410" cy="2499360"/>
            <wp:effectExtent l="0" t="0" r="2540" b="1524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B3148D" w14:textId="579786A8" w:rsidR="0010447A" w:rsidRPr="00CE1E04" w:rsidRDefault="0010447A" w:rsidP="0010447A">
      <w:pPr>
        <w:jc w:val="center"/>
        <w:rPr>
          <w:rFonts w:ascii="Times New Roman" w:hAnsi="Times New Roman" w:cs="Times New Roman"/>
          <w:szCs w:val="24"/>
        </w:rPr>
      </w:pPr>
      <w:r w:rsidRPr="00CE1E04">
        <w:rPr>
          <w:rFonts w:ascii="Times New Roman" w:hAnsi="Times New Roman" w:cs="Times New Roman"/>
          <w:szCs w:val="24"/>
        </w:rPr>
        <w:t xml:space="preserve">Figure </w:t>
      </w:r>
      <w:r w:rsidR="00234A1C" w:rsidRPr="00CE1E04">
        <w:rPr>
          <w:rFonts w:ascii="Times New Roman" w:hAnsi="Times New Roman" w:cs="Times New Roman"/>
          <w:szCs w:val="24"/>
        </w:rPr>
        <w:t>3</w:t>
      </w:r>
      <w:r w:rsidR="000529CD" w:rsidRPr="00CE1E04">
        <w:rPr>
          <w:rFonts w:ascii="Times New Roman" w:hAnsi="Times New Roman" w:cs="Times New Roman"/>
          <w:szCs w:val="24"/>
        </w:rPr>
        <w:t>.</w:t>
      </w:r>
      <w:r w:rsidRPr="00CE1E04">
        <w:rPr>
          <w:rFonts w:ascii="Times New Roman" w:hAnsi="Times New Roman" w:cs="Times New Roman"/>
          <w:szCs w:val="24"/>
        </w:rPr>
        <w:t xml:space="preserve"> Growth in Container Throughput (in TEUs)</w:t>
      </w:r>
      <w:r w:rsidRPr="00CE1E04">
        <w:rPr>
          <w:rStyle w:val="FootnoteReference"/>
          <w:rFonts w:ascii="Times New Roman" w:hAnsi="Times New Roman" w:cs="Times New Roman"/>
          <w:szCs w:val="24"/>
        </w:rPr>
        <w:footnoteReference w:id="6"/>
      </w:r>
    </w:p>
    <w:p w14:paraId="7B5874E0" w14:textId="77777777" w:rsidR="000529CD" w:rsidRPr="00CE1E04" w:rsidRDefault="000529CD" w:rsidP="000529CD">
      <w:pPr>
        <w:snapToGrid w:val="0"/>
        <w:jc w:val="center"/>
        <w:rPr>
          <w:rFonts w:ascii="Times New Roman" w:hAnsi="Times New Roman" w:cs="Times New Roman"/>
          <w:sz w:val="20"/>
          <w:szCs w:val="20"/>
        </w:rPr>
      </w:pPr>
      <w:r w:rsidRPr="00CE1E04">
        <w:rPr>
          <w:rFonts w:ascii="Times New Roman" w:hAnsi="Times New Roman" w:cs="Times New Roman"/>
          <w:sz w:val="20"/>
          <w:szCs w:val="20"/>
        </w:rPr>
        <w:t>Source: Ministry of Transportation and Communication http://www.motc.gov.tw/en/index.jsp</w:t>
      </w:r>
    </w:p>
    <w:p w14:paraId="3A9D32BA" w14:textId="1B06E61C" w:rsidR="00883DC5" w:rsidRPr="00CE1E04" w:rsidRDefault="00883DC5" w:rsidP="00F875AE">
      <w:pPr>
        <w:jc w:val="both"/>
        <w:rPr>
          <w:rFonts w:ascii="Times New Roman" w:hAnsi="Times New Roman" w:cs="Times New Roman"/>
        </w:rPr>
      </w:pPr>
      <w:r w:rsidRPr="00CE1E04">
        <w:rPr>
          <w:rFonts w:ascii="Times New Roman" w:hAnsi="Times New Roman" w:cs="Times New Roman"/>
        </w:rPr>
        <w:t xml:space="preserve">  Figure </w:t>
      </w:r>
      <w:r w:rsidR="00234A1C" w:rsidRPr="00CE1E04">
        <w:rPr>
          <w:rFonts w:ascii="Times New Roman" w:hAnsi="Times New Roman" w:cs="Times New Roman"/>
        </w:rPr>
        <w:t>4</w:t>
      </w:r>
      <w:r w:rsidRPr="00CE1E04">
        <w:rPr>
          <w:rFonts w:ascii="Times New Roman" w:hAnsi="Times New Roman" w:cs="Times New Roman"/>
        </w:rPr>
        <w:t xml:space="preserve"> describe</w:t>
      </w:r>
      <w:r w:rsidR="00BE78E7" w:rsidRPr="00CE1E04">
        <w:rPr>
          <w:rFonts w:ascii="Times New Roman" w:hAnsi="Times New Roman" w:cs="Times New Roman"/>
        </w:rPr>
        <w:t>s</w:t>
      </w:r>
      <w:r w:rsidRPr="00CE1E04">
        <w:rPr>
          <w:rFonts w:ascii="Times New Roman" w:hAnsi="Times New Roman" w:cs="Times New Roman"/>
        </w:rPr>
        <w:t xml:space="preserve"> the trend of ship number</w:t>
      </w:r>
      <w:r w:rsidR="00FF3219" w:rsidRPr="00CE1E04">
        <w:rPr>
          <w:rFonts w:ascii="Times New Roman" w:hAnsi="Times New Roman" w:cs="Times New Roman"/>
        </w:rPr>
        <w:t>s</w:t>
      </w:r>
      <w:r w:rsidRPr="00CE1E04">
        <w:rPr>
          <w:rFonts w:ascii="Times New Roman" w:hAnsi="Times New Roman" w:cs="Times New Roman"/>
        </w:rPr>
        <w:t xml:space="preserve"> in </w:t>
      </w:r>
      <w:r w:rsidR="00FF3219" w:rsidRPr="00CE1E04">
        <w:rPr>
          <w:rFonts w:ascii="Times New Roman" w:hAnsi="Times New Roman" w:cs="Times New Roman"/>
        </w:rPr>
        <w:t xml:space="preserve">the main </w:t>
      </w:r>
      <w:r w:rsidRPr="00CE1E04">
        <w:rPr>
          <w:rFonts w:ascii="Times New Roman" w:hAnsi="Times New Roman" w:cs="Times New Roman"/>
        </w:rPr>
        <w:t xml:space="preserve">Taiwanese international ports. In 2015, Kaohsiung port </w:t>
      </w:r>
      <w:r w:rsidR="00FF3219" w:rsidRPr="00CE1E04">
        <w:rPr>
          <w:rFonts w:ascii="Times New Roman" w:hAnsi="Times New Roman" w:cs="Times New Roman"/>
        </w:rPr>
        <w:t>wa</w:t>
      </w:r>
      <w:r w:rsidRPr="00CE1E04">
        <w:rPr>
          <w:rFonts w:ascii="Times New Roman" w:hAnsi="Times New Roman" w:cs="Times New Roman"/>
        </w:rPr>
        <w:t xml:space="preserve">s the </w:t>
      </w:r>
      <w:r w:rsidR="00FF3219" w:rsidRPr="00CE1E04">
        <w:rPr>
          <w:rFonts w:ascii="Times New Roman" w:hAnsi="Times New Roman" w:cs="Times New Roman"/>
        </w:rPr>
        <w:t>busiest</w:t>
      </w:r>
      <w:r w:rsidRPr="00CE1E04">
        <w:rPr>
          <w:rFonts w:ascii="Times New Roman" w:hAnsi="Times New Roman" w:cs="Times New Roman"/>
        </w:rPr>
        <w:t xml:space="preserve"> port (</w:t>
      </w:r>
      <w:r w:rsidR="004764C2" w:rsidRPr="00CE1E04">
        <w:rPr>
          <w:rFonts w:ascii="Times New Roman" w:hAnsi="Times New Roman" w:cs="Times New Roman"/>
        </w:rPr>
        <w:t>34</w:t>
      </w:r>
      <w:r w:rsidR="008030E6" w:rsidRPr="00CE1E04">
        <w:rPr>
          <w:rFonts w:ascii="Times New Roman" w:hAnsi="Times New Roman" w:cs="Times New Roman"/>
        </w:rPr>
        <w:t>,</w:t>
      </w:r>
      <w:r w:rsidR="004764C2" w:rsidRPr="00CE1E04">
        <w:rPr>
          <w:rFonts w:ascii="Times New Roman" w:hAnsi="Times New Roman" w:cs="Times New Roman"/>
        </w:rPr>
        <w:t xml:space="preserve">456 ships, </w:t>
      </w:r>
      <w:r w:rsidRPr="00CE1E04">
        <w:rPr>
          <w:rFonts w:ascii="Times New Roman" w:hAnsi="Times New Roman" w:cs="Times New Roman"/>
        </w:rPr>
        <w:t>47.39%), followed by Taichung (</w:t>
      </w:r>
      <w:r w:rsidR="004764C2" w:rsidRPr="00CE1E04">
        <w:rPr>
          <w:rFonts w:ascii="Times New Roman" w:hAnsi="Times New Roman" w:cs="Times New Roman"/>
        </w:rPr>
        <w:t>15</w:t>
      </w:r>
      <w:r w:rsidR="008030E6" w:rsidRPr="00CE1E04">
        <w:rPr>
          <w:rFonts w:ascii="Times New Roman" w:hAnsi="Times New Roman" w:cs="Times New Roman"/>
        </w:rPr>
        <w:t>,</w:t>
      </w:r>
      <w:r w:rsidR="004764C2" w:rsidRPr="00CE1E04">
        <w:rPr>
          <w:rFonts w:ascii="Times New Roman" w:hAnsi="Times New Roman" w:cs="Times New Roman"/>
        </w:rPr>
        <w:t xml:space="preserve">587 ships, </w:t>
      </w:r>
      <w:r w:rsidR="00AA15CC" w:rsidRPr="00CE1E04">
        <w:rPr>
          <w:rFonts w:ascii="Times New Roman" w:hAnsi="Times New Roman" w:cs="Times New Roman"/>
        </w:rPr>
        <w:t>21.33%</w:t>
      </w:r>
      <w:r w:rsidRPr="00CE1E04">
        <w:rPr>
          <w:rFonts w:ascii="Times New Roman" w:hAnsi="Times New Roman" w:cs="Times New Roman"/>
        </w:rPr>
        <w:t>), Keelung (</w:t>
      </w:r>
      <w:r w:rsidR="004764C2" w:rsidRPr="00CE1E04">
        <w:rPr>
          <w:rFonts w:ascii="Times New Roman" w:hAnsi="Times New Roman" w:cs="Times New Roman"/>
        </w:rPr>
        <w:t>11</w:t>
      </w:r>
      <w:r w:rsidR="008030E6" w:rsidRPr="00CE1E04">
        <w:rPr>
          <w:rFonts w:ascii="Times New Roman" w:hAnsi="Times New Roman" w:cs="Times New Roman"/>
        </w:rPr>
        <w:t>,</w:t>
      </w:r>
      <w:r w:rsidR="004764C2" w:rsidRPr="00CE1E04">
        <w:rPr>
          <w:rFonts w:ascii="Times New Roman" w:hAnsi="Times New Roman" w:cs="Times New Roman"/>
        </w:rPr>
        <w:t xml:space="preserve">839 ships, </w:t>
      </w:r>
      <w:r w:rsidR="00AA15CC" w:rsidRPr="00CE1E04">
        <w:rPr>
          <w:rFonts w:ascii="Times New Roman" w:hAnsi="Times New Roman" w:cs="Times New Roman"/>
        </w:rPr>
        <w:t>16</w:t>
      </w:r>
      <w:r w:rsidRPr="00CE1E04">
        <w:rPr>
          <w:rFonts w:ascii="Times New Roman" w:hAnsi="Times New Roman" w:cs="Times New Roman"/>
        </w:rPr>
        <w:t>.</w:t>
      </w:r>
      <w:r w:rsidR="00AA15CC" w:rsidRPr="00CE1E04">
        <w:rPr>
          <w:rFonts w:ascii="Times New Roman" w:hAnsi="Times New Roman" w:cs="Times New Roman"/>
        </w:rPr>
        <w:t>28</w:t>
      </w:r>
      <w:r w:rsidRPr="00CE1E04">
        <w:rPr>
          <w:rFonts w:ascii="Times New Roman" w:hAnsi="Times New Roman" w:cs="Times New Roman"/>
        </w:rPr>
        <w:t>%), Taipei (</w:t>
      </w:r>
      <w:r w:rsidR="004764C2" w:rsidRPr="00CE1E04">
        <w:rPr>
          <w:rFonts w:ascii="Times New Roman" w:hAnsi="Times New Roman" w:cs="Times New Roman"/>
        </w:rPr>
        <w:t xml:space="preserve">8,278 ships, </w:t>
      </w:r>
      <w:r w:rsidR="00AA15CC" w:rsidRPr="00CE1E04">
        <w:rPr>
          <w:rFonts w:ascii="Times New Roman" w:hAnsi="Times New Roman" w:cs="Times New Roman"/>
        </w:rPr>
        <w:t>11</w:t>
      </w:r>
      <w:r w:rsidRPr="00CE1E04">
        <w:rPr>
          <w:rFonts w:ascii="Times New Roman" w:hAnsi="Times New Roman" w:cs="Times New Roman"/>
        </w:rPr>
        <w:t>.39%)</w:t>
      </w:r>
      <w:r w:rsidR="00E519D2" w:rsidRPr="00CE1E04">
        <w:rPr>
          <w:rFonts w:ascii="Times New Roman" w:hAnsi="Times New Roman" w:cs="Times New Roman"/>
        </w:rPr>
        <w:t xml:space="preserve"> </w:t>
      </w:r>
      <w:r w:rsidRPr="00CE1E04">
        <w:rPr>
          <w:rFonts w:ascii="Times New Roman" w:hAnsi="Times New Roman" w:cs="Times New Roman"/>
        </w:rPr>
        <w:t>and Hualien (</w:t>
      </w:r>
      <w:r w:rsidR="004764C2" w:rsidRPr="00CE1E04">
        <w:rPr>
          <w:rFonts w:ascii="Times New Roman" w:hAnsi="Times New Roman" w:cs="Times New Roman"/>
        </w:rPr>
        <w:t>2</w:t>
      </w:r>
      <w:r w:rsidR="008030E6" w:rsidRPr="00CE1E04">
        <w:rPr>
          <w:rFonts w:ascii="Times New Roman" w:hAnsi="Times New Roman" w:cs="Times New Roman"/>
        </w:rPr>
        <w:t>,</w:t>
      </w:r>
      <w:r w:rsidR="004764C2" w:rsidRPr="00CE1E04">
        <w:rPr>
          <w:rFonts w:ascii="Times New Roman" w:hAnsi="Times New Roman" w:cs="Times New Roman"/>
        </w:rPr>
        <w:t xml:space="preserve">546 ships, </w:t>
      </w:r>
      <w:r w:rsidR="00AA15CC" w:rsidRPr="00CE1E04">
        <w:rPr>
          <w:rFonts w:ascii="Times New Roman" w:hAnsi="Times New Roman" w:cs="Times New Roman"/>
        </w:rPr>
        <w:t>3</w:t>
      </w:r>
      <w:r w:rsidRPr="00CE1E04">
        <w:rPr>
          <w:rFonts w:ascii="Times New Roman" w:hAnsi="Times New Roman" w:cs="Times New Roman"/>
        </w:rPr>
        <w:t>.</w:t>
      </w:r>
      <w:r w:rsidR="00AA15CC" w:rsidRPr="00CE1E04">
        <w:rPr>
          <w:rFonts w:ascii="Times New Roman" w:hAnsi="Times New Roman" w:cs="Times New Roman"/>
        </w:rPr>
        <w:t>50</w:t>
      </w:r>
      <w:r w:rsidRPr="00CE1E04">
        <w:rPr>
          <w:rFonts w:ascii="Times New Roman" w:hAnsi="Times New Roman" w:cs="Times New Roman"/>
        </w:rPr>
        <w:t>%</w:t>
      </w:r>
      <w:r w:rsidR="004764C2" w:rsidRPr="00CE1E04">
        <w:rPr>
          <w:rFonts w:ascii="Times New Roman" w:hAnsi="Times New Roman" w:cs="Times New Roman"/>
        </w:rPr>
        <w:t>)</w:t>
      </w:r>
      <w:r w:rsidRPr="00CE1E04">
        <w:rPr>
          <w:rFonts w:ascii="Times New Roman" w:hAnsi="Times New Roman" w:cs="Times New Roman"/>
        </w:rPr>
        <w:t>.</w:t>
      </w:r>
    </w:p>
    <w:p w14:paraId="0C520A1D" w14:textId="77777777" w:rsidR="005B4A5D" w:rsidRPr="00CE1E04" w:rsidRDefault="005B4A5D" w:rsidP="00F875AE">
      <w:pPr>
        <w:jc w:val="both"/>
        <w:rPr>
          <w:rFonts w:ascii="Times New Roman" w:hAnsi="Times New Roman" w:cs="Times New Roman"/>
        </w:rPr>
      </w:pPr>
    </w:p>
    <w:p w14:paraId="425AA5C5" w14:textId="72F40A2E" w:rsidR="005B4A5D" w:rsidRPr="00CE1E04" w:rsidRDefault="005B4A5D" w:rsidP="00AF0683">
      <w:pPr>
        <w:jc w:val="center"/>
        <w:rPr>
          <w:rFonts w:ascii="Times New Roman" w:hAnsi="Times New Roman" w:cs="Times New Roman"/>
        </w:rPr>
      </w:pPr>
      <w:r w:rsidRPr="00CE1E04">
        <w:rPr>
          <w:rFonts w:ascii="Times New Roman" w:hAnsi="Times New Roman" w:cs="Times New Roman"/>
          <w:noProof/>
          <w:lang w:val="en-GB" w:eastAsia="en-GB"/>
        </w:rPr>
        <w:drawing>
          <wp:inline distT="0" distB="0" distL="0" distR="0" wp14:anchorId="17377469" wp14:editId="26E48822">
            <wp:extent cx="4622800" cy="2766060"/>
            <wp:effectExtent l="0" t="0" r="6350" b="1524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195C28" w14:textId="723D5A1B" w:rsidR="00E34515" w:rsidRPr="00CE1E04" w:rsidRDefault="00883DC5" w:rsidP="00E34515">
      <w:pPr>
        <w:jc w:val="center"/>
        <w:rPr>
          <w:rFonts w:ascii="Times New Roman" w:hAnsi="Times New Roman" w:cs="Times New Roman"/>
          <w:szCs w:val="24"/>
        </w:rPr>
      </w:pPr>
      <w:r w:rsidRPr="00CE1E04">
        <w:rPr>
          <w:rFonts w:ascii="Times New Roman" w:hAnsi="Times New Roman" w:cs="Times New Roman"/>
          <w:szCs w:val="24"/>
        </w:rPr>
        <w:t xml:space="preserve">Figure </w:t>
      </w:r>
      <w:r w:rsidR="00234A1C" w:rsidRPr="00CE1E04">
        <w:rPr>
          <w:rFonts w:ascii="Times New Roman" w:hAnsi="Times New Roman" w:cs="Times New Roman"/>
          <w:szCs w:val="24"/>
        </w:rPr>
        <w:t>4</w:t>
      </w:r>
      <w:r w:rsidR="000529CD" w:rsidRPr="00CE1E04">
        <w:rPr>
          <w:rFonts w:ascii="Times New Roman" w:hAnsi="Times New Roman" w:cs="Times New Roman"/>
          <w:szCs w:val="24"/>
        </w:rPr>
        <w:t>.</w:t>
      </w:r>
      <w:r w:rsidR="00E34515" w:rsidRPr="00CE1E04">
        <w:rPr>
          <w:rFonts w:ascii="Times New Roman" w:hAnsi="Times New Roman" w:cs="Times New Roman"/>
          <w:szCs w:val="24"/>
        </w:rPr>
        <w:t xml:space="preserve"> Ship number in Taiwan</w:t>
      </w:r>
      <w:r w:rsidR="00A52E4D" w:rsidRPr="00CE1E04">
        <w:rPr>
          <w:rFonts w:ascii="Times New Roman" w:hAnsi="Times New Roman" w:cs="Times New Roman"/>
          <w:szCs w:val="24"/>
        </w:rPr>
        <w:t>’s</w:t>
      </w:r>
      <w:r w:rsidR="00E34515" w:rsidRPr="00CE1E04">
        <w:rPr>
          <w:rFonts w:ascii="Times New Roman" w:hAnsi="Times New Roman" w:cs="Times New Roman"/>
          <w:szCs w:val="24"/>
        </w:rPr>
        <w:t xml:space="preserve"> main international ports</w:t>
      </w:r>
    </w:p>
    <w:p w14:paraId="239ECA09" w14:textId="77777777" w:rsidR="00883DC5" w:rsidRPr="00CE1E04" w:rsidRDefault="00883DC5" w:rsidP="000529CD">
      <w:pPr>
        <w:snapToGrid w:val="0"/>
        <w:jc w:val="center"/>
        <w:rPr>
          <w:rFonts w:ascii="Times New Roman" w:hAnsi="Times New Roman" w:cs="Times New Roman"/>
          <w:sz w:val="20"/>
          <w:szCs w:val="20"/>
        </w:rPr>
      </w:pPr>
      <w:r w:rsidRPr="00CE1E04">
        <w:rPr>
          <w:rFonts w:ascii="Times New Roman" w:hAnsi="Times New Roman" w:cs="Times New Roman"/>
          <w:sz w:val="20"/>
          <w:szCs w:val="20"/>
        </w:rPr>
        <w:t>Source: Ministry of Transportation and Communication http://www.motc.gov.tw/en/index.jsp</w:t>
      </w:r>
    </w:p>
    <w:p w14:paraId="3847EC2E" w14:textId="77777777" w:rsidR="00883DC5" w:rsidRPr="00CE1E04" w:rsidRDefault="00883DC5" w:rsidP="004B002F">
      <w:pPr>
        <w:rPr>
          <w:rFonts w:ascii="Times New Roman" w:hAnsi="Times New Roman" w:cs="Times New Roman"/>
          <w:szCs w:val="24"/>
        </w:rPr>
      </w:pPr>
    </w:p>
    <w:p w14:paraId="603B1611" w14:textId="23C062E8" w:rsidR="00670FD4" w:rsidRPr="00CE1E04" w:rsidRDefault="008E0FC0" w:rsidP="004B002F">
      <w:pPr>
        <w:jc w:val="both"/>
        <w:rPr>
          <w:rFonts w:ascii="Times New Roman" w:hAnsi="Times New Roman" w:cs="Times New Roman"/>
          <w:szCs w:val="24"/>
        </w:rPr>
      </w:pPr>
      <w:r w:rsidRPr="00CE1E04">
        <w:rPr>
          <w:rFonts w:ascii="Times New Roman" w:hAnsi="Times New Roman" w:cs="Times New Roman"/>
          <w:szCs w:val="24"/>
        </w:rPr>
        <w:t xml:space="preserve">  Figure </w:t>
      </w:r>
      <w:r w:rsidR="00234A1C" w:rsidRPr="00CE1E04">
        <w:rPr>
          <w:rFonts w:ascii="Times New Roman" w:hAnsi="Times New Roman" w:cs="Times New Roman"/>
          <w:szCs w:val="24"/>
        </w:rPr>
        <w:t>5</w:t>
      </w:r>
      <w:r w:rsidRPr="00CE1E04">
        <w:rPr>
          <w:rFonts w:ascii="Times New Roman" w:hAnsi="Times New Roman" w:cs="Times New Roman"/>
          <w:szCs w:val="24"/>
        </w:rPr>
        <w:t xml:space="preserve"> shows the operation efficiency </w:t>
      </w:r>
      <w:r w:rsidR="00117C55" w:rsidRPr="00CE1E04">
        <w:rPr>
          <w:rFonts w:ascii="Times New Roman" w:hAnsi="Times New Roman" w:cs="Times New Roman"/>
          <w:szCs w:val="24"/>
        </w:rPr>
        <w:t xml:space="preserve">(measured in ton/person-hour) </w:t>
      </w:r>
      <w:r w:rsidRPr="00CE1E04">
        <w:rPr>
          <w:rFonts w:ascii="Times New Roman" w:hAnsi="Times New Roman" w:cs="Times New Roman"/>
          <w:szCs w:val="24"/>
        </w:rPr>
        <w:t xml:space="preserve">of each port in Taiwan. </w:t>
      </w:r>
      <w:r w:rsidR="00811205" w:rsidRPr="00CE1E04">
        <w:rPr>
          <w:rFonts w:ascii="Times New Roman" w:hAnsi="Times New Roman" w:cs="Times New Roman"/>
          <w:szCs w:val="24"/>
        </w:rPr>
        <w:t>In 2015, Taichung port ha</w:t>
      </w:r>
      <w:r w:rsidR="00FF3219" w:rsidRPr="00CE1E04">
        <w:rPr>
          <w:rFonts w:ascii="Times New Roman" w:hAnsi="Times New Roman" w:cs="Times New Roman"/>
          <w:szCs w:val="24"/>
        </w:rPr>
        <w:t>d the</w:t>
      </w:r>
      <w:r w:rsidR="00811205" w:rsidRPr="00CE1E04">
        <w:rPr>
          <w:rFonts w:ascii="Times New Roman" w:hAnsi="Times New Roman" w:cs="Times New Roman"/>
          <w:szCs w:val="24"/>
        </w:rPr>
        <w:t xml:space="preserve"> highest operation efficiency (174.49 ton/person-hour), followed by Kaohsiung (163.35 ton/person-hour), Keelung (148.65 ton/person-hour), Hualien (138.34 ton/person-hour) and Taipei (115.47 ton/person-hour). </w:t>
      </w:r>
      <w:r w:rsidR="00431728" w:rsidRPr="00CE1E04">
        <w:rPr>
          <w:rFonts w:ascii="Times New Roman" w:hAnsi="Times New Roman" w:cs="Times New Roman"/>
          <w:szCs w:val="24"/>
        </w:rPr>
        <w:t xml:space="preserve">In particular, the operation efficiency </w:t>
      </w:r>
      <w:r w:rsidR="00610F79" w:rsidRPr="00CE1E04">
        <w:rPr>
          <w:rFonts w:ascii="Times New Roman" w:hAnsi="Times New Roman" w:cs="Times New Roman"/>
          <w:szCs w:val="24"/>
        </w:rPr>
        <w:t xml:space="preserve">of Taipei </w:t>
      </w:r>
      <w:r w:rsidR="00D24FF8" w:rsidRPr="00CE1E04">
        <w:rPr>
          <w:rFonts w:ascii="Times New Roman" w:hAnsi="Times New Roman" w:cs="Times New Roman"/>
          <w:szCs w:val="24"/>
        </w:rPr>
        <w:t>shows</w:t>
      </w:r>
      <w:r w:rsidR="00431728" w:rsidRPr="00CE1E04">
        <w:rPr>
          <w:rFonts w:ascii="Times New Roman" w:hAnsi="Times New Roman" w:cs="Times New Roman"/>
          <w:szCs w:val="24"/>
        </w:rPr>
        <w:t xml:space="preserve"> </w:t>
      </w:r>
      <w:r w:rsidR="00FF3219" w:rsidRPr="00CE1E04">
        <w:rPr>
          <w:rFonts w:ascii="Times New Roman" w:hAnsi="Times New Roman" w:cs="Times New Roman"/>
          <w:szCs w:val="24"/>
        </w:rPr>
        <w:t xml:space="preserve">a </w:t>
      </w:r>
      <w:r w:rsidR="00431728" w:rsidRPr="00CE1E04">
        <w:rPr>
          <w:rFonts w:ascii="Times New Roman" w:hAnsi="Times New Roman" w:cs="Times New Roman"/>
          <w:szCs w:val="24"/>
        </w:rPr>
        <w:t xml:space="preserve">significant increase during </w:t>
      </w:r>
      <w:r w:rsidR="00D24FF8" w:rsidRPr="00CE1E04">
        <w:rPr>
          <w:rFonts w:ascii="Times New Roman" w:hAnsi="Times New Roman" w:cs="Times New Roman"/>
          <w:szCs w:val="24"/>
        </w:rPr>
        <w:t xml:space="preserve">the </w:t>
      </w:r>
      <w:r w:rsidR="00431728" w:rsidRPr="00CE1E04">
        <w:rPr>
          <w:rFonts w:ascii="Times New Roman" w:hAnsi="Times New Roman" w:cs="Times New Roman"/>
          <w:szCs w:val="24"/>
        </w:rPr>
        <w:t>year</w:t>
      </w:r>
      <w:r w:rsidR="00D24FF8" w:rsidRPr="00CE1E04">
        <w:rPr>
          <w:rFonts w:ascii="Times New Roman" w:hAnsi="Times New Roman" w:cs="Times New Roman"/>
          <w:szCs w:val="24"/>
        </w:rPr>
        <w:t>s</w:t>
      </w:r>
      <w:r w:rsidR="00431728" w:rsidRPr="00CE1E04">
        <w:rPr>
          <w:rFonts w:ascii="Times New Roman" w:hAnsi="Times New Roman" w:cs="Times New Roman"/>
          <w:szCs w:val="24"/>
        </w:rPr>
        <w:t xml:space="preserve"> 2009~2012 due to its container terminals hav</w:t>
      </w:r>
      <w:r w:rsidR="00D24FF8" w:rsidRPr="00CE1E04">
        <w:rPr>
          <w:rFonts w:ascii="Times New Roman" w:hAnsi="Times New Roman" w:cs="Times New Roman"/>
          <w:szCs w:val="24"/>
        </w:rPr>
        <w:t>ing</w:t>
      </w:r>
      <w:r w:rsidR="00431728" w:rsidRPr="00CE1E04">
        <w:rPr>
          <w:rFonts w:ascii="Times New Roman" w:hAnsi="Times New Roman" w:cs="Times New Roman"/>
          <w:szCs w:val="24"/>
        </w:rPr>
        <w:t xml:space="preserve"> started to operate in 2009.</w:t>
      </w:r>
    </w:p>
    <w:p w14:paraId="79CCAE19" w14:textId="5B65410C" w:rsidR="008E0FC0" w:rsidRPr="00CE1E04" w:rsidRDefault="0005418E" w:rsidP="00AF0683">
      <w:pPr>
        <w:jc w:val="center"/>
        <w:rPr>
          <w:rFonts w:ascii="Times New Roman" w:hAnsi="Times New Roman" w:cs="Times New Roman"/>
          <w:szCs w:val="24"/>
        </w:rPr>
      </w:pPr>
      <w:r w:rsidRPr="00CE1E04">
        <w:rPr>
          <w:rFonts w:ascii="Times New Roman" w:hAnsi="Times New Roman" w:cs="Times New Roman"/>
          <w:noProof/>
          <w:lang w:val="en-GB" w:eastAsia="en-GB"/>
        </w:rPr>
        <w:drawing>
          <wp:inline distT="0" distB="0" distL="0" distR="0" wp14:anchorId="567D461F" wp14:editId="4C9260C6">
            <wp:extent cx="4320540" cy="2446020"/>
            <wp:effectExtent l="0" t="0" r="3810" b="11430"/>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7B9BCA" w14:textId="184311D7" w:rsidR="00A63FEE" w:rsidRPr="00CE1E04" w:rsidRDefault="00A63FEE" w:rsidP="00A63FEE">
      <w:pPr>
        <w:jc w:val="center"/>
        <w:rPr>
          <w:rFonts w:ascii="Times New Roman" w:hAnsi="Times New Roman" w:cs="Times New Roman"/>
          <w:szCs w:val="24"/>
        </w:rPr>
      </w:pPr>
      <w:r w:rsidRPr="00CE1E04">
        <w:rPr>
          <w:rFonts w:ascii="Times New Roman" w:hAnsi="Times New Roman" w:cs="Times New Roman"/>
          <w:szCs w:val="24"/>
        </w:rPr>
        <w:t xml:space="preserve">Figure </w:t>
      </w:r>
      <w:r w:rsidR="00234A1C" w:rsidRPr="00CE1E04">
        <w:rPr>
          <w:rFonts w:ascii="Times New Roman" w:hAnsi="Times New Roman" w:cs="Times New Roman"/>
          <w:szCs w:val="24"/>
        </w:rPr>
        <w:t>5</w:t>
      </w:r>
      <w:r w:rsidR="00423807" w:rsidRPr="00CE1E04">
        <w:rPr>
          <w:rFonts w:ascii="Times New Roman" w:hAnsi="Times New Roman" w:cs="Times New Roman"/>
          <w:szCs w:val="24"/>
        </w:rPr>
        <w:t>.</w:t>
      </w:r>
      <w:r w:rsidRPr="00CE1E04">
        <w:rPr>
          <w:rFonts w:ascii="Times New Roman" w:hAnsi="Times New Roman" w:cs="Times New Roman"/>
          <w:szCs w:val="24"/>
        </w:rPr>
        <w:t xml:space="preserve"> </w:t>
      </w:r>
      <w:r w:rsidR="004C65E1" w:rsidRPr="00CE1E04">
        <w:rPr>
          <w:rFonts w:ascii="Times New Roman" w:hAnsi="Times New Roman" w:cs="Times New Roman"/>
          <w:szCs w:val="24"/>
        </w:rPr>
        <w:t>Operation efficiency (measure</w:t>
      </w:r>
      <w:r w:rsidR="00B87210" w:rsidRPr="00CE1E04">
        <w:rPr>
          <w:rFonts w:ascii="Times New Roman" w:hAnsi="Times New Roman" w:cs="Times New Roman"/>
          <w:szCs w:val="24"/>
        </w:rPr>
        <w:t>d</w:t>
      </w:r>
      <w:r w:rsidR="004C65E1" w:rsidRPr="00CE1E04">
        <w:rPr>
          <w:rFonts w:ascii="Times New Roman" w:hAnsi="Times New Roman" w:cs="Times New Roman"/>
          <w:szCs w:val="24"/>
        </w:rPr>
        <w:t xml:space="preserve"> in ton/person-hour)</w:t>
      </w:r>
      <w:r w:rsidRPr="00CE1E04">
        <w:rPr>
          <w:rFonts w:ascii="Times New Roman" w:hAnsi="Times New Roman" w:cs="Times New Roman"/>
          <w:szCs w:val="24"/>
        </w:rPr>
        <w:t xml:space="preserve"> in Taiwan’s main international ports</w:t>
      </w:r>
    </w:p>
    <w:p w14:paraId="65143EDD" w14:textId="77777777" w:rsidR="00A63FEE" w:rsidRPr="00CE1E04" w:rsidRDefault="00A63FEE" w:rsidP="00A63FEE">
      <w:pPr>
        <w:snapToGrid w:val="0"/>
        <w:rPr>
          <w:rFonts w:ascii="Times New Roman" w:hAnsi="Times New Roman" w:cs="Times New Roman"/>
          <w:sz w:val="20"/>
          <w:szCs w:val="20"/>
        </w:rPr>
      </w:pPr>
      <w:r w:rsidRPr="00CE1E04">
        <w:rPr>
          <w:rFonts w:ascii="Times New Roman" w:hAnsi="Times New Roman" w:cs="Times New Roman"/>
          <w:sz w:val="20"/>
          <w:szCs w:val="20"/>
        </w:rPr>
        <w:t>Source: Ministry of Transportation and Communication http://www.motc.gov.tw/en/index.jsp</w:t>
      </w:r>
    </w:p>
    <w:p w14:paraId="02529C9D" w14:textId="5F38ACF2" w:rsidR="00A63FEE" w:rsidRPr="00CE1E04" w:rsidRDefault="00F076E4" w:rsidP="004B002F">
      <w:pPr>
        <w:rPr>
          <w:rFonts w:ascii="Times New Roman" w:hAnsi="Times New Roman" w:cs="Times New Roman"/>
          <w:sz w:val="20"/>
          <w:szCs w:val="20"/>
        </w:rPr>
      </w:pPr>
      <w:r w:rsidRPr="00CE1E04">
        <w:rPr>
          <w:rFonts w:ascii="Times New Roman" w:hAnsi="Times New Roman" w:cs="Times New Roman"/>
          <w:sz w:val="20"/>
          <w:szCs w:val="20"/>
        </w:rPr>
        <w:t>Note: Cargo loading</w:t>
      </w:r>
      <w:r w:rsidR="008464E9" w:rsidRPr="00CE1E04">
        <w:rPr>
          <w:rFonts w:ascii="Times New Roman" w:hAnsi="Times New Roman" w:cs="Times New Roman"/>
          <w:sz w:val="20"/>
          <w:szCs w:val="20"/>
        </w:rPr>
        <w:t>/unloading</w:t>
      </w:r>
      <w:r w:rsidRPr="00CE1E04">
        <w:rPr>
          <w:rFonts w:ascii="Times New Roman" w:hAnsi="Times New Roman" w:cs="Times New Roman"/>
          <w:sz w:val="20"/>
          <w:szCs w:val="20"/>
        </w:rPr>
        <w:t xml:space="preserve"> service in Taipei port was started in 2004.</w:t>
      </w:r>
    </w:p>
    <w:p w14:paraId="049F7D40" w14:textId="77777777" w:rsidR="00F076E4" w:rsidRPr="00CE1E04" w:rsidRDefault="00F076E4" w:rsidP="004B002F">
      <w:pPr>
        <w:ind w:firstLineChars="100" w:firstLine="240"/>
        <w:jc w:val="both"/>
        <w:rPr>
          <w:rFonts w:ascii="Times New Roman" w:hAnsi="Times New Roman" w:cs="Times New Roman"/>
          <w:szCs w:val="24"/>
        </w:rPr>
      </w:pPr>
    </w:p>
    <w:p w14:paraId="63D6D2BF" w14:textId="784DA0A1" w:rsidR="00117C55" w:rsidRPr="00CE1E04" w:rsidRDefault="00117C55" w:rsidP="004B002F">
      <w:pPr>
        <w:ind w:firstLineChars="100" w:firstLine="240"/>
        <w:jc w:val="both"/>
        <w:rPr>
          <w:rFonts w:ascii="Times New Roman" w:hAnsi="Times New Roman" w:cs="Times New Roman"/>
          <w:szCs w:val="24"/>
        </w:rPr>
      </w:pPr>
      <w:r w:rsidRPr="00CE1E04">
        <w:rPr>
          <w:rFonts w:ascii="Times New Roman" w:hAnsi="Times New Roman" w:cs="Times New Roman"/>
          <w:szCs w:val="24"/>
        </w:rPr>
        <w:t xml:space="preserve">With regard to operation efficiency in ton/machine-hour, Figure </w:t>
      </w:r>
      <w:r w:rsidR="00234A1C" w:rsidRPr="00CE1E04">
        <w:rPr>
          <w:rFonts w:ascii="Times New Roman" w:hAnsi="Times New Roman" w:cs="Times New Roman"/>
          <w:szCs w:val="24"/>
        </w:rPr>
        <w:t>6</w:t>
      </w:r>
      <w:r w:rsidRPr="00CE1E04">
        <w:rPr>
          <w:rFonts w:ascii="Times New Roman" w:hAnsi="Times New Roman" w:cs="Times New Roman"/>
          <w:szCs w:val="24"/>
        </w:rPr>
        <w:t xml:space="preserve"> </w:t>
      </w:r>
      <w:r w:rsidR="00FF3219" w:rsidRPr="00CE1E04">
        <w:rPr>
          <w:rFonts w:ascii="Times New Roman" w:hAnsi="Times New Roman" w:cs="Times New Roman"/>
          <w:szCs w:val="24"/>
        </w:rPr>
        <w:t>shows</w:t>
      </w:r>
      <w:r w:rsidRPr="00CE1E04">
        <w:rPr>
          <w:rFonts w:ascii="Times New Roman" w:hAnsi="Times New Roman" w:cs="Times New Roman"/>
          <w:szCs w:val="24"/>
        </w:rPr>
        <w:t xml:space="preserve"> each port’s situation in Taiwan. In 2015, </w:t>
      </w:r>
      <w:r w:rsidR="005551A3" w:rsidRPr="00CE1E04">
        <w:rPr>
          <w:rFonts w:ascii="Times New Roman" w:hAnsi="Times New Roman" w:cs="Times New Roman"/>
          <w:szCs w:val="24"/>
        </w:rPr>
        <w:t>Kaohsiung</w:t>
      </w:r>
      <w:r w:rsidRPr="00CE1E04">
        <w:rPr>
          <w:rFonts w:ascii="Times New Roman" w:hAnsi="Times New Roman" w:cs="Times New Roman"/>
          <w:szCs w:val="24"/>
        </w:rPr>
        <w:t xml:space="preserve"> port ha</w:t>
      </w:r>
      <w:r w:rsidR="00FF3219" w:rsidRPr="00CE1E04">
        <w:rPr>
          <w:rFonts w:ascii="Times New Roman" w:hAnsi="Times New Roman" w:cs="Times New Roman"/>
          <w:szCs w:val="24"/>
        </w:rPr>
        <w:t>d</w:t>
      </w:r>
      <w:r w:rsidRPr="00CE1E04">
        <w:rPr>
          <w:rFonts w:ascii="Times New Roman" w:hAnsi="Times New Roman" w:cs="Times New Roman"/>
          <w:szCs w:val="24"/>
        </w:rPr>
        <w:t xml:space="preserve"> </w:t>
      </w:r>
      <w:r w:rsidR="00FF3219" w:rsidRPr="00CE1E04">
        <w:rPr>
          <w:rFonts w:ascii="Times New Roman" w:hAnsi="Times New Roman" w:cs="Times New Roman"/>
          <w:szCs w:val="24"/>
        </w:rPr>
        <w:t xml:space="preserve">the </w:t>
      </w:r>
      <w:r w:rsidRPr="00CE1E04">
        <w:rPr>
          <w:rFonts w:ascii="Times New Roman" w:hAnsi="Times New Roman" w:cs="Times New Roman"/>
          <w:szCs w:val="24"/>
        </w:rPr>
        <w:t>highest operation efficiency (</w:t>
      </w:r>
      <w:r w:rsidR="005551A3" w:rsidRPr="00CE1E04">
        <w:rPr>
          <w:rFonts w:ascii="Times New Roman" w:hAnsi="Times New Roman" w:cs="Times New Roman"/>
          <w:szCs w:val="24"/>
        </w:rPr>
        <w:t>952.76</w:t>
      </w:r>
      <w:r w:rsidRPr="00CE1E04">
        <w:rPr>
          <w:rFonts w:ascii="Times New Roman" w:hAnsi="Times New Roman" w:cs="Times New Roman"/>
          <w:szCs w:val="24"/>
        </w:rPr>
        <w:t xml:space="preserve"> ton/</w:t>
      </w:r>
      <w:r w:rsidR="005551A3" w:rsidRPr="00CE1E04">
        <w:rPr>
          <w:rFonts w:ascii="Times New Roman" w:hAnsi="Times New Roman" w:cs="Times New Roman"/>
          <w:szCs w:val="24"/>
        </w:rPr>
        <w:t>machine</w:t>
      </w:r>
      <w:r w:rsidRPr="00CE1E04">
        <w:rPr>
          <w:rFonts w:ascii="Times New Roman" w:hAnsi="Times New Roman" w:cs="Times New Roman"/>
          <w:szCs w:val="24"/>
        </w:rPr>
        <w:t xml:space="preserve">-hour), followed by </w:t>
      </w:r>
      <w:r w:rsidR="005551A3" w:rsidRPr="00CE1E04">
        <w:rPr>
          <w:rFonts w:ascii="Times New Roman" w:hAnsi="Times New Roman" w:cs="Times New Roman"/>
          <w:szCs w:val="24"/>
        </w:rPr>
        <w:t>Keelung</w:t>
      </w:r>
      <w:r w:rsidRPr="00CE1E04">
        <w:rPr>
          <w:rFonts w:ascii="Times New Roman" w:hAnsi="Times New Roman" w:cs="Times New Roman"/>
          <w:szCs w:val="24"/>
        </w:rPr>
        <w:t xml:space="preserve"> (</w:t>
      </w:r>
      <w:r w:rsidR="005551A3" w:rsidRPr="00CE1E04">
        <w:rPr>
          <w:rFonts w:ascii="Times New Roman" w:hAnsi="Times New Roman" w:cs="Times New Roman"/>
          <w:szCs w:val="24"/>
        </w:rPr>
        <w:t>840</w:t>
      </w:r>
      <w:r w:rsidRPr="00CE1E04">
        <w:rPr>
          <w:rFonts w:ascii="Times New Roman" w:hAnsi="Times New Roman" w:cs="Times New Roman"/>
          <w:szCs w:val="24"/>
        </w:rPr>
        <w:t>.</w:t>
      </w:r>
      <w:r w:rsidR="005551A3" w:rsidRPr="00CE1E04">
        <w:rPr>
          <w:rFonts w:ascii="Times New Roman" w:hAnsi="Times New Roman" w:cs="Times New Roman"/>
          <w:szCs w:val="24"/>
        </w:rPr>
        <w:t>12</w:t>
      </w:r>
      <w:r w:rsidRPr="00CE1E04">
        <w:rPr>
          <w:rFonts w:ascii="Times New Roman" w:hAnsi="Times New Roman" w:cs="Times New Roman"/>
          <w:szCs w:val="24"/>
        </w:rPr>
        <w:t xml:space="preserve"> ton/</w:t>
      </w:r>
      <w:r w:rsidR="005551A3" w:rsidRPr="00CE1E04">
        <w:rPr>
          <w:rFonts w:ascii="Times New Roman" w:hAnsi="Times New Roman" w:cs="Times New Roman"/>
          <w:szCs w:val="24"/>
        </w:rPr>
        <w:t>machine</w:t>
      </w:r>
      <w:r w:rsidRPr="00CE1E04">
        <w:rPr>
          <w:rFonts w:ascii="Times New Roman" w:hAnsi="Times New Roman" w:cs="Times New Roman"/>
          <w:szCs w:val="24"/>
        </w:rPr>
        <w:t xml:space="preserve">-hour), </w:t>
      </w:r>
      <w:r w:rsidR="005551A3" w:rsidRPr="00CE1E04">
        <w:rPr>
          <w:rFonts w:ascii="Times New Roman" w:hAnsi="Times New Roman" w:cs="Times New Roman"/>
          <w:szCs w:val="24"/>
        </w:rPr>
        <w:t xml:space="preserve">Taichung (564.77 ton/machine-hour), Taipei (583.07 ton/machine-hour) and </w:t>
      </w:r>
      <w:r w:rsidRPr="00CE1E04">
        <w:rPr>
          <w:rFonts w:ascii="Times New Roman" w:hAnsi="Times New Roman" w:cs="Times New Roman"/>
          <w:szCs w:val="24"/>
        </w:rPr>
        <w:t>Hualien (</w:t>
      </w:r>
      <w:r w:rsidR="005551A3" w:rsidRPr="00CE1E04">
        <w:rPr>
          <w:rFonts w:ascii="Times New Roman" w:hAnsi="Times New Roman" w:cs="Times New Roman"/>
          <w:szCs w:val="24"/>
        </w:rPr>
        <w:t>385</w:t>
      </w:r>
      <w:r w:rsidRPr="00CE1E04">
        <w:rPr>
          <w:rFonts w:ascii="Times New Roman" w:hAnsi="Times New Roman" w:cs="Times New Roman"/>
          <w:szCs w:val="24"/>
        </w:rPr>
        <w:t>.</w:t>
      </w:r>
      <w:r w:rsidR="005551A3" w:rsidRPr="00CE1E04">
        <w:rPr>
          <w:rFonts w:ascii="Times New Roman" w:hAnsi="Times New Roman" w:cs="Times New Roman"/>
          <w:szCs w:val="24"/>
        </w:rPr>
        <w:t>01</w:t>
      </w:r>
      <w:r w:rsidRPr="00CE1E04">
        <w:rPr>
          <w:rFonts w:ascii="Times New Roman" w:hAnsi="Times New Roman" w:cs="Times New Roman"/>
          <w:szCs w:val="24"/>
        </w:rPr>
        <w:t xml:space="preserve"> ton/</w:t>
      </w:r>
      <w:r w:rsidR="005551A3" w:rsidRPr="00CE1E04">
        <w:rPr>
          <w:rFonts w:ascii="Times New Roman" w:hAnsi="Times New Roman" w:cs="Times New Roman"/>
          <w:szCs w:val="24"/>
        </w:rPr>
        <w:t>machine</w:t>
      </w:r>
      <w:r w:rsidRPr="00CE1E04">
        <w:rPr>
          <w:rFonts w:ascii="Times New Roman" w:hAnsi="Times New Roman" w:cs="Times New Roman"/>
          <w:szCs w:val="24"/>
        </w:rPr>
        <w:t>-hour)</w:t>
      </w:r>
      <w:r w:rsidR="005551A3" w:rsidRPr="00CE1E04">
        <w:rPr>
          <w:rFonts w:ascii="Times New Roman" w:hAnsi="Times New Roman" w:cs="Times New Roman"/>
          <w:szCs w:val="24"/>
        </w:rPr>
        <w:t>.</w:t>
      </w:r>
      <w:r w:rsidR="00AA3544" w:rsidRPr="00CE1E04">
        <w:rPr>
          <w:rFonts w:ascii="Times New Roman" w:hAnsi="Times New Roman" w:cs="Times New Roman"/>
          <w:szCs w:val="24"/>
        </w:rPr>
        <w:t xml:space="preserve"> In particular, Taipei port </w:t>
      </w:r>
      <w:r w:rsidR="00FF3219" w:rsidRPr="00CE1E04">
        <w:rPr>
          <w:rFonts w:ascii="Times New Roman" w:hAnsi="Times New Roman" w:cs="Times New Roman"/>
          <w:szCs w:val="24"/>
        </w:rPr>
        <w:t>began</w:t>
      </w:r>
      <w:r w:rsidR="00AA3544" w:rsidRPr="00CE1E04">
        <w:rPr>
          <w:rFonts w:ascii="Times New Roman" w:hAnsi="Times New Roman" w:cs="Times New Roman"/>
          <w:szCs w:val="24"/>
        </w:rPr>
        <w:t xml:space="preserve"> operat</w:t>
      </w:r>
      <w:r w:rsidR="00FF3219" w:rsidRPr="00CE1E04">
        <w:rPr>
          <w:rFonts w:ascii="Times New Roman" w:hAnsi="Times New Roman" w:cs="Times New Roman"/>
          <w:szCs w:val="24"/>
        </w:rPr>
        <w:t>ing</w:t>
      </w:r>
      <w:r w:rsidR="00AA3544" w:rsidRPr="00CE1E04">
        <w:rPr>
          <w:rFonts w:ascii="Times New Roman" w:hAnsi="Times New Roman" w:cs="Times New Roman"/>
          <w:szCs w:val="24"/>
        </w:rPr>
        <w:t xml:space="preserve"> in 2004 and its figure significant</w:t>
      </w:r>
      <w:r w:rsidR="00FF3219" w:rsidRPr="00CE1E04">
        <w:rPr>
          <w:rFonts w:ascii="Times New Roman" w:hAnsi="Times New Roman" w:cs="Times New Roman"/>
          <w:szCs w:val="24"/>
        </w:rPr>
        <w:t>ly</w:t>
      </w:r>
      <w:r w:rsidR="00AA3544" w:rsidRPr="00CE1E04">
        <w:rPr>
          <w:rFonts w:ascii="Times New Roman" w:hAnsi="Times New Roman" w:cs="Times New Roman"/>
          <w:szCs w:val="24"/>
        </w:rPr>
        <w:t xml:space="preserve"> increased during 2009~2012 </w:t>
      </w:r>
      <w:r w:rsidR="00FF3219" w:rsidRPr="00CE1E04">
        <w:rPr>
          <w:rFonts w:ascii="Times New Roman" w:hAnsi="Times New Roman" w:cs="Times New Roman"/>
          <w:szCs w:val="24"/>
        </w:rPr>
        <w:t>after</w:t>
      </w:r>
      <w:r w:rsidR="00AA3544" w:rsidRPr="00CE1E04">
        <w:rPr>
          <w:rFonts w:ascii="Times New Roman" w:hAnsi="Times New Roman" w:cs="Times New Roman"/>
          <w:szCs w:val="24"/>
        </w:rPr>
        <w:t xml:space="preserve"> its container terminal </w:t>
      </w:r>
      <w:r w:rsidR="00FF3219" w:rsidRPr="00CE1E04">
        <w:rPr>
          <w:rFonts w:ascii="Times New Roman" w:hAnsi="Times New Roman" w:cs="Times New Roman"/>
          <w:szCs w:val="24"/>
        </w:rPr>
        <w:t>began</w:t>
      </w:r>
      <w:r w:rsidR="00AA3544" w:rsidRPr="00CE1E04">
        <w:rPr>
          <w:rFonts w:ascii="Times New Roman" w:hAnsi="Times New Roman" w:cs="Times New Roman"/>
          <w:szCs w:val="24"/>
        </w:rPr>
        <w:t xml:space="preserve"> operat</w:t>
      </w:r>
      <w:r w:rsidR="00FF3219" w:rsidRPr="00CE1E04">
        <w:rPr>
          <w:rFonts w:ascii="Times New Roman" w:hAnsi="Times New Roman" w:cs="Times New Roman"/>
          <w:szCs w:val="24"/>
        </w:rPr>
        <w:t>ion</w:t>
      </w:r>
      <w:r w:rsidR="00AA3544" w:rsidRPr="00CE1E04">
        <w:rPr>
          <w:rFonts w:ascii="Times New Roman" w:hAnsi="Times New Roman" w:cs="Times New Roman"/>
          <w:szCs w:val="24"/>
        </w:rPr>
        <w:t xml:space="preserve"> in 2009.</w:t>
      </w:r>
    </w:p>
    <w:p w14:paraId="170796A5" w14:textId="38F225EC" w:rsidR="002C6622" w:rsidRPr="00CE1E04" w:rsidRDefault="002C6622" w:rsidP="00AF0683">
      <w:pPr>
        <w:ind w:firstLineChars="100" w:firstLine="240"/>
        <w:jc w:val="center"/>
        <w:rPr>
          <w:rFonts w:ascii="Times New Roman" w:hAnsi="Times New Roman" w:cs="Times New Roman"/>
          <w:szCs w:val="24"/>
        </w:rPr>
      </w:pPr>
      <w:r w:rsidRPr="00CE1E04">
        <w:rPr>
          <w:rFonts w:ascii="Times New Roman" w:hAnsi="Times New Roman" w:cs="Times New Roman"/>
          <w:noProof/>
          <w:lang w:val="en-GB" w:eastAsia="en-GB"/>
        </w:rPr>
        <w:drawing>
          <wp:inline distT="0" distB="0" distL="0" distR="0" wp14:anchorId="3CA5AAF9" wp14:editId="79C0FB0D">
            <wp:extent cx="4530090" cy="2072640"/>
            <wp:effectExtent l="0" t="0" r="3810" b="381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BCA41D" w14:textId="687CD068" w:rsidR="00A63FEE" w:rsidRPr="00CE1E04" w:rsidRDefault="00A63FEE" w:rsidP="00A63FEE">
      <w:pPr>
        <w:jc w:val="center"/>
        <w:rPr>
          <w:rFonts w:ascii="Times New Roman" w:hAnsi="Times New Roman" w:cs="Times New Roman"/>
          <w:szCs w:val="24"/>
        </w:rPr>
      </w:pPr>
      <w:r w:rsidRPr="00CE1E04">
        <w:rPr>
          <w:rFonts w:ascii="Times New Roman" w:hAnsi="Times New Roman" w:cs="Times New Roman"/>
          <w:szCs w:val="24"/>
        </w:rPr>
        <w:t xml:space="preserve">Figure </w:t>
      </w:r>
      <w:r w:rsidR="00234A1C" w:rsidRPr="00CE1E04">
        <w:rPr>
          <w:rFonts w:ascii="Times New Roman" w:hAnsi="Times New Roman" w:cs="Times New Roman"/>
          <w:szCs w:val="24"/>
        </w:rPr>
        <w:t>6</w:t>
      </w:r>
      <w:r w:rsidR="00423807" w:rsidRPr="00CE1E04">
        <w:rPr>
          <w:rFonts w:ascii="Times New Roman" w:hAnsi="Times New Roman" w:cs="Times New Roman"/>
          <w:szCs w:val="24"/>
        </w:rPr>
        <w:t>.</w:t>
      </w:r>
      <w:r w:rsidRPr="00CE1E04">
        <w:rPr>
          <w:rFonts w:ascii="Times New Roman" w:hAnsi="Times New Roman" w:cs="Times New Roman"/>
          <w:szCs w:val="24"/>
        </w:rPr>
        <w:t xml:space="preserve"> </w:t>
      </w:r>
      <w:r w:rsidR="004C65E1" w:rsidRPr="00CE1E04">
        <w:rPr>
          <w:rFonts w:ascii="Times New Roman" w:hAnsi="Times New Roman" w:cs="Times New Roman"/>
          <w:szCs w:val="24"/>
        </w:rPr>
        <w:t xml:space="preserve">Operation efficiency (measured in ton/machine-hour) </w:t>
      </w:r>
      <w:r w:rsidRPr="00CE1E04">
        <w:rPr>
          <w:rFonts w:ascii="Times New Roman" w:hAnsi="Times New Roman" w:cs="Times New Roman"/>
          <w:szCs w:val="24"/>
        </w:rPr>
        <w:t>in Taiwan’s main international ports</w:t>
      </w:r>
    </w:p>
    <w:p w14:paraId="63F0C1BA" w14:textId="77777777" w:rsidR="00A63FEE" w:rsidRPr="00CE1E04" w:rsidRDefault="00A63FEE" w:rsidP="00A63FEE">
      <w:pPr>
        <w:snapToGrid w:val="0"/>
        <w:rPr>
          <w:rFonts w:ascii="Times New Roman" w:hAnsi="Times New Roman" w:cs="Times New Roman"/>
          <w:sz w:val="20"/>
          <w:szCs w:val="20"/>
        </w:rPr>
      </w:pPr>
      <w:r w:rsidRPr="00CE1E04">
        <w:rPr>
          <w:rFonts w:ascii="Times New Roman" w:hAnsi="Times New Roman" w:cs="Times New Roman"/>
          <w:sz w:val="20"/>
          <w:szCs w:val="20"/>
        </w:rPr>
        <w:t>Source: Ministry of Transportation and Communication http://www.motc.gov.tw/en/index.jsp</w:t>
      </w:r>
    </w:p>
    <w:p w14:paraId="648CB242" w14:textId="264CD9B9" w:rsidR="00F076E4" w:rsidRPr="00CE1E04" w:rsidRDefault="00F076E4" w:rsidP="00F076E4">
      <w:pPr>
        <w:rPr>
          <w:rFonts w:ascii="Times New Roman" w:hAnsi="Times New Roman" w:cs="Times New Roman"/>
          <w:sz w:val="20"/>
          <w:szCs w:val="20"/>
        </w:rPr>
      </w:pPr>
      <w:r w:rsidRPr="00CE1E04">
        <w:rPr>
          <w:rFonts w:ascii="Times New Roman" w:hAnsi="Times New Roman" w:cs="Times New Roman"/>
          <w:sz w:val="20"/>
          <w:szCs w:val="20"/>
        </w:rPr>
        <w:t xml:space="preserve">Note: Cargo </w:t>
      </w:r>
      <w:r w:rsidR="00B6700E" w:rsidRPr="00CE1E04">
        <w:rPr>
          <w:rFonts w:ascii="Times New Roman" w:hAnsi="Times New Roman" w:cs="Times New Roman"/>
          <w:sz w:val="20"/>
          <w:szCs w:val="20"/>
        </w:rPr>
        <w:t>loading/</w:t>
      </w:r>
      <w:r w:rsidRPr="00CE1E04">
        <w:rPr>
          <w:rFonts w:ascii="Times New Roman" w:hAnsi="Times New Roman" w:cs="Times New Roman"/>
          <w:sz w:val="20"/>
          <w:szCs w:val="20"/>
        </w:rPr>
        <w:t>unloading service in Taipei port was started in 2004.</w:t>
      </w:r>
    </w:p>
    <w:p w14:paraId="4C1A479F" w14:textId="369E0FE0" w:rsidR="00E67E62" w:rsidRPr="00CE1E04" w:rsidRDefault="00E67E62" w:rsidP="00F076E4">
      <w:pPr>
        <w:rPr>
          <w:rFonts w:ascii="Times New Roman" w:hAnsi="Times New Roman" w:cs="Times New Roman"/>
          <w:sz w:val="20"/>
          <w:szCs w:val="20"/>
        </w:rPr>
      </w:pPr>
    </w:p>
    <w:p w14:paraId="6CD25550" w14:textId="1B8F4AD6" w:rsidR="00501453" w:rsidRPr="00CE1E04" w:rsidRDefault="00BC3571">
      <w:pPr>
        <w:ind w:firstLineChars="100" w:firstLine="240"/>
        <w:jc w:val="both"/>
        <w:rPr>
          <w:rFonts w:ascii="Times New Roman" w:hAnsi="Times New Roman" w:cs="Times New Roman"/>
          <w:szCs w:val="24"/>
        </w:rPr>
      </w:pPr>
      <w:r w:rsidRPr="00CE1E04">
        <w:rPr>
          <w:rFonts w:ascii="Times New Roman" w:hAnsi="Times New Roman" w:cs="Times New Roman"/>
          <w:szCs w:val="24"/>
        </w:rPr>
        <w:t>In sum</w:t>
      </w:r>
      <w:r w:rsidR="00FF3219" w:rsidRPr="00CE1E04">
        <w:rPr>
          <w:rFonts w:ascii="Times New Roman" w:hAnsi="Times New Roman" w:cs="Times New Roman"/>
          <w:szCs w:val="24"/>
        </w:rPr>
        <w:t>mary</w:t>
      </w:r>
      <w:r w:rsidRPr="00CE1E04">
        <w:rPr>
          <w:rFonts w:ascii="Times New Roman" w:hAnsi="Times New Roman" w:cs="Times New Roman"/>
          <w:szCs w:val="24"/>
        </w:rPr>
        <w:t>, with regard to trend</w:t>
      </w:r>
      <w:r w:rsidR="00FF3219" w:rsidRPr="00CE1E04">
        <w:rPr>
          <w:rFonts w:ascii="Times New Roman" w:hAnsi="Times New Roman" w:cs="Times New Roman"/>
          <w:szCs w:val="24"/>
        </w:rPr>
        <w:t>s</w:t>
      </w:r>
      <w:r w:rsidRPr="00CE1E04">
        <w:rPr>
          <w:rFonts w:ascii="Times New Roman" w:hAnsi="Times New Roman" w:cs="Times New Roman"/>
          <w:szCs w:val="24"/>
        </w:rPr>
        <w:t xml:space="preserve"> </w:t>
      </w:r>
      <w:r w:rsidR="000C61A5" w:rsidRPr="00CE1E04">
        <w:rPr>
          <w:rFonts w:ascii="Times New Roman" w:hAnsi="Times New Roman" w:cs="Times New Roman"/>
          <w:szCs w:val="24"/>
        </w:rPr>
        <w:t xml:space="preserve">in </w:t>
      </w:r>
      <w:r w:rsidRPr="00CE1E04">
        <w:rPr>
          <w:rFonts w:ascii="Times New Roman" w:hAnsi="Times New Roman" w:cs="Times New Roman"/>
          <w:szCs w:val="24"/>
        </w:rPr>
        <w:t xml:space="preserve">cargo/container </w:t>
      </w:r>
      <w:r w:rsidR="000C61A5" w:rsidRPr="00CE1E04">
        <w:rPr>
          <w:rFonts w:ascii="Times New Roman" w:hAnsi="Times New Roman" w:cs="Times New Roman"/>
          <w:szCs w:val="24"/>
        </w:rPr>
        <w:t xml:space="preserve">(see Figure 2~3), </w:t>
      </w:r>
      <w:r w:rsidRPr="00CE1E04">
        <w:rPr>
          <w:rFonts w:ascii="Times New Roman" w:hAnsi="Times New Roman" w:cs="Times New Roman"/>
          <w:szCs w:val="24"/>
        </w:rPr>
        <w:t xml:space="preserve">ship </w:t>
      </w:r>
      <w:r w:rsidR="00C334C7" w:rsidRPr="00CE1E04">
        <w:rPr>
          <w:rFonts w:ascii="Times New Roman" w:hAnsi="Times New Roman" w:cs="Times New Roman"/>
          <w:szCs w:val="24"/>
        </w:rPr>
        <w:t>number</w:t>
      </w:r>
      <w:r w:rsidR="00FF3219" w:rsidRPr="00CE1E04">
        <w:rPr>
          <w:rFonts w:ascii="Times New Roman" w:hAnsi="Times New Roman" w:cs="Times New Roman"/>
          <w:szCs w:val="24"/>
        </w:rPr>
        <w:t>s</w:t>
      </w:r>
      <w:r w:rsidR="00C334C7" w:rsidRPr="00CE1E04">
        <w:rPr>
          <w:rFonts w:ascii="Times New Roman" w:hAnsi="Times New Roman" w:cs="Times New Roman"/>
          <w:szCs w:val="24"/>
        </w:rPr>
        <w:t xml:space="preserve"> (</w:t>
      </w:r>
      <w:r w:rsidR="000C61A5" w:rsidRPr="00CE1E04">
        <w:rPr>
          <w:rFonts w:ascii="Times New Roman" w:hAnsi="Times New Roman" w:cs="Times New Roman"/>
          <w:szCs w:val="24"/>
        </w:rPr>
        <w:t xml:space="preserve">see Figure 6) and </w:t>
      </w:r>
      <w:r w:rsidR="00FF3219" w:rsidRPr="00CE1E04">
        <w:rPr>
          <w:rFonts w:ascii="Times New Roman" w:hAnsi="Times New Roman" w:cs="Times New Roman"/>
          <w:szCs w:val="24"/>
        </w:rPr>
        <w:t xml:space="preserve">the </w:t>
      </w:r>
      <w:r w:rsidR="000C61A5" w:rsidRPr="00CE1E04">
        <w:rPr>
          <w:rFonts w:ascii="Times New Roman" w:hAnsi="Times New Roman" w:cs="Times New Roman"/>
          <w:szCs w:val="24"/>
        </w:rPr>
        <w:t xml:space="preserve">operation efficiency (see Figure 5~6) of </w:t>
      </w:r>
      <w:r w:rsidRPr="00CE1E04">
        <w:rPr>
          <w:rFonts w:ascii="Times New Roman" w:hAnsi="Times New Roman" w:cs="Times New Roman"/>
          <w:szCs w:val="24"/>
        </w:rPr>
        <w:t xml:space="preserve">Taiwanese ports, </w:t>
      </w:r>
      <w:r w:rsidR="00D24FF8" w:rsidRPr="00CE1E04">
        <w:rPr>
          <w:rFonts w:ascii="Times New Roman" w:hAnsi="Times New Roman" w:cs="Times New Roman"/>
          <w:szCs w:val="24"/>
        </w:rPr>
        <w:t>there is no noticeable or</w:t>
      </w:r>
      <w:r w:rsidR="000C61A5" w:rsidRPr="00CE1E04">
        <w:rPr>
          <w:rFonts w:ascii="Times New Roman" w:hAnsi="Times New Roman" w:cs="Times New Roman"/>
          <w:szCs w:val="24"/>
        </w:rPr>
        <w:t xml:space="preserve"> significant change in </w:t>
      </w:r>
      <w:r w:rsidR="007342EB" w:rsidRPr="00CE1E04">
        <w:rPr>
          <w:rFonts w:ascii="Times New Roman" w:hAnsi="Times New Roman" w:cs="Times New Roman"/>
          <w:szCs w:val="24"/>
        </w:rPr>
        <w:t xml:space="preserve">before and after </w:t>
      </w:r>
      <w:r w:rsidR="000C61A5" w:rsidRPr="00CE1E04">
        <w:rPr>
          <w:rFonts w:ascii="Times New Roman" w:hAnsi="Times New Roman" w:cs="Times New Roman"/>
          <w:szCs w:val="24"/>
        </w:rPr>
        <w:t>year 2012</w:t>
      </w:r>
      <w:r w:rsidR="00D24FF8" w:rsidRPr="00CE1E04">
        <w:rPr>
          <w:rFonts w:ascii="Times New Roman" w:hAnsi="Times New Roman" w:cs="Times New Roman"/>
          <w:szCs w:val="24"/>
        </w:rPr>
        <w:t>,</w:t>
      </w:r>
      <w:r w:rsidR="000C61A5" w:rsidRPr="00CE1E04">
        <w:rPr>
          <w:rFonts w:ascii="Times New Roman" w:hAnsi="Times New Roman" w:cs="Times New Roman"/>
          <w:szCs w:val="24"/>
        </w:rPr>
        <w:t xml:space="preserve"> </w:t>
      </w:r>
      <w:r w:rsidR="00D24FF8" w:rsidRPr="00CE1E04">
        <w:rPr>
          <w:rFonts w:ascii="Times New Roman" w:hAnsi="Times New Roman" w:cs="Times New Roman"/>
          <w:szCs w:val="24"/>
        </w:rPr>
        <w:t>i.e. the year the</w:t>
      </w:r>
      <w:r w:rsidR="007342EB" w:rsidRPr="00CE1E04">
        <w:rPr>
          <w:rFonts w:ascii="Times New Roman" w:hAnsi="Times New Roman" w:cs="Times New Roman"/>
          <w:szCs w:val="24"/>
        </w:rPr>
        <w:t xml:space="preserve"> </w:t>
      </w:r>
      <w:r w:rsidR="000C61A5" w:rsidRPr="00CE1E04">
        <w:rPr>
          <w:rFonts w:ascii="Times New Roman" w:hAnsi="Times New Roman" w:cs="Times New Roman"/>
          <w:szCs w:val="24"/>
        </w:rPr>
        <w:t>port reform</w:t>
      </w:r>
      <w:r w:rsidR="007342EB" w:rsidRPr="00CE1E04">
        <w:rPr>
          <w:rFonts w:ascii="Times New Roman" w:hAnsi="Times New Roman" w:cs="Times New Roman"/>
          <w:szCs w:val="24"/>
        </w:rPr>
        <w:t xml:space="preserve"> </w:t>
      </w:r>
      <w:r w:rsidR="00D24FF8" w:rsidRPr="00CE1E04">
        <w:rPr>
          <w:rFonts w:ascii="Times New Roman" w:hAnsi="Times New Roman" w:cs="Times New Roman"/>
          <w:szCs w:val="24"/>
        </w:rPr>
        <w:t>was introduced</w:t>
      </w:r>
      <w:r w:rsidR="000C61A5" w:rsidRPr="00CE1E04">
        <w:rPr>
          <w:rFonts w:ascii="Times New Roman" w:hAnsi="Times New Roman" w:cs="Times New Roman"/>
          <w:szCs w:val="24"/>
        </w:rPr>
        <w:t xml:space="preserve">. However, </w:t>
      </w:r>
      <w:r w:rsidR="004865FC" w:rsidRPr="00CE1E04">
        <w:rPr>
          <w:rFonts w:ascii="Times New Roman" w:hAnsi="Times New Roman" w:cs="Times New Roman"/>
          <w:szCs w:val="24"/>
        </w:rPr>
        <w:t>it is easy to</w:t>
      </w:r>
      <w:r w:rsidR="00D24FF8" w:rsidRPr="00CE1E04">
        <w:rPr>
          <w:rFonts w:ascii="Times New Roman" w:hAnsi="Times New Roman" w:cs="Times New Roman"/>
          <w:szCs w:val="24"/>
        </w:rPr>
        <w:t xml:space="preserve"> argue, and see,</w:t>
      </w:r>
      <w:r w:rsidR="004865FC" w:rsidRPr="00CE1E04">
        <w:rPr>
          <w:rFonts w:ascii="Times New Roman" w:hAnsi="Times New Roman" w:cs="Times New Roman"/>
          <w:szCs w:val="24"/>
        </w:rPr>
        <w:t xml:space="preserve"> that </w:t>
      </w:r>
      <w:r w:rsidRPr="00CE1E04">
        <w:rPr>
          <w:rFonts w:ascii="Times New Roman" w:hAnsi="Times New Roman" w:cs="Times New Roman"/>
          <w:szCs w:val="24"/>
        </w:rPr>
        <w:t>most figures</w:t>
      </w:r>
      <w:r w:rsidR="000C61A5" w:rsidRPr="00CE1E04">
        <w:rPr>
          <w:rFonts w:ascii="Times New Roman" w:hAnsi="Times New Roman" w:cs="Times New Roman"/>
          <w:szCs w:val="24"/>
        </w:rPr>
        <w:t xml:space="preserve"> in cargo/container (see Figure 2~3) and ship </w:t>
      </w:r>
      <w:r w:rsidR="009D5F7D" w:rsidRPr="00CE1E04">
        <w:rPr>
          <w:rFonts w:ascii="Times New Roman" w:hAnsi="Times New Roman" w:cs="Times New Roman"/>
          <w:szCs w:val="24"/>
        </w:rPr>
        <w:t xml:space="preserve">number </w:t>
      </w:r>
      <w:r w:rsidR="000C61A5" w:rsidRPr="00CE1E04">
        <w:rPr>
          <w:rFonts w:ascii="Times New Roman" w:hAnsi="Times New Roman" w:cs="Times New Roman"/>
          <w:szCs w:val="24"/>
        </w:rPr>
        <w:t>(see Figure 6)</w:t>
      </w:r>
      <w:r w:rsidRPr="00CE1E04">
        <w:rPr>
          <w:rFonts w:ascii="Times New Roman" w:hAnsi="Times New Roman" w:cs="Times New Roman"/>
          <w:szCs w:val="24"/>
        </w:rPr>
        <w:t xml:space="preserve"> </w:t>
      </w:r>
      <w:r w:rsidR="00D24FF8" w:rsidRPr="00CE1E04">
        <w:rPr>
          <w:rFonts w:ascii="Times New Roman" w:hAnsi="Times New Roman" w:cs="Times New Roman"/>
          <w:szCs w:val="24"/>
        </w:rPr>
        <w:t>fell</w:t>
      </w:r>
      <w:r w:rsidRPr="00CE1E04">
        <w:rPr>
          <w:rFonts w:ascii="Times New Roman" w:hAnsi="Times New Roman" w:cs="Times New Roman"/>
          <w:szCs w:val="24"/>
        </w:rPr>
        <w:t xml:space="preserve"> significant</w:t>
      </w:r>
      <w:r w:rsidR="00D24FF8" w:rsidRPr="00CE1E04">
        <w:rPr>
          <w:rFonts w:ascii="Times New Roman" w:hAnsi="Times New Roman" w:cs="Times New Roman"/>
          <w:szCs w:val="24"/>
        </w:rPr>
        <w:t>ly</w:t>
      </w:r>
      <w:r w:rsidRPr="00CE1E04">
        <w:rPr>
          <w:rFonts w:ascii="Times New Roman" w:hAnsi="Times New Roman" w:cs="Times New Roman"/>
          <w:szCs w:val="24"/>
        </w:rPr>
        <w:t xml:space="preserve"> in </w:t>
      </w:r>
      <w:r w:rsidR="00D24FF8" w:rsidRPr="00CE1E04">
        <w:rPr>
          <w:rFonts w:ascii="Times New Roman" w:hAnsi="Times New Roman" w:cs="Times New Roman"/>
          <w:szCs w:val="24"/>
        </w:rPr>
        <w:t xml:space="preserve">the </w:t>
      </w:r>
      <w:r w:rsidR="00BB3CFE" w:rsidRPr="00CE1E04">
        <w:rPr>
          <w:rFonts w:ascii="Times New Roman" w:hAnsi="Times New Roman" w:cs="Times New Roman"/>
          <w:szCs w:val="24"/>
        </w:rPr>
        <w:t xml:space="preserve">year </w:t>
      </w:r>
      <w:r w:rsidRPr="00CE1E04">
        <w:rPr>
          <w:rFonts w:ascii="Times New Roman" w:hAnsi="Times New Roman" w:cs="Times New Roman"/>
          <w:szCs w:val="24"/>
        </w:rPr>
        <w:t>2009-201</w:t>
      </w:r>
      <w:r w:rsidR="00BB3CFE" w:rsidRPr="00CE1E04">
        <w:rPr>
          <w:rFonts w:ascii="Times New Roman" w:hAnsi="Times New Roman" w:cs="Times New Roman"/>
          <w:szCs w:val="24"/>
        </w:rPr>
        <w:t>0</w:t>
      </w:r>
      <w:r w:rsidRPr="00CE1E04">
        <w:rPr>
          <w:rFonts w:ascii="Times New Roman" w:hAnsi="Times New Roman" w:cs="Times New Roman"/>
          <w:szCs w:val="24"/>
        </w:rPr>
        <w:t xml:space="preserve"> du</w:t>
      </w:r>
      <w:r w:rsidR="00FF3219" w:rsidRPr="00CE1E04">
        <w:rPr>
          <w:rFonts w:ascii="Times New Roman" w:hAnsi="Times New Roman" w:cs="Times New Roman"/>
          <w:szCs w:val="24"/>
        </w:rPr>
        <w:t>ring the</w:t>
      </w:r>
      <w:r w:rsidRPr="00CE1E04">
        <w:rPr>
          <w:rFonts w:ascii="Times New Roman" w:hAnsi="Times New Roman" w:cs="Times New Roman"/>
          <w:szCs w:val="24"/>
        </w:rPr>
        <w:t xml:space="preserve"> global financial crisis.</w:t>
      </w:r>
      <w:r w:rsidR="00D24FF8" w:rsidRPr="00CE1E04">
        <w:rPr>
          <w:rFonts w:ascii="Times New Roman" w:hAnsi="Times New Roman" w:cs="Times New Roman"/>
          <w:szCs w:val="24"/>
        </w:rPr>
        <w:t xml:space="preserve"> Consequently, it is possible to argue that although no significant changes happened after 2012, it may in fact be the case that the port reform helped stabilize the figures. </w:t>
      </w:r>
      <w:r w:rsidR="00882E25" w:rsidRPr="00CE1E04">
        <w:rPr>
          <w:rFonts w:ascii="Times New Roman" w:hAnsi="Times New Roman" w:cs="Times New Roman"/>
          <w:szCs w:val="24"/>
        </w:rPr>
        <w:t>Actually substantiating such an argument, is highly complex however, not least for the fact</w:t>
      </w:r>
      <w:r w:rsidR="00D24FF8" w:rsidRPr="00CE1E04">
        <w:rPr>
          <w:rFonts w:ascii="Times New Roman" w:hAnsi="Times New Roman" w:cs="Times New Roman"/>
          <w:szCs w:val="24"/>
        </w:rPr>
        <w:t xml:space="preserve"> that the port reform, although introduced in 2012, has to some degree not yet been fully implemented.</w:t>
      </w:r>
    </w:p>
    <w:p w14:paraId="31D7C361" w14:textId="18B50D6A" w:rsidR="00C05CEA" w:rsidRPr="00CE1E04" w:rsidRDefault="00BC3571" w:rsidP="00BC3571">
      <w:pPr>
        <w:ind w:firstLineChars="100" w:firstLine="240"/>
        <w:rPr>
          <w:rFonts w:ascii="Times New Roman" w:hAnsi="Times New Roman" w:cs="Times New Roman"/>
          <w:szCs w:val="24"/>
        </w:rPr>
      </w:pPr>
      <w:r w:rsidRPr="00CE1E04">
        <w:rPr>
          <w:rFonts w:ascii="Times New Roman" w:hAnsi="Times New Roman" w:cs="Times New Roman"/>
          <w:szCs w:val="24"/>
        </w:rPr>
        <w:t xml:space="preserve"> </w:t>
      </w:r>
    </w:p>
    <w:p w14:paraId="3846A05D" w14:textId="77777777" w:rsidR="0024579E" w:rsidRPr="00CE1E04" w:rsidRDefault="00882E25" w:rsidP="007C3563">
      <w:pPr>
        <w:pStyle w:val="ListParagraph"/>
        <w:numPr>
          <w:ilvl w:val="0"/>
          <w:numId w:val="1"/>
        </w:numPr>
        <w:ind w:leftChars="0"/>
        <w:rPr>
          <w:rFonts w:ascii="Times New Roman" w:hAnsi="Times New Roman" w:cs="Times New Roman"/>
          <w:b/>
        </w:rPr>
      </w:pPr>
      <w:r w:rsidRPr="00CE1E04">
        <w:rPr>
          <w:rFonts w:ascii="Times New Roman" w:hAnsi="Times New Roman" w:cs="Times New Roman"/>
          <w:b/>
        </w:rPr>
        <w:t xml:space="preserve">The development of </w:t>
      </w:r>
      <w:r w:rsidR="00951AE2" w:rsidRPr="00CE1E04">
        <w:rPr>
          <w:rFonts w:ascii="Times New Roman" w:hAnsi="Times New Roman" w:cs="Times New Roman"/>
          <w:b/>
        </w:rPr>
        <w:t xml:space="preserve">Port </w:t>
      </w:r>
      <w:r w:rsidR="00E910BC" w:rsidRPr="00CE1E04">
        <w:rPr>
          <w:rFonts w:ascii="Times New Roman" w:hAnsi="Times New Roman" w:cs="Times New Roman"/>
          <w:b/>
        </w:rPr>
        <w:t>Governance Globally,</w:t>
      </w:r>
      <w:r w:rsidRPr="00CE1E04">
        <w:rPr>
          <w:rFonts w:ascii="Times New Roman" w:hAnsi="Times New Roman" w:cs="Times New Roman"/>
          <w:b/>
        </w:rPr>
        <w:t xml:space="preserve"> and in Taiwan</w:t>
      </w:r>
    </w:p>
    <w:p w14:paraId="5BF9CA7F" w14:textId="2D288505" w:rsidR="0024579E" w:rsidRPr="00CE1E04" w:rsidRDefault="000A57ED" w:rsidP="00957AFD">
      <w:pPr>
        <w:pStyle w:val="ListParagraph"/>
        <w:numPr>
          <w:ilvl w:val="1"/>
          <w:numId w:val="1"/>
        </w:numPr>
        <w:ind w:leftChars="0"/>
        <w:rPr>
          <w:rFonts w:ascii="Times New Roman" w:hAnsi="Times New Roman" w:cs="Times New Roman"/>
          <w:b/>
        </w:rPr>
      </w:pPr>
      <w:r w:rsidRPr="00CE1E04">
        <w:rPr>
          <w:rFonts w:ascii="Times New Roman" w:hAnsi="Times New Roman" w:cs="Times New Roman"/>
          <w:b/>
        </w:rPr>
        <w:t>Organised</w:t>
      </w:r>
      <w:r w:rsidR="00406FD8" w:rsidRPr="00CE1E04">
        <w:rPr>
          <w:rFonts w:ascii="Times New Roman" w:hAnsi="Times New Roman" w:cs="Times New Roman"/>
          <w:b/>
        </w:rPr>
        <w:t xml:space="preserve"> </w:t>
      </w:r>
      <w:r w:rsidR="00C9131B" w:rsidRPr="00CE1E04">
        <w:rPr>
          <w:rFonts w:ascii="Times New Roman" w:hAnsi="Times New Roman" w:cs="Times New Roman"/>
          <w:b/>
        </w:rPr>
        <w:t>h</w:t>
      </w:r>
      <w:r w:rsidR="00406FD8" w:rsidRPr="00CE1E04">
        <w:rPr>
          <w:rFonts w:ascii="Times New Roman" w:hAnsi="Times New Roman" w:cs="Times New Roman"/>
          <w:b/>
        </w:rPr>
        <w:t>ypocrisy and port governance</w:t>
      </w:r>
    </w:p>
    <w:p w14:paraId="74389309" w14:textId="05838A04" w:rsidR="00406FD8" w:rsidRPr="00CE1E04" w:rsidRDefault="00914613" w:rsidP="00695FBE">
      <w:pPr>
        <w:jc w:val="both"/>
        <w:rPr>
          <w:rFonts w:ascii="Times New Roman" w:hAnsi="Times New Roman" w:cs="Times New Roman"/>
        </w:rPr>
      </w:pPr>
      <w:r w:rsidRPr="00CE1E04">
        <w:rPr>
          <w:rFonts w:ascii="Times New Roman" w:hAnsi="Times New Roman" w:cs="Times New Roman"/>
        </w:rPr>
        <w:t xml:space="preserve">  </w:t>
      </w:r>
      <w:r w:rsidR="00406FD8" w:rsidRPr="00CE1E04">
        <w:rPr>
          <w:rFonts w:ascii="Times New Roman" w:hAnsi="Times New Roman" w:cs="Times New Roman"/>
        </w:rPr>
        <w:t xml:space="preserve">Traditionally, </w:t>
      </w:r>
      <w:r w:rsidR="000A57ED" w:rsidRPr="00CE1E04">
        <w:rPr>
          <w:rFonts w:ascii="Times New Roman" w:hAnsi="Times New Roman" w:cs="Times New Roman"/>
        </w:rPr>
        <w:t>organised</w:t>
      </w:r>
      <w:r w:rsidR="00406FD8" w:rsidRPr="00CE1E04">
        <w:rPr>
          <w:rFonts w:ascii="Times New Roman" w:hAnsi="Times New Roman" w:cs="Times New Roman"/>
        </w:rPr>
        <w:t xml:space="preserve"> hypocrisy, or where “talk and decisions pointing in one direction do not encourage actions in the same direction” (Brunsson, 2002, p.xv) can be regarded as “morally wrong” ibid, p.xvii). Yet, not only is hypocrisy “a way of handling several conflicting values simultaneously” (ibid, p.xiii) but its absence has been defined as fanaticism or as too strong a commitment to one’s values (Newman, 1986, cited in Brunsson, 2002). </w:t>
      </w:r>
      <w:r w:rsidR="000A57ED" w:rsidRPr="00CE1E04">
        <w:rPr>
          <w:rFonts w:ascii="Times New Roman" w:hAnsi="Times New Roman" w:cs="Times New Roman"/>
        </w:rPr>
        <w:t>Organised</w:t>
      </w:r>
      <w:r w:rsidR="00406FD8" w:rsidRPr="00CE1E04">
        <w:rPr>
          <w:rFonts w:ascii="Times New Roman" w:hAnsi="Times New Roman" w:cs="Times New Roman"/>
        </w:rPr>
        <w:t xml:space="preserve"> hypocrisy therefore allows flexibility and a way to move forward with what may appear to be inconsistent goals. An example Brunsson (2002) cites is of the Swedish referendum in 1980 on nuclear power. Despite widespread opposition to nuclear power amongst the public the decision that was made was that nuclear power would be expanded to the largest per capita production in the world on the basis that nuclear power plants would be shut down in 25 years’ time. This allowed the government to meet immediate demand for electricity and at the same time say it would shut down nuclear power. Thus, hypocrisy allowed the government to handle several conflicting values simultaneously. As Brunsson notes, different interests may well demand different things of an </w:t>
      </w:r>
      <w:r w:rsidR="00B5235D" w:rsidRPr="00CE1E04">
        <w:rPr>
          <w:rFonts w:ascii="Times New Roman" w:hAnsi="Times New Roman" w:cs="Times New Roman"/>
        </w:rPr>
        <w:t>organisation</w:t>
      </w:r>
      <w:r w:rsidR="00406FD8" w:rsidRPr="00CE1E04">
        <w:rPr>
          <w:rFonts w:ascii="Times New Roman" w:hAnsi="Times New Roman" w:cs="Times New Roman"/>
        </w:rPr>
        <w:t xml:space="preserve">, and if an </w:t>
      </w:r>
      <w:r w:rsidR="00B5235D" w:rsidRPr="00CE1E04">
        <w:rPr>
          <w:rFonts w:ascii="Times New Roman" w:hAnsi="Times New Roman" w:cs="Times New Roman"/>
        </w:rPr>
        <w:t>organisation</w:t>
      </w:r>
      <w:r w:rsidR="00406FD8" w:rsidRPr="00CE1E04">
        <w:rPr>
          <w:rFonts w:ascii="Times New Roman" w:hAnsi="Times New Roman" w:cs="Times New Roman"/>
        </w:rPr>
        <w:t xml:space="preserve"> wants to preserve inconsistent values, it “must be prepared to handle them on more procedural lines, rather than linking them to the achievement of action and results; values are better suited to handling in talk than action, and by reference to the future rather than the present” (Brunsson, 2002, p.233). In a port governance context, and in a Taiwanese port reform context specifically, </w:t>
      </w:r>
      <w:r w:rsidR="000A57ED" w:rsidRPr="00CE1E04">
        <w:rPr>
          <w:rFonts w:ascii="Times New Roman" w:hAnsi="Times New Roman" w:cs="Times New Roman"/>
        </w:rPr>
        <w:t>organised</w:t>
      </w:r>
      <w:r w:rsidR="00406FD8" w:rsidRPr="00CE1E04">
        <w:rPr>
          <w:rFonts w:ascii="Times New Roman" w:hAnsi="Times New Roman" w:cs="Times New Roman"/>
        </w:rPr>
        <w:t xml:space="preserve"> hypocrisy provides a suitable lens through which to view progress as it affords an analysis of how Taiwan has approached introducing new values of </w:t>
      </w:r>
      <w:r w:rsidR="00965981" w:rsidRPr="00CE1E04">
        <w:rPr>
          <w:rFonts w:ascii="Times New Roman" w:hAnsi="Times New Roman" w:cs="Times New Roman"/>
        </w:rPr>
        <w:t>decentralization</w:t>
      </w:r>
      <w:r w:rsidR="00406FD8" w:rsidRPr="00CE1E04">
        <w:rPr>
          <w:rFonts w:ascii="Times New Roman" w:hAnsi="Times New Roman" w:cs="Times New Roman"/>
        </w:rPr>
        <w:t xml:space="preserve"> and </w:t>
      </w:r>
      <w:r w:rsidR="00965981" w:rsidRPr="00CE1E04">
        <w:rPr>
          <w:rFonts w:ascii="Times New Roman" w:hAnsi="Times New Roman" w:cs="Times New Roman"/>
        </w:rPr>
        <w:t>privatization</w:t>
      </w:r>
      <w:r w:rsidR="00406FD8" w:rsidRPr="00CE1E04">
        <w:rPr>
          <w:rFonts w:ascii="Times New Roman" w:hAnsi="Times New Roman" w:cs="Times New Roman"/>
        </w:rPr>
        <w:t xml:space="preserve"> whilst at the same time retaining more </w:t>
      </w:r>
      <w:r w:rsidR="00965981" w:rsidRPr="00CE1E04">
        <w:rPr>
          <w:rFonts w:ascii="Times New Roman" w:hAnsi="Times New Roman" w:cs="Times New Roman"/>
        </w:rPr>
        <w:t>centralized</w:t>
      </w:r>
      <w:r w:rsidR="00406FD8" w:rsidRPr="00CE1E04">
        <w:rPr>
          <w:rFonts w:ascii="Times New Roman" w:hAnsi="Times New Roman" w:cs="Times New Roman"/>
        </w:rPr>
        <w:t xml:space="preserve"> and public aspects of port governance. In the next section we now review some of the literature on port governance and, where appropriate, draw parallels with where we see elements of </w:t>
      </w:r>
      <w:r w:rsidR="000A57ED" w:rsidRPr="00CE1E04">
        <w:rPr>
          <w:rFonts w:ascii="Times New Roman" w:hAnsi="Times New Roman" w:cs="Times New Roman"/>
        </w:rPr>
        <w:t>organised</w:t>
      </w:r>
      <w:r w:rsidR="00406FD8" w:rsidRPr="00CE1E04">
        <w:rPr>
          <w:rFonts w:ascii="Times New Roman" w:hAnsi="Times New Roman" w:cs="Times New Roman"/>
        </w:rPr>
        <w:t xml:space="preserve"> hypocrisy at work.</w:t>
      </w:r>
    </w:p>
    <w:p w14:paraId="606FA0CE" w14:textId="1B4AB1AF" w:rsidR="00F5701C" w:rsidRPr="00CE1E04" w:rsidRDefault="00F5701C" w:rsidP="00957AFD">
      <w:pPr>
        <w:rPr>
          <w:rFonts w:ascii="Times New Roman" w:hAnsi="Times New Roman" w:cs="Times New Roman"/>
          <w:b/>
        </w:rPr>
      </w:pPr>
    </w:p>
    <w:p w14:paraId="5D283C70" w14:textId="30CEF4B8" w:rsidR="00A12306" w:rsidRPr="00CE1E04" w:rsidRDefault="00A12306" w:rsidP="00A12306">
      <w:pPr>
        <w:autoSpaceDE w:val="0"/>
        <w:autoSpaceDN w:val="0"/>
        <w:adjustRightInd w:val="0"/>
        <w:jc w:val="both"/>
        <w:rPr>
          <w:rFonts w:ascii="Times New Roman" w:hAnsi="Times New Roman" w:cs="Times New Roman"/>
          <w:b/>
        </w:rPr>
      </w:pPr>
      <w:r w:rsidRPr="00CE1E04">
        <w:rPr>
          <w:rFonts w:ascii="Times New Roman" w:hAnsi="Times New Roman" w:cs="Times New Roman"/>
          <w:b/>
        </w:rPr>
        <w:t>2.</w:t>
      </w:r>
      <w:r w:rsidR="0024579E" w:rsidRPr="00CE1E04">
        <w:rPr>
          <w:rFonts w:ascii="Times New Roman" w:hAnsi="Times New Roman" w:cs="Times New Roman"/>
          <w:b/>
        </w:rPr>
        <w:t>2</w:t>
      </w:r>
      <w:r w:rsidRPr="00CE1E04">
        <w:rPr>
          <w:rFonts w:ascii="Times New Roman" w:hAnsi="Times New Roman" w:cs="Times New Roman"/>
          <w:b/>
        </w:rPr>
        <w:t xml:space="preserve"> </w:t>
      </w:r>
      <w:r w:rsidR="003950B1" w:rsidRPr="00CE1E04">
        <w:rPr>
          <w:rFonts w:ascii="Times New Roman" w:hAnsi="Times New Roman" w:cs="Times New Roman"/>
          <w:b/>
        </w:rPr>
        <w:t xml:space="preserve">Global </w:t>
      </w:r>
      <w:r w:rsidRPr="00CE1E04">
        <w:rPr>
          <w:rFonts w:ascii="Times New Roman" w:hAnsi="Times New Roman" w:cs="Times New Roman"/>
          <w:b/>
        </w:rPr>
        <w:t xml:space="preserve">Port Governance </w:t>
      </w:r>
      <w:r w:rsidR="003950B1" w:rsidRPr="00CE1E04">
        <w:rPr>
          <w:rFonts w:ascii="Times New Roman" w:hAnsi="Times New Roman" w:cs="Times New Roman"/>
          <w:b/>
        </w:rPr>
        <w:t>Development</w:t>
      </w:r>
    </w:p>
    <w:p w14:paraId="5504C6D3" w14:textId="42B266EF" w:rsidR="004B35E5" w:rsidRPr="00CE1E04" w:rsidRDefault="00F63355" w:rsidP="00A12306">
      <w:pPr>
        <w:autoSpaceDE w:val="0"/>
        <w:autoSpaceDN w:val="0"/>
        <w:adjustRightInd w:val="0"/>
        <w:ind w:firstLineChars="100" w:firstLine="240"/>
        <w:jc w:val="both"/>
        <w:rPr>
          <w:rFonts w:ascii="Times New Roman" w:hAnsi="Times New Roman" w:cs="Times New Roman"/>
          <w:szCs w:val="24"/>
        </w:rPr>
      </w:pPr>
      <w:r w:rsidRPr="00CE1E04">
        <w:rPr>
          <w:rFonts w:ascii="Times New Roman" w:hAnsi="Times New Roman" w:cs="Times New Roman"/>
        </w:rPr>
        <w:t xml:space="preserve">In </w:t>
      </w:r>
      <w:r w:rsidR="008A22B3" w:rsidRPr="00CE1E04">
        <w:rPr>
          <w:rFonts w:ascii="Times New Roman" w:hAnsi="Times New Roman" w:cs="Times New Roman"/>
        </w:rPr>
        <w:t>any study of port gov</w:t>
      </w:r>
      <w:r w:rsidRPr="00CE1E04">
        <w:rPr>
          <w:rFonts w:ascii="Times New Roman" w:hAnsi="Times New Roman" w:cs="Times New Roman"/>
        </w:rPr>
        <w:t xml:space="preserve">ernance, it </w:t>
      </w:r>
      <w:r w:rsidR="009D6901" w:rsidRPr="00CE1E04">
        <w:rPr>
          <w:rFonts w:ascii="Times New Roman" w:hAnsi="Times New Roman" w:cs="Times New Roman"/>
        </w:rPr>
        <w:t>should</w:t>
      </w:r>
      <w:r w:rsidRPr="00CE1E04">
        <w:rPr>
          <w:rFonts w:ascii="Times New Roman" w:hAnsi="Times New Roman" w:cs="Times New Roman"/>
        </w:rPr>
        <w:t xml:space="preserve"> be remembered </w:t>
      </w:r>
      <w:r w:rsidR="008A22B3" w:rsidRPr="00CE1E04">
        <w:rPr>
          <w:rFonts w:ascii="Times New Roman" w:hAnsi="Times New Roman" w:cs="Times New Roman"/>
        </w:rPr>
        <w:t>that “the concept of governance has many meanings” (Vieira et al.</w:t>
      </w:r>
      <w:r w:rsidR="003D5BD8" w:rsidRPr="00CE1E04">
        <w:rPr>
          <w:rFonts w:ascii="Times New Roman" w:hAnsi="Times New Roman" w:cs="Times New Roman"/>
        </w:rPr>
        <w:t>,</w:t>
      </w:r>
      <w:r w:rsidR="008A22B3" w:rsidRPr="00CE1E04">
        <w:rPr>
          <w:rFonts w:ascii="Times New Roman" w:hAnsi="Times New Roman" w:cs="Times New Roman"/>
        </w:rPr>
        <w:t xml:space="preserve"> 2014, p 646). According to Geiger (2009, cited in Vieira et al</w:t>
      </w:r>
      <w:r w:rsidR="004B35E5" w:rsidRPr="00CE1E04">
        <w:rPr>
          <w:rFonts w:ascii="Times New Roman" w:hAnsi="Times New Roman" w:cs="Times New Roman"/>
        </w:rPr>
        <w:t>.,</w:t>
      </w:r>
      <w:r w:rsidR="008A22B3" w:rsidRPr="00CE1E04">
        <w:rPr>
          <w:rFonts w:ascii="Times New Roman" w:hAnsi="Times New Roman" w:cs="Times New Roman"/>
        </w:rPr>
        <w:t xml:space="preserve"> 2014, p.646)) principally three meanings can be considered: “</w:t>
      </w:r>
      <w:r w:rsidR="008A22B3" w:rsidRPr="00CE1E04">
        <w:rPr>
          <w:rFonts w:ascii="Times New Roman" w:hAnsi="Times New Roman" w:cs="Times New Roman"/>
          <w:szCs w:val="24"/>
        </w:rPr>
        <w:t xml:space="preserve">i) it is a desired standard of corporate behaviour, particularly with respect to publicly traded companies with exchange trading; (ii) it is a concept associated with public policies, intermixed with the notion of ‘government’ or (iii) it is the coordination of actors of an organisation or business cluster.” </w:t>
      </w:r>
      <w:r w:rsidR="005577B1" w:rsidRPr="00CE1E04">
        <w:rPr>
          <w:rFonts w:ascii="Times New Roman" w:hAnsi="Times New Roman" w:cs="Times New Roman"/>
          <w:szCs w:val="24"/>
        </w:rPr>
        <w:t>In comparison, Stoker (1998, cited in Wang et al.</w:t>
      </w:r>
      <w:r w:rsidR="004B35E5" w:rsidRPr="00CE1E04">
        <w:rPr>
          <w:rFonts w:ascii="Times New Roman" w:hAnsi="Times New Roman" w:cs="Times New Roman"/>
          <w:szCs w:val="24"/>
        </w:rPr>
        <w:t>,</w:t>
      </w:r>
      <w:r w:rsidR="005577B1" w:rsidRPr="00CE1E04">
        <w:rPr>
          <w:rFonts w:ascii="Times New Roman" w:hAnsi="Times New Roman" w:cs="Times New Roman"/>
          <w:szCs w:val="24"/>
        </w:rPr>
        <w:t xml:space="preserve"> 2004, p.238-9) has five propositions of what may be regarded as ‘governance’</w:t>
      </w:r>
      <w:r w:rsidR="009D6901" w:rsidRPr="00CE1E04">
        <w:rPr>
          <w:rFonts w:ascii="Times New Roman" w:hAnsi="Times New Roman" w:cs="Times New Roman"/>
          <w:szCs w:val="24"/>
        </w:rPr>
        <w:t>, ranging from, “</w:t>
      </w:r>
      <w:r w:rsidR="005577B1" w:rsidRPr="00CE1E04">
        <w:rPr>
          <w:rFonts w:ascii="Times New Roman" w:hAnsi="Times New Roman" w:cs="Times New Roman"/>
          <w:szCs w:val="24"/>
        </w:rPr>
        <w:t>a set of institutions and actors that are drawn from but also beyond government</w:t>
      </w:r>
      <w:r w:rsidR="009D6901" w:rsidRPr="00CE1E04">
        <w:rPr>
          <w:rFonts w:ascii="Times New Roman" w:hAnsi="Times New Roman" w:cs="Times New Roman"/>
          <w:szCs w:val="24"/>
        </w:rPr>
        <w:t>” to, “</w:t>
      </w:r>
      <w:r w:rsidR="005577B1" w:rsidRPr="00CE1E04">
        <w:rPr>
          <w:rFonts w:ascii="Times New Roman" w:hAnsi="Times New Roman" w:cs="Times New Roman"/>
          <w:szCs w:val="24"/>
        </w:rPr>
        <w:t xml:space="preserve">the capacity to get things done which does not necessarily rest on the power of governments to command or use their authority.” </w:t>
      </w:r>
      <w:r w:rsidRPr="00CE1E04">
        <w:rPr>
          <w:rFonts w:ascii="Times New Roman" w:hAnsi="Times New Roman" w:cs="Times New Roman"/>
          <w:szCs w:val="24"/>
        </w:rPr>
        <w:t xml:space="preserve">Thus, ‘governance’ itself can be understood in many different ways, and implemented in different ways. </w:t>
      </w:r>
    </w:p>
    <w:p w14:paraId="3537ED56" w14:textId="0DB15539" w:rsidR="004B002F" w:rsidRPr="00CE1E04" w:rsidRDefault="000E222A" w:rsidP="000E222A">
      <w:pPr>
        <w:autoSpaceDE w:val="0"/>
        <w:autoSpaceDN w:val="0"/>
        <w:adjustRightInd w:val="0"/>
        <w:jc w:val="both"/>
        <w:rPr>
          <w:rFonts w:ascii="Times New Roman" w:hAnsi="Times New Roman" w:cs="Times New Roman"/>
          <w:szCs w:val="24"/>
        </w:rPr>
      </w:pPr>
      <w:r w:rsidRPr="00CE1E04">
        <w:rPr>
          <w:rFonts w:ascii="Times New Roman" w:hAnsi="Times New Roman" w:cs="Times New Roman"/>
          <w:szCs w:val="24"/>
        </w:rPr>
        <w:t xml:space="preserve">  </w:t>
      </w:r>
      <w:r w:rsidR="008A22B3" w:rsidRPr="00CE1E04">
        <w:rPr>
          <w:rFonts w:ascii="Times New Roman" w:hAnsi="Times New Roman" w:cs="Times New Roman"/>
          <w:szCs w:val="24"/>
        </w:rPr>
        <w:t>Similarly, many</w:t>
      </w:r>
      <w:r w:rsidR="009D6901" w:rsidRPr="00CE1E04">
        <w:rPr>
          <w:rFonts w:ascii="Times New Roman" w:hAnsi="Times New Roman" w:cs="Times New Roman"/>
          <w:szCs w:val="24"/>
        </w:rPr>
        <w:t xml:space="preserve"> governance related</w:t>
      </w:r>
      <w:r w:rsidR="008A22B3" w:rsidRPr="00CE1E04">
        <w:rPr>
          <w:rFonts w:ascii="Times New Roman" w:hAnsi="Times New Roman" w:cs="Times New Roman"/>
          <w:szCs w:val="24"/>
        </w:rPr>
        <w:t xml:space="preserve"> terms </w:t>
      </w:r>
      <w:r w:rsidR="009D6901" w:rsidRPr="00CE1E04">
        <w:rPr>
          <w:rFonts w:ascii="Times New Roman" w:hAnsi="Times New Roman" w:cs="Times New Roman"/>
          <w:szCs w:val="24"/>
        </w:rPr>
        <w:t>are complex</w:t>
      </w:r>
      <w:r w:rsidR="008A22B3" w:rsidRPr="00CE1E04">
        <w:rPr>
          <w:rFonts w:ascii="Times New Roman" w:hAnsi="Times New Roman" w:cs="Times New Roman"/>
          <w:szCs w:val="24"/>
        </w:rPr>
        <w:t xml:space="preserve">. For example, what </w:t>
      </w:r>
      <w:r w:rsidR="00F63355" w:rsidRPr="00CE1E04">
        <w:rPr>
          <w:rFonts w:ascii="Times New Roman" w:hAnsi="Times New Roman" w:cs="Times New Roman"/>
          <w:szCs w:val="24"/>
        </w:rPr>
        <w:t xml:space="preserve">actually </w:t>
      </w:r>
      <w:r w:rsidR="008A22B3" w:rsidRPr="00CE1E04">
        <w:rPr>
          <w:rFonts w:ascii="Times New Roman" w:hAnsi="Times New Roman" w:cs="Times New Roman"/>
          <w:szCs w:val="24"/>
        </w:rPr>
        <w:t>constitut</w:t>
      </w:r>
      <w:r w:rsidR="00F63355" w:rsidRPr="00CE1E04">
        <w:rPr>
          <w:rFonts w:ascii="Times New Roman" w:hAnsi="Times New Roman" w:cs="Times New Roman"/>
          <w:szCs w:val="24"/>
        </w:rPr>
        <w:t>es a ‘port’</w:t>
      </w:r>
      <w:r w:rsidR="008A22B3" w:rsidRPr="00CE1E04">
        <w:rPr>
          <w:rFonts w:ascii="Times New Roman" w:hAnsi="Times New Roman" w:cs="Times New Roman"/>
          <w:szCs w:val="24"/>
        </w:rPr>
        <w:t xml:space="preserve"> </w:t>
      </w:r>
      <w:r w:rsidR="00F63355" w:rsidRPr="00CE1E04">
        <w:rPr>
          <w:rFonts w:ascii="Times New Roman" w:hAnsi="Times New Roman" w:cs="Times New Roman"/>
          <w:szCs w:val="24"/>
        </w:rPr>
        <w:t xml:space="preserve">and where a ‘port’ ends </w:t>
      </w:r>
      <w:r w:rsidR="008A22B3" w:rsidRPr="00CE1E04">
        <w:rPr>
          <w:rFonts w:ascii="Times New Roman" w:hAnsi="Times New Roman" w:cs="Times New Roman"/>
          <w:szCs w:val="24"/>
        </w:rPr>
        <w:t>(cf. Vieira, et al.</w:t>
      </w:r>
      <w:r w:rsidR="00DA4E3C" w:rsidRPr="00CE1E04">
        <w:rPr>
          <w:rFonts w:ascii="Times New Roman" w:hAnsi="Times New Roman" w:cs="Times New Roman"/>
          <w:szCs w:val="24"/>
        </w:rPr>
        <w:t>,</w:t>
      </w:r>
      <w:r w:rsidR="008A22B3" w:rsidRPr="00CE1E04">
        <w:rPr>
          <w:rFonts w:ascii="Times New Roman" w:hAnsi="Times New Roman" w:cs="Times New Roman"/>
          <w:szCs w:val="24"/>
        </w:rPr>
        <w:t xml:space="preserve"> 2014)</w:t>
      </w:r>
      <w:r w:rsidR="00F63355" w:rsidRPr="00CE1E04">
        <w:rPr>
          <w:rFonts w:ascii="Times New Roman" w:hAnsi="Times New Roman" w:cs="Times New Roman"/>
          <w:szCs w:val="24"/>
        </w:rPr>
        <w:t>. Often</w:t>
      </w:r>
      <w:r w:rsidR="00646496" w:rsidRPr="00CE1E04">
        <w:rPr>
          <w:rFonts w:ascii="Times New Roman" w:hAnsi="Times New Roman" w:cs="Times New Roman"/>
          <w:szCs w:val="24"/>
        </w:rPr>
        <w:t>, p</w:t>
      </w:r>
      <w:r w:rsidR="00115F66" w:rsidRPr="00CE1E04">
        <w:rPr>
          <w:rFonts w:ascii="Times New Roman" w:hAnsi="Times New Roman" w:cs="Times New Roman"/>
          <w:szCs w:val="24"/>
        </w:rPr>
        <w:t>ort economics includes a need to consider the importance of the hinterland in terms of access regimes and strategies (Notteboom et al., 2013)</w:t>
      </w:r>
      <w:r w:rsidR="009D6901" w:rsidRPr="00CE1E04">
        <w:rPr>
          <w:rFonts w:ascii="Times New Roman" w:hAnsi="Times New Roman" w:cs="Times New Roman"/>
          <w:szCs w:val="24"/>
        </w:rPr>
        <w:t xml:space="preserve"> and</w:t>
      </w:r>
      <w:r w:rsidR="00F63355" w:rsidRPr="00CE1E04">
        <w:rPr>
          <w:rFonts w:ascii="Times New Roman" w:hAnsi="Times New Roman" w:cs="Times New Roman"/>
          <w:szCs w:val="24"/>
        </w:rPr>
        <w:t xml:space="preserve"> </w:t>
      </w:r>
      <w:r w:rsidR="009D6901" w:rsidRPr="00CE1E04">
        <w:rPr>
          <w:rFonts w:ascii="Times New Roman" w:hAnsi="Times New Roman" w:cs="Times New Roman"/>
          <w:szCs w:val="24"/>
        </w:rPr>
        <w:t>p</w:t>
      </w:r>
      <w:r w:rsidR="00F63355" w:rsidRPr="00CE1E04">
        <w:rPr>
          <w:rFonts w:ascii="Times New Roman" w:hAnsi="Times New Roman" w:cs="Times New Roman"/>
          <w:szCs w:val="24"/>
        </w:rPr>
        <w:t>orts should also be considered as</w:t>
      </w:r>
      <w:r w:rsidR="00646496" w:rsidRPr="00CE1E04">
        <w:rPr>
          <w:rFonts w:ascii="Times New Roman" w:hAnsi="Times New Roman" w:cs="Times New Roman"/>
          <w:szCs w:val="24"/>
        </w:rPr>
        <w:t xml:space="preserve"> part of a longer logistics chain (Vanelslander, 2011).</w:t>
      </w:r>
    </w:p>
    <w:p w14:paraId="75CA96BB" w14:textId="344483BB" w:rsidR="002002BD" w:rsidRPr="00CE1E04" w:rsidRDefault="000E222A" w:rsidP="000E222A">
      <w:pPr>
        <w:autoSpaceDE w:val="0"/>
        <w:autoSpaceDN w:val="0"/>
        <w:adjustRightInd w:val="0"/>
        <w:jc w:val="both"/>
        <w:rPr>
          <w:rFonts w:ascii="Times New Roman" w:hAnsi="Times New Roman" w:cs="Times New Roman"/>
          <w:szCs w:val="24"/>
        </w:rPr>
      </w:pPr>
      <w:r w:rsidRPr="00CE1E04">
        <w:rPr>
          <w:rFonts w:ascii="Times New Roman" w:hAnsi="Times New Roman" w:cs="Times New Roman"/>
          <w:szCs w:val="24"/>
        </w:rPr>
        <w:t xml:space="preserve">  </w:t>
      </w:r>
      <w:r w:rsidR="00F63355" w:rsidRPr="00CE1E04">
        <w:rPr>
          <w:rFonts w:ascii="Times New Roman" w:hAnsi="Times New Roman" w:cs="Times New Roman"/>
          <w:szCs w:val="24"/>
        </w:rPr>
        <w:t>In addition, t</w:t>
      </w:r>
      <w:r w:rsidR="00115F66" w:rsidRPr="00CE1E04">
        <w:rPr>
          <w:rFonts w:ascii="Times New Roman" w:hAnsi="Times New Roman" w:cs="Times New Roman"/>
          <w:szCs w:val="24"/>
        </w:rPr>
        <w:t>he concept of ‘economics’ can itself be studied from many angles: historically; in terms of transaction costs; institutionally; neo-classically; in evolutionary terms and; geographically (Notteboom et al.</w:t>
      </w:r>
      <w:r w:rsidR="004B35E5" w:rsidRPr="00CE1E04">
        <w:rPr>
          <w:rFonts w:ascii="Times New Roman" w:hAnsi="Times New Roman" w:cs="Times New Roman"/>
          <w:szCs w:val="24"/>
        </w:rPr>
        <w:t>,</w:t>
      </w:r>
      <w:r w:rsidR="00115F66" w:rsidRPr="00CE1E04">
        <w:rPr>
          <w:rFonts w:ascii="Times New Roman" w:hAnsi="Times New Roman" w:cs="Times New Roman"/>
          <w:szCs w:val="24"/>
        </w:rPr>
        <w:t xml:space="preserve"> 2013). </w:t>
      </w:r>
      <w:r w:rsidR="008A22B3" w:rsidRPr="00CE1E04">
        <w:rPr>
          <w:rFonts w:ascii="Times New Roman" w:hAnsi="Times New Roman" w:cs="Times New Roman"/>
          <w:szCs w:val="24"/>
        </w:rPr>
        <w:t>Further, ‘devolution</w:t>
      </w:r>
      <w:r w:rsidR="009D6901" w:rsidRPr="00CE1E04">
        <w:rPr>
          <w:rFonts w:ascii="Times New Roman" w:hAnsi="Times New Roman" w:cs="Times New Roman"/>
          <w:szCs w:val="24"/>
        </w:rPr>
        <w:t>’</w:t>
      </w:r>
      <w:r w:rsidR="008A22B3" w:rsidRPr="00CE1E04">
        <w:rPr>
          <w:rFonts w:ascii="Times New Roman" w:hAnsi="Times New Roman" w:cs="Times New Roman"/>
          <w:szCs w:val="24"/>
        </w:rPr>
        <w:t xml:space="preserve"> can consist of many stages, </w:t>
      </w:r>
      <w:r w:rsidR="009D6901" w:rsidRPr="00CE1E04">
        <w:rPr>
          <w:rFonts w:ascii="Times New Roman" w:hAnsi="Times New Roman" w:cs="Times New Roman"/>
          <w:szCs w:val="24"/>
        </w:rPr>
        <w:t>and is a broader concept than ‘privatisation’,</w:t>
      </w:r>
      <w:r w:rsidR="008A22B3" w:rsidRPr="00CE1E04">
        <w:rPr>
          <w:rFonts w:ascii="Times New Roman" w:hAnsi="Times New Roman" w:cs="Times New Roman"/>
          <w:szCs w:val="24"/>
        </w:rPr>
        <w:t xml:space="preserve"> “because it involves concession, sale, and also other forms of shared responsibility between the public and private sectors of port management” (Vieira et al.</w:t>
      </w:r>
      <w:r w:rsidR="004B35E5" w:rsidRPr="00CE1E04">
        <w:rPr>
          <w:rFonts w:ascii="Times New Roman" w:hAnsi="Times New Roman" w:cs="Times New Roman"/>
          <w:szCs w:val="24"/>
        </w:rPr>
        <w:t>,</w:t>
      </w:r>
      <w:r w:rsidR="008A22B3" w:rsidRPr="00CE1E04">
        <w:rPr>
          <w:rFonts w:ascii="Times New Roman" w:hAnsi="Times New Roman" w:cs="Times New Roman"/>
          <w:szCs w:val="24"/>
        </w:rPr>
        <w:t xml:space="preserve"> 2014, p.655).</w:t>
      </w:r>
      <w:r w:rsidR="00F63355" w:rsidRPr="00CE1E04">
        <w:rPr>
          <w:rFonts w:ascii="Times New Roman" w:hAnsi="Times New Roman" w:cs="Times New Roman"/>
          <w:szCs w:val="24"/>
        </w:rPr>
        <w:t xml:space="preserve"> </w:t>
      </w:r>
      <w:r w:rsidR="009D6901" w:rsidRPr="00CE1E04">
        <w:rPr>
          <w:rFonts w:ascii="Times New Roman" w:hAnsi="Times New Roman" w:cs="Times New Roman"/>
          <w:szCs w:val="24"/>
        </w:rPr>
        <w:t>Also</w:t>
      </w:r>
      <w:r w:rsidR="00F63355" w:rsidRPr="00CE1E04">
        <w:rPr>
          <w:rFonts w:ascii="Times New Roman" w:hAnsi="Times New Roman" w:cs="Times New Roman"/>
          <w:szCs w:val="24"/>
        </w:rPr>
        <w:t>,</w:t>
      </w:r>
      <w:r w:rsidR="008A22B3" w:rsidRPr="00CE1E04">
        <w:rPr>
          <w:rFonts w:ascii="Times New Roman" w:hAnsi="Times New Roman" w:cs="Times New Roman"/>
          <w:szCs w:val="24"/>
        </w:rPr>
        <w:t xml:space="preserve"> </w:t>
      </w:r>
      <w:r w:rsidR="00777465" w:rsidRPr="00CE1E04">
        <w:rPr>
          <w:rFonts w:ascii="Times New Roman" w:hAnsi="Times New Roman" w:cs="Times New Roman"/>
          <w:szCs w:val="24"/>
        </w:rPr>
        <w:t>‘</w:t>
      </w:r>
      <w:r w:rsidR="00685732" w:rsidRPr="00CE1E04">
        <w:rPr>
          <w:rFonts w:ascii="Times New Roman" w:hAnsi="Times New Roman" w:cs="Times New Roman"/>
          <w:szCs w:val="24"/>
        </w:rPr>
        <w:t>p</w:t>
      </w:r>
      <w:r w:rsidR="00777465" w:rsidRPr="00CE1E04">
        <w:rPr>
          <w:rFonts w:ascii="Times New Roman" w:hAnsi="Times New Roman" w:cs="Times New Roman"/>
          <w:szCs w:val="24"/>
        </w:rPr>
        <w:t xml:space="preserve">rivatisation’ involves total devolution to </w:t>
      </w:r>
      <w:r w:rsidR="00F63355" w:rsidRPr="00CE1E04">
        <w:rPr>
          <w:rFonts w:ascii="Times New Roman" w:hAnsi="Times New Roman" w:cs="Times New Roman"/>
          <w:szCs w:val="24"/>
        </w:rPr>
        <w:t>private</w:t>
      </w:r>
      <w:r w:rsidR="00777465" w:rsidRPr="00CE1E04">
        <w:rPr>
          <w:rFonts w:ascii="Times New Roman" w:hAnsi="Times New Roman" w:cs="Times New Roman"/>
          <w:szCs w:val="24"/>
        </w:rPr>
        <w:t xml:space="preserve"> companies whereas </w:t>
      </w:r>
      <w:r w:rsidR="00F63355" w:rsidRPr="00CE1E04">
        <w:rPr>
          <w:rFonts w:ascii="Times New Roman" w:hAnsi="Times New Roman" w:cs="Times New Roman"/>
          <w:szCs w:val="24"/>
        </w:rPr>
        <w:t>‘</w:t>
      </w:r>
      <w:r w:rsidR="00777465" w:rsidRPr="00CE1E04">
        <w:rPr>
          <w:rFonts w:ascii="Times New Roman" w:hAnsi="Times New Roman" w:cs="Times New Roman"/>
          <w:szCs w:val="24"/>
        </w:rPr>
        <w:t>commercialization</w:t>
      </w:r>
      <w:r w:rsidR="00F63355" w:rsidRPr="00CE1E04">
        <w:rPr>
          <w:rFonts w:ascii="Times New Roman" w:hAnsi="Times New Roman" w:cs="Times New Roman"/>
          <w:szCs w:val="24"/>
        </w:rPr>
        <w:t>’</w:t>
      </w:r>
      <w:r w:rsidR="00777465" w:rsidRPr="00CE1E04">
        <w:rPr>
          <w:rFonts w:ascii="Times New Roman" w:hAnsi="Times New Roman" w:cs="Times New Roman"/>
          <w:szCs w:val="24"/>
        </w:rPr>
        <w:t xml:space="preserve"> retains some control for the government but allows private companies to become involved (Brooks and Cullinane, 2006)</w:t>
      </w:r>
      <w:r w:rsidR="00F63355" w:rsidRPr="00CE1E04">
        <w:rPr>
          <w:rFonts w:ascii="Times New Roman" w:hAnsi="Times New Roman" w:cs="Times New Roman"/>
          <w:szCs w:val="24"/>
        </w:rPr>
        <w:t>.</w:t>
      </w:r>
      <w:r w:rsidR="00777465" w:rsidRPr="00CE1E04">
        <w:rPr>
          <w:rFonts w:ascii="Times New Roman" w:hAnsi="Times New Roman" w:cs="Times New Roman"/>
          <w:szCs w:val="24"/>
        </w:rPr>
        <w:t xml:space="preserve"> </w:t>
      </w:r>
      <w:r w:rsidR="00F139BE" w:rsidRPr="00CE1E04">
        <w:rPr>
          <w:rFonts w:ascii="Times New Roman" w:hAnsi="Times New Roman" w:cs="Times New Roman"/>
          <w:szCs w:val="24"/>
        </w:rPr>
        <w:t xml:space="preserve">Furthermore, rather than being </w:t>
      </w:r>
      <w:r w:rsidR="009D6901" w:rsidRPr="00CE1E04">
        <w:rPr>
          <w:rFonts w:ascii="Times New Roman" w:hAnsi="Times New Roman" w:cs="Times New Roman"/>
          <w:szCs w:val="24"/>
        </w:rPr>
        <w:t>complete entities</w:t>
      </w:r>
      <w:r w:rsidR="00F139BE" w:rsidRPr="00CE1E04">
        <w:rPr>
          <w:rFonts w:ascii="Times New Roman" w:hAnsi="Times New Roman" w:cs="Times New Roman"/>
          <w:szCs w:val="24"/>
        </w:rPr>
        <w:t>, existing models have ‘plasticity’ and can be ‘stretched’ to allow for greater flexibility in response to particular issues (Notteboom et al., 2013)</w:t>
      </w:r>
      <w:r w:rsidR="002F7F91" w:rsidRPr="00CE1E04">
        <w:rPr>
          <w:rFonts w:ascii="Times New Roman" w:hAnsi="Times New Roman" w:cs="Times New Roman"/>
          <w:szCs w:val="24"/>
        </w:rPr>
        <w:t>.</w:t>
      </w:r>
      <w:r w:rsidR="004925E9" w:rsidRPr="00CE1E04">
        <w:rPr>
          <w:rFonts w:ascii="Times New Roman" w:hAnsi="Times New Roman" w:cs="Times New Roman"/>
          <w:szCs w:val="24"/>
        </w:rPr>
        <w:t xml:space="preserve"> There is often th</w:t>
      </w:r>
      <w:r w:rsidR="00685732" w:rsidRPr="00CE1E04">
        <w:rPr>
          <w:rFonts w:ascii="Times New Roman" w:hAnsi="Times New Roman" w:cs="Times New Roman"/>
          <w:szCs w:val="24"/>
        </w:rPr>
        <w:t>erefore</w:t>
      </w:r>
      <w:r w:rsidR="004925E9" w:rsidRPr="00CE1E04">
        <w:rPr>
          <w:rFonts w:ascii="Times New Roman" w:hAnsi="Times New Roman" w:cs="Times New Roman"/>
          <w:szCs w:val="24"/>
        </w:rPr>
        <w:t xml:space="preserve"> </w:t>
      </w:r>
      <w:r w:rsidR="00685732" w:rsidRPr="00CE1E04">
        <w:rPr>
          <w:rFonts w:ascii="Times New Roman" w:hAnsi="Times New Roman" w:cs="Times New Roman"/>
          <w:szCs w:val="24"/>
        </w:rPr>
        <w:t>a</w:t>
      </w:r>
      <w:r w:rsidR="004925E9" w:rsidRPr="00CE1E04">
        <w:rPr>
          <w:rFonts w:ascii="Times New Roman" w:hAnsi="Times New Roman" w:cs="Times New Roman"/>
          <w:szCs w:val="24"/>
        </w:rPr>
        <w:t xml:space="preserve"> possibility for organi</w:t>
      </w:r>
      <w:r w:rsidR="00CA01F6" w:rsidRPr="00CE1E04">
        <w:rPr>
          <w:rFonts w:ascii="Times New Roman" w:hAnsi="Times New Roman" w:cs="Times New Roman"/>
          <w:szCs w:val="24"/>
        </w:rPr>
        <w:t>s</w:t>
      </w:r>
      <w:r w:rsidR="004925E9" w:rsidRPr="00CE1E04">
        <w:rPr>
          <w:rFonts w:ascii="Times New Roman" w:hAnsi="Times New Roman" w:cs="Times New Roman"/>
          <w:szCs w:val="24"/>
        </w:rPr>
        <w:t xml:space="preserve">ations to have the flexibility to use hypocrisy as a solution to challenges faced </w:t>
      </w:r>
      <w:r w:rsidR="009D6901" w:rsidRPr="00CE1E04">
        <w:rPr>
          <w:rFonts w:ascii="Times New Roman" w:hAnsi="Times New Roman" w:cs="Times New Roman"/>
          <w:szCs w:val="24"/>
        </w:rPr>
        <w:t xml:space="preserve">and to cope with a number of different interests from different groups </w:t>
      </w:r>
      <w:r w:rsidR="004925E9" w:rsidRPr="00CE1E04">
        <w:rPr>
          <w:rFonts w:ascii="Times New Roman" w:hAnsi="Times New Roman" w:cs="Times New Roman"/>
          <w:szCs w:val="24"/>
        </w:rPr>
        <w:t>(</w:t>
      </w:r>
      <w:r w:rsidR="009D6901" w:rsidRPr="00CE1E04">
        <w:rPr>
          <w:rFonts w:ascii="Times New Roman" w:hAnsi="Times New Roman" w:cs="Times New Roman"/>
          <w:szCs w:val="24"/>
        </w:rPr>
        <w:t xml:space="preserve">cf. </w:t>
      </w:r>
      <w:r w:rsidR="004925E9" w:rsidRPr="00CE1E04">
        <w:rPr>
          <w:rFonts w:ascii="Times New Roman" w:hAnsi="Times New Roman" w:cs="Times New Roman"/>
          <w:szCs w:val="24"/>
        </w:rPr>
        <w:t xml:space="preserve">Brunsson, 2002).    </w:t>
      </w:r>
    </w:p>
    <w:p w14:paraId="0FAA33F3" w14:textId="671F344F" w:rsidR="00851C69" w:rsidRPr="00CE1E04" w:rsidRDefault="000E222A" w:rsidP="000E222A">
      <w:pPr>
        <w:autoSpaceDE w:val="0"/>
        <w:autoSpaceDN w:val="0"/>
        <w:adjustRightInd w:val="0"/>
        <w:jc w:val="both"/>
        <w:rPr>
          <w:rFonts w:ascii="Times New Roman" w:hAnsi="Times New Roman" w:cs="Times New Roman"/>
          <w:szCs w:val="24"/>
        </w:rPr>
      </w:pPr>
      <w:r w:rsidRPr="00CE1E04">
        <w:rPr>
          <w:rFonts w:ascii="Times New Roman" w:hAnsi="Times New Roman" w:cs="Times New Roman"/>
          <w:szCs w:val="24"/>
        </w:rPr>
        <w:t xml:space="preserve">  </w:t>
      </w:r>
      <w:r w:rsidR="002F7F91" w:rsidRPr="00CE1E04">
        <w:rPr>
          <w:rFonts w:ascii="Times New Roman" w:hAnsi="Times New Roman" w:cs="Times New Roman"/>
          <w:szCs w:val="24"/>
        </w:rPr>
        <w:t xml:space="preserve">Another consideration </w:t>
      </w:r>
      <w:r w:rsidR="004925E9" w:rsidRPr="00CE1E04">
        <w:rPr>
          <w:rFonts w:ascii="Times New Roman" w:hAnsi="Times New Roman" w:cs="Times New Roman"/>
          <w:szCs w:val="24"/>
        </w:rPr>
        <w:t xml:space="preserve">in </w:t>
      </w:r>
      <w:r w:rsidR="00685732" w:rsidRPr="00CE1E04">
        <w:rPr>
          <w:rFonts w:ascii="Times New Roman" w:hAnsi="Times New Roman" w:cs="Times New Roman"/>
          <w:szCs w:val="24"/>
        </w:rPr>
        <w:t xml:space="preserve">variations in approaches to </w:t>
      </w:r>
      <w:r w:rsidR="004925E9" w:rsidRPr="00CE1E04">
        <w:rPr>
          <w:rFonts w:ascii="Times New Roman" w:hAnsi="Times New Roman" w:cs="Times New Roman"/>
          <w:szCs w:val="24"/>
        </w:rPr>
        <w:t xml:space="preserve">port governance </w:t>
      </w:r>
      <w:r w:rsidR="002F7F91" w:rsidRPr="00CE1E04">
        <w:rPr>
          <w:rFonts w:ascii="Times New Roman" w:hAnsi="Times New Roman" w:cs="Times New Roman"/>
          <w:szCs w:val="24"/>
        </w:rPr>
        <w:t xml:space="preserve">is the importance of culture (cf. Hofstede, 1994) and how different approaches to governance may be influenced by culture at an industry, individual or geographical level. </w:t>
      </w:r>
      <w:r w:rsidR="002002BD" w:rsidRPr="00CE1E04">
        <w:rPr>
          <w:rFonts w:ascii="Times New Roman" w:hAnsi="Times New Roman" w:cs="Times New Roman"/>
          <w:szCs w:val="24"/>
        </w:rPr>
        <w:t>C</w:t>
      </w:r>
      <w:r w:rsidR="002F7F91" w:rsidRPr="00CE1E04">
        <w:rPr>
          <w:rFonts w:ascii="Times New Roman" w:hAnsi="Times New Roman" w:cs="Times New Roman"/>
          <w:szCs w:val="24"/>
        </w:rPr>
        <w:t xml:space="preserve">ulture has been found to play an important role in areas of port activities such as approaches to safety </w:t>
      </w:r>
      <w:r w:rsidR="00F63355" w:rsidRPr="00CE1E04">
        <w:rPr>
          <w:rFonts w:ascii="Times New Roman" w:hAnsi="Times New Roman" w:cs="Times New Roman"/>
          <w:szCs w:val="24"/>
        </w:rPr>
        <w:t>(Lu et al.</w:t>
      </w:r>
      <w:r w:rsidR="007C0335" w:rsidRPr="00CE1E04">
        <w:rPr>
          <w:rFonts w:ascii="Times New Roman" w:hAnsi="Times New Roman" w:cs="Times New Roman"/>
          <w:szCs w:val="24"/>
        </w:rPr>
        <w:t>,</w:t>
      </w:r>
      <w:r w:rsidR="00F63355" w:rsidRPr="00CE1E04">
        <w:rPr>
          <w:rFonts w:ascii="Times New Roman" w:hAnsi="Times New Roman" w:cs="Times New Roman"/>
          <w:szCs w:val="24"/>
        </w:rPr>
        <w:t xml:space="preserve"> 2012)</w:t>
      </w:r>
      <w:r w:rsidR="00685732" w:rsidRPr="00CE1E04">
        <w:rPr>
          <w:rFonts w:ascii="Times New Roman" w:hAnsi="Times New Roman" w:cs="Times New Roman"/>
          <w:szCs w:val="24"/>
        </w:rPr>
        <w:t>,</w:t>
      </w:r>
      <w:r w:rsidR="002F7F91" w:rsidRPr="00CE1E04">
        <w:rPr>
          <w:rFonts w:ascii="Times New Roman" w:hAnsi="Times New Roman" w:cs="Times New Roman"/>
          <w:szCs w:val="24"/>
        </w:rPr>
        <w:t xml:space="preserve"> and arguably influences approaches to governance as well</w:t>
      </w:r>
      <w:r w:rsidR="008865DD" w:rsidRPr="00CE1E04">
        <w:rPr>
          <w:rFonts w:ascii="Times New Roman" w:hAnsi="Times New Roman" w:cs="Times New Roman"/>
          <w:szCs w:val="24"/>
        </w:rPr>
        <w:t>.</w:t>
      </w:r>
      <w:r w:rsidR="008A22B3" w:rsidRPr="00CE1E04">
        <w:rPr>
          <w:rFonts w:ascii="Times New Roman" w:hAnsi="Times New Roman" w:cs="Times New Roman"/>
          <w:szCs w:val="24"/>
        </w:rPr>
        <w:t xml:space="preserve"> </w:t>
      </w:r>
      <w:r w:rsidR="00777465" w:rsidRPr="00CE1E04">
        <w:rPr>
          <w:rFonts w:ascii="Times New Roman" w:hAnsi="Times New Roman" w:cs="Times New Roman"/>
          <w:szCs w:val="24"/>
        </w:rPr>
        <w:t xml:space="preserve">For example, in a UK context, port privatization has been argued to have been uniquely driven by a desire to </w:t>
      </w:r>
      <w:r w:rsidR="00E24E04" w:rsidRPr="00CE1E04">
        <w:rPr>
          <w:rFonts w:ascii="Times New Roman" w:hAnsi="Times New Roman" w:cs="Times New Roman"/>
          <w:szCs w:val="24"/>
        </w:rPr>
        <w:t>offload public assets rather than increase competition (Baird and Valentine, 2006), wher</w:t>
      </w:r>
      <w:r w:rsidR="002F7F91" w:rsidRPr="00CE1E04">
        <w:rPr>
          <w:rFonts w:ascii="Times New Roman" w:hAnsi="Times New Roman" w:cs="Times New Roman"/>
          <w:szCs w:val="24"/>
        </w:rPr>
        <w:t>e</w:t>
      </w:r>
      <w:r w:rsidR="00E24E04" w:rsidRPr="00CE1E04">
        <w:rPr>
          <w:rFonts w:ascii="Times New Roman" w:hAnsi="Times New Roman" w:cs="Times New Roman"/>
          <w:szCs w:val="24"/>
        </w:rPr>
        <w:t xml:space="preserve">as in an Italian context privatization </w:t>
      </w:r>
      <w:r w:rsidR="00685732" w:rsidRPr="00CE1E04">
        <w:rPr>
          <w:rFonts w:ascii="Times New Roman" w:hAnsi="Times New Roman" w:cs="Times New Roman"/>
          <w:szCs w:val="24"/>
        </w:rPr>
        <w:t xml:space="preserve">has </w:t>
      </w:r>
      <w:r w:rsidR="00E24E04" w:rsidRPr="00CE1E04">
        <w:rPr>
          <w:rFonts w:ascii="Times New Roman" w:hAnsi="Times New Roman" w:cs="Times New Roman"/>
          <w:szCs w:val="24"/>
        </w:rPr>
        <w:t>aimed to optimize port management</w:t>
      </w:r>
      <w:r w:rsidR="002F7F91" w:rsidRPr="00CE1E04">
        <w:rPr>
          <w:rFonts w:ascii="Times New Roman" w:hAnsi="Times New Roman" w:cs="Times New Roman"/>
          <w:szCs w:val="24"/>
        </w:rPr>
        <w:t xml:space="preserve"> (Valleri et al</w:t>
      </w:r>
      <w:r w:rsidR="007C0335" w:rsidRPr="00CE1E04">
        <w:rPr>
          <w:rFonts w:ascii="Times New Roman" w:hAnsi="Times New Roman" w:cs="Times New Roman"/>
          <w:szCs w:val="24"/>
        </w:rPr>
        <w:t>.</w:t>
      </w:r>
      <w:r w:rsidR="002F7F91" w:rsidRPr="00CE1E04">
        <w:rPr>
          <w:rFonts w:ascii="Times New Roman" w:hAnsi="Times New Roman" w:cs="Times New Roman"/>
          <w:szCs w:val="24"/>
        </w:rPr>
        <w:t>, 2006). T</w:t>
      </w:r>
      <w:r w:rsidR="002002BD" w:rsidRPr="00CE1E04">
        <w:rPr>
          <w:rFonts w:ascii="Times New Roman" w:hAnsi="Times New Roman" w:cs="Times New Roman"/>
          <w:szCs w:val="24"/>
        </w:rPr>
        <w:t>hus, Taiwanese (and arguably any) approaches to port governance and to understanding the meanings and implications behind any of the terms involved could well be individual. Similarly as with approaches to systems therefore, a paradox exists: in this case, the paradox that certain terms may be used and said to be key, but understandings of them may be individual, culturally nuanced, and therefore somewhat elusive to grasp.</w:t>
      </w:r>
      <w:r w:rsidR="00E24E04" w:rsidRPr="00CE1E04">
        <w:rPr>
          <w:rFonts w:ascii="Times New Roman" w:hAnsi="Times New Roman" w:cs="Times New Roman"/>
          <w:szCs w:val="24"/>
        </w:rPr>
        <w:t xml:space="preserve"> </w:t>
      </w:r>
      <w:r w:rsidR="00143F46" w:rsidRPr="00CE1E04">
        <w:rPr>
          <w:rFonts w:ascii="Times New Roman" w:hAnsi="Times New Roman" w:cs="Times New Roman"/>
          <w:szCs w:val="24"/>
        </w:rPr>
        <w:t>Here again, it could be argued that hypocrisy (Brunsson, 2002) gives governments the flexibility to be able to say one thing and to do another. In other words</w:t>
      </w:r>
      <w:r w:rsidR="00685732" w:rsidRPr="00CE1E04">
        <w:rPr>
          <w:rFonts w:ascii="Times New Roman" w:hAnsi="Times New Roman" w:cs="Times New Roman"/>
          <w:szCs w:val="24"/>
        </w:rPr>
        <w:t>,</w:t>
      </w:r>
      <w:r w:rsidR="00143F46" w:rsidRPr="00CE1E04">
        <w:rPr>
          <w:rFonts w:ascii="Times New Roman" w:hAnsi="Times New Roman" w:cs="Times New Roman"/>
          <w:szCs w:val="24"/>
        </w:rPr>
        <w:t xml:space="preserve"> differing interpretations of key terms allow a country to pursue a policy different from that of the neutral dictionary definition (Bakhtin</w:t>
      </w:r>
      <w:r w:rsidR="00DA4E3C" w:rsidRPr="00CE1E04">
        <w:rPr>
          <w:rFonts w:ascii="Times New Roman" w:hAnsi="Times New Roman" w:cs="Times New Roman"/>
          <w:szCs w:val="24"/>
        </w:rPr>
        <w:t>,</w:t>
      </w:r>
      <w:r w:rsidR="00143F46" w:rsidRPr="00CE1E04">
        <w:rPr>
          <w:rFonts w:ascii="Times New Roman" w:hAnsi="Times New Roman" w:cs="Times New Roman"/>
          <w:szCs w:val="24"/>
        </w:rPr>
        <w:t xml:space="preserve"> 1986) of the term whereby it would use a term as a stated approach but </w:t>
      </w:r>
      <w:r w:rsidR="004F0AA4" w:rsidRPr="00CE1E04">
        <w:rPr>
          <w:rFonts w:ascii="Times New Roman" w:hAnsi="Times New Roman" w:cs="Times New Roman"/>
          <w:szCs w:val="24"/>
        </w:rPr>
        <w:t>pursue</w:t>
      </w:r>
      <w:r w:rsidR="00143F46" w:rsidRPr="00CE1E04">
        <w:rPr>
          <w:rFonts w:ascii="Times New Roman" w:hAnsi="Times New Roman" w:cs="Times New Roman"/>
          <w:szCs w:val="24"/>
        </w:rPr>
        <w:t xml:space="preserve"> this approach differently in its own </w:t>
      </w:r>
      <w:r w:rsidR="00685732" w:rsidRPr="00CE1E04">
        <w:rPr>
          <w:rFonts w:ascii="Times New Roman" w:hAnsi="Times New Roman" w:cs="Times New Roman"/>
          <w:szCs w:val="24"/>
        </w:rPr>
        <w:t xml:space="preserve">unique </w:t>
      </w:r>
      <w:r w:rsidR="00143F46" w:rsidRPr="00CE1E04">
        <w:rPr>
          <w:rFonts w:ascii="Times New Roman" w:hAnsi="Times New Roman" w:cs="Times New Roman"/>
          <w:szCs w:val="24"/>
        </w:rPr>
        <w:t>way</w:t>
      </w:r>
      <w:r w:rsidR="004F0AA4" w:rsidRPr="00CE1E04">
        <w:rPr>
          <w:rFonts w:ascii="Times New Roman" w:hAnsi="Times New Roman" w:cs="Times New Roman"/>
          <w:szCs w:val="24"/>
        </w:rPr>
        <w:t>. It is in the context of a consideration of the above factors that any attempt to chart the route of port governance should be seen.</w:t>
      </w:r>
    </w:p>
    <w:p w14:paraId="353A59EB" w14:textId="0DAECB65" w:rsidR="00234A1C" w:rsidRPr="00CE1E04" w:rsidRDefault="000E222A" w:rsidP="000E222A">
      <w:pPr>
        <w:autoSpaceDE w:val="0"/>
        <w:autoSpaceDN w:val="0"/>
        <w:adjustRightInd w:val="0"/>
        <w:jc w:val="both"/>
        <w:rPr>
          <w:rFonts w:ascii="Times New Roman" w:hAnsi="Times New Roman" w:cs="Times New Roman"/>
          <w:lang w:val="en"/>
        </w:rPr>
      </w:pPr>
      <w:r w:rsidRPr="00CE1E04">
        <w:rPr>
          <w:rFonts w:ascii="Times New Roman" w:hAnsi="Times New Roman" w:cs="Times New Roman"/>
        </w:rPr>
        <w:t xml:space="preserve">  </w:t>
      </w:r>
      <w:r w:rsidR="00D21543" w:rsidRPr="00CE1E04">
        <w:rPr>
          <w:rFonts w:ascii="Times New Roman" w:hAnsi="Times New Roman" w:cs="Times New Roman"/>
        </w:rPr>
        <w:t>Regarding</w:t>
      </w:r>
      <w:r w:rsidR="00C475B5" w:rsidRPr="00CE1E04">
        <w:rPr>
          <w:rFonts w:ascii="Times New Roman" w:hAnsi="Times New Roman" w:cs="Times New Roman"/>
        </w:rPr>
        <w:t xml:space="preserve"> this route, a</w:t>
      </w:r>
      <w:r w:rsidR="008865DD" w:rsidRPr="00CE1E04">
        <w:rPr>
          <w:rFonts w:ascii="Times New Roman" w:hAnsi="Times New Roman" w:cs="Times New Roman"/>
        </w:rPr>
        <w:t xml:space="preserve"> common</w:t>
      </w:r>
      <w:r w:rsidR="003B629E" w:rsidRPr="00CE1E04">
        <w:rPr>
          <w:rFonts w:ascii="Times New Roman" w:hAnsi="Times New Roman" w:cs="Times New Roman"/>
        </w:rPr>
        <w:t xml:space="preserve"> </w:t>
      </w:r>
      <w:r w:rsidR="003F6D0F" w:rsidRPr="00CE1E04">
        <w:rPr>
          <w:rFonts w:ascii="Times New Roman" w:hAnsi="Times New Roman" w:cs="Times New Roman"/>
        </w:rPr>
        <w:t>p</w:t>
      </w:r>
      <w:r w:rsidR="003B629E" w:rsidRPr="00CE1E04">
        <w:rPr>
          <w:rFonts w:ascii="Times New Roman" w:hAnsi="Times New Roman" w:cs="Times New Roman"/>
        </w:rPr>
        <w:t>o</w:t>
      </w:r>
      <w:r w:rsidR="003F6D0F" w:rsidRPr="00CE1E04">
        <w:rPr>
          <w:rFonts w:ascii="Times New Roman" w:hAnsi="Times New Roman" w:cs="Times New Roman"/>
        </w:rPr>
        <w:t>rt g</w:t>
      </w:r>
      <w:r w:rsidR="003B629E" w:rsidRPr="00CE1E04">
        <w:rPr>
          <w:rFonts w:ascii="Times New Roman" w:hAnsi="Times New Roman" w:cs="Times New Roman"/>
        </w:rPr>
        <w:t xml:space="preserve">overnance </w:t>
      </w:r>
      <w:r w:rsidR="00D21543" w:rsidRPr="00CE1E04">
        <w:rPr>
          <w:rFonts w:ascii="Times New Roman" w:hAnsi="Times New Roman" w:cs="Times New Roman"/>
        </w:rPr>
        <w:t xml:space="preserve">trend </w:t>
      </w:r>
      <w:r w:rsidR="003B629E" w:rsidRPr="00CE1E04">
        <w:rPr>
          <w:rFonts w:ascii="Times New Roman" w:hAnsi="Times New Roman" w:cs="Times New Roman"/>
        </w:rPr>
        <w:t xml:space="preserve">in the late twentieth and early twenty first centuries has been </w:t>
      </w:r>
      <w:r w:rsidR="00D21543" w:rsidRPr="00CE1E04">
        <w:rPr>
          <w:rFonts w:ascii="Times New Roman" w:hAnsi="Times New Roman" w:cs="Times New Roman"/>
        </w:rPr>
        <w:t>the</w:t>
      </w:r>
      <w:r w:rsidR="003B629E" w:rsidRPr="00CE1E04">
        <w:rPr>
          <w:rFonts w:ascii="Times New Roman" w:hAnsi="Times New Roman" w:cs="Times New Roman"/>
        </w:rPr>
        <w:t xml:space="preserve"> decentralizatio</w:t>
      </w:r>
      <w:r w:rsidR="009978E9" w:rsidRPr="00CE1E04">
        <w:rPr>
          <w:rFonts w:ascii="Times New Roman" w:hAnsi="Times New Roman" w:cs="Times New Roman"/>
        </w:rPr>
        <w:t xml:space="preserve">n of many ports to a landlord model, whereby the public port authority acts as </w:t>
      </w:r>
      <w:r w:rsidR="00ED620A" w:rsidRPr="00CE1E04">
        <w:rPr>
          <w:rFonts w:ascii="Times New Roman" w:hAnsi="Times New Roman" w:cs="Times New Roman"/>
        </w:rPr>
        <w:t>landlord</w:t>
      </w:r>
      <w:r w:rsidR="009978E9" w:rsidRPr="00CE1E04">
        <w:rPr>
          <w:rFonts w:ascii="Times New Roman" w:hAnsi="Times New Roman" w:cs="Times New Roman"/>
        </w:rPr>
        <w:t xml:space="preserve"> and regulatory body, </w:t>
      </w:r>
      <w:r w:rsidR="00ED620A" w:rsidRPr="00CE1E04">
        <w:rPr>
          <w:rFonts w:ascii="Times New Roman" w:hAnsi="Times New Roman" w:cs="Times New Roman"/>
        </w:rPr>
        <w:t>while private companies carry ou</w:t>
      </w:r>
      <w:r w:rsidR="00685732" w:rsidRPr="00CE1E04">
        <w:rPr>
          <w:rFonts w:ascii="Times New Roman" w:hAnsi="Times New Roman" w:cs="Times New Roman"/>
        </w:rPr>
        <w:t>t</w:t>
      </w:r>
      <w:r w:rsidR="00ED620A" w:rsidRPr="00CE1E04">
        <w:rPr>
          <w:rFonts w:ascii="Times New Roman" w:hAnsi="Times New Roman" w:cs="Times New Roman"/>
        </w:rPr>
        <w:t xml:space="preserve"> port operations (World Bank, 2007</w:t>
      </w:r>
      <w:r w:rsidR="009978E9" w:rsidRPr="00CE1E04">
        <w:rPr>
          <w:rFonts w:ascii="Times New Roman" w:hAnsi="Times New Roman" w:cs="Times New Roman"/>
        </w:rPr>
        <w:t>)</w:t>
      </w:r>
      <w:r w:rsidR="00ED620A" w:rsidRPr="00CE1E04">
        <w:rPr>
          <w:rFonts w:ascii="Times New Roman" w:hAnsi="Times New Roman" w:cs="Times New Roman"/>
        </w:rPr>
        <w:t>.</w:t>
      </w:r>
      <w:r w:rsidR="007118E8" w:rsidRPr="00CE1E04">
        <w:rPr>
          <w:rFonts w:ascii="Times New Roman" w:hAnsi="Times New Roman" w:cs="Times New Roman"/>
        </w:rPr>
        <w:t xml:space="preserve"> The landlord model was recommended by the European Union in 1997 (Carvalho and Marques, 2007) as the most effective model to gain private sector participation.</w:t>
      </w:r>
      <w:r w:rsidR="002002BD" w:rsidRPr="00CE1E04">
        <w:rPr>
          <w:rFonts w:ascii="Times New Roman" w:hAnsi="Times New Roman" w:cs="Times New Roman"/>
        </w:rPr>
        <w:t xml:space="preserve"> </w:t>
      </w:r>
      <w:r w:rsidR="00C06D04" w:rsidRPr="00CE1E04">
        <w:rPr>
          <w:rFonts w:ascii="Times New Roman" w:hAnsi="Times New Roman" w:cs="Times New Roman"/>
        </w:rPr>
        <w:t>It</w:t>
      </w:r>
      <w:r w:rsidR="002002BD" w:rsidRPr="00CE1E04">
        <w:rPr>
          <w:rFonts w:ascii="Times New Roman" w:hAnsi="Times New Roman" w:cs="Times New Roman"/>
        </w:rPr>
        <w:t xml:space="preserve"> occupies the centre</w:t>
      </w:r>
      <w:r w:rsidR="008865DD" w:rsidRPr="00CE1E04">
        <w:rPr>
          <w:rFonts w:ascii="Times New Roman" w:hAnsi="Times New Roman" w:cs="Times New Roman"/>
        </w:rPr>
        <w:t xml:space="preserve"> ground between the non-market oriented public port and the non-community and non-development focused private model (Ferrari et al., 2015). The landlord model </w:t>
      </w:r>
      <w:r w:rsidR="00C06D04" w:rsidRPr="00CE1E04">
        <w:rPr>
          <w:rFonts w:ascii="Times New Roman" w:hAnsi="Times New Roman" w:cs="Times New Roman"/>
        </w:rPr>
        <w:t>has</w:t>
      </w:r>
      <w:r w:rsidR="008865DD" w:rsidRPr="00CE1E04">
        <w:rPr>
          <w:rFonts w:ascii="Times New Roman" w:hAnsi="Times New Roman" w:cs="Times New Roman"/>
        </w:rPr>
        <w:t xml:space="preserve"> a number of variants according to geographical context. For example, in Europe, where the landlord model is widespread, a Latin model (common in for example, Spain and Italy) whereby a more centralized governmental framework is employed, exists alongside a Hanseatic model (common in, for example, Belgium and Sweden) where port authorities </w:t>
      </w:r>
      <w:r w:rsidR="00C06D04" w:rsidRPr="00CE1E04">
        <w:rPr>
          <w:rFonts w:ascii="Times New Roman" w:hAnsi="Times New Roman" w:cs="Times New Roman"/>
        </w:rPr>
        <w:t>have greater</w:t>
      </w:r>
      <w:r w:rsidR="008865DD" w:rsidRPr="00CE1E04">
        <w:rPr>
          <w:rFonts w:ascii="Times New Roman" w:hAnsi="Times New Roman" w:cs="Times New Roman"/>
        </w:rPr>
        <w:t xml:space="preserve"> independen</w:t>
      </w:r>
      <w:r w:rsidR="00C06D04" w:rsidRPr="00CE1E04">
        <w:rPr>
          <w:rFonts w:ascii="Times New Roman" w:hAnsi="Times New Roman" w:cs="Times New Roman"/>
        </w:rPr>
        <w:t>ce</w:t>
      </w:r>
      <w:r w:rsidR="008865DD" w:rsidRPr="00CE1E04">
        <w:rPr>
          <w:rFonts w:ascii="Times New Roman" w:hAnsi="Times New Roman" w:cs="Times New Roman"/>
        </w:rPr>
        <w:t xml:space="preserve"> from centralized government (Ferrari et al., 2015). Key to any </w:t>
      </w:r>
      <w:r w:rsidR="00C06D04" w:rsidRPr="00CE1E04">
        <w:rPr>
          <w:rFonts w:ascii="Times New Roman" w:hAnsi="Times New Roman" w:cs="Times New Roman"/>
        </w:rPr>
        <w:t xml:space="preserve">landlord </w:t>
      </w:r>
      <w:r w:rsidR="008865DD" w:rsidRPr="00CE1E04">
        <w:rPr>
          <w:rFonts w:ascii="Times New Roman" w:hAnsi="Times New Roman" w:cs="Times New Roman"/>
        </w:rPr>
        <w:t xml:space="preserve">model </w:t>
      </w:r>
      <w:r w:rsidR="00C06D04" w:rsidRPr="00CE1E04">
        <w:rPr>
          <w:rFonts w:ascii="Times New Roman" w:hAnsi="Times New Roman" w:cs="Times New Roman"/>
        </w:rPr>
        <w:t>are</w:t>
      </w:r>
      <w:r w:rsidR="008865DD" w:rsidRPr="00CE1E04">
        <w:rPr>
          <w:rFonts w:ascii="Times New Roman" w:hAnsi="Times New Roman" w:cs="Times New Roman"/>
        </w:rPr>
        <w:t xml:space="preserve"> concession agreement</w:t>
      </w:r>
      <w:r w:rsidR="00C06D04" w:rsidRPr="00CE1E04">
        <w:rPr>
          <w:rFonts w:ascii="Times New Roman" w:hAnsi="Times New Roman" w:cs="Times New Roman"/>
        </w:rPr>
        <w:t>s</w:t>
      </w:r>
      <w:r w:rsidR="008865DD" w:rsidRPr="00CE1E04">
        <w:rPr>
          <w:rFonts w:ascii="Times New Roman" w:hAnsi="Times New Roman" w:cs="Times New Roman"/>
        </w:rPr>
        <w:t xml:space="preserve"> (Ferrari et al.</w:t>
      </w:r>
      <w:r w:rsidR="00067F70" w:rsidRPr="00CE1E04">
        <w:rPr>
          <w:rFonts w:ascii="Times New Roman" w:hAnsi="Times New Roman" w:cs="Times New Roman"/>
        </w:rPr>
        <w:t>,</w:t>
      </w:r>
      <w:r w:rsidR="008865DD" w:rsidRPr="00CE1E04">
        <w:rPr>
          <w:rFonts w:ascii="Times New Roman" w:hAnsi="Times New Roman" w:cs="Times New Roman"/>
        </w:rPr>
        <w:t xml:space="preserve"> 2015)</w:t>
      </w:r>
      <w:r w:rsidR="002002BD" w:rsidRPr="00CE1E04">
        <w:rPr>
          <w:rFonts w:ascii="Times New Roman" w:hAnsi="Times New Roman" w:cs="Times New Roman"/>
        </w:rPr>
        <w:t>, or</w:t>
      </w:r>
      <w:r w:rsidR="00F139BE" w:rsidRPr="00CE1E04">
        <w:rPr>
          <w:rFonts w:ascii="Times New Roman" w:hAnsi="Times New Roman" w:cs="Times New Roman"/>
        </w:rPr>
        <w:t xml:space="preserve"> “</w:t>
      </w:r>
      <w:r w:rsidR="00F139BE" w:rsidRPr="00CE1E04">
        <w:rPr>
          <w:rFonts w:ascii="Times New Roman" w:hAnsi="Times New Roman" w:cs="Times New Roman"/>
          <w:lang w:val="en"/>
        </w:rPr>
        <w:t>a contract in which a government transfers operating rights to private enterprise, which then engages in an activity conditional on government approval and subject t</w:t>
      </w:r>
      <w:r w:rsidR="002002BD" w:rsidRPr="00CE1E04">
        <w:rPr>
          <w:rFonts w:ascii="Times New Roman" w:hAnsi="Times New Roman" w:cs="Times New Roman"/>
          <w:lang w:val="en"/>
        </w:rPr>
        <w:t>o the terms of the contract</w:t>
      </w:r>
      <w:r w:rsidR="00F139BE" w:rsidRPr="00CE1E04">
        <w:rPr>
          <w:rFonts w:ascii="Times New Roman" w:hAnsi="Times New Roman" w:cs="Times New Roman"/>
          <w:lang w:val="en"/>
        </w:rPr>
        <w:t xml:space="preserve">” (Botham, 2014). </w:t>
      </w:r>
      <w:r w:rsidR="00C06D04" w:rsidRPr="00CE1E04">
        <w:rPr>
          <w:rFonts w:ascii="Times New Roman" w:hAnsi="Times New Roman" w:cs="Times New Roman"/>
          <w:lang w:val="en"/>
        </w:rPr>
        <w:t>Concession</w:t>
      </w:r>
      <w:r w:rsidR="00F139BE" w:rsidRPr="00CE1E04">
        <w:rPr>
          <w:rFonts w:ascii="Times New Roman" w:hAnsi="Times New Roman" w:cs="Times New Roman"/>
          <w:lang w:val="en"/>
        </w:rPr>
        <w:t xml:space="preserve"> agreements allow governments to devolve responsibility yet at the same time retain control and safeguard public interests</w:t>
      </w:r>
      <w:r w:rsidR="002002BD" w:rsidRPr="00CE1E04">
        <w:rPr>
          <w:rFonts w:ascii="Times New Roman" w:hAnsi="Times New Roman" w:cs="Times New Roman"/>
          <w:lang w:val="en"/>
        </w:rPr>
        <w:t>, and may involve the concessionaire being asked to contribute to the building or maintenance of infrastructure (ibid). Concession agreements</w:t>
      </w:r>
      <w:r w:rsidR="006C32F7" w:rsidRPr="00CE1E04">
        <w:rPr>
          <w:rFonts w:ascii="Times New Roman" w:hAnsi="Times New Roman" w:cs="Times New Roman"/>
          <w:lang w:val="en"/>
        </w:rPr>
        <w:t xml:space="preserve"> can be awarded by several methods ranging from direct </w:t>
      </w:r>
      <w:r w:rsidR="00C475B5" w:rsidRPr="00CE1E04">
        <w:rPr>
          <w:rFonts w:ascii="Times New Roman" w:hAnsi="Times New Roman" w:cs="Times New Roman"/>
          <w:lang w:val="en"/>
        </w:rPr>
        <w:t>appointment</w:t>
      </w:r>
      <w:r w:rsidR="00685732" w:rsidRPr="00CE1E04">
        <w:rPr>
          <w:rFonts w:ascii="Times New Roman" w:hAnsi="Times New Roman" w:cs="Times New Roman"/>
          <w:lang w:val="en"/>
        </w:rPr>
        <w:t>,</w:t>
      </w:r>
      <w:r w:rsidR="006C32F7" w:rsidRPr="00CE1E04">
        <w:rPr>
          <w:rFonts w:ascii="Times New Roman" w:hAnsi="Times New Roman" w:cs="Times New Roman"/>
          <w:lang w:val="en"/>
        </w:rPr>
        <w:t xml:space="preserve"> to tendering in a competitive process (Notteboom, 2006b)</w:t>
      </w:r>
      <w:r w:rsidR="00C475B5" w:rsidRPr="00CE1E04">
        <w:rPr>
          <w:rFonts w:ascii="Times New Roman" w:hAnsi="Times New Roman" w:cs="Times New Roman"/>
          <w:lang w:val="en"/>
        </w:rPr>
        <w:t>.</w:t>
      </w:r>
    </w:p>
    <w:p w14:paraId="0E30EFEC" w14:textId="7F2C3398" w:rsidR="00234A1C"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lang w:val="en"/>
        </w:rPr>
        <w:t xml:space="preserve">  </w:t>
      </w:r>
      <w:r w:rsidR="00C475B5" w:rsidRPr="00CE1E04">
        <w:rPr>
          <w:rFonts w:ascii="Times New Roman" w:hAnsi="Times New Roman" w:cs="Times New Roman"/>
          <w:lang w:val="en"/>
        </w:rPr>
        <w:t xml:space="preserve">An overview of port governance in many areas of the world shows this general trend and direction toward greater devolution. </w:t>
      </w:r>
      <w:r w:rsidR="001B39BD" w:rsidRPr="00CE1E04">
        <w:rPr>
          <w:rFonts w:ascii="Times New Roman" w:hAnsi="Times New Roman" w:cs="Times New Roman"/>
        </w:rPr>
        <w:t xml:space="preserve">For example, </w:t>
      </w:r>
      <w:r w:rsidR="00685732" w:rsidRPr="00CE1E04">
        <w:rPr>
          <w:rFonts w:ascii="Times New Roman" w:hAnsi="Times New Roman" w:cs="Times New Roman"/>
        </w:rPr>
        <w:t>i</w:t>
      </w:r>
      <w:r w:rsidR="003B629E" w:rsidRPr="00CE1E04">
        <w:rPr>
          <w:rFonts w:ascii="Times New Roman" w:hAnsi="Times New Roman" w:cs="Times New Roman"/>
        </w:rPr>
        <w:t>n China, the process of port governance has shifted fro</w:t>
      </w:r>
      <w:r w:rsidR="00C06D04" w:rsidRPr="00CE1E04">
        <w:rPr>
          <w:rFonts w:ascii="Times New Roman" w:hAnsi="Times New Roman" w:cs="Times New Roman"/>
        </w:rPr>
        <w:t>m</w:t>
      </w:r>
      <w:r w:rsidR="003B629E" w:rsidRPr="00CE1E04">
        <w:rPr>
          <w:rFonts w:ascii="Times New Roman" w:hAnsi="Times New Roman" w:cs="Times New Roman"/>
        </w:rPr>
        <w:t xml:space="preserve"> highly centralized ownership and decision-making, to one whereby “policies of corporatization and privatization” (Cullinane and Wang, 2006</w:t>
      </w:r>
      <w:r w:rsidR="004D42BE" w:rsidRPr="00CE1E04">
        <w:rPr>
          <w:rFonts w:ascii="Times New Roman" w:hAnsi="Times New Roman" w:cs="Times New Roman"/>
        </w:rPr>
        <w:t>a</w:t>
      </w:r>
      <w:r w:rsidR="003B629E" w:rsidRPr="00CE1E04">
        <w:rPr>
          <w:rFonts w:ascii="Times New Roman" w:hAnsi="Times New Roman" w:cs="Times New Roman"/>
        </w:rPr>
        <w:t>, p. 331) have</w:t>
      </w:r>
      <w:r w:rsidR="00557876" w:rsidRPr="00CE1E04">
        <w:rPr>
          <w:rFonts w:ascii="Times New Roman" w:hAnsi="Times New Roman" w:cs="Times New Roman"/>
        </w:rPr>
        <w:t xml:space="preserve"> create</w:t>
      </w:r>
      <w:r w:rsidR="00C06D04" w:rsidRPr="00CE1E04">
        <w:rPr>
          <w:rFonts w:ascii="Times New Roman" w:hAnsi="Times New Roman" w:cs="Times New Roman"/>
        </w:rPr>
        <w:t>d</w:t>
      </w:r>
      <w:r w:rsidR="00557876" w:rsidRPr="00CE1E04">
        <w:rPr>
          <w:rFonts w:ascii="Times New Roman" w:hAnsi="Times New Roman" w:cs="Times New Roman"/>
        </w:rPr>
        <w:t xml:space="preserve"> a much more market-oriented governance structure</w:t>
      </w:r>
      <w:r w:rsidR="00C85ACC" w:rsidRPr="00CE1E04">
        <w:rPr>
          <w:rFonts w:ascii="Times New Roman" w:hAnsi="Times New Roman" w:cs="Times New Roman"/>
        </w:rPr>
        <w:t xml:space="preserve"> encouraging foreign investment and diversification of ownership of port assets</w:t>
      </w:r>
      <w:r w:rsidR="003B629E" w:rsidRPr="00CE1E04">
        <w:rPr>
          <w:rFonts w:ascii="Times New Roman" w:hAnsi="Times New Roman" w:cs="Times New Roman"/>
        </w:rPr>
        <w:t>.</w:t>
      </w:r>
      <w:r w:rsidR="00557876" w:rsidRPr="00CE1E04">
        <w:rPr>
          <w:rFonts w:ascii="Times New Roman" w:hAnsi="Times New Roman" w:cs="Times New Roman"/>
        </w:rPr>
        <w:t xml:space="preserve"> Such decentralization has been accompanied by a reduction in the number of governmental agencies, from 61 in 1982 to only 29 by 1998 (ibid). </w:t>
      </w:r>
      <w:r w:rsidR="004E0E59" w:rsidRPr="00CE1E04">
        <w:rPr>
          <w:rFonts w:ascii="Times New Roman" w:hAnsi="Times New Roman" w:cs="Times New Roman"/>
        </w:rPr>
        <w:t xml:space="preserve">Italy also introduced the landlord model in 1994 (Ferrari and Musso, 2011) and Iberian ports also follow a landlord model (Gonzalez and Trujillo, 2008). Such decentralization has also characterized reforms in Greece, via the early twentieth century corporatization of 10 ports and also the public listing of Piraeus and Thessaloniki, albeit with the State retaining a 75% stake (Pallis, 2006). As with China, the aim here is to increase flexibility and to overcome “longterm inefficiencies” (ibid, p.166). </w:t>
      </w:r>
      <w:r w:rsidR="004F0AA4" w:rsidRPr="00CE1E04">
        <w:rPr>
          <w:rFonts w:ascii="Times New Roman" w:hAnsi="Times New Roman" w:cs="Times New Roman"/>
        </w:rPr>
        <w:t>Significantly, what can be seen here is the use of hypocrisy (Brunsson, 2002) in the approaches to port governance. For example, for Greece to state its move to a private model yet retain a 75% stake as government, public owned. Such an approach uses hypocrisy in the sense that the government can say one thing but do another</w:t>
      </w:r>
      <w:r w:rsidR="00685732" w:rsidRPr="00CE1E04">
        <w:rPr>
          <w:rFonts w:ascii="Times New Roman" w:hAnsi="Times New Roman" w:cs="Times New Roman"/>
        </w:rPr>
        <w:t>;</w:t>
      </w:r>
      <w:r w:rsidR="004F0AA4" w:rsidRPr="00CE1E04">
        <w:rPr>
          <w:rFonts w:ascii="Times New Roman" w:hAnsi="Times New Roman" w:cs="Times New Roman"/>
        </w:rPr>
        <w:t xml:space="preserve"> in this way it can satisfy a number of competing demands and stakeholders yet still move ahead with its approach.</w:t>
      </w:r>
    </w:p>
    <w:p w14:paraId="729BE54E" w14:textId="63CE1C67" w:rsidR="004F0AA4"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rPr>
        <w:t xml:space="preserve">  </w:t>
      </w:r>
      <w:r w:rsidR="004F0AA4" w:rsidRPr="00CE1E04">
        <w:rPr>
          <w:rFonts w:ascii="Times New Roman" w:hAnsi="Times New Roman" w:cs="Times New Roman"/>
        </w:rPr>
        <w:t>Within</w:t>
      </w:r>
      <w:r w:rsidR="004E0E59" w:rsidRPr="00CE1E04">
        <w:rPr>
          <w:rFonts w:ascii="Times New Roman" w:hAnsi="Times New Roman" w:cs="Times New Roman"/>
        </w:rPr>
        <w:t xml:space="preserve"> general trend</w:t>
      </w:r>
      <w:r w:rsidR="00C06D04" w:rsidRPr="00CE1E04">
        <w:rPr>
          <w:rFonts w:ascii="Times New Roman" w:hAnsi="Times New Roman" w:cs="Times New Roman"/>
        </w:rPr>
        <w:t>s</w:t>
      </w:r>
      <w:r w:rsidR="004F0AA4" w:rsidRPr="00CE1E04">
        <w:rPr>
          <w:rFonts w:ascii="Times New Roman" w:hAnsi="Times New Roman" w:cs="Times New Roman"/>
        </w:rPr>
        <w:t xml:space="preserve"> of devolution</w:t>
      </w:r>
      <w:r w:rsidR="004E0E59" w:rsidRPr="00CE1E04">
        <w:rPr>
          <w:rFonts w:ascii="Times New Roman" w:hAnsi="Times New Roman" w:cs="Times New Roman"/>
        </w:rPr>
        <w:t xml:space="preserve">, many different </w:t>
      </w:r>
      <w:r w:rsidR="00C06D04" w:rsidRPr="00CE1E04">
        <w:rPr>
          <w:rFonts w:ascii="Times New Roman" w:hAnsi="Times New Roman" w:cs="Times New Roman"/>
        </w:rPr>
        <w:t xml:space="preserve">port governance </w:t>
      </w:r>
      <w:r w:rsidR="004E0E59" w:rsidRPr="00CE1E04">
        <w:rPr>
          <w:rFonts w:ascii="Times New Roman" w:hAnsi="Times New Roman" w:cs="Times New Roman"/>
        </w:rPr>
        <w:t>types exist. In Europe, for example, approaches to stimulating and developing port competitiveness can be fairly passive, mildly active, or highly active; what Verhoeven</w:t>
      </w:r>
      <w:r w:rsidR="003F6D0F" w:rsidRPr="00CE1E04">
        <w:rPr>
          <w:rFonts w:ascii="Times New Roman" w:hAnsi="Times New Roman" w:cs="Times New Roman"/>
        </w:rPr>
        <w:t xml:space="preserve"> and</w:t>
      </w:r>
      <w:r w:rsidR="004E0E59" w:rsidRPr="00CE1E04">
        <w:rPr>
          <w:rFonts w:ascii="Times New Roman" w:hAnsi="Times New Roman" w:cs="Times New Roman"/>
        </w:rPr>
        <w:t xml:space="preserve"> Vanoutrive (2012) respectively call conservator, facilitator, or entrepreneur. Different approaches can relate to geographical location but also to port size. Despite these different approaches, the general trend still exists towards greater devolution, privatization or commercialization, within each country’s context and understanding of the terms. Underpinning all such trends and approaches is the desire to govern ports in a way that makes them more profitable and efficient, and, increasing</w:t>
      </w:r>
      <w:r w:rsidR="004F0AA4" w:rsidRPr="00CE1E04">
        <w:rPr>
          <w:rFonts w:ascii="Times New Roman" w:hAnsi="Times New Roman" w:cs="Times New Roman"/>
        </w:rPr>
        <w:t>ly</w:t>
      </w:r>
      <w:r w:rsidR="004E0E59" w:rsidRPr="00CE1E04">
        <w:rPr>
          <w:rFonts w:ascii="Times New Roman" w:hAnsi="Times New Roman" w:cs="Times New Roman"/>
        </w:rPr>
        <w:t xml:space="preserve">, a way that makes them more sustainable and green. </w:t>
      </w:r>
      <w:r w:rsidR="004F0AA4" w:rsidRPr="00CE1E04">
        <w:rPr>
          <w:rFonts w:ascii="Times New Roman" w:hAnsi="Times New Roman" w:cs="Times New Roman"/>
        </w:rPr>
        <w:t xml:space="preserve">Arguably, such approaches have been able to proceed in many cases by governments </w:t>
      </w:r>
      <w:r w:rsidR="006A7290" w:rsidRPr="00CE1E04">
        <w:rPr>
          <w:rFonts w:ascii="Times New Roman" w:hAnsi="Times New Roman" w:cs="Times New Roman"/>
        </w:rPr>
        <w:t>through the use of</w:t>
      </w:r>
      <w:r w:rsidR="004F0AA4" w:rsidRPr="00CE1E04">
        <w:rPr>
          <w:rFonts w:ascii="Times New Roman" w:hAnsi="Times New Roman" w:cs="Times New Roman"/>
        </w:rPr>
        <w:t xml:space="preserve"> hypocrisy in order to satisfy a number of </w:t>
      </w:r>
      <w:r w:rsidR="00C06D04" w:rsidRPr="00CE1E04">
        <w:rPr>
          <w:rFonts w:ascii="Times New Roman" w:hAnsi="Times New Roman" w:cs="Times New Roman"/>
        </w:rPr>
        <w:t xml:space="preserve">different </w:t>
      </w:r>
      <w:r w:rsidR="004F0AA4" w:rsidRPr="00CE1E04">
        <w:rPr>
          <w:rFonts w:ascii="Times New Roman" w:hAnsi="Times New Roman" w:cs="Times New Roman"/>
        </w:rPr>
        <w:t xml:space="preserve">stakeholders </w:t>
      </w:r>
      <w:r w:rsidR="00C06D04" w:rsidRPr="00CE1E04">
        <w:rPr>
          <w:rFonts w:ascii="Times New Roman" w:hAnsi="Times New Roman" w:cs="Times New Roman"/>
        </w:rPr>
        <w:t>yet simultaneously</w:t>
      </w:r>
      <w:r w:rsidR="004F0AA4" w:rsidRPr="00CE1E04">
        <w:rPr>
          <w:rFonts w:ascii="Times New Roman" w:hAnsi="Times New Roman" w:cs="Times New Roman"/>
        </w:rPr>
        <w:t xml:space="preserve"> introduce reform.</w:t>
      </w:r>
    </w:p>
    <w:p w14:paraId="171A39A4" w14:textId="22527A78" w:rsidR="00160A9F" w:rsidRPr="00CE1E04" w:rsidRDefault="004E0E59" w:rsidP="00A95310">
      <w:pPr>
        <w:autoSpaceDE w:val="0"/>
        <w:autoSpaceDN w:val="0"/>
        <w:adjustRightInd w:val="0"/>
        <w:ind w:firstLineChars="100" w:firstLine="240"/>
        <w:jc w:val="both"/>
        <w:rPr>
          <w:rFonts w:ascii="Times New Roman" w:hAnsi="Times New Roman" w:cs="Times New Roman"/>
        </w:rPr>
      </w:pPr>
      <w:r w:rsidRPr="00CE1E04">
        <w:rPr>
          <w:rFonts w:ascii="Times New Roman" w:hAnsi="Times New Roman" w:cs="Times New Roman"/>
        </w:rPr>
        <w:t xml:space="preserve">However, such changes in governance </w:t>
      </w:r>
      <w:r w:rsidR="00C06D04" w:rsidRPr="00CE1E04">
        <w:rPr>
          <w:rFonts w:ascii="Times New Roman" w:hAnsi="Times New Roman" w:cs="Times New Roman"/>
        </w:rPr>
        <w:t>do not always result in</w:t>
      </w:r>
      <w:r w:rsidRPr="00CE1E04">
        <w:rPr>
          <w:rFonts w:ascii="Times New Roman" w:hAnsi="Times New Roman" w:cs="Times New Roman"/>
        </w:rPr>
        <w:t xml:space="preserve"> improvements in profitability or efficiency.</w:t>
      </w:r>
      <w:r w:rsidR="004F0AA4" w:rsidRPr="00CE1E04">
        <w:rPr>
          <w:rFonts w:ascii="Times New Roman" w:hAnsi="Times New Roman" w:cs="Times New Roman"/>
        </w:rPr>
        <w:t xml:space="preserve"> </w:t>
      </w:r>
      <w:r w:rsidRPr="00CE1E04">
        <w:rPr>
          <w:rFonts w:ascii="Times New Roman" w:hAnsi="Times New Roman" w:cs="Times New Roman"/>
          <w:lang w:val="en"/>
        </w:rPr>
        <w:t>For example, with regard to devolution in China</w:t>
      </w:r>
      <w:r w:rsidR="00C85ACC" w:rsidRPr="00CE1E04">
        <w:rPr>
          <w:rFonts w:ascii="Times New Roman" w:hAnsi="Times New Roman" w:cs="Times New Roman"/>
        </w:rPr>
        <w:t>, although t</w:t>
      </w:r>
      <w:r w:rsidR="00557876" w:rsidRPr="00CE1E04">
        <w:rPr>
          <w:rFonts w:ascii="Times New Roman" w:hAnsi="Times New Roman" w:cs="Times New Roman"/>
        </w:rPr>
        <w:t>he efficiency of former State-Owned Enterprises (SOEs</w:t>
      </w:r>
      <w:r w:rsidR="00C85ACC" w:rsidRPr="00CE1E04">
        <w:rPr>
          <w:rFonts w:ascii="Times New Roman" w:hAnsi="Times New Roman" w:cs="Times New Roman"/>
        </w:rPr>
        <w:t>) was enhanced</w:t>
      </w:r>
      <w:r w:rsidRPr="00CE1E04">
        <w:rPr>
          <w:rFonts w:ascii="Times New Roman" w:hAnsi="Times New Roman" w:cs="Times New Roman"/>
        </w:rPr>
        <w:t xml:space="preserve"> with devolution</w:t>
      </w:r>
      <w:r w:rsidR="00C85ACC" w:rsidRPr="00CE1E04">
        <w:rPr>
          <w:rFonts w:ascii="Times New Roman" w:hAnsi="Times New Roman" w:cs="Times New Roman"/>
        </w:rPr>
        <w:t>,</w:t>
      </w:r>
      <w:r w:rsidR="00557876" w:rsidRPr="00CE1E04">
        <w:rPr>
          <w:rFonts w:ascii="Times New Roman" w:hAnsi="Times New Roman" w:cs="Times New Roman"/>
        </w:rPr>
        <w:t xml:space="preserve"> profitability declined and government subsidies increased (Lin, 2004, cited in Cullinane and Wang, 2006</w:t>
      </w:r>
      <w:r w:rsidR="004D42BE" w:rsidRPr="00CE1E04">
        <w:rPr>
          <w:rFonts w:ascii="Times New Roman" w:hAnsi="Times New Roman" w:cs="Times New Roman"/>
        </w:rPr>
        <w:t>a</w:t>
      </w:r>
      <w:r w:rsidR="00557876" w:rsidRPr="00CE1E04">
        <w:rPr>
          <w:rFonts w:ascii="Times New Roman" w:hAnsi="Times New Roman" w:cs="Times New Roman"/>
        </w:rPr>
        <w:t>, p.341)</w:t>
      </w:r>
      <w:r w:rsidR="00160A9F" w:rsidRPr="00CE1E04">
        <w:rPr>
          <w:rFonts w:ascii="Times New Roman" w:hAnsi="Times New Roman" w:cs="Times New Roman"/>
        </w:rPr>
        <w:t>. Similarly, in the Iberian Peninsula (</w:t>
      </w:r>
      <w:r w:rsidR="00160A9F" w:rsidRPr="00CE1E04">
        <w:rPr>
          <w:rFonts w:ascii="Times New Roman" w:hAnsi="Times New Roman" w:cs="Times New Roman"/>
          <w:szCs w:val="24"/>
        </w:rPr>
        <w:t>Castillo-Manzano and Asencio-Flores, 2012)</w:t>
      </w:r>
      <w:r w:rsidR="00160A9F" w:rsidRPr="00CE1E04">
        <w:rPr>
          <w:rFonts w:ascii="Times New Roman" w:hAnsi="Times New Roman" w:cs="Times New Roman"/>
        </w:rPr>
        <w:t xml:space="preserve"> ports </w:t>
      </w:r>
      <w:r w:rsidR="00C250EA" w:rsidRPr="00CE1E04">
        <w:rPr>
          <w:rFonts w:ascii="Times New Roman" w:hAnsi="Times New Roman" w:cs="Times New Roman"/>
        </w:rPr>
        <w:t xml:space="preserve">show an ability </w:t>
      </w:r>
      <w:r w:rsidR="00160A9F" w:rsidRPr="00CE1E04">
        <w:rPr>
          <w:rFonts w:ascii="Times New Roman" w:hAnsi="Times New Roman" w:cs="Times New Roman"/>
        </w:rPr>
        <w:t>to “eat up public funds” (Castillo-Manzano and Asencio-Flores, 2012, p.519). Nevertheless, should ports fail to be comparable price wise with others in the region</w:t>
      </w:r>
      <w:r w:rsidR="00072D12" w:rsidRPr="00CE1E04">
        <w:rPr>
          <w:rFonts w:ascii="Times New Roman" w:hAnsi="Times New Roman" w:cs="Times New Roman"/>
        </w:rPr>
        <w:t>,</w:t>
      </w:r>
      <w:r w:rsidR="00160A9F" w:rsidRPr="00CE1E04">
        <w:rPr>
          <w:rFonts w:ascii="Times New Roman" w:hAnsi="Times New Roman" w:cs="Times New Roman"/>
        </w:rPr>
        <w:t xml:space="preserve"> the danger exists that they may lose out to competitors, as has been predicted in the case of Singapore (Cullinane et al.</w:t>
      </w:r>
      <w:r w:rsidR="00067F70" w:rsidRPr="00CE1E04">
        <w:rPr>
          <w:rFonts w:ascii="Times New Roman" w:hAnsi="Times New Roman" w:cs="Times New Roman"/>
        </w:rPr>
        <w:t>,</w:t>
      </w:r>
      <w:r w:rsidR="00160A9F" w:rsidRPr="00CE1E04">
        <w:rPr>
          <w:rFonts w:ascii="Times New Roman" w:hAnsi="Times New Roman" w:cs="Times New Roman"/>
        </w:rPr>
        <w:t xml:space="preserve"> 2006). Such costs can be initial as well as ongoing. For example, often the success of such privatization is due to the fact that ports have been sold at hugely undervalued prices, often with a significant loss to the taxpayer, and any gains in efficiency being due only to </w:t>
      </w:r>
      <w:r w:rsidR="00072D12" w:rsidRPr="00CE1E04">
        <w:rPr>
          <w:rFonts w:ascii="Times New Roman" w:hAnsi="Times New Roman" w:cs="Times New Roman"/>
        </w:rPr>
        <w:t xml:space="preserve">a </w:t>
      </w:r>
      <w:r w:rsidR="00160A9F" w:rsidRPr="00CE1E04">
        <w:rPr>
          <w:rFonts w:ascii="Times New Roman" w:hAnsi="Times New Roman" w:cs="Times New Roman"/>
        </w:rPr>
        <w:t xml:space="preserve">deregulation of employment (e.g. in Britain (Saundry and Turnbull, 1997)). </w:t>
      </w:r>
      <w:r w:rsidR="004F0AA4" w:rsidRPr="00CE1E04">
        <w:rPr>
          <w:rFonts w:ascii="Times New Roman" w:hAnsi="Times New Roman" w:cs="Times New Roman"/>
        </w:rPr>
        <w:t xml:space="preserve">Thus, in order for governments to move forward with such devolving policies and to sustain them they may </w:t>
      </w:r>
      <w:r w:rsidR="00EF3AC5" w:rsidRPr="00CE1E04">
        <w:rPr>
          <w:rFonts w:ascii="Times New Roman" w:hAnsi="Times New Roman" w:cs="Times New Roman"/>
        </w:rPr>
        <w:t>(consciously or not</w:t>
      </w:r>
      <w:r w:rsidR="006A7290" w:rsidRPr="00CE1E04">
        <w:rPr>
          <w:rFonts w:ascii="Times New Roman" w:hAnsi="Times New Roman" w:cs="Times New Roman"/>
        </w:rPr>
        <w:t xml:space="preserve">) </w:t>
      </w:r>
      <w:r w:rsidR="00C250EA" w:rsidRPr="00CE1E04">
        <w:rPr>
          <w:rFonts w:ascii="Times New Roman" w:hAnsi="Times New Roman" w:cs="Times New Roman"/>
        </w:rPr>
        <w:t xml:space="preserve">use </w:t>
      </w:r>
      <w:r w:rsidR="000A57ED" w:rsidRPr="00CE1E04">
        <w:rPr>
          <w:rFonts w:ascii="Times New Roman" w:hAnsi="Times New Roman" w:cs="Times New Roman"/>
        </w:rPr>
        <w:t>organised</w:t>
      </w:r>
      <w:r w:rsidR="004F0AA4" w:rsidRPr="00CE1E04">
        <w:rPr>
          <w:rFonts w:ascii="Times New Roman" w:hAnsi="Times New Roman" w:cs="Times New Roman"/>
        </w:rPr>
        <w:t xml:space="preserve"> hypocrisy (Brunsson, 2002)</w:t>
      </w:r>
      <w:r w:rsidR="00C250EA" w:rsidRPr="00CE1E04">
        <w:rPr>
          <w:rFonts w:ascii="Times New Roman" w:hAnsi="Times New Roman" w:cs="Times New Roman"/>
        </w:rPr>
        <w:t xml:space="preserve"> to</w:t>
      </w:r>
      <w:r w:rsidR="004F0AA4" w:rsidRPr="00CE1E04">
        <w:rPr>
          <w:rFonts w:ascii="Times New Roman" w:hAnsi="Times New Roman" w:cs="Times New Roman"/>
        </w:rPr>
        <w:t xml:space="preserve"> say they are privatizing for efficiency, but that they may need to fund such ostensibly devolved entities in order to allow them to survive and prosper.</w:t>
      </w:r>
    </w:p>
    <w:p w14:paraId="1A9866DA" w14:textId="28ACA5E7" w:rsidR="00234A1C"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rPr>
        <w:t xml:space="preserve">  </w:t>
      </w:r>
      <w:r w:rsidR="00C250EA" w:rsidRPr="00CE1E04">
        <w:rPr>
          <w:rFonts w:ascii="Times New Roman" w:hAnsi="Times New Roman" w:cs="Times New Roman"/>
        </w:rPr>
        <w:t>Also,</w:t>
      </w:r>
      <w:r w:rsidR="00160A9F" w:rsidRPr="00CE1E04">
        <w:rPr>
          <w:rFonts w:ascii="Times New Roman" w:hAnsi="Times New Roman" w:cs="Times New Roman"/>
        </w:rPr>
        <w:t xml:space="preserve"> introduction of the landlord model alone </w:t>
      </w:r>
      <w:r w:rsidR="00072D12" w:rsidRPr="00CE1E04">
        <w:rPr>
          <w:rFonts w:ascii="Times New Roman" w:hAnsi="Times New Roman" w:cs="Times New Roman"/>
        </w:rPr>
        <w:t xml:space="preserve">does not </w:t>
      </w:r>
      <w:r w:rsidR="00160A9F" w:rsidRPr="00CE1E04">
        <w:rPr>
          <w:rFonts w:ascii="Times New Roman" w:hAnsi="Times New Roman" w:cs="Times New Roman"/>
        </w:rPr>
        <w:t>necessarily lead to profitability. For example, Italy, despite having introduced the landlord model in 1994,</w:t>
      </w:r>
      <w:r w:rsidR="004E0E59" w:rsidRPr="00CE1E04">
        <w:rPr>
          <w:rFonts w:ascii="Times New Roman" w:hAnsi="Times New Roman" w:cs="Times New Roman"/>
        </w:rPr>
        <w:t xml:space="preserve"> experienced </w:t>
      </w:r>
      <w:r w:rsidR="00072D12" w:rsidRPr="00CE1E04">
        <w:rPr>
          <w:rFonts w:ascii="Times New Roman" w:hAnsi="Times New Roman" w:cs="Times New Roman"/>
        </w:rPr>
        <w:t xml:space="preserve">a </w:t>
      </w:r>
      <w:r w:rsidR="004E0E59" w:rsidRPr="00CE1E04">
        <w:rPr>
          <w:rFonts w:ascii="Times New Roman" w:hAnsi="Times New Roman" w:cs="Times New Roman"/>
        </w:rPr>
        <w:t xml:space="preserve">significant loss of competition to its neighbours in the first part of the twenty first century, decreasing in market share from 20.7% in 2003 to 15.7% in 2008 to its European neighbours (Ferrari and Musso, 2011). Such a loss is argued to be due to inflexibilities, ones which could be solved, it is argued, </w:t>
      </w:r>
      <w:r w:rsidR="00072D12" w:rsidRPr="00CE1E04">
        <w:rPr>
          <w:rFonts w:ascii="Times New Roman" w:hAnsi="Times New Roman" w:cs="Times New Roman"/>
        </w:rPr>
        <w:t>through</w:t>
      </w:r>
      <w:r w:rsidR="004E0E59" w:rsidRPr="00CE1E04">
        <w:rPr>
          <w:rFonts w:ascii="Times New Roman" w:hAnsi="Times New Roman" w:cs="Times New Roman"/>
        </w:rPr>
        <w:t xml:space="preserve"> the introduction of concession agreements (Ferrari and Mussoi</w:t>
      </w:r>
      <w:r w:rsidR="00A95310" w:rsidRPr="00CE1E04">
        <w:rPr>
          <w:rFonts w:ascii="Times New Roman" w:hAnsi="Times New Roman" w:cs="Times New Roman"/>
        </w:rPr>
        <w:t>,</w:t>
      </w:r>
      <w:r w:rsidR="004E0E59" w:rsidRPr="00CE1E04">
        <w:rPr>
          <w:rFonts w:ascii="Times New Roman" w:hAnsi="Times New Roman" w:cs="Times New Roman"/>
        </w:rPr>
        <w:t xml:space="preserve"> 2011) as these would allow for greater flexibility and responsiveness.</w:t>
      </w:r>
      <w:r w:rsidR="003D13F7" w:rsidRPr="00CE1E04">
        <w:rPr>
          <w:rFonts w:ascii="Times New Roman" w:hAnsi="Times New Roman" w:cs="Times New Roman"/>
        </w:rPr>
        <w:t xml:space="preserve"> Nevertheless, Italy illustrates how a particular model and approach can be (or appears to be) successful when first introduced, but </w:t>
      </w:r>
      <w:r w:rsidR="00C250EA" w:rsidRPr="00CE1E04">
        <w:rPr>
          <w:rFonts w:ascii="Times New Roman" w:hAnsi="Times New Roman" w:cs="Times New Roman"/>
        </w:rPr>
        <w:t xml:space="preserve">is less so </w:t>
      </w:r>
      <w:r w:rsidR="003D13F7" w:rsidRPr="00CE1E04">
        <w:rPr>
          <w:rFonts w:ascii="Times New Roman" w:hAnsi="Times New Roman" w:cs="Times New Roman"/>
        </w:rPr>
        <w:t>when neighbouring ports follow suit.</w:t>
      </w:r>
    </w:p>
    <w:p w14:paraId="63AE6630" w14:textId="20157F64" w:rsidR="00234A1C"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rPr>
        <w:t xml:space="preserve">  </w:t>
      </w:r>
      <w:r w:rsidR="003D13F7" w:rsidRPr="00CE1E04">
        <w:rPr>
          <w:rFonts w:ascii="Times New Roman" w:hAnsi="Times New Roman" w:cs="Times New Roman"/>
        </w:rPr>
        <w:t>Such scenario</w:t>
      </w:r>
      <w:r w:rsidR="00C250EA" w:rsidRPr="00CE1E04">
        <w:rPr>
          <w:rFonts w:ascii="Times New Roman" w:hAnsi="Times New Roman" w:cs="Times New Roman"/>
        </w:rPr>
        <w:t>s</w:t>
      </w:r>
      <w:r w:rsidR="003D13F7" w:rsidRPr="00CE1E04">
        <w:rPr>
          <w:rFonts w:ascii="Times New Roman" w:hAnsi="Times New Roman" w:cs="Times New Roman"/>
        </w:rPr>
        <w:t xml:space="preserve"> can</w:t>
      </w:r>
      <w:r w:rsidR="009978E9" w:rsidRPr="00CE1E04">
        <w:rPr>
          <w:rFonts w:ascii="Times New Roman" w:hAnsi="Times New Roman" w:cs="Times New Roman"/>
        </w:rPr>
        <w:t xml:space="preserve"> endanger port profitability through creating intense competition between geographically close neighbours </w:t>
      </w:r>
      <w:r w:rsidR="00ED620A" w:rsidRPr="00CE1E04">
        <w:rPr>
          <w:rFonts w:ascii="Times New Roman" w:hAnsi="Times New Roman" w:cs="Times New Roman"/>
        </w:rPr>
        <w:t>with a potential for future tariff wars (Castillo-Manzano and Asencio-Flores, 2012). It should be noted that in the case of the Iberian peninsula, however, such a scenario should be considered in the historical context o</w:t>
      </w:r>
      <w:r w:rsidR="00984179" w:rsidRPr="00CE1E04">
        <w:rPr>
          <w:rFonts w:ascii="Times New Roman" w:hAnsi="Times New Roman" w:cs="Times New Roman"/>
        </w:rPr>
        <w:t>f long and often intense rivalry (Alden, 1961)</w:t>
      </w:r>
      <w:r w:rsidR="00665CFB" w:rsidRPr="00CE1E04">
        <w:rPr>
          <w:rFonts w:ascii="Times New Roman" w:hAnsi="Times New Roman" w:cs="Times New Roman"/>
        </w:rPr>
        <w:t xml:space="preserve">. </w:t>
      </w:r>
    </w:p>
    <w:p w14:paraId="34932F58" w14:textId="606BFA1E" w:rsidR="00234A1C"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rPr>
        <w:t xml:space="preserve">  </w:t>
      </w:r>
      <w:r w:rsidR="00665CFB" w:rsidRPr="00CE1E04">
        <w:rPr>
          <w:rFonts w:ascii="Times New Roman" w:hAnsi="Times New Roman" w:cs="Times New Roman"/>
        </w:rPr>
        <w:t>Conversely</w:t>
      </w:r>
      <w:r w:rsidR="003D13F7" w:rsidRPr="00CE1E04">
        <w:rPr>
          <w:rFonts w:ascii="Times New Roman" w:hAnsi="Times New Roman" w:cs="Times New Roman"/>
        </w:rPr>
        <w:t>,</w:t>
      </w:r>
      <w:r w:rsidR="00072D12" w:rsidRPr="00CE1E04">
        <w:rPr>
          <w:rFonts w:ascii="Times New Roman" w:hAnsi="Times New Roman" w:cs="Times New Roman"/>
        </w:rPr>
        <w:t xml:space="preserve"> </w:t>
      </w:r>
      <w:r w:rsidR="00665CFB" w:rsidRPr="00CE1E04">
        <w:rPr>
          <w:rFonts w:ascii="Times New Roman" w:hAnsi="Times New Roman" w:cs="Times New Roman"/>
        </w:rPr>
        <w:t xml:space="preserve">it is </w:t>
      </w:r>
      <w:r w:rsidR="00072D12" w:rsidRPr="00CE1E04">
        <w:rPr>
          <w:rFonts w:ascii="Times New Roman" w:hAnsi="Times New Roman" w:cs="Times New Roman"/>
        </w:rPr>
        <w:t xml:space="preserve">elsewhere </w:t>
      </w:r>
      <w:r w:rsidR="00665CFB" w:rsidRPr="00CE1E04">
        <w:rPr>
          <w:rFonts w:ascii="Times New Roman" w:hAnsi="Times New Roman" w:cs="Times New Roman"/>
        </w:rPr>
        <w:t xml:space="preserve">suggested that rather than compete, closely located ports could benefit from </w:t>
      </w:r>
      <w:r w:rsidR="00072D12" w:rsidRPr="00CE1E04">
        <w:rPr>
          <w:rFonts w:ascii="Times New Roman" w:hAnsi="Times New Roman" w:cs="Times New Roman"/>
        </w:rPr>
        <w:t>forming</w:t>
      </w:r>
      <w:r w:rsidR="00665CFB" w:rsidRPr="00CE1E04">
        <w:rPr>
          <w:rFonts w:ascii="Times New Roman" w:hAnsi="Times New Roman" w:cs="Times New Roman"/>
        </w:rPr>
        <w:t xml:space="preserve"> alliance</w:t>
      </w:r>
      <w:r w:rsidR="00072D12" w:rsidRPr="00CE1E04">
        <w:rPr>
          <w:rFonts w:ascii="Times New Roman" w:hAnsi="Times New Roman" w:cs="Times New Roman"/>
        </w:rPr>
        <w:t>s</w:t>
      </w:r>
      <w:r w:rsidR="00665CFB" w:rsidRPr="00CE1E04">
        <w:rPr>
          <w:rFonts w:ascii="Times New Roman" w:hAnsi="Times New Roman" w:cs="Times New Roman"/>
        </w:rPr>
        <w:t xml:space="preserve">. For example, </w:t>
      </w:r>
      <w:r w:rsidR="00984627" w:rsidRPr="00CE1E04">
        <w:rPr>
          <w:rFonts w:ascii="Times New Roman" w:hAnsi="Times New Roman" w:cs="Times New Roman"/>
        </w:rPr>
        <w:t>with</w:t>
      </w:r>
      <w:r w:rsidR="00665CFB" w:rsidRPr="00CE1E04">
        <w:rPr>
          <w:rFonts w:ascii="Times New Roman" w:hAnsi="Times New Roman" w:cs="Times New Roman"/>
        </w:rPr>
        <w:t xml:space="preserve"> H</w:t>
      </w:r>
      <w:r w:rsidR="00E22AF9" w:rsidRPr="00CE1E04">
        <w:rPr>
          <w:rFonts w:ascii="Times New Roman" w:hAnsi="Times New Roman" w:cs="Times New Roman"/>
        </w:rPr>
        <w:t>ong Kong and Shenzhen, it is su</w:t>
      </w:r>
      <w:r w:rsidR="00665CFB" w:rsidRPr="00CE1E04">
        <w:rPr>
          <w:rFonts w:ascii="Times New Roman" w:hAnsi="Times New Roman" w:cs="Times New Roman"/>
        </w:rPr>
        <w:t xml:space="preserve">ggested that Shenzhen port could benefit from forming alliance </w:t>
      </w:r>
      <w:r w:rsidR="00E22AF9" w:rsidRPr="00CE1E04">
        <w:rPr>
          <w:rFonts w:ascii="Times New Roman" w:hAnsi="Times New Roman" w:cs="Times New Roman"/>
        </w:rPr>
        <w:t>type strategies with Hong Kong rather than competing (Wang et al</w:t>
      </w:r>
      <w:r w:rsidR="00B3596E" w:rsidRPr="00CE1E04">
        <w:rPr>
          <w:rFonts w:ascii="Times New Roman" w:hAnsi="Times New Roman" w:cs="Times New Roman"/>
        </w:rPr>
        <w:t>.</w:t>
      </w:r>
      <w:r w:rsidR="00E22AF9" w:rsidRPr="00CE1E04">
        <w:rPr>
          <w:rFonts w:ascii="Times New Roman" w:hAnsi="Times New Roman" w:cs="Times New Roman"/>
        </w:rPr>
        <w:t xml:space="preserve">, 2012). Further, that such an alliance could </w:t>
      </w:r>
      <w:r w:rsidR="00984627" w:rsidRPr="00CE1E04">
        <w:rPr>
          <w:rFonts w:ascii="Times New Roman" w:hAnsi="Times New Roman" w:cs="Times New Roman"/>
        </w:rPr>
        <w:t>accord</w:t>
      </w:r>
      <w:r w:rsidR="00E22AF9" w:rsidRPr="00CE1E04">
        <w:rPr>
          <w:rFonts w:ascii="Times New Roman" w:hAnsi="Times New Roman" w:cs="Times New Roman"/>
        </w:rPr>
        <w:t xml:space="preserve"> each port differentiated service</w:t>
      </w:r>
      <w:r w:rsidR="00984627" w:rsidRPr="00CE1E04">
        <w:rPr>
          <w:rFonts w:ascii="Times New Roman" w:hAnsi="Times New Roman" w:cs="Times New Roman"/>
        </w:rPr>
        <w:t>s</w:t>
      </w:r>
      <w:r w:rsidR="00E22AF9" w:rsidRPr="00CE1E04">
        <w:rPr>
          <w:rFonts w:ascii="Times New Roman" w:hAnsi="Times New Roman" w:cs="Times New Roman"/>
        </w:rPr>
        <w:t xml:space="preserve"> to </w:t>
      </w:r>
      <w:r w:rsidR="00984627" w:rsidRPr="00CE1E04">
        <w:rPr>
          <w:rFonts w:ascii="Times New Roman" w:hAnsi="Times New Roman" w:cs="Times New Roman"/>
        </w:rPr>
        <w:t xml:space="preserve">avoid direct </w:t>
      </w:r>
      <w:r w:rsidR="00E22AF9" w:rsidRPr="00CE1E04">
        <w:rPr>
          <w:rFonts w:ascii="Times New Roman" w:hAnsi="Times New Roman" w:cs="Times New Roman"/>
        </w:rPr>
        <w:t>compet</w:t>
      </w:r>
      <w:r w:rsidR="00984627" w:rsidRPr="00CE1E04">
        <w:rPr>
          <w:rFonts w:ascii="Times New Roman" w:hAnsi="Times New Roman" w:cs="Times New Roman"/>
        </w:rPr>
        <w:t>ition</w:t>
      </w:r>
      <w:r w:rsidR="00E22AF9" w:rsidRPr="00CE1E04">
        <w:rPr>
          <w:rFonts w:ascii="Times New Roman" w:hAnsi="Times New Roman" w:cs="Times New Roman"/>
        </w:rPr>
        <w:t xml:space="preserve"> (ibid).</w:t>
      </w:r>
      <w:r w:rsidR="005577B1" w:rsidRPr="00CE1E04">
        <w:rPr>
          <w:rFonts w:ascii="Times New Roman" w:hAnsi="Times New Roman" w:cs="Times New Roman"/>
        </w:rPr>
        <w:t xml:space="preserve"> Such differentiated roles of ports have also been noted to exist </w:t>
      </w:r>
      <w:r w:rsidR="00072D12" w:rsidRPr="00CE1E04">
        <w:rPr>
          <w:rFonts w:ascii="Times New Roman" w:hAnsi="Times New Roman" w:cs="Times New Roman"/>
        </w:rPr>
        <w:t>in</w:t>
      </w:r>
      <w:r w:rsidR="005577B1" w:rsidRPr="00CE1E04">
        <w:rPr>
          <w:rFonts w:ascii="Times New Roman" w:hAnsi="Times New Roman" w:cs="Times New Roman"/>
        </w:rPr>
        <w:t xml:space="preserve"> other ports in China as well (Wang et al.</w:t>
      </w:r>
      <w:r w:rsidR="00B3596E" w:rsidRPr="00CE1E04">
        <w:rPr>
          <w:rFonts w:ascii="Times New Roman" w:hAnsi="Times New Roman" w:cs="Times New Roman"/>
        </w:rPr>
        <w:t>,</w:t>
      </w:r>
      <w:r w:rsidR="005577B1" w:rsidRPr="00CE1E04">
        <w:rPr>
          <w:rFonts w:ascii="Times New Roman" w:hAnsi="Times New Roman" w:cs="Times New Roman"/>
        </w:rPr>
        <w:t xml:space="preserve"> 2004), where some activities considered lucrative have been </w:t>
      </w:r>
      <w:r w:rsidR="00072D12" w:rsidRPr="00CE1E04">
        <w:rPr>
          <w:rFonts w:ascii="Times New Roman" w:hAnsi="Times New Roman" w:cs="Times New Roman"/>
        </w:rPr>
        <w:t>retained</w:t>
      </w:r>
      <w:r w:rsidR="005577B1" w:rsidRPr="00CE1E04">
        <w:rPr>
          <w:rFonts w:ascii="Times New Roman" w:hAnsi="Times New Roman" w:cs="Times New Roman"/>
        </w:rPr>
        <w:t xml:space="preserve"> by the government (e.g. pilotage in Shanghai) and there exist “variations in functional capabilities of ports” (Wang</w:t>
      </w:r>
      <w:r w:rsidR="003D13F7" w:rsidRPr="00CE1E04">
        <w:rPr>
          <w:rFonts w:ascii="Times New Roman" w:hAnsi="Times New Roman" w:cs="Times New Roman"/>
        </w:rPr>
        <w:t xml:space="preserve"> et al.</w:t>
      </w:r>
      <w:r w:rsidR="00B3596E" w:rsidRPr="00CE1E04">
        <w:rPr>
          <w:rFonts w:ascii="Times New Roman" w:hAnsi="Times New Roman" w:cs="Times New Roman"/>
        </w:rPr>
        <w:t>,</w:t>
      </w:r>
      <w:r w:rsidR="003D13F7" w:rsidRPr="00CE1E04">
        <w:rPr>
          <w:rFonts w:ascii="Times New Roman" w:hAnsi="Times New Roman" w:cs="Times New Roman"/>
        </w:rPr>
        <w:t xml:space="preserve"> 2004, p.249).</w:t>
      </w:r>
      <w:r w:rsidR="00E22AF9" w:rsidRPr="00CE1E04">
        <w:rPr>
          <w:rFonts w:ascii="Times New Roman" w:hAnsi="Times New Roman" w:cs="Times New Roman"/>
        </w:rPr>
        <w:t xml:space="preserve"> </w:t>
      </w:r>
      <w:r w:rsidR="003D13F7" w:rsidRPr="00CE1E04">
        <w:rPr>
          <w:rFonts w:ascii="Times New Roman" w:hAnsi="Times New Roman" w:cs="Times New Roman"/>
        </w:rPr>
        <w:t xml:space="preserve"> </w:t>
      </w:r>
      <w:r w:rsidR="00E67E62" w:rsidRPr="00CE1E04">
        <w:rPr>
          <w:rFonts w:ascii="Times New Roman" w:hAnsi="Times New Roman" w:cs="Times New Roman"/>
        </w:rPr>
        <w:t>Here therefore, hypocrisy (Brunsson, 2002) can be said to extend beyond the geographical individual confines of individual ports</w:t>
      </w:r>
      <w:r w:rsidR="00984627" w:rsidRPr="00CE1E04">
        <w:rPr>
          <w:rFonts w:ascii="Times New Roman" w:hAnsi="Times New Roman" w:cs="Times New Roman"/>
        </w:rPr>
        <w:t>, allowing</w:t>
      </w:r>
      <w:r w:rsidR="00E67E62" w:rsidRPr="00CE1E04">
        <w:rPr>
          <w:rFonts w:ascii="Times New Roman" w:hAnsi="Times New Roman" w:cs="Times New Roman"/>
        </w:rPr>
        <w:t xml:space="preserve"> cooperat</w:t>
      </w:r>
      <w:r w:rsidR="00984627" w:rsidRPr="00CE1E04">
        <w:rPr>
          <w:rFonts w:ascii="Times New Roman" w:hAnsi="Times New Roman" w:cs="Times New Roman"/>
        </w:rPr>
        <w:t>ion</w:t>
      </w:r>
      <w:r w:rsidR="00E67E62" w:rsidRPr="00CE1E04">
        <w:rPr>
          <w:rFonts w:ascii="Times New Roman" w:hAnsi="Times New Roman" w:cs="Times New Roman"/>
        </w:rPr>
        <w:t xml:space="preserve"> with neighbouring ports, to </w:t>
      </w:r>
      <w:r w:rsidR="00984627" w:rsidRPr="00CE1E04">
        <w:rPr>
          <w:rFonts w:ascii="Times New Roman" w:hAnsi="Times New Roman" w:cs="Times New Roman"/>
        </w:rPr>
        <w:t>make them more</w:t>
      </w:r>
      <w:r w:rsidR="00E67E62" w:rsidRPr="00CE1E04">
        <w:rPr>
          <w:rFonts w:ascii="Times New Roman" w:hAnsi="Times New Roman" w:cs="Times New Roman"/>
        </w:rPr>
        <w:t xml:space="preserve"> competitive.</w:t>
      </w:r>
    </w:p>
    <w:p w14:paraId="0D8C1458" w14:textId="18F813F6" w:rsidR="00234A1C"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rPr>
        <w:t xml:space="preserve">  </w:t>
      </w:r>
      <w:r w:rsidR="003D13F7" w:rsidRPr="00CE1E04">
        <w:rPr>
          <w:rFonts w:ascii="Times New Roman" w:hAnsi="Times New Roman" w:cs="Times New Roman"/>
        </w:rPr>
        <w:t xml:space="preserve">Perhaps </w:t>
      </w:r>
      <w:r w:rsidR="00984627" w:rsidRPr="00CE1E04">
        <w:rPr>
          <w:rFonts w:ascii="Times New Roman" w:hAnsi="Times New Roman" w:cs="Times New Roman"/>
        </w:rPr>
        <w:t>it is essential</w:t>
      </w:r>
      <w:r w:rsidR="003D13F7" w:rsidRPr="00CE1E04">
        <w:rPr>
          <w:rFonts w:ascii="Times New Roman" w:hAnsi="Times New Roman" w:cs="Times New Roman"/>
        </w:rPr>
        <w:t xml:space="preserve"> to conside</w:t>
      </w:r>
      <w:r w:rsidR="00984627" w:rsidRPr="00CE1E04">
        <w:rPr>
          <w:rFonts w:ascii="Times New Roman" w:hAnsi="Times New Roman" w:cs="Times New Roman"/>
        </w:rPr>
        <w:t>r</w:t>
      </w:r>
      <w:r w:rsidR="00665CFB" w:rsidRPr="00CE1E04">
        <w:rPr>
          <w:rFonts w:ascii="Times New Roman" w:hAnsi="Times New Roman" w:cs="Times New Roman"/>
        </w:rPr>
        <w:t xml:space="preserve"> </w:t>
      </w:r>
      <w:r w:rsidR="007151A0" w:rsidRPr="00CE1E04">
        <w:rPr>
          <w:rFonts w:ascii="Times New Roman" w:hAnsi="Times New Roman" w:cs="Times New Roman"/>
        </w:rPr>
        <w:t xml:space="preserve">temporal and economic </w:t>
      </w:r>
      <w:r w:rsidR="00665CFB" w:rsidRPr="00CE1E04">
        <w:rPr>
          <w:rFonts w:ascii="Times New Roman" w:hAnsi="Times New Roman" w:cs="Times New Roman"/>
        </w:rPr>
        <w:t>context</w:t>
      </w:r>
      <w:r w:rsidR="0082083E" w:rsidRPr="00CE1E04">
        <w:rPr>
          <w:rFonts w:ascii="Times New Roman" w:hAnsi="Times New Roman" w:cs="Times New Roman"/>
        </w:rPr>
        <w:t>, as</w:t>
      </w:r>
      <w:r w:rsidR="00665CFB" w:rsidRPr="00CE1E04">
        <w:rPr>
          <w:rFonts w:ascii="Times New Roman" w:hAnsi="Times New Roman" w:cs="Times New Roman"/>
        </w:rPr>
        <w:t xml:space="preserve"> “</w:t>
      </w:r>
      <w:r w:rsidR="0082083E" w:rsidRPr="00CE1E04">
        <w:rPr>
          <w:rFonts w:ascii="Times New Roman" w:hAnsi="Times New Roman" w:cs="Times New Roman"/>
        </w:rPr>
        <w:t>d</w:t>
      </w:r>
      <w:r w:rsidR="00665CFB" w:rsidRPr="00CE1E04">
        <w:rPr>
          <w:rFonts w:ascii="Times New Roman" w:hAnsi="Times New Roman" w:cs="Times New Roman"/>
        </w:rPr>
        <w:t>uring a recession, ports may engage in cut-throat competition” (Wang et al.</w:t>
      </w:r>
      <w:r w:rsidR="00B3596E" w:rsidRPr="00CE1E04">
        <w:rPr>
          <w:rFonts w:ascii="Times New Roman" w:hAnsi="Times New Roman" w:cs="Times New Roman"/>
        </w:rPr>
        <w:t>,</w:t>
      </w:r>
      <w:r w:rsidR="00665CFB" w:rsidRPr="00CE1E04">
        <w:rPr>
          <w:rFonts w:ascii="Times New Roman" w:hAnsi="Times New Roman" w:cs="Times New Roman"/>
        </w:rPr>
        <w:t xml:space="preserve"> 2012, p.404)</w:t>
      </w:r>
      <w:r w:rsidR="00290F2F" w:rsidRPr="00CE1E04">
        <w:rPr>
          <w:rFonts w:ascii="Times New Roman" w:hAnsi="Times New Roman" w:cs="Times New Roman"/>
        </w:rPr>
        <w:t xml:space="preserve">. Further, it </w:t>
      </w:r>
      <w:r w:rsidR="00984627" w:rsidRPr="00CE1E04">
        <w:rPr>
          <w:rFonts w:ascii="Times New Roman" w:hAnsi="Times New Roman" w:cs="Times New Roman"/>
        </w:rPr>
        <w:t>should be noted</w:t>
      </w:r>
      <w:r w:rsidR="00290F2F" w:rsidRPr="00CE1E04">
        <w:rPr>
          <w:rFonts w:ascii="Times New Roman" w:hAnsi="Times New Roman" w:cs="Times New Roman"/>
        </w:rPr>
        <w:t xml:space="preserve"> that port governance reforms are based</w:t>
      </w:r>
      <w:r w:rsidR="00984627" w:rsidRPr="00CE1E04">
        <w:rPr>
          <w:rFonts w:ascii="Times New Roman" w:hAnsi="Times New Roman" w:cs="Times New Roman"/>
        </w:rPr>
        <w:t xml:space="preserve"> both</w:t>
      </w:r>
      <w:r w:rsidR="00290F2F" w:rsidRPr="00CE1E04">
        <w:rPr>
          <w:rFonts w:ascii="Times New Roman" w:hAnsi="Times New Roman" w:cs="Times New Roman"/>
        </w:rPr>
        <w:t xml:space="preserve"> on responses to historical occurrences,</w:t>
      </w:r>
      <w:r w:rsidR="00984627" w:rsidRPr="00CE1E04">
        <w:rPr>
          <w:rFonts w:ascii="Times New Roman" w:hAnsi="Times New Roman" w:cs="Times New Roman"/>
        </w:rPr>
        <w:t xml:space="preserve"> and</w:t>
      </w:r>
      <w:r w:rsidR="00290F2F" w:rsidRPr="00CE1E04">
        <w:rPr>
          <w:rFonts w:ascii="Times New Roman" w:hAnsi="Times New Roman" w:cs="Times New Roman"/>
        </w:rPr>
        <w:t xml:space="preserve"> in response to anticipated scenarios</w:t>
      </w:r>
      <w:r w:rsidR="00777465" w:rsidRPr="00CE1E04">
        <w:rPr>
          <w:rFonts w:ascii="Times New Roman" w:hAnsi="Times New Roman" w:cs="Times New Roman"/>
        </w:rPr>
        <w:t xml:space="preserve"> (Notteboom, 2006</w:t>
      </w:r>
      <w:r w:rsidR="006C32F7" w:rsidRPr="00CE1E04">
        <w:rPr>
          <w:rFonts w:ascii="Times New Roman" w:hAnsi="Times New Roman" w:cs="Times New Roman"/>
        </w:rPr>
        <w:t>a</w:t>
      </w:r>
      <w:r w:rsidR="00777465" w:rsidRPr="00CE1E04">
        <w:rPr>
          <w:rFonts w:ascii="Times New Roman" w:hAnsi="Times New Roman" w:cs="Times New Roman"/>
        </w:rPr>
        <w:t>)</w:t>
      </w:r>
      <w:r w:rsidR="00290F2F" w:rsidRPr="00CE1E04">
        <w:rPr>
          <w:rFonts w:ascii="Times New Roman" w:hAnsi="Times New Roman" w:cs="Times New Roman"/>
        </w:rPr>
        <w:t xml:space="preserve">, which can be concluded on from analyses involving processes such as Markow chain analysis (Gurning and Cahoon, </w:t>
      </w:r>
      <w:r w:rsidR="00553161" w:rsidRPr="00CE1E04">
        <w:rPr>
          <w:rFonts w:ascii="Times New Roman" w:hAnsi="Times New Roman" w:cs="Times New Roman"/>
        </w:rPr>
        <w:t xml:space="preserve">2011, </w:t>
      </w:r>
      <w:r w:rsidR="00290F2F" w:rsidRPr="00CE1E04">
        <w:rPr>
          <w:rFonts w:ascii="Times New Roman" w:hAnsi="Times New Roman" w:cs="Times New Roman"/>
        </w:rPr>
        <w:t xml:space="preserve">cited in Vanelslander, 2011). </w:t>
      </w:r>
      <w:r w:rsidR="003D13F7" w:rsidRPr="00CE1E04">
        <w:rPr>
          <w:rFonts w:ascii="Times New Roman" w:hAnsi="Times New Roman" w:cs="Times New Roman"/>
        </w:rPr>
        <w:t>I</w:t>
      </w:r>
      <w:r w:rsidR="00665CFB" w:rsidRPr="00CE1E04">
        <w:rPr>
          <w:rFonts w:ascii="Times New Roman" w:hAnsi="Times New Roman" w:cs="Times New Roman"/>
        </w:rPr>
        <w:t>t is</w:t>
      </w:r>
      <w:r w:rsidR="003D13F7" w:rsidRPr="00CE1E04">
        <w:rPr>
          <w:rFonts w:ascii="Times New Roman" w:hAnsi="Times New Roman" w:cs="Times New Roman"/>
        </w:rPr>
        <w:t xml:space="preserve"> therefore</w:t>
      </w:r>
      <w:r w:rsidR="00665CFB" w:rsidRPr="00CE1E04">
        <w:rPr>
          <w:rFonts w:ascii="Times New Roman" w:hAnsi="Times New Roman" w:cs="Times New Roman"/>
        </w:rPr>
        <w:t xml:space="preserve"> possible that the global economic crisi</w:t>
      </w:r>
      <w:r w:rsidR="007151A0" w:rsidRPr="00CE1E04">
        <w:rPr>
          <w:rFonts w:ascii="Times New Roman" w:hAnsi="Times New Roman" w:cs="Times New Roman"/>
        </w:rPr>
        <w:t>s</w:t>
      </w:r>
      <w:r w:rsidR="00665CFB" w:rsidRPr="00CE1E04">
        <w:rPr>
          <w:rFonts w:ascii="Times New Roman" w:hAnsi="Times New Roman" w:cs="Times New Roman"/>
        </w:rPr>
        <w:t xml:space="preserve"> of 2008 onwards provided an impetus for many ports to mo</w:t>
      </w:r>
      <w:r w:rsidR="003D5F7A" w:rsidRPr="00CE1E04">
        <w:rPr>
          <w:rFonts w:ascii="Times New Roman" w:hAnsi="Times New Roman" w:cs="Times New Roman"/>
        </w:rPr>
        <w:t>ve towards the landlord model to cut costs, devolve responsibility to the private sector, with the aim to increase profitability.</w:t>
      </w:r>
    </w:p>
    <w:p w14:paraId="51F5317C" w14:textId="484F6581" w:rsidR="00234A1C"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rPr>
        <w:t xml:space="preserve">  </w:t>
      </w:r>
      <w:r w:rsidR="0068136D" w:rsidRPr="00CE1E04">
        <w:rPr>
          <w:rFonts w:ascii="Times New Roman" w:hAnsi="Times New Roman" w:cs="Times New Roman"/>
        </w:rPr>
        <w:t>Given the above complexities, varieties, and nuanced understandings of concepts and processes involved with port governance, it is understandable that measuring the impact of such changes on port performance is also highly complex. In terms of measuring port performance, this can be done in economic terms: “from the standpoint of technical efficiency, cost efficiency and effectiveness by comparing the port’s actual throughput with its economic technically efficient, cost efficient and effectiveness optimum throughput, respectively” (Talley, 2006) or Data Envelopment Analysis (Cullinane and Wang</w:t>
      </w:r>
      <w:r w:rsidR="00B3596E" w:rsidRPr="00CE1E04">
        <w:rPr>
          <w:rFonts w:ascii="Times New Roman" w:hAnsi="Times New Roman" w:cs="Times New Roman"/>
        </w:rPr>
        <w:t>,</w:t>
      </w:r>
      <w:r w:rsidR="0068136D" w:rsidRPr="00CE1E04">
        <w:rPr>
          <w:rFonts w:ascii="Times New Roman" w:hAnsi="Times New Roman" w:cs="Times New Roman"/>
        </w:rPr>
        <w:t xml:space="preserve"> 2006b) to calculate port </w:t>
      </w:r>
      <w:r w:rsidR="006A31D9" w:rsidRPr="00CE1E04">
        <w:rPr>
          <w:rFonts w:ascii="Times New Roman" w:hAnsi="Times New Roman" w:cs="Times New Roman"/>
        </w:rPr>
        <w:t xml:space="preserve">efficiency </w:t>
      </w:r>
      <w:r w:rsidR="0068136D" w:rsidRPr="00CE1E04">
        <w:rPr>
          <w:rFonts w:ascii="Times New Roman" w:hAnsi="Times New Roman" w:cs="Times New Roman"/>
        </w:rPr>
        <w:t>through cross-sectional or panel data. Such data can indicat</w:t>
      </w:r>
      <w:r w:rsidR="006A31D9" w:rsidRPr="00CE1E04">
        <w:rPr>
          <w:rFonts w:ascii="Times New Roman" w:hAnsi="Times New Roman" w:cs="Times New Roman"/>
        </w:rPr>
        <w:t>e</w:t>
      </w:r>
      <w:r w:rsidR="0068136D" w:rsidRPr="00CE1E04">
        <w:rPr>
          <w:rFonts w:ascii="Times New Roman" w:hAnsi="Times New Roman" w:cs="Times New Roman"/>
        </w:rPr>
        <w:t xml:space="preserve"> how efficient port</w:t>
      </w:r>
      <w:r w:rsidR="006A31D9" w:rsidRPr="00CE1E04">
        <w:rPr>
          <w:rFonts w:ascii="Times New Roman" w:hAnsi="Times New Roman" w:cs="Times New Roman"/>
        </w:rPr>
        <w:t>s</w:t>
      </w:r>
      <w:r w:rsidR="0068136D" w:rsidRPr="00CE1E04">
        <w:rPr>
          <w:rFonts w:ascii="Times New Roman" w:hAnsi="Times New Roman" w:cs="Times New Roman"/>
        </w:rPr>
        <w:t xml:space="preserve"> </w:t>
      </w:r>
      <w:r w:rsidR="006A31D9" w:rsidRPr="00CE1E04">
        <w:rPr>
          <w:rFonts w:ascii="Times New Roman" w:hAnsi="Times New Roman" w:cs="Times New Roman"/>
        </w:rPr>
        <w:t>are</w:t>
      </w:r>
      <w:r w:rsidR="0082083E" w:rsidRPr="00CE1E04">
        <w:rPr>
          <w:rFonts w:ascii="Times New Roman" w:hAnsi="Times New Roman" w:cs="Times New Roman"/>
        </w:rPr>
        <w:t>,</w:t>
      </w:r>
      <w:r w:rsidR="0068136D" w:rsidRPr="00CE1E04">
        <w:rPr>
          <w:rFonts w:ascii="Times New Roman" w:hAnsi="Times New Roman" w:cs="Times New Roman"/>
        </w:rPr>
        <w:t xml:space="preserve"> although such results may be hard to achieve in reality (ibid). </w:t>
      </w:r>
      <w:r w:rsidR="0068136D" w:rsidRPr="00CE1E04">
        <w:rPr>
          <w:rFonts w:ascii="Times New Roman" w:hAnsi="Times New Roman" w:cs="Times New Roman"/>
          <w:szCs w:val="24"/>
        </w:rPr>
        <w:t xml:space="preserve">For example, reforms made to Spain’s ports where governance moved towards a landlord model are argued to have had an impact on technological change, but not on </w:t>
      </w:r>
      <w:r w:rsidR="0068136D" w:rsidRPr="00CE1E04">
        <w:rPr>
          <w:rFonts w:ascii="Times New Roman" w:hAnsi="Times New Roman" w:cs="Times New Roman"/>
          <w:i/>
          <w:szCs w:val="24"/>
        </w:rPr>
        <w:t>technical</w:t>
      </w:r>
      <w:r w:rsidR="0068136D" w:rsidRPr="00CE1E04">
        <w:rPr>
          <w:rFonts w:ascii="Times New Roman" w:hAnsi="Times New Roman" w:cs="Times New Roman"/>
          <w:szCs w:val="24"/>
        </w:rPr>
        <w:t xml:space="preserve"> efficiency (Gonzalez and Trujillo, 2008). Despite this however, Gonzalez and Trujillo note that “</w:t>
      </w:r>
      <w:r w:rsidR="0082083E" w:rsidRPr="00CE1E04">
        <w:rPr>
          <w:rFonts w:ascii="Times New Roman" w:hAnsi="Times New Roman" w:cs="Times New Roman"/>
          <w:szCs w:val="24"/>
        </w:rPr>
        <w:t>t</w:t>
      </w:r>
      <w:r w:rsidR="0068136D" w:rsidRPr="00CE1E04">
        <w:rPr>
          <w:rFonts w:ascii="Times New Roman" w:hAnsi="Times New Roman" w:cs="Times New Roman"/>
          <w:szCs w:val="24"/>
        </w:rPr>
        <w:t xml:space="preserve">here is however a significant movement of the efficiency within ports over time as a result of reforms.” (p.254). </w:t>
      </w:r>
      <w:r w:rsidR="0068136D" w:rsidRPr="00CE1E04">
        <w:rPr>
          <w:rFonts w:ascii="Times New Roman" w:hAnsi="Times New Roman" w:cs="Times New Roman"/>
        </w:rPr>
        <w:t>Another approach to measuring port</w:t>
      </w:r>
      <w:r w:rsidR="00501453" w:rsidRPr="00CE1E04">
        <w:rPr>
          <w:rFonts w:ascii="Times New Roman" w:hAnsi="Times New Roman" w:cs="Times New Roman"/>
        </w:rPr>
        <w:t xml:space="preserve"> efficiency</w:t>
      </w:r>
      <w:r w:rsidR="0068136D" w:rsidRPr="00CE1E04">
        <w:rPr>
          <w:rFonts w:ascii="Times New Roman" w:hAnsi="Times New Roman" w:cs="Times New Roman"/>
        </w:rPr>
        <w:t xml:space="preserve"> is to compare </w:t>
      </w:r>
      <w:r w:rsidR="00501453" w:rsidRPr="00CE1E04">
        <w:rPr>
          <w:rFonts w:ascii="Times New Roman" w:hAnsi="Times New Roman" w:cs="Times New Roman"/>
        </w:rPr>
        <w:t>it</w:t>
      </w:r>
      <w:r w:rsidR="0068136D" w:rsidRPr="00CE1E04">
        <w:rPr>
          <w:rFonts w:ascii="Times New Roman" w:hAnsi="Times New Roman" w:cs="Times New Roman"/>
        </w:rPr>
        <w:t xml:space="preserve"> to </w:t>
      </w:r>
      <w:r w:rsidR="00501453" w:rsidRPr="00CE1E04">
        <w:rPr>
          <w:rFonts w:ascii="Times New Roman" w:hAnsi="Times New Roman" w:cs="Times New Roman"/>
        </w:rPr>
        <w:t>performance</w:t>
      </w:r>
      <w:r w:rsidR="0068136D" w:rsidRPr="00CE1E04">
        <w:rPr>
          <w:rFonts w:ascii="Times New Roman" w:hAnsi="Times New Roman" w:cs="Times New Roman"/>
        </w:rPr>
        <w:t xml:space="preserve"> benchmark</w:t>
      </w:r>
      <w:r w:rsidR="00501453" w:rsidRPr="00CE1E04">
        <w:rPr>
          <w:rFonts w:ascii="Times New Roman" w:hAnsi="Times New Roman" w:cs="Times New Roman"/>
        </w:rPr>
        <w:t>s</w:t>
      </w:r>
      <w:r w:rsidR="0068136D" w:rsidRPr="00CE1E04">
        <w:rPr>
          <w:rFonts w:ascii="Times New Roman" w:hAnsi="Times New Roman" w:cs="Times New Roman"/>
        </w:rPr>
        <w:t xml:space="preserve"> (Bichou, 2006) based on inputs or outputs.</w:t>
      </w:r>
      <w:r w:rsidR="0082083E" w:rsidRPr="00CE1E04">
        <w:rPr>
          <w:rFonts w:ascii="Times New Roman" w:hAnsi="Times New Roman" w:cs="Times New Roman"/>
        </w:rPr>
        <w:t xml:space="preserve"> However,</w:t>
      </w:r>
      <w:r w:rsidR="0068136D" w:rsidRPr="00CE1E04">
        <w:rPr>
          <w:rFonts w:ascii="Times New Roman" w:hAnsi="Times New Roman" w:cs="Times New Roman"/>
        </w:rPr>
        <w:t xml:space="preserve"> </w:t>
      </w:r>
      <w:r w:rsidR="0082083E" w:rsidRPr="00CE1E04">
        <w:rPr>
          <w:rFonts w:ascii="Times New Roman" w:hAnsi="Times New Roman" w:cs="Times New Roman"/>
        </w:rPr>
        <w:t>a</w:t>
      </w:r>
      <w:r w:rsidR="0068136D" w:rsidRPr="00CE1E04">
        <w:rPr>
          <w:rFonts w:ascii="Times New Roman" w:hAnsi="Times New Roman" w:cs="Times New Roman"/>
        </w:rPr>
        <w:t>ctually measuring the success and impact of a devolution programme is highly complex</w:t>
      </w:r>
      <w:r w:rsidR="0082083E" w:rsidRPr="00CE1E04">
        <w:rPr>
          <w:rFonts w:ascii="Times New Roman" w:hAnsi="Times New Roman" w:cs="Times New Roman"/>
        </w:rPr>
        <w:t>,</w:t>
      </w:r>
      <w:r w:rsidR="0068136D" w:rsidRPr="00CE1E04">
        <w:rPr>
          <w:rFonts w:ascii="Times New Roman" w:hAnsi="Times New Roman" w:cs="Times New Roman"/>
        </w:rPr>
        <w:t xml:space="preserve"> and </w:t>
      </w:r>
      <w:r w:rsidR="00501453" w:rsidRPr="00CE1E04">
        <w:rPr>
          <w:rFonts w:ascii="Times New Roman" w:hAnsi="Times New Roman" w:cs="Times New Roman"/>
        </w:rPr>
        <w:t>requires</w:t>
      </w:r>
      <w:r w:rsidR="0068136D" w:rsidRPr="00CE1E04">
        <w:rPr>
          <w:rFonts w:ascii="Times New Roman" w:hAnsi="Times New Roman" w:cs="Times New Roman"/>
        </w:rPr>
        <w:t xml:space="preserve"> </w:t>
      </w:r>
      <w:r w:rsidR="00501453" w:rsidRPr="00CE1E04">
        <w:rPr>
          <w:rFonts w:ascii="Times New Roman" w:hAnsi="Times New Roman" w:cs="Times New Roman"/>
        </w:rPr>
        <w:t>close contextualization</w:t>
      </w:r>
      <w:r w:rsidR="0082083E" w:rsidRPr="00CE1E04">
        <w:rPr>
          <w:rFonts w:ascii="Times New Roman" w:hAnsi="Times New Roman" w:cs="Times New Roman"/>
        </w:rPr>
        <w:t xml:space="preserve"> within</w:t>
      </w:r>
      <w:r w:rsidR="0068136D" w:rsidRPr="00CE1E04">
        <w:rPr>
          <w:rFonts w:ascii="Times New Roman" w:hAnsi="Times New Roman" w:cs="Times New Roman"/>
        </w:rPr>
        <w:t xml:space="preserve"> </w:t>
      </w:r>
      <w:r w:rsidR="00501453" w:rsidRPr="00CE1E04">
        <w:rPr>
          <w:rFonts w:ascii="Times New Roman" w:hAnsi="Times New Roman" w:cs="Times New Roman"/>
        </w:rPr>
        <w:t xml:space="preserve">an individual </w:t>
      </w:r>
      <w:r w:rsidR="0068136D" w:rsidRPr="00CE1E04">
        <w:rPr>
          <w:rFonts w:ascii="Times New Roman" w:hAnsi="Times New Roman" w:cs="Times New Roman"/>
        </w:rPr>
        <w:t>government</w:t>
      </w:r>
      <w:r w:rsidR="00501453" w:rsidRPr="00CE1E04">
        <w:rPr>
          <w:rFonts w:ascii="Times New Roman" w:hAnsi="Times New Roman" w:cs="Times New Roman"/>
        </w:rPr>
        <w:t>’s</w:t>
      </w:r>
      <w:r w:rsidR="0068136D" w:rsidRPr="00CE1E04">
        <w:rPr>
          <w:rFonts w:ascii="Times New Roman" w:hAnsi="Times New Roman" w:cs="Times New Roman"/>
        </w:rPr>
        <w:t xml:space="preserve"> </w:t>
      </w:r>
      <w:r w:rsidR="00501453" w:rsidRPr="00CE1E04">
        <w:rPr>
          <w:rFonts w:ascii="Times New Roman" w:hAnsi="Times New Roman" w:cs="Times New Roman"/>
        </w:rPr>
        <w:t>political aims regarding the</w:t>
      </w:r>
      <w:r w:rsidR="0068136D" w:rsidRPr="00CE1E04">
        <w:rPr>
          <w:rFonts w:ascii="Times New Roman" w:hAnsi="Times New Roman" w:cs="Times New Roman"/>
        </w:rPr>
        <w:t xml:space="preserve"> data input (Brooks, 2006). For example, </w:t>
      </w:r>
      <w:r w:rsidR="00501453" w:rsidRPr="00CE1E04">
        <w:rPr>
          <w:rFonts w:ascii="Times New Roman" w:hAnsi="Times New Roman" w:cs="Times New Roman"/>
        </w:rPr>
        <w:t>regarding</w:t>
      </w:r>
      <w:r w:rsidR="0068136D" w:rsidRPr="00CE1E04">
        <w:rPr>
          <w:rFonts w:ascii="Times New Roman" w:hAnsi="Times New Roman" w:cs="Times New Roman"/>
        </w:rPr>
        <w:t xml:space="preserve"> UK devolution, significant loss of capital to the government was arguably not a concern to the government of the time given that its aim was </w:t>
      </w:r>
      <w:r w:rsidR="00D94BEB" w:rsidRPr="00CE1E04">
        <w:rPr>
          <w:rFonts w:ascii="Times New Roman" w:hAnsi="Times New Roman" w:cs="Times New Roman"/>
        </w:rPr>
        <w:t xml:space="preserve">a political one </w:t>
      </w:r>
      <w:r w:rsidR="0068136D" w:rsidRPr="00CE1E04">
        <w:rPr>
          <w:rFonts w:ascii="Times New Roman" w:hAnsi="Times New Roman" w:cs="Times New Roman"/>
        </w:rPr>
        <w:t xml:space="preserve">to convert public </w:t>
      </w:r>
      <w:r w:rsidR="00D94BEB" w:rsidRPr="00CE1E04">
        <w:rPr>
          <w:rFonts w:ascii="Times New Roman" w:hAnsi="Times New Roman" w:cs="Times New Roman"/>
        </w:rPr>
        <w:t>assets in</w:t>
      </w:r>
      <w:r w:rsidR="0068136D" w:rsidRPr="00CE1E04">
        <w:rPr>
          <w:rFonts w:ascii="Times New Roman" w:hAnsi="Times New Roman" w:cs="Times New Roman"/>
        </w:rPr>
        <w:t>to private</w:t>
      </w:r>
      <w:r w:rsidR="00D94BEB" w:rsidRPr="00CE1E04">
        <w:rPr>
          <w:rFonts w:ascii="Times New Roman" w:hAnsi="Times New Roman" w:cs="Times New Roman"/>
        </w:rPr>
        <w:t xml:space="preserve"> assets</w:t>
      </w:r>
      <w:r w:rsidR="0068136D" w:rsidRPr="00CE1E04">
        <w:rPr>
          <w:rFonts w:ascii="Times New Roman" w:hAnsi="Times New Roman" w:cs="Times New Roman"/>
        </w:rPr>
        <w:t xml:space="preserve"> rather than achieve profits (Baird and Valentine, 2006).</w:t>
      </w:r>
      <w:r w:rsidR="00501453" w:rsidRPr="00CE1E04">
        <w:rPr>
          <w:rFonts w:ascii="Times New Roman" w:hAnsi="Times New Roman" w:cs="Times New Roman"/>
        </w:rPr>
        <w:t xml:space="preserve"> For the purposes of summary and later use in our results and analysis, we draw together six of these strands of what we see as governments’ use of organi</w:t>
      </w:r>
      <w:r w:rsidR="00477D23" w:rsidRPr="00CE1E04">
        <w:rPr>
          <w:rFonts w:ascii="Times New Roman" w:hAnsi="Times New Roman" w:cs="Times New Roman"/>
        </w:rPr>
        <w:t>s</w:t>
      </w:r>
      <w:r w:rsidR="00501453" w:rsidRPr="00CE1E04">
        <w:rPr>
          <w:rFonts w:ascii="Times New Roman" w:hAnsi="Times New Roman" w:cs="Times New Roman"/>
        </w:rPr>
        <w:t xml:space="preserve">ed hypocrisy in a port reform context into </w:t>
      </w:r>
      <w:r w:rsidR="00477D23" w:rsidRPr="00CE1E04">
        <w:rPr>
          <w:rFonts w:ascii="Times New Roman" w:hAnsi="Times New Roman" w:cs="Times New Roman"/>
        </w:rPr>
        <w:t>T</w:t>
      </w:r>
      <w:r w:rsidR="00501453" w:rsidRPr="00CE1E04">
        <w:rPr>
          <w:rFonts w:ascii="Times New Roman" w:hAnsi="Times New Roman" w:cs="Times New Roman"/>
        </w:rPr>
        <w:t>able</w:t>
      </w:r>
      <w:r w:rsidR="00477D23" w:rsidRPr="00CE1E04">
        <w:rPr>
          <w:rFonts w:ascii="Times New Roman" w:hAnsi="Times New Roman" w:cs="Times New Roman"/>
        </w:rPr>
        <w:t xml:space="preserve"> 1</w:t>
      </w:r>
      <w:r w:rsidR="00501453" w:rsidRPr="00CE1E04">
        <w:rPr>
          <w:rFonts w:ascii="Times New Roman" w:hAnsi="Times New Roman" w:cs="Times New Roman"/>
        </w:rPr>
        <w:t>.</w:t>
      </w:r>
    </w:p>
    <w:p w14:paraId="3ED84B92" w14:textId="77777777" w:rsidR="00460C9A" w:rsidRPr="00CE1E04" w:rsidRDefault="00460C9A" w:rsidP="000E222A">
      <w:pPr>
        <w:autoSpaceDE w:val="0"/>
        <w:autoSpaceDN w:val="0"/>
        <w:adjustRightInd w:val="0"/>
        <w:jc w:val="both"/>
        <w:rPr>
          <w:rFonts w:ascii="Times New Roman" w:hAnsi="Times New Roman" w:cs="Times New Roman"/>
        </w:rPr>
      </w:pPr>
    </w:p>
    <w:p w14:paraId="10A269ED" w14:textId="7A43625A" w:rsidR="00501453" w:rsidRPr="00CE1E04" w:rsidRDefault="00460C9A" w:rsidP="00CD3070">
      <w:pPr>
        <w:autoSpaceDE w:val="0"/>
        <w:autoSpaceDN w:val="0"/>
        <w:adjustRightInd w:val="0"/>
        <w:jc w:val="center"/>
        <w:rPr>
          <w:rFonts w:ascii="Times New Roman" w:hAnsi="Times New Roman" w:cs="Times New Roman"/>
        </w:rPr>
      </w:pPr>
      <w:r w:rsidRPr="00CE1E04">
        <w:rPr>
          <w:rFonts w:ascii="Times New Roman" w:hAnsi="Times New Roman" w:cs="Times New Roman"/>
        </w:rPr>
        <w:t xml:space="preserve">Table 1. Organised </w:t>
      </w:r>
      <w:r w:rsidR="00EE26E1" w:rsidRPr="00CE1E04">
        <w:rPr>
          <w:rFonts w:ascii="Times New Roman" w:hAnsi="Times New Roman" w:cs="Times New Roman"/>
        </w:rPr>
        <w:t>h</w:t>
      </w:r>
      <w:r w:rsidRPr="00CE1E04">
        <w:rPr>
          <w:rFonts w:ascii="Times New Roman" w:hAnsi="Times New Roman" w:cs="Times New Roman"/>
        </w:rPr>
        <w:t>ypocrisy applied to port reform</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88"/>
        <w:gridCol w:w="3118"/>
        <w:gridCol w:w="2900"/>
      </w:tblGrid>
      <w:tr w:rsidR="00CE1E04" w:rsidRPr="00CE1E04" w14:paraId="5C28E41A" w14:textId="77777777" w:rsidTr="0006696D">
        <w:tc>
          <w:tcPr>
            <w:tcW w:w="1377" w:type="pct"/>
          </w:tcPr>
          <w:p w14:paraId="39EBF942" w14:textId="77777777" w:rsidR="00501453" w:rsidRPr="00CE1E04" w:rsidRDefault="00501453" w:rsidP="00F9590D">
            <w:pPr>
              <w:jc w:val="cente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Area</w:t>
            </w:r>
          </w:p>
        </w:tc>
        <w:tc>
          <w:tcPr>
            <w:tcW w:w="1877" w:type="pct"/>
          </w:tcPr>
          <w:p w14:paraId="2CC620E9" w14:textId="0CACEA55" w:rsidR="00501453" w:rsidRPr="00CE1E04" w:rsidRDefault="00501453" w:rsidP="00F9590D">
            <w:pPr>
              <w:jc w:val="cente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Examples</w:t>
            </w:r>
          </w:p>
        </w:tc>
        <w:tc>
          <w:tcPr>
            <w:tcW w:w="1746" w:type="pct"/>
          </w:tcPr>
          <w:p w14:paraId="47E94C82" w14:textId="77777777" w:rsidR="00501453" w:rsidRPr="00CE1E04" w:rsidRDefault="00501453" w:rsidP="00F9590D">
            <w:pPr>
              <w:jc w:val="cente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Affordances through hypocrisy</w:t>
            </w:r>
          </w:p>
        </w:tc>
      </w:tr>
      <w:tr w:rsidR="00CE1E04" w:rsidRPr="00CE1E04" w14:paraId="1EAD69BE" w14:textId="77777777" w:rsidTr="0006696D">
        <w:tc>
          <w:tcPr>
            <w:tcW w:w="1377" w:type="pct"/>
          </w:tcPr>
          <w:p w14:paraId="27C3A139"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Individual interpretations of terminology</w:t>
            </w:r>
          </w:p>
        </w:tc>
        <w:tc>
          <w:tcPr>
            <w:tcW w:w="1877" w:type="pct"/>
          </w:tcPr>
          <w:p w14:paraId="170CD124" w14:textId="4162F222" w:rsidR="00501453" w:rsidRPr="00CE1E04" w:rsidRDefault="00501453" w:rsidP="002452A0">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Privatization in a UK context versus a Greek context</w:t>
            </w:r>
          </w:p>
        </w:tc>
        <w:tc>
          <w:tcPr>
            <w:tcW w:w="1746" w:type="pct"/>
          </w:tcPr>
          <w:p w14:paraId="61C005DA"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To allow countries to appropriate vocabulary to their own contexts</w:t>
            </w:r>
          </w:p>
        </w:tc>
      </w:tr>
      <w:tr w:rsidR="00CE1E04" w:rsidRPr="00CE1E04" w14:paraId="56526D17" w14:textId="77777777" w:rsidTr="0006696D">
        <w:tc>
          <w:tcPr>
            <w:tcW w:w="1377" w:type="pct"/>
          </w:tcPr>
          <w:p w14:paraId="7DBE66ED"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Individual appropriations of key models</w:t>
            </w:r>
          </w:p>
        </w:tc>
        <w:tc>
          <w:tcPr>
            <w:tcW w:w="1877" w:type="pct"/>
          </w:tcPr>
          <w:p w14:paraId="0C7F8830"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The landlord model in Latin versus Hanseatic forms</w:t>
            </w:r>
          </w:p>
        </w:tc>
        <w:tc>
          <w:tcPr>
            <w:tcW w:w="1746" w:type="pct"/>
          </w:tcPr>
          <w:p w14:paraId="1398571B" w14:textId="103D94C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To allow countries to decentralize in their own way</w:t>
            </w:r>
          </w:p>
        </w:tc>
      </w:tr>
      <w:tr w:rsidR="00CE1E04" w:rsidRPr="00CE1E04" w14:paraId="01368CEB" w14:textId="77777777" w:rsidTr="0006696D">
        <w:tc>
          <w:tcPr>
            <w:tcW w:w="1377" w:type="pct"/>
          </w:tcPr>
          <w:p w14:paraId="332FF3BB"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The landlord model</w:t>
            </w:r>
          </w:p>
        </w:tc>
        <w:tc>
          <w:tcPr>
            <w:tcW w:w="1877" w:type="pct"/>
          </w:tcPr>
          <w:p w14:paraId="51A627BF"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Widespread use worldwide</w:t>
            </w:r>
          </w:p>
        </w:tc>
        <w:tc>
          <w:tcPr>
            <w:tcW w:w="1746" w:type="pct"/>
          </w:tcPr>
          <w:p w14:paraId="6E4FA9EB" w14:textId="243C0B0B" w:rsidR="00501453" w:rsidRPr="00CE1E04" w:rsidRDefault="00501453" w:rsidP="000A57ED">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To allow governments to decentrali</w:t>
            </w:r>
            <w:r w:rsidR="000A57ED" w:rsidRPr="00CE1E04">
              <w:rPr>
                <w:rFonts w:ascii="Times New Roman" w:eastAsia="Times New Roman" w:hAnsi="Times New Roman" w:cs="Times New Roman"/>
                <w:szCs w:val="24"/>
                <w:lang w:eastAsia="en-GB"/>
              </w:rPr>
              <w:t>s</w:t>
            </w:r>
            <w:r w:rsidRPr="00CE1E04">
              <w:rPr>
                <w:rFonts w:ascii="Times New Roman" w:eastAsia="Times New Roman" w:hAnsi="Times New Roman" w:cs="Times New Roman"/>
                <w:szCs w:val="24"/>
                <w:lang w:eastAsia="en-GB"/>
              </w:rPr>
              <w:t>e yet retain control</w:t>
            </w:r>
          </w:p>
        </w:tc>
      </w:tr>
      <w:tr w:rsidR="00CE1E04" w:rsidRPr="00CE1E04" w14:paraId="59CB502E" w14:textId="77777777" w:rsidTr="0006696D">
        <w:tc>
          <w:tcPr>
            <w:tcW w:w="1377" w:type="pct"/>
          </w:tcPr>
          <w:p w14:paraId="24C8C041"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Concession agreements</w:t>
            </w:r>
          </w:p>
        </w:tc>
        <w:tc>
          <w:tcPr>
            <w:tcW w:w="1877" w:type="pct"/>
          </w:tcPr>
          <w:p w14:paraId="44844FE3" w14:textId="7104EDA4"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Used in many EU countries to decentralize yet retain governmental control</w:t>
            </w:r>
          </w:p>
        </w:tc>
        <w:tc>
          <w:tcPr>
            <w:tcW w:w="1746" w:type="pct"/>
          </w:tcPr>
          <w:p w14:paraId="22F98761" w14:textId="25F94D3A"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To allow countries to privatize yet retain governmental control</w:t>
            </w:r>
          </w:p>
        </w:tc>
      </w:tr>
      <w:tr w:rsidR="00826682" w:rsidRPr="00CE1E04" w14:paraId="20838CCD" w14:textId="77777777" w:rsidTr="0006696D">
        <w:tc>
          <w:tcPr>
            <w:tcW w:w="1377" w:type="pct"/>
          </w:tcPr>
          <w:p w14:paraId="67CFDA89"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Cooperate to compete</w:t>
            </w:r>
          </w:p>
        </w:tc>
        <w:tc>
          <w:tcPr>
            <w:tcW w:w="1877" w:type="pct"/>
          </w:tcPr>
          <w:p w14:paraId="2BFFB434"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Suggestions for Hong Kong and Shenzhen to work together</w:t>
            </w:r>
          </w:p>
        </w:tc>
        <w:tc>
          <w:tcPr>
            <w:tcW w:w="1746" w:type="pct"/>
          </w:tcPr>
          <w:p w14:paraId="0BB10117" w14:textId="77777777" w:rsidR="00501453" w:rsidRPr="00CE1E04" w:rsidRDefault="00501453" w:rsidP="00FB1F41">
            <w:pPr>
              <w:rPr>
                <w:rFonts w:ascii="Times New Roman" w:eastAsia="Times New Roman" w:hAnsi="Times New Roman" w:cs="Times New Roman"/>
                <w:szCs w:val="24"/>
                <w:lang w:eastAsia="en-GB"/>
              </w:rPr>
            </w:pPr>
            <w:r w:rsidRPr="00CE1E04">
              <w:rPr>
                <w:rFonts w:ascii="Times New Roman" w:eastAsia="Times New Roman" w:hAnsi="Times New Roman" w:cs="Times New Roman"/>
                <w:szCs w:val="24"/>
                <w:lang w:eastAsia="en-GB"/>
              </w:rPr>
              <w:t>To allow competition through cooperation</w:t>
            </w:r>
          </w:p>
        </w:tc>
      </w:tr>
    </w:tbl>
    <w:p w14:paraId="2993A65F" w14:textId="77777777" w:rsidR="003950B1" w:rsidRPr="00CE1E04" w:rsidRDefault="003950B1" w:rsidP="000E222A">
      <w:pPr>
        <w:autoSpaceDE w:val="0"/>
        <w:autoSpaceDN w:val="0"/>
        <w:adjustRightInd w:val="0"/>
        <w:jc w:val="both"/>
        <w:rPr>
          <w:rFonts w:ascii="Times New Roman" w:hAnsi="Times New Roman" w:cs="Times New Roman"/>
        </w:rPr>
      </w:pPr>
    </w:p>
    <w:p w14:paraId="20625CB6" w14:textId="2E2D1899" w:rsidR="003950B1" w:rsidRPr="00CE1E04" w:rsidRDefault="003950B1" w:rsidP="000E222A">
      <w:pPr>
        <w:autoSpaceDE w:val="0"/>
        <w:autoSpaceDN w:val="0"/>
        <w:adjustRightInd w:val="0"/>
        <w:jc w:val="both"/>
        <w:rPr>
          <w:rFonts w:ascii="Times New Roman" w:hAnsi="Times New Roman" w:cs="Times New Roman"/>
          <w:b/>
        </w:rPr>
      </w:pPr>
      <w:r w:rsidRPr="00CE1E04">
        <w:rPr>
          <w:rFonts w:ascii="Times New Roman" w:hAnsi="Times New Roman" w:cs="Times New Roman"/>
          <w:b/>
        </w:rPr>
        <w:t>2.</w:t>
      </w:r>
      <w:r w:rsidR="0024579E" w:rsidRPr="00CE1E04">
        <w:rPr>
          <w:rFonts w:ascii="Times New Roman" w:hAnsi="Times New Roman" w:cs="Times New Roman"/>
          <w:b/>
        </w:rPr>
        <w:t>3</w:t>
      </w:r>
      <w:r w:rsidRPr="00CE1E04">
        <w:rPr>
          <w:rFonts w:ascii="Times New Roman" w:hAnsi="Times New Roman" w:cs="Times New Roman"/>
          <w:b/>
        </w:rPr>
        <w:t xml:space="preserve"> </w:t>
      </w:r>
      <w:r w:rsidR="00150BC2" w:rsidRPr="00CE1E04">
        <w:rPr>
          <w:rFonts w:ascii="Times New Roman" w:hAnsi="Times New Roman" w:cs="Times New Roman"/>
          <w:b/>
        </w:rPr>
        <w:t xml:space="preserve">Change Process of </w:t>
      </w:r>
      <w:r w:rsidRPr="00CE1E04">
        <w:rPr>
          <w:rFonts w:ascii="Times New Roman" w:hAnsi="Times New Roman" w:cs="Times New Roman"/>
          <w:b/>
        </w:rPr>
        <w:t>Port Governance Reform in Taiwan</w:t>
      </w:r>
    </w:p>
    <w:p w14:paraId="72F4E5C8" w14:textId="3B0C93F5" w:rsidR="00D50E0E" w:rsidRPr="00CE1E04" w:rsidRDefault="000E222A" w:rsidP="000E222A">
      <w:pPr>
        <w:autoSpaceDE w:val="0"/>
        <w:autoSpaceDN w:val="0"/>
        <w:adjustRightInd w:val="0"/>
        <w:jc w:val="both"/>
        <w:rPr>
          <w:rFonts w:ascii="Times New Roman" w:hAnsi="Times New Roman" w:cs="Times New Roman"/>
        </w:rPr>
      </w:pPr>
      <w:r w:rsidRPr="00CE1E04">
        <w:rPr>
          <w:rFonts w:ascii="Times New Roman" w:hAnsi="Times New Roman" w:cs="Times New Roman"/>
        </w:rPr>
        <w:t xml:space="preserve">  </w:t>
      </w:r>
      <w:r w:rsidR="0068136D" w:rsidRPr="00CE1E04">
        <w:rPr>
          <w:rFonts w:ascii="Times New Roman" w:hAnsi="Times New Roman" w:cs="Times New Roman"/>
        </w:rPr>
        <w:t xml:space="preserve">It is light of the above that Taiwan’s approaches </w:t>
      </w:r>
      <w:r w:rsidR="00E66389" w:rsidRPr="00CE1E04">
        <w:rPr>
          <w:rFonts w:ascii="Times New Roman" w:hAnsi="Times New Roman" w:cs="Times New Roman"/>
        </w:rPr>
        <w:t xml:space="preserve">to reform should be considered. </w:t>
      </w:r>
      <w:r w:rsidR="0068136D" w:rsidRPr="00CE1E04">
        <w:rPr>
          <w:rFonts w:ascii="Times New Roman" w:hAnsi="Times New Roman" w:cs="Times New Roman"/>
        </w:rPr>
        <w:t xml:space="preserve">Previous to </w:t>
      </w:r>
      <w:r w:rsidR="007A58AB" w:rsidRPr="00CE1E04">
        <w:rPr>
          <w:rFonts w:ascii="Times New Roman" w:hAnsi="Times New Roman" w:cs="Times New Roman"/>
        </w:rPr>
        <w:t>Taiwan’s port reform of</w:t>
      </w:r>
      <w:r w:rsidR="0068136D" w:rsidRPr="00CE1E04">
        <w:rPr>
          <w:rFonts w:ascii="Times New Roman" w:hAnsi="Times New Roman" w:cs="Times New Roman"/>
        </w:rPr>
        <w:t xml:space="preserve"> 2012</w:t>
      </w:r>
      <w:r w:rsidR="00D64A21" w:rsidRPr="00CE1E04">
        <w:rPr>
          <w:rFonts w:ascii="Times New Roman" w:hAnsi="Times New Roman" w:cs="Times New Roman"/>
        </w:rPr>
        <w:t xml:space="preserve">, under </w:t>
      </w:r>
      <w:r w:rsidR="0068136D" w:rsidRPr="00CE1E04">
        <w:rPr>
          <w:rFonts w:ascii="Times New Roman" w:hAnsi="Times New Roman" w:cs="Times New Roman"/>
        </w:rPr>
        <w:t xml:space="preserve">the </w:t>
      </w:r>
      <w:r w:rsidR="00D64A21" w:rsidRPr="00CE1E04">
        <w:rPr>
          <w:rFonts w:ascii="Times New Roman" w:hAnsi="Times New Roman" w:cs="Times New Roman"/>
        </w:rPr>
        <w:t xml:space="preserve">Ministry of Transportation &amp; Communication (MOTC), there were 4 </w:t>
      </w:r>
      <w:r w:rsidR="00514BF0" w:rsidRPr="00CE1E04">
        <w:rPr>
          <w:rFonts w:ascii="Times New Roman" w:hAnsi="Times New Roman" w:cs="Times New Roman"/>
        </w:rPr>
        <w:t xml:space="preserve">port </w:t>
      </w:r>
      <w:r w:rsidR="00D64A21" w:rsidRPr="00CE1E04">
        <w:rPr>
          <w:rFonts w:ascii="Times New Roman" w:hAnsi="Times New Roman" w:cs="Times New Roman"/>
        </w:rPr>
        <w:t xml:space="preserve">bureaus in international ports in charge of maritime and port administrations, and </w:t>
      </w:r>
      <w:r w:rsidR="00D27044" w:rsidRPr="00CE1E04">
        <w:rPr>
          <w:rFonts w:ascii="Times New Roman" w:hAnsi="Times New Roman" w:cs="Times New Roman"/>
        </w:rPr>
        <w:t xml:space="preserve">also </w:t>
      </w:r>
      <w:r w:rsidR="00D64A21" w:rsidRPr="00CE1E04">
        <w:rPr>
          <w:rFonts w:ascii="Times New Roman" w:hAnsi="Times New Roman" w:cs="Times New Roman"/>
        </w:rPr>
        <w:t xml:space="preserve">port operations. </w:t>
      </w:r>
      <w:r w:rsidR="00621DB7" w:rsidRPr="00CE1E04">
        <w:rPr>
          <w:rFonts w:ascii="Times New Roman" w:hAnsi="Times New Roman" w:cs="Times New Roman"/>
        </w:rPr>
        <w:t xml:space="preserve">For years, these units acted as a public authority and took charge of port business management in a quasi-governmental role. </w:t>
      </w:r>
      <w:r w:rsidR="00E66389" w:rsidRPr="00CE1E04">
        <w:rPr>
          <w:rFonts w:ascii="Times New Roman" w:hAnsi="Times New Roman" w:cs="Times New Roman"/>
        </w:rPr>
        <w:t>However, u</w:t>
      </w:r>
      <w:r w:rsidR="00621DB7" w:rsidRPr="00CE1E04">
        <w:rPr>
          <w:rFonts w:ascii="Times New Roman" w:hAnsi="Times New Roman" w:cs="Times New Roman"/>
        </w:rPr>
        <w:t>nder such an organi</w:t>
      </w:r>
      <w:r w:rsidR="00CA01F6" w:rsidRPr="00CE1E04">
        <w:rPr>
          <w:rFonts w:ascii="Times New Roman" w:hAnsi="Times New Roman" w:cs="Times New Roman"/>
        </w:rPr>
        <w:t>s</w:t>
      </w:r>
      <w:r w:rsidR="00621DB7" w:rsidRPr="00CE1E04">
        <w:rPr>
          <w:rFonts w:ascii="Times New Roman" w:hAnsi="Times New Roman" w:cs="Times New Roman"/>
        </w:rPr>
        <w:t>ation</w:t>
      </w:r>
      <w:r w:rsidR="00D27044" w:rsidRPr="00CE1E04">
        <w:rPr>
          <w:rFonts w:ascii="Times New Roman" w:hAnsi="Times New Roman" w:cs="Times New Roman"/>
        </w:rPr>
        <w:t>al</w:t>
      </w:r>
      <w:r w:rsidR="00621DB7" w:rsidRPr="00CE1E04">
        <w:rPr>
          <w:rFonts w:ascii="Times New Roman" w:hAnsi="Times New Roman" w:cs="Times New Roman"/>
        </w:rPr>
        <w:t xml:space="preserve"> structure, their legitimacy and fairness was questioned and port development was </w:t>
      </w:r>
      <w:r w:rsidR="007A58AB" w:rsidRPr="00CE1E04">
        <w:rPr>
          <w:rFonts w:ascii="Times New Roman" w:hAnsi="Times New Roman" w:cs="Times New Roman"/>
        </w:rPr>
        <w:t xml:space="preserve">felt to be </w:t>
      </w:r>
      <w:r w:rsidR="00621DB7" w:rsidRPr="00CE1E04">
        <w:rPr>
          <w:rFonts w:ascii="Times New Roman" w:hAnsi="Times New Roman" w:cs="Times New Roman"/>
        </w:rPr>
        <w:t xml:space="preserve">restricted by the complexity of the regulatory environment. Their </w:t>
      </w:r>
      <w:r w:rsidR="007A58AB" w:rsidRPr="00CE1E04">
        <w:rPr>
          <w:rFonts w:ascii="Times New Roman" w:hAnsi="Times New Roman" w:cs="Times New Roman"/>
        </w:rPr>
        <w:t xml:space="preserve">perceived </w:t>
      </w:r>
      <w:r w:rsidR="00621DB7" w:rsidRPr="00CE1E04">
        <w:rPr>
          <w:rFonts w:ascii="Times New Roman" w:hAnsi="Times New Roman" w:cs="Times New Roman"/>
        </w:rPr>
        <w:t>lack of flexibility and responsiveness to market changes</w:t>
      </w:r>
      <w:r w:rsidR="00E66389" w:rsidRPr="00CE1E04">
        <w:rPr>
          <w:rFonts w:ascii="Times New Roman" w:hAnsi="Times New Roman" w:cs="Times New Roman"/>
        </w:rPr>
        <w:t xml:space="preserve"> was perceived to have</w:t>
      </w:r>
      <w:r w:rsidR="00621DB7" w:rsidRPr="00CE1E04">
        <w:rPr>
          <w:rFonts w:ascii="Times New Roman" w:hAnsi="Times New Roman" w:cs="Times New Roman"/>
        </w:rPr>
        <w:t xml:space="preserve"> impeded port development and consequently supp</w:t>
      </w:r>
      <w:r w:rsidR="00621DB7" w:rsidRPr="00CE1E04">
        <w:rPr>
          <w:rFonts w:ascii="Times New Roman" w:hAnsi="Times New Roman" w:cs="Times New Roman"/>
          <w:szCs w:val="24"/>
        </w:rPr>
        <w:t>ressed the development of international competitiveness</w:t>
      </w:r>
      <w:r w:rsidR="00E66389" w:rsidRPr="00CE1E04">
        <w:rPr>
          <w:rFonts w:ascii="Times New Roman" w:hAnsi="Times New Roman" w:cs="Times New Roman"/>
          <w:szCs w:val="24"/>
        </w:rPr>
        <w:t xml:space="preserve"> (cf. Cullinane and Wang, 2006a; Pallis, 2006)</w:t>
      </w:r>
      <w:r w:rsidR="00621DB7" w:rsidRPr="00CE1E04">
        <w:rPr>
          <w:rFonts w:ascii="Times New Roman" w:hAnsi="Times New Roman" w:cs="Times New Roman"/>
          <w:szCs w:val="24"/>
        </w:rPr>
        <w:t>.</w:t>
      </w:r>
      <w:r w:rsidR="00D50E0E" w:rsidRPr="00CE1E04">
        <w:rPr>
          <w:rFonts w:ascii="Times New Roman" w:hAnsi="Times New Roman" w:cs="Times New Roman"/>
          <w:szCs w:val="24"/>
        </w:rPr>
        <w:t xml:space="preserve"> </w:t>
      </w:r>
      <w:r w:rsidR="0098681E" w:rsidRPr="00CE1E04">
        <w:rPr>
          <w:rFonts w:ascii="Times New Roman" w:hAnsi="Times New Roman" w:cs="Times New Roman"/>
          <w:szCs w:val="24"/>
        </w:rPr>
        <w:t>Furthermore, such inflexibility and</w:t>
      </w:r>
      <w:r w:rsidR="0068136D" w:rsidRPr="00CE1E04">
        <w:rPr>
          <w:rFonts w:ascii="Times New Roman" w:hAnsi="Times New Roman" w:cs="Times New Roman"/>
          <w:szCs w:val="24"/>
        </w:rPr>
        <w:t xml:space="preserve"> bias was also feared to impede</w:t>
      </w:r>
      <w:r w:rsidR="0098681E" w:rsidRPr="00CE1E04">
        <w:rPr>
          <w:rFonts w:ascii="Times New Roman" w:hAnsi="Times New Roman" w:cs="Times New Roman"/>
          <w:szCs w:val="24"/>
        </w:rPr>
        <w:t xml:space="preserve"> </w:t>
      </w:r>
      <w:r w:rsidR="005056EB" w:rsidRPr="00CE1E04">
        <w:rPr>
          <w:rFonts w:ascii="Times New Roman" w:hAnsi="Times New Roman" w:cs="Times New Roman"/>
          <w:szCs w:val="24"/>
        </w:rPr>
        <w:t>Taiwan’s</w:t>
      </w:r>
      <w:r w:rsidR="0098681E" w:rsidRPr="00CE1E04">
        <w:rPr>
          <w:rFonts w:ascii="Times New Roman" w:hAnsi="Times New Roman" w:cs="Times New Roman"/>
          <w:szCs w:val="24"/>
        </w:rPr>
        <w:t xml:space="preserve"> ability to make appropriate decisions regarding whether to retain ships found to have critical faults</w:t>
      </w:r>
      <w:r w:rsidR="00D27044" w:rsidRPr="00CE1E04">
        <w:rPr>
          <w:rFonts w:ascii="Times New Roman" w:hAnsi="Times New Roman" w:cs="Times New Roman"/>
          <w:szCs w:val="24"/>
        </w:rPr>
        <w:t>,</w:t>
      </w:r>
      <w:r w:rsidR="0098681E" w:rsidRPr="00CE1E04">
        <w:rPr>
          <w:rFonts w:ascii="Times New Roman" w:hAnsi="Times New Roman" w:cs="Times New Roman"/>
          <w:szCs w:val="24"/>
        </w:rPr>
        <w:t xml:space="preserve"> as Port State </w:t>
      </w:r>
      <w:r w:rsidR="005056EB" w:rsidRPr="00CE1E04">
        <w:rPr>
          <w:rFonts w:ascii="Times New Roman" w:hAnsi="Times New Roman" w:cs="Times New Roman"/>
          <w:szCs w:val="24"/>
        </w:rPr>
        <w:t>Control</w:t>
      </w:r>
      <w:r w:rsidR="0098681E" w:rsidRPr="00CE1E04">
        <w:rPr>
          <w:rFonts w:ascii="Times New Roman" w:hAnsi="Times New Roman" w:cs="Times New Roman"/>
          <w:szCs w:val="24"/>
        </w:rPr>
        <w:t xml:space="preserve"> was “administered by commercial port authorities, causing impartiality” (Liou et al., 2011, p. 36). </w:t>
      </w:r>
      <w:r w:rsidR="00E66389" w:rsidRPr="00CE1E04">
        <w:rPr>
          <w:rFonts w:ascii="Times New Roman" w:hAnsi="Times New Roman" w:cs="Times New Roman"/>
          <w:szCs w:val="24"/>
        </w:rPr>
        <w:t>Therefore, aim</w:t>
      </w:r>
      <w:r w:rsidR="007A58AB" w:rsidRPr="00CE1E04">
        <w:rPr>
          <w:rFonts w:ascii="Times New Roman" w:hAnsi="Times New Roman" w:cs="Times New Roman"/>
          <w:szCs w:val="24"/>
        </w:rPr>
        <w:t>ing</w:t>
      </w:r>
      <w:r w:rsidR="00D50E0E" w:rsidRPr="00CE1E04">
        <w:rPr>
          <w:rFonts w:ascii="Times New Roman" w:hAnsi="Times New Roman" w:cs="Times New Roman"/>
          <w:szCs w:val="24"/>
        </w:rPr>
        <w:t xml:space="preserve"> to conduct government organi</w:t>
      </w:r>
      <w:r w:rsidR="00CA01F6" w:rsidRPr="00CE1E04">
        <w:rPr>
          <w:rFonts w:ascii="Times New Roman" w:hAnsi="Times New Roman" w:cs="Times New Roman"/>
          <w:szCs w:val="24"/>
        </w:rPr>
        <w:t>s</w:t>
      </w:r>
      <w:r w:rsidR="00D50E0E" w:rsidRPr="00CE1E04">
        <w:rPr>
          <w:rFonts w:ascii="Times New Roman" w:hAnsi="Times New Roman" w:cs="Times New Roman"/>
          <w:szCs w:val="24"/>
        </w:rPr>
        <w:t>ational reform</w:t>
      </w:r>
      <w:r w:rsidR="00E66389" w:rsidRPr="00CE1E04">
        <w:rPr>
          <w:rFonts w:ascii="Times New Roman" w:hAnsi="Times New Roman" w:cs="Times New Roman"/>
          <w:szCs w:val="24"/>
        </w:rPr>
        <w:t xml:space="preserve"> and respond</w:t>
      </w:r>
      <w:r w:rsidR="00AB036C" w:rsidRPr="00CE1E04">
        <w:rPr>
          <w:rFonts w:ascii="Times New Roman" w:hAnsi="Times New Roman" w:cs="Times New Roman"/>
          <w:szCs w:val="24"/>
        </w:rPr>
        <w:t xml:space="preserve"> to global trends of divi</w:t>
      </w:r>
      <w:r w:rsidR="007A58AB" w:rsidRPr="00CE1E04">
        <w:rPr>
          <w:rFonts w:ascii="Times New Roman" w:hAnsi="Times New Roman" w:cs="Times New Roman"/>
          <w:szCs w:val="24"/>
        </w:rPr>
        <w:t>ding</w:t>
      </w:r>
      <w:r w:rsidR="00AB036C" w:rsidRPr="00CE1E04">
        <w:rPr>
          <w:rFonts w:ascii="Times New Roman" w:hAnsi="Times New Roman" w:cs="Times New Roman"/>
          <w:szCs w:val="24"/>
        </w:rPr>
        <w:t xml:space="preserve"> administration and operation</w:t>
      </w:r>
      <w:r w:rsidR="007A58AB" w:rsidRPr="00CE1E04">
        <w:rPr>
          <w:rFonts w:ascii="Times New Roman" w:hAnsi="Times New Roman" w:cs="Times New Roman"/>
          <w:szCs w:val="24"/>
        </w:rPr>
        <w:t>s</w:t>
      </w:r>
      <w:r w:rsidR="00D50E0E" w:rsidRPr="00CE1E04">
        <w:rPr>
          <w:rFonts w:ascii="Times New Roman" w:hAnsi="Times New Roman" w:cs="Times New Roman"/>
          <w:szCs w:val="24"/>
        </w:rPr>
        <w:t>, a decision (1st March 2012) was made to separate business management from the administrative system. Under this framework, the four port authorities</w:t>
      </w:r>
      <w:r w:rsidR="00D50E0E" w:rsidRPr="00CE1E04">
        <w:rPr>
          <w:rFonts w:ascii="Times New Roman" w:hAnsi="Times New Roman" w:cs="Times New Roman"/>
        </w:rPr>
        <w:t xml:space="preserve"> were consolidated into</w:t>
      </w:r>
      <w:r w:rsidR="007A58AB" w:rsidRPr="00CE1E04">
        <w:rPr>
          <w:rFonts w:ascii="Times New Roman" w:hAnsi="Times New Roman" w:cs="Times New Roman"/>
        </w:rPr>
        <w:t xml:space="preserve"> two:</w:t>
      </w:r>
      <w:r w:rsidR="00D50E0E" w:rsidRPr="00CE1E04">
        <w:rPr>
          <w:rFonts w:ascii="Times New Roman" w:hAnsi="Times New Roman" w:cs="Times New Roman"/>
        </w:rPr>
        <w:t xml:space="preserve"> Maritime and Port Bureau (MPB) and the Taiwan International Ports Corporation Ltd (TIPC). MPB acts as a government body and </w:t>
      </w:r>
      <w:r w:rsidR="00D27044" w:rsidRPr="00CE1E04">
        <w:rPr>
          <w:rFonts w:ascii="Times New Roman" w:hAnsi="Times New Roman" w:cs="Times New Roman"/>
        </w:rPr>
        <w:t>is in</w:t>
      </w:r>
      <w:r w:rsidR="00D50E0E" w:rsidRPr="00CE1E04">
        <w:rPr>
          <w:rFonts w:ascii="Times New Roman" w:hAnsi="Times New Roman" w:cs="Times New Roman"/>
        </w:rPr>
        <w:t xml:space="preserve"> charge</w:t>
      </w:r>
      <w:r w:rsidR="00D27044" w:rsidRPr="00CE1E04">
        <w:rPr>
          <w:rFonts w:ascii="Times New Roman" w:hAnsi="Times New Roman" w:cs="Times New Roman"/>
        </w:rPr>
        <w:t xml:space="preserve"> of</w:t>
      </w:r>
      <w:r w:rsidR="00D50E0E" w:rsidRPr="00CE1E04">
        <w:rPr>
          <w:rFonts w:ascii="Times New Roman" w:hAnsi="Times New Roman" w:cs="Times New Roman"/>
        </w:rPr>
        <w:t xml:space="preserve"> maritime and port-relate</w:t>
      </w:r>
      <w:r w:rsidR="00E66389" w:rsidRPr="00CE1E04">
        <w:rPr>
          <w:rFonts w:ascii="Times New Roman" w:hAnsi="Times New Roman" w:cs="Times New Roman"/>
        </w:rPr>
        <w:t>d public administration. TIPC operate</w:t>
      </w:r>
      <w:r w:rsidR="00D27044" w:rsidRPr="00CE1E04">
        <w:rPr>
          <w:rFonts w:ascii="Times New Roman" w:hAnsi="Times New Roman" w:cs="Times New Roman"/>
        </w:rPr>
        <w:t>s</w:t>
      </w:r>
      <w:r w:rsidR="00E66389" w:rsidRPr="00CE1E04">
        <w:rPr>
          <w:rFonts w:ascii="Times New Roman" w:hAnsi="Times New Roman" w:cs="Times New Roman"/>
        </w:rPr>
        <w:t xml:space="preserve"> as</w:t>
      </w:r>
      <w:r w:rsidR="00D50E0E" w:rsidRPr="00CE1E04">
        <w:rPr>
          <w:rFonts w:ascii="Times New Roman" w:hAnsi="Times New Roman" w:cs="Times New Roman"/>
        </w:rPr>
        <w:t xml:space="preserve"> a</w:t>
      </w:r>
      <w:r w:rsidR="00FB1F41" w:rsidRPr="00CE1E04">
        <w:rPr>
          <w:rFonts w:ascii="Times New Roman" w:hAnsi="Times New Roman" w:cs="Times New Roman"/>
        </w:rPr>
        <w:t xml:space="preserve"> state run</w:t>
      </w:r>
      <w:r w:rsidR="00D50E0E" w:rsidRPr="00CE1E04">
        <w:rPr>
          <w:rFonts w:ascii="Times New Roman" w:hAnsi="Times New Roman" w:cs="Times New Roman"/>
        </w:rPr>
        <w:t xml:space="preserve"> business in charge of business management and development</w:t>
      </w:r>
      <w:r w:rsidR="00234A1C" w:rsidRPr="00CE1E04">
        <w:rPr>
          <w:rFonts w:ascii="Times New Roman" w:hAnsi="Times New Roman" w:cs="Times New Roman"/>
        </w:rPr>
        <w:t xml:space="preserve"> (see Figure 7)</w:t>
      </w:r>
      <w:r w:rsidR="00D50E0E" w:rsidRPr="00CE1E04">
        <w:rPr>
          <w:rFonts w:ascii="Times New Roman" w:hAnsi="Times New Roman" w:cs="Times New Roman"/>
        </w:rPr>
        <w:t xml:space="preserve">. </w:t>
      </w:r>
    </w:p>
    <w:p w14:paraId="38200CDD" w14:textId="77777777" w:rsidR="00D50E0E" w:rsidRPr="00CE1E04" w:rsidRDefault="00D50E0E" w:rsidP="00D50E0E">
      <w:pPr>
        <w:ind w:firstLineChars="100" w:firstLine="240"/>
        <w:jc w:val="both"/>
        <w:rPr>
          <w:rFonts w:ascii="Times New Roman" w:hAnsi="Times New Roman" w:cs="Times New Roman"/>
        </w:rPr>
      </w:pPr>
    </w:p>
    <w:p w14:paraId="409A40A5" w14:textId="77777777" w:rsidR="00CA6235" w:rsidRPr="00CE1E04" w:rsidRDefault="00372DDB" w:rsidP="005848C3">
      <w:pPr>
        <w:jc w:val="center"/>
        <w:rPr>
          <w:rFonts w:ascii="Times New Roman" w:hAnsi="Times New Roman" w:cs="Times New Roman"/>
        </w:rPr>
      </w:pPr>
      <w:r w:rsidRPr="00CE1E04">
        <w:rPr>
          <w:rFonts w:ascii="Times New Roman" w:hAnsi="Times New Roman" w:cs="Times New Roman"/>
        </w:rPr>
        <w:object w:dxaOrig="9120" w:dyaOrig="3877" w14:anchorId="2593F0C5">
          <v:shape id="_x0000_i1026" type="#_x0000_t75" style="width:418.5pt;height:172.5pt" o:ole="">
            <v:imagedata r:id="rId15" o:title=""/>
          </v:shape>
          <o:OLEObject Type="Embed" ProgID="Visio.Drawing.11" ShapeID="_x0000_i1026" DrawAspect="Content" ObjectID="_1531508449" r:id="rId16"/>
        </w:object>
      </w:r>
    </w:p>
    <w:p w14:paraId="78AEC2EB" w14:textId="2133C373" w:rsidR="001538A2" w:rsidRPr="00CE1E04" w:rsidRDefault="001538A2" w:rsidP="005848C3">
      <w:pPr>
        <w:jc w:val="center"/>
        <w:rPr>
          <w:rFonts w:ascii="Times New Roman" w:hAnsi="Times New Roman" w:cs="Times New Roman"/>
        </w:rPr>
      </w:pPr>
      <w:r w:rsidRPr="00CE1E04">
        <w:rPr>
          <w:rFonts w:ascii="Times New Roman" w:hAnsi="Times New Roman" w:cs="Times New Roman"/>
        </w:rPr>
        <w:t>Figure</w:t>
      </w:r>
      <w:r w:rsidR="00D50E0E" w:rsidRPr="00CE1E04">
        <w:rPr>
          <w:rFonts w:ascii="Times New Roman" w:hAnsi="Times New Roman" w:cs="Times New Roman"/>
        </w:rPr>
        <w:t xml:space="preserve"> </w:t>
      </w:r>
      <w:r w:rsidR="00234A1C" w:rsidRPr="00CE1E04">
        <w:rPr>
          <w:rFonts w:ascii="Times New Roman" w:hAnsi="Times New Roman" w:cs="Times New Roman"/>
        </w:rPr>
        <w:t>7</w:t>
      </w:r>
      <w:r w:rsidR="00423807" w:rsidRPr="00CE1E04">
        <w:rPr>
          <w:rFonts w:ascii="Times New Roman" w:hAnsi="Times New Roman" w:cs="Times New Roman"/>
        </w:rPr>
        <w:t>.</w:t>
      </w:r>
      <w:r w:rsidRPr="00CE1E04">
        <w:rPr>
          <w:rFonts w:ascii="Times New Roman" w:hAnsi="Times New Roman" w:cs="Times New Roman"/>
        </w:rPr>
        <w:t xml:space="preserve"> Port reform in Taiwan in 2012</w:t>
      </w:r>
    </w:p>
    <w:p w14:paraId="22F5440E" w14:textId="77777777" w:rsidR="00D24FF8" w:rsidRPr="00CE1E04" w:rsidRDefault="00D24FF8" w:rsidP="005848C3">
      <w:pPr>
        <w:jc w:val="center"/>
        <w:rPr>
          <w:rFonts w:ascii="Times New Roman" w:hAnsi="Times New Roman" w:cs="Times New Roman"/>
        </w:rPr>
      </w:pPr>
    </w:p>
    <w:p w14:paraId="4ED400C1" w14:textId="363D35F5" w:rsidR="002E4676" w:rsidRPr="00CE1E04" w:rsidRDefault="0082641F" w:rsidP="006E26FE">
      <w:pPr>
        <w:jc w:val="both"/>
        <w:rPr>
          <w:rFonts w:ascii="Times New Roman" w:hAnsi="Times New Roman" w:cs="Times New Roman"/>
          <w:szCs w:val="24"/>
        </w:rPr>
      </w:pPr>
      <w:r w:rsidRPr="00CE1E04">
        <w:rPr>
          <w:rFonts w:ascii="Times New Roman" w:hAnsi="Times New Roman" w:cs="Times New Roman"/>
          <w:szCs w:val="24"/>
        </w:rPr>
        <w:t xml:space="preserve">  </w:t>
      </w:r>
      <w:r w:rsidR="00E66389" w:rsidRPr="00CE1E04">
        <w:rPr>
          <w:rFonts w:ascii="Times New Roman" w:hAnsi="Times New Roman" w:cs="Times New Roman"/>
          <w:szCs w:val="24"/>
        </w:rPr>
        <w:t>The intention was to</w:t>
      </w:r>
      <w:r w:rsidR="00C63092" w:rsidRPr="00CE1E04">
        <w:rPr>
          <w:rFonts w:ascii="Times New Roman" w:hAnsi="Times New Roman" w:cs="Times New Roman"/>
          <w:szCs w:val="24"/>
        </w:rPr>
        <w:t xml:space="preserve"> create</w:t>
      </w:r>
      <w:r w:rsidR="00E66389" w:rsidRPr="00CE1E04">
        <w:rPr>
          <w:rFonts w:ascii="Times New Roman" w:hAnsi="Times New Roman" w:cs="Times New Roman"/>
          <w:szCs w:val="24"/>
        </w:rPr>
        <w:t xml:space="preserve"> a more streamlined model </w:t>
      </w:r>
      <w:r w:rsidR="00C63092" w:rsidRPr="00CE1E04">
        <w:rPr>
          <w:rFonts w:ascii="Times New Roman" w:hAnsi="Times New Roman" w:cs="Times New Roman"/>
          <w:szCs w:val="24"/>
        </w:rPr>
        <w:t>to</w:t>
      </w:r>
      <w:r w:rsidR="00E66389" w:rsidRPr="00CE1E04">
        <w:rPr>
          <w:rFonts w:ascii="Times New Roman" w:hAnsi="Times New Roman" w:cs="Times New Roman"/>
          <w:szCs w:val="24"/>
        </w:rPr>
        <w:t xml:space="preserve"> increas</w:t>
      </w:r>
      <w:r w:rsidR="00C63092" w:rsidRPr="00CE1E04">
        <w:rPr>
          <w:rFonts w:ascii="Times New Roman" w:hAnsi="Times New Roman" w:cs="Times New Roman"/>
          <w:szCs w:val="24"/>
        </w:rPr>
        <w:t>e</w:t>
      </w:r>
      <w:r w:rsidR="00E66389" w:rsidRPr="00CE1E04">
        <w:rPr>
          <w:rFonts w:ascii="Times New Roman" w:hAnsi="Times New Roman" w:cs="Times New Roman"/>
          <w:szCs w:val="24"/>
        </w:rPr>
        <w:t xml:space="preserve"> responsiveness and efficiency, and devolve the business side of port governance more to the TIPC (cf. World Bank, 2007).</w:t>
      </w:r>
      <w:r w:rsidRPr="00CE1E04">
        <w:rPr>
          <w:rFonts w:ascii="Times New Roman" w:hAnsi="Times New Roman" w:cs="Times New Roman"/>
          <w:szCs w:val="24"/>
        </w:rPr>
        <w:t xml:space="preserve"> </w:t>
      </w:r>
      <w:r w:rsidR="002E4676" w:rsidRPr="00CE1E04">
        <w:rPr>
          <w:rFonts w:ascii="Times New Roman" w:hAnsi="Times New Roman" w:cs="Times New Roman"/>
          <w:szCs w:val="24"/>
        </w:rPr>
        <w:t>The organi</w:t>
      </w:r>
      <w:r w:rsidR="00CA01F6" w:rsidRPr="00CE1E04">
        <w:rPr>
          <w:rFonts w:ascii="Times New Roman" w:hAnsi="Times New Roman" w:cs="Times New Roman"/>
          <w:szCs w:val="24"/>
        </w:rPr>
        <w:t>s</w:t>
      </w:r>
      <w:r w:rsidR="002E4676" w:rsidRPr="00CE1E04">
        <w:rPr>
          <w:rFonts w:ascii="Times New Roman" w:hAnsi="Times New Roman" w:cs="Times New Roman"/>
          <w:szCs w:val="24"/>
        </w:rPr>
        <w:t xml:space="preserve">ation structure of Department of Navigation and Aviation </w:t>
      </w:r>
      <w:r w:rsidR="00162F3B" w:rsidRPr="00CE1E04">
        <w:rPr>
          <w:rFonts w:ascii="Times New Roman" w:hAnsi="Times New Roman" w:cs="Times New Roman"/>
          <w:szCs w:val="24"/>
        </w:rPr>
        <w:t xml:space="preserve">under the Ministry of Transportation and Communication </w:t>
      </w:r>
      <w:r w:rsidR="002E4676" w:rsidRPr="00CE1E04">
        <w:rPr>
          <w:rFonts w:ascii="Times New Roman" w:hAnsi="Times New Roman" w:cs="Times New Roman"/>
          <w:szCs w:val="24"/>
        </w:rPr>
        <w:t xml:space="preserve">in Taiwan is shown in Figure </w:t>
      </w:r>
      <w:r w:rsidR="00496EB4" w:rsidRPr="00CE1E04">
        <w:rPr>
          <w:rFonts w:ascii="Times New Roman" w:hAnsi="Times New Roman" w:cs="Times New Roman"/>
          <w:szCs w:val="24"/>
        </w:rPr>
        <w:t>8</w:t>
      </w:r>
      <w:r w:rsidR="002E4676" w:rsidRPr="00CE1E04">
        <w:rPr>
          <w:rFonts w:ascii="Times New Roman" w:hAnsi="Times New Roman" w:cs="Times New Roman"/>
          <w:szCs w:val="24"/>
        </w:rPr>
        <w:t xml:space="preserve">. </w:t>
      </w:r>
      <w:r w:rsidR="00C23BFF" w:rsidRPr="00CE1E04">
        <w:rPr>
          <w:rFonts w:ascii="Times New Roman" w:hAnsi="Times New Roman" w:cs="Times New Roman"/>
          <w:szCs w:val="24"/>
        </w:rPr>
        <w:t xml:space="preserve">Port and shipping affairs are supervised by </w:t>
      </w:r>
      <w:r w:rsidR="00E66389" w:rsidRPr="00CE1E04">
        <w:rPr>
          <w:rFonts w:ascii="Times New Roman" w:hAnsi="Times New Roman" w:cs="Times New Roman"/>
          <w:szCs w:val="24"/>
        </w:rPr>
        <w:t xml:space="preserve">the </w:t>
      </w:r>
      <w:r w:rsidR="00C23BFF" w:rsidRPr="00CE1E04">
        <w:rPr>
          <w:rFonts w:ascii="Times New Roman" w:hAnsi="Times New Roman" w:cs="Times New Roman"/>
          <w:szCs w:val="24"/>
        </w:rPr>
        <w:t>port development division, shipping management division and shipping technique division.</w:t>
      </w:r>
    </w:p>
    <w:p w14:paraId="362DCCD9" w14:textId="77777777" w:rsidR="002E4676" w:rsidRPr="00CE1E04" w:rsidRDefault="002E4676" w:rsidP="003266FF">
      <w:pPr>
        <w:jc w:val="both"/>
        <w:rPr>
          <w:rFonts w:ascii="Times New Roman" w:hAnsi="Times New Roman" w:cs="Times New Roman"/>
        </w:rPr>
      </w:pPr>
    </w:p>
    <w:p w14:paraId="1618676B" w14:textId="77777777" w:rsidR="002E4676" w:rsidRPr="00CE1E04" w:rsidRDefault="003367AD" w:rsidP="003266FF">
      <w:pPr>
        <w:jc w:val="both"/>
        <w:rPr>
          <w:rFonts w:ascii="Times New Roman" w:hAnsi="Times New Roman" w:cs="Times New Roman"/>
        </w:rPr>
      </w:pPr>
      <w:r w:rsidRPr="00CE1E04">
        <w:rPr>
          <w:rFonts w:ascii="Times New Roman" w:hAnsi="Times New Roman" w:cs="Times New Roman"/>
        </w:rPr>
        <w:object w:dxaOrig="15769" w:dyaOrig="5064" w14:anchorId="37888ECB">
          <v:shape id="_x0000_i1027" type="#_x0000_t75" style="width:417.75pt;height:135.75pt" o:ole="">
            <v:imagedata r:id="rId17" o:title=""/>
          </v:shape>
          <o:OLEObject Type="Embed" ProgID="Visio.Drawing.11" ShapeID="_x0000_i1027" DrawAspect="Content" ObjectID="_1531508450" r:id="rId18"/>
        </w:object>
      </w:r>
    </w:p>
    <w:p w14:paraId="41442B65" w14:textId="150B9EB8" w:rsidR="002E4676" w:rsidRPr="00CE1E04" w:rsidRDefault="007D6F9E" w:rsidP="007D6F9E">
      <w:pPr>
        <w:jc w:val="center"/>
        <w:rPr>
          <w:rFonts w:ascii="Times New Roman" w:hAnsi="Times New Roman" w:cs="Times New Roman"/>
          <w:szCs w:val="24"/>
        </w:rPr>
      </w:pPr>
      <w:r w:rsidRPr="00CE1E04">
        <w:rPr>
          <w:rFonts w:ascii="Times New Roman" w:hAnsi="Times New Roman" w:cs="Times New Roman"/>
          <w:szCs w:val="24"/>
        </w:rPr>
        <w:t xml:space="preserve">Figure </w:t>
      </w:r>
      <w:r w:rsidR="00496EB4" w:rsidRPr="00CE1E04">
        <w:rPr>
          <w:rFonts w:ascii="Times New Roman" w:hAnsi="Times New Roman" w:cs="Times New Roman"/>
          <w:szCs w:val="24"/>
        </w:rPr>
        <w:t>8</w:t>
      </w:r>
      <w:r w:rsidR="00423807" w:rsidRPr="00CE1E04">
        <w:rPr>
          <w:rFonts w:ascii="Times New Roman" w:hAnsi="Times New Roman" w:cs="Times New Roman"/>
          <w:szCs w:val="24"/>
        </w:rPr>
        <w:t>.</w:t>
      </w:r>
      <w:r w:rsidRPr="00CE1E04">
        <w:rPr>
          <w:rFonts w:ascii="Times New Roman" w:hAnsi="Times New Roman" w:cs="Times New Roman"/>
          <w:szCs w:val="24"/>
        </w:rPr>
        <w:t xml:space="preserve"> The organi</w:t>
      </w:r>
      <w:r w:rsidR="00CA01F6" w:rsidRPr="00CE1E04">
        <w:rPr>
          <w:rFonts w:ascii="Times New Roman" w:hAnsi="Times New Roman" w:cs="Times New Roman"/>
          <w:szCs w:val="24"/>
        </w:rPr>
        <w:t>s</w:t>
      </w:r>
      <w:r w:rsidRPr="00CE1E04">
        <w:rPr>
          <w:rFonts w:ascii="Times New Roman" w:hAnsi="Times New Roman" w:cs="Times New Roman"/>
          <w:szCs w:val="24"/>
        </w:rPr>
        <w:t>ation structure of Department of Navigation and Aviation</w:t>
      </w:r>
    </w:p>
    <w:p w14:paraId="6F418C05" w14:textId="77777777" w:rsidR="00162F3B" w:rsidRPr="00CE1E04" w:rsidRDefault="00162F3B" w:rsidP="003266FF">
      <w:pPr>
        <w:jc w:val="both"/>
        <w:rPr>
          <w:rFonts w:ascii="Times New Roman" w:hAnsi="Times New Roman" w:cs="Times New Roman"/>
          <w:sz w:val="28"/>
          <w:szCs w:val="28"/>
        </w:rPr>
      </w:pPr>
    </w:p>
    <w:p w14:paraId="27B3735D" w14:textId="703A5241" w:rsidR="003266FF" w:rsidRPr="00CE1E04" w:rsidRDefault="00DE6565" w:rsidP="003C083B">
      <w:pPr>
        <w:ind w:firstLineChars="100" w:firstLine="240"/>
        <w:jc w:val="both"/>
        <w:rPr>
          <w:rFonts w:ascii="Times New Roman" w:hAnsi="Times New Roman" w:cs="Times New Roman"/>
          <w:sz w:val="28"/>
          <w:szCs w:val="28"/>
        </w:rPr>
      </w:pPr>
      <w:r w:rsidRPr="00CE1E04">
        <w:rPr>
          <w:rFonts w:ascii="Times New Roman" w:hAnsi="Times New Roman" w:cs="Times New Roman"/>
        </w:rPr>
        <w:t xml:space="preserve">Under the Department of Navigation and Aviation </w:t>
      </w:r>
      <w:r w:rsidR="00C63092" w:rsidRPr="00CE1E04">
        <w:rPr>
          <w:rFonts w:ascii="Times New Roman" w:hAnsi="Times New Roman" w:cs="Times New Roman"/>
        </w:rPr>
        <w:t>are</w:t>
      </w:r>
      <w:r w:rsidRPr="00CE1E04">
        <w:rPr>
          <w:rFonts w:ascii="Times New Roman" w:hAnsi="Times New Roman" w:cs="Times New Roman"/>
        </w:rPr>
        <w:t xml:space="preserve"> the Maritime and Ports Bureau (MPB) and the Taiwan International Ports Corporation (TIPC).</w:t>
      </w:r>
      <w:r w:rsidR="00E66389" w:rsidRPr="00CE1E04">
        <w:rPr>
          <w:rFonts w:ascii="Times New Roman" w:hAnsi="Times New Roman" w:cs="Times New Roman"/>
        </w:rPr>
        <w:t xml:space="preserve"> </w:t>
      </w:r>
      <w:r w:rsidR="00D50E0E" w:rsidRPr="00CE1E04">
        <w:rPr>
          <w:rFonts w:ascii="Times New Roman" w:hAnsi="Times New Roman" w:cs="Times New Roman"/>
        </w:rPr>
        <w:t xml:space="preserve">As Figure </w:t>
      </w:r>
      <w:r w:rsidR="00496EB4" w:rsidRPr="00CE1E04">
        <w:rPr>
          <w:rFonts w:ascii="Times New Roman" w:hAnsi="Times New Roman" w:cs="Times New Roman"/>
        </w:rPr>
        <w:t>9</w:t>
      </w:r>
      <w:r w:rsidR="00C63092" w:rsidRPr="00CE1E04">
        <w:rPr>
          <w:rFonts w:ascii="Times New Roman" w:hAnsi="Times New Roman" w:cs="Times New Roman"/>
        </w:rPr>
        <w:t xml:space="preserve"> shows</w:t>
      </w:r>
      <w:r w:rsidR="00D50E0E" w:rsidRPr="00CE1E04">
        <w:rPr>
          <w:rFonts w:ascii="Times New Roman" w:hAnsi="Times New Roman" w:cs="Times New Roman"/>
        </w:rPr>
        <w:t>, t</w:t>
      </w:r>
      <w:r w:rsidR="003266FF" w:rsidRPr="00CE1E04">
        <w:rPr>
          <w:rFonts w:ascii="Times New Roman" w:hAnsi="Times New Roman" w:cs="Times New Roman"/>
        </w:rPr>
        <w:t>he MPB is staffed with the Offices of Planning Division, Maritime Affairs Division, Vessel Management Division, Port Affairs Division, Crew Management Division, Maritime Safety Division, Secretariat, Personnel Office, Civil Service Ethics Office, Comptroller Office, Information Management Office and four Maritime Affairs Centers - North, Central, South, and East.</w:t>
      </w:r>
    </w:p>
    <w:p w14:paraId="2A5D8B28" w14:textId="45BF6524" w:rsidR="00CA6235" w:rsidRPr="00CE1E04" w:rsidRDefault="00561834" w:rsidP="005848C3">
      <w:pPr>
        <w:jc w:val="center"/>
        <w:rPr>
          <w:rFonts w:ascii="Times New Roman" w:hAnsi="Times New Roman" w:cs="Times New Roman"/>
        </w:rPr>
      </w:pPr>
      <w:r w:rsidRPr="00CE1E04">
        <w:rPr>
          <w:rFonts w:ascii="Times New Roman" w:hAnsi="Times New Roman" w:cs="Times New Roman"/>
        </w:rPr>
        <w:t xml:space="preserve"> </w:t>
      </w:r>
      <w:r w:rsidRPr="00CE1E04">
        <w:rPr>
          <w:rFonts w:ascii="Times New Roman" w:hAnsi="Times New Roman" w:cs="Times New Roman"/>
        </w:rPr>
        <w:object w:dxaOrig="13548" w:dyaOrig="3612" w14:anchorId="20A8F665">
          <v:shape id="_x0000_i1028" type="#_x0000_t75" style="width:415.5pt;height:111pt" o:ole="">
            <v:imagedata r:id="rId19" o:title=""/>
          </v:shape>
          <o:OLEObject Type="Embed" ProgID="Visio.Drawing.11" ShapeID="_x0000_i1028" DrawAspect="Content" ObjectID="_1531508451" r:id="rId20"/>
        </w:object>
      </w:r>
    </w:p>
    <w:p w14:paraId="61B0453C" w14:textId="0C15647A" w:rsidR="00D50E0E" w:rsidRPr="00CE1E04" w:rsidRDefault="00D50E0E" w:rsidP="005848C3">
      <w:pPr>
        <w:jc w:val="center"/>
        <w:rPr>
          <w:rFonts w:ascii="Times New Roman" w:hAnsi="Times New Roman" w:cs="Times New Roman"/>
        </w:rPr>
      </w:pPr>
      <w:r w:rsidRPr="00CE1E04">
        <w:rPr>
          <w:rFonts w:ascii="Times New Roman" w:hAnsi="Times New Roman" w:cs="Times New Roman"/>
        </w:rPr>
        <w:t xml:space="preserve">Figure </w:t>
      </w:r>
      <w:r w:rsidR="00496EB4" w:rsidRPr="00CE1E04">
        <w:rPr>
          <w:rFonts w:ascii="Times New Roman" w:hAnsi="Times New Roman" w:cs="Times New Roman"/>
        </w:rPr>
        <w:t>9</w:t>
      </w:r>
      <w:r w:rsidR="00423807" w:rsidRPr="00CE1E04">
        <w:rPr>
          <w:rFonts w:ascii="Times New Roman" w:hAnsi="Times New Roman" w:cs="Times New Roman"/>
        </w:rPr>
        <w:t>.</w:t>
      </w:r>
      <w:r w:rsidRPr="00CE1E04">
        <w:rPr>
          <w:rFonts w:ascii="Times New Roman" w:hAnsi="Times New Roman" w:cs="Times New Roman"/>
        </w:rPr>
        <w:t xml:space="preserve"> The </w:t>
      </w:r>
      <w:r w:rsidR="00C63092" w:rsidRPr="00CE1E04">
        <w:rPr>
          <w:rFonts w:ascii="Times New Roman" w:hAnsi="Times New Roman" w:cs="Times New Roman"/>
        </w:rPr>
        <w:t>organi</w:t>
      </w:r>
      <w:r w:rsidR="002452A0" w:rsidRPr="00CE1E04">
        <w:rPr>
          <w:rFonts w:ascii="Times New Roman" w:hAnsi="Times New Roman" w:cs="Times New Roman"/>
        </w:rPr>
        <w:t>s</w:t>
      </w:r>
      <w:r w:rsidR="00C63092" w:rsidRPr="00CE1E04">
        <w:rPr>
          <w:rFonts w:ascii="Times New Roman" w:hAnsi="Times New Roman" w:cs="Times New Roman"/>
        </w:rPr>
        <w:t>ational</w:t>
      </w:r>
      <w:r w:rsidRPr="00CE1E04">
        <w:rPr>
          <w:rFonts w:ascii="Times New Roman" w:hAnsi="Times New Roman" w:cs="Times New Roman"/>
        </w:rPr>
        <w:t xml:space="preserve"> structure of MPB</w:t>
      </w:r>
    </w:p>
    <w:p w14:paraId="425D087B" w14:textId="77777777" w:rsidR="00D50E0E" w:rsidRPr="00CE1E04" w:rsidRDefault="00D50E0E" w:rsidP="005848C3">
      <w:pPr>
        <w:jc w:val="center"/>
        <w:rPr>
          <w:rFonts w:ascii="Times New Roman" w:hAnsi="Times New Roman" w:cs="Times New Roman"/>
          <w:sz w:val="28"/>
          <w:szCs w:val="28"/>
        </w:rPr>
      </w:pPr>
    </w:p>
    <w:p w14:paraId="061B2FED" w14:textId="51311E37" w:rsidR="003266FF" w:rsidRPr="00CE1E04" w:rsidRDefault="009A0211" w:rsidP="008859D8">
      <w:pPr>
        <w:ind w:firstLineChars="100" w:firstLine="240"/>
        <w:jc w:val="both"/>
        <w:rPr>
          <w:rFonts w:ascii="Times New Roman" w:hAnsi="Times New Roman" w:cs="Times New Roman"/>
          <w:szCs w:val="24"/>
        </w:rPr>
      </w:pPr>
      <w:r w:rsidRPr="00CE1E04">
        <w:rPr>
          <w:rFonts w:ascii="Times New Roman" w:eastAsia="Microsoft JhengHei" w:hAnsi="Times New Roman" w:cs="Times New Roman"/>
          <w:szCs w:val="24"/>
        </w:rPr>
        <w:t>In</w:t>
      </w:r>
      <w:r w:rsidR="00DE6565" w:rsidRPr="00CE1E04">
        <w:rPr>
          <w:rFonts w:ascii="Times New Roman" w:eastAsia="Microsoft JhengHei" w:hAnsi="Times New Roman" w:cs="Times New Roman"/>
          <w:szCs w:val="24"/>
        </w:rPr>
        <w:t xml:space="preserve"> contrast to the relatively hierarchical structure of the government </w:t>
      </w:r>
      <w:r w:rsidR="00D27044" w:rsidRPr="00CE1E04">
        <w:rPr>
          <w:rFonts w:ascii="Times New Roman" w:eastAsia="Microsoft JhengHei" w:hAnsi="Times New Roman" w:cs="Times New Roman"/>
          <w:szCs w:val="24"/>
        </w:rPr>
        <w:t xml:space="preserve">situated </w:t>
      </w:r>
      <w:r w:rsidR="00DE6565" w:rsidRPr="00CE1E04">
        <w:rPr>
          <w:rFonts w:ascii="Times New Roman" w:eastAsia="Microsoft JhengHei" w:hAnsi="Times New Roman" w:cs="Times New Roman"/>
          <w:szCs w:val="24"/>
        </w:rPr>
        <w:t xml:space="preserve">MPB, the </w:t>
      </w:r>
      <w:r w:rsidR="00C63092" w:rsidRPr="00CE1E04">
        <w:rPr>
          <w:rFonts w:ascii="Times New Roman" w:eastAsia="Microsoft JhengHei" w:hAnsi="Times New Roman" w:cs="Times New Roman"/>
          <w:szCs w:val="24"/>
        </w:rPr>
        <w:t>state-run</w:t>
      </w:r>
      <w:r w:rsidR="00DE6565" w:rsidRPr="00CE1E04">
        <w:rPr>
          <w:rFonts w:ascii="Times New Roman" w:eastAsia="Microsoft JhengHei" w:hAnsi="Times New Roman" w:cs="Times New Roman"/>
          <w:szCs w:val="24"/>
        </w:rPr>
        <w:t xml:space="preserve"> </w:t>
      </w:r>
      <w:r w:rsidR="007E1466" w:rsidRPr="00CE1E04">
        <w:rPr>
          <w:rFonts w:ascii="Times New Roman" w:eastAsia="Microsoft JhengHei" w:hAnsi="Times New Roman" w:cs="Times New Roman"/>
          <w:szCs w:val="24"/>
        </w:rPr>
        <w:t xml:space="preserve">TIPC's </w:t>
      </w:r>
      <w:r w:rsidR="00B5235D" w:rsidRPr="00CE1E04">
        <w:rPr>
          <w:rFonts w:ascii="Times New Roman" w:eastAsia="Microsoft JhengHei" w:hAnsi="Times New Roman" w:cs="Times New Roman"/>
          <w:szCs w:val="24"/>
        </w:rPr>
        <w:t>organisation</w:t>
      </w:r>
      <w:r w:rsidR="00C63092" w:rsidRPr="00CE1E04">
        <w:rPr>
          <w:rFonts w:ascii="Times New Roman" w:eastAsia="Microsoft JhengHei" w:hAnsi="Times New Roman" w:cs="Times New Roman"/>
          <w:szCs w:val="24"/>
        </w:rPr>
        <w:t>al</w:t>
      </w:r>
      <w:r w:rsidR="007E1466" w:rsidRPr="00CE1E04">
        <w:rPr>
          <w:rFonts w:ascii="Times New Roman" w:eastAsia="Microsoft JhengHei" w:hAnsi="Times New Roman" w:cs="Times New Roman"/>
          <w:szCs w:val="24"/>
        </w:rPr>
        <w:t xml:space="preserve"> structure is framed on "responsibility center" principles. Subsidiaries are expected to achieve greater cost effectiveness and increase contributions to overall profitability. TIPC</w:t>
      </w:r>
      <w:r w:rsidR="00DE6565" w:rsidRPr="00CE1E04">
        <w:rPr>
          <w:rFonts w:ascii="Times New Roman" w:eastAsia="Microsoft JhengHei" w:hAnsi="Times New Roman" w:cs="Times New Roman"/>
          <w:szCs w:val="24"/>
        </w:rPr>
        <w:t>’s</w:t>
      </w:r>
      <w:r w:rsidR="007E1466" w:rsidRPr="00CE1E04">
        <w:rPr>
          <w:rFonts w:ascii="Times New Roman" w:eastAsia="Microsoft JhengHei" w:hAnsi="Times New Roman" w:cs="Times New Roman"/>
          <w:szCs w:val="24"/>
        </w:rPr>
        <w:t xml:space="preserve"> headquarters provide subsidiaries with key strategic planning, operational effectiveness, business, engineering / facilities, information management and legal support. </w:t>
      </w:r>
      <w:r w:rsidR="00C63092" w:rsidRPr="00CE1E04">
        <w:rPr>
          <w:rFonts w:ascii="Times New Roman" w:eastAsia="Microsoft JhengHei" w:hAnsi="Times New Roman" w:cs="Times New Roman"/>
          <w:szCs w:val="24"/>
        </w:rPr>
        <w:t xml:space="preserve">The </w:t>
      </w:r>
      <w:r w:rsidR="003266FF" w:rsidRPr="00CE1E04">
        <w:rPr>
          <w:rFonts w:ascii="Times New Roman" w:hAnsi="Times New Roman" w:cs="Times New Roman"/>
          <w:szCs w:val="24"/>
        </w:rPr>
        <w:t>TIPC administers Taiwan’s 7 international ports (Kaohsiung, Keelung, Taichung, Hualien, Taipei, Suao, and Anping) and 2 domestic ports (Budai and Penghu). TIPC’s four subsidiaries at the Ports of Kaohsiung, Keelung, Taichung, and Hualien handle all regular port operations and business relations</w:t>
      </w:r>
      <w:r w:rsidR="007D6F9E" w:rsidRPr="00CE1E04">
        <w:rPr>
          <w:rFonts w:ascii="Times New Roman" w:hAnsi="Times New Roman" w:cs="Times New Roman"/>
          <w:szCs w:val="24"/>
        </w:rPr>
        <w:t xml:space="preserve"> (see Figure </w:t>
      </w:r>
      <w:r w:rsidR="00496EB4" w:rsidRPr="00CE1E04">
        <w:rPr>
          <w:rFonts w:ascii="Times New Roman" w:hAnsi="Times New Roman" w:cs="Times New Roman"/>
          <w:szCs w:val="24"/>
        </w:rPr>
        <w:t>10</w:t>
      </w:r>
      <w:r w:rsidR="00D50E0E" w:rsidRPr="00CE1E04">
        <w:rPr>
          <w:rFonts w:ascii="Times New Roman" w:hAnsi="Times New Roman" w:cs="Times New Roman"/>
          <w:szCs w:val="24"/>
        </w:rPr>
        <w:t>)</w:t>
      </w:r>
      <w:r w:rsidR="003266FF" w:rsidRPr="00CE1E04">
        <w:rPr>
          <w:rFonts w:ascii="Times New Roman" w:hAnsi="Times New Roman" w:cs="Times New Roman"/>
          <w:szCs w:val="24"/>
        </w:rPr>
        <w:t>.</w:t>
      </w:r>
    </w:p>
    <w:p w14:paraId="5C0A5762" w14:textId="77777777" w:rsidR="001235CA" w:rsidRPr="00CE1E04" w:rsidRDefault="008306B2" w:rsidP="005848C3">
      <w:pPr>
        <w:jc w:val="center"/>
        <w:rPr>
          <w:rFonts w:ascii="Times New Roman" w:hAnsi="Times New Roman" w:cs="Times New Roman"/>
        </w:rPr>
      </w:pPr>
      <w:r w:rsidRPr="00CE1E04">
        <w:rPr>
          <w:rFonts w:ascii="Times New Roman" w:hAnsi="Times New Roman" w:cs="Times New Roman"/>
        </w:rPr>
        <w:object w:dxaOrig="11678" w:dyaOrig="7953" w14:anchorId="41A43C99">
          <v:shape id="_x0000_i1029" type="#_x0000_t75" style="width:417pt;height:280.5pt" o:ole="">
            <v:imagedata r:id="rId21" o:title=""/>
          </v:shape>
          <o:OLEObject Type="Embed" ProgID="Visio.Drawing.11" ShapeID="_x0000_i1029" DrawAspect="Content" ObjectID="_1531508452" r:id="rId22"/>
        </w:object>
      </w:r>
    </w:p>
    <w:p w14:paraId="13C744F6" w14:textId="77EC057C" w:rsidR="008306B2" w:rsidRPr="00CE1E04" w:rsidRDefault="008306B2" w:rsidP="005848C3">
      <w:pPr>
        <w:jc w:val="center"/>
        <w:rPr>
          <w:rFonts w:ascii="Times New Roman" w:hAnsi="Times New Roman" w:cs="Times New Roman"/>
        </w:rPr>
      </w:pPr>
      <w:r w:rsidRPr="00CE1E04">
        <w:rPr>
          <w:rFonts w:ascii="Times New Roman" w:hAnsi="Times New Roman" w:cs="Times New Roman"/>
        </w:rPr>
        <w:t xml:space="preserve">Figure </w:t>
      </w:r>
      <w:r w:rsidR="00496EB4" w:rsidRPr="00CE1E04">
        <w:rPr>
          <w:rFonts w:ascii="Times New Roman" w:hAnsi="Times New Roman" w:cs="Times New Roman"/>
        </w:rPr>
        <w:t>10</w:t>
      </w:r>
      <w:r w:rsidR="00423807" w:rsidRPr="00CE1E04">
        <w:rPr>
          <w:rFonts w:ascii="Times New Roman" w:hAnsi="Times New Roman" w:cs="Times New Roman"/>
        </w:rPr>
        <w:t>.</w:t>
      </w:r>
      <w:r w:rsidRPr="00CE1E04">
        <w:rPr>
          <w:rFonts w:ascii="Times New Roman" w:hAnsi="Times New Roman" w:cs="Times New Roman"/>
        </w:rPr>
        <w:t xml:space="preserve"> The </w:t>
      </w:r>
      <w:r w:rsidR="0007460F" w:rsidRPr="00CE1E04">
        <w:rPr>
          <w:rFonts w:ascii="Times New Roman" w:hAnsi="Times New Roman" w:cs="Times New Roman"/>
        </w:rPr>
        <w:t>o</w:t>
      </w:r>
      <w:r w:rsidRPr="00CE1E04">
        <w:rPr>
          <w:rFonts w:ascii="Times New Roman" w:hAnsi="Times New Roman" w:cs="Times New Roman"/>
        </w:rPr>
        <w:t>rgani</w:t>
      </w:r>
      <w:r w:rsidR="00CA01F6" w:rsidRPr="00CE1E04">
        <w:rPr>
          <w:rFonts w:ascii="Times New Roman" w:hAnsi="Times New Roman" w:cs="Times New Roman"/>
        </w:rPr>
        <w:t>s</w:t>
      </w:r>
      <w:r w:rsidRPr="00CE1E04">
        <w:rPr>
          <w:rFonts w:ascii="Times New Roman" w:hAnsi="Times New Roman" w:cs="Times New Roman"/>
        </w:rPr>
        <w:t>ation</w:t>
      </w:r>
      <w:r w:rsidR="00D27044" w:rsidRPr="00CE1E04">
        <w:rPr>
          <w:rFonts w:ascii="Times New Roman" w:hAnsi="Times New Roman" w:cs="Times New Roman"/>
        </w:rPr>
        <w:t>al</w:t>
      </w:r>
      <w:r w:rsidRPr="00CE1E04">
        <w:rPr>
          <w:rFonts w:ascii="Times New Roman" w:hAnsi="Times New Roman" w:cs="Times New Roman"/>
        </w:rPr>
        <w:t xml:space="preserve"> </w:t>
      </w:r>
      <w:r w:rsidR="0007460F" w:rsidRPr="00CE1E04">
        <w:rPr>
          <w:rFonts w:ascii="Times New Roman" w:hAnsi="Times New Roman" w:cs="Times New Roman"/>
        </w:rPr>
        <w:t>s</w:t>
      </w:r>
      <w:r w:rsidRPr="00CE1E04">
        <w:rPr>
          <w:rFonts w:ascii="Times New Roman" w:hAnsi="Times New Roman" w:cs="Times New Roman"/>
        </w:rPr>
        <w:t>tructure of TIPC</w:t>
      </w:r>
    </w:p>
    <w:p w14:paraId="364084D5" w14:textId="77777777" w:rsidR="00D24FF8" w:rsidRPr="00CE1E04" w:rsidRDefault="00D24FF8" w:rsidP="005848C3">
      <w:pPr>
        <w:jc w:val="center"/>
        <w:rPr>
          <w:rFonts w:ascii="Times New Roman" w:hAnsi="Times New Roman" w:cs="Times New Roman"/>
          <w:sz w:val="28"/>
          <w:szCs w:val="28"/>
        </w:rPr>
      </w:pPr>
    </w:p>
    <w:p w14:paraId="0DB5F122" w14:textId="66E9E9FE" w:rsidR="00E67E62" w:rsidRPr="00CE1E04" w:rsidRDefault="00765CCD" w:rsidP="00B353D5">
      <w:pPr>
        <w:jc w:val="both"/>
        <w:rPr>
          <w:rFonts w:ascii="Times New Roman" w:eastAsia="Microsoft JhengHei" w:hAnsi="Times New Roman" w:cs="Times New Roman"/>
          <w:szCs w:val="24"/>
        </w:rPr>
      </w:pPr>
      <w:r w:rsidRPr="00CE1E04">
        <w:rPr>
          <w:rFonts w:ascii="Times New Roman" w:hAnsi="Times New Roman" w:cs="Times New Roman"/>
        </w:rPr>
        <w:t xml:space="preserve">  In </w:t>
      </w:r>
      <w:r w:rsidRPr="00CE1E04">
        <w:rPr>
          <w:rFonts w:ascii="Times New Roman" w:hAnsi="Times New Roman" w:cs="Times New Roman"/>
          <w:szCs w:val="24"/>
        </w:rPr>
        <w:t>sum</w:t>
      </w:r>
      <w:r w:rsidR="00D27044" w:rsidRPr="00CE1E04">
        <w:rPr>
          <w:rFonts w:ascii="Times New Roman" w:hAnsi="Times New Roman" w:cs="Times New Roman"/>
          <w:szCs w:val="24"/>
        </w:rPr>
        <w:t>mary</w:t>
      </w:r>
      <w:r w:rsidRPr="00CE1E04">
        <w:rPr>
          <w:rFonts w:ascii="Times New Roman" w:hAnsi="Times New Roman" w:cs="Times New Roman"/>
          <w:szCs w:val="24"/>
        </w:rPr>
        <w:t xml:space="preserve">, prior to 2012, </w:t>
      </w:r>
      <w:r w:rsidR="00DE6565" w:rsidRPr="00CE1E04">
        <w:rPr>
          <w:rFonts w:ascii="Times New Roman" w:hAnsi="Times New Roman" w:cs="Times New Roman"/>
          <w:szCs w:val="24"/>
        </w:rPr>
        <w:t xml:space="preserve">the public </w:t>
      </w:r>
      <w:r w:rsidR="00DE6565" w:rsidRPr="00CE1E04">
        <w:rPr>
          <w:rFonts w:ascii="Times New Roman" w:eastAsia="Microsoft JhengHei" w:hAnsi="Times New Roman" w:cs="Times New Roman"/>
          <w:szCs w:val="24"/>
        </w:rPr>
        <w:t>maritime administration covered</w:t>
      </w:r>
      <w:r w:rsidR="002C2916" w:rsidRPr="00CE1E04">
        <w:rPr>
          <w:rFonts w:ascii="Times New Roman" w:eastAsia="Microsoft JhengHei" w:hAnsi="Times New Roman" w:cs="Times New Roman"/>
          <w:szCs w:val="24"/>
        </w:rPr>
        <w:t xml:space="preserve"> both administrativ</w:t>
      </w:r>
      <w:r w:rsidR="00DE6565" w:rsidRPr="00CE1E04">
        <w:rPr>
          <w:rFonts w:ascii="Times New Roman" w:eastAsia="Microsoft JhengHei" w:hAnsi="Times New Roman" w:cs="Times New Roman"/>
          <w:szCs w:val="24"/>
        </w:rPr>
        <w:t>e supervision and operations. This meant</w:t>
      </w:r>
      <w:r w:rsidRPr="00CE1E04">
        <w:rPr>
          <w:rFonts w:ascii="Times New Roman" w:hAnsi="Times New Roman" w:cs="Times New Roman"/>
          <w:szCs w:val="24"/>
        </w:rPr>
        <w:t xml:space="preserve"> port authorit</w:t>
      </w:r>
      <w:r w:rsidR="002C2916" w:rsidRPr="00CE1E04">
        <w:rPr>
          <w:rFonts w:ascii="Times New Roman" w:hAnsi="Times New Roman" w:cs="Times New Roman"/>
          <w:szCs w:val="24"/>
        </w:rPr>
        <w:t xml:space="preserve">ies </w:t>
      </w:r>
      <w:r w:rsidR="00E910BC" w:rsidRPr="00CE1E04">
        <w:rPr>
          <w:rFonts w:ascii="Times New Roman" w:hAnsi="Times New Roman" w:cs="Times New Roman"/>
          <w:szCs w:val="24"/>
        </w:rPr>
        <w:t>in Taiwan were</w:t>
      </w:r>
      <w:r w:rsidRPr="00CE1E04">
        <w:rPr>
          <w:rFonts w:ascii="Times New Roman" w:hAnsi="Times New Roman" w:cs="Times New Roman"/>
          <w:szCs w:val="24"/>
        </w:rPr>
        <w:t xml:space="preserve"> both regulator and market player. </w:t>
      </w:r>
      <w:r w:rsidR="00DE6565" w:rsidRPr="00CE1E04">
        <w:rPr>
          <w:rFonts w:ascii="Times New Roman" w:hAnsi="Times New Roman" w:cs="Times New Roman"/>
          <w:szCs w:val="24"/>
        </w:rPr>
        <w:t>However, f</w:t>
      </w:r>
      <w:r w:rsidRPr="00CE1E04">
        <w:rPr>
          <w:rFonts w:ascii="Times New Roman" w:hAnsi="Times New Roman" w:cs="Times New Roman"/>
          <w:szCs w:val="24"/>
        </w:rPr>
        <w:t xml:space="preserve">ollowing </w:t>
      </w:r>
      <w:r w:rsidR="00DE6565" w:rsidRPr="00CE1E04">
        <w:rPr>
          <w:rFonts w:ascii="Times New Roman" w:hAnsi="Times New Roman" w:cs="Times New Roman"/>
          <w:szCs w:val="24"/>
        </w:rPr>
        <w:t xml:space="preserve">the 2012 </w:t>
      </w:r>
      <w:r w:rsidRPr="00CE1E04">
        <w:rPr>
          <w:rFonts w:ascii="Times New Roman" w:hAnsi="Times New Roman" w:cs="Times New Roman"/>
          <w:szCs w:val="24"/>
        </w:rPr>
        <w:t>po</w:t>
      </w:r>
      <w:r w:rsidRPr="00CE1E04">
        <w:rPr>
          <w:rFonts w:ascii="Times New Roman" w:hAnsi="Times New Roman" w:cs="Times New Roman"/>
        </w:rPr>
        <w:t>rt reform, the por</w:t>
      </w:r>
      <w:r w:rsidRPr="00CE1E04">
        <w:rPr>
          <w:rFonts w:ascii="Times New Roman" w:hAnsi="Times New Roman" w:cs="Times New Roman"/>
          <w:szCs w:val="24"/>
        </w:rPr>
        <w:t>t authority was separated into two un</w:t>
      </w:r>
      <w:r w:rsidR="00E910BC" w:rsidRPr="00CE1E04">
        <w:rPr>
          <w:rFonts w:ascii="Times New Roman" w:hAnsi="Times New Roman" w:cs="Times New Roman"/>
          <w:szCs w:val="24"/>
        </w:rPr>
        <w:t xml:space="preserve">its: </w:t>
      </w:r>
      <w:r w:rsidR="00DE6565" w:rsidRPr="00CE1E04">
        <w:rPr>
          <w:rFonts w:ascii="Times New Roman" w:hAnsi="Times New Roman" w:cs="Times New Roman"/>
          <w:szCs w:val="24"/>
        </w:rPr>
        <w:t xml:space="preserve">the </w:t>
      </w:r>
      <w:r w:rsidR="00E910BC" w:rsidRPr="00CE1E04">
        <w:rPr>
          <w:rFonts w:ascii="Times New Roman" w:hAnsi="Times New Roman" w:cs="Times New Roman"/>
          <w:szCs w:val="24"/>
        </w:rPr>
        <w:t xml:space="preserve">MPB and TIPC. The </w:t>
      </w:r>
      <w:r w:rsidR="00705836" w:rsidRPr="00CE1E04">
        <w:rPr>
          <w:rFonts w:ascii="Times New Roman" w:hAnsi="Times New Roman" w:cs="Times New Roman"/>
          <w:szCs w:val="24"/>
        </w:rPr>
        <w:t>MPB</w:t>
      </w:r>
      <w:r w:rsidR="00FE6048" w:rsidRPr="00CE1E04">
        <w:rPr>
          <w:rFonts w:ascii="Times New Roman" w:hAnsi="Times New Roman" w:cs="Times New Roman"/>
          <w:szCs w:val="24"/>
        </w:rPr>
        <w:t xml:space="preserve"> </w:t>
      </w:r>
      <w:r w:rsidR="00DE6565" w:rsidRPr="00CE1E04">
        <w:rPr>
          <w:rFonts w:ascii="Times New Roman" w:hAnsi="Times New Roman" w:cs="Times New Roman"/>
          <w:szCs w:val="24"/>
        </w:rPr>
        <w:t>remained a public governmental organi</w:t>
      </w:r>
      <w:r w:rsidR="00CA01F6" w:rsidRPr="00CE1E04">
        <w:rPr>
          <w:rFonts w:ascii="Times New Roman" w:hAnsi="Times New Roman" w:cs="Times New Roman"/>
          <w:szCs w:val="24"/>
        </w:rPr>
        <w:t>s</w:t>
      </w:r>
      <w:r w:rsidR="00DE6565" w:rsidRPr="00CE1E04">
        <w:rPr>
          <w:rFonts w:ascii="Times New Roman" w:hAnsi="Times New Roman" w:cs="Times New Roman"/>
          <w:szCs w:val="24"/>
        </w:rPr>
        <w:t xml:space="preserve">ation </w:t>
      </w:r>
      <w:r w:rsidR="00FE6048" w:rsidRPr="00CE1E04">
        <w:rPr>
          <w:rFonts w:ascii="Times New Roman" w:hAnsi="Times New Roman" w:cs="Times New Roman"/>
          <w:szCs w:val="24"/>
        </w:rPr>
        <w:t>handl</w:t>
      </w:r>
      <w:r w:rsidR="00C63092" w:rsidRPr="00CE1E04">
        <w:rPr>
          <w:rFonts w:ascii="Times New Roman" w:hAnsi="Times New Roman" w:cs="Times New Roman"/>
          <w:szCs w:val="24"/>
        </w:rPr>
        <w:t>ing</w:t>
      </w:r>
      <w:r w:rsidR="00FE6048" w:rsidRPr="00CE1E04">
        <w:rPr>
          <w:rFonts w:ascii="Times New Roman" w:hAnsi="Times New Roman" w:cs="Times New Roman"/>
          <w:szCs w:val="24"/>
        </w:rPr>
        <w:t xml:space="preserve"> maritime and port affairs. </w:t>
      </w:r>
      <w:r w:rsidR="00DE6565" w:rsidRPr="00CE1E04">
        <w:rPr>
          <w:rFonts w:ascii="Times New Roman" w:hAnsi="Times New Roman" w:cs="Times New Roman"/>
          <w:szCs w:val="24"/>
        </w:rPr>
        <w:t xml:space="preserve">However, </w:t>
      </w:r>
      <w:r w:rsidR="00DE6565" w:rsidRPr="00CE1E04">
        <w:rPr>
          <w:rFonts w:ascii="Times New Roman" w:eastAsia="Microsoft JhengHei" w:hAnsi="Times New Roman" w:cs="Times New Roman"/>
          <w:szCs w:val="24"/>
        </w:rPr>
        <w:t>i</w:t>
      </w:r>
      <w:r w:rsidR="00FE6048" w:rsidRPr="00CE1E04">
        <w:rPr>
          <w:rFonts w:ascii="Times New Roman" w:eastAsia="Microsoft JhengHei" w:hAnsi="Times New Roman" w:cs="Times New Roman"/>
          <w:szCs w:val="24"/>
        </w:rPr>
        <w:t>ts former authority over Taiwan's several Harbor Bure</w:t>
      </w:r>
      <w:r w:rsidR="00DE6565" w:rsidRPr="00CE1E04">
        <w:rPr>
          <w:rFonts w:ascii="Times New Roman" w:eastAsia="Microsoft JhengHei" w:hAnsi="Times New Roman" w:cs="Times New Roman"/>
          <w:szCs w:val="24"/>
        </w:rPr>
        <w:t xml:space="preserve">aus was </w:t>
      </w:r>
      <w:r w:rsidR="00C63092" w:rsidRPr="00CE1E04">
        <w:rPr>
          <w:rFonts w:ascii="Times New Roman" w:eastAsia="Microsoft JhengHei" w:hAnsi="Times New Roman" w:cs="Times New Roman"/>
          <w:szCs w:val="24"/>
        </w:rPr>
        <w:t>ostensibly</w:t>
      </w:r>
      <w:r w:rsidR="00FE6048" w:rsidRPr="00CE1E04">
        <w:rPr>
          <w:rFonts w:ascii="Times New Roman" w:eastAsia="Microsoft JhengHei" w:hAnsi="Times New Roman" w:cs="Times New Roman"/>
          <w:szCs w:val="24"/>
        </w:rPr>
        <w:t xml:space="preserve"> reassigned to the new Taiwan International Ports Corporation (TIPC).</w:t>
      </w:r>
      <w:r w:rsidR="00DE6565" w:rsidRPr="00CE1E04">
        <w:rPr>
          <w:rFonts w:ascii="Times New Roman" w:eastAsia="Microsoft JhengHei" w:hAnsi="Times New Roman" w:cs="Times New Roman"/>
          <w:szCs w:val="24"/>
        </w:rPr>
        <w:t xml:space="preserve"> </w:t>
      </w:r>
      <w:r w:rsidR="00E67E62" w:rsidRPr="00CE1E04">
        <w:rPr>
          <w:rFonts w:ascii="Times New Roman" w:eastAsia="Microsoft JhengHei" w:hAnsi="Times New Roman" w:cs="Times New Roman"/>
          <w:szCs w:val="24"/>
        </w:rPr>
        <w:t xml:space="preserve">Here then, there was a degree whereby Taiwan used hypocrisy (Brunsson, 2002) to move forward in that it moved toward a private model but retained public ownership of much of the governance structures. </w:t>
      </w:r>
      <w:r w:rsidR="00C312B8" w:rsidRPr="00CE1E04">
        <w:rPr>
          <w:rFonts w:ascii="Times New Roman" w:eastAsia="Microsoft JhengHei" w:hAnsi="Times New Roman" w:cs="Times New Roman"/>
          <w:szCs w:val="24"/>
        </w:rPr>
        <w:t xml:space="preserve">The </w:t>
      </w:r>
      <w:r w:rsidR="00DE6565" w:rsidRPr="00CE1E04">
        <w:rPr>
          <w:rFonts w:ascii="Times New Roman" w:eastAsia="Microsoft JhengHei" w:hAnsi="Times New Roman" w:cs="Times New Roman"/>
          <w:szCs w:val="24"/>
        </w:rPr>
        <w:t>TIPC wa</w:t>
      </w:r>
      <w:r w:rsidR="000F5D4F" w:rsidRPr="00CE1E04">
        <w:rPr>
          <w:rFonts w:ascii="Times New Roman" w:eastAsia="Microsoft JhengHei" w:hAnsi="Times New Roman" w:cs="Times New Roman"/>
          <w:szCs w:val="24"/>
        </w:rPr>
        <w:t>s</w:t>
      </w:r>
      <w:r w:rsidR="00DE6565" w:rsidRPr="00CE1E04">
        <w:rPr>
          <w:rFonts w:ascii="Times New Roman" w:eastAsia="Microsoft JhengHei" w:hAnsi="Times New Roman" w:cs="Times New Roman"/>
          <w:szCs w:val="24"/>
        </w:rPr>
        <w:t xml:space="preserve"> </w:t>
      </w:r>
      <w:r w:rsidR="00E67E62" w:rsidRPr="00CE1E04">
        <w:rPr>
          <w:rFonts w:ascii="Times New Roman" w:eastAsia="Microsoft JhengHei" w:hAnsi="Times New Roman" w:cs="Times New Roman"/>
          <w:szCs w:val="24"/>
        </w:rPr>
        <w:t xml:space="preserve">designated to be </w:t>
      </w:r>
      <w:r w:rsidR="00DE6565" w:rsidRPr="00CE1E04">
        <w:rPr>
          <w:rFonts w:ascii="Times New Roman" w:eastAsia="Microsoft JhengHei" w:hAnsi="Times New Roman" w:cs="Times New Roman"/>
          <w:szCs w:val="24"/>
        </w:rPr>
        <w:t xml:space="preserve">a </w:t>
      </w:r>
      <w:r w:rsidR="00C63092" w:rsidRPr="00CE1E04">
        <w:rPr>
          <w:rFonts w:ascii="Times New Roman" w:eastAsia="Microsoft JhengHei" w:hAnsi="Times New Roman" w:cs="Times New Roman"/>
          <w:szCs w:val="24"/>
        </w:rPr>
        <w:t>state-run</w:t>
      </w:r>
      <w:r w:rsidR="00DE6565" w:rsidRPr="00CE1E04">
        <w:rPr>
          <w:rFonts w:ascii="Times New Roman" w:eastAsia="Microsoft JhengHei" w:hAnsi="Times New Roman" w:cs="Times New Roman"/>
          <w:szCs w:val="24"/>
        </w:rPr>
        <w:t xml:space="preserve"> </w:t>
      </w:r>
      <w:r w:rsidR="00C63092" w:rsidRPr="00CE1E04">
        <w:rPr>
          <w:rFonts w:ascii="Times New Roman" w:eastAsia="Microsoft JhengHei" w:hAnsi="Times New Roman" w:cs="Times New Roman"/>
          <w:szCs w:val="24"/>
        </w:rPr>
        <w:t>enterprise</w:t>
      </w:r>
      <w:r w:rsidR="00DE6565" w:rsidRPr="00CE1E04">
        <w:rPr>
          <w:rFonts w:ascii="Times New Roman" w:eastAsia="Microsoft JhengHei" w:hAnsi="Times New Roman" w:cs="Times New Roman"/>
          <w:szCs w:val="24"/>
        </w:rPr>
        <w:t xml:space="preserve"> created and</w:t>
      </w:r>
      <w:r w:rsidR="000F5D4F" w:rsidRPr="00CE1E04">
        <w:rPr>
          <w:rFonts w:ascii="Times New Roman" w:eastAsia="Microsoft JhengHei" w:hAnsi="Times New Roman" w:cs="Times New Roman"/>
          <w:szCs w:val="24"/>
        </w:rPr>
        <w:t xml:space="preserve"> tasked to handle comprehensive port operations, enhance operational efficienc</w:t>
      </w:r>
      <w:r w:rsidR="00705836" w:rsidRPr="00CE1E04">
        <w:rPr>
          <w:rFonts w:ascii="Times New Roman" w:eastAsia="Microsoft JhengHei" w:hAnsi="Times New Roman" w:cs="Times New Roman"/>
          <w:szCs w:val="24"/>
        </w:rPr>
        <w:t>y</w:t>
      </w:r>
      <w:r w:rsidR="000F5D4F" w:rsidRPr="00CE1E04">
        <w:rPr>
          <w:rFonts w:ascii="Times New Roman" w:eastAsia="Microsoft JhengHei" w:hAnsi="Times New Roman" w:cs="Times New Roman"/>
          <w:szCs w:val="24"/>
        </w:rPr>
        <w:t xml:space="preserve"> and responsiveness, raise the international profile of Taiwan's international commercial ports, and spur domestic regional economic growth.</w:t>
      </w:r>
      <w:r w:rsidR="005056EB" w:rsidRPr="00CE1E04">
        <w:rPr>
          <w:rFonts w:ascii="Times New Roman" w:eastAsia="Microsoft JhengHei" w:hAnsi="Times New Roman" w:cs="Times New Roman"/>
          <w:szCs w:val="24"/>
        </w:rPr>
        <w:t xml:space="preserve"> </w:t>
      </w:r>
      <w:r w:rsidR="00E67E62" w:rsidRPr="00CE1E04">
        <w:rPr>
          <w:rFonts w:ascii="Times New Roman" w:eastAsia="Microsoft JhengHei" w:hAnsi="Times New Roman" w:cs="Times New Roman"/>
          <w:szCs w:val="24"/>
        </w:rPr>
        <w:t>Yet, here again, hypocrisy has been involved, as the TIPC was said to be a</w:t>
      </w:r>
      <w:r w:rsidR="00C63092" w:rsidRPr="00CE1E04">
        <w:rPr>
          <w:rFonts w:ascii="Times New Roman" w:eastAsia="Microsoft JhengHei" w:hAnsi="Times New Roman" w:cs="Times New Roman"/>
          <w:szCs w:val="24"/>
        </w:rPr>
        <w:t>n enterprise</w:t>
      </w:r>
      <w:r w:rsidR="00E67E62" w:rsidRPr="00CE1E04">
        <w:rPr>
          <w:rFonts w:ascii="Times New Roman" w:eastAsia="Microsoft JhengHei" w:hAnsi="Times New Roman" w:cs="Times New Roman"/>
          <w:szCs w:val="24"/>
        </w:rPr>
        <w:t xml:space="preserve">, but all the land it was asked to govern was still public owned, so the government was </w:t>
      </w:r>
      <w:r w:rsidR="00705836" w:rsidRPr="00CE1E04">
        <w:rPr>
          <w:rFonts w:ascii="Times New Roman" w:eastAsia="Microsoft JhengHei" w:hAnsi="Times New Roman" w:cs="Times New Roman"/>
          <w:szCs w:val="24"/>
        </w:rPr>
        <w:t xml:space="preserve">in a way </w:t>
      </w:r>
      <w:r w:rsidR="00E67E62" w:rsidRPr="00CE1E04">
        <w:rPr>
          <w:rFonts w:ascii="Times New Roman" w:eastAsia="Microsoft JhengHei" w:hAnsi="Times New Roman" w:cs="Times New Roman"/>
          <w:szCs w:val="24"/>
        </w:rPr>
        <w:t>acting at odds with its espoused intentions</w:t>
      </w:r>
      <w:r w:rsidR="00C312B8" w:rsidRPr="00CE1E04">
        <w:rPr>
          <w:rFonts w:ascii="Times New Roman" w:eastAsia="Microsoft JhengHei" w:hAnsi="Times New Roman" w:cs="Times New Roman"/>
          <w:szCs w:val="24"/>
        </w:rPr>
        <w:t>. In fact, without control of the land itself the TIPC does not have the necessary freedom to make decisions itself about how to generate profit using it, despite the government’s establishment of it to do precisely this.</w:t>
      </w:r>
      <w:r w:rsidR="00E67E62" w:rsidRPr="00CE1E04">
        <w:rPr>
          <w:rFonts w:ascii="Times New Roman" w:eastAsia="Microsoft JhengHei" w:hAnsi="Times New Roman" w:cs="Times New Roman"/>
          <w:szCs w:val="24"/>
        </w:rPr>
        <w:t xml:space="preserve"> </w:t>
      </w:r>
    </w:p>
    <w:p w14:paraId="3A0C31CF" w14:textId="46716A10" w:rsidR="00951AE2" w:rsidRPr="00CE1E04" w:rsidRDefault="005F6864" w:rsidP="00F57477">
      <w:pPr>
        <w:ind w:firstLineChars="100" w:firstLine="240"/>
        <w:jc w:val="both"/>
        <w:rPr>
          <w:rFonts w:ascii="Times New Roman" w:eastAsia="Microsoft JhengHei" w:hAnsi="Times New Roman" w:cs="Times New Roman"/>
          <w:szCs w:val="24"/>
        </w:rPr>
      </w:pPr>
      <w:r w:rsidRPr="00CE1E04">
        <w:rPr>
          <w:rFonts w:ascii="Times New Roman" w:eastAsia="Microsoft JhengHei" w:hAnsi="Times New Roman" w:cs="Times New Roman"/>
          <w:szCs w:val="24"/>
        </w:rPr>
        <w:t>Re</w:t>
      </w:r>
      <w:r w:rsidR="00C63092" w:rsidRPr="00CE1E04">
        <w:rPr>
          <w:rFonts w:ascii="Times New Roman" w:eastAsia="Microsoft JhengHei" w:hAnsi="Times New Roman" w:cs="Times New Roman"/>
          <w:szCs w:val="24"/>
        </w:rPr>
        <w:t>garding</w:t>
      </w:r>
      <w:r w:rsidR="005056EB" w:rsidRPr="00CE1E04">
        <w:rPr>
          <w:rFonts w:ascii="Times New Roman" w:eastAsia="Microsoft JhengHei" w:hAnsi="Times New Roman" w:cs="Times New Roman"/>
          <w:szCs w:val="24"/>
        </w:rPr>
        <w:t xml:space="preserve"> the challenges involved with introducing these changes, recent research (Chiu and Yen, 2015) the need to recruit younger and better skilled employees, to better commercialize port businesses and services, to diversify more </w:t>
      </w:r>
      <w:r w:rsidR="00254F64" w:rsidRPr="00CE1E04">
        <w:rPr>
          <w:rFonts w:ascii="Times New Roman" w:eastAsia="Microsoft JhengHei" w:hAnsi="Times New Roman" w:cs="Times New Roman"/>
          <w:szCs w:val="24"/>
        </w:rPr>
        <w:t>comprehensively,</w:t>
      </w:r>
      <w:r w:rsidR="005056EB" w:rsidRPr="00CE1E04">
        <w:rPr>
          <w:rFonts w:ascii="Times New Roman" w:eastAsia="Microsoft JhengHei" w:hAnsi="Times New Roman" w:cs="Times New Roman"/>
          <w:szCs w:val="24"/>
        </w:rPr>
        <w:t xml:space="preserve"> and to allow port companies to expand </w:t>
      </w:r>
      <w:r w:rsidR="00254F64" w:rsidRPr="00CE1E04">
        <w:rPr>
          <w:rFonts w:ascii="Times New Roman" w:eastAsia="Microsoft JhengHei" w:hAnsi="Times New Roman" w:cs="Times New Roman"/>
          <w:szCs w:val="24"/>
        </w:rPr>
        <w:t xml:space="preserve">more fully </w:t>
      </w:r>
      <w:r w:rsidR="005056EB" w:rsidRPr="00CE1E04">
        <w:rPr>
          <w:rFonts w:ascii="Times New Roman" w:eastAsia="Microsoft JhengHei" w:hAnsi="Times New Roman" w:cs="Times New Roman"/>
          <w:szCs w:val="24"/>
        </w:rPr>
        <w:t>overseas (Chiu and Yen, 2015). Notably, this research notes how such reforms have taken place in Taiwan only rather slowly.</w:t>
      </w:r>
      <w:r w:rsidR="00DC024C" w:rsidRPr="00CE1E04">
        <w:rPr>
          <w:rFonts w:ascii="Times New Roman" w:eastAsia="Microsoft JhengHei" w:hAnsi="Times New Roman" w:cs="Times New Roman"/>
          <w:szCs w:val="24"/>
        </w:rPr>
        <w:t xml:space="preserve"> </w:t>
      </w:r>
      <w:r w:rsidR="00C63092" w:rsidRPr="00CE1E04">
        <w:rPr>
          <w:rFonts w:ascii="Times New Roman" w:eastAsia="Microsoft JhengHei" w:hAnsi="Times New Roman" w:cs="Times New Roman"/>
          <w:szCs w:val="24"/>
        </w:rPr>
        <w:t>Thus, although</w:t>
      </w:r>
      <w:r w:rsidR="00DC024C" w:rsidRPr="00CE1E04">
        <w:rPr>
          <w:rFonts w:ascii="Times New Roman" w:eastAsia="Microsoft JhengHei" w:hAnsi="Times New Roman" w:cs="Times New Roman"/>
          <w:szCs w:val="24"/>
        </w:rPr>
        <w:t xml:space="preserve"> Taiwan’s reform </w:t>
      </w:r>
      <w:r w:rsidR="00C63092" w:rsidRPr="00CE1E04">
        <w:rPr>
          <w:rFonts w:ascii="Times New Roman" w:eastAsia="Microsoft JhengHei" w:hAnsi="Times New Roman" w:cs="Times New Roman"/>
          <w:szCs w:val="24"/>
        </w:rPr>
        <w:t>follows</w:t>
      </w:r>
      <w:r w:rsidR="00DC024C" w:rsidRPr="00CE1E04">
        <w:rPr>
          <w:rFonts w:ascii="Times New Roman" w:eastAsia="Microsoft JhengHei" w:hAnsi="Times New Roman" w:cs="Times New Roman"/>
          <w:szCs w:val="24"/>
        </w:rPr>
        <w:t xml:space="preserve"> g</w:t>
      </w:r>
      <w:r w:rsidR="00C63092" w:rsidRPr="00CE1E04">
        <w:rPr>
          <w:rFonts w:ascii="Times New Roman" w:eastAsia="Microsoft JhengHei" w:hAnsi="Times New Roman" w:cs="Times New Roman"/>
          <w:szCs w:val="24"/>
        </w:rPr>
        <w:t>lobal</w:t>
      </w:r>
      <w:r w:rsidR="00DC024C" w:rsidRPr="00CE1E04">
        <w:rPr>
          <w:rFonts w:ascii="Times New Roman" w:eastAsia="Microsoft JhengHei" w:hAnsi="Times New Roman" w:cs="Times New Roman"/>
          <w:szCs w:val="24"/>
        </w:rPr>
        <w:t xml:space="preserve"> trend</w:t>
      </w:r>
      <w:r w:rsidR="00C63092" w:rsidRPr="00CE1E04">
        <w:rPr>
          <w:rFonts w:ascii="Times New Roman" w:eastAsia="Microsoft JhengHei" w:hAnsi="Times New Roman" w:cs="Times New Roman"/>
          <w:szCs w:val="24"/>
        </w:rPr>
        <w:t>s</w:t>
      </w:r>
      <w:r w:rsidR="00DC024C" w:rsidRPr="00CE1E04">
        <w:rPr>
          <w:rFonts w:ascii="Times New Roman" w:eastAsia="Microsoft JhengHei" w:hAnsi="Times New Roman" w:cs="Times New Roman"/>
          <w:szCs w:val="24"/>
        </w:rPr>
        <w:t xml:space="preserve"> of devolution, these moves </w:t>
      </w:r>
      <w:r w:rsidR="00C63092" w:rsidRPr="00CE1E04">
        <w:rPr>
          <w:rFonts w:ascii="Times New Roman" w:eastAsia="Microsoft JhengHei" w:hAnsi="Times New Roman" w:cs="Times New Roman"/>
          <w:szCs w:val="24"/>
        </w:rPr>
        <w:t>have</w:t>
      </w:r>
      <w:r w:rsidR="00DC024C" w:rsidRPr="00CE1E04">
        <w:rPr>
          <w:rFonts w:ascii="Times New Roman" w:eastAsia="Microsoft JhengHei" w:hAnsi="Times New Roman" w:cs="Times New Roman"/>
          <w:szCs w:val="24"/>
        </w:rPr>
        <w:t xml:space="preserve"> the intention to increase efficiency and competition (cf Spain, China, Greece) rather tha</w:t>
      </w:r>
      <w:r w:rsidR="00C63092" w:rsidRPr="00CE1E04">
        <w:rPr>
          <w:rFonts w:ascii="Times New Roman" w:eastAsia="Microsoft JhengHei" w:hAnsi="Times New Roman" w:cs="Times New Roman"/>
          <w:szCs w:val="24"/>
        </w:rPr>
        <w:t>n</w:t>
      </w:r>
      <w:r w:rsidR="00DC024C" w:rsidRPr="00CE1E04">
        <w:rPr>
          <w:rFonts w:ascii="Times New Roman" w:eastAsia="Microsoft JhengHei" w:hAnsi="Times New Roman" w:cs="Times New Roman"/>
          <w:szCs w:val="24"/>
        </w:rPr>
        <w:t xml:space="preserve"> sell off public assets (contra the UK) or encourag</w:t>
      </w:r>
      <w:r w:rsidR="00C63092" w:rsidRPr="00CE1E04">
        <w:rPr>
          <w:rFonts w:ascii="Times New Roman" w:eastAsia="Microsoft JhengHei" w:hAnsi="Times New Roman" w:cs="Times New Roman"/>
          <w:szCs w:val="24"/>
        </w:rPr>
        <w:t>e</w:t>
      </w:r>
      <w:r w:rsidR="00DC024C" w:rsidRPr="00CE1E04">
        <w:rPr>
          <w:rFonts w:ascii="Times New Roman" w:eastAsia="Microsoft JhengHei" w:hAnsi="Times New Roman" w:cs="Times New Roman"/>
          <w:szCs w:val="24"/>
        </w:rPr>
        <w:t xml:space="preserve"> foreign competition (contra China). Nevertheless, although Taiwan’s reform may </w:t>
      </w:r>
      <w:r w:rsidR="00C63092" w:rsidRPr="00CE1E04">
        <w:rPr>
          <w:rFonts w:ascii="Times New Roman" w:eastAsia="Microsoft JhengHei" w:hAnsi="Times New Roman" w:cs="Times New Roman"/>
          <w:szCs w:val="24"/>
        </w:rPr>
        <w:t>appear</w:t>
      </w:r>
      <w:r w:rsidR="00DC024C" w:rsidRPr="00CE1E04">
        <w:rPr>
          <w:rFonts w:ascii="Times New Roman" w:eastAsia="Microsoft JhengHei" w:hAnsi="Times New Roman" w:cs="Times New Roman"/>
          <w:szCs w:val="24"/>
        </w:rPr>
        <w:t xml:space="preserve"> less revolutionary, less rapid, and less extensive than reforms elsewhere</w:t>
      </w:r>
      <w:r w:rsidR="00C63092" w:rsidRPr="00CE1E04">
        <w:rPr>
          <w:rFonts w:ascii="Times New Roman" w:eastAsia="Microsoft JhengHei" w:hAnsi="Times New Roman" w:cs="Times New Roman"/>
          <w:szCs w:val="24"/>
        </w:rPr>
        <w:t>, they</w:t>
      </w:r>
      <w:r w:rsidR="00DC024C" w:rsidRPr="00CE1E04">
        <w:rPr>
          <w:rFonts w:ascii="Times New Roman" w:eastAsia="Microsoft JhengHei" w:hAnsi="Times New Roman" w:cs="Times New Roman"/>
          <w:szCs w:val="24"/>
        </w:rPr>
        <w:t xml:space="preserve"> still </w:t>
      </w:r>
      <w:r w:rsidR="007523FD" w:rsidRPr="00CE1E04">
        <w:rPr>
          <w:rFonts w:ascii="Times New Roman" w:eastAsia="Microsoft JhengHei" w:hAnsi="Times New Roman" w:cs="Times New Roman"/>
          <w:szCs w:val="24"/>
        </w:rPr>
        <w:t>arguably represent</w:t>
      </w:r>
      <w:r w:rsidR="00DC024C" w:rsidRPr="00CE1E04">
        <w:rPr>
          <w:rFonts w:ascii="Times New Roman" w:eastAsia="Microsoft JhengHei" w:hAnsi="Times New Roman" w:cs="Times New Roman"/>
          <w:szCs w:val="24"/>
        </w:rPr>
        <w:t xml:space="preserve"> significant change. </w:t>
      </w:r>
      <w:r w:rsidR="00C63092" w:rsidRPr="00CE1E04">
        <w:rPr>
          <w:rFonts w:ascii="Times New Roman" w:eastAsia="Microsoft JhengHei" w:hAnsi="Times New Roman" w:cs="Times New Roman"/>
          <w:szCs w:val="24"/>
        </w:rPr>
        <w:t>Thus</w:t>
      </w:r>
      <w:r w:rsidR="00DC024C" w:rsidRPr="00CE1E04">
        <w:rPr>
          <w:rFonts w:ascii="Times New Roman" w:eastAsia="Microsoft JhengHei" w:hAnsi="Times New Roman" w:cs="Times New Roman"/>
          <w:szCs w:val="24"/>
        </w:rPr>
        <w:t>, there may be some transitionary issue</w:t>
      </w:r>
      <w:r w:rsidR="00C63092" w:rsidRPr="00CE1E04">
        <w:rPr>
          <w:rFonts w:ascii="Times New Roman" w:eastAsia="Microsoft JhengHei" w:hAnsi="Times New Roman" w:cs="Times New Roman"/>
          <w:szCs w:val="24"/>
        </w:rPr>
        <w:t xml:space="preserve">s, </w:t>
      </w:r>
      <w:r w:rsidR="00DC024C" w:rsidRPr="00CE1E04">
        <w:rPr>
          <w:rFonts w:ascii="Times New Roman" w:eastAsia="Microsoft JhengHei" w:hAnsi="Times New Roman" w:cs="Times New Roman"/>
          <w:szCs w:val="24"/>
        </w:rPr>
        <w:t xml:space="preserve">and the </w:t>
      </w:r>
      <w:r w:rsidR="00C63092" w:rsidRPr="00CE1E04">
        <w:rPr>
          <w:rFonts w:ascii="Times New Roman" w:eastAsia="Microsoft JhengHei" w:hAnsi="Times New Roman" w:cs="Times New Roman"/>
          <w:szCs w:val="24"/>
        </w:rPr>
        <w:t>anticipated</w:t>
      </w:r>
      <w:r w:rsidR="00DC024C" w:rsidRPr="00CE1E04">
        <w:rPr>
          <w:rFonts w:ascii="Times New Roman" w:eastAsia="Microsoft JhengHei" w:hAnsi="Times New Roman" w:cs="Times New Roman"/>
          <w:szCs w:val="24"/>
        </w:rPr>
        <w:t xml:space="preserve"> outcomes may </w:t>
      </w:r>
      <w:r w:rsidR="00C63092" w:rsidRPr="00CE1E04">
        <w:rPr>
          <w:rFonts w:ascii="Times New Roman" w:eastAsia="Microsoft JhengHei" w:hAnsi="Times New Roman" w:cs="Times New Roman"/>
          <w:szCs w:val="24"/>
        </w:rPr>
        <w:t>be challenging to achieve</w:t>
      </w:r>
      <w:r w:rsidR="00DC024C" w:rsidRPr="00CE1E04">
        <w:rPr>
          <w:rFonts w:ascii="Times New Roman" w:eastAsia="Microsoft JhengHei" w:hAnsi="Times New Roman" w:cs="Times New Roman"/>
          <w:szCs w:val="24"/>
        </w:rPr>
        <w:t xml:space="preserve">. It is these issues and </w:t>
      </w:r>
      <w:r w:rsidR="002552E4" w:rsidRPr="00CE1E04">
        <w:rPr>
          <w:rFonts w:ascii="Times New Roman" w:eastAsia="Microsoft JhengHei" w:hAnsi="Times New Roman" w:cs="Times New Roman"/>
          <w:szCs w:val="24"/>
        </w:rPr>
        <w:t>challenges</w:t>
      </w:r>
      <w:r w:rsidR="00DC024C" w:rsidRPr="00CE1E04">
        <w:rPr>
          <w:rFonts w:ascii="Times New Roman" w:eastAsia="Microsoft JhengHei" w:hAnsi="Times New Roman" w:cs="Times New Roman"/>
          <w:szCs w:val="24"/>
        </w:rPr>
        <w:t xml:space="preserve"> we asked government officials about in our expert interviews.</w:t>
      </w:r>
    </w:p>
    <w:p w14:paraId="00DFA41A" w14:textId="77777777" w:rsidR="00951AE2" w:rsidRPr="00CE1E04" w:rsidRDefault="00951AE2" w:rsidP="00951AE2">
      <w:pPr>
        <w:jc w:val="both"/>
        <w:rPr>
          <w:rFonts w:ascii="Times New Roman" w:eastAsia="Microsoft JhengHei" w:hAnsi="Times New Roman" w:cs="Times New Roman"/>
          <w:szCs w:val="24"/>
        </w:rPr>
      </w:pPr>
    </w:p>
    <w:p w14:paraId="1EA71B04" w14:textId="35F0DF6E" w:rsidR="00951AE2" w:rsidRPr="00CE1E04" w:rsidRDefault="00783069" w:rsidP="007C3563">
      <w:pPr>
        <w:pStyle w:val="ListParagraph"/>
        <w:numPr>
          <w:ilvl w:val="0"/>
          <w:numId w:val="1"/>
        </w:numPr>
        <w:ind w:leftChars="0"/>
        <w:jc w:val="both"/>
        <w:rPr>
          <w:rFonts w:ascii="Times New Roman" w:hAnsi="Times New Roman" w:cs="Times New Roman"/>
          <w:b/>
          <w:szCs w:val="24"/>
        </w:rPr>
      </w:pPr>
      <w:r w:rsidRPr="00CE1E04">
        <w:rPr>
          <w:rFonts w:ascii="Times New Roman" w:hAnsi="Times New Roman" w:cs="Times New Roman"/>
          <w:b/>
          <w:szCs w:val="24"/>
        </w:rPr>
        <w:t xml:space="preserve">In-Depth </w:t>
      </w:r>
      <w:r w:rsidR="00951AE2" w:rsidRPr="00CE1E04">
        <w:rPr>
          <w:rFonts w:ascii="Times New Roman" w:hAnsi="Times New Roman" w:cs="Times New Roman"/>
          <w:b/>
          <w:szCs w:val="24"/>
        </w:rPr>
        <w:t>Expert Interviews</w:t>
      </w:r>
    </w:p>
    <w:p w14:paraId="2F70DF61" w14:textId="3E3FCD24" w:rsidR="00985A12" w:rsidRPr="00CE1E04" w:rsidRDefault="00C27D51" w:rsidP="00C85ACC">
      <w:pPr>
        <w:jc w:val="both"/>
        <w:rPr>
          <w:rFonts w:ascii="Times New Roman" w:hAnsi="Times New Roman" w:cs="Times New Roman"/>
          <w:szCs w:val="24"/>
        </w:rPr>
      </w:pPr>
      <w:r w:rsidRPr="00CE1E04">
        <w:rPr>
          <w:rFonts w:ascii="Times New Roman" w:hAnsi="Times New Roman" w:cs="Times New Roman"/>
          <w:szCs w:val="24"/>
        </w:rPr>
        <w:t xml:space="preserve">  </w:t>
      </w:r>
      <w:r w:rsidR="00DD2641" w:rsidRPr="00CE1E04">
        <w:rPr>
          <w:rFonts w:ascii="Times New Roman" w:hAnsi="Times New Roman" w:cs="Times New Roman"/>
          <w:szCs w:val="24"/>
        </w:rPr>
        <w:t>Although</w:t>
      </w:r>
      <w:r w:rsidR="00C85ACC" w:rsidRPr="00CE1E04">
        <w:rPr>
          <w:rFonts w:ascii="Times New Roman" w:hAnsi="Times New Roman" w:cs="Times New Roman"/>
          <w:szCs w:val="24"/>
        </w:rPr>
        <w:t xml:space="preserve"> much research into aspects of logistics and port operations </w:t>
      </w:r>
      <w:r w:rsidR="00DD2641" w:rsidRPr="00CE1E04">
        <w:rPr>
          <w:rFonts w:ascii="Times New Roman" w:hAnsi="Times New Roman" w:cs="Times New Roman"/>
          <w:szCs w:val="24"/>
        </w:rPr>
        <w:t>is</w:t>
      </w:r>
      <w:r w:rsidR="00C85ACC" w:rsidRPr="00CE1E04">
        <w:rPr>
          <w:rFonts w:ascii="Times New Roman" w:hAnsi="Times New Roman" w:cs="Times New Roman"/>
          <w:szCs w:val="24"/>
        </w:rPr>
        <w:t xml:space="preserve"> predominantly quantitative (cf Pilcher and Cortazzi, 2016), the specific area of port governance has been predominantly qualitative in approach (Verhoeven and Vanoutrive, 2012). </w:t>
      </w:r>
      <w:r w:rsidR="00DD2641" w:rsidRPr="00CE1E04">
        <w:rPr>
          <w:rFonts w:ascii="Times New Roman" w:hAnsi="Times New Roman" w:cs="Times New Roman"/>
          <w:szCs w:val="24"/>
        </w:rPr>
        <w:t>With a few exceptions (e.g. Chiu and Yen, 2015; Ferrari et al</w:t>
      </w:r>
      <w:r w:rsidR="00873102" w:rsidRPr="00CE1E04">
        <w:rPr>
          <w:rFonts w:ascii="Times New Roman" w:hAnsi="Times New Roman" w:cs="Times New Roman"/>
          <w:szCs w:val="24"/>
        </w:rPr>
        <w:t>.</w:t>
      </w:r>
      <w:r w:rsidR="00DD2641" w:rsidRPr="00CE1E04">
        <w:rPr>
          <w:rFonts w:ascii="Times New Roman" w:hAnsi="Times New Roman" w:cs="Times New Roman"/>
          <w:szCs w:val="24"/>
        </w:rPr>
        <w:t>, 201</w:t>
      </w:r>
      <w:r w:rsidR="003F6D0F" w:rsidRPr="00CE1E04">
        <w:rPr>
          <w:rFonts w:ascii="Times New Roman" w:hAnsi="Times New Roman" w:cs="Times New Roman"/>
          <w:szCs w:val="24"/>
        </w:rPr>
        <w:t>5</w:t>
      </w:r>
      <w:r w:rsidR="00601416" w:rsidRPr="00CE1E04">
        <w:rPr>
          <w:rFonts w:ascii="Times New Roman" w:hAnsi="Times New Roman" w:cs="Times New Roman"/>
          <w:szCs w:val="24"/>
        </w:rPr>
        <w:t>;</w:t>
      </w:r>
      <w:r w:rsidR="00DD2641" w:rsidRPr="00CE1E04">
        <w:rPr>
          <w:rFonts w:ascii="Times New Roman" w:hAnsi="Times New Roman" w:cs="Times New Roman"/>
          <w:szCs w:val="24"/>
        </w:rPr>
        <w:t xml:space="preserve"> Wang et al</w:t>
      </w:r>
      <w:r w:rsidR="00873102" w:rsidRPr="00CE1E04">
        <w:rPr>
          <w:rFonts w:ascii="Times New Roman" w:hAnsi="Times New Roman" w:cs="Times New Roman"/>
          <w:szCs w:val="24"/>
        </w:rPr>
        <w:t>.</w:t>
      </w:r>
      <w:r w:rsidR="00DD2641" w:rsidRPr="00CE1E04">
        <w:rPr>
          <w:rFonts w:ascii="Times New Roman" w:hAnsi="Times New Roman" w:cs="Times New Roman"/>
          <w:szCs w:val="24"/>
        </w:rPr>
        <w:t>, 2004; Liou et al.</w:t>
      </w:r>
      <w:r w:rsidR="00873102" w:rsidRPr="00CE1E04">
        <w:rPr>
          <w:rFonts w:ascii="Times New Roman" w:hAnsi="Times New Roman" w:cs="Times New Roman"/>
          <w:szCs w:val="24"/>
        </w:rPr>
        <w:t>,</w:t>
      </w:r>
      <w:r w:rsidR="00DD2641" w:rsidRPr="00CE1E04">
        <w:rPr>
          <w:rFonts w:ascii="Times New Roman" w:hAnsi="Times New Roman" w:cs="Times New Roman"/>
          <w:szCs w:val="24"/>
        </w:rPr>
        <w:t xml:space="preserve"> 2011) the qualitative method of the interview is rarely used. Notably, the in-depth interview, although used (e.g. Liuo et al</w:t>
      </w:r>
      <w:r w:rsidR="002C75DB" w:rsidRPr="00CE1E04">
        <w:rPr>
          <w:rFonts w:ascii="Times New Roman" w:hAnsi="Times New Roman" w:cs="Times New Roman"/>
          <w:szCs w:val="24"/>
        </w:rPr>
        <w:t>.,</w:t>
      </w:r>
      <w:r w:rsidR="00DD2641" w:rsidRPr="00CE1E04">
        <w:rPr>
          <w:rFonts w:ascii="Times New Roman" w:hAnsi="Times New Roman" w:cs="Times New Roman"/>
          <w:szCs w:val="24"/>
        </w:rPr>
        <w:t xml:space="preserve"> 2011 with 9 s</w:t>
      </w:r>
      <w:r w:rsidR="001F4EAC" w:rsidRPr="00CE1E04">
        <w:rPr>
          <w:rFonts w:ascii="Times New Roman" w:hAnsi="Times New Roman" w:cs="Times New Roman"/>
          <w:szCs w:val="24"/>
        </w:rPr>
        <w:t>takeholders),</w:t>
      </w:r>
      <w:r w:rsidR="00DD2641" w:rsidRPr="00CE1E04">
        <w:rPr>
          <w:rFonts w:ascii="Times New Roman" w:hAnsi="Times New Roman" w:cs="Times New Roman"/>
          <w:szCs w:val="24"/>
        </w:rPr>
        <w:t xml:space="preserve"> is used even mo</w:t>
      </w:r>
      <w:r w:rsidR="00BA23A7" w:rsidRPr="00CE1E04">
        <w:rPr>
          <w:rFonts w:ascii="Times New Roman" w:hAnsi="Times New Roman" w:cs="Times New Roman"/>
          <w:szCs w:val="24"/>
        </w:rPr>
        <w:t>re rarely.</w:t>
      </w:r>
      <w:r w:rsidR="00DD2641" w:rsidRPr="00CE1E04">
        <w:rPr>
          <w:rFonts w:ascii="Times New Roman" w:hAnsi="Times New Roman" w:cs="Times New Roman"/>
          <w:szCs w:val="24"/>
        </w:rPr>
        <w:t xml:space="preserve"> </w:t>
      </w:r>
      <w:r w:rsidR="00BA23A7" w:rsidRPr="00CE1E04">
        <w:rPr>
          <w:rFonts w:ascii="Times New Roman" w:hAnsi="Times New Roman" w:cs="Times New Roman"/>
          <w:szCs w:val="24"/>
        </w:rPr>
        <w:t>Here,</w:t>
      </w:r>
      <w:r w:rsidR="00B201DF" w:rsidRPr="00CE1E04">
        <w:rPr>
          <w:rFonts w:ascii="Times New Roman" w:hAnsi="Times New Roman" w:cs="Times New Roman"/>
          <w:szCs w:val="24"/>
        </w:rPr>
        <w:t xml:space="preserve"> we draw on data both from </w:t>
      </w:r>
      <w:r w:rsidR="00BA23A7" w:rsidRPr="00CE1E04">
        <w:rPr>
          <w:rFonts w:ascii="Times New Roman" w:hAnsi="Times New Roman" w:cs="Times New Roman"/>
          <w:szCs w:val="24"/>
        </w:rPr>
        <w:t xml:space="preserve">such </w:t>
      </w:r>
      <w:r w:rsidR="00B201DF" w:rsidRPr="00CE1E04">
        <w:rPr>
          <w:rFonts w:ascii="Times New Roman" w:hAnsi="Times New Roman" w:cs="Times New Roman"/>
          <w:szCs w:val="24"/>
        </w:rPr>
        <w:t xml:space="preserve">in-depth qualitative interviews, and also on published data from Taiwan’s government on the elements such as ship numbers, TEU and efficiency. Thus, our </w:t>
      </w:r>
      <w:r w:rsidR="00220ECC" w:rsidRPr="00CE1E04">
        <w:rPr>
          <w:rFonts w:ascii="Times New Roman" w:hAnsi="Times New Roman" w:cs="Times New Roman"/>
          <w:szCs w:val="24"/>
        </w:rPr>
        <w:t>article</w:t>
      </w:r>
      <w:r w:rsidR="00B201DF" w:rsidRPr="00CE1E04">
        <w:rPr>
          <w:rFonts w:ascii="Times New Roman" w:hAnsi="Times New Roman" w:cs="Times New Roman"/>
          <w:szCs w:val="24"/>
        </w:rPr>
        <w:t xml:space="preserve"> draws on a case study approach</w:t>
      </w:r>
      <w:r w:rsidR="00BA23A7" w:rsidRPr="00CE1E04">
        <w:rPr>
          <w:rFonts w:ascii="Times New Roman" w:hAnsi="Times New Roman" w:cs="Times New Roman"/>
          <w:szCs w:val="24"/>
        </w:rPr>
        <w:t xml:space="preserve"> that is heavily grounded in in-depth interviews</w:t>
      </w:r>
      <w:r w:rsidR="00B201DF" w:rsidRPr="00CE1E04">
        <w:rPr>
          <w:rFonts w:ascii="Times New Roman" w:hAnsi="Times New Roman" w:cs="Times New Roman"/>
          <w:szCs w:val="24"/>
        </w:rPr>
        <w:t xml:space="preserve">. </w:t>
      </w:r>
      <w:r w:rsidR="00985A12" w:rsidRPr="00CE1E04">
        <w:rPr>
          <w:rFonts w:ascii="Times New Roman" w:hAnsi="Times New Roman" w:cs="Times New Roman"/>
          <w:szCs w:val="24"/>
        </w:rPr>
        <w:t>As such, the findings aim to be those of a theoretical basis that can be considered in other contexts (Flyvbjerg, 2006).</w:t>
      </w:r>
      <w:r w:rsidR="003228BA" w:rsidRPr="00CE1E04">
        <w:rPr>
          <w:rFonts w:ascii="Times New Roman" w:hAnsi="Times New Roman" w:cs="Times New Roman"/>
          <w:szCs w:val="24"/>
        </w:rPr>
        <w:t xml:space="preserve"> Nevertheless, such studies are said to be emergent still and the specific link between governance models and performance “remains inconclusive” (Vieira et al.</w:t>
      </w:r>
      <w:r w:rsidR="00B37EFB" w:rsidRPr="00CE1E04">
        <w:rPr>
          <w:rFonts w:ascii="Times New Roman" w:hAnsi="Times New Roman" w:cs="Times New Roman"/>
          <w:szCs w:val="24"/>
        </w:rPr>
        <w:t>,</w:t>
      </w:r>
      <w:r w:rsidR="003228BA" w:rsidRPr="00CE1E04">
        <w:rPr>
          <w:rFonts w:ascii="Times New Roman" w:hAnsi="Times New Roman" w:cs="Times New Roman"/>
          <w:szCs w:val="24"/>
        </w:rPr>
        <w:t xml:space="preserve"> 2014, p.645) therefore making it challenging to measure impact.</w:t>
      </w:r>
    </w:p>
    <w:p w14:paraId="5C07DD4D" w14:textId="0683CE09" w:rsidR="00C556D3" w:rsidRPr="00CE1E04" w:rsidRDefault="00985A12" w:rsidP="003872A0">
      <w:pPr>
        <w:ind w:firstLineChars="100" w:firstLine="240"/>
        <w:jc w:val="both"/>
        <w:rPr>
          <w:rFonts w:ascii="Times New Roman" w:hAnsi="Times New Roman" w:cs="Times New Roman"/>
        </w:rPr>
      </w:pPr>
      <w:r w:rsidRPr="00CE1E04">
        <w:rPr>
          <w:rFonts w:ascii="Times New Roman" w:hAnsi="Times New Roman" w:cs="Times New Roman"/>
          <w:szCs w:val="24"/>
        </w:rPr>
        <w:t>In-depth interviews specifically were chosen as s</w:t>
      </w:r>
      <w:r w:rsidR="00BA23A7" w:rsidRPr="00CE1E04">
        <w:rPr>
          <w:rFonts w:ascii="Times New Roman" w:hAnsi="Times New Roman" w:cs="Times New Roman"/>
          <w:szCs w:val="24"/>
        </w:rPr>
        <w:t>uch interviews allow for negotiation of meaning and the ability to explore and discuss ke</w:t>
      </w:r>
      <w:r w:rsidRPr="00CE1E04">
        <w:rPr>
          <w:rFonts w:ascii="Times New Roman" w:hAnsi="Times New Roman" w:cs="Times New Roman"/>
          <w:szCs w:val="24"/>
        </w:rPr>
        <w:t>y information with participants</w:t>
      </w:r>
      <w:r w:rsidR="00A1479A" w:rsidRPr="00CE1E04">
        <w:rPr>
          <w:rFonts w:ascii="Times New Roman" w:hAnsi="Times New Roman" w:cs="Times New Roman"/>
          <w:szCs w:val="24"/>
        </w:rPr>
        <w:t xml:space="preserve"> (Holstein and Gubrium, 1995)</w:t>
      </w:r>
      <w:r w:rsidRPr="00CE1E04">
        <w:rPr>
          <w:rFonts w:ascii="Times New Roman" w:hAnsi="Times New Roman" w:cs="Times New Roman"/>
          <w:szCs w:val="24"/>
        </w:rPr>
        <w:t xml:space="preserve">, thus revealing data that, when analysed, can reveal in-depth views of the motivations, progressions, and challenges behind the reforms to port governance in Taiwan. </w:t>
      </w:r>
      <w:r w:rsidR="007911E1" w:rsidRPr="00CE1E04">
        <w:rPr>
          <w:rFonts w:ascii="Times New Roman" w:hAnsi="Times New Roman" w:cs="Times New Roman"/>
          <w:szCs w:val="24"/>
        </w:rPr>
        <w:t xml:space="preserve">It is these areas that the interview questions focused on. </w:t>
      </w:r>
      <w:r w:rsidR="00056DCC" w:rsidRPr="00CE1E04">
        <w:rPr>
          <w:rFonts w:ascii="Times New Roman" w:hAnsi="Times New Roman" w:cs="Times New Roman"/>
        </w:rPr>
        <w:t xml:space="preserve">In order to understand the actual port governance situation in Taiwan, experts in </w:t>
      </w:r>
      <w:r w:rsidR="00056DCC" w:rsidRPr="00CE1E04">
        <w:rPr>
          <w:rFonts w:ascii="Times New Roman" w:eastAsia="DFKai-SB" w:hAnsi="Times New Roman" w:cs="Times New Roman"/>
          <w:bCs/>
        </w:rPr>
        <w:t>TIPC, MPB and</w:t>
      </w:r>
      <w:r w:rsidR="00056DCC" w:rsidRPr="00CE1E04">
        <w:rPr>
          <w:rFonts w:ascii="Times New Roman" w:hAnsi="Times New Roman" w:cs="Times New Roman"/>
          <w:szCs w:val="24"/>
        </w:rPr>
        <w:t xml:space="preserve"> Department of Navigation and Aviation were interviewed</w:t>
      </w:r>
      <w:r w:rsidR="00056DCC" w:rsidRPr="00CE1E04">
        <w:rPr>
          <w:rFonts w:ascii="Times New Roman" w:eastAsia="DFKai-SB" w:hAnsi="Times New Roman" w:cs="Times New Roman"/>
          <w:bCs/>
        </w:rPr>
        <w:t xml:space="preserve">. </w:t>
      </w:r>
      <w:r w:rsidR="00056DCC" w:rsidRPr="00CE1E04">
        <w:rPr>
          <w:rFonts w:ascii="Times New Roman" w:hAnsi="Times New Roman" w:cs="Times New Roman"/>
        </w:rPr>
        <w:t xml:space="preserve">These experts were selected based on three criteria. First, their related working experience should be more than 20 years. Second, their job title should be senior manager (director) above. Third, the interviewees should have a solid working reputation in the port field. </w:t>
      </w:r>
      <w:r w:rsidR="00C9131B" w:rsidRPr="00CE1E04">
        <w:rPr>
          <w:rFonts w:ascii="Times New Roman" w:hAnsi="Times New Roman" w:cs="Times New Roman"/>
        </w:rPr>
        <w:t>Subsequently</w:t>
      </w:r>
      <w:r w:rsidR="00056DCC" w:rsidRPr="00CE1E04">
        <w:rPr>
          <w:rFonts w:ascii="Times New Roman" w:hAnsi="Times New Roman" w:cs="Times New Roman"/>
        </w:rPr>
        <w:t xml:space="preserve">, eight experts (three in TIPC, three in MPB and two in Department of Navigation and Aviation) who met these three criteria were interviewed in March, 2016. </w:t>
      </w:r>
    </w:p>
    <w:p w14:paraId="27943828" w14:textId="128771FA" w:rsidR="001F4EAC" w:rsidRPr="00CE1E04" w:rsidRDefault="00C556D3" w:rsidP="005B7ECD">
      <w:pPr>
        <w:pStyle w:val="HTMLPreformatted"/>
        <w:ind w:firstLineChars="100" w:firstLine="240"/>
        <w:jc w:val="both"/>
        <w:rPr>
          <w:rFonts w:ascii="Times New Roman" w:hAnsi="Times New Roman" w:cs="Times New Roman"/>
        </w:rPr>
      </w:pPr>
      <w:r w:rsidRPr="00CE1E04">
        <w:rPr>
          <w:rFonts w:ascii="Times New Roman" w:hAnsi="Times New Roman" w:cs="Times New Roman"/>
        </w:rPr>
        <w:t>In terms of the questions we asked, these consisted of questions such as ‘</w:t>
      </w:r>
      <w:r w:rsidRPr="00CE1E04">
        <w:rPr>
          <w:rFonts w:ascii="Times New Roman" w:eastAsia="DFKai-SB" w:hAnsi="Times New Roman" w:cs="Times New Roman"/>
        </w:rPr>
        <w:t>Do you have any problems regarding human resource recruitment?’</w:t>
      </w:r>
      <w:r w:rsidRPr="00CE1E04">
        <w:rPr>
          <w:rFonts w:ascii="Times New Roman" w:hAnsi="Times New Roman" w:cs="Times New Roman"/>
        </w:rPr>
        <w:t xml:space="preserve"> ‘Do you have any suggestions for Taiwan’s port development?’ or ‘Do you have any challenges in the TIPC?’ we did not specifically ask about the use of </w:t>
      </w:r>
      <w:r w:rsidR="000A57ED" w:rsidRPr="00CE1E04">
        <w:rPr>
          <w:rFonts w:ascii="Times New Roman" w:hAnsi="Times New Roman" w:cs="Times New Roman"/>
        </w:rPr>
        <w:t>organised</w:t>
      </w:r>
      <w:r w:rsidRPr="00CE1E04">
        <w:rPr>
          <w:rFonts w:ascii="Times New Roman" w:hAnsi="Times New Roman" w:cs="Times New Roman"/>
        </w:rPr>
        <w:t xml:space="preserve"> hypocrisy, rather we used th</w:t>
      </w:r>
      <w:r w:rsidR="00E41F7C" w:rsidRPr="00CE1E04">
        <w:rPr>
          <w:rFonts w:ascii="Times New Roman" w:hAnsi="Times New Roman" w:cs="Times New Roman"/>
        </w:rPr>
        <w:t xml:space="preserve">e lens of </w:t>
      </w:r>
      <w:r w:rsidR="000A57ED" w:rsidRPr="00CE1E04">
        <w:rPr>
          <w:rFonts w:ascii="Times New Roman" w:hAnsi="Times New Roman" w:cs="Times New Roman"/>
        </w:rPr>
        <w:t>organised</w:t>
      </w:r>
      <w:r w:rsidR="00E41F7C" w:rsidRPr="00CE1E04">
        <w:rPr>
          <w:rFonts w:ascii="Times New Roman" w:hAnsi="Times New Roman" w:cs="Times New Roman"/>
        </w:rPr>
        <w:t xml:space="preserve"> hypocrisy in our analysis and reading of the interview transcripts. </w:t>
      </w:r>
      <w:r w:rsidR="00BA23A7" w:rsidRPr="00CE1E04">
        <w:rPr>
          <w:rFonts w:ascii="Times New Roman" w:hAnsi="Times New Roman" w:cs="Times New Roman"/>
        </w:rPr>
        <w:t xml:space="preserve">In terms </w:t>
      </w:r>
      <w:r w:rsidR="00A1479A" w:rsidRPr="00CE1E04">
        <w:rPr>
          <w:rFonts w:ascii="Times New Roman" w:hAnsi="Times New Roman" w:cs="Times New Roman"/>
        </w:rPr>
        <w:t>of procedure, these</w:t>
      </w:r>
      <w:r w:rsidR="00BA23A7" w:rsidRPr="00CE1E04">
        <w:rPr>
          <w:rFonts w:ascii="Times New Roman" w:hAnsi="Times New Roman" w:cs="Times New Roman"/>
        </w:rPr>
        <w:t xml:space="preserve"> interviews were conducted in the </w:t>
      </w:r>
      <w:r w:rsidR="00A1479A" w:rsidRPr="00CE1E04">
        <w:rPr>
          <w:rFonts w:ascii="Times New Roman" w:hAnsi="Times New Roman" w:cs="Times New Roman"/>
        </w:rPr>
        <w:t>participants’</w:t>
      </w:r>
      <w:r w:rsidR="00BA23A7" w:rsidRPr="00CE1E04">
        <w:rPr>
          <w:rFonts w:ascii="Times New Roman" w:hAnsi="Times New Roman" w:cs="Times New Roman"/>
        </w:rPr>
        <w:t xml:space="preserve"> native language and then translated into English (Cortazzi </w:t>
      </w:r>
      <w:r w:rsidR="00A1479A" w:rsidRPr="00CE1E04">
        <w:rPr>
          <w:rFonts w:ascii="Times New Roman" w:hAnsi="Times New Roman" w:cs="Times New Roman"/>
        </w:rPr>
        <w:t>et al</w:t>
      </w:r>
      <w:r w:rsidR="002470AF" w:rsidRPr="00CE1E04">
        <w:rPr>
          <w:rFonts w:ascii="Times New Roman" w:hAnsi="Times New Roman" w:cs="Times New Roman"/>
        </w:rPr>
        <w:t>.</w:t>
      </w:r>
      <w:r w:rsidR="00A1479A" w:rsidRPr="00CE1E04">
        <w:rPr>
          <w:rFonts w:ascii="Times New Roman" w:hAnsi="Times New Roman" w:cs="Times New Roman"/>
        </w:rPr>
        <w:t>, 2011). All interviews were approved by the relevant ethics committees</w:t>
      </w:r>
      <w:r w:rsidR="00DD611A" w:rsidRPr="00CE1E04">
        <w:rPr>
          <w:rFonts w:ascii="Times New Roman" w:hAnsi="Times New Roman" w:cs="Times New Roman"/>
        </w:rPr>
        <w:t>,</w:t>
      </w:r>
      <w:r w:rsidR="00A1479A" w:rsidRPr="00CE1E04">
        <w:rPr>
          <w:rFonts w:ascii="Times New Roman" w:hAnsi="Times New Roman" w:cs="Times New Roman"/>
        </w:rPr>
        <w:t xml:space="preserve"> all data is anonymized to protect the individuals interviewed (Christians, 2011) and </w:t>
      </w:r>
      <w:r w:rsidR="00DD611A" w:rsidRPr="00CE1E04">
        <w:rPr>
          <w:rFonts w:ascii="Times New Roman" w:hAnsi="Times New Roman" w:cs="Times New Roman"/>
        </w:rPr>
        <w:t>every</w:t>
      </w:r>
      <w:r w:rsidR="00A1479A" w:rsidRPr="00CE1E04">
        <w:rPr>
          <w:rFonts w:ascii="Times New Roman" w:hAnsi="Times New Roman" w:cs="Times New Roman"/>
        </w:rPr>
        <w:t xml:space="preserve"> possibility is made to ensure it is not possible </w:t>
      </w:r>
      <w:r w:rsidR="00DD611A" w:rsidRPr="00CE1E04">
        <w:rPr>
          <w:rFonts w:ascii="Times New Roman" w:hAnsi="Times New Roman" w:cs="Times New Roman"/>
        </w:rPr>
        <w:t>to</w:t>
      </w:r>
      <w:r w:rsidR="00A1479A" w:rsidRPr="00CE1E04">
        <w:rPr>
          <w:rFonts w:ascii="Times New Roman" w:hAnsi="Times New Roman" w:cs="Times New Roman"/>
        </w:rPr>
        <w:t xml:space="preserve"> identif</w:t>
      </w:r>
      <w:r w:rsidR="00DD611A" w:rsidRPr="00CE1E04">
        <w:rPr>
          <w:rFonts w:ascii="Times New Roman" w:hAnsi="Times New Roman" w:cs="Times New Roman"/>
        </w:rPr>
        <w:t>y any</w:t>
      </w:r>
      <w:r w:rsidR="00A1479A" w:rsidRPr="00CE1E04">
        <w:rPr>
          <w:rFonts w:ascii="Times New Roman" w:hAnsi="Times New Roman" w:cs="Times New Roman"/>
        </w:rPr>
        <w:t xml:space="preserve"> individuals from the data used. The approach to analysis involved one of carefully </w:t>
      </w:r>
      <w:r w:rsidR="003228BA" w:rsidRPr="00CE1E04">
        <w:rPr>
          <w:rFonts w:ascii="Times New Roman" w:hAnsi="Times New Roman" w:cs="Times New Roman"/>
        </w:rPr>
        <w:t xml:space="preserve">reading and rereading the transcripts for emerging themes and meanings </w:t>
      </w:r>
      <w:r w:rsidR="00E41F7C" w:rsidRPr="00CE1E04">
        <w:rPr>
          <w:rFonts w:ascii="Times New Roman" w:hAnsi="Times New Roman" w:cs="Times New Roman"/>
        </w:rPr>
        <w:t xml:space="preserve">using the lens of </w:t>
      </w:r>
      <w:r w:rsidR="000A57ED" w:rsidRPr="00CE1E04">
        <w:rPr>
          <w:rFonts w:ascii="Times New Roman" w:hAnsi="Times New Roman" w:cs="Times New Roman"/>
        </w:rPr>
        <w:t>organised</w:t>
      </w:r>
      <w:r w:rsidR="00E41F7C" w:rsidRPr="00CE1E04">
        <w:rPr>
          <w:rFonts w:ascii="Times New Roman" w:hAnsi="Times New Roman" w:cs="Times New Roman"/>
        </w:rPr>
        <w:t xml:space="preserve"> hypocrisy </w:t>
      </w:r>
      <w:r w:rsidR="003228BA" w:rsidRPr="00CE1E04">
        <w:rPr>
          <w:rFonts w:ascii="Times New Roman" w:hAnsi="Times New Roman" w:cs="Times New Roman"/>
        </w:rPr>
        <w:t xml:space="preserve">in a form of diffractive analysis (Mazzei, 2014) where ideas changed after each reading. We now present and </w:t>
      </w:r>
      <w:r w:rsidR="005F6864" w:rsidRPr="00CE1E04">
        <w:rPr>
          <w:rFonts w:ascii="Times New Roman" w:hAnsi="Times New Roman" w:cs="Times New Roman"/>
        </w:rPr>
        <w:t>analy</w:t>
      </w:r>
      <w:r w:rsidR="00296301" w:rsidRPr="00CE1E04">
        <w:rPr>
          <w:rFonts w:ascii="Times New Roman" w:hAnsi="Times New Roman" w:cs="Times New Roman"/>
        </w:rPr>
        <w:t>s</w:t>
      </w:r>
      <w:r w:rsidR="005F6864" w:rsidRPr="00CE1E04">
        <w:rPr>
          <w:rFonts w:ascii="Times New Roman" w:hAnsi="Times New Roman" w:cs="Times New Roman"/>
        </w:rPr>
        <w:t>e</w:t>
      </w:r>
      <w:r w:rsidR="003228BA" w:rsidRPr="00CE1E04">
        <w:rPr>
          <w:rFonts w:ascii="Times New Roman" w:hAnsi="Times New Roman" w:cs="Times New Roman"/>
        </w:rPr>
        <w:t xml:space="preserve"> these results.</w:t>
      </w:r>
    </w:p>
    <w:p w14:paraId="32D7F02A" w14:textId="77777777" w:rsidR="00D61F4E" w:rsidRPr="00CE1E04" w:rsidRDefault="00D61F4E" w:rsidP="00C85ACC">
      <w:pPr>
        <w:jc w:val="both"/>
        <w:rPr>
          <w:rFonts w:ascii="Times New Roman" w:hAnsi="Times New Roman" w:cs="Times New Roman"/>
          <w:szCs w:val="24"/>
        </w:rPr>
      </w:pPr>
    </w:p>
    <w:p w14:paraId="7C3B2834" w14:textId="41E75D9D" w:rsidR="001F4EAC" w:rsidRPr="00CE1E04" w:rsidRDefault="001F4EAC" w:rsidP="001F4EAC">
      <w:pPr>
        <w:pStyle w:val="ListParagraph"/>
        <w:numPr>
          <w:ilvl w:val="0"/>
          <w:numId w:val="1"/>
        </w:numPr>
        <w:ind w:leftChars="0"/>
        <w:jc w:val="both"/>
        <w:rPr>
          <w:rFonts w:ascii="Times New Roman" w:hAnsi="Times New Roman" w:cs="Times New Roman"/>
          <w:b/>
          <w:szCs w:val="24"/>
        </w:rPr>
      </w:pPr>
      <w:r w:rsidRPr="00CE1E04">
        <w:rPr>
          <w:rFonts w:ascii="Times New Roman" w:hAnsi="Times New Roman" w:cs="Times New Roman"/>
          <w:b/>
          <w:szCs w:val="24"/>
        </w:rPr>
        <w:t>Results and Analysis</w:t>
      </w:r>
    </w:p>
    <w:p w14:paraId="6D1EC128" w14:textId="7FF43895" w:rsidR="00F706FB" w:rsidRPr="00CE1E04" w:rsidRDefault="007B1509" w:rsidP="00561834">
      <w:pPr>
        <w:ind w:firstLineChars="100" w:firstLine="240"/>
        <w:jc w:val="both"/>
        <w:rPr>
          <w:rFonts w:ascii="Times New Roman" w:hAnsi="Times New Roman" w:cs="Times New Roman"/>
          <w:szCs w:val="24"/>
        </w:rPr>
      </w:pPr>
      <w:r w:rsidRPr="00CE1E04">
        <w:rPr>
          <w:rFonts w:ascii="Times New Roman" w:hAnsi="Times New Roman" w:cs="Times New Roman"/>
          <w:szCs w:val="24"/>
        </w:rPr>
        <w:t>We present and analy</w:t>
      </w:r>
      <w:r w:rsidR="00440CCD" w:rsidRPr="00CE1E04">
        <w:rPr>
          <w:rFonts w:ascii="Times New Roman" w:hAnsi="Times New Roman" w:cs="Times New Roman"/>
          <w:szCs w:val="24"/>
        </w:rPr>
        <w:t>s</w:t>
      </w:r>
      <w:r w:rsidRPr="00CE1E04">
        <w:rPr>
          <w:rFonts w:ascii="Times New Roman" w:hAnsi="Times New Roman" w:cs="Times New Roman"/>
          <w:szCs w:val="24"/>
        </w:rPr>
        <w:t xml:space="preserve">e our results </w:t>
      </w:r>
      <w:r w:rsidR="007C4CBC" w:rsidRPr="00CE1E04">
        <w:rPr>
          <w:rFonts w:ascii="Times New Roman" w:hAnsi="Times New Roman" w:cs="Times New Roman"/>
          <w:szCs w:val="24"/>
        </w:rPr>
        <w:t xml:space="preserve">in three broad sections: Aims, Rationale, and Administration (4.1); Human Resources, and Cooperation or Competition (4.2) and; Future Directions (4.3). In each section we </w:t>
      </w:r>
      <w:r w:rsidR="00E2419E" w:rsidRPr="00CE1E04">
        <w:rPr>
          <w:rFonts w:ascii="Times New Roman" w:hAnsi="Times New Roman" w:cs="Times New Roman"/>
          <w:szCs w:val="24"/>
        </w:rPr>
        <w:t>present our arguments and points with illustrations in the form of quotes from our experts. We also analy</w:t>
      </w:r>
      <w:r w:rsidR="00EC2196" w:rsidRPr="00CE1E04">
        <w:rPr>
          <w:rFonts w:ascii="Times New Roman" w:hAnsi="Times New Roman" w:cs="Times New Roman"/>
          <w:szCs w:val="24"/>
        </w:rPr>
        <w:t>s</w:t>
      </w:r>
      <w:r w:rsidR="00E2419E" w:rsidRPr="00CE1E04">
        <w:rPr>
          <w:rFonts w:ascii="Times New Roman" w:hAnsi="Times New Roman" w:cs="Times New Roman"/>
          <w:szCs w:val="24"/>
        </w:rPr>
        <w:t>e these results in light of the literature and through a lens of considering how hypocrisy is helping Taiwan move forward in its port reform process.</w:t>
      </w:r>
    </w:p>
    <w:p w14:paraId="14DD9AD4" w14:textId="77777777" w:rsidR="007D4B2B" w:rsidRPr="00CE1E04" w:rsidRDefault="007D4B2B" w:rsidP="00FB3DB6">
      <w:pPr>
        <w:pStyle w:val="HTMLPreformatted"/>
        <w:rPr>
          <w:rFonts w:ascii="Times New Roman" w:eastAsia="DFKai-SB" w:hAnsi="Times New Roman" w:cs="Times New Roman"/>
        </w:rPr>
      </w:pPr>
    </w:p>
    <w:p w14:paraId="5A8BF5E9" w14:textId="087752A3" w:rsidR="00AD0886" w:rsidRPr="00CE1E04" w:rsidRDefault="00A41ED1" w:rsidP="00AD0886">
      <w:pPr>
        <w:jc w:val="both"/>
        <w:rPr>
          <w:rFonts w:ascii="Times New Roman" w:hAnsi="Times New Roman" w:cs="Times New Roman"/>
          <w:b/>
          <w:szCs w:val="24"/>
        </w:rPr>
      </w:pPr>
      <w:r w:rsidRPr="00CE1E04">
        <w:rPr>
          <w:rFonts w:ascii="Times New Roman" w:hAnsi="Times New Roman" w:cs="Times New Roman"/>
          <w:b/>
          <w:szCs w:val="24"/>
        </w:rPr>
        <w:t>4.</w:t>
      </w:r>
      <w:r w:rsidR="00F706FB" w:rsidRPr="00CE1E04">
        <w:rPr>
          <w:rFonts w:ascii="Times New Roman" w:hAnsi="Times New Roman" w:cs="Times New Roman"/>
          <w:b/>
          <w:szCs w:val="24"/>
        </w:rPr>
        <w:t>1</w:t>
      </w:r>
      <w:r w:rsidRPr="00CE1E04">
        <w:rPr>
          <w:rFonts w:ascii="Times New Roman" w:hAnsi="Times New Roman" w:cs="Times New Roman"/>
          <w:b/>
          <w:szCs w:val="24"/>
        </w:rPr>
        <w:t xml:space="preserve"> </w:t>
      </w:r>
      <w:r w:rsidR="009E552F" w:rsidRPr="00CE1E04">
        <w:rPr>
          <w:rFonts w:ascii="Times New Roman" w:hAnsi="Times New Roman" w:cs="Times New Roman"/>
          <w:b/>
          <w:szCs w:val="24"/>
        </w:rPr>
        <w:t>Aims, Rationale, and Administration</w:t>
      </w:r>
    </w:p>
    <w:p w14:paraId="7A1568D8" w14:textId="0E6BAF03" w:rsidR="00EE585B" w:rsidRPr="00CE1E04" w:rsidRDefault="00A257CE" w:rsidP="00A257CE">
      <w:pPr>
        <w:jc w:val="both"/>
        <w:rPr>
          <w:rFonts w:ascii="Times New Roman" w:eastAsia="DFKai-SB" w:hAnsi="Times New Roman" w:cs="Times New Roman"/>
          <w:szCs w:val="24"/>
        </w:rPr>
      </w:pPr>
      <w:r w:rsidRPr="00CE1E04">
        <w:rPr>
          <w:rFonts w:ascii="Times New Roman" w:hAnsi="Times New Roman" w:cs="Times New Roman"/>
          <w:szCs w:val="24"/>
        </w:rPr>
        <w:t xml:space="preserve">  </w:t>
      </w:r>
      <w:r w:rsidR="005F6864" w:rsidRPr="00CE1E04">
        <w:rPr>
          <w:rFonts w:ascii="Times New Roman" w:hAnsi="Times New Roman" w:cs="Times New Roman"/>
          <w:szCs w:val="24"/>
        </w:rPr>
        <w:t>Regarding</w:t>
      </w:r>
      <w:r w:rsidR="0059156B" w:rsidRPr="00CE1E04">
        <w:rPr>
          <w:rFonts w:ascii="Times New Roman" w:hAnsi="Times New Roman" w:cs="Times New Roman"/>
          <w:szCs w:val="24"/>
        </w:rPr>
        <w:t xml:space="preserve"> the </w:t>
      </w:r>
      <w:r w:rsidR="00F706FB" w:rsidRPr="00CE1E04">
        <w:rPr>
          <w:rFonts w:ascii="Times New Roman" w:hAnsi="Times New Roman" w:cs="Times New Roman"/>
          <w:szCs w:val="24"/>
        </w:rPr>
        <w:t>aims and rationale</w:t>
      </w:r>
      <w:r w:rsidR="0059156B" w:rsidRPr="00CE1E04">
        <w:rPr>
          <w:rFonts w:ascii="Times New Roman" w:hAnsi="Times New Roman" w:cs="Times New Roman"/>
          <w:szCs w:val="24"/>
        </w:rPr>
        <w:t xml:space="preserve"> of the port reform, this was often stated to be twofold: </w:t>
      </w:r>
      <w:r w:rsidR="0059156B" w:rsidRPr="00CE1E04">
        <w:rPr>
          <w:rFonts w:ascii="Times New Roman" w:eastAsia="DFKai-SB" w:hAnsi="Times New Roman" w:cs="Times New Roman"/>
          <w:i/>
          <w:szCs w:val="24"/>
        </w:rPr>
        <w:t xml:space="preserve">“to enhance port management </w:t>
      </w:r>
      <w:r w:rsidR="00D61F4E" w:rsidRPr="00CE1E04">
        <w:rPr>
          <w:rFonts w:ascii="Times New Roman" w:eastAsia="DFKai-SB" w:hAnsi="Times New Roman" w:cs="Times New Roman"/>
          <w:i/>
          <w:szCs w:val="24"/>
        </w:rPr>
        <w:t>organi</w:t>
      </w:r>
      <w:r w:rsidR="0065687D" w:rsidRPr="00CE1E04">
        <w:rPr>
          <w:rFonts w:ascii="Times New Roman" w:eastAsia="DFKai-SB" w:hAnsi="Times New Roman" w:cs="Times New Roman"/>
          <w:i/>
          <w:szCs w:val="24"/>
        </w:rPr>
        <w:t>s</w:t>
      </w:r>
      <w:r w:rsidR="00D61F4E" w:rsidRPr="00CE1E04">
        <w:rPr>
          <w:rFonts w:ascii="Times New Roman" w:eastAsia="DFKai-SB" w:hAnsi="Times New Roman" w:cs="Times New Roman"/>
          <w:i/>
          <w:szCs w:val="24"/>
        </w:rPr>
        <w:t>ation</w:t>
      </w:r>
      <w:r w:rsidR="0059156B" w:rsidRPr="00CE1E04">
        <w:rPr>
          <w:rFonts w:ascii="Times New Roman" w:eastAsia="DFKai-SB" w:hAnsi="Times New Roman" w:cs="Times New Roman"/>
          <w:i/>
          <w:szCs w:val="24"/>
        </w:rPr>
        <w:t xml:space="preserve"> and operation efficiency”</w:t>
      </w:r>
      <w:r w:rsidR="0059156B" w:rsidRPr="00CE1E04">
        <w:rPr>
          <w:rFonts w:ascii="Times New Roman" w:eastAsia="DFKai-SB" w:hAnsi="Times New Roman" w:cs="Times New Roman"/>
          <w:szCs w:val="24"/>
        </w:rPr>
        <w:t xml:space="preserve">. Indeed, the </w:t>
      </w:r>
      <w:r w:rsidR="005F6864" w:rsidRPr="00CE1E04">
        <w:rPr>
          <w:rFonts w:ascii="Times New Roman" w:eastAsia="DFKai-SB" w:hAnsi="Times New Roman" w:cs="Times New Roman"/>
          <w:szCs w:val="24"/>
        </w:rPr>
        <w:t xml:space="preserve">previous </w:t>
      </w:r>
      <w:r w:rsidR="0059156B" w:rsidRPr="00CE1E04">
        <w:rPr>
          <w:rFonts w:ascii="Times New Roman" w:eastAsia="DFKai-SB" w:hAnsi="Times New Roman" w:cs="Times New Roman"/>
          <w:szCs w:val="24"/>
        </w:rPr>
        <w:t xml:space="preserve">public authority nature of the system meant, </w:t>
      </w:r>
      <w:r w:rsidR="0059156B" w:rsidRPr="00CE1E04">
        <w:rPr>
          <w:rFonts w:ascii="Times New Roman" w:eastAsia="DFKai-SB" w:hAnsi="Times New Roman" w:cs="Times New Roman"/>
          <w:i/>
          <w:szCs w:val="24"/>
        </w:rPr>
        <w:t>“</w:t>
      </w:r>
      <w:r w:rsidR="00FE670A" w:rsidRPr="00CE1E04">
        <w:rPr>
          <w:rFonts w:ascii="Times New Roman" w:eastAsia="DFKai-SB" w:hAnsi="Times New Roman" w:cs="Times New Roman"/>
          <w:i/>
          <w:szCs w:val="24"/>
        </w:rPr>
        <w:t xml:space="preserve">legitimacy and fairness was often questioned, and port development was restricted by the complexity </w:t>
      </w:r>
      <w:r w:rsidR="0059156B" w:rsidRPr="00CE1E04">
        <w:rPr>
          <w:rFonts w:ascii="Times New Roman" w:eastAsia="DFKai-SB" w:hAnsi="Times New Roman" w:cs="Times New Roman"/>
          <w:i/>
          <w:szCs w:val="24"/>
        </w:rPr>
        <w:t>of the regulatory environment”</w:t>
      </w:r>
      <w:r w:rsidR="0059156B" w:rsidRPr="00CE1E04">
        <w:rPr>
          <w:rFonts w:ascii="Times New Roman" w:eastAsia="DFKai-SB" w:hAnsi="Times New Roman" w:cs="Times New Roman"/>
          <w:szCs w:val="24"/>
        </w:rPr>
        <w:t>.</w:t>
      </w:r>
      <w:r w:rsidR="00552D68" w:rsidRPr="00CE1E04">
        <w:rPr>
          <w:rFonts w:ascii="Times New Roman" w:eastAsia="DFKai-SB" w:hAnsi="Times New Roman" w:cs="Times New Roman"/>
          <w:szCs w:val="24"/>
        </w:rPr>
        <w:t xml:space="preserve"> The previous bureaus, </w:t>
      </w:r>
      <w:r w:rsidR="00552D68" w:rsidRPr="00CE1E04">
        <w:rPr>
          <w:rFonts w:ascii="Times New Roman" w:eastAsia="DFKai-SB" w:hAnsi="Times New Roman" w:cs="Times New Roman"/>
          <w:i/>
          <w:szCs w:val="24"/>
        </w:rPr>
        <w:t>“</w:t>
      </w:r>
      <w:r w:rsidR="00FE670A" w:rsidRPr="00CE1E04">
        <w:rPr>
          <w:rFonts w:ascii="Times New Roman" w:eastAsia="DFKai-SB" w:hAnsi="Times New Roman" w:cs="Times New Roman"/>
          <w:i/>
          <w:szCs w:val="24"/>
        </w:rPr>
        <w:t xml:space="preserve">did not have enough flexibility or </w:t>
      </w:r>
      <w:r w:rsidR="003228BA" w:rsidRPr="00CE1E04">
        <w:rPr>
          <w:rFonts w:ascii="Times New Roman" w:eastAsia="DFKai-SB" w:hAnsi="Times New Roman" w:cs="Times New Roman"/>
          <w:i/>
          <w:szCs w:val="24"/>
        </w:rPr>
        <w:t>speed</w:t>
      </w:r>
      <w:r w:rsidR="00FE670A" w:rsidRPr="00CE1E04">
        <w:rPr>
          <w:rFonts w:ascii="Times New Roman" w:eastAsia="DFKai-SB" w:hAnsi="Times New Roman" w:cs="Times New Roman"/>
          <w:i/>
          <w:szCs w:val="24"/>
        </w:rPr>
        <w:t xml:space="preserve"> to respond to port market changes, and consequently this suppressed the development o</w:t>
      </w:r>
      <w:r w:rsidR="00552D68" w:rsidRPr="00CE1E04">
        <w:rPr>
          <w:rFonts w:ascii="Times New Roman" w:eastAsia="DFKai-SB" w:hAnsi="Times New Roman" w:cs="Times New Roman"/>
          <w:i/>
          <w:szCs w:val="24"/>
        </w:rPr>
        <w:t>f international competitiveness”</w:t>
      </w:r>
      <w:r w:rsidR="00552D68" w:rsidRPr="00CE1E04">
        <w:rPr>
          <w:rFonts w:ascii="Times New Roman" w:eastAsia="DFKai-SB" w:hAnsi="Times New Roman" w:cs="Times New Roman"/>
          <w:szCs w:val="24"/>
        </w:rPr>
        <w:t>.</w:t>
      </w:r>
      <w:r w:rsidR="00FE670A" w:rsidRPr="00CE1E04">
        <w:rPr>
          <w:rFonts w:ascii="Times New Roman" w:eastAsia="DFKai-SB" w:hAnsi="Times New Roman" w:cs="Times New Roman"/>
          <w:szCs w:val="24"/>
        </w:rPr>
        <w:t xml:space="preserve"> </w:t>
      </w:r>
      <w:r w:rsidR="00F10DCD" w:rsidRPr="00CE1E04">
        <w:rPr>
          <w:rFonts w:ascii="Times New Roman" w:eastAsia="DFKai-SB" w:hAnsi="Times New Roman" w:cs="Times New Roman"/>
          <w:szCs w:val="24"/>
        </w:rPr>
        <w:t>Thus,</w:t>
      </w:r>
      <w:r w:rsidR="00D11834" w:rsidRPr="00CE1E04">
        <w:rPr>
          <w:rFonts w:ascii="Times New Roman" w:eastAsia="DFKai-SB" w:hAnsi="Times New Roman" w:cs="Times New Roman"/>
          <w:szCs w:val="24"/>
        </w:rPr>
        <w:t xml:space="preserve"> </w:t>
      </w:r>
      <w:r w:rsidR="00D11834" w:rsidRPr="00CE1E04">
        <w:rPr>
          <w:rFonts w:ascii="Times New Roman" w:eastAsia="DFKai-SB" w:hAnsi="Times New Roman" w:cs="Times New Roman"/>
          <w:i/>
          <w:szCs w:val="24"/>
        </w:rPr>
        <w:t>“</w:t>
      </w:r>
      <w:r w:rsidR="00FE670A" w:rsidRPr="00CE1E04">
        <w:rPr>
          <w:rFonts w:ascii="Times New Roman" w:eastAsia="DFKai-SB" w:hAnsi="Times New Roman" w:cs="Times New Roman"/>
          <w:i/>
          <w:szCs w:val="24"/>
        </w:rPr>
        <w:t>to separate business management from the administrative sy</w:t>
      </w:r>
      <w:r w:rsidR="00552D68" w:rsidRPr="00CE1E04">
        <w:rPr>
          <w:rFonts w:ascii="Times New Roman" w:eastAsia="DFKai-SB" w:hAnsi="Times New Roman" w:cs="Times New Roman"/>
          <w:i/>
          <w:szCs w:val="24"/>
        </w:rPr>
        <w:t>stem, port reform was presented”</w:t>
      </w:r>
      <w:r w:rsidR="00C81A28" w:rsidRPr="00CE1E04">
        <w:rPr>
          <w:rFonts w:ascii="Times New Roman" w:eastAsia="DFKai-SB" w:hAnsi="Times New Roman" w:cs="Times New Roman"/>
          <w:szCs w:val="24"/>
        </w:rPr>
        <w:t xml:space="preserve"> </w:t>
      </w:r>
      <w:r w:rsidR="00F10DCD" w:rsidRPr="00CE1E04">
        <w:rPr>
          <w:rFonts w:ascii="Times New Roman" w:eastAsia="DFKai-SB" w:hAnsi="Times New Roman" w:cs="Times New Roman"/>
          <w:szCs w:val="24"/>
        </w:rPr>
        <w:t>with</w:t>
      </w:r>
      <w:r w:rsidR="00C81A28" w:rsidRPr="00CE1E04">
        <w:rPr>
          <w:rFonts w:ascii="Times New Roman" w:eastAsia="DFKai-SB" w:hAnsi="Times New Roman" w:cs="Times New Roman"/>
          <w:szCs w:val="24"/>
        </w:rPr>
        <w:t xml:space="preserve"> </w:t>
      </w:r>
      <w:r w:rsidR="00C81A28" w:rsidRPr="00CE1E04">
        <w:rPr>
          <w:rFonts w:ascii="Times New Roman" w:eastAsia="DFKai-SB" w:hAnsi="Times New Roman" w:cs="Times New Roman"/>
          <w:i/>
          <w:szCs w:val="24"/>
        </w:rPr>
        <w:t>“</w:t>
      </w:r>
      <w:r w:rsidR="00F10DCD" w:rsidRPr="00CE1E04">
        <w:rPr>
          <w:rFonts w:ascii="Times New Roman" w:eastAsia="DFKai-SB" w:hAnsi="Times New Roman" w:cs="Times New Roman"/>
          <w:i/>
          <w:szCs w:val="24"/>
        </w:rPr>
        <w:t>t</w:t>
      </w:r>
      <w:r w:rsidR="00613861" w:rsidRPr="00CE1E04">
        <w:rPr>
          <w:rFonts w:ascii="Times New Roman" w:eastAsia="DFKai-SB" w:hAnsi="Times New Roman" w:cs="Times New Roman"/>
          <w:i/>
          <w:szCs w:val="24"/>
        </w:rPr>
        <w:t>he purpose</w:t>
      </w:r>
      <w:r w:rsidR="00D11834" w:rsidRPr="00CE1E04">
        <w:rPr>
          <w:rFonts w:ascii="Times New Roman" w:eastAsia="DFKai-SB" w:hAnsi="Times New Roman" w:cs="Times New Roman"/>
          <w:i/>
          <w:szCs w:val="24"/>
        </w:rPr>
        <w:t>…</w:t>
      </w:r>
      <w:r w:rsidR="00613861" w:rsidRPr="00CE1E04">
        <w:rPr>
          <w:rFonts w:ascii="Times New Roman" w:eastAsia="DFKai-SB" w:hAnsi="Times New Roman" w:cs="Times New Roman"/>
          <w:i/>
          <w:szCs w:val="24"/>
        </w:rPr>
        <w:t xml:space="preserve"> to avoid </w:t>
      </w:r>
      <w:r w:rsidR="00D11834" w:rsidRPr="00CE1E04">
        <w:rPr>
          <w:rFonts w:ascii="Times New Roman" w:eastAsia="DFKai-SB" w:hAnsi="Times New Roman" w:cs="Times New Roman"/>
          <w:i/>
          <w:szCs w:val="24"/>
        </w:rPr>
        <w:t>‘</w:t>
      </w:r>
      <w:r w:rsidR="00613861" w:rsidRPr="00CE1E04">
        <w:rPr>
          <w:rFonts w:ascii="Times New Roman" w:eastAsia="DFKai-SB" w:hAnsi="Times New Roman" w:cs="Times New Roman"/>
          <w:i/>
          <w:szCs w:val="24"/>
        </w:rPr>
        <w:t>players and referees becoming the same guy</w:t>
      </w:r>
      <w:r w:rsidR="00D11834" w:rsidRPr="00CE1E04">
        <w:rPr>
          <w:rFonts w:ascii="Times New Roman" w:eastAsia="DFKai-SB" w:hAnsi="Times New Roman" w:cs="Times New Roman"/>
          <w:i/>
          <w:szCs w:val="24"/>
        </w:rPr>
        <w:t>’</w:t>
      </w:r>
      <w:r w:rsidR="00C81A28" w:rsidRPr="00CE1E04">
        <w:rPr>
          <w:rFonts w:ascii="Times New Roman" w:eastAsia="DFKai-SB" w:hAnsi="Times New Roman" w:cs="Times New Roman"/>
          <w:i/>
          <w:szCs w:val="24"/>
        </w:rPr>
        <w:t>”</w:t>
      </w:r>
      <w:r w:rsidR="00613861" w:rsidRPr="00CE1E04">
        <w:rPr>
          <w:rFonts w:ascii="Times New Roman" w:eastAsia="DFKai-SB" w:hAnsi="Times New Roman" w:cs="Times New Roman"/>
          <w:szCs w:val="24"/>
        </w:rPr>
        <w:t xml:space="preserve">. </w:t>
      </w:r>
      <w:r w:rsidR="005949E1" w:rsidRPr="00CE1E04">
        <w:rPr>
          <w:rFonts w:ascii="Times New Roman" w:eastAsia="DFKai-SB" w:hAnsi="Times New Roman" w:cs="Times New Roman"/>
          <w:szCs w:val="24"/>
        </w:rPr>
        <w:t>I</w:t>
      </w:r>
      <w:r w:rsidR="00F10DCD" w:rsidRPr="00CE1E04">
        <w:rPr>
          <w:rFonts w:ascii="Times New Roman" w:eastAsia="DFKai-SB" w:hAnsi="Times New Roman" w:cs="Times New Roman"/>
          <w:szCs w:val="24"/>
        </w:rPr>
        <w:t>n other words,</w:t>
      </w:r>
      <w:r w:rsidR="005949E1" w:rsidRPr="00CE1E04">
        <w:rPr>
          <w:rFonts w:ascii="Times New Roman" w:eastAsia="DFKai-SB" w:hAnsi="Times New Roman" w:cs="Times New Roman"/>
          <w:szCs w:val="24"/>
        </w:rPr>
        <w:t xml:space="preserve"> </w:t>
      </w:r>
      <w:r w:rsidR="00F10DCD" w:rsidRPr="00CE1E04">
        <w:rPr>
          <w:rFonts w:ascii="Times New Roman" w:eastAsia="DFKai-SB" w:hAnsi="Times New Roman" w:cs="Times New Roman"/>
          <w:szCs w:val="24"/>
        </w:rPr>
        <w:t xml:space="preserve">it was felt that previously </w:t>
      </w:r>
      <w:r w:rsidR="005949E1" w:rsidRPr="00CE1E04">
        <w:rPr>
          <w:rFonts w:ascii="Times New Roman" w:eastAsia="DFKai-SB" w:hAnsi="Times New Roman" w:cs="Times New Roman"/>
          <w:szCs w:val="24"/>
        </w:rPr>
        <w:t xml:space="preserve">the ‘players’ could make a poor decision or commit a foul, but the ‘referees’ would not punish them because they worked in the same department and protected each other. </w:t>
      </w:r>
      <w:r w:rsidR="005F6864" w:rsidRPr="00CE1E04">
        <w:rPr>
          <w:rFonts w:ascii="Times New Roman" w:eastAsia="DFKai-SB" w:hAnsi="Times New Roman" w:cs="Times New Roman"/>
          <w:szCs w:val="24"/>
        </w:rPr>
        <w:t>To deal with these issues</w:t>
      </w:r>
      <w:r w:rsidR="00D11834" w:rsidRPr="00CE1E04">
        <w:rPr>
          <w:rFonts w:ascii="Times New Roman" w:eastAsia="DFKai-SB" w:hAnsi="Times New Roman" w:cs="Times New Roman"/>
          <w:szCs w:val="24"/>
        </w:rPr>
        <w:t>,</w:t>
      </w:r>
      <w:r w:rsidR="00F10DCD" w:rsidRPr="00CE1E04">
        <w:rPr>
          <w:rFonts w:ascii="Times New Roman" w:eastAsia="DFKai-SB" w:hAnsi="Times New Roman" w:cs="Times New Roman"/>
          <w:szCs w:val="24"/>
        </w:rPr>
        <w:t xml:space="preserve"> </w:t>
      </w:r>
      <w:r w:rsidR="00D11834" w:rsidRPr="00CE1E04">
        <w:rPr>
          <w:rFonts w:ascii="Times New Roman" w:eastAsia="DFKai-SB" w:hAnsi="Times New Roman" w:cs="Times New Roman"/>
          <w:szCs w:val="24"/>
        </w:rPr>
        <w:t>and in line with global trends, t</w:t>
      </w:r>
      <w:r w:rsidR="00613861" w:rsidRPr="00CE1E04">
        <w:rPr>
          <w:rFonts w:ascii="Times New Roman" w:eastAsia="DFKai-SB" w:hAnsi="Times New Roman" w:cs="Times New Roman"/>
          <w:szCs w:val="24"/>
        </w:rPr>
        <w:t>he system post-2012 was that</w:t>
      </w:r>
      <w:r w:rsidR="00E572EE" w:rsidRPr="00CE1E04">
        <w:rPr>
          <w:rFonts w:ascii="Times New Roman" w:eastAsia="DFKai-SB" w:hAnsi="Times New Roman" w:cs="Times New Roman"/>
          <w:szCs w:val="24"/>
        </w:rPr>
        <w:t>,</w:t>
      </w:r>
      <w:r w:rsidR="00613861" w:rsidRPr="00CE1E04">
        <w:rPr>
          <w:rFonts w:ascii="Times New Roman" w:eastAsia="DFKai-SB" w:hAnsi="Times New Roman" w:cs="Times New Roman"/>
          <w:szCs w:val="24"/>
        </w:rPr>
        <w:t xml:space="preserve"> </w:t>
      </w:r>
      <w:r w:rsidR="00613861" w:rsidRPr="00CE1E04">
        <w:rPr>
          <w:rFonts w:ascii="Times New Roman" w:eastAsia="DFKai-SB" w:hAnsi="Times New Roman" w:cs="Times New Roman"/>
          <w:i/>
          <w:szCs w:val="24"/>
        </w:rPr>
        <w:t>“</w:t>
      </w:r>
      <w:r w:rsidR="009735AD" w:rsidRPr="00CE1E04">
        <w:rPr>
          <w:rFonts w:ascii="Times New Roman" w:eastAsia="DFKai-SB" w:hAnsi="Times New Roman" w:cs="Times New Roman"/>
          <w:i/>
        </w:rPr>
        <w:t>Ministry of Transportation and Communication (</w:t>
      </w:r>
      <w:r w:rsidR="00613861" w:rsidRPr="00CE1E04">
        <w:rPr>
          <w:rFonts w:ascii="Times New Roman" w:eastAsia="DFKai-SB" w:hAnsi="Times New Roman" w:cs="Times New Roman"/>
          <w:i/>
        </w:rPr>
        <w:t>MTC</w:t>
      </w:r>
      <w:r w:rsidR="009735AD" w:rsidRPr="00CE1E04">
        <w:rPr>
          <w:rFonts w:ascii="Times New Roman" w:eastAsia="DFKai-SB" w:hAnsi="Times New Roman" w:cs="Times New Roman"/>
          <w:i/>
        </w:rPr>
        <w:t>)</w:t>
      </w:r>
      <w:r w:rsidR="00613861" w:rsidRPr="00CE1E04">
        <w:rPr>
          <w:rFonts w:ascii="Times New Roman" w:eastAsia="DFKai-SB" w:hAnsi="Times New Roman" w:cs="Times New Roman"/>
          <w:i/>
        </w:rPr>
        <w:t xml:space="preserve"> established the MPB to be a port management organi</w:t>
      </w:r>
      <w:r w:rsidR="00CA01F6" w:rsidRPr="00CE1E04">
        <w:rPr>
          <w:rFonts w:ascii="Times New Roman" w:eastAsia="DFKai-SB" w:hAnsi="Times New Roman" w:cs="Times New Roman"/>
          <w:i/>
        </w:rPr>
        <w:t>s</w:t>
      </w:r>
      <w:r w:rsidR="00613861" w:rsidRPr="00CE1E04">
        <w:rPr>
          <w:rFonts w:ascii="Times New Roman" w:eastAsia="DFKai-SB" w:hAnsi="Times New Roman" w:cs="Times New Roman"/>
          <w:i/>
        </w:rPr>
        <w:t>ation, and the TIPC become a new company organi</w:t>
      </w:r>
      <w:r w:rsidR="00630EA1" w:rsidRPr="00CE1E04">
        <w:rPr>
          <w:rFonts w:ascii="Times New Roman" w:eastAsia="DFKai-SB" w:hAnsi="Times New Roman" w:cs="Times New Roman"/>
          <w:i/>
        </w:rPr>
        <w:t>s</w:t>
      </w:r>
      <w:r w:rsidR="00613861" w:rsidRPr="00CE1E04">
        <w:rPr>
          <w:rFonts w:ascii="Times New Roman" w:eastAsia="DFKai-SB" w:hAnsi="Times New Roman" w:cs="Times New Roman"/>
          <w:i/>
        </w:rPr>
        <w:t>ation after combining 4 previous port bureaus”</w:t>
      </w:r>
      <w:r w:rsidR="00613861" w:rsidRPr="00CE1E04">
        <w:rPr>
          <w:rFonts w:ascii="Times New Roman" w:eastAsia="DFKai-SB" w:hAnsi="Times New Roman" w:cs="Times New Roman"/>
        </w:rPr>
        <w:t xml:space="preserve">. Thus, </w:t>
      </w:r>
      <w:r w:rsidR="00613861" w:rsidRPr="00CE1E04">
        <w:rPr>
          <w:rFonts w:ascii="Times New Roman" w:eastAsia="DFKai-SB" w:hAnsi="Times New Roman" w:cs="Times New Roman"/>
          <w:i/>
        </w:rPr>
        <w:t>“</w:t>
      </w:r>
      <w:r w:rsidR="00613861" w:rsidRPr="00CE1E04">
        <w:rPr>
          <w:rFonts w:ascii="Times New Roman" w:eastAsia="DFKai-SB" w:hAnsi="Times New Roman" w:cs="Times New Roman"/>
          <w:i/>
          <w:szCs w:val="24"/>
        </w:rPr>
        <w:t>now the TIPC is responsible for international port’s business management and the MPB is responsible for public power regarding port affairs”</w:t>
      </w:r>
      <w:r w:rsidR="00613861" w:rsidRPr="00CE1E04">
        <w:rPr>
          <w:rFonts w:ascii="Times New Roman" w:eastAsia="DFKai-SB" w:hAnsi="Times New Roman" w:cs="Times New Roman"/>
          <w:szCs w:val="24"/>
        </w:rPr>
        <w:t>.</w:t>
      </w:r>
      <w:r w:rsidR="00FD1060" w:rsidRPr="00CE1E04">
        <w:rPr>
          <w:rFonts w:ascii="Times New Roman" w:eastAsia="DFKai-SB" w:hAnsi="Times New Roman" w:cs="Times New Roman"/>
          <w:szCs w:val="24"/>
        </w:rPr>
        <w:t xml:space="preserve"> </w:t>
      </w:r>
      <w:r w:rsidR="00D61F4E" w:rsidRPr="00CE1E04">
        <w:rPr>
          <w:rFonts w:ascii="Times New Roman" w:eastAsia="DFKai-SB" w:hAnsi="Times New Roman" w:cs="Times New Roman"/>
          <w:szCs w:val="24"/>
        </w:rPr>
        <w:t>Th</w:t>
      </w:r>
      <w:r w:rsidR="005F6864" w:rsidRPr="00CE1E04">
        <w:rPr>
          <w:rFonts w:ascii="Times New Roman" w:eastAsia="DFKai-SB" w:hAnsi="Times New Roman" w:cs="Times New Roman"/>
          <w:szCs w:val="24"/>
        </w:rPr>
        <w:t>us, in its</w:t>
      </w:r>
      <w:r w:rsidR="00EE585B" w:rsidRPr="00CE1E04">
        <w:rPr>
          <w:rFonts w:ascii="Times New Roman" w:eastAsia="DFKai-SB" w:hAnsi="Times New Roman" w:cs="Times New Roman"/>
          <w:szCs w:val="24"/>
        </w:rPr>
        <w:t xml:space="preserve"> rat</w:t>
      </w:r>
      <w:r w:rsidR="005F6864" w:rsidRPr="00CE1E04">
        <w:rPr>
          <w:rFonts w:ascii="Times New Roman" w:eastAsia="DFKai-SB" w:hAnsi="Times New Roman" w:cs="Times New Roman"/>
          <w:szCs w:val="24"/>
        </w:rPr>
        <w:t xml:space="preserve">ionale for reform, Taiwan has </w:t>
      </w:r>
      <w:r w:rsidR="00EE585B" w:rsidRPr="00CE1E04">
        <w:rPr>
          <w:rFonts w:ascii="Times New Roman" w:eastAsia="DFKai-SB" w:hAnsi="Times New Roman" w:cs="Times New Roman"/>
          <w:szCs w:val="24"/>
        </w:rPr>
        <w:t>follow</w:t>
      </w:r>
      <w:r w:rsidR="005F6864" w:rsidRPr="00CE1E04">
        <w:rPr>
          <w:rFonts w:ascii="Times New Roman" w:eastAsia="DFKai-SB" w:hAnsi="Times New Roman" w:cs="Times New Roman"/>
          <w:szCs w:val="24"/>
        </w:rPr>
        <w:t>ed</w:t>
      </w:r>
      <w:r w:rsidR="00EE585B" w:rsidRPr="00CE1E04">
        <w:rPr>
          <w:rFonts w:ascii="Times New Roman" w:eastAsia="DFKai-SB" w:hAnsi="Times New Roman" w:cs="Times New Roman"/>
          <w:szCs w:val="24"/>
        </w:rPr>
        <w:t xml:space="preserve"> suit with other countries such as China (Cullinane and Wang, 2006) in introducing great</w:t>
      </w:r>
      <w:r w:rsidR="006002E9" w:rsidRPr="00CE1E04">
        <w:rPr>
          <w:rFonts w:ascii="Times New Roman" w:eastAsia="DFKai-SB" w:hAnsi="Times New Roman" w:cs="Times New Roman"/>
          <w:szCs w:val="24"/>
        </w:rPr>
        <w:t>er decentralization and more privatization</w:t>
      </w:r>
      <w:r w:rsidR="00EE585B" w:rsidRPr="00CE1E04">
        <w:rPr>
          <w:rFonts w:ascii="Times New Roman" w:eastAsia="DFKai-SB" w:hAnsi="Times New Roman" w:cs="Times New Roman"/>
          <w:szCs w:val="24"/>
        </w:rPr>
        <w:t xml:space="preserve">. </w:t>
      </w:r>
      <w:r w:rsidR="006002E9" w:rsidRPr="00CE1E04">
        <w:rPr>
          <w:rFonts w:ascii="Times New Roman" w:eastAsia="DFKai-SB" w:hAnsi="Times New Roman" w:cs="Times New Roman"/>
          <w:szCs w:val="24"/>
        </w:rPr>
        <w:t>Taiwan’s</w:t>
      </w:r>
      <w:r w:rsidR="00EE585B" w:rsidRPr="00CE1E04">
        <w:rPr>
          <w:rFonts w:ascii="Times New Roman" w:eastAsia="DFKai-SB" w:hAnsi="Times New Roman" w:cs="Times New Roman"/>
          <w:szCs w:val="24"/>
        </w:rPr>
        <w:t xml:space="preserve"> a</w:t>
      </w:r>
      <w:r w:rsidR="006002E9" w:rsidRPr="00CE1E04">
        <w:rPr>
          <w:rFonts w:ascii="Times New Roman" w:eastAsia="DFKai-SB" w:hAnsi="Times New Roman" w:cs="Times New Roman"/>
          <w:szCs w:val="24"/>
        </w:rPr>
        <w:t>pproach has arguably</w:t>
      </w:r>
      <w:r w:rsidR="00EE585B" w:rsidRPr="00CE1E04">
        <w:rPr>
          <w:rFonts w:ascii="Times New Roman" w:eastAsia="DFKai-SB" w:hAnsi="Times New Roman" w:cs="Times New Roman"/>
          <w:szCs w:val="24"/>
        </w:rPr>
        <w:t xml:space="preserve"> been a middle road one whereby it has been mildly active</w:t>
      </w:r>
      <w:r w:rsidR="006002E9" w:rsidRPr="00CE1E04">
        <w:rPr>
          <w:rFonts w:ascii="Times New Roman" w:eastAsia="DFKai-SB" w:hAnsi="Times New Roman" w:cs="Times New Roman"/>
          <w:szCs w:val="24"/>
        </w:rPr>
        <w:t>, or a facilitator (V</w:t>
      </w:r>
      <w:r w:rsidR="00EE585B" w:rsidRPr="00CE1E04">
        <w:rPr>
          <w:rFonts w:ascii="Times New Roman" w:eastAsia="DFKai-SB" w:hAnsi="Times New Roman" w:cs="Times New Roman"/>
          <w:szCs w:val="24"/>
        </w:rPr>
        <w:t>erhoeven and Vanoutrive</w:t>
      </w:r>
      <w:r w:rsidR="006002E9" w:rsidRPr="00CE1E04">
        <w:rPr>
          <w:rFonts w:ascii="Times New Roman" w:eastAsia="DFKai-SB" w:hAnsi="Times New Roman" w:cs="Times New Roman"/>
          <w:szCs w:val="24"/>
        </w:rPr>
        <w:t xml:space="preserve">, </w:t>
      </w:r>
      <w:r w:rsidR="00EE585B" w:rsidRPr="00CE1E04">
        <w:rPr>
          <w:rFonts w:ascii="Times New Roman" w:eastAsia="DFKai-SB" w:hAnsi="Times New Roman" w:cs="Times New Roman"/>
          <w:szCs w:val="24"/>
        </w:rPr>
        <w:t xml:space="preserve">2012) in encouraging competition and </w:t>
      </w:r>
      <w:r w:rsidR="00F9254D" w:rsidRPr="00CE1E04">
        <w:rPr>
          <w:rFonts w:ascii="Times New Roman" w:eastAsia="DFKai-SB" w:hAnsi="Times New Roman" w:cs="Times New Roman"/>
          <w:szCs w:val="24"/>
        </w:rPr>
        <w:t xml:space="preserve">in </w:t>
      </w:r>
      <w:r w:rsidR="006002E9" w:rsidRPr="00CE1E04">
        <w:rPr>
          <w:rFonts w:ascii="Times New Roman" w:eastAsia="DFKai-SB" w:hAnsi="Times New Roman" w:cs="Times New Roman"/>
          <w:szCs w:val="24"/>
        </w:rPr>
        <w:t>decentralizing</w:t>
      </w:r>
      <w:r w:rsidR="00F9254D" w:rsidRPr="00CE1E04">
        <w:rPr>
          <w:rFonts w:ascii="Times New Roman" w:eastAsia="DFKai-SB" w:hAnsi="Times New Roman" w:cs="Times New Roman"/>
          <w:szCs w:val="24"/>
        </w:rPr>
        <w:t>. Similarly to Greece (Pallis, 2006)</w:t>
      </w:r>
      <w:r w:rsidR="009E552F" w:rsidRPr="00CE1E04">
        <w:rPr>
          <w:rFonts w:ascii="Times New Roman" w:eastAsia="DFKai-SB" w:hAnsi="Times New Roman" w:cs="Times New Roman"/>
          <w:szCs w:val="24"/>
        </w:rPr>
        <w:t>,</w:t>
      </w:r>
      <w:r w:rsidR="00F9254D" w:rsidRPr="00CE1E04">
        <w:rPr>
          <w:rFonts w:ascii="Times New Roman" w:eastAsia="DFKai-SB" w:hAnsi="Times New Roman" w:cs="Times New Roman"/>
          <w:szCs w:val="24"/>
        </w:rPr>
        <w:t xml:space="preserve"> Taiwan has retained a governmental stake and not approached decentralization similarly to the UK (Baird and Valentine, 2006) and off-loaded public assets to the private sector. Politically therefore, Taiwan’s approach has arguably been individual and one of compromise. </w:t>
      </w:r>
      <w:r w:rsidR="0050454A" w:rsidRPr="00CE1E04">
        <w:rPr>
          <w:rFonts w:ascii="Times New Roman" w:eastAsia="DFKai-SB" w:hAnsi="Times New Roman" w:cs="Times New Roman"/>
          <w:szCs w:val="24"/>
        </w:rPr>
        <w:t>When viewed through a lens of</w:t>
      </w:r>
      <w:r w:rsidR="005F6864" w:rsidRPr="00CE1E04">
        <w:rPr>
          <w:rFonts w:ascii="Times New Roman" w:eastAsia="DFKai-SB" w:hAnsi="Times New Roman" w:cs="Times New Roman"/>
          <w:szCs w:val="24"/>
        </w:rPr>
        <w:t xml:space="preserve"> </w:t>
      </w:r>
      <w:r w:rsidR="000A57ED" w:rsidRPr="00CE1E04">
        <w:rPr>
          <w:rFonts w:ascii="Times New Roman" w:eastAsia="DFKai-SB" w:hAnsi="Times New Roman" w:cs="Times New Roman"/>
          <w:szCs w:val="24"/>
        </w:rPr>
        <w:t>organised</w:t>
      </w:r>
      <w:r w:rsidR="00F9254D" w:rsidRPr="00CE1E04">
        <w:rPr>
          <w:rFonts w:ascii="Times New Roman" w:eastAsia="DFKai-SB" w:hAnsi="Times New Roman" w:cs="Times New Roman"/>
          <w:szCs w:val="24"/>
        </w:rPr>
        <w:t xml:space="preserve"> hypocrisy (Brunsson, 2002) Taiwan </w:t>
      </w:r>
      <w:r w:rsidR="0050454A" w:rsidRPr="00CE1E04">
        <w:rPr>
          <w:rFonts w:ascii="Times New Roman" w:eastAsia="DFKai-SB" w:hAnsi="Times New Roman" w:cs="Times New Roman"/>
          <w:szCs w:val="24"/>
        </w:rPr>
        <w:t>has</w:t>
      </w:r>
      <w:r w:rsidR="00F9254D" w:rsidRPr="00CE1E04">
        <w:rPr>
          <w:rFonts w:ascii="Times New Roman" w:eastAsia="DFKai-SB" w:hAnsi="Times New Roman" w:cs="Times New Roman"/>
          <w:szCs w:val="24"/>
        </w:rPr>
        <w:t xml:space="preserve"> move forward </w:t>
      </w:r>
      <w:r w:rsidR="005F6864" w:rsidRPr="00CE1E04">
        <w:rPr>
          <w:rFonts w:ascii="Times New Roman" w:eastAsia="DFKai-SB" w:hAnsi="Times New Roman" w:cs="Times New Roman"/>
          <w:szCs w:val="24"/>
        </w:rPr>
        <w:t>with its own unique landlord model and</w:t>
      </w:r>
      <w:r w:rsidR="00F9254D" w:rsidRPr="00CE1E04">
        <w:rPr>
          <w:rFonts w:ascii="Times New Roman" w:eastAsia="DFKai-SB" w:hAnsi="Times New Roman" w:cs="Times New Roman"/>
          <w:szCs w:val="24"/>
        </w:rPr>
        <w:t xml:space="preserve"> </w:t>
      </w:r>
      <w:r w:rsidR="0050454A" w:rsidRPr="00CE1E04">
        <w:rPr>
          <w:rFonts w:ascii="Times New Roman" w:eastAsia="DFKai-SB" w:hAnsi="Times New Roman" w:cs="Times New Roman"/>
          <w:szCs w:val="24"/>
        </w:rPr>
        <w:t>is aiming</w:t>
      </w:r>
      <w:r w:rsidR="00F9254D" w:rsidRPr="00CE1E04">
        <w:rPr>
          <w:rFonts w:ascii="Times New Roman" w:eastAsia="DFKai-SB" w:hAnsi="Times New Roman" w:cs="Times New Roman"/>
          <w:szCs w:val="24"/>
        </w:rPr>
        <w:t xml:space="preserve"> for efficiency and privatization </w:t>
      </w:r>
      <w:r w:rsidR="0050454A" w:rsidRPr="00CE1E04">
        <w:rPr>
          <w:rFonts w:ascii="Times New Roman" w:eastAsia="DFKai-SB" w:hAnsi="Times New Roman" w:cs="Times New Roman"/>
          <w:szCs w:val="24"/>
        </w:rPr>
        <w:t>yet</w:t>
      </w:r>
      <w:r w:rsidR="00F9254D" w:rsidRPr="00CE1E04">
        <w:rPr>
          <w:rFonts w:ascii="Times New Roman" w:eastAsia="DFKai-SB" w:hAnsi="Times New Roman" w:cs="Times New Roman"/>
          <w:szCs w:val="24"/>
        </w:rPr>
        <w:t xml:space="preserve"> retain</w:t>
      </w:r>
      <w:r w:rsidR="0050454A" w:rsidRPr="00CE1E04">
        <w:rPr>
          <w:rFonts w:ascii="Times New Roman" w:eastAsia="DFKai-SB" w:hAnsi="Times New Roman" w:cs="Times New Roman"/>
          <w:szCs w:val="24"/>
        </w:rPr>
        <w:t>ing</w:t>
      </w:r>
      <w:r w:rsidR="00F9254D" w:rsidRPr="00CE1E04">
        <w:rPr>
          <w:rFonts w:ascii="Times New Roman" w:eastAsia="DFKai-SB" w:hAnsi="Times New Roman" w:cs="Times New Roman"/>
          <w:szCs w:val="24"/>
        </w:rPr>
        <w:t xml:space="preserve"> public ownership of management processes and overall control.</w:t>
      </w:r>
    </w:p>
    <w:p w14:paraId="46C32C5B" w14:textId="528FDB2F" w:rsidR="00941367" w:rsidRPr="00CE1E04" w:rsidRDefault="00F9254D" w:rsidP="00946E26">
      <w:pPr>
        <w:pStyle w:val="HTMLPreformatted"/>
        <w:tabs>
          <w:tab w:val="clear" w:pos="916"/>
        </w:tabs>
        <w:ind w:firstLineChars="100" w:firstLine="240"/>
        <w:jc w:val="both"/>
        <w:rPr>
          <w:rFonts w:ascii="Times New Roman" w:eastAsia="DFKai-SB" w:hAnsi="Times New Roman" w:cs="Times New Roman"/>
        </w:rPr>
      </w:pPr>
      <w:r w:rsidRPr="00CE1E04">
        <w:rPr>
          <w:rFonts w:ascii="Times New Roman" w:eastAsia="DFKai-SB" w:hAnsi="Times New Roman" w:cs="Times New Roman"/>
        </w:rPr>
        <w:t>Howeve</w:t>
      </w:r>
      <w:r w:rsidR="005F6864" w:rsidRPr="00CE1E04">
        <w:rPr>
          <w:rFonts w:ascii="Times New Roman" w:eastAsia="DFKai-SB" w:hAnsi="Times New Roman" w:cs="Times New Roman"/>
        </w:rPr>
        <w:t>r, achieving these aims</w:t>
      </w:r>
      <w:r w:rsidR="009E552F" w:rsidRPr="00CE1E04">
        <w:rPr>
          <w:rFonts w:ascii="Times New Roman" w:eastAsia="DFKai-SB" w:hAnsi="Times New Roman" w:cs="Times New Roman"/>
        </w:rPr>
        <w:t xml:space="preserve"> is proving</w:t>
      </w:r>
      <w:r w:rsidR="00F706FB" w:rsidRPr="00CE1E04">
        <w:rPr>
          <w:rFonts w:ascii="Times New Roman" w:eastAsia="DFKai-SB" w:hAnsi="Times New Roman" w:cs="Times New Roman"/>
        </w:rPr>
        <w:t xml:space="preserve"> challenging</w:t>
      </w:r>
      <w:r w:rsidRPr="00CE1E04">
        <w:rPr>
          <w:rFonts w:ascii="Times New Roman" w:eastAsia="DFKai-SB" w:hAnsi="Times New Roman" w:cs="Times New Roman"/>
        </w:rPr>
        <w:t>. Indeed,</w:t>
      </w:r>
      <w:r w:rsidR="005F6864" w:rsidRPr="00CE1E04">
        <w:rPr>
          <w:rFonts w:ascii="Times New Roman" w:eastAsia="DFKai-SB" w:hAnsi="Times New Roman" w:cs="Times New Roman"/>
        </w:rPr>
        <w:t xml:space="preserve"> introducing</w:t>
      </w:r>
      <w:r w:rsidR="00F706FB" w:rsidRPr="00CE1E04">
        <w:rPr>
          <w:rFonts w:ascii="Times New Roman" w:eastAsia="DFKai-SB" w:hAnsi="Times New Roman" w:cs="Times New Roman"/>
        </w:rPr>
        <w:t xml:space="preserve"> ex</w:t>
      </w:r>
      <w:r w:rsidR="005F6864" w:rsidRPr="00CE1E04">
        <w:rPr>
          <w:rFonts w:ascii="Times New Roman" w:eastAsia="DFKai-SB" w:hAnsi="Times New Roman" w:cs="Times New Roman"/>
        </w:rPr>
        <w:t>tra levels of management</w:t>
      </w:r>
      <w:r w:rsidR="00F706FB" w:rsidRPr="00CE1E04">
        <w:rPr>
          <w:rFonts w:ascii="Times New Roman" w:eastAsia="DFKai-SB" w:hAnsi="Times New Roman" w:cs="Times New Roman"/>
        </w:rPr>
        <w:t xml:space="preserve"> has actua</w:t>
      </w:r>
      <w:r w:rsidR="005F6864" w:rsidRPr="00CE1E04">
        <w:rPr>
          <w:rFonts w:ascii="Times New Roman" w:eastAsia="DFKai-SB" w:hAnsi="Times New Roman" w:cs="Times New Roman"/>
        </w:rPr>
        <w:t>lly proved counterproductive and reduced flexibility</w:t>
      </w:r>
      <w:r w:rsidR="00F706FB" w:rsidRPr="00CE1E04">
        <w:rPr>
          <w:rFonts w:ascii="Times New Roman" w:eastAsia="DFKai-SB" w:hAnsi="Times New Roman" w:cs="Times New Roman"/>
        </w:rPr>
        <w:t>. As one expert commented:</w:t>
      </w:r>
      <w:r w:rsidR="00946B9E" w:rsidRPr="00CE1E04">
        <w:rPr>
          <w:rFonts w:ascii="Times New Roman" w:hAnsi="Times New Roman" w:cs="Times New Roman"/>
        </w:rPr>
        <w:t xml:space="preserve"> </w:t>
      </w:r>
      <w:r w:rsidR="00D61F4E" w:rsidRPr="00CE1E04">
        <w:rPr>
          <w:rFonts w:ascii="Times New Roman" w:hAnsi="Times New Roman" w:cs="Times New Roman"/>
          <w:i/>
        </w:rPr>
        <w:t>“</w:t>
      </w:r>
      <w:r w:rsidR="00946B9E" w:rsidRPr="00CE1E04">
        <w:rPr>
          <w:rFonts w:ascii="Times New Roman" w:hAnsi="Times New Roman" w:cs="Times New Roman"/>
          <w:i/>
        </w:rPr>
        <w:t>some management strata have increased in the MPB between the Department of Navigation and Aviation and the TIPC..</w:t>
      </w:r>
      <w:r w:rsidR="004972A6" w:rsidRPr="00CE1E04">
        <w:rPr>
          <w:rFonts w:ascii="Times New Roman" w:hAnsi="Times New Roman" w:cs="Times New Roman"/>
          <w:i/>
        </w:rPr>
        <w:t>.</w:t>
      </w:r>
      <w:r w:rsidR="00946B9E" w:rsidRPr="00CE1E04">
        <w:rPr>
          <w:rFonts w:ascii="Times New Roman" w:hAnsi="Times New Roman" w:cs="Times New Roman"/>
          <w:i/>
        </w:rPr>
        <w:t xml:space="preserve"> </w:t>
      </w:r>
      <w:r w:rsidR="004972A6" w:rsidRPr="00CE1E04">
        <w:rPr>
          <w:rFonts w:ascii="Times New Roman" w:hAnsi="Times New Roman" w:cs="Times New Roman"/>
          <w:i/>
        </w:rPr>
        <w:t>i</w:t>
      </w:r>
      <w:r w:rsidR="00946B9E" w:rsidRPr="00CE1E04">
        <w:rPr>
          <w:rFonts w:ascii="Times New Roman" w:hAnsi="Times New Roman" w:cs="Times New Roman"/>
          <w:i/>
        </w:rPr>
        <w:t xml:space="preserve">n addition, the regulation works have not decreased in the administration </w:t>
      </w:r>
      <w:r w:rsidR="00690650" w:rsidRPr="00CE1E04">
        <w:rPr>
          <w:rFonts w:ascii="Times New Roman" w:hAnsi="Times New Roman" w:cs="Times New Roman"/>
          <w:i/>
        </w:rPr>
        <w:t>sector…</w:t>
      </w:r>
      <w:r w:rsidR="00946B9E" w:rsidRPr="00CE1E04">
        <w:rPr>
          <w:rFonts w:ascii="Times New Roman" w:hAnsi="Times New Roman" w:cs="Times New Roman"/>
          <w:i/>
        </w:rPr>
        <w:t xml:space="preserve"> and this has resulted in a decrease in the level of operational flexibility. Thus, currently the target of achieving the intended separation of administration and business mana</w:t>
      </w:r>
      <w:r w:rsidR="00690650" w:rsidRPr="00CE1E04">
        <w:rPr>
          <w:rFonts w:ascii="Times New Roman" w:hAnsi="Times New Roman" w:cs="Times New Roman"/>
          <w:i/>
        </w:rPr>
        <w:t>gement has not really succeeded</w:t>
      </w:r>
      <w:r w:rsidR="00946B9E" w:rsidRPr="00CE1E04">
        <w:rPr>
          <w:rFonts w:ascii="Times New Roman" w:hAnsi="Times New Roman" w:cs="Times New Roman"/>
          <w:i/>
        </w:rPr>
        <w:t>”</w:t>
      </w:r>
      <w:r w:rsidR="00690650" w:rsidRPr="00CE1E04">
        <w:rPr>
          <w:rFonts w:ascii="Times New Roman" w:hAnsi="Times New Roman" w:cs="Times New Roman"/>
        </w:rPr>
        <w:t xml:space="preserve">. </w:t>
      </w:r>
      <w:r w:rsidR="00941367" w:rsidRPr="00CE1E04">
        <w:rPr>
          <w:rFonts w:ascii="Times New Roman" w:hAnsi="Times New Roman" w:cs="Times New Roman"/>
        </w:rPr>
        <w:t xml:space="preserve">Perhaps inevitably, reducing the number of units from four to two was felt to have increased the TIPC’s operation scale and had an adverse impact on scale economy: </w:t>
      </w:r>
      <w:r w:rsidR="00941367" w:rsidRPr="00CE1E04">
        <w:rPr>
          <w:rFonts w:ascii="Times New Roman" w:hAnsi="Times New Roman" w:cs="Times New Roman"/>
          <w:i/>
        </w:rPr>
        <w:t>“</w:t>
      </w:r>
      <w:r w:rsidR="00941367" w:rsidRPr="00CE1E04">
        <w:rPr>
          <w:rFonts w:ascii="Times New Roman" w:eastAsia="DFKai-SB" w:hAnsi="Times New Roman" w:cs="Times New Roman"/>
          <w:i/>
        </w:rPr>
        <w:t>the operation scale of TIPC has become larger after combining the previous four port bureaus. Thus, if Taiwan would like to develop scale economy effects, it must integrate each port’s resource and capabilities. So, it will face a unification challenge in the future”</w:t>
      </w:r>
      <w:r w:rsidR="00941367" w:rsidRPr="00CE1E04">
        <w:rPr>
          <w:rFonts w:ascii="Times New Roman" w:eastAsia="DFKai-SB" w:hAnsi="Times New Roman" w:cs="Times New Roman"/>
        </w:rPr>
        <w:t>.</w:t>
      </w:r>
    </w:p>
    <w:p w14:paraId="4E343ECC" w14:textId="26FEE594" w:rsidR="00F706FB" w:rsidRPr="00CE1E04" w:rsidRDefault="00690650" w:rsidP="00B44723">
      <w:pPr>
        <w:ind w:firstLineChars="100" w:firstLine="240"/>
        <w:jc w:val="both"/>
        <w:rPr>
          <w:rFonts w:ascii="Times New Roman" w:eastAsia="DFKai-SB" w:hAnsi="Times New Roman" w:cs="Times New Roman"/>
        </w:rPr>
      </w:pPr>
      <w:r w:rsidRPr="00CE1E04">
        <w:rPr>
          <w:rFonts w:ascii="Times New Roman" w:hAnsi="Times New Roman" w:cs="Times New Roman"/>
        </w:rPr>
        <w:t>I</w:t>
      </w:r>
      <w:r w:rsidR="006B7D69" w:rsidRPr="00CE1E04">
        <w:rPr>
          <w:rFonts w:ascii="Times New Roman" w:hAnsi="Times New Roman" w:cs="Times New Roman"/>
        </w:rPr>
        <w:t>n fact,</w:t>
      </w:r>
      <w:r w:rsidRPr="00CE1E04">
        <w:rPr>
          <w:rFonts w:ascii="Times New Roman" w:hAnsi="Times New Roman" w:cs="Times New Roman"/>
        </w:rPr>
        <w:t xml:space="preserve"> the </w:t>
      </w:r>
      <w:r w:rsidR="009E552F" w:rsidRPr="00CE1E04">
        <w:rPr>
          <w:rFonts w:ascii="Times New Roman" w:hAnsi="Times New Roman" w:cs="Times New Roman"/>
        </w:rPr>
        <w:t>reforms now mean</w:t>
      </w:r>
      <w:r w:rsidR="006B7D69" w:rsidRPr="00CE1E04">
        <w:rPr>
          <w:rFonts w:ascii="Times New Roman" w:hAnsi="Times New Roman" w:cs="Times New Roman"/>
        </w:rPr>
        <w:t xml:space="preserve"> more </w:t>
      </w:r>
      <w:r w:rsidRPr="00CE1E04">
        <w:rPr>
          <w:rFonts w:ascii="Times New Roman" w:hAnsi="Times New Roman" w:cs="Times New Roman"/>
        </w:rPr>
        <w:t xml:space="preserve">communication </w:t>
      </w:r>
      <w:r w:rsidR="006B7D69" w:rsidRPr="00CE1E04">
        <w:rPr>
          <w:rFonts w:ascii="Times New Roman" w:hAnsi="Times New Roman" w:cs="Times New Roman"/>
        </w:rPr>
        <w:t xml:space="preserve">is </w:t>
      </w:r>
      <w:r w:rsidRPr="00CE1E04">
        <w:rPr>
          <w:rFonts w:ascii="Times New Roman" w:hAnsi="Times New Roman" w:cs="Times New Roman"/>
        </w:rPr>
        <w:t>required</w:t>
      </w:r>
      <w:r w:rsidR="006B7D69" w:rsidRPr="00CE1E04">
        <w:rPr>
          <w:rFonts w:ascii="Times New Roman" w:hAnsi="Times New Roman" w:cs="Times New Roman"/>
        </w:rPr>
        <w:t>, negatively impacting on efficiency</w:t>
      </w:r>
      <w:r w:rsidR="004972A6" w:rsidRPr="00CE1E04">
        <w:rPr>
          <w:rFonts w:ascii="Times New Roman" w:hAnsi="Times New Roman" w:cs="Times New Roman"/>
        </w:rPr>
        <w:t>:</w:t>
      </w:r>
      <w:r w:rsidR="004972A6" w:rsidRPr="00CE1E04">
        <w:rPr>
          <w:rFonts w:ascii="Times New Roman" w:eastAsia="DFKai-SB" w:hAnsi="Times New Roman" w:cs="Times New Roman"/>
          <w:i/>
          <w:szCs w:val="24"/>
        </w:rPr>
        <w:t xml:space="preserve"> “in the previous time (before 2012), each port bureau just directly reported to the Ministry of Transportation and Communication. Now, however, each TIPC’s branch must be responsible for the TIPC’s general company. If there is any important decision that needs to made, the TIPC’s general company must be consulted. So, such an organisational requirement will delay the operational efficiency for each port’s services”</w:t>
      </w:r>
      <w:r w:rsidRPr="00CE1E04">
        <w:rPr>
          <w:rFonts w:ascii="Times New Roman" w:eastAsia="DFKai-SB" w:hAnsi="Times New Roman" w:cs="Times New Roman"/>
        </w:rPr>
        <w:t>.</w:t>
      </w:r>
      <w:r w:rsidR="004972A6" w:rsidRPr="00CE1E04">
        <w:rPr>
          <w:rFonts w:ascii="Times New Roman" w:eastAsia="DFKai-SB" w:hAnsi="Times New Roman" w:cs="Times New Roman"/>
          <w:szCs w:val="24"/>
        </w:rPr>
        <w:t xml:space="preserve"> </w:t>
      </w:r>
      <w:r w:rsidR="00D723BE" w:rsidRPr="00CE1E04">
        <w:rPr>
          <w:rFonts w:ascii="Times New Roman" w:eastAsia="DFKai-SB" w:hAnsi="Times New Roman" w:cs="Times New Roman"/>
        </w:rPr>
        <w:t>Also</w:t>
      </w:r>
      <w:r w:rsidR="006B7D69" w:rsidRPr="00CE1E04">
        <w:rPr>
          <w:rFonts w:ascii="Times New Roman" w:eastAsia="DFKai-SB" w:hAnsi="Times New Roman" w:cs="Times New Roman"/>
        </w:rPr>
        <w:t xml:space="preserve">, communication </w:t>
      </w:r>
      <w:r w:rsidR="009E552F" w:rsidRPr="00CE1E04">
        <w:rPr>
          <w:rFonts w:ascii="Times New Roman" w:eastAsia="DFKai-SB" w:hAnsi="Times New Roman" w:cs="Times New Roman"/>
        </w:rPr>
        <w:t>is</w:t>
      </w:r>
      <w:r w:rsidR="006B7D69" w:rsidRPr="00CE1E04">
        <w:rPr>
          <w:rFonts w:ascii="Times New Roman" w:eastAsia="DFKai-SB" w:hAnsi="Times New Roman" w:cs="Times New Roman"/>
        </w:rPr>
        <w:t xml:space="preserve"> often problematic</w:t>
      </w:r>
      <w:r w:rsidR="006B7D69" w:rsidRPr="00CE1E04">
        <w:rPr>
          <w:rFonts w:ascii="Times New Roman" w:eastAsia="DFKai-SB" w:hAnsi="Times New Roman" w:cs="Times New Roman"/>
          <w:szCs w:val="24"/>
        </w:rPr>
        <w:t>, as</w:t>
      </w:r>
      <w:r w:rsidR="00E103BC" w:rsidRPr="00CE1E04">
        <w:rPr>
          <w:rFonts w:ascii="Times New Roman" w:eastAsia="DFKai-SB" w:hAnsi="Times New Roman" w:cs="Times New Roman"/>
          <w:szCs w:val="24"/>
        </w:rPr>
        <w:t xml:space="preserve"> </w:t>
      </w:r>
      <w:r w:rsidR="00FB3DB6" w:rsidRPr="00CE1E04">
        <w:rPr>
          <w:rFonts w:ascii="Times New Roman" w:eastAsia="DFKai-SB" w:hAnsi="Times New Roman" w:cs="Times New Roman"/>
          <w:i/>
          <w:szCs w:val="24"/>
        </w:rPr>
        <w:t>“the TIPC sometimes has some problems associated with the fact that it does not know who is its real supervisor (</w:t>
      </w:r>
      <w:r w:rsidR="009735AD" w:rsidRPr="00CE1E04">
        <w:rPr>
          <w:rFonts w:ascii="Times New Roman" w:hAnsi="Times New Roman" w:cs="Times New Roman"/>
          <w:i/>
          <w:szCs w:val="24"/>
        </w:rPr>
        <w:t>Department of Navigation and Aviation</w:t>
      </w:r>
      <w:r w:rsidR="009735AD" w:rsidRPr="00CE1E04">
        <w:rPr>
          <w:rFonts w:ascii="Times New Roman" w:eastAsia="DFKai-SB" w:hAnsi="Times New Roman" w:cs="Times New Roman"/>
          <w:i/>
          <w:szCs w:val="24"/>
        </w:rPr>
        <w:t xml:space="preserve"> (</w:t>
      </w:r>
      <w:r w:rsidR="00FB3DB6" w:rsidRPr="00CE1E04">
        <w:rPr>
          <w:rFonts w:ascii="Times New Roman" w:eastAsia="DFKai-SB" w:hAnsi="Times New Roman" w:cs="Times New Roman"/>
          <w:i/>
          <w:szCs w:val="24"/>
        </w:rPr>
        <w:t>DNA</w:t>
      </w:r>
      <w:r w:rsidR="009735AD" w:rsidRPr="00CE1E04">
        <w:rPr>
          <w:rFonts w:ascii="Times New Roman" w:eastAsia="DFKai-SB" w:hAnsi="Times New Roman" w:cs="Times New Roman"/>
          <w:i/>
          <w:szCs w:val="24"/>
        </w:rPr>
        <w:t>)</w:t>
      </w:r>
      <w:r w:rsidR="00FB3DB6" w:rsidRPr="00CE1E04">
        <w:rPr>
          <w:rFonts w:ascii="Times New Roman" w:eastAsia="DFKai-SB" w:hAnsi="Times New Roman" w:cs="Times New Roman"/>
          <w:i/>
          <w:szCs w:val="24"/>
        </w:rPr>
        <w:t xml:space="preserve"> or the MPB)</w:t>
      </w:r>
      <w:r w:rsidR="004972A6" w:rsidRPr="00CE1E04">
        <w:rPr>
          <w:rFonts w:ascii="Times New Roman" w:eastAsia="DFKai-SB" w:hAnsi="Times New Roman" w:cs="Times New Roman"/>
          <w:i/>
          <w:szCs w:val="24"/>
        </w:rPr>
        <w:t>.</w:t>
      </w:r>
      <w:r w:rsidR="00FB3DB6" w:rsidRPr="00CE1E04">
        <w:rPr>
          <w:rFonts w:ascii="Times New Roman" w:eastAsia="DFKai-SB" w:hAnsi="Times New Roman" w:cs="Times New Roman"/>
          <w:i/>
          <w:szCs w:val="24"/>
        </w:rPr>
        <w:t xml:space="preserve"> I think it needs time to adjust such a process so it works smoothly”</w:t>
      </w:r>
      <w:r w:rsidR="00FB3DB6" w:rsidRPr="00CE1E04">
        <w:rPr>
          <w:rFonts w:ascii="Times New Roman" w:eastAsia="DFKai-SB" w:hAnsi="Times New Roman" w:cs="Times New Roman"/>
          <w:szCs w:val="24"/>
        </w:rPr>
        <w:t>.</w:t>
      </w:r>
      <w:r w:rsidR="00953AAF" w:rsidRPr="00CE1E04">
        <w:rPr>
          <w:rFonts w:ascii="Times New Roman" w:eastAsia="DFKai-SB" w:hAnsi="Times New Roman" w:cs="Times New Roman"/>
          <w:szCs w:val="24"/>
        </w:rPr>
        <w:t xml:space="preserve"> </w:t>
      </w:r>
      <w:r w:rsidR="00941367" w:rsidRPr="00CE1E04">
        <w:rPr>
          <w:rFonts w:ascii="Times New Roman" w:eastAsia="DFKai-SB" w:hAnsi="Times New Roman" w:cs="Times New Roman"/>
          <w:szCs w:val="24"/>
        </w:rPr>
        <w:t xml:space="preserve">A further </w:t>
      </w:r>
      <w:r w:rsidR="00D723BE" w:rsidRPr="00CE1E04">
        <w:rPr>
          <w:rFonts w:ascii="Times New Roman" w:eastAsia="DFKai-SB" w:hAnsi="Times New Roman" w:cs="Times New Roman"/>
          <w:szCs w:val="24"/>
        </w:rPr>
        <w:t xml:space="preserve">communication </w:t>
      </w:r>
      <w:r w:rsidR="00941367" w:rsidRPr="00CE1E04">
        <w:rPr>
          <w:rFonts w:ascii="Times New Roman" w:eastAsia="DFKai-SB" w:hAnsi="Times New Roman" w:cs="Times New Roman"/>
          <w:szCs w:val="24"/>
        </w:rPr>
        <w:t>issue</w:t>
      </w:r>
      <w:r w:rsidR="009E552F" w:rsidRPr="00CE1E04">
        <w:rPr>
          <w:rFonts w:ascii="Times New Roman" w:eastAsia="DFKai-SB" w:hAnsi="Times New Roman" w:cs="Times New Roman"/>
          <w:szCs w:val="24"/>
        </w:rPr>
        <w:t xml:space="preserve"> is</w:t>
      </w:r>
      <w:r w:rsidR="00941367" w:rsidRPr="00CE1E04">
        <w:rPr>
          <w:rFonts w:ascii="Times New Roman" w:eastAsia="DFKai-SB" w:hAnsi="Times New Roman" w:cs="Times New Roman"/>
          <w:szCs w:val="24"/>
        </w:rPr>
        <w:t xml:space="preserve"> that although </w:t>
      </w:r>
      <w:r w:rsidR="009E552F" w:rsidRPr="00CE1E04">
        <w:rPr>
          <w:rFonts w:ascii="Times New Roman" w:eastAsia="DFKai-SB" w:hAnsi="Times New Roman" w:cs="Times New Roman"/>
          <w:szCs w:val="24"/>
        </w:rPr>
        <w:t>outwardly the MPB and TIPC are</w:t>
      </w:r>
      <w:r w:rsidR="00941367" w:rsidRPr="00CE1E04">
        <w:rPr>
          <w:rFonts w:ascii="Times New Roman" w:eastAsia="DFKai-SB" w:hAnsi="Times New Roman" w:cs="Times New Roman"/>
          <w:szCs w:val="24"/>
        </w:rPr>
        <w:t xml:space="preserve"> equal (See Figure 7),</w:t>
      </w:r>
      <w:r w:rsidR="00941367" w:rsidRPr="00CE1E04">
        <w:rPr>
          <w:rFonts w:ascii="Times New Roman" w:eastAsia="DFKai-SB" w:hAnsi="Times New Roman" w:cs="Times New Roman"/>
        </w:rPr>
        <w:t xml:space="preserve"> in reality,</w:t>
      </w:r>
      <w:r w:rsidR="009E552F" w:rsidRPr="00CE1E04">
        <w:rPr>
          <w:rFonts w:ascii="Times New Roman" w:eastAsia="DFKai-SB" w:hAnsi="Times New Roman" w:cs="Times New Roman"/>
        </w:rPr>
        <w:t xml:space="preserve"> the MPB has</w:t>
      </w:r>
      <w:r w:rsidR="00941367" w:rsidRPr="00CE1E04">
        <w:rPr>
          <w:rFonts w:ascii="Times New Roman" w:eastAsia="DFKai-SB" w:hAnsi="Times New Roman" w:cs="Times New Roman"/>
        </w:rPr>
        <w:t xml:space="preserve"> more power and </w:t>
      </w:r>
      <w:r w:rsidR="009E552F" w:rsidRPr="00CE1E04">
        <w:rPr>
          <w:rFonts w:ascii="Times New Roman" w:eastAsia="DFKai-SB" w:hAnsi="Times New Roman" w:cs="Times New Roman"/>
        </w:rPr>
        <w:t>is</w:t>
      </w:r>
      <w:r w:rsidR="00941367" w:rsidRPr="00CE1E04">
        <w:rPr>
          <w:rFonts w:ascii="Times New Roman" w:eastAsia="DFKai-SB" w:hAnsi="Times New Roman" w:cs="Times New Roman"/>
        </w:rPr>
        <w:t xml:space="preserve"> required to monitor the TIPC: </w:t>
      </w:r>
      <w:r w:rsidR="009E552F" w:rsidRPr="00CE1E04">
        <w:rPr>
          <w:rFonts w:ascii="Times New Roman" w:eastAsia="DFKai-SB" w:hAnsi="Times New Roman" w:cs="Times New Roman"/>
          <w:i/>
        </w:rPr>
        <w:t>“t</w:t>
      </w:r>
      <w:r w:rsidR="00941367" w:rsidRPr="00CE1E04">
        <w:rPr>
          <w:rFonts w:ascii="Times New Roman" w:eastAsia="DFKai-SB" w:hAnsi="Times New Roman" w:cs="Times New Roman"/>
          <w:i/>
        </w:rPr>
        <w:t>he position between the MPB and the TIPC are equal according to the organisation system. However, the MPB must play a monitor role, such as to monitor port infrastructure engineering. Thus, the MPB has the power that it could commission the TIPC to plan and construct port’s works…. the Ministry of Transportation and Communication needs a dedicated unit to take charge of the communication between MPB and TIPC”</w:t>
      </w:r>
      <w:r w:rsidR="00941367" w:rsidRPr="00CE1E04">
        <w:rPr>
          <w:rFonts w:ascii="Times New Roman" w:eastAsia="DFKai-SB" w:hAnsi="Times New Roman" w:cs="Times New Roman"/>
        </w:rPr>
        <w:t>.</w:t>
      </w:r>
      <w:r w:rsidR="008C5862" w:rsidRPr="00CE1E04">
        <w:rPr>
          <w:rFonts w:ascii="Times New Roman" w:eastAsia="DFKai-SB" w:hAnsi="Times New Roman" w:cs="Times New Roman"/>
        </w:rPr>
        <w:t xml:space="preserve"> </w:t>
      </w:r>
      <w:r w:rsidR="009E552F" w:rsidRPr="00CE1E04">
        <w:rPr>
          <w:rFonts w:ascii="Times New Roman" w:eastAsia="DFKai-SB" w:hAnsi="Times New Roman" w:cs="Times New Roman"/>
        </w:rPr>
        <w:t>T</w:t>
      </w:r>
      <w:r w:rsidR="008C5862" w:rsidRPr="00CE1E04">
        <w:rPr>
          <w:rFonts w:ascii="Times New Roman" w:eastAsia="DFKai-SB" w:hAnsi="Times New Roman" w:cs="Times New Roman"/>
        </w:rPr>
        <w:t xml:space="preserve">his </w:t>
      </w:r>
      <w:r w:rsidR="00D11F88" w:rsidRPr="00CE1E04">
        <w:rPr>
          <w:rFonts w:ascii="Times New Roman" w:eastAsia="DFKai-SB" w:hAnsi="Times New Roman" w:cs="Times New Roman"/>
        </w:rPr>
        <w:t xml:space="preserve">power differential </w:t>
      </w:r>
      <w:r w:rsidR="008C5862" w:rsidRPr="00CE1E04">
        <w:rPr>
          <w:rFonts w:ascii="Times New Roman" w:eastAsia="DFKai-SB" w:hAnsi="Times New Roman" w:cs="Times New Roman"/>
        </w:rPr>
        <w:t xml:space="preserve">has impacted on </w:t>
      </w:r>
      <w:r w:rsidR="00D11F88" w:rsidRPr="00CE1E04">
        <w:rPr>
          <w:rFonts w:ascii="Times New Roman" w:eastAsia="DFKai-SB" w:hAnsi="Times New Roman" w:cs="Times New Roman"/>
        </w:rPr>
        <w:t>aspects of com</w:t>
      </w:r>
      <w:r w:rsidR="00D723BE" w:rsidRPr="00CE1E04">
        <w:rPr>
          <w:rFonts w:ascii="Times New Roman" w:eastAsia="DFKai-SB" w:hAnsi="Times New Roman" w:cs="Times New Roman"/>
        </w:rPr>
        <w:t>munication.</w:t>
      </w:r>
      <w:r w:rsidR="00D11F88" w:rsidRPr="00CE1E04">
        <w:rPr>
          <w:rFonts w:ascii="Times New Roman" w:eastAsia="DFKai-SB" w:hAnsi="Times New Roman" w:cs="Times New Roman"/>
        </w:rPr>
        <w:t xml:space="preserve"> In everyday ope</w:t>
      </w:r>
      <w:r w:rsidR="009E552F" w:rsidRPr="00CE1E04">
        <w:rPr>
          <w:rFonts w:ascii="Times New Roman" w:eastAsia="DFKai-SB" w:hAnsi="Times New Roman" w:cs="Times New Roman"/>
        </w:rPr>
        <w:t>rations, the TIPC is almost</w:t>
      </w:r>
      <w:r w:rsidR="00D11F88" w:rsidRPr="00CE1E04">
        <w:rPr>
          <w:rFonts w:ascii="Times New Roman" w:eastAsia="DFKai-SB" w:hAnsi="Times New Roman" w:cs="Times New Roman"/>
        </w:rPr>
        <w:t xml:space="preserve"> fettered or shackled in achieving its aims. Firstly, it does not have total freedom to use the land it has been given, </w:t>
      </w:r>
      <w:r w:rsidR="00286924" w:rsidRPr="00CE1E04">
        <w:rPr>
          <w:rFonts w:ascii="Times New Roman" w:eastAsia="DFKai-SB" w:hAnsi="Times New Roman" w:cs="Times New Roman"/>
        </w:rPr>
        <w:t>and</w:t>
      </w:r>
      <w:r w:rsidR="00D11F88" w:rsidRPr="00CE1E04">
        <w:rPr>
          <w:rFonts w:ascii="Times New Roman" w:eastAsia="DFKai-SB" w:hAnsi="Times New Roman" w:cs="Times New Roman"/>
        </w:rPr>
        <w:t xml:space="preserve"> it is required to pay rent: </w:t>
      </w:r>
      <w:r w:rsidR="00D11F88" w:rsidRPr="00CE1E04">
        <w:rPr>
          <w:rFonts w:ascii="Times New Roman" w:hAnsi="Times New Roman" w:cs="Times New Roman"/>
          <w:i/>
        </w:rPr>
        <w:t>“currently each TIPC branch will play a landlord role to manage port facilities and conduct investment promotion. However, the public land of port does not belong to TIPC. TIPC only have usage rights based on business port law. The TIPC needs to pay rent to the MPB”</w:t>
      </w:r>
      <w:r w:rsidR="00D11F88" w:rsidRPr="00CE1E04">
        <w:rPr>
          <w:rFonts w:ascii="Times New Roman" w:hAnsi="Times New Roman" w:cs="Times New Roman"/>
        </w:rPr>
        <w:t>.</w:t>
      </w:r>
      <w:r w:rsidR="00D723BE" w:rsidRPr="00CE1E04">
        <w:rPr>
          <w:rFonts w:ascii="Times New Roman" w:hAnsi="Times New Roman" w:cs="Times New Roman"/>
        </w:rPr>
        <w:t xml:space="preserve"> Secondly</w:t>
      </w:r>
      <w:r w:rsidR="00D11F88" w:rsidRPr="00CE1E04">
        <w:rPr>
          <w:rFonts w:ascii="Times New Roman" w:hAnsi="Times New Roman" w:cs="Times New Roman"/>
        </w:rPr>
        <w:t>, although it has been given freedom to make decisions in certain key areas, in others it is restricted</w:t>
      </w:r>
      <w:r w:rsidR="00F706FB" w:rsidRPr="00CE1E04">
        <w:rPr>
          <w:rFonts w:ascii="Times New Roman" w:hAnsi="Times New Roman" w:cs="Times New Roman"/>
        </w:rPr>
        <w:t xml:space="preserve">: </w:t>
      </w:r>
      <w:r w:rsidR="00F706FB" w:rsidRPr="00CE1E04">
        <w:rPr>
          <w:rFonts w:ascii="Times New Roman" w:hAnsi="Times New Roman" w:cs="Times New Roman"/>
          <w:i/>
        </w:rPr>
        <w:t>“although the TIPC has a greater autonomy to decide their human recruitment, it has many restrictions in accounting, budgeting, the final accounting of revenue and expenditure, and also with regard to its finance, due to regulation rules of national (state-owned) business”</w:t>
      </w:r>
      <w:r w:rsidR="00F706FB" w:rsidRPr="00CE1E04">
        <w:rPr>
          <w:rFonts w:ascii="Times New Roman" w:hAnsi="Times New Roman" w:cs="Times New Roman"/>
        </w:rPr>
        <w:t xml:space="preserve">. </w:t>
      </w:r>
      <w:r w:rsidR="00286924" w:rsidRPr="00CE1E04">
        <w:rPr>
          <w:rFonts w:ascii="Times New Roman" w:hAnsi="Times New Roman" w:cs="Times New Roman"/>
        </w:rPr>
        <w:t>There are therefore, key restrictions on the TIPC as a result of it being a government owned and managed enterprise</w:t>
      </w:r>
      <w:r w:rsidR="00D723BE" w:rsidRPr="00CE1E04">
        <w:rPr>
          <w:rFonts w:ascii="Times New Roman" w:hAnsi="Times New Roman" w:cs="Times New Roman"/>
        </w:rPr>
        <w:t>. Thus,</w:t>
      </w:r>
      <w:r w:rsidR="00286924" w:rsidRPr="00CE1E04">
        <w:rPr>
          <w:rFonts w:ascii="Times New Roman" w:hAnsi="Times New Roman" w:cs="Times New Roman"/>
        </w:rPr>
        <w:t xml:space="preserve"> hypocrisy (Brunsson, 2002) has allowed Taiwan to move forward and create a landlord model (World Bank 2007</w:t>
      </w:r>
      <w:r w:rsidR="00D723BE" w:rsidRPr="00CE1E04">
        <w:rPr>
          <w:rFonts w:ascii="Times New Roman" w:hAnsi="Times New Roman" w:cs="Times New Roman"/>
        </w:rPr>
        <w:t>), but one that does not yet allow total freedom. A</w:t>
      </w:r>
      <w:r w:rsidR="00286924" w:rsidRPr="00CE1E04">
        <w:rPr>
          <w:rFonts w:ascii="Times New Roman" w:hAnsi="Times New Roman" w:cs="Times New Roman"/>
        </w:rPr>
        <w:t>s different models of the landlord model exist elsewhere (e.g. Latin and Hanseatic (Ferrari et al.</w:t>
      </w:r>
      <w:r w:rsidR="0011224D" w:rsidRPr="00CE1E04">
        <w:rPr>
          <w:rFonts w:ascii="Times New Roman" w:hAnsi="Times New Roman" w:cs="Times New Roman"/>
        </w:rPr>
        <w:t>,</w:t>
      </w:r>
      <w:r w:rsidR="00286924" w:rsidRPr="00CE1E04">
        <w:rPr>
          <w:rFonts w:ascii="Times New Roman" w:hAnsi="Times New Roman" w:cs="Times New Roman"/>
        </w:rPr>
        <w:t xml:space="preserve"> 2015)), so Taiwan has created its own unique one. </w:t>
      </w:r>
      <w:r w:rsidR="00D723BE" w:rsidRPr="00CE1E04">
        <w:rPr>
          <w:rFonts w:ascii="Times New Roman" w:hAnsi="Times New Roman" w:cs="Times New Roman"/>
        </w:rPr>
        <w:t xml:space="preserve">Thus, </w:t>
      </w:r>
      <w:r w:rsidR="0050454A" w:rsidRPr="00CE1E04">
        <w:rPr>
          <w:rFonts w:ascii="Times New Roman" w:hAnsi="Times New Roman" w:cs="Times New Roman"/>
        </w:rPr>
        <w:t xml:space="preserve">when viewed through a lens of </w:t>
      </w:r>
      <w:r w:rsidR="000A57ED" w:rsidRPr="00CE1E04">
        <w:rPr>
          <w:rFonts w:ascii="Times New Roman" w:hAnsi="Times New Roman" w:cs="Times New Roman"/>
        </w:rPr>
        <w:t>organised</w:t>
      </w:r>
      <w:r w:rsidR="00286924" w:rsidRPr="00CE1E04">
        <w:rPr>
          <w:rFonts w:ascii="Times New Roman" w:hAnsi="Times New Roman" w:cs="Times New Roman"/>
        </w:rPr>
        <w:t xml:space="preserve"> hypocrisy</w:t>
      </w:r>
      <w:r w:rsidR="0050454A" w:rsidRPr="00CE1E04">
        <w:rPr>
          <w:rFonts w:ascii="Times New Roman" w:hAnsi="Times New Roman" w:cs="Times New Roman"/>
        </w:rPr>
        <w:t>,</w:t>
      </w:r>
      <w:r w:rsidR="00286924" w:rsidRPr="00CE1E04">
        <w:rPr>
          <w:rFonts w:ascii="Times New Roman" w:hAnsi="Times New Roman" w:cs="Times New Roman"/>
        </w:rPr>
        <w:t xml:space="preserve"> Taiwan </w:t>
      </w:r>
      <w:r w:rsidR="0050454A" w:rsidRPr="00CE1E04">
        <w:rPr>
          <w:rFonts w:ascii="Times New Roman" w:hAnsi="Times New Roman" w:cs="Times New Roman"/>
        </w:rPr>
        <w:t>has</w:t>
      </w:r>
      <w:r w:rsidR="00D723BE" w:rsidRPr="00CE1E04">
        <w:rPr>
          <w:rFonts w:ascii="Times New Roman" w:hAnsi="Times New Roman" w:cs="Times New Roman"/>
        </w:rPr>
        <w:t xml:space="preserve"> move</w:t>
      </w:r>
      <w:r w:rsidR="0050454A" w:rsidRPr="00CE1E04">
        <w:rPr>
          <w:rFonts w:ascii="Times New Roman" w:hAnsi="Times New Roman" w:cs="Times New Roman"/>
        </w:rPr>
        <w:t>d</w:t>
      </w:r>
      <w:r w:rsidR="00286924" w:rsidRPr="00CE1E04">
        <w:rPr>
          <w:rFonts w:ascii="Times New Roman" w:hAnsi="Times New Roman" w:cs="Times New Roman"/>
        </w:rPr>
        <w:t xml:space="preserve"> forward in ‘private’ decentralization </w:t>
      </w:r>
      <w:r w:rsidR="00D723BE" w:rsidRPr="00CE1E04">
        <w:rPr>
          <w:rFonts w:ascii="Times New Roman" w:hAnsi="Times New Roman" w:cs="Times New Roman"/>
        </w:rPr>
        <w:t>aimed</w:t>
      </w:r>
      <w:r w:rsidR="00286924" w:rsidRPr="00CE1E04">
        <w:rPr>
          <w:rFonts w:ascii="Times New Roman" w:hAnsi="Times New Roman" w:cs="Times New Roman"/>
        </w:rPr>
        <w:t xml:space="preserve"> to create efficiency</w:t>
      </w:r>
      <w:r w:rsidR="00D723BE" w:rsidRPr="00CE1E04">
        <w:rPr>
          <w:rFonts w:ascii="Times New Roman" w:hAnsi="Times New Roman" w:cs="Times New Roman"/>
        </w:rPr>
        <w:t xml:space="preserve"> and competition, </w:t>
      </w:r>
      <w:r w:rsidR="0050454A" w:rsidRPr="00CE1E04">
        <w:rPr>
          <w:rFonts w:ascii="Times New Roman" w:hAnsi="Times New Roman" w:cs="Times New Roman"/>
        </w:rPr>
        <w:t>yet</w:t>
      </w:r>
      <w:r w:rsidR="00D723BE" w:rsidRPr="00CE1E04">
        <w:rPr>
          <w:rFonts w:ascii="Times New Roman" w:hAnsi="Times New Roman" w:cs="Times New Roman"/>
        </w:rPr>
        <w:t xml:space="preserve"> </w:t>
      </w:r>
      <w:r w:rsidR="00286924" w:rsidRPr="00CE1E04">
        <w:rPr>
          <w:rFonts w:ascii="Times New Roman" w:hAnsi="Times New Roman" w:cs="Times New Roman"/>
        </w:rPr>
        <w:t>retain</w:t>
      </w:r>
      <w:r w:rsidR="0050454A" w:rsidRPr="00CE1E04">
        <w:rPr>
          <w:rFonts w:ascii="Times New Roman" w:hAnsi="Times New Roman" w:cs="Times New Roman"/>
        </w:rPr>
        <w:t>ed</w:t>
      </w:r>
      <w:r w:rsidR="00286924" w:rsidRPr="00CE1E04">
        <w:rPr>
          <w:rFonts w:ascii="Times New Roman" w:hAnsi="Times New Roman" w:cs="Times New Roman"/>
        </w:rPr>
        <w:t xml:space="preserve"> ‘public’ state owned control of many elements of the unit designated to achieve this.</w:t>
      </w:r>
    </w:p>
    <w:p w14:paraId="3696F268" w14:textId="731BF7AB" w:rsidR="00A80DD5" w:rsidRPr="00CE1E04" w:rsidRDefault="00F706FB" w:rsidP="00F706FB">
      <w:pPr>
        <w:pStyle w:val="HTMLPreformatted"/>
        <w:tabs>
          <w:tab w:val="clear" w:pos="916"/>
        </w:tabs>
        <w:jc w:val="both"/>
        <w:rPr>
          <w:rFonts w:ascii="Times New Roman" w:hAnsi="Times New Roman" w:cs="Times New Roman"/>
        </w:rPr>
      </w:pPr>
      <w:r w:rsidRPr="00CE1E04">
        <w:rPr>
          <w:rFonts w:ascii="Times New Roman" w:eastAsia="DFKai-SB" w:hAnsi="Times New Roman" w:cs="Times New Roman"/>
        </w:rPr>
        <w:t xml:space="preserve">  </w:t>
      </w:r>
      <w:r w:rsidR="00286924" w:rsidRPr="00CE1E04">
        <w:rPr>
          <w:rFonts w:ascii="Times New Roman" w:hAnsi="Times New Roman" w:cs="Times New Roman"/>
        </w:rPr>
        <w:t xml:space="preserve">There are indeed </w:t>
      </w:r>
      <w:r w:rsidR="00D723BE" w:rsidRPr="00CE1E04">
        <w:rPr>
          <w:rFonts w:ascii="Times New Roman" w:hAnsi="Times New Roman" w:cs="Times New Roman"/>
        </w:rPr>
        <w:t>many</w:t>
      </w:r>
      <w:r w:rsidR="00286924" w:rsidRPr="00CE1E04">
        <w:rPr>
          <w:rFonts w:ascii="Times New Roman" w:hAnsi="Times New Roman" w:cs="Times New Roman"/>
        </w:rPr>
        <w:t xml:space="preserve"> </w:t>
      </w:r>
      <w:r w:rsidRPr="00CE1E04">
        <w:rPr>
          <w:rFonts w:ascii="Times New Roman" w:hAnsi="Times New Roman" w:cs="Times New Roman"/>
        </w:rPr>
        <w:t xml:space="preserve">elements within the ‘private’ focused </w:t>
      </w:r>
      <w:r w:rsidR="00D723BE" w:rsidRPr="00CE1E04">
        <w:rPr>
          <w:rFonts w:ascii="Times New Roman" w:hAnsi="Times New Roman" w:cs="Times New Roman"/>
        </w:rPr>
        <w:t xml:space="preserve">state-owned enterprise </w:t>
      </w:r>
      <w:r w:rsidRPr="00CE1E04">
        <w:rPr>
          <w:rFonts w:ascii="Times New Roman" w:hAnsi="Times New Roman" w:cs="Times New Roman"/>
        </w:rPr>
        <w:t xml:space="preserve">TIPC </w:t>
      </w:r>
      <w:r w:rsidR="00286924" w:rsidRPr="00CE1E04">
        <w:rPr>
          <w:rFonts w:ascii="Times New Roman" w:hAnsi="Times New Roman" w:cs="Times New Roman"/>
        </w:rPr>
        <w:t>that remain</w:t>
      </w:r>
      <w:r w:rsidRPr="00CE1E04">
        <w:rPr>
          <w:rFonts w:ascii="Times New Roman" w:hAnsi="Times New Roman" w:cs="Times New Roman"/>
        </w:rPr>
        <w:t xml:space="preserve"> ‘pub</w:t>
      </w:r>
      <w:r w:rsidR="00286924" w:rsidRPr="00CE1E04">
        <w:rPr>
          <w:rFonts w:ascii="Times New Roman" w:hAnsi="Times New Roman" w:cs="Times New Roman"/>
        </w:rPr>
        <w:t>lic’. With regard to personnel:</w:t>
      </w:r>
      <w:r w:rsidRPr="00CE1E04">
        <w:rPr>
          <w:rFonts w:ascii="Times New Roman" w:hAnsi="Times New Roman" w:cs="Times New Roman"/>
        </w:rPr>
        <w:t xml:space="preserve"> </w:t>
      </w:r>
      <w:r w:rsidRPr="00CE1E04">
        <w:rPr>
          <w:rFonts w:ascii="Times New Roman" w:eastAsia="DFKai-SB" w:hAnsi="Times New Roman" w:cs="Times New Roman"/>
          <w:i/>
        </w:rPr>
        <w:t>“</w:t>
      </w:r>
      <w:r w:rsidRPr="00CE1E04">
        <w:rPr>
          <w:rFonts w:ascii="Times New Roman" w:hAnsi="Times New Roman" w:cs="Times New Roman"/>
          <w:i/>
        </w:rPr>
        <w:t xml:space="preserve">although we have added </w:t>
      </w:r>
      <w:r w:rsidR="00A80DD5" w:rsidRPr="00CE1E04">
        <w:rPr>
          <w:rFonts w:ascii="Times New Roman" w:hAnsi="Times New Roman" w:cs="Times New Roman"/>
          <w:i/>
        </w:rPr>
        <w:t>labor</w:t>
      </w:r>
      <w:r w:rsidRPr="00CE1E04">
        <w:rPr>
          <w:rFonts w:ascii="Times New Roman" w:hAnsi="Times New Roman" w:cs="Times New Roman"/>
          <w:i/>
        </w:rPr>
        <w:t xml:space="preserve"> director and professional director, representatives from central government are still the majority. They could take the main decisions. Also, the difference in different directors’ backgrounds may lead to conflicts and contradictions”</w:t>
      </w:r>
      <w:r w:rsidRPr="00CE1E04">
        <w:rPr>
          <w:rFonts w:ascii="Times New Roman" w:hAnsi="Times New Roman" w:cs="Times New Roman"/>
        </w:rPr>
        <w:t xml:space="preserve">. </w:t>
      </w:r>
      <w:r w:rsidR="00642DD7" w:rsidRPr="00CE1E04">
        <w:rPr>
          <w:rFonts w:ascii="Times New Roman" w:hAnsi="Times New Roman" w:cs="Times New Roman"/>
        </w:rPr>
        <w:t>Also, in terms of legislative aspects:</w:t>
      </w:r>
      <w:r w:rsidR="00642DD7" w:rsidRPr="00CE1E04">
        <w:rPr>
          <w:rFonts w:ascii="Times New Roman" w:eastAsia="DFKai-SB" w:hAnsi="Times New Roman" w:cs="Times New Roman"/>
          <w:i/>
        </w:rPr>
        <w:t xml:space="preserve"> “if we look at the TIPC’s </w:t>
      </w:r>
      <w:r w:rsidR="00B5235D" w:rsidRPr="00CE1E04">
        <w:rPr>
          <w:rFonts w:ascii="Times New Roman" w:eastAsia="DFKai-SB" w:hAnsi="Times New Roman" w:cs="Times New Roman"/>
          <w:i/>
        </w:rPr>
        <w:t>organisation</w:t>
      </w:r>
      <w:r w:rsidR="00642DD7" w:rsidRPr="00CE1E04">
        <w:rPr>
          <w:rFonts w:ascii="Times New Roman" w:eastAsia="DFKai-SB" w:hAnsi="Times New Roman" w:cs="Times New Roman"/>
          <w:i/>
        </w:rPr>
        <w:t xml:space="preserve"> law, the TIPC is only fully (100%) government owned enterprise within all government owned enterprises in Taiwan. If the TIPC would like to become privatized and release stock to the public, it will need time to revise its </w:t>
      </w:r>
      <w:r w:rsidR="00B5235D" w:rsidRPr="00CE1E04">
        <w:rPr>
          <w:rFonts w:ascii="Times New Roman" w:eastAsia="DFKai-SB" w:hAnsi="Times New Roman" w:cs="Times New Roman"/>
          <w:i/>
        </w:rPr>
        <w:t>organisation</w:t>
      </w:r>
      <w:r w:rsidR="00642DD7" w:rsidRPr="00CE1E04">
        <w:rPr>
          <w:rFonts w:ascii="Times New Roman" w:eastAsia="DFKai-SB" w:hAnsi="Times New Roman" w:cs="Times New Roman"/>
          <w:i/>
        </w:rPr>
        <w:t xml:space="preserve"> law. Thus, this depends on future development”</w:t>
      </w:r>
      <w:r w:rsidR="00642DD7" w:rsidRPr="00CE1E04">
        <w:rPr>
          <w:rFonts w:ascii="Times New Roman" w:eastAsia="DFKai-SB" w:hAnsi="Times New Roman" w:cs="Times New Roman"/>
        </w:rPr>
        <w:t xml:space="preserve">. </w:t>
      </w:r>
      <w:r w:rsidR="00642DD7" w:rsidRPr="00CE1E04">
        <w:rPr>
          <w:rFonts w:ascii="Times New Roman" w:hAnsi="Times New Roman" w:cs="Times New Roman"/>
        </w:rPr>
        <w:t xml:space="preserve"> </w:t>
      </w:r>
    </w:p>
    <w:p w14:paraId="207E81D7" w14:textId="4A1AECF0" w:rsidR="00F706FB" w:rsidRPr="00CE1E04" w:rsidRDefault="00A80DD5" w:rsidP="00983D0A">
      <w:pPr>
        <w:pStyle w:val="HTMLPreformatted"/>
        <w:tabs>
          <w:tab w:val="clear" w:pos="916"/>
        </w:tabs>
        <w:ind w:firstLineChars="100" w:firstLine="240"/>
        <w:jc w:val="both"/>
        <w:rPr>
          <w:rFonts w:ascii="Times New Roman" w:eastAsia="DFKai-SB" w:hAnsi="Times New Roman" w:cs="Times New Roman"/>
        </w:rPr>
      </w:pPr>
      <w:r w:rsidRPr="00CE1E04">
        <w:rPr>
          <w:rFonts w:ascii="Times New Roman" w:hAnsi="Times New Roman" w:cs="Times New Roman"/>
        </w:rPr>
        <w:t xml:space="preserve">These elements </w:t>
      </w:r>
      <w:r w:rsidR="009E552F" w:rsidRPr="00CE1E04">
        <w:rPr>
          <w:rFonts w:ascii="Times New Roman" w:hAnsi="Times New Roman" w:cs="Times New Roman"/>
        </w:rPr>
        <w:t>of governmental ownership go</w:t>
      </w:r>
      <w:r w:rsidRPr="00CE1E04">
        <w:rPr>
          <w:rFonts w:ascii="Times New Roman" w:hAnsi="Times New Roman" w:cs="Times New Roman"/>
        </w:rPr>
        <w:t xml:space="preserve"> right to the heart of whether, and to what extent, Taiwan’s port reform is </w:t>
      </w:r>
      <w:r w:rsidR="00D723BE" w:rsidRPr="00CE1E04">
        <w:rPr>
          <w:rFonts w:ascii="Times New Roman" w:hAnsi="Times New Roman" w:cs="Times New Roman"/>
        </w:rPr>
        <w:t xml:space="preserve">currently </w:t>
      </w:r>
      <w:r w:rsidRPr="00CE1E04">
        <w:rPr>
          <w:rFonts w:ascii="Times New Roman" w:hAnsi="Times New Roman" w:cs="Times New Roman"/>
        </w:rPr>
        <w:t>able to achieve its aims. As one expert noted:</w:t>
      </w:r>
      <w:r w:rsidR="00F706FB" w:rsidRPr="00CE1E04">
        <w:rPr>
          <w:rFonts w:ascii="Times New Roman" w:hAnsi="Times New Roman" w:cs="Times New Roman"/>
        </w:rPr>
        <w:t xml:space="preserve"> </w:t>
      </w:r>
      <w:r w:rsidR="00F706FB" w:rsidRPr="00CE1E04">
        <w:rPr>
          <w:rFonts w:ascii="Times New Roman" w:hAnsi="Times New Roman" w:cs="Times New Roman"/>
          <w:i/>
        </w:rPr>
        <w:t>“</w:t>
      </w:r>
      <w:r w:rsidR="00F706FB" w:rsidRPr="00CE1E04">
        <w:rPr>
          <w:rFonts w:ascii="Times New Roman" w:eastAsia="DFKai-SB" w:hAnsi="Times New Roman" w:cs="Times New Roman"/>
          <w:i/>
        </w:rPr>
        <w:t>the TIPC is a government owned enterprise. It will face the challenge of how to run as a business. So, some challenges will come related to how to improve operation efficiency through commercialisation and privatisation”</w:t>
      </w:r>
      <w:r w:rsidR="00D723BE" w:rsidRPr="00CE1E04">
        <w:rPr>
          <w:rFonts w:ascii="Times New Roman" w:eastAsia="DFKai-SB" w:hAnsi="Times New Roman" w:cs="Times New Roman"/>
        </w:rPr>
        <w:t>. Similarly</w:t>
      </w:r>
      <w:r w:rsidRPr="00CE1E04">
        <w:rPr>
          <w:rFonts w:ascii="Times New Roman" w:eastAsia="DFKai-SB" w:hAnsi="Times New Roman" w:cs="Times New Roman"/>
        </w:rPr>
        <w:t>, as another expert noted</w:t>
      </w:r>
      <w:r w:rsidR="00F706FB" w:rsidRPr="00CE1E04">
        <w:rPr>
          <w:rFonts w:ascii="Times New Roman" w:eastAsia="DFKai-SB" w:hAnsi="Times New Roman" w:cs="Times New Roman"/>
        </w:rPr>
        <w:t>,</w:t>
      </w:r>
      <w:r w:rsidRPr="00CE1E04">
        <w:rPr>
          <w:rFonts w:ascii="Times New Roman" w:eastAsia="DFKai-SB" w:hAnsi="Times New Roman" w:cs="Times New Roman"/>
        </w:rPr>
        <w:t xml:space="preserve"> the TIPC,</w:t>
      </w:r>
      <w:r w:rsidR="00F706FB" w:rsidRPr="00CE1E04">
        <w:rPr>
          <w:rFonts w:ascii="Times New Roman" w:eastAsia="DFKai-SB" w:hAnsi="Times New Roman" w:cs="Times New Roman"/>
        </w:rPr>
        <w:t xml:space="preserve"> </w:t>
      </w:r>
      <w:r w:rsidR="00F706FB" w:rsidRPr="00CE1E04">
        <w:rPr>
          <w:rFonts w:ascii="Times New Roman" w:eastAsia="DFKai-SB" w:hAnsi="Times New Roman" w:cs="Times New Roman"/>
          <w:i/>
        </w:rPr>
        <w:t>“is a governmental owned enterprise. It has more flexibility in enterprise internal management and human resource (i.e. recruit). However, it still has restrictions in governmental enterprise rules”</w:t>
      </w:r>
      <w:r w:rsidR="00F706FB" w:rsidRPr="00CE1E04">
        <w:rPr>
          <w:rFonts w:ascii="Times New Roman" w:eastAsia="DFKai-SB" w:hAnsi="Times New Roman" w:cs="Times New Roman"/>
        </w:rPr>
        <w:t xml:space="preserve">. </w:t>
      </w:r>
    </w:p>
    <w:p w14:paraId="72EC5147" w14:textId="5282AFA6" w:rsidR="00872397" w:rsidRPr="00CE1E04" w:rsidRDefault="00953AAF" w:rsidP="009F3832">
      <w:pPr>
        <w:ind w:firstLineChars="100" w:firstLine="240"/>
        <w:jc w:val="both"/>
        <w:rPr>
          <w:rFonts w:ascii="Times New Roman" w:eastAsia="DFKai-SB" w:hAnsi="Times New Roman" w:cs="Times New Roman"/>
          <w:szCs w:val="24"/>
        </w:rPr>
      </w:pPr>
      <w:r w:rsidRPr="00CE1E04">
        <w:rPr>
          <w:rFonts w:ascii="Times New Roman" w:eastAsia="DFKai-SB" w:hAnsi="Times New Roman" w:cs="Times New Roman"/>
          <w:szCs w:val="24"/>
        </w:rPr>
        <w:t>Thus,</w:t>
      </w:r>
      <w:r w:rsidR="00D723BE" w:rsidRPr="00CE1E04">
        <w:rPr>
          <w:rFonts w:ascii="Times New Roman" w:eastAsia="DFKai-SB" w:hAnsi="Times New Roman" w:cs="Times New Roman"/>
          <w:szCs w:val="24"/>
        </w:rPr>
        <w:t xml:space="preserve"> currently, numerous challenges exist regarding</w:t>
      </w:r>
      <w:r w:rsidR="00A80DD5" w:rsidRPr="00CE1E04">
        <w:rPr>
          <w:rFonts w:ascii="Times New Roman" w:eastAsia="DFKai-SB" w:hAnsi="Times New Roman" w:cs="Times New Roman"/>
          <w:szCs w:val="24"/>
        </w:rPr>
        <w:t xml:space="preserve"> whether Taiwan’s port reform will </w:t>
      </w:r>
      <w:r w:rsidR="00D723BE" w:rsidRPr="00CE1E04">
        <w:rPr>
          <w:rFonts w:ascii="Times New Roman" w:eastAsia="DFKai-SB" w:hAnsi="Times New Roman" w:cs="Times New Roman"/>
          <w:szCs w:val="24"/>
        </w:rPr>
        <w:t>achieve its aims</w:t>
      </w:r>
      <w:r w:rsidR="00343A05" w:rsidRPr="00CE1E04">
        <w:rPr>
          <w:rFonts w:ascii="Times New Roman" w:eastAsia="DFKai-SB" w:hAnsi="Times New Roman" w:cs="Times New Roman"/>
          <w:szCs w:val="24"/>
        </w:rPr>
        <w:t>. These are not necessarily insurmountable, nor are they necessarily long-term. As one expert noted, adjustment requires time. Cle</w:t>
      </w:r>
      <w:r w:rsidR="00D723BE" w:rsidRPr="00CE1E04">
        <w:rPr>
          <w:rFonts w:ascii="Times New Roman" w:eastAsia="DFKai-SB" w:hAnsi="Times New Roman" w:cs="Times New Roman"/>
          <w:szCs w:val="24"/>
        </w:rPr>
        <w:t>arly though, at the moment communication difficulties can be preventing efficiency</w:t>
      </w:r>
      <w:r w:rsidR="009E552F" w:rsidRPr="00CE1E04">
        <w:rPr>
          <w:rFonts w:ascii="Times New Roman" w:eastAsia="DFKai-SB" w:hAnsi="Times New Roman" w:cs="Times New Roman"/>
          <w:szCs w:val="24"/>
        </w:rPr>
        <w:t xml:space="preserve">. </w:t>
      </w:r>
      <w:r w:rsidR="00343A05" w:rsidRPr="00CE1E04">
        <w:rPr>
          <w:rFonts w:ascii="Times New Roman" w:eastAsia="DFKai-SB" w:hAnsi="Times New Roman" w:cs="Times New Roman"/>
          <w:szCs w:val="24"/>
        </w:rPr>
        <w:t>These are challenges that are perhaps inevitable in any change process but require attention in order to help Taiwan move forward. Possibly, more concession type agreements (cf Ferrari et al.</w:t>
      </w:r>
      <w:r w:rsidR="00B03065" w:rsidRPr="00CE1E04">
        <w:rPr>
          <w:rFonts w:ascii="Times New Roman" w:eastAsia="DFKai-SB" w:hAnsi="Times New Roman" w:cs="Times New Roman"/>
          <w:szCs w:val="24"/>
        </w:rPr>
        <w:t>,</w:t>
      </w:r>
      <w:r w:rsidR="00343A05" w:rsidRPr="00CE1E04">
        <w:rPr>
          <w:rFonts w:ascii="Times New Roman" w:eastAsia="DFKai-SB" w:hAnsi="Times New Roman" w:cs="Times New Roman"/>
          <w:szCs w:val="24"/>
        </w:rPr>
        <w:t xml:space="preserve"> 2015) could be introduced as Taiwan moves forward in order to push decentralization further</w:t>
      </w:r>
      <w:r w:rsidR="00B23807" w:rsidRPr="00CE1E04">
        <w:rPr>
          <w:rFonts w:ascii="Times New Roman" w:eastAsia="DFKai-SB" w:hAnsi="Times New Roman" w:cs="Times New Roman"/>
          <w:szCs w:val="24"/>
        </w:rPr>
        <w:t xml:space="preserve">. Alternatively, more promotion of cooperation with neighboring ports (cf. Wang et al. 2012) could help Taiwan learn from their approaches to governance as well as improve </w:t>
      </w:r>
      <w:r w:rsidR="009E552F" w:rsidRPr="00CE1E04">
        <w:rPr>
          <w:rFonts w:ascii="Times New Roman" w:eastAsia="DFKai-SB" w:hAnsi="Times New Roman" w:cs="Times New Roman"/>
          <w:szCs w:val="24"/>
        </w:rPr>
        <w:t xml:space="preserve">profit. Below, in future directions (4.4) we present </w:t>
      </w:r>
      <w:r w:rsidR="00D723BE" w:rsidRPr="00CE1E04">
        <w:rPr>
          <w:rFonts w:ascii="Times New Roman" w:eastAsia="DFKai-SB" w:hAnsi="Times New Roman" w:cs="Times New Roman"/>
          <w:szCs w:val="24"/>
        </w:rPr>
        <w:t>and analyze results related</w:t>
      </w:r>
      <w:r w:rsidR="009E552F" w:rsidRPr="00CE1E04">
        <w:rPr>
          <w:rFonts w:ascii="Times New Roman" w:eastAsia="DFKai-SB" w:hAnsi="Times New Roman" w:cs="Times New Roman"/>
          <w:szCs w:val="24"/>
        </w:rPr>
        <w:t xml:space="preserve"> to possible future approaches in more depth.</w:t>
      </w:r>
      <w:r w:rsidR="00D723BE" w:rsidRPr="00CE1E04">
        <w:rPr>
          <w:rFonts w:ascii="Times New Roman" w:eastAsia="DFKai-SB" w:hAnsi="Times New Roman" w:cs="Times New Roman"/>
          <w:szCs w:val="24"/>
        </w:rPr>
        <w:t xml:space="preserve"> Critically, however</w:t>
      </w:r>
      <w:r w:rsidR="005A6D4D" w:rsidRPr="00CE1E04">
        <w:rPr>
          <w:rFonts w:ascii="Times New Roman" w:eastAsia="DFKai-SB" w:hAnsi="Times New Roman" w:cs="Times New Roman"/>
          <w:szCs w:val="24"/>
        </w:rPr>
        <w:t xml:space="preserve">, </w:t>
      </w:r>
      <w:r w:rsidR="0050454A" w:rsidRPr="00CE1E04">
        <w:rPr>
          <w:rFonts w:ascii="Times New Roman" w:eastAsia="DFKai-SB" w:hAnsi="Times New Roman" w:cs="Times New Roman"/>
          <w:szCs w:val="24"/>
        </w:rPr>
        <w:t xml:space="preserve">viewed through a lens of </w:t>
      </w:r>
      <w:r w:rsidR="000A57ED" w:rsidRPr="00CE1E04">
        <w:rPr>
          <w:rFonts w:ascii="Times New Roman" w:eastAsia="DFKai-SB" w:hAnsi="Times New Roman" w:cs="Times New Roman"/>
          <w:szCs w:val="24"/>
        </w:rPr>
        <w:t>organised</w:t>
      </w:r>
      <w:r w:rsidR="005A6D4D" w:rsidRPr="00CE1E04">
        <w:rPr>
          <w:rFonts w:ascii="Times New Roman" w:eastAsia="DFKai-SB" w:hAnsi="Times New Roman" w:cs="Times New Roman"/>
          <w:szCs w:val="24"/>
        </w:rPr>
        <w:t xml:space="preserve"> hypocrisy</w:t>
      </w:r>
      <w:r w:rsidR="0050454A" w:rsidRPr="00CE1E04">
        <w:rPr>
          <w:rFonts w:ascii="Times New Roman" w:eastAsia="DFKai-SB" w:hAnsi="Times New Roman" w:cs="Times New Roman"/>
          <w:szCs w:val="24"/>
        </w:rPr>
        <w:t>, such an approach</w:t>
      </w:r>
      <w:r w:rsidR="005A6D4D" w:rsidRPr="00CE1E04">
        <w:rPr>
          <w:rFonts w:ascii="Times New Roman" w:eastAsia="DFKai-SB" w:hAnsi="Times New Roman" w:cs="Times New Roman"/>
          <w:szCs w:val="24"/>
        </w:rPr>
        <w:t xml:space="preserve"> has </w:t>
      </w:r>
      <w:r w:rsidR="0050454A" w:rsidRPr="00CE1E04">
        <w:rPr>
          <w:rFonts w:ascii="Times New Roman" w:eastAsia="DFKai-SB" w:hAnsi="Times New Roman" w:cs="Times New Roman"/>
          <w:szCs w:val="24"/>
        </w:rPr>
        <w:t>allowed</w:t>
      </w:r>
      <w:r w:rsidR="005A6D4D" w:rsidRPr="00CE1E04">
        <w:rPr>
          <w:rFonts w:ascii="Times New Roman" w:eastAsia="DFKai-SB" w:hAnsi="Times New Roman" w:cs="Times New Roman"/>
          <w:szCs w:val="24"/>
        </w:rPr>
        <w:t xml:space="preserve"> Taiwan to decentraliz</w:t>
      </w:r>
      <w:r w:rsidR="0050454A" w:rsidRPr="00CE1E04">
        <w:rPr>
          <w:rFonts w:ascii="Times New Roman" w:eastAsia="DFKai-SB" w:hAnsi="Times New Roman" w:cs="Times New Roman"/>
          <w:szCs w:val="24"/>
        </w:rPr>
        <w:t>e</w:t>
      </w:r>
      <w:r w:rsidR="005A6D4D" w:rsidRPr="00CE1E04">
        <w:rPr>
          <w:rFonts w:ascii="Times New Roman" w:eastAsia="DFKai-SB" w:hAnsi="Times New Roman" w:cs="Times New Roman"/>
          <w:szCs w:val="24"/>
        </w:rPr>
        <w:t xml:space="preserve"> port reform yet satisfy different stakeholders by retaining much state control.</w:t>
      </w:r>
      <w:r w:rsidR="009E552F" w:rsidRPr="00CE1E04">
        <w:rPr>
          <w:rFonts w:ascii="Times New Roman" w:eastAsia="DFKai-SB" w:hAnsi="Times New Roman" w:cs="Times New Roman"/>
          <w:szCs w:val="24"/>
        </w:rPr>
        <w:t xml:space="preserve"> </w:t>
      </w:r>
    </w:p>
    <w:p w14:paraId="08DCA1F5" w14:textId="77777777" w:rsidR="009F5E1C" w:rsidRPr="00CE1E04" w:rsidRDefault="009F5E1C" w:rsidP="009F5E1C">
      <w:pPr>
        <w:ind w:firstLine="480"/>
        <w:rPr>
          <w:rFonts w:ascii="Times New Roman" w:eastAsia="DFKai-SB" w:hAnsi="Times New Roman" w:cs="Times New Roman"/>
          <w:szCs w:val="24"/>
        </w:rPr>
      </w:pPr>
    </w:p>
    <w:p w14:paraId="1F22A401" w14:textId="2B637C8C" w:rsidR="00AD0886" w:rsidRPr="00CE1E04" w:rsidRDefault="00A41ED1" w:rsidP="00AD0886">
      <w:pPr>
        <w:pStyle w:val="HTMLPreformatted"/>
        <w:rPr>
          <w:rFonts w:ascii="Times New Roman" w:eastAsia="DFKai-SB" w:hAnsi="Times New Roman" w:cs="Times New Roman"/>
          <w:kern w:val="2"/>
        </w:rPr>
      </w:pPr>
      <w:r w:rsidRPr="00CE1E04">
        <w:rPr>
          <w:rFonts w:ascii="Times New Roman" w:eastAsia="DFKai-SB" w:hAnsi="Times New Roman" w:cs="Times New Roman"/>
          <w:b/>
        </w:rPr>
        <w:t>4.</w:t>
      </w:r>
      <w:r w:rsidR="0070664C" w:rsidRPr="00CE1E04">
        <w:rPr>
          <w:rFonts w:ascii="Times New Roman" w:eastAsia="DFKai-SB" w:hAnsi="Times New Roman" w:cs="Times New Roman"/>
          <w:b/>
        </w:rPr>
        <w:t>2</w:t>
      </w:r>
      <w:r w:rsidRPr="00CE1E04">
        <w:rPr>
          <w:rFonts w:ascii="Times New Roman" w:eastAsia="DFKai-SB" w:hAnsi="Times New Roman" w:cs="Times New Roman"/>
          <w:b/>
        </w:rPr>
        <w:t xml:space="preserve"> </w:t>
      </w:r>
      <w:r w:rsidR="00D85359" w:rsidRPr="00CE1E04">
        <w:rPr>
          <w:rFonts w:ascii="Times New Roman" w:eastAsia="DFKai-SB" w:hAnsi="Times New Roman" w:cs="Times New Roman"/>
          <w:b/>
        </w:rPr>
        <w:t xml:space="preserve">Human Resources, and Cooperation or Competition </w:t>
      </w:r>
      <w:r w:rsidR="00946B9E" w:rsidRPr="00CE1E04">
        <w:rPr>
          <w:rFonts w:ascii="Times New Roman" w:eastAsia="DFKai-SB" w:hAnsi="Times New Roman" w:cs="Times New Roman"/>
          <w:b/>
        </w:rPr>
        <w:t xml:space="preserve"> </w:t>
      </w:r>
    </w:p>
    <w:p w14:paraId="20AB35FC" w14:textId="089F9A62" w:rsidR="0096428F" w:rsidRPr="00CE1E04" w:rsidRDefault="00A257CE" w:rsidP="00F65618">
      <w:pPr>
        <w:pStyle w:val="HTMLPreformatted"/>
        <w:jc w:val="both"/>
        <w:rPr>
          <w:rFonts w:ascii="Times New Roman" w:eastAsia="DFKai-SB" w:hAnsi="Times New Roman" w:cs="Times New Roman"/>
        </w:rPr>
      </w:pPr>
      <w:r w:rsidRPr="00CE1E04">
        <w:rPr>
          <w:rFonts w:ascii="Times New Roman" w:eastAsia="DFKai-SB" w:hAnsi="Times New Roman" w:cs="Times New Roman"/>
          <w:kern w:val="2"/>
        </w:rPr>
        <w:t xml:space="preserve">  </w:t>
      </w:r>
      <w:r w:rsidR="00AE068B" w:rsidRPr="00CE1E04">
        <w:rPr>
          <w:rFonts w:ascii="Times New Roman" w:eastAsia="DFKai-SB" w:hAnsi="Times New Roman" w:cs="Times New Roman"/>
          <w:kern w:val="2"/>
        </w:rPr>
        <w:t>Experts highlighted</w:t>
      </w:r>
      <w:r w:rsidR="00661B1D" w:rsidRPr="00CE1E04">
        <w:rPr>
          <w:rFonts w:ascii="Times New Roman" w:eastAsia="DFKai-SB" w:hAnsi="Times New Roman" w:cs="Times New Roman"/>
          <w:kern w:val="2"/>
        </w:rPr>
        <w:t xml:space="preserve"> Human </w:t>
      </w:r>
      <w:r w:rsidR="00AE068B" w:rsidRPr="00CE1E04">
        <w:rPr>
          <w:rFonts w:ascii="Times New Roman" w:eastAsia="DFKai-SB" w:hAnsi="Times New Roman" w:cs="Times New Roman"/>
          <w:kern w:val="2"/>
        </w:rPr>
        <w:t>Resource related issues regarding</w:t>
      </w:r>
      <w:r w:rsidR="00661B1D" w:rsidRPr="00CE1E04">
        <w:rPr>
          <w:rFonts w:ascii="Times New Roman" w:eastAsia="DFKai-SB" w:hAnsi="Times New Roman" w:cs="Times New Roman"/>
          <w:kern w:val="2"/>
        </w:rPr>
        <w:t xml:space="preserve"> the age and number of employees, the skills and abilities of employees, and ‘working attitude’. In terms of age, experts felt the age of</w:t>
      </w:r>
      <w:r w:rsidR="00946F21" w:rsidRPr="00CE1E04">
        <w:rPr>
          <w:rFonts w:ascii="Times New Roman" w:eastAsia="DFKai-SB" w:hAnsi="Times New Roman" w:cs="Times New Roman"/>
          <w:kern w:val="2"/>
        </w:rPr>
        <w:t xml:space="preserve"> TIPC </w:t>
      </w:r>
      <w:r w:rsidR="00661B1D" w:rsidRPr="00CE1E04">
        <w:rPr>
          <w:rFonts w:ascii="Times New Roman" w:eastAsia="DFKai-SB" w:hAnsi="Times New Roman" w:cs="Times New Roman"/>
          <w:kern w:val="2"/>
        </w:rPr>
        <w:t>employees to be too high</w:t>
      </w:r>
      <w:r w:rsidR="00946F21" w:rsidRPr="00CE1E04">
        <w:rPr>
          <w:rFonts w:ascii="Times New Roman" w:eastAsia="DFKai-SB" w:hAnsi="Times New Roman" w:cs="Times New Roman"/>
          <w:kern w:val="2"/>
        </w:rPr>
        <w:t xml:space="preserve">: </w:t>
      </w:r>
      <w:r w:rsidR="00946F21" w:rsidRPr="00CE1E04">
        <w:rPr>
          <w:rFonts w:ascii="Times New Roman" w:eastAsia="DFKai-SB" w:hAnsi="Times New Roman" w:cs="Times New Roman"/>
          <w:i/>
        </w:rPr>
        <w:t>“</w:t>
      </w:r>
      <w:r w:rsidR="00E572EE" w:rsidRPr="00CE1E04">
        <w:rPr>
          <w:rFonts w:ascii="Times New Roman" w:hAnsi="Times New Roman" w:cs="Times New Roman"/>
          <w:i/>
        </w:rPr>
        <w:t>c</w:t>
      </w:r>
      <w:r w:rsidR="00946F21" w:rsidRPr="00CE1E04">
        <w:rPr>
          <w:rFonts w:ascii="Times New Roman" w:hAnsi="Times New Roman" w:cs="Times New Roman"/>
          <w:i/>
        </w:rPr>
        <w:t>urrently the TIPC has… too many old employees and have too few young employees”</w:t>
      </w:r>
      <w:r w:rsidR="00946F21" w:rsidRPr="00CE1E04">
        <w:rPr>
          <w:rFonts w:ascii="Times New Roman" w:hAnsi="Times New Roman" w:cs="Times New Roman"/>
        </w:rPr>
        <w:t xml:space="preserve">, and that </w:t>
      </w:r>
      <w:r w:rsidR="00946F21" w:rsidRPr="00CE1E04">
        <w:rPr>
          <w:rFonts w:ascii="Times New Roman" w:hAnsi="Times New Roman" w:cs="Times New Roman"/>
          <w:i/>
        </w:rPr>
        <w:t>“</w:t>
      </w:r>
      <w:r w:rsidR="00946F21" w:rsidRPr="00CE1E04">
        <w:rPr>
          <w:rFonts w:ascii="Times New Roman" w:eastAsia="DFKai-SB" w:hAnsi="Times New Roman" w:cs="Times New Roman"/>
          <w:i/>
        </w:rPr>
        <w:t>the average age of employees is about 51-52”</w:t>
      </w:r>
      <w:r w:rsidR="00946F21" w:rsidRPr="00CE1E04">
        <w:rPr>
          <w:rFonts w:ascii="Times New Roman" w:eastAsia="DFKai-SB" w:hAnsi="Times New Roman" w:cs="Times New Roman"/>
        </w:rPr>
        <w:t xml:space="preserve">. </w:t>
      </w:r>
      <w:r w:rsidR="005A6D4D" w:rsidRPr="00CE1E04">
        <w:rPr>
          <w:rFonts w:ascii="Times New Roman" w:eastAsia="DFKai-SB" w:hAnsi="Times New Roman" w:cs="Times New Roman"/>
        </w:rPr>
        <w:t>Some experts</w:t>
      </w:r>
      <w:r w:rsidR="00661B1D" w:rsidRPr="00CE1E04">
        <w:rPr>
          <w:rFonts w:ascii="Times New Roman" w:eastAsia="DFKai-SB" w:hAnsi="Times New Roman" w:cs="Times New Roman"/>
        </w:rPr>
        <w:t xml:space="preserve"> felt</w:t>
      </w:r>
      <w:r w:rsidR="00946F21" w:rsidRPr="00CE1E04">
        <w:rPr>
          <w:rFonts w:ascii="Times New Roman" w:eastAsia="DFKai-SB" w:hAnsi="Times New Roman" w:cs="Times New Roman"/>
        </w:rPr>
        <w:t xml:space="preserve"> there were shortages of particular levels or types of employees</w:t>
      </w:r>
      <w:r w:rsidR="005A6D4D" w:rsidRPr="00CE1E04">
        <w:rPr>
          <w:rFonts w:ascii="Times New Roman" w:eastAsia="DFKai-SB" w:hAnsi="Times New Roman" w:cs="Times New Roman"/>
        </w:rPr>
        <w:t>:</w:t>
      </w:r>
      <w:r w:rsidR="00946F21" w:rsidRPr="00CE1E04">
        <w:rPr>
          <w:rFonts w:ascii="Times New Roman" w:eastAsia="DFKai-SB" w:hAnsi="Times New Roman" w:cs="Times New Roman"/>
        </w:rPr>
        <w:t xml:space="preserve"> </w:t>
      </w:r>
      <w:r w:rsidR="00946F21" w:rsidRPr="00CE1E04">
        <w:rPr>
          <w:rFonts w:ascii="Times New Roman" w:eastAsia="DFKai-SB" w:hAnsi="Times New Roman" w:cs="Times New Roman"/>
          <w:i/>
        </w:rPr>
        <w:t>“we do have a problem regarding a shortage of middle level personnel”</w:t>
      </w:r>
      <w:r w:rsidR="00946F21" w:rsidRPr="00CE1E04">
        <w:rPr>
          <w:rFonts w:ascii="Times New Roman" w:eastAsia="DFKai-SB" w:hAnsi="Times New Roman" w:cs="Times New Roman"/>
        </w:rPr>
        <w:t xml:space="preserve"> or that </w:t>
      </w:r>
      <w:r w:rsidR="00946F21" w:rsidRPr="00CE1E04">
        <w:rPr>
          <w:rFonts w:ascii="Times New Roman" w:eastAsia="DFKai-SB" w:hAnsi="Times New Roman" w:cs="Times New Roman"/>
          <w:i/>
        </w:rPr>
        <w:t>“</w:t>
      </w:r>
      <w:r w:rsidR="00946F21" w:rsidRPr="00CE1E04">
        <w:rPr>
          <w:rFonts w:ascii="Times New Roman" w:eastAsia="DFKai-SB" w:hAnsi="Times New Roman" w:cs="Times New Roman"/>
          <w:i/>
          <w:kern w:val="2"/>
        </w:rPr>
        <w:t>after</w:t>
      </w:r>
      <w:r w:rsidR="00946F21" w:rsidRPr="00CE1E04">
        <w:rPr>
          <w:rFonts w:ascii="Times New Roman" w:eastAsia="DFKai-SB" w:hAnsi="Times New Roman" w:cs="Times New Roman"/>
          <w:i/>
        </w:rPr>
        <w:t xml:space="preserve"> it was separated into two units (the MPB and the TIPC), the number of employees in TIPC has however now become smaller. Yet, their work burden is the same</w:t>
      </w:r>
      <w:r w:rsidR="00E572EE" w:rsidRPr="00CE1E04">
        <w:rPr>
          <w:rFonts w:ascii="Times New Roman" w:eastAsia="DFKai-SB" w:hAnsi="Times New Roman" w:cs="Times New Roman"/>
          <w:i/>
        </w:rPr>
        <w:t>.</w:t>
      </w:r>
      <w:r w:rsidR="00946F21" w:rsidRPr="00CE1E04">
        <w:rPr>
          <w:rFonts w:ascii="Times New Roman" w:eastAsia="DFKai-SB" w:hAnsi="Times New Roman" w:cs="Times New Roman"/>
          <w:i/>
        </w:rPr>
        <w:t>”</w:t>
      </w:r>
      <w:r w:rsidR="003E0940" w:rsidRPr="00CE1E04">
        <w:rPr>
          <w:rFonts w:ascii="Times New Roman" w:eastAsia="DFKai-SB" w:hAnsi="Times New Roman" w:cs="Times New Roman"/>
        </w:rPr>
        <w:t xml:space="preserve"> </w:t>
      </w:r>
      <w:r w:rsidR="00946F21" w:rsidRPr="00CE1E04">
        <w:rPr>
          <w:rFonts w:ascii="Times New Roman" w:eastAsia="DFKai-SB" w:hAnsi="Times New Roman" w:cs="Times New Roman"/>
        </w:rPr>
        <w:t>To</w:t>
      </w:r>
      <w:r w:rsidR="003E0940" w:rsidRPr="00CE1E04">
        <w:rPr>
          <w:rFonts w:ascii="Times New Roman" w:eastAsia="DFKai-SB" w:hAnsi="Times New Roman" w:cs="Times New Roman"/>
        </w:rPr>
        <w:t xml:space="preserve"> surmount these issues</w:t>
      </w:r>
      <w:r w:rsidR="00946F21" w:rsidRPr="00CE1E04">
        <w:rPr>
          <w:rFonts w:ascii="Times New Roman" w:eastAsia="DFKai-SB" w:hAnsi="Times New Roman" w:cs="Times New Roman"/>
        </w:rPr>
        <w:t xml:space="preserve">, training programs were </w:t>
      </w:r>
      <w:r w:rsidR="00E572EE" w:rsidRPr="00CE1E04">
        <w:rPr>
          <w:rFonts w:ascii="Times New Roman" w:eastAsia="DFKai-SB" w:hAnsi="Times New Roman" w:cs="Times New Roman"/>
        </w:rPr>
        <w:t>planned</w:t>
      </w:r>
      <w:r w:rsidR="00946F21" w:rsidRPr="00CE1E04">
        <w:rPr>
          <w:rFonts w:ascii="Times New Roman" w:eastAsia="DFKai-SB" w:hAnsi="Times New Roman" w:cs="Times New Roman"/>
        </w:rPr>
        <w:t xml:space="preserve">: </w:t>
      </w:r>
      <w:r w:rsidR="00946F21" w:rsidRPr="00CE1E04">
        <w:rPr>
          <w:rFonts w:ascii="Times New Roman" w:hAnsi="Times New Roman" w:cs="Times New Roman"/>
          <w:i/>
        </w:rPr>
        <w:t>“</w:t>
      </w:r>
      <w:r w:rsidR="00946F21" w:rsidRPr="00CE1E04">
        <w:rPr>
          <w:rFonts w:ascii="Times New Roman" w:eastAsia="DFKai-SB" w:hAnsi="Times New Roman" w:cs="Times New Roman"/>
          <w:i/>
        </w:rPr>
        <w:t>the TIPC will set up specific requirement to hire professional experts and build up professional training project and organize it into database.”</w:t>
      </w:r>
      <w:r w:rsidR="00946F21" w:rsidRPr="00CE1E04">
        <w:rPr>
          <w:rFonts w:ascii="Times New Roman" w:eastAsia="DFKai-SB" w:hAnsi="Times New Roman" w:cs="Times New Roman"/>
        </w:rPr>
        <w:t xml:space="preserve"> Indeed, </w:t>
      </w:r>
      <w:r w:rsidR="001B4C0C" w:rsidRPr="00CE1E04">
        <w:rPr>
          <w:rFonts w:ascii="Times New Roman" w:eastAsia="DFKai-SB" w:hAnsi="Times New Roman" w:cs="Times New Roman"/>
          <w:i/>
          <w:kern w:val="2"/>
        </w:rPr>
        <w:t>“</w:t>
      </w:r>
      <w:r w:rsidR="001B4C0C" w:rsidRPr="00CE1E04">
        <w:rPr>
          <w:rFonts w:ascii="Times New Roman" w:eastAsia="DFKai-SB" w:hAnsi="Times New Roman" w:cs="Times New Roman"/>
          <w:i/>
        </w:rPr>
        <w:t>(1) we will work on an elite training program (2) us</w:t>
      </w:r>
      <w:r w:rsidR="00E572EE" w:rsidRPr="00CE1E04">
        <w:rPr>
          <w:rFonts w:ascii="Times New Roman" w:eastAsia="DFKai-SB" w:hAnsi="Times New Roman" w:cs="Times New Roman"/>
          <w:i/>
        </w:rPr>
        <w:t>e</w:t>
      </w:r>
      <w:r w:rsidR="001B4C0C" w:rsidRPr="00CE1E04">
        <w:rPr>
          <w:rFonts w:ascii="Times New Roman" w:eastAsia="DFKai-SB" w:hAnsi="Times New Roman" w:cs="Times New Roman"/>
          <w:i/>
        </w:rPr>
        <w:t xml:space="preserve"> various so</w:t>
      </w:r>
      <w:r w:rsidR="00946F21" w:rsidRPr="00CE1E04">
        <w:rPr>
          <w:rFonts w:ascii="Times New Roman" w:eastAsia="DFKai-SB" w:hAnsi="Times New Roman" w:cs="Times New Roman"/>
          <w:i/>
        </w:rPr>
        <w:t xml:space="preserve">urces to recruit employees (3) </w:t>
      </w:r>
      <w:r w:rsidR="001B4C0C" w:rsidRPr="00CE1E04">
        <w:rPr>
          <w:rFonts w:ascii="Times New Roman" w:eastAsia="DFKai-SB" w:hAnsi="Times New Roman" w:cs="Times New Roman"/>
          <w:i/>
        </w:rPr>
        <w:t xml:space="preserve">hope </w:t>
      </w:r>
      <w:r w:rsidR="00E572EE" w:rsidRPr="00CE1E04">
        <w:rPr>
          <w:rFonts w:ascii="Times New Roman" w:eastAsia="DFKai-SB" w:hAnsi="Times New Roman" w:cs="Times New Roman"/>
          <w:i/>
        </w:rPr>
        <w:t xml:space="preserve">that </w:t>
      </w:r>
      <w:r w:rsidR="001B4C0C" w:rsidRPr="00CE1E04">
        <w:rPr>
          <w:rFonts w:ascii="Times New Roman" w:eastAsia="DFKai-SB" w:hAnsi="Times New Roman" w:cs="Times New Roman"/>
          <w:i/>
        </w:rPr>
        <w:t>central government could provide finance to encourage old employee to retire early and then we could recruit new employees to fill the job vacancies they leave</w:t>
      </w:r>
      <w:r w:rsidR="00E572EE" w:rsidRPr="00CE1E04">
        <w:rPr>
          <w:rFonts w:ascii="Times New Roman" w:eastAsia="DFKai-SB" w:hAnsi="Times New Roman" w:cs="Times New Roman"/>
          <w:i/>
        </w:rPr>
        <w:t>…</w:t>
      </w:r>
      <w:r w:rsidR="00946F21" w:rsidRPr="00CE1E04">
        <w:rPr>
          <w:rFonts w:ascii="Times New Roman" w:eastAsia="DFKai-SB" w:hAnsi="Times New Roman" w:cs="Times New Roman"/>
          <w:i/>
        </w:rPr>
        <w:t xml:space="preserve"> (4)</w:t>
      </w:r>
      <w:r w:rsidR="001B4C0C" w:rsidRPr="00CE1E04">
        <w:rPr>
          <w:rFonts w:ascii="Times New Roman" w:eastAsia="DFKai-SB" w:hAnsi="Times New Roman" w:cs="Times New Roman"/>
          <w:i/>
        </w:rPr>
        <w:t xml:space="preserve"> train international professional experts.”</w:t>
      </w:r>
      <w:r w:rsidR="00C975BB" w:rsidRPr="00CE1E04">
        <w:rPr>
          <w:rFonts w:ascii="Times New Roman" w:eastAsia="DFKai-SB" w:hAnsi="Times New Roman" w:cs="Times New Roman"/>
        </w:rPr>
        <w:t xml:space="preserve"> </w:t>
      </w:r>
    </w:p>
    <w:p w14:paraId="78987953" w14:textId="03FA0493" w:rsidR="009374DD" w:rsidRPr="00CE1E04" w:rsidRDefault="00A257CE" w:rsidP="00A257CE">
      <w:pPr>
        <w:pStyle w:val="HTMLPreformatted"/>
        <w:tabs>
          <w:tab w:val="clear" w:pos="916"/>
        </w:tabs>
        <w:jc w:val="both"/>
        <w:rPr>
          <w:rFonts w:ascii="Times New Roman" w:hAnsi="Times New Roman" w:cs="Times New Roman"/>
        </w:rPr>
      </w:pPr>
      <w:r w:rsidRPr="00CE1E04">
        <w:rPr>
          <w:rFonts w:ascii="Times New Roman" w:eastAsia="DFKai-SB" w:hAnsi="Times New Roman" w:cs="Times New Roman"/>
        </w:rPr>
        <w:t xml:space="preserve">  </w:t>
      </w:r>
      <w:r w:rsidR="00AE068B" w:rsidRPr="00CE1E04">
        <w:rPr>
          <w:rFonts w:ascii="Times New Roman" w:hAnsi="Times New Roman" w:cs="Times New Roman"/>
        </w:rPr>
        <w:t>With regard to ‘working attitude’, this issue was intrinsically li</w:t>
      </w:r>
      <w:r w:rsidR="005A6D4D" w:rsidRPr="00CE1E04">
        <w:rPr>
          <w:rFonts w:ascii="Times New Roman" w:hAnsi="Times New Roman" w:cs="Times New Roman"/>
        </w:rPr>
        <w:t>nked with the aims of</w:t>
      </w:r>
      <w:r w:rsidR="00AE068B" w:rsidRPr="00CE1E04">
        <w:rPr>
          <w:rFonts w:ascii="Times New Roman" w:hAnsi="Times New Roman" w:cs="Times New Roman"/>
        </w:rPr>
        <w:t xml:space="preserve"> port reform for greater competition and efficiency</w:t>
      </w:r>
      <w:r w:rsidR="00970150" w:rsidRPr="00CE1E04">
        <w:rPr>
          <w:rFonts w:ascii="Times New Roman" w:hAnsi="Times New Roman" w:cs="Times New Roman"/>
        </w:rPr>
        <w:t>.</w:t>
      </w:r>
      <w:r w:rsidR="00970150" w:rsidRPr="00CE1E04">
        <w:rPr>
          <w:rFonts w:ascii="Times New Roman" w:eastAsia="DFKai-SB" w:hAnsi="Times New Roman" w:cs="Times New Roman"/>
        </w:rPr>
        <w:t xml:space="preserve"> O</w:t>
      </w:r>
      <w:r w:rsidR="005A6D4D" w:rsidRPr="00CE1E04">
        <w:rPr>
          <w:rFonts w:ascii="Times New Roman" w:eastAsia="DFKai-SB" w:hAnsi="Times New Roman" w:cs="Times New Roman"/>
        </w:rPr>
        <w:t>ne expert felt</w:t>
      </w:r>
      <w:r w:rsidR="00AE068B" w:rsidRPr="00CE1E04">
        <w:rPr>
          <w:rFonts w:ascii="Times New Roman" w:eastAsia="DFKai-SB" w:hAnsi="Times New Roman" w:cs="Times New Roman"/>
        </w:rPr>
        <w:t xml:space="preserve"> there was a</w:t>
      </w:r>
      <w:r w:rsidR="00970150" w:rsidRPr="00CE1E04">
        <w:rPr>
          <w:rFonts w:ascii="Times New Roman" w:eastAsia="DFKai-SB" w:hAnsi="Times New Roman" w:cs="Times New Roman"/>
        </w:rPr>
        <w:t xml:space="preserve">, </w:t>
      </w:r>
      <w:r w:rsidR="00970150" w:rsidRPr="00CE1E04">
        <w:rPr>
          <w:rFonts w:ascii="Times New Roman" w:eastAsia="DFKai-SB" w:hAnsi="Times New Roman" w:cs="Times New Roman"/>
          <w:i/>
        </w:rPr>
        <w:t>“working attitude problem. In Taiwan, some operators wo</w:t>
      </w:r>
      <w:r w:rsidR="00AA7509" w:rsidRPr="00CE1E04">
        <w:rPr>
          <w:rFonts w:ascii="Times New Roman" w:eastAsia="DFKai-SB" w:hAnsi="Times New Roman" w:cs="Times New Roman"/>
          <w:i/>
        </w:rPr>
        <w:t>u</w:t>
      </w:r>
      <w:r w:rsidR="00970150" w:rsidRPr="00CE1E04">
        <w:rPr>
          <w:rFonts w:ascii="Times New Roman" w:eastAsia="DFKai-SB" w:hAnsi="Times New Roman" w:cs="Times New Roman"/>
          <w:i/>
        </w:rPr>
        <w:t>ld worry that TIPC’s employees will not change their working attitude, and think they are still governmental units. I think we could improve this through education training. Otherwise, a</w:t>
      </w:r>
      <w:r w:rsidR="00F172D5" w:rsidRPr="00CE1E04">
        <w:rPr>
          <w:rFonts w:ascii="Times New Roman" w:eastAsia="DFKai-SB" w:hAnsi="Times New Roman" w:cs="Times New Roman"/>
          <w:i/>
        </w:rPr>
        <w:t>n</w:t>
      </w:r>
      <w:r w:rsidR="00970150" w:rsidRPr="00CE1E04">
        <w:rPr>
          <w:rFonts w:ascii="Times New Roman" w:eastAsia="DFKai-SB" w:hAnsi="Times New Roman" w:cs="Times New Roman"/>
          <w:i/>
        </w:rPr>
        <w:t xml:space="preserve"> </w:t>
      </w:r>
      <w:r w:rsidR="00F172D5" w:rsidRPr="00CE1E04">
        <w:rPr>
          <w:rFonts w:ascii="Times New Roman" w:eastAsia="DFKai-SB" w:hAnsi="Times New Roman" w:cs="Times New Roman"/>
          <w:i/>
        </w:rPr>
        <w:t>overly relaxed</w:t>
      </w:r>
      <w:r w:rsidR="00970150" w:rsidRPr="00CE1E04">
        <w:rPr>
          <w:rFonts w:ascii="Times New Roman" w:eastAsia="DFKai-SB" w:hAnsi="Times New Roman" w:cs="Times New Roman"/>
          <w:i/>
        </w:rPr>
        <w:t xml:space="preserve"> working attitude would result in failure for </w:t>
      </w:r>
      <w:r w:rsidR="00B5235D" w:rsidRPr="00CE1E04">
        <w:rPr>
          <w:rFonts w:ascii="Times New Roman" w:eastAsia="DFKai-SB" w:hAnsi="Times New Roman" w:cs="Times New Roman"/>
          <w:i/>
        </w:rPr>
        <w:t>organisation</w:t>
      </w:r>
      <w:r w:rsidR="00661B1D" w:rsidRPr="00CE1E04">
        <w:rPr>
          <w:rFonts w:ascii="Times New Roman" w:eastAsia="DFKai-SB" w:hAnsi="Times New Roman" w:cs="Times New Roman"/>
          <w:i/>
        </w:rPr>
        <w:t>al</w:t>
      </w:r>
      <w:r w:rsidR="00970150" w:rsidRPr="00CE1E04">
        <w:rPr>
          <w:rFonts w:ascii="Times New Roman" w:eastAsia="DFKai-SB" w:hAnsi="Times New Roman" w:cs="Times New Roman"/>
          <w:i/>
        </w:rPr>
        <w:t xml:space="preserve"> change”</w:t>
      </w:r>
      <w:r w:rsidR="00970150" w:rsidRPr="00CE1E04">
        <w:rPr>
          <w:rFonts w:ascii="Times New Roman" w:eastAsia="DFKai-SB" w:hAnsi="Times New Roman" w:cs="Times New Roman"/>
        </w:rPr>
        <w:t xml:space="preserve">. </w:t>
      </w:r>
      <w:r w:rsidR="00AE068B" w:rsidRPr="00CE1E04">
        <w:rPr>
          <w:rFonts w:ascii="Times New Roman" w:eastAsia="DFKai-SB" w:hAnsi="Times New Roman" w:cs="Times New Roman"/>
        </w:rPr>
        <w:t>As another expert noted</w:t>
      </w:r>
      <w:r w:rsidR="00970150" w:rsidRPr="00CE1E04">
        <w:rPr>
          <w:rFonts w:ascii="Times New Roman" w:eastAsia="DFKai-SB" w:hAnsi="Times New Roman" w:cs="Times New Roman"/>
        </w:rPr>
        <w:t xml:space="preserve">, </w:t>
      </w:r>
      <w:r w:rsidR="00C975BB" w:rsidRPr="00CE1E04">
        <w:rPr>
          <w:rFonts w:ascii="Times New Roman" w:hAnsi="Times New Roman" w:cs="Times New Roman"/>
          <w:i/>
        </w:rPr>
        <w:t>“</w:t>
      </w:r>
      <w:r w:rsidR="00005148" w:rsidRPr="00CE1E04">
        <w:rPr>
          <w:rFonts w:ascii="Times New Roman" w:hAnsi="Times New Roman" w:cs="Times New Roman"/>
          <w:i/>
        </w:rPr>
        <w:t xml:space="preserve">during the adjustment (change) </w:t>
      </w:r>
      <w:r w:rsidR="00C975BB" w:rsidRPr="00CE1E04">
        <w:rPr>
          <w:rFonts w:ascii="Times New Roman" w:hAnsi="Times New Roman" w:cs="Times New Roman"/>
          <w:i/>
        </w:rPr>
        <w:t>period of</w:t>
      </w:r>
      <w:r w:rsidR="00005148" w:rsidRPr="00CE1E04">
        <w:rPr>
          <w:rFonts w:ascii="Times New Roman" w:hAnsi="Times New Roman" w:cs="Times New Roman"/>
          <w:i/>
        </w:rPr>
        <w:t xml:space="preserve"> construct</w:t>
      </w:r>
      <w:r w:rsidR="00C975BB" w:rsidRPr="00CE1E04">
        <w:rPr>
          <w:rFonts w:ascii="Times New Roman" w:hAnsi="Times New Roman" w:cs="Times New Roman"/>
          <w:i/>
        </w:rPr>
        <w:t>ing the new</w:t>
      </w:r>
      <w:r w:rsidR="00005148" w:rsidRPr="00CE1E04">
        <w:rPr>
          <w:rFonts w:ascii="Times New Roman" w:hAnsi="Times New Roman" w:cs="Times New Roman"/>
          <w:i/>
        </w:rPr>
        <w:t xml:space="preserve"> system</w:t>
      </w:r>
      <w:r w:rsidR="00C975BB" w:rsidRPr="00CE1E04">
        <w:rPr>
          <w:rFonts w:ascii="Times New Roman" w:hAnsi="Times New Roman" w:cs="Times New Roman"/>
          <w:i/>
        </w:rPr>
        <w:t xml:space="preserve"> of the </w:t>
      </w:r>
      <w:r w:rsidR="00B5235D" w:rsidRPr="00CE1E04">
        <w:rPr>
          <w:rFonts w:ascii="Times New Roman" w:hAnsi="Times New Roman" w:cs="Times New Roman"/>
          <w:i/>
        </w:rPr>
        <w:t>organisation</w:t>
      </w:r>
      <w:r w:rsidR="00005148" w:rsidRPr="00CE1E04">
        <w:rPr>
          <w:rFonts w:ascii="Times New Roman" w:hAnsi="Times New Roman" w:cs="Times New Roman"/>
          <w:i/>
        </w:rPr>
        <w:t xml:space="preserve">, it is important to change company employee’s previous </w:t>
      </w:r>
      <w:r w:rsidR="00F2513F" w:rsidRPr="00CE1E04">
        <w:rPr>
          <w:rFonts w:ascii="Times New Roman" w:hAnsi="Times New Roman" w:cs="Times New Roman"/>
          <w:i/>
        </w:rPr>
        <w:t xml:space="preserve">mindset </w:t>
      </w:r>
      <w:r w:rsidR="00005148" w:rsidRPr="00CE1E04">
        <w:rPr>
          <w:rFonts w:ascii="Times New Roman" w:hAnsi="Times New Roman" w:cs="Times New Roman"/>
          <w:i/>
        </w:rPr>
        <w:t>or working attitude. Otherwise, if the employees still think they are public servants (government official), it is difficult to implement any human resource reformation”</w:t>
      </w:r>
      <w:r w:rsidR="00970150" w:rsidRPr="00CE1E04">
        <w:rPr>
          <w:rFonts w:ascii="Times New Roman" w:hAnsi="Times New Roman" w:cs="Times New Roman"/>
        </w:rPr>
        <w:t>.</w:t>
      </w:r>
      <w:r w:rsidR="00AE068B" w:rsidRPr="00CE1E04">
        <w:rPr>
          <w:rFonts w:ascii="Times New Roman" w:hAnsi="Times New Roman" w:cs="Times New Roman"/>
        </w:rPr>
        <w:t xml:space="preserve"> The approach to managing these issues would be one whereby Taiwan will seek</w:t>
      </w:r>
      <w:r w:rsidR="003E0940" w:rsidRPr="00CE1E04">
        <w:rPr>
          <w:rFonts w:ascii="Times New Roman" w:eastAsia="DFKai-SB" w:hAnsi="Times New Roman" w:cs="Times New Roman"/>
        </w:rPr>
        <w:t xml:space="preserve"> to </w:t>
      </w:r>
      <w:r w:rsidR="003E0940" w:rsidRPr="00CE1E04">
        <w:rPr>
          <w:rFonts w:ascii="Times New Roman" w:eastAsia="DFKai-SB" w:hAnsi="Times New Roman" w:cs="Times New Roman"/>
          <w:i/>
        </w:rPr>
        <w:t>“</w:t>
      </w:r>
      <w:r w:rsidR="003E0940" w:rsidRPr="00CE1E04">
        <w:rPr>
          <w:rFonts w:ascii="Times New Roman" w:hAnsi="Times New Roman" w:cs="Times New Roman"/>
          <w:i/>
        </w:rPr>
        <w:t xml:space="preserve">reduce redundant personnel” </w:t>
      </w:r>
      <w:r w:rsidR="003E0940" w:rsidRPr="00CE1E04">
        <w:rPr>
          <w:rFonts w:ascii="Times New Roman" w:hAnsi="Times New Roman" w:cs="Times New Roman"/>
        </w:rPr>
        <w:t xml:space="preserve">and at the same time to, </w:t>
      </w:r>
      <w:r w:rsidR="003E0940" w:rsidRPr="00CE1E04">
        <w:rPr>
          <w:rFonts w:ascii="Times New Roman" w:hAnsi="Times New Roman" w:cs="Times New Roman"/>
          <w:i/>
        </w:rPr>
        <w:t>“recruit new employees and strengthen human resource content”</w:t>
      </w:r>
      <w:r w:rsidR="003E0940" w:rsidRPr="00CE1E04">
        <w:rPr>
          <w:rFonts w:ascii="Times New Roman" w:hAnsi="Times New Roman" w:cs="Times New Roman"/>
        </w:rPr>
        <w:t>.</w:t>
      </w:r>
      <w:r w:rsidR="003E6A4C" w:rsidRPr="00CE1E04">
        <w:rPr>
          <w:rFonts w:ascii="Times New Roman" w:hAnsi="Times New Roman" w:cs="Times New Roman"/>
        </w:rPr>
        <w:t xml:space="preserve"> </w:t>
      </w:r>
      <w:r w:rsidR="00A60F8D" w:rsidRPr="00CE1E04">
        <w:rPr>
          <w:rFonts w:ascii="Times New Roman" w:hAnsi="Times New Roman" w:cs="Times New Roman"/>
        </w:rPr>
        <w:t>These results echo and confirm similar rec</w:t>
      </w:r>
      <w:r w:rsidR="005A6D4D" w:rsidRPr="00CE1E04">
        <w:rPr>
          <w:rFonts w:ascii="Times New Roman" w:hAnsi="Times New Roman" w:cs="Times New Roman"/>
        </w:rPr>
        <w:t>ent research in Taiwan (Chiu and Yen, 2015), and</w:t>
      </w:r>
      <w:r w:rsidR="00A60F8D" w:rsidRPr="00CE1E04">
        <w:rPr>
          <w:rFonts w:ascii="Times New Roman" w:hAnsi="Times New Roman" w:cs="Times New Roman"/>
        </w:rPr>
        <w:t xml:space="preserve"> also place these suggestions within the wider context of the </w:t>
      </w:r>
      <w:r w:rsidR="00B16800" w:rsidRPr="00CE1E04">
        <w:rPr>
          <w:rFonts w:ascii="Times New Roman" w:hAnsi="Times New Roman" w:cs="Times New Roman"/>
        </w:rPr>
        <w:t xml:space="preserve">overall change process, thus seeing employee attitude change as </w:t>
      </w:r>
      <w:r w:rsidR="005A6D4D" w:rsidRPr="00CE1E04">
        <w:rPr>
          <w:rFonts w:ascii="Times New Roman" w:hAnsi="Times New Roman" w:cs="Times New Roman"/>
        </w:rPr>
        <w:t>integral to</w:t>
      </w:r>
      <w:r w:rsidR="00B16800" w:rsidRPr="00CE1E04">
        <w:rPr>
          <w:rFonts w:ascii="Times New Roman" w:hAnsi="Times New Roman" w:cs="Times New Roman"/>
        </w:rPr>
        <w:t xml:space="preserve"> </w:t>
      </w:r>
      <w:r w:rsidR="00B5235D" w:rsidRPr="00CE1E04">
        <w:rPr>
          <w:rFonts w:ascii="Times New Roman" w:hAnsi="Times New Roman" w:cs="Times New Roman"/>
        </w:rPr>
        <w:t>organisation</w:t>
      </w:r>
      <w:r w:rsidR="005A6D4D" w:rsidRPr="00CE1E04">
        <w:rPr>
          <w:rFonts w:ascii="Times New Roman" w:hAnsi="Times New Roman" w:cs="Times New Roman"/>
        </w:rPr>
        <w:t>al</w:t>
      </w:r>
      <w:r w:rsidR="00B16800" w:rsidRPr="00CE1E04">
        <w:rPr>
          <w:rFonts w:ascii="Times New Roman" w:hAnsi="Times New Roman" w:cs="Times New Roman"/>
        </w:rPr>
        <w:t xml:space="preserve"> change</w:t>
      </w:r>
      <w:r w:rsidR="005A6D4D" w:rsidRPr="00CE1E04">
        <w:rPr>
          <w:rFonts w:ascii="Times New Roman" w:hAnsi="Times New Roman" w:cs="Times New Roman"/>
        </w:rPr>
        <w:t xml:space="preserve"> success. Without such</w:t>
      </w:r>
      <w:r w:rsidR="00B16800" w:rsidRPr="00CE1E04">
        <w:rPr>
          <w:rFonts w:ascii="Times New Roman" w:hAnsi="Times New Roman" w:cs="Times New Roman"/>
        </w:rPr>
        <w:t xml:space="preserve"> change</w:t>
      </w:r>
      <w:r w:rsidR="005A6D4D" w:rsidRPr="00CE1E04">
        <w:rPr>
          <w:rFonts w:ascii="Times New Roman" w:hAnsi="Times New Roman" w:cs="Times New Roman"/>
        </w:rPr>
        <w:t>s</w:t>
      </w:r>
      <w:r w:rsidR="00B16800" w:rsidRPr="00CE1E04">
        <w:rPr>
          <w:rFonts w:ascii="Times New Roman" w:hAnsi="Times New Roman" w:cs="Times New Roman"/>
        </w:rPr>
        <w:t xml:space="preserve"> in attitude, these experts felt that achieving the aims of the port reform would not be possible.</w:t>
      </w:r>
      <w:r w:rsidR="000A6602" w:rsidRPr="00CE1E04">
        <w:rPr>
          <w:rFonts w:ascii="Times New Roman" w:hAnsi="Times New Roman" w:cs="Times New Roman"/>
        </w:rPr>
        <w:t xml:space="preserve"> </w:t>
      </w:r>
    </w:p>
    <w:p w14:paraId="1404C932" w14:textId="7D17053B" w:rsidR="009E2724" w:rsidRPr="00CE1E04" w:rsidRDefault="00A257CE" w:rsidP="00F65618">
      <w:pPr>
        <w:pStyle w:val="HTMLPreformatted"/>
        <w:tabs>
          <w:tab w:val="clear" w:pos="916"/>
        </w:tabs>
        <w:jc w:val="both"/>
        <w:rPr>
          <w:rFonts w:ascii="Times New Roman" w:eastAsia="DFKai-SB" w:hAnsi="Times New Roman" w:cs="Times New Roman"/>
        </w:rPr>
      </w:pPr>
      <w:r w:rsidRPr="00CE1E04">
        <w:rPr>
          <w:rFonts w:ascii="Times New Roman" w:eastAsia="DFKai-SB" w:hAnsi="Times New Roman" w:cs="Times New Roman"/>
        </w:rPr>
        <w:t xml:space="preserve">  </w:t>
      </w:r>
      <w:r w:rsidR="005A6D4D" w:rsidRPr="00CE1E04">
        <w:rPr>
          <w:rFonts w:ascii="Times New Roman" w:eastAsia="DFKai-SB" w:hAnsi="Times New Roman" w:cs="Times New Roman"/>
        </w:rPr>
        <w:t>Experts made numerous comments regarding</w:t>
      </w:r>
      <w:r w:rsidR="000A6602" w:rsidRPr="00CE1E04">
        <w:rPr>
          <w:rFonts w:ascii="Times New Roman" w:eastAsia="DFKai-SB" w:hAnsi="Times New Roman" w:cs="Times New Roman"/>
        </w:rPr>
        <w:t xml:space="preserve"> how Taiwan should approach </w:t>
      </w:r>
      <w:r w:rsidR="005A6D4D" w:rsidRPr="00CE1E04">
        <w:rPr>
          <w:rFonts w:ascii="Times New Roman" w:eastAsia="DFKai-SB" w:hAnsi="Times New Roman" w:cs="Times New Roman"/>
        </w:rPr>
        <w:t>the issue of</w:t>
      </w:r>
      <w:r w:rsidR="003A1BD9" w:rsidRPr="00CE1E04">
        <w:rPr>
          <w:rFonts w:ascii="Times New Roman" w:eastAsia="DFKai-SB" w:hAnsi="Times New Roman" w:cs="Times New Roman"/>
        </w:rPr>
        <w:t xml:space="preserve"> </w:t>
      </w:r>
      <w:r w:rsidR="000A6602" w:rsidRPr="00CE1E04">
        <w:rPr>
          <w:rFonts w:ascii="Times New Roman" w:eastAsia="DFKai-SB" w:hAnsi="Times New Roman" w:cs="Times New Roman"/>
        </w:rPr>
        <w:t>competition or cooperation</w:t>
      </w:r>
      <w:r w:rsidR="006F0F19" w:rsidRPr="00CE1E04">
        <w:rPr>
          <w:rFonts w:ascii="Times New Roman" w:eastAsia="DFKai-SB" w:hAnsi="Times New Roman" w:cs="Times New Roman"/>
        </w:rPr>
        <w:t xml:space="preserve">. </w:t>
      </w:r>
      <w:r w:rsidR="005A6D4D" w:rsidRPr="00CE1E04">
        <w:rPr>
          <w:rFonts w:ascii="Times New Roman" w:eastAsia="DFKai-SB" w:hAnsi="Times New Roman" w:cs="Times New Roman"/>
        </w:rPr>
        <w:t>For example,</w:t>
      </w:r>
      <w:r w:rsidR="000A6602" w:rsidRPr="00CE1E04">
        <w:rPr>
          <w:rFonts w:ascii="Times New Roman" w:eastAsia="DFKai-SB" w:hAnsi="Times New Roman" w:cs="Times New Roman"/>
        </w:rPr>
        <w:t xml:space="preserve"> to w</w:t>
      </w:r>
      <w:r w:rsidR="003A1BD9" w:rsidRPr="00CE1E04">
        <w:rPr>
          <w:rFonts w:ascii="Times New Roman" w:eastAsia="DFKai-SB" w:hAnsi="Times New Roman" w:cs="Times New Roman"/>
        </w:rPr>
        <w:t xml:space="preserve">ork </w:t>
      </w:r>
      <w:r w:rsidR="005A6D4D" w:rsidRPr="00CE1E04">
        <w:rPr>
          <w:rFonts w:ascii="Times New Roman" w:eastAsia="DFKai-SB" w:hAnsi="Times New Roman" w:cs="Times New Roman"/>
        </w:rPr>
        <w:t>more productively, Taiwan</w:t>
      </w:r>
      <w:r w:rsidR="003A1BD9" w:rsidRPr="00CE1E04">
        <w:rPr>
          <w:rFonts w:ascii="Times New Roman" w:eastAsia="DFKai-SB" w:hAnsi="Times New Roman" w:cs="Times New Roman"/>
        </w:rPr>
        <w:t xml:space="preserve"> needed to ensure cooperation between its own ports</w:t>
      </w:r>
      <w:r w:rsidR="006F0F19" w:rsidRPr="00CE1E04">
        <w:rPr>
          <w:rFonts w:ascii="Times New Roman" w:eastAsia="DFKai-SB" w:hAnsi="Times New Roman" w:cs="Times New Roman"/>
        </w:rPr>
        <w:t>:</w:t>
      </w:r>
      <w:r w:rsidR="00946B9E" w:rsidRPr="00CE1E04">
        <w:rPr>
          <w:rFonts w:ascii="Times New Roman" w:eastAsia="DFKai-SB" w:hAnsi="Times New Roman" w:cs="Times New Roman"/>
        </w:rPr>
        <w:t xml:space="preserve"> </w:t>
      </w:r>
      <w:r w:rsidR="00946B9E" w:rsidRPr="00CE1E04">
        <w:rPr>
          <w:rFonts w:ascii="Times New Roman" w:eastAsia="DFKai-SB" w:hAnsi="Times New Roman" w:cs="Times New Roman"/>
          <w:i/>
        </w:rPr>
        <w:t>“</w:t>
      </w:r>
      <w:r w:rsidR="00946B9E" w:rsidRPr="00CE1E04">
        <w:rPr>
          <w:rFonts w:ascii="Times New Roman" w:hAnsi="Times New Roman" w:cs="Times New Roman"/>
          <w:i/>
        </w:rPr>
        <w:t>Taiwan should establish a cooperative mechanism so as to avoid unnecessary co</w:t>
      </w:r>
      <w:r w:rsidR="006F0F19" w:rsidRPr="00CE1E04">
        <w:rPr>
          <w:rFonts w:ascii="Times New Roman" w:hAnsi="Times New Roman" w:cs="Times New Roman"/>
          <w:i/>
        </w:rPr>
        <w:t>mpetition within Taiwan’s ports</w:t>
      </w:r>
      <w:r w:rsidR="00946B9E" w:rsidRPr="00CE1E04">
        <w:rPr>
          <w:rFonts w:ascii="Times New Roman" w:hAnsi="Times New Roman" w:cs="Times New Roman"/>
          <w:i/>
        </w:rPr>
        <w:t>”</w:t>
      </w:r>
      <w:r w:rsidR="006F0F19" w:rsidRPr="00CE1E04">
        <w:rPr>
          <w:rFonts w:ascii="Times New Roman" w:hAnsi="Times New Roman" w:cs="Times New Roman"/>
        </w:rPr>
        <w:t xml:space="preserve">. </w:t>
      </w:r>
      <w:r w:rsidR="000A6602" w:rsidRPr="00CE1E04">
        <w:rPr>
          <w:rFonts w:ascii="Times New Roman" w:hAnsi="Times New Roman" w:cs="Times New Roman"/>
        </w:rPr>
        <w:t>Such</w:t>
      </w:r>
      <w:r w:rsidR="005A6D4D" w:rsidRPr="00CE1E04">
        <w:rPr>
          <w:rFonts w:ascii="Times New Roman" w:hAnsi="Times New Roman" w:cs="Times New Roman"/>
        </w:rPr>
        <w:t xml:space="preserve"> an approach was</w:t>
      </w:r>
      <w:r w:rsidR="000A6602" w:rsidRPr="00CE1E04">
        <w:rPr>
          <w:rFonts w:ascii="Times New Roman" w:hAnsi="Times New Roman" w:cs="Times New Roman"/>
        </w:rPr>
        <w:t xml:space="preserve"> felt essential to avoiding duplication of effort and unnecessary governmental expenditure: </w:t>
      </w:r>
      <w:r w:rsidR="000A6602" w:rsidRPr="00CE1E04">
        <w:rPr>
          <w:rFonts w:ascii="Times New Roman" w:eastAsia="DFKai-SB" w:hAnsi="Times New Roman" w:cs="Times New Roman"/>
          <w:i/>
        </w:rPr>
        <w:t>“if we do not have a port cluster concept and each port just considers itself, it will face a scale need problem for each port. Since each port would then only invest in itself this will result in competition with each other. Each port will invest in the same facilities and add to the governmental fina</w:t>
      </w:r>
      <w:r w:rsidR="005A6D4D" w:rsidRPr="00CE1E04">
        <w:rPr>
          <w:rFonts w:ascii="Times New Roman" w:eastAsia="DFKai-SB" w:hAnsi="Times New Roman" w:cs="Times New Roman"/>
          <w:i/>
        </w:rPr>
        <w:t>ncial burden</w:t>
      </w:r>
      <w:r w:rsidR="000A6602" w:rsidRPr="00CE1E04">
        <w:rPr>
          <w:rFonts w:ascii="Times New Roman" w:eastAsia="DFKai-SB" w:hAnsi="Times New Roman" w:cs="Times New Roman"/>
          <w:i/>
        </w:rPr>
        <w:t>”</w:t>
      </w:r>
      <w:r w:rsidR="000A6602" w:rsidRPr="00CE1E04">
        <w:rPr>
          <w:rFonts w:ascii="Times New Roman" w:eastAsia="DFKai-SB" w:hAnsi="Times New Roman" w:cs="Times New Roman"/>
        </w:rPr>
        <w:t xml:space="preserve">. </w:t>
      </w:r>
      <w:r w:rsidR="005A6D4D" w:rsidRPr="00CE1E04">
        <w:rPr>
          <w:rFonts w:ascii="Times New Roman" w:eastAsia="DFKai-SB" w:hAnsi="Times New Roman" w:cs="Times New Roman"/>
        </w:rPr>
        <w:t>It was a general felt</w:t>
      </w:r>
      <w:r w:rsidR="007B4268" w:rsidRPr="00CE1E04">
        <w:rPr>
          <w:rFonts w:ascii="Times New Roman" w:eastAsia="DFKai-SB" w:hAnsi="Times New Roman" w:cs="Times New Roman"/>
        </w:rPr>
        <w:t xml:space="preserve"> a </w:t>
      </w:r>
      <w:r w:rsidR="003A1BD9" w:rsidRPr="00CE1E04">
        <w:rPr>
          <w:rFonts w:ascii="Times New Roman" w:eastAsia="DFKai-SB" w:hAnsi="Times New Roman" w:cs="Times New Roman"/>
        </w:rPr>
        <w:t xml:space="preserve">port </w:t>
      </w:r>
      <w:r w:rsidR="007B4268" w:rsidRPr="00CE1E04">
        <w:rPr>
          <w:rFonts w:ascii="Times New Roman" w:eastAsia="DFKai-SB" w:hAnsi="Times New Roman" w:cs="Times New Roman"/>
        </w:rPr>
        <w:t>cluster could help Taiwan become an Asia-Pacific transsh</w:t>
      </w:r>
      <w:r w:rsidR="00D21543" w:rsidRPr="00CE1E04">
        <w:rPr>
          <w:rFonts w:ascii="Times New Roman" w:eastAsia="DFKai-SB" w:hAnsi="Times New Roman" w:cs="Times New Roman"/>
        </w:rPr>
        <w:softHyphen/>
      </w:r>
      <w:r w:rsidR="007B4268" w:rsidRPr="00CE1E04">
        <w:rPr>
          <w:rFonts w:ascii="Times New Roman" w:eastAsia="DFKai-SB" w:hAnsi="Times New Roman" w:cs="Times New Roman"/>
        </w:rPr>
        <w:t>ipment hub with a focus on service quality: “</w:t>
      </w:r>
      <w:r w:rsidR="007B4268" w:rsidRPr="00CE1E04">
        <w:rPr>
          <w:rFonts w:ascii="Times New Roman" w:hAnsi="Times New Roman" w:cs="Times New Roman"/>
          <w:i/>
        </w:rPr>
        <w:t>the four main ports should actively become transhipment hubs in the Asia-Pacific area. Also, we should aim to enhance our service quality and competitive capabilities so as to attract shipping companies”</w:t>
      </w:r>
      <w:r w:rsidR="007B4268" w:rsidRPr="00CE1E04">
        <w:rPr>
          <w:rFonts w:ascii="Times New Roman" w:hAnsi="Times New Roman" w:cs="Times New Roman"/>
        </w:rPr>
        <w:t>.</w:t>
      </w:r>
      <w:r w:rsidR="00FA4A28" w:rsidRPr="00CE1E04">
        <w:rPr>
          <w:rFonts w:ascii="Times New Roman" w:hAnsi="Times New Roman" w:cs="Times New Roman"/>
        </w:rPr>
        <w:t xml:space="preserve"> Such a cluster would consider</w:t>
      </w:r>
      <w:r w:rsidR="00155D2F" w:rsidRPr="00CE1E04">
        <w:rPr>
          <w:rFonts w:ascii="Times New Roman" w:hAnsi="Times New Roman" w:cs="Times New Roman"/>
        </w:rPr>
        <w:t xml:space="preserve"> each port’s particular advantages and</w:t>
      </w:r>
      <w:r w:rsidR="00FA4A28" w:rsidRPr="00CE1E04">
        <w:rPr>
          <w:rFonts w:ascii="Times New Roman" w:hAnsi="Times New Roman" w:cs="Times New Roman"/>
        </w:rPr>
        <w:t xml:space="preserve"> could be</w:t>
      </w:r>
      <w:r w:rsidR="00155D2F" w:rsidRPr="00CE1E04">
        <w:rPr>
          <w:rFonts w:ascii="Times New Roman" w:hAnsi="Times New Roman" w:cs="Times New Roman"/>
        </w:rPr>
        <w:t xml:space="preserve"> integrated with the development of a F</w:t>
      </w:r>
      <w:r w:rsidR="00FA4A28" w:rsidRPr="00CE1E04">
        <w:rPr>
          <w:rFonts w:ascii="Times New Roman" w:hAnsi="Times New Roman" w:cs="Times New Roman"/>
        </w:rPr>
        <w:t>r</w:t>
      </w:r>
      <w:r w:rsidR="00155D2F" w:rsidRPr="00CE1E04">
        <w:rPr>
          <w:rFonts w:ascii="Times New Roman" w:hAnsi="Times New Roman" w:cs="Times New Roman"/>
        </w:rPr>
        <w:t>ee Trade Zone concept</w:t>
      </w:r>
      <w:r w:rsidR="00FA4A28" w:rsidRPr="00CE1E04">
        <w:rPr>
          <w:rFonts w:ascii="Times New Roman" w:hAnsi="Times New Roman" w:cs="Times New Roman"/>
        </w:rPr>
        <w:t xml:space="preserve"> and professional activities</w:t>
      </w:r>
      <w:r w:rsidR="00155D2F" w:rsidRPr="00CE1E04">
        <w:rPr>
          <w:rFonts w:ascii="Times New Roman" w:hAnsi="Times New Roman" w:cs="Times New Roman"/>
        </w:rPr>
        <w:t xml:space="preserve">: </w:t>
      </w:r>
      <w:r w:rsidR="00155D2F" w:rsidRPr="00CE1E04">
        <w:rPr>
          <w:rFonts w:ascii="Times New Roman" w:eastAsia="DFKai-SB" w:hAnsi="Times New Roman" w:cs="Times New Roman"/>
          <w:i/>
        </w:rPr>
        <w:t>“we should consider each port’s advantage and develop a port cluster synergy. These strategies could help Taiwan compete with other international ports. Also, employing a free trade zone concept is an important trend in Taiwan… and also of professional activities, since these will result in key impacts on national economy development”</w:t>
      </w:r>
      <w:r w:rsidR="00155D2F" w:rsidRPr="00CE1E04">
        <w:rPr>
          <w:rFonts w:ascii="Times New Roman" w:eastAsia="DFKai-SB" w:hAnsi="Times New Roman" w:cs="Times New Roman"/>
        </w:rPr>
        <w:t>.</w:t>
      </w:r>
      <w:r w:rsidR="003078B1" w:rsidRPr="00CE1E04">
        <w:rPr>
          <w:rFonts w:ascii="Times New Roman" w:eastAsia="DFKai-SB" w:hAnsi="Times New Roman" w:cs="Times New Roman"/>
        </w:rPr>
        <w:t xml:space="preserve"> The target for Taiwan was felt to be regional:</w:t>
      </w:r>
      <w:r w:rsidR="003078B1" w:rsidRPr="00CE1E04">
        <w:rPr>
          <w:rFonts w:ascii="Times New Roman" w:hAnsi="Times New Roman" w:cs="Times New Roman"/>
          <w:i/>
        </w:rPr>
        <w:t xml:space="preserve"> “</w:t>
      </w:r>
      <w:r w:rsidR="003078B1" w:rsidRPr="00CE1E04">
        <w:rPr>
          <w:rFonts w:ascii="Times New Roman" w:eastAsia="DFKai-SB" w:hAnsi="Times New Roman" w:cs="Times New Roman"/>
          <w:i/>
        </w:rPr>
        <w:t>our target should be Mainland China and the South-East Asia market”</w:t>
      </w:r>
      <w:r w:rsidR="003078B1" w:rsidRPr="00CE1E04">
        <w:rPr>
          <w:rFonts w:ascii="Times New Roman" w:eastAsia="DFKai-SB" w:hAnsi="Times New Roman" w:cs="Times New Roman"/>
        </w:rPr>
        <w:t>.</w:t>
      </w:r>
      <w:r w:rsidR="00873604" w:rsidRPr="00CE1E04">
        <w:rPr>
          <w:rFonts w:ascii="Times New Roman" w:eastAsia="DFKai-SB" w:hAnsi="Times New Roman" w:cs="Times New Roman"/>
        </w:rPr>
        <w:t xml:space="preserve"> Despite the need to be competitive there was at the same time the need to be socially responsible:</w:t>
      </w:r>
      <w:r w:rsidR="006F0F19" w:rsidRPr="00CE1E04">
        <w:rPr>
          <w:rFonts w:ascii="Times New Roman" w:hAnsi="Times New Roman" w:cs="Times New Roman"/>
        </w:rPr>
        <w:t xml:space="preserve"> </w:t>
      </w:r>
      <w:r w:rsidR="006F0F19" w:rsidRPr="00CE1E04">
        <w:rPr>
          <w:rFonts w:ascii="Times New Roman" w:hAnsi="Times New Roman" w:cs="Times New Roman"/>
          <w:i/>
        </w:rPr>
        <w:t>“</w:t>
      </w:r>
      <w:r w:rsidR="00BF3936" w:rsidRPr="00CE1E04">
        <w:rPr>
          <w:rFonts w:ascii="Times New Roman" w:hAnsi="Times New Roman" w:cs="Times New Roman"/>
          <w:i/>
        </w:rPr>
        <w:t>p</w:t>
      </w:r>
      <w:r w:rsidR="001223E6" w:rsidRPr="00CE1E04">
        <w:rPr>
          <w:rFonts w:ascii="Times New Roman" w:hAnsi="Times New Roman" w:cs="Times New Roman"/>
          <w:i/>
        </w:rPr>
        <w:t>ort management is similar to general business. It has many competitors and should continually pursue port development and operation performance. Under the framework of enterprise social responsibility, however, port operators must take charge of more responsibilities. Business integrity management is also anoth</w:t>
      </w:r>
      <w:r w:rsidR="006F0F19" w:rsidRPr="00CE1E04">
        <w:rPr>
          <w:rFonts w:ascii="Times New Roman" w:hAnsi="Times New Roman" w:cs="Times New Roman"/>
          <w:i/>
        </w:rPr>
        <w:t>er work direction and challenge</w:t>
      </w:r>
      <w:r w:rsidR="001223E6" w:rsidRPr="00CE1E04">
        <w:rPr>
          <w:rFonts w:ascii="Times New Roman" w:hAnsi="Times New Roman" w:cs="Times New Roman"/>
          <w:i/>
        </w:rPr>
        <w:t>”</w:t>
      </w:r>
      <w:r w:rsidR="006F0F19" w:rsidRPr="00CE1E04">
        <w:rPr>
          <w:rFonts w:ascii="Times New Roman" w:hAnsi="Times New Roman" w:cs="Times New Roman"/>
        </w:rPr>
        <w:t>.</w:t>
      </w:r>
      <w:r w:rsidR="003A1BD9" w:rsidRPr="00CE1E04">
        <w:rPr>
          <w:rFonts w:ascii="Times New Roman" w:hAnsi="Times New Roman" w:cs="Times New Roman"/>
        </w:rPr>
        <w:t xml:space="preserve"> Thus, our experts’ views resonated with the suggestions in some of the literature that ports near each other work together to ensure better competition (Wang et al.</w:t>
      </w:r>
      <w:r w:rsidR="00B665EA" w:rsidRPr="00CE1E04">
        <w:rPr>
          <w:rFonts w:ascii="Times New Roman" w:hAnsi="Times New Roman" w:cs="Times New Roman"/>
        </w:rPr>
        <w:t>,</w:t>
      </w:r>
      <w:r w:rsidR="003A1BD9" w:rsidRPr="00CE1E04">
        <w:rPr>
          <w:rFonts w:ascii="Times New Roman" w:hAnsi="Times New Roman" w:cs="Times New Roman"/>
        </w:rPr>
        <w:t xml:space="preserve"> 2012). Notably here as well, our experts also alluded to the need for enterprise social responsibility. Thus, although the focus of the reform was one of competition, there was a clear idea that such a move be tempered with a responsible approach, and also with a country-wide coordinated approach to creating competition and avoiding unnecessary duplication. Arguably, within an overall picture of port reform, such possibilities are afforded by Taiwan’s retaining governmental control of certain administrative elements at the same time as pushing forward with privatization (cf. Brunsson, 2002). </w:t>
      </w:r>
    </w:p>
    <w:p w14:paraId="700D48C5" w14:textId="600E36B8" w:rsidR="000934AD" w:rsidRPr="00CE1E04" w:rsidRDefault="003840B6" w:rsidP="00695FBE">
      <w:pPr>
        <w:pStyle w:val="HTMLPreformatted"/>
        <w:tabs>
          <w:tab w:val="clear" w:pos="916"/>
        </w:tabs>
        <w:jc w:val="both"/>
        <w:rPr>
          <w:rFonts w:ascii="Times New Roman" w:eastAsia="DFKai-SB" w:hAnsi="Times New Roman" w:cs="Times New Roman"/>
        </w:rPr>
      </w:pPr>
      <w:r w:rsidRPr="00CE1E04">
        <w:rPr>
          <w:rFonts w:ascii="Times New Roman" w:eastAsia="DFKai-SB" w:hAnsi="Times New Roman" w:cs="Times New Roman"/>
        </w:rPr>
        <w:t xml:space="preserve"> </w:t>
      </w:r>
    </w:p>
    <w:p w14:paraId="573464A3" w14:textId="0D38E3FC" w:rsidR="001B4C0C" w:rsidRPr="00CE1E04" w:rsidRDefault="00A41ED1" w:rsidP="001B4C0C">
      <w:pPr>
        <w:pStyle w:val="HTMLPreformatted"/>
        <w:rPr>
          <w:rFonts w:ascii="Times New Roman" w:eastAsia="DFKai-SB" w:hAnsi="Times New Roman" w:cs="Times New Roman"/>
          <w:b/>
        </w:rPr>
      </w:pPr>
      <w:r w:rsidRPr="00CE1E04">
        <w:rPr>
          <w:rFonts w:ascii="Times New Roman" w:eastAsia="DFKai-SB" w:hAnsi="Times New Roman" w:cs="Times New Roman"/>
          <w:b/>
        </w:rPr>
        <w:t>4.</w:t>
      </w:r>
      <w:r w:rsidR="0070664C" w:rsidRPr="00CE1E04">
        <w:rPr>
          <w:rFonts w:ascii="Times New Roman" w:eastAsia="DFKai-SB" w:hAnsi="Times New Roman" w:cs="Times New Roman"/>
          <w:b/>
        </w:rPr>
        <w:t>3</w:t>
      </w:r>
      <w:r w:rsidRPr="00CE1E04">
        <w:rPr>
          <w:rFonts w:ascii="Times New Roman" w:eastAsia="DFKai-SB" w:hAnsi="Times New Roman" w:cs="Times New Roman"/>
          <w:b/>
        </w:rPr>
        <w:t xml:space="preserve"> </w:t>
      </w:r>
      <w:r w:rsidR="001B4C0C" w:rsidRPr="00CE1E04">
        <w:rPr>
          <w:rFonts w:ascii="Times New Roman" w:eastAsia="DFKai-SB" w:hAnsi="Times New Roman" w:cs="Times New Roman"/>
          <w:b/>
        </w:rPr>
        <w:t xml:space="preserve">Future </w:t>
      </w:r>
      <w:r w:rsidR="002236EC" w:rsidRPr="00CE1E04">
        <w:rPr>
          <w:rFonts w:ascii="Times New Roman" w:eastAsia="DFKai-SB" w:hAnsi="Times New Roman" w:cs="Times New Roman"/>
          <w:b/>
        </w:rPr>
        <w:t>D</w:t>
      </w:r>
      <w:r w:rsidR="001B4C0C" w:rsidRPr="00CE1E04">
        <w:rPr>
          <w:rFonts w:ascii="Times New Roman" w:eastAsia="DFKai-SB" w:hAnsi="Times New Roman" w:cs="Times New Roman"/>
          <w:b/>
        </w:rPr>
        <w:t>irections</w:t>
      </w:r>
    </w:p>
    <w:p w14:paraId="6DF0A5A6" w14:textId="1E82ACD6" w:rsidR="000E40EB" w:rsidRPr="00CE1E04" w:rsidRDefault="000E40EB" w:rsidP="00326980">
      <w:pPr>
        <w:pStyle w:val="HTMLPreformatted"/>
        <w:ind w:firstLineChars="100" w:firstLine="240"/>
        <w:jc w:val="both"/>
        <w:rPr>
          <w:rFonts w:ascii="Times New Roman" w:eastAsia="DFKai-SB" w:hAnsi="Times New Roman" w:cs="Times New Roman"/>
        </w:rPr>
      </w:pPr>
      <w:r w:rsidRPr="00CE1E04">
        <w:rPr>
          <w:rFonts w:ascii="Times New Roman" w:eastAsia="DFKai-SB" w:hAnsi="Times New Roman" w:cs="Times New Roman"/>
        </w:rPr>
        <w:t>Regarding the future directions of port reform in Taiwan, experts spoke about themes of diversification</w:t>
      </w:r>
      <w:r w:rsidR="004E4BD0" w:rsidRPr="00CE1E04">
        <w:rPr>
          <w:rFonts w:ascii="Times New Roman" w:eastAsia="DFKai-SB" w:hAnsi="Times New Roman" w:cs="Times New Roman"/>
        </w:rPr>
        <w:t xml:space="preserve">, </w:t>
      </w:r>
      <w:r w:rsidRPr="00CE1E04">
        <w:rPr>
          <w:rFonts w:ascii="Times New Roman" w:eastAsia="DFKai-SB" w:hAnsi="Times New Roman" w:cs="Times New Roman"/>
        </w:rPr>
        <w:t xml:space="preserve">particularly </w:t>
      </w:r>
      <w:r w:rsidR="004E4BD0" w:rsidRPr="00CE1E04">
        <w:rPr>
          <w:rFonts w:ascii="Times New Roman" w:eastAsia="DFKai-SB" w:hAnsi="Times New Roman" w:cs="Times New Roman"/>
        </w:rPr>
        <w:t>in the context of port cluster forming</w:t>
      </w:r>
      <w:r w:rsidR="007C4CBC" w:rsidRPr="00CE1E04">
        <w:rPr>
          <w:rFonts w:ascii="Times New Roman" w:eastAsia="DFKai-SB" w:hAnsi="Times New Roman" w:cs="Times New Roman"/>
        </w:rPr>
        <w:t xml:space="preserve"> (see 4.2</w:t>
      </w:r>
      <w:r w:rsidRPr="00CE1E04">
        <w:rPr>
          <w:rFonts w:ascii="Times New Roman" w:eastAsia="DFKai-SB" w:hAnsi="Times New Roman" w:cs="Times New Roman"/>
        </w:rPr>
        <w:t xml:space="preserve"> above)</w:t>
      </w:r>
      <w:r w:rsidR="00A72CFD" w:rsidRPr="00CE1E04">
        <w:rPr>
          <w:rFonts w:ascii="Times New Roman" w:eastAsia="DFKai-SB" w:hAnsi="Times New Roman" w:cs="Times New Roman"/>
        </w:rPr>
        <w:t>. They also spoke</w:t>
      </w:r>
      <w:r w:rsidR="004610C4" w:rsidRPr="00CE1E04">
        <w:rPr>
          <w:rFonts w:ascii="Times New Roman" w:eastAsia="DFKai-SB" w:hAnsi="Times New Roman" w:cs="Times New Roman"/>
        </w:rPr>
        <w:t xml:space="preserve"> about</w:t>
      </w:r>
      <w:r w:rsidRPr="00CE1E04">
        <w:rPr>
          <w:rFonts w:ascii="Times New Roman" w:eastAsia="DFKai-SB" w:hAnsi="Times New Roman" w:cs="Times New Roman"/>
        </w:rPr>
        <w:t xml:space="preserve"> general themes of continuing and extending the implementation </w:t>
      </w:r>
      <w:r w:rsidR="004610C4" w:rsidRPr="00CE1E04">
        <w:rPr>
          <w:rFonts w:ascii="Times New Roman" w:eastAsia="DFKai-SB" w:hAnsi="Times New Roman" w:cs="Times New Roman"/>
        </w:rPr>
        <w:t>of</w:t>
      </w:r>
      <w:r w:rsidRPr="00CE1E04">
        <w:rPr>
          <w:rFonts w:ascii="Times New Roman" w:eastAsia="DFKai-SB" w:hAnsi="Times New Roman" w:cs="Times New Roman"/>
        </w:rPr>
        <w:t xml:space="preserve"> </w:t>
      </w:r>
      <w:r w:rsidR="004610C4" w:rsidRPr="00CE1E04">
        <w:rPr>
          <w:rFonts w:ascii="Times New Roman" w:eastAsia="DFKai-SB" w:hAnsi="Times New Roman" w:cs="Times New Roman"/>
        </w:rPr>
        <w:t>current port reform</w:t>
      </w:r>
      <w:r w:rsidRPr="00CE1E04">
        <w:rPr>
          <w:rFonts w:ascii="Times New Roman" w:eastAsia="DFKai-SB" w:hAnsi="Times New Roman" w:cs="Times New Roman"/>
        </w:rPr>
        <w:t xml:space="preserve">. </w:t>
      </w:r>
    </w:p>
    <w:p w14:paraId="5B253E75" w14:textId="7C1BEF02" w:rsidR="007A3A8C" w:rsidRPr="00CE1E04" w:rsidRDefault="004610C4" w:rsidP="00354A0A">
      <w:pPr>
        <w:pStyle w:val="HTMLPreformatted"/>
        <w:ind w:firstLineChars="100" w:firstLine="240"/>
        <w:jc w:val="both"/>
        <w:rPr>
          <w:rFonts w:ascii="Times New Roman" w:eastAsia="DFKai-SB" w:hAnsi="Times New Roman" w:cs="Times New Roman"/>
          <w:b/>
        </w:rPr>
      </w:pPr>
      <w:r w:rsidRPr="00CE1E04">
        <w:rPr>
          <w:rFonts w:ascii="Times New Roman" w:eastAsia="DFKai-SB" w:hAnsi="Times New Roman" w:cs="Times New Roman"/>
        </w:rPr>
        <w:t>Regarding</w:t>
      </w:r>
      <w:r w:rsidR="0050596E" w:rsidRPr="00CE1E04">
        <w:rPr>
          <w:rFonts w:ascii="Times New Roman" w:eastAsia="DFKai-SB" w:hAnsi="Times New Roman" w:cs="Times New Roman"/>
        </w:rPr>
        <w:t xml:space="preserve"> diversification</w:t>
      </w:r>
      <w:r w:rsidRPr="00CE1E04">
        <w:rPr>
          <w:rFonts w:ascii="Times New Roman" w:eastAsia="DFKai-SB" w:hAnsi="Times New Roman" w:cs="Times New Roman"/>
        </w:rPr>
        <w:t>,</w:t>
      </w:r>
      <w:r w:rsidR="006952A6" w:rsidRPr="00CE1E04">
        <w:rPr>
          <w:rFonts w:ascii="Times New Roman" w:eastAsia="DFKai-SB" w:hAnsi="Times New Roman" w:cs="Times New Roman"/>
        </w:rPr>
        <w:t xml:space="preserve"> views were often related generally, for example, that</w:t>
      </w:r>
      <w:r w:rsidR="008D0366" w:rsidRPr="00CE1E04">
        <w:rPr>
          <w:rFonts w:ascii="Times New Roman" w:eastAsia="DFKai-SB" w:hAnsi="Times New Roman" w:cs="Times New Roman"/>
        </w:rPr>
        <w:t xml:space="preserve"> </w:t>
      </w:r>
      <w:r w:rsidR="008D0366" w:rsidRPr="00CE1E04">
        <w:rPr>
          <w:rFonts w:ascii="Times New Roman" w:eastAsia="DFKai-SB" w:hAnsi="Times New Roman" w:cs="Times New Roman"/>
          <w:i/>
        </w:rPr>
        <w:t>“w</w:t>
      </w:r>
      <w:r w:rsidR="001B4C0C" w:rsidRPr="00CE1E04">
        <w:rPr>
          <w:rFonts w:ascii="Times New Roman" w:eastAsia="DFKai-SB" w:hAnsi="Times New Roman" w:cs="Times New Roman"/>
          <w:i/>
        </w:rPr>
        <w:t xml:space="preserve">e will work on a port and shipping related management service, the development and operation for </w:t>
      </w:r>
      <w:r w:rsidR="00735AF4" w:rsidRPr="00CE1E04">
        <w:rPr>
          <w:rFonts w:ascii="Times New Roman" w:eastAsia="DFKai-SB" w:hAnsi="Times New Roman" w:cs="Times New Roman"/>
          <w:i/>
        </w:rPr>
        <w:t xml:space="preserve">a </w:t>
      </w:r>
      <w:r w:rsidR="001B4C0C" w:rsidRPr="00CE1E04">
        <w:rPr>
          <w:rFonts w:ascii="Times New Roman" w:eastAsia="DFKai-SB" w:hAnsi="Times New Roman" w:cs="Times New Roman"/>
          <w:i/>
        </w:rPr>
        <w:t>free trade zone (FTZ) and tourism &amp; leisure, and also investment and re</w:t>
      </w:r>
      <w:r w:rsidR="008D0366" w:rsidRPr="00CE1E04">
        <w:rPr>
          <w:rFonts w:ascii="Times New Roman" w:eastAsia="DFKai-SB" w:hAnsi="Times New Roman" w:cs="Times New Roman"/>
          <w:i/>
        </w:rPr>
        <w:t>investment related businesses”</w:t>
      </w:r>
      <w:r w:rsidR="008D0366" w:rsidRPr="00CE1E04">
        <w:rPr>
          <w:rFonts w:ascii="Times New Roman" w:eastAsia="DFKai-SB" w:hAnsi="Times New Roman" w:cs="Times New Roman"/>
        </w:rPr>
        <w:t xml:space="preserve">. </w:t>
      </w:r>
      <w:r w:rsidR="006952A6" w:rsidRPr="00CE1E04">
        <w:rPr>
          <w:rFonts w:ascii="Times New Roman" w:eastAsia="DFKai-SB" w:hAnsi="Times New Roman" w:cs="Times New Roman"/>
        </w:rPr>
        <w:t>Others spoke at great length about a numbered list of future directions, for example</w:t>
      </w:r>
      <w:r w:rsidR="004467EC" w:rsidRPr="00CE1E04">
        <w:rPr>
          <w:rFonts w:ascii="Times New Roman" w:eastAsia="DFKai-SB" w:hAnsi="Times New Roman" w:cs="Times New Roman"/>
        </w:rPr>
        <w:t xml:space="preserve">, that future development, </w:t>
      </w:r>
      <w:r w:rsidR="004467EC" w:rsidRPr="00CE1E04">
        <w:rPr>
          <w:rFonts w:ascii="Times New Roman" w:eastAsia="DFKai-SB" w:hAnsi="Times New Roman" w:cs="Times New Roman"/>
          <w:i/>
        </w:rPr>
        <w:t>“includes (1) business port’s planning, construction, and operation management. (2) maritime transport service management in the port area (3) development and operation for free trade zone. (4) tourism and leisure development and management (5) investment, reinvestment or management for national and international business (6) other authori</w:t>
      </w:r>
      <w:r w:rsidR="00527F27" w:rsidRPr="00CE1E04">
        <w:rPr>
          <w:rFonts w:ascii="Times New Roman" w:eastAsia="DFKai-SB" w:hAnsi="Times New Roman" w:cs="Times New Roman"/>
          <w:i/>
        </w:rPr>
        <w:t>s</w:t>
      </w:r>
      <w:r w:rsidR="004467EC" w:rsidRPr="00CE1E04">
        <w:rPr>
          <w:rFonts w:ascii="Times New Roman" w:eastAsia="DFKai-SB" w:hAnsi="Times New Roman" w:cs="Times New Roman"/>
          <w:i/>
        </w:rPr>
        <w:t>ed works by the Ministry of Transportation and Communication or related organi</w:t>
      </w:r>
      <w:r w:rsidR="00527F27" w:rsidRPr="00CE1E04">
        <w:rPr>
          <w:rFonts w:ascii="Times New Roman" w:eastAsia="DFKai-SB" w:hAnsi="Times New Roman" w:cs="Times New Roman"/>
          <w:i/>
        </w:rPr>
        <w:t>s</w:t>
      </w:r>
      <w:r w:rsidR="004467EC" w:rsidRPr="00CE1E04">
        <w:rPr>
          <w:rFonts w:ascii="Times New Roman" w:eastAsia="DFKai-SB" w:hAnsi="Times New Roman" w:cs="Times New Roman"/>
          <w:i/>
        </w:rPr>
        <w:t>ations”</w:t>
      </w:r>
      <w:r w:rsidR="004467EC" w:rsidRPr="00CE1E04">
        <w:rPr>
          <w:rFonts w:ascii="Times New Roman" w:eastAsia="DFKai-SB" w:hAnsi="Times New Roman" w:cs="Times New Roman"/>
        </w:rPr>
        <w:t>.</w:t>
      </w:r>
      <w:r w:rsidR="00DD039A" w:rsidRPr="00CE1E04">
        <w:rPr>
          <w:rFonts w:ascii="Times New Roman" w:eastAsia="DFKai-SB" w:hAnsi="Times New Roman" w:cs="Times New Roman"/>
        </w:rPr>
        <w:t xml:space="preserve"> Or that: </w:t>
      </w:r>
      <w:r w:rsidR="00DD039A" w:rsidRPr="00CE1E04">
        <w:rPr>
          <w:rFonts w:ascii="Times New Roman" w:eastAsia="DFKai-SB" w:hAnsi="Times New Roman" w:cs="Times New Roman"/>
          <w:i/>
        </w:rPr>
        <w:t xml:space="preserve">“I think this could be separated into six possible directions (1) integrate four international ports to help achieve scale economy and increase its price negotiation capability. (2) port cluster cooperation capability. For example, we could cooperate with container ports in Xiamen and bulk </w:t>
      </w:r>
      <w:r w:rsidR="00B00F59" w:rsidRPr="00CE1E04">
        <w:rPr>
          <w:rFonts w:ascii="Times New Roman" w:eastAsia="DFKai-SB" w:hAnsi="Times New Roman" w:cs="Times New Roman"/>
          <w:i/>
        </w:rPr>
        <w:t>port in Changchou</w:t>
      </w:r>
      <w:r w:rsidR="00DD039A" w:rsidRPr="00CE1E04">
        <w:rPr>
          <w:rFonts w:ascii="Times New Roman" w:eastAsia="DFKai-SB" w:hAnsi="Times New Roman" w:cs="Times New Roman"/>
        </w:rPr>
        <w:t xml:space="preserve">. </w:t>
      </w:r>
      <w:r w:rsidR="00DD039A" w:rsidRPr="00CE1E04">
        <w:rPr>
          <w:rFonts w:ascii="Times New Roman" w:eastAsia="DFKai-SB" w:hAnsi="Times New Roman" w:cs="Times New Roman"/>
          <w:i/>
        </w:rPr>
        <w:t>(3) maintain our core capabilities and increase revenue and public services. (4) integrate human resource and purchasing works and reduce repetition units through port integration. (5) introduce private businesses to improve our port operations (6) The TIPC’s professional skills such as ocean engineering and tunnel engineering could be effectively developed in other countries to help obtain synergy”</w:t>
      </w:r>
      <w:r w:rsidR="00B00F59" w:rsidRPr="00CE1E04">
        <w:rPr>
          <w:rFonts w:ascii="Times New Roman" w:eastAsia="DFKai-SB" w:hAnsi="Times New Roman" w:cs="Times New Roman"/>
        </w:rPr>
        <w:t>. Such a diversification was also</w:t>
      </w:r>
      <w:r w:rsidR="00DD039A" w:rsidRPr="00CE1E04">
        <w:rPr>
          <w:rFonts w:ascii="Times New Roman" w:eastAsia="DFKai-SB" w:hAnsi="Times New Roman" w:cs="Times New Roman"/>
        </w:rPr>
        <w:t xml:space="preserve"> commented on as being</w:t>
      </w:r>
      <w:r w:rsidRPr="00CE1E04">
        <w:rPr>
          <w:rFonts w:ascii="Times New Roman" w:eastAsia="DFKai-SB" w:hAnsi="Times New Roman" w:cs="Times New Roman"/>
        </w:rPr>
        <w:t xml:space="preserve"> numerous</w:t>
      </w:r>
      <w:r w:rsidR="00DD039A" w:rsidRPr="00CE1E04">
        <w:rPr>
          <w:rFonts w:ascii="Times New Roman" w:eastAsia="DFKai-SB" w:hAnsi="Times New Roman" w:cs="Times New Roman"/>
        </w:rPr>
        <w:t xml:space="preserve"> items in a possible range: </w:t>
      </w:r>
      <w:r w:rsidR="00DD039A" w:rsidRPr="00CE1E04">
        <w:rPr>
          <w:rFonts w:ascii="Times New Roman" w:hAnsi="Times New Roman" w:cs="Times New Roman"/>
          <w:i/>
        </w:rPr>
        <w:t>“</w:t>
      </w:r>
      <w:r w:rsidR="00DD039A" w:rsidRPr="00CE1E04">
        <w:rPr>
          <w:rFonts w:ascii="Times New Roman" w:eastAsia="DFKai-SB" w:hAnsi="Times New Roman" w:cs="Times New Roman"/>
          <w:i/>
        </w:rPr>
        <w:t>this could include (1) berthing works…. (2) tug boat works.... (3) loading/unloading works… (4) warehousing works... (5) development investment”</w:t>
      </w:r>
      <w:r w:rsidR="00DD039A" w:rsidRPr="00CE1E04">
        <w:rPr>
          <w:rFonts w:ascii="Times New Roman" w:eastAsia="DFKai-SB" w:hAnsi="Times New Roman" w:cs="Times New Roman"/>
        </w:rPr>
        <w:t xml:space="preserve"> (4). Each areas was commented on </w:t>
      </w:r>
      <w:r w:rsidRPr="00CE1E04">
        <w:rPr>
          <w:rFonts w:ascii="Times New Roman" w:eastAsia="DFKai-SB" w:hAnsi="Times New Roman" w:cs="Times New Roman"/>
        </w:rPr>
        <w:t>greatly</w:t>
      </w:r>
      <w:r w:rsidR="00DD039A" w:rsidRPr="00CE1E04">
        <w:rPr>
          <w:rFonts w:ascii="Times New Roman" w:eastAsia="DFKai-SB" w:hAnsi="Times New Roman" w:cs="Times New Roman"/>
        </w:rPr>
        <w:t xml:space="preserve">, and although it is not possible to cite all of this here, one example </w:t>
      </w:r>
      <w:r w:rsidRPr="00CE1E04">
        <w:rPr>
          <w:rFonts w:ascii="Times New Roman" w:eastAsia="DFKai-SB" w:hAnsi="Times New Roman" w:cs="Times New Roman"/>
        </w:rPr>
        <w:t>was that</w:t>
      </w:r>
      <w:r w:rsidR="00DD039A" w:rsidRPr="00CE1E04">
        <w:rPr>
          <w:rFonts w:ascii="Times New Roman" w:eastAsia="DFKai-SB" w:hAnsi="Times New Roman" w:cs="Times New Roman"/>
        </w:rPr>
        <w:t xml:space="preserve">: </w:t>
      </w:r>
      <w:r w:rsidR="00DD039A" w:rsidRPr="00CE1E04">
        <w:rPr>
          <w:rFonts w:ascii="Times New Roman" w:eastAsia="DFKai-SB" w:hAnsi="Times New Roman" w:cs="Times New Roman"/>
          <w:i/>
        </w:rPr>
        <w:t>“(5) development investment. For example, we will review port’s geographic characteristics and nearby development conditions to plan feasible business according to different time periods for completion”</w:t>
      </w:r>
      <w:r w:rsidR="00DD039A" w:rsidRPr="00CE1E04">
        <w:rPr>
          <w:rFonts w:ascii="Times New Roman" w:eastAsia="DFKai-SB" w:hAnsi="Times New Roman" w:cs="Times New Roman"/>
        </w:rPr>
        <w:t>.</w:t>
      </w:r>
      <w:r w:rsidR="006952A6" w:rsidRPr="00CE1E04">
        <w:rPr>
          <w:rFonts w:ascii="Times New Roman" w:eastAsia="DFKai-SB" w:hAnsi="Times New Roman" w:cs="Times New Roman"/>
        </w:rPr>
        <w:t xml:space="preserve"> Notably, although there was a large degree of convergence, there were also elements (e.g. tourism) that were commented on by some experts but not others. What is clear is t</w:t>
      </w:r>
      <w:r w:rsidRPr="00CE1E04">
        <w:rPr>
          <w:rFonts w:ascii="Times New Roman" w:eastAsia="DFKai-SB" w:hAnsi="Times New Roman" w:cs="Times New Roman"/>
        </w:rPr>
        <w:t>hat all experts</w:t>
      </w:r>
      <w:r w:rsidR="006952A6" w:rsidRPr="00CE1E04">
        <w:rPr>
          <w:rFonts w:ascii="Times New Roman" w:eastAsia="DFKai-SB" w:hAnsi="Times New Roman" w:cs="Times New Roman"/>
        </w:rPr>
        <w:t xml:space="preserve"> had substantial</w:t>
      </w:r>
      <w:r w:rsidRPr="00CE1E04">
        <w:rPr>
          <w:rFonts w:ascii="Times New Roman" w:eastAsia="DFKai-SB" w:hAnsi="Times New Roman" w:cs="Times New Roman"/>
        </w:rPr>
        <w:t xml:space="preserve"> future</w:t>
      </w:r>
      <w:r w:rsidR="006952A6" w:rsidRPr="00CE1E04">
        <w:rPr>
          <w:rFonts w:ascii="Times New Roman" w:eastAsia="DFKai-SB" w:hAnsi="Times New Roman" w:cs="Times New Roman"/>
        </w:rPr>
        <w:t xml:space="preserve"> ambitions for Taiwan</w:t>
      </w:r>
      <w:r w:rsidRPr="00CE1E04">
        <w:rPr>
          <w:rFonts w:ascii="Times New Roman" w:eastAsia="DFKai-SB" w:hAnsi="Times New Roman" w:cs="Times New Roman"/>
        </w:rPr>
        <w:t>’s ports</w:t>
      </w:r>
      <w:r w:rsidR="006952A6" w:rsidRPr="00CE1E04">
        <w:rPr>
          <w:rFonts w:ascii="Times New Roman" w:eastAsia="DFKai-SB" w:hAnsi="Times New Roman" w:cs="Times New Roman"/>
        </w:rPr>
        <w:t>. It is also notable that one expert at least saw the extension of cluster cooperation with ports in China, thus suggesting cooperation rather than competition here. We would also note that such ambitions would only perhaps be achievable with a workforce fully onboard and commi</w:t>
      </w:r>
      <w:r w:rsidR="007C4CBC" w:rsidRPr="00CE1E04">
        <w:rPr>
          <w:rFonts w:ascii="Times New Roman" w:eastAsia="DFKai-SB" w:hAnsi="Times New Roman" w:cs="Times New Roman"/>
        </w:rPr>
        <w:t>tted to the development (cf. 4.2</w:t>
      </w:r>
      <w:r w:rsidR="006952A6" w:rsidRPr="00CE1E04">
        <w:rPr>
          <w:rFonts w:ascii="Times New Roman" w:eastAsia="DFKai-SB" w:hAnsi="Times New Roman" w:cs="Times New Roman"/>
        </w:rPr>
        <w:t>. above).</w:t>
      </w:r>
    </w:p>
    <w:p w14:paraId="1228A435" w14:textId="37D9F677" w:rsidR="0096428F" w:rsidRPr="00CE1E04" w:rsidRDefault="006952A6" w:rsidP="00354A0A">
      <w:pPr>
        <w:pStyle w:val="HTMLPreformatted"/>
        <w:tabs>
          <w:tab w:val="clear" w:pos="916"/>
        </w:tabs>
        <w:ind w:firstLineChars="100" w:firstLine="240"/>
        <w:jc w:val="both"/>
        <w:rPr>
          <w:rFonts w:ascii="Times New Roman" w:eastAsia="DFKai-SB" w:hAnsi="Times New Roman" w:cs="Times New Roman"/>
        </w:rPr>
      </w:pPr>
      <w:r w:rsidRPr="00CE1E04">
        <w:rPr>
          <w:rFonts w:ascii="Times New Roman" w:eastAsia="DFKai-SB" w:hAnsi="Times New Roman" w:cs="Times New Roman"/>
        </w:rPr>
        <w:t xml:space="preserve">Often, this diversification was </w:t>
      </w:r>
      <w:r w:rsidR="00CF7579" w:rsidRPr="00CE1E04">
        <w:rPr>
          <w:rFonts w:ascii="Times New Roman" w:eastAsia="DFKai-SB" w:hAnsi="Times New Roman" w:cs="Times New Roman"/>
        </w:rPr>
        <w:t>seen to operate alongside port-cluster</w:t>
      </w:r>
      <w:r w:rsidRPr="00CE1E04">
        <w:rPr>
          <w:rFonts w:ascii="Times New Roman" w:eastAsia="DFKai-SB" w:hAnsi="Times New Roman" w:cs="Times New Roman"/>
        </w:rPr>
        <w:t xml:space="preserve"> form</w:t>
      </w:r>
      <w:r w:rsidR="00CF7579" w:rsidRPr="00CE1E04">
        <w:rPr>
          <w:rFonts w:ascii="Times New Roman" w:eastAsia="DFKai-SB" w:hAnsi="Times New Roman" w:cs="Times New Roman"/>
        </w:rPr>
        <w:t>ation</w:t>
      </w:r>
      <w:r w:rsidRPr="00CE1E04">
        <w:rPr>
          <w:rFonts w:ascii="Times New Roman" w:eastAsia="DFKai-SB" w:hAnsi="Times New Roman" w:cs="Times New Roman"/>
        </w:rPr>
        <w:t>. For example</w:t>
      </w:r>
      <w:r w:rsidRPr="00CE1E04">
        <w:rPr>
          <w:rFonts w:ascii="Times New Roman" w:hAnsi="Times New Roman" w:cs="Times New Roman"/>
        </w:rPr>
        <w:t xml:space="preserve">: </w:t>
      </w:r>
      <w:r w:rsidRPr="00CE1E04">
        <w:rPr>
          <w:rFonts w:ascii="Times New Roman" w:hAnsi="Times New Roman" w:cs="Times New Roman"/>
          <w:i/>
        </w:rPr>
        <w:t>“with regard to port integration planning and positioning for each port, maybe there needs to be 1~2 key tasks for each port. Too many task items would result in a port lacking unique characteristics</w:t>
      </w:r>
      <w:r w:rsidR="00CF7579" w:rsidRPr="00CE1E04">
        <w:rPr>
          <w:rFonts w:ascii="Times New Roman" w:hAnsi="Times New Roman" w:cs="Times New Roman"/>
          <w:i/>
        </w:rPr>
        <w:t>.</w:t>
      </w:r>
      <w:r w:rsidRPr="00CE1E04">
        <w:rPr>
          <w:rFonts w:ascii="Times New Roman" w:hAnsi="Times New Roman" w:cs="Times New Roman"/>
          <w:i/>
        </w:rPr>
        <w:t>”</w:t>
      </w:r>
      <w:r w:rsidR="00CF7579" w:rsidRPr="00CE1E04">
        <w:rPr>
          <w:rFonts w:ascii="Times New Roman" w:hAnsi="Times New Roman" w:cs="Times New Roman"/>
        </w:rPr>
        <w:t xml:space="preserve"> </w:t>
      </w:r>
      <w:r w:rsidRPr="00CE1E04">
        <w:rPr>
          <w:rFonts w:ascii="Times New Roman" w:hAnsi="Times New Roman" w:cs="Times New Roman"/>
        </w:rPr>
        <w:t xml:space="preserve">Sometimes, experts also forwarded views on which tasks could be assigned to which ports, for example that </w:t>
      </w:r>
      <w:r w:rsidRPr="00CE1E04">
        <w:rPr>
          <w:rFonts w:ascii="Times New Roman" w:hAnsi="Times New Roman" w:cs="Times New Roman"/>
          <w:i/>
        </w:rPr>
        <w:t>“</w:t>
      </w:r>
      <w:r w:rsidRPr="00CE1E04">
        <w:rPr>
          <w:rFonts w:ascii="Times New Roman" w:eastAsia="DFKai-SB" w:hAnsi="Times New Roman" w:cs="Times New Roman"/>
          <w:i/>
        </w:rPr>
        <w:t>I think Keelung port should develop itself into a short sea shipping and leisure port. Taipei port should be positioned as a transhipment hub for deep sea shipping in order to supplement the shortcomings of water depth in the other ports</w:t>
      </w:r>
      <w:r w:rsidR="00CF7579" w:rsidRPr="00CE1E04">
        <w:rPr>
          <w:rFonts w:ascii="Times New Roman" w:eastAsia="DFKai-SB" w:hAnsi="Times New Roman" w:cs="Times New Roman"/>
          <w:i/>
        </w:rPr>
        <w:t>.</w:t>
      </w:r>
      <w:r w:rsidRPr="00CE1E04">
        <w:rPr>
          <w:rFonts w:ascii="Times New Roman" w:eastAsia="DFKai-SB" w:hAnsi="Times New Roman" w:cs="Times New Roman"/>
          <w:i/>
        </w:rPr>
        <w:t>”</w:t>
      </w:r>
      <w:r w:rsidR="00CF7579" w:rsidRPr="00CE1E04">
        <w:rPr>
          <w:rFonts w:ascii="Times New Roman" w:eastAsia="DFKai-SB" w:hAnsi="Times New Roman" w:cs="Times New Roman"/>
          <w:i/>
        </w:rPr>
        <w:t xml:space="preserve"> </w:t>
      </w:r>
      <w:r w:rsidR="00CF7579" w:rsidRPr="00CE1E04">
        <w:rPr>
          <w:rFonts w:ascii="Times New Roman" w:eastAsia="DFKai-SB" w:hAnsi="Times New Roman" w:cs="Times New Roman"/>
        </w:rPr>
        <w:t xml:space="preserve">Similarly: </w:t>
      </w:r>
      <w:r w:rsidR="008D0366" w:rsidRPr="00CE1E04">
        <w:rPr>
          <w:rFonts w:ascii="Times New Roman" w:eastAsia="DFKai-SB" w:hAnsi="Times New Roman" w:cs="Times New Roman"/>
          <w:i/>
          <w:kern w:val="2"/>
        </w:rPr>
        <w:t>“</w:t>
      </w:r>
      <w:r w:rsidR="008D0366" w:rsidRPr="00CE1E04">
        <w:rPr>
          <w:rFonts w:ascii="Times New Roman" w:hAnsi="Times New Roman" w:cs="Times New Roman"/>
          <w:i/>
        </w:rPr>
        <w:t>under the principle of separation of administration and business management, I think the TIPC should focus on creative businesses and not play the general management role. A future goal should be to let each branch have full autonomy to work. For example, Kaohsiung port should take charge of port business affairs and Keelung port should take charge of engineering planning. Such an approach would reduce much needless repetition of resources</w:t>
      </w:r>
      <w:r w:rsidR="00CF7579" w:rsidRPr="00CE1E04">
        <w:rPr>
          <w:rFonts w:ascii="Times New Roman" w:hAnsi="Times New Roman" w:cs="Times New Roman"/>
          <w:i/>
        </w:rPr>
        <w:t>.</w:t>
      </w:r>
      <w:r w:rsidR="008D0366" w:rsidRPr="00CE1E04">
        <w:rPr>
          <w:rFonts w:ascii="Times New Roman" w:hAnsi="Times New Roman" w:cs="Times New Roman"/>
          <w:i/>
        </w:rPr>
        <w:t>”</w:t>
      </w:r>
      <w:r w:rsidR="008D0366" w:rsidRPr="00CE1E04">
        <w:rPr>
          <w:rFonts w:ascii="Times New Roman" w:hAnsi="Times New Roman" w:cs="Times New Roman"/>
        </w:rPr>
        <w:t xml:space="preserve"> </w:t>
      </w:r>
      <w:r w:rsidR="00CF7579" w:rsidRPr="00CE1E04">
        <w:rPr>
          <w:rFonts w:ascii="Times New Roman" w:eastAsia="DFKai-SB" w:hAnsi="Times New Roman" w:cs="Times New Roman"/>
        </w:rPr>
        <w:t>There was thus a feeling that future diversification is part of the strategy of port-cluster formation, and that this strategy complements and helps extend the principle of working together in order to compete (cf. Brunsson, 2002).</w:t>
      </w:r>
    </w:p>
    <w:p w14:paraId="52FD70A8" w14:textId="645A07FF" w:rsidR="007C4CBC" w:rsidRPr="00CE1E04" w:rsidRDefault="00CF7579" w:rsidP="006D5023">
      <w:pPr>
        <w:pStyle w:val="HTMLPreformatted"/>
        <w:ind w:firstLineChars="100" w:firstLine="240"/>
        <w:jc w:val="both"/>
        <w:rPr>
          <w:rFonts w:ascii="Times New Roman" w:eastAsia="DFKai-SB" w:hAnsi="Times New Roman" w:cs="Times New Roman"/>
        </w:rPr>
      </w:pPr>
      <w:r w:rsidRPr="00CE1E04">
        <w:rPr>
          <w:rFonts w:ascii="Times New Roman" w:eastAsia="DFKai-SB" w:hAnsi="Times New Roman" w:cs="Times New Roman"/>
        </w:rPr>
        <w:t>With regard to the further implementation and development of port</w:t>
      </w:r>
      <w:r w:rsidR="00A72CFD" w:rsidRPr="00CE1E04">
        <w:rPr>
          <w:rFonts w:ascii="Times New Roman" w:eastAsia="DFKai-SB" w:hAnsi="Times New Roman" w:cs="Times New Roman"/>
        </w:rPr>
        <w:t xml:space="preserve"> reform, what is notable here is that to date (as of March 2016) the reform (of 2012) has not yet been implemented</w:t>
      </w:r>
      <w:r w:rsidR="00A72CFD" w:rsidRPr="00CE1E04">
        <w:rPr>
          <w:rFonts w:ascii="Times New Roman" w:hAnsi="Times New Roman" w:cs="Times New Roman"/>
        </w:rPr>
        <w:t xml:space="preserve">: </w:t>
      </w:r>
      <w:r w:rsidR="00A72CFD" w:rsidRPr="00CE1E04">
        <w:rPr>
          <w:rFonts w:ascii="Times New Roman" w:hAnsi="Times New Roman" w:cs="Times New Roman"/>
          <w:i/>
        </w:rPr>
        <w:t>“</w:t>
      </w:r>
      <w:r w:rsidR="00A72CFD" w:rsidRPr="00CE1E04">
        <w:rPr>
          <w:rFonts w:ascii="Times New Roman" w:eastAsia="DFKai-SB" w:hAnsi="Times New Roman" w:cs="Times New Roman"/>
          <w:i/>
        </w:rPr>
        <w:t xml:space="preserve">The organisation law for the MPB has not yet been officially promulgated. The MPB made an amendment to the provisional organisation regulations on January 1, 2013, and adopted the civil service employee system. The original personnel system, however, is still applicable to the staff of transportation and information administration and customs. The amended provisional organisation regulations have been submitted to the Executive Yuan for approval and the Examination Yuan for filing. The related posts are being classified for civil service ranking and recruitment is still on going.” </w:t>
      </w:r>
      <w:r w:rsidR="00A72CFD" w:rsidRPr="00CE1E04">
        <w:rPr>
          <w:rFonts w:ascii="Times New Roman" w:eastAsia="DFKai-SB" w:hAnsi="Times New Roman" w:cs="Times New Roman"/>
        </w:rPr>
        <w:t xml:space="preserve">Arguably, such an approach of slow implementation allows for the new reforms to be introduced gradually and slowly. Taiwan can therefore benefit from saying it has created a reform but in actual fact introducing it slowly (cf. Brunsson, 2002). Such an approach also has the advantage that Taiwan can see how the reform is received and how it transpires, and also consider ways in which it can be extended and developed. In particular, experts felt the TIPC’s role could be extended and developed. For example, one expert commented that </w:t>
      </w:r>
      <w:r w:rsidR="00A72CFD" w:rsidRPr="00CE1E04">
        <w:rPr>
          <w:rFonts w:ascii="Times New Roman" w:hAnsi="Times New Roman" w:cs="Times New Roman"/>
          <w:i/>
        </w:rPr>
        <w:t>“first, the TIPC should strengthen its internal control system and company management mechanism. It should add more flexibility and safer designs to suit the international competition environment. Second, the necessary company information should be made public on the website, such as company management, financial performance and company governance. Third, it should protect the rights of stakeholders, including company employees, local government, customers, cooperative partners and residents who live near the port.”</w:t>
      </w:r>
      <w:r w:rsidR="00A72CFD" w:rsidRPr="00CE1E04">
        <w:rPr>
          <w:rFonts w:ascii="Times New Roman" w:hAnsi="Times New Roman" w:cs="Times New Roman"/>
        </w:rPr>
        <w:t xml:space="preserve"> </w:t>
      </w:r>
      <w:r w:rsidR="00A72CFD" w:rsidRPr="00CE1E04">
        <w:rPr>
          <w:rFonts w:ascii="Times New Roman" w:eastAsia="DFKai-SB" w:hAnsi="Times New Roman" w:cs="Times New Roman"/>
        </w:rPr>
        <w:t xml:space="preserve">Another interviewee commented on how the TIPC could play a role in driving decentralization further forward: </w:t>
      </w:r>
      <w:r w:rsidR="00A72CFD" w:rsidRPr="00CE1E04">
        <w:rPr>
          <w:rFonts w:ascii="Times New Roman" w:eastAsia="DFKai-SB" w:hAnsi="Times New Roman" w:cs="Times New Roman"/>
          <w:i/>
        </w:rPr>
        <w:t>“the TIPC should consider the usage efficiency of integral port resources. I think it could consider to make partial port businesses adjust to be “joint venture by private enterprises”. This means the TIPC establish branches which the governmental stocks is less than 50% and cooperate with private enterprises. Therefore, it could rely on the supply from private business efficiency and flexibility to achieve win-win target. However, such a process needs help from the Ministry of Transportation and Communication”</w:t>
      </w:r>
      <w:r w:rsidR="00A72CFD" w:rsidRPr="00CE1E04">
        <w:rPr>
          <w:rFonts w:ascii="Times New Roman" w:eastAsia="DFKai-SB" w:hAnsi="Times New Roman" w:cs="Times New Roman"/>
        </w:rPr>
        <w:t xml:space="preserve">. </w:t>
      </w:r>
      <w:r w:rsidR="007B1509" w:rsidRPr="00CE1E04">
        <w:rPr>
          <w:rFonts w:ascii="Times New Roman" w:eastAsia="DFKai-SB" w:hAnsi="Times New Roman" w:cs="Times New Roman"/>
        </w:rPr>
        <w:t>Nevertheless, again there was the idea expressed that governmental control and monitoring still needed to be maintained even with driving further ahead. For example, that the TIPC needed to be monitored by the MTC</w:t>
      </w:r>
      <w:r w:rsidR="007B1509" w:rsidRPr="00CE1E04">
        <w:rPr>
          <w:rFonts w:ascii="Times New Roman" w:hAnsi="Times New Roman" w:cs="Times New Roman"/>
        </w:rPr>
        <w:t xml:space="preserve">: </w:t>
      </w:r>
      <w:r w:rsidR="007B1509" w:rsidRPr="00CE1E04">
        <w:rPr>
          <w:rFonts w:ascii="Times New Roman" w:eastAsia="DFKai-SB" w:hAnsi="Times New Roman" w:cs="Times New Roman"/>
          <w:i/>
        </w:rPr>
        <w:t>“for the MTC, in order for it to effectively monitor the TIPC, it should consider “legitimacy” and “appropriateness”. Legitimacy is a legal duty to manage Taiwan’s ports and it is based on its founding law which included “The Commercial Port Law” and “The Taiwan International Ports Corporation, Ltd. Establishment Act” and related laws.”</w:t>
      </w:r>
      <w:r w:rsidR="007B1509" w:rsidRPr="00CE1E04">
        <w:rPr>
          <w:rFonts w:ascii="Times New Roman" w:eastAsia="DFKai-SB" w:hAnsi="Times New Roman" w:cs="Times New Roman"/>
        </w:rPr>
        <w:t xml:space="preserve"> Thus, definitions and understandings were very much placed in a Taiwan specific understanding of governance (cf. Vieira et al.</w:t>
      </w:r>
      <w:r w:rsidR="004B51F1" w:rsidRPr="00CE1E04">
        <w:rPr>
          <w:rFonts w:ascii="Times New Roman" w:eastAsia="DFKai-SB" w:hAnsi="Times New Roman" w:cs="Times New Roman"/>
        </w:rPr>
        <w:t>,</w:t>
      </w:r>
      <w:r w:rsidR="007B1509" w:rsidRPr="00CE1E04">
        <w:rPr>
          <w:rFonts w:ascii="Times New Roman" w:eastAsia="DFKai-SB" w:hAnsi="Times New Roman" w:cs="Times New Roman"/>
        </w:rPr>
        <w:t xml:space="preserve"> 2014) although more standard approaches to measuring performance in economic terms (cf. Talley, 2006) were also used.</w:t>
      </w:r>
    </w:p>
    <w:p w14:paraId="0C725C83" w14:textId="77777777" w:rsidR="00951AE2" w:rsidRPr="00CE1E04" w:rsidRDefault="00951AE2" w:rsidP="00F65618">
      <w:pPr>
        <w:pStyle w:val="HTMLPreformatted"/>
        <w:rPr>
          <w:rFonts w:ascii="Times New Roman" w:hAnsi="Times New Roman" w:cs="Times New Roman"/>
        </w:rPr>
      </w:pPr>
    </w:p>
    <w:p w14:paraId="1A53CBC8" w14:textId="07C86C0C" w:rsidR="00951AE2" w:rsidRPr="00CE1E04" w:rsidRDefault="00951AE2" w:rsidP="007C3563">
      <w:pPr>
        <w:pStyle w:val="ListParagraph"/>
        <w:numPr>
          <w:ilvl w:val="0"/>
          <w:numId w:val="1"/>
        </w:numPr>
        <w:ind w:leftChars="0"/>
        <w:jc w:val="both"/>
        <w:rPr>
          <w:rFonts w:ascii="Times New Roman" w:hAnsi="Times New Roman" w:cs="Times New Roman"/>
          <w:b/>
          <w:szCs w:val="24"/>
        </w:rPr>
      </w:pPr>
      <w:r w:rsidRPr="00CE1E04">
        <w:rPr>
          <w:rFonts w:ascii="Times New Roman" w:hAnsi="Times New Roman" w:cs="Times New Roman"/>
          <w:b/>
          <w:szCs w:val="24"/>
        </w:rPr>
        <w:t>Discussion and Conclusions</w:t>
      </w:r>
    </w:p>
    <w:p w14:paraId="5AD58E31" w14:textId="6E9C5114" w:rsidR="0096428F" w:rsidRPr="00CE1E04" w:rsidRDefault="00A257CE" w:rsidP="009F5E1C">
      <w:pPr>
        <w:jc w:val="both"/>
        <w:rPr>
          <w:rFonts w:ascii="Times New Roman" w:hAnsi="Times New Roman" w:cs="Times New Roman"/>
          <w:szCs w:val="24"/>
        </w:rPr>
      </w:pPr>
      <w:r w:rsidRPr="00CE1E04">
        <w:rPr>
          <w:rFonts w:ascii="Times New Roman" w:hAnsi="Times New Roman" w:cs="Times New Roman"/>
          <w:szCs w:val="24"/>
        </w:rPr>
        <w:t xml:space="preserve">  </w:t>
      </w:r>
      <w:r w:rsidR="009A0211" w:rsidRPr="00CE1E04">
        <w:rPr>
          <w:rFonts w:ascii="Times New Roman" w:hAnsi="Times New Roman" w:cs="Times New Roman"/>
          <w:szCs w:val="24"/>
        </w:rPr>
        <w:t>The results from our interviews show that Taiwan’s current approaches to port governance, and its future direction in port governance both resonate in many ways with the themes in the literature but also reveal many unique characteristics at the same time. Taiwan is indeed heading down the road to greater devolution</w:t>
      </w:r>
      <w:r w:rsidR="009E5D26" w:rsidRPr="00CE1E04">
        <w:rPr>
          <w:rFonts w:ascii="Times New Roman" w:hAnsi="Times New Roman" w:cs="Times New Roman"/>
          <w:szCs w:val="24"/>
        </w:rPr>
        <w:t>,</w:t>
      </w:r>
      <w:r w:rsidR="009A0211" w:rsidRPr="00CE1E04">
        <w:rPr>
          <w:rFonts w:ascii="Times New Roman" w:hAnsi="Times New Roman" w:cs="Times New Roman"/>
          <w:szCs w:val="24"/>
        </w:rPr>
        <w:t xml:space="preserve"> and the landlord model (World Bank, 2007) was indeed mentioned in our data. Nevertheless</w:t>
      </w:r>
      <w:r w:rsidR="009F6A48" w:rsidRPr="00CE1E04">
        <w:rPr>
          <w:rFonts w:ascii="Times New Roman" w:hAnsi="Times New Roman" w:cs="Times New Roman"/>
          <w:szCs w:val="24"/>
        </w:rPr>
        <w:t xml:space="preserve">, Taiwan’s introduction of these initiatives is </w:t>
      </w:r>
      <w:r w:rsidR="009E5D26" w:rsidRPr="00CE1E04">
        <w:rPr>
          <w:rFonts w:ascii="Times New Roman" w:hAnsi="Times New Roman" w:cs="Times New Roman"/>
          <w:szCs w:val="24"/>
        </w:rPr>
        <w:t xml:space="preserve">happening </w:t>
      </w:r>
      <w:r w:rsidR="009F6A48" w:rsidRPr="00CE1E04">
        <w:rPr>
          <w:rFonts w:ascii="Times New Roman" w:hAnsi="Times New Roman" w:cs="Times New Roman"/>
          <w:szCs w:val="24"/>
        </w:rPr>
        <w:t xml:space="preserve">very much later than </w:t>
      </w:r>
      <w:r w:rsidR="009E5D26" w:rsidRPr="00CE1E04">
        <w:rPr>
          <w:rFonts w:ascii="Times New Roman" w:hAnsi="Times New Roman" w:cs="Times New Roman"/>
          <w:szCs w:val="24"/>
        </w:rPr>
        <w:t xml:space="preserve">in </w:t>
      </w:r>
      <w:r w:rsidR="009F6A48" w:rsidRPr="00CE1E04">
        <w:rPr>
          <w:rFonts w:ascii="Times New Roman" w:hAnsi="Times New Roman" w:cs="Times New Roman"/>
          <w:szCs w:val="24"/>
        </w:rPr>
        <w:t>other parts of the world (e.g. Italy in 1994 (Ferrari and Musso, 2011); China in 2004 (Cullinane and Wang, 2006a)), and its introduction of them is arguably much less complete than in other parts of the world (e.g. the UK (Baird and Valentine, 2006). Indeed, in Taiwan, the approach is very much one</w:t>
      </w:r>
      <w:r w:rsidR="004619B6" w:rsidRPr="00CE1E04">
        <w:rPr>
          <w:rFonts w:ascii="Times New Roman" w:hAnsi="Times New Roman" w:cs="Times New Roman"/>
          <w:szCs w:val="24"/>
        </w:rPr>
        <w:t xml:space="preserve"> of</w:t>
      </w:r>
      <w:r w:rsidR="009F6A48" w:rsidRPr="00CE1E04">
        <w:rPr>
          <w:rFonts w:ascii="Times New Roman" w:hAnsi="Times New Roman" w:cs="Times New Roman"/>
          <w:szCs w:val="24"/>
        </w:rPr>
        <w:t xml:space="preserve"> reform</w:t>
      </w:r>
      <w:r w:rsidR="004619B6" w:rsidRPr="00CE1E04">
        <w:rPr>
          <w:rFonts w:ascii="Times New Roman" w:hAnsi="Times New Roman" w:cs="Times New Roman"/>
          <w:szCs w:val="24"/>
        </w:rPr>
        <w:t>ing</w:t>
      </w:r>
      <w:r w:rsidR="009F6A48" w:rsidRPr="00CE1E04">
        <w:rPr>
          <w:rFonts w:ascii="Times New Roman" w:hAnsi="Times New Roman" w:cs="Times New Roman"/>
          <w:szCs w:val="24"/>
        </w:rPr>
        <w:t xml:space="preserve"> to increase the private element of port governance, but retain</w:t>
      </w:r>
      <w:r w:rsidR="004619B6" w:rsidRPr="00CE1E04">
        <w:rPr>
          <w:rFonts w:ascii="Times New Roman" w:hAnsi="Times New Roman" w:cs="Times New Roman"/>
          <w:szCs w:val="24"/>
        </w:rPr>
        <w:t>ing</w:t>
      </w:r>
      <w:r w:rsidR="009F6A48" w:rsidRPr="00CE1E04">
        <w:rPr>
          <w:rFonts w:ascii="Times New Roman" w:hAnsi="Times New Roman" w:cs="Times New Roman"/>
          <w:szCs w:val="24"/>
        </w:rPr>
        <w:t xml:space="preserve"> public governmental control. In other words, it is saying one thing, but acting in another, in a form of hypocrisy (cf. Brunsson, 2002). Arguably, however, this </w:t>
      </w:r>
      <w:r w:rsidR="0050454A" w:rsidRPr="00CE1E04">
        <w:rPr>
          <w:rFonts w:ascii="Times New Roman" w:hAnsi="Times New Roman" w:cs="Times New Roman"/>
          <w:szCs w:val="24"/>
        </w:rPr>
        <w:t>approach</w:t>
      </w:r>
      <w:r w:rsidR="009F6A48" w:rsidRPr="00CE1E04">
        <w:rPr>
          <w:rFonts w:ascii="Times New Roman" w:hAnsi="Times New Roman" w:cs="Times New Roman"/>
          <w:szCs w:val="24"/>
        </w:rPr>
        <w:t xml:space="preserve"> is allowing Taiwan to work through a dilemma in its port governance. It clearly needs to reform its port governance in the light of a drop in income and profitability, but to break completely with its past would be too severe an action, and so an approach that incorporates a degree of hypocrisy allows it to act with flexibility (Brunsson, 2002). Indeed, as has been noted </w:t>
      </w:r>
      <w:r w:rsidR="00F61C67" w:rsidRPr="00CE1E04">
        <w:rPr>
          <w:rFonts w:ascii="Times New Roman" w:hAnsi="Times New Roman" w:cs="Times New Roman"/>
          <w:szCs w:val="24"/>
        </w:rPr>
        <w:t xml:space="preserve">elsewhere, Taiwan has a need to recruit younger employees in its port governance who have the necessary work ethic (Chiu and Yen, 2015). Our data here expands somewhat on this and highlights the fact that this </w:t>
      </w:r>
      <w:r w:rsidR="00A72CFD" w:rsidRPr="00CE1E04">
        <w:rPr>
          <w:rFonts w:ascii="Times New Roman" w:hAnsi="Times New Roman" w:cs="Times New Roman"/>
          <w:szCs w:val="24"/>
        </w:rPr>
        <w:t>change in personnel should be seen as part of a wider holistic picture of the success of the port reform as a whole</w:t>
      </w:r>
      <w:r w:rsidR="00F61C67" w:rsidRPr="00CE1E04">
        <w:rPr>
          <w:rFonts w:ascii="Times New Roman" w:hAnsi="Times New Roman" w:cs="Times New Roman"/>
          <w:szCs w:val="24"/>
        </w:rPr>
        <w:t xml:space="preserve">. By moving </w:t>
      </w:r>
      <w:r w:rsidR="0050454A" w:rsidRPr="00CE1E04">
        <w:rPr>
          <w:rFonts w:ascii="Times New Roman" w:hAnsi="Times New Roman" w:cs="Times New Roman"/>
          <w:szCs w:val="24"/>
        </w:rPr>
        <w:t>in this way</w:t>
      </w:r>
      <w:r w:rsidR="00F61C67" w:rsidRPr="00CE1E04">
        <w:rPr>
          <w:rFonts w:ascii="Times New Roman" w:hAnsi="Times New Roman" w:cs="Times New Roman"/>
          <w:szCs w:val="24"/>
        </w:rPr>
        <w:t xml:space="preserve">, and espousing the need for the private yet retaining some of the public, Taiwan </w:t>
      </w:r>
      <w:r w:rsidR="00E028A4" w:rsidRPr="00CE1E04">
        <w:rPr>
          <w:rFonts w:ascii="Times New Roman" w:hAnsi="Times New Roman" w:cs="Times New Roman"/>
          <w:szCs w:val="24"/>
        </w:rPr>
        <w:t>has the flexibility to do this. It means it can retain its older employees and transfer their experience to the younger generation</w:t>
      </w:r>
      <w:r w:rsidR="004619B6" w:rsidRPr="00CE1E04">
        <w:rPr>
          <w:rFonts w:ascii="Times New Roman" w:hAnsi="Times New Roman" w:cs="Times New Roman"/>
          <w:szCs w:val="24"/>
        </w:rPr>
        <w:t>;</w:t>
      </w:r>
      <w:r w:rsidR="00E028A4" w:rsidRPr="00CE1E04">
        <w:rPr>
          <w:rFonts w:ascii="Times New Roman" w:hAnsi="Times New Roman" w:cs="Times New Roman"/>
          <w:szCs w:val="24"/>
        </w:rPr>
        <w:t xml:space="preserve"> it means it can continue to reform but retain much of its old system</w:t>
      </w:r>
      <w:r w:rsidR="004619B6" w:rsidRPr="00CE1E04">
        <w:rPr>
          <w:rFonts w:ascii="Times New Roman" w:hAnsi="Times New Roman" w:cs="Times New Roman"/>
          <w:szCs w:val="24"/>
        </w:rPr>
        <w:t>; and</w:t>
      </w:r>
      <w:r w:rsidR="00E028A4" w:rsidRPr="00CE1E04">
        <w:rPr>
          <w:rFonts w:ascii="Times New Roman" w:hAnsi="Times New Roman" w:cs="Times New Roman"/>
          <w:szCs w:val="24"/>
        </w:rPr>
        <w:t xml:space="preserve"> it </w:t>
      </w:r>
      <w:r w:rsidR="004619B6" w:rsidRPr="00CE1E04">
        <w:rPr>
          <w:rFonts w:ascii="Times New Roman" w:hAnsi="Times New Roman" w:cs="Times New Roman"/>
          <w:szCs w:val="24"/>
        </w:rPr>
        <w:t xml:space="preserve">means it </w:t>
      </w:r>
      <w:r w:rsidR="00E028A4" w:rsidRPr="00CE1E04">
        <w:rPr>
          <w:rFonts w:ascii="Times New Roman" w:hAnsi="Times New Roman" w:cs="Times New Roman"/>
          <w:szCs w:val="24"/>
        </w:rPr>
        <w:t>can change but do so without the need for revolutionary changes.</w:t>
      </w:r>
    </w:p>
    <w:p w14:paraId="4DBCD7D3" w14:textId="7686E967" w:rsidR="0096428F" w:rsidRPr="00CE1E04" w:rsidRDefault="00A257CE" w:rsidP="00A257CE">
      <w:pPr>
        <w:jc w:val="both"/>
        <w:rPr>
          <w:rFonts w:ascii="Times New Roman" w:hAnsi="Times New Roman" w:cs="Times New Roman"/>
        </w:rPr>
      </w:pPr>
      <w:r w:rsidRPr="00CE1E04">
        <w:rPr>
          <w:rFonts w:ascii="Times New Roman" w:hAnsi="Times New Roman" w:cs="Times New Roman"/>
          <w:szCs w:val="24"/>
        </w:rPr>
        <w:t xml:space="preserve">  </w:t>
      </w:r>
      <w:r w:rsidR="00F61C67" w:rsidRPr="00CE1E04">
        <w:rPr>
          <w:rFonts w:ascii="Times New Roman" w:hAnsi="Times New Roman" w:cs="Times New Roman"/>
          <w:szCs w:val="24"/>
        </w:rPr>
        <w:t>Such a flexibility can be seen in the future directions our interviewees talked about and in the fact that the reform law is still being promulgated</w:t>
      </w:r>
      <w:r w:rsidR="00A72CFD" w:rsidRPr="00CE1E04">
        <w:rPr>
          <w:rFonts w:ascii="Times New Roman" w:hAnsi="Times New Roman" w:cs="Times New Roman"/>
          <w:szCs w:val="24"/>
        </w:rPr>
        <w:t>, and of how it can be extended</w:t>
      </w:r>
      <w:r w:rsidR="00F61C67" w:rsidRPr="00CE1E04">
        <w:rPr>
          <w:rFonts w:ascii="Times New Roman" w:hAnsi="Times New Roman" w:cs="Times New Roman"/>
          <w:szCs w:val="24"/>
        </w:rPr>
        <w:t>. Our interviewees talked about the need for Taiwan to avoid the danger that its ports would be too competitive with each other (cf Iberia (</w:t>
      </w:r>
      <w:r w:rsidR="00F61C67" w:rsidRPr="00CE1E04">
        <w:rPr>
          <w:rFonts w:ascii="Times New Roman" w:hAnsi="Times New Roman" w:cs="Times New Roman"/>
        </w:rPr>
        <w:t>Castillo-Manzano and Asencio-Flores, 2012)) and that they must cooperate with each other and possibly with other ports in China (cf. Wang et al</w:t>
      </w:r>
      <w:r w:rsidR="00F77518" w:rsidRPr="00CE1E04">
        <w:rPr>
          <w:rFonts w:ascii="Times New Roman" w:hAnsi="Times New Roman" w:cs="Times New Roman"/>
        </w:rPr>
        <w:t>.</w:t>
      </w:r>
      <w:r w:rsidR="00F61C67" w:rsidRPr="00CE1E04">
        <w:rPr>
          <w:rFonts w:ascii="Times New Roman" w:hAnsi="Times New Roman" w:cs="Times New Roman"/>
        </w:rPr>
        <w:t>, 2012). They also talked of the need to diversify, to become more private, and to expand business into other areas</w:t>
      </w:r>
      <w:r w:rsidR="004619B6" w:rsidRPr="00CE1E04">
        <w:rPr>
          <w:rFonts w:ascii="Times New Roman" w:hAnsi="Times New Roman" w:cs="Times New Roman"/>
        </w:rPr>
        <w:t>, and</w:t>
      </w:r>
      <w:r w:rsidR="00F61C67" w:rsidRPr="00CE1E04">
        <w:rPr>
          <w:rFonts w:ascii="Times New Roman" w:hAnsi="Times New Roman" w:cs="Times New Roman"/>
        </w:rPr>
        <w:t xml:space="preserve"> of the fact that the organi</w:t>
      </w:r>
      <w:r w:rsidR="00CA01F6" w:rsidRPr="00CE1E04">
        <w:rPr>
          <w:rFonts w:ascii="Times New Roman" w:hAnsi="Times New Roman" w:cs="Times New Roman"/>
        </w:rPr>
        <w:t>s</w:t>
      </w:r>
      <w:r w:rsidR="00F61C67" w:rsidRPr="00CE1E04">
        <w:rPr>
          <w:rFonts w:ascii="Times New Roman" w:hAnsi="Times New Roman" w:cs="Times New Roman"/>
        </w:rPr>
        <w:t xml:space="preserve">ation law for the MPB had not </w:t>
      </w:r>
      <w:r w:rsidR="004619B6" w:rsidRPr="00CE1E04">
        <w:rPr>
          <w:rFonts w:ascii="Times New Roman" w:hAnsi="Times New Roman" w:cs="Times New Roman"/>
        </w:rPr>
        <w:t xml:space="preserve">yet </w:t>
      </w:r>
      <w:r w:rsidR="00F61C67" w:rsidRPr="00CE1E04">
        <w:rPr>
          <w:rFonts w:ascii="Times New Roman" w:hAnsi="Times New Roman" w:cs="Times New Roman"/>
        </w:rPr>
        <w:t>been promulgated. In other words, our interviewees talked at length about a number of elements that they would like to occur in the future</w:t>
      </w:r>
      <w:r w:rsidR="004619B6" w:rsidRPr="00CE1E04">
        <w:rPr>
          <w:rFonts w:ascii="Times New Roman" w:hAnsi="Times New Roman" w:cs="Times New Roman"/>
        </w:rPr>
        <w:t>,</w:t>
      </w:r>
      <w:r w:rsidR="00F61C67" w:rsidRPr="00CE1E04">
        <w:rPr>
          <w:rFonts w:ascii="Times New Roman" w:hAnsi="Times New Roman" w:cs="Times New Roman"/>
        </w:rPr>
        <w:t xml:space="preserve"> </w:t>
      </w:r>
      <w:r w:rsidR="004619B6" w:rsidRPr="00CE1E04">
        <w:rPr>
          <w:rFonts w:ascii="Times New Roman" w:hAnsi="Times New Roman" w:cs="Times New Roman"/>
        </w:rPr>
        <w:t>yet elements</w:t>
      </w:r>
      <w:r w:rsidR="00F61C67" w:rsidRPr="00CE1E04">
        <w:rPr>
          <w:rFonts w:ascii="Times New Roman" w:hAnsi="Times New Roman" w:cs="Times New Roman"/>
        </w:rPr>
        <w:t xml:space="preserve"> which were specifically those that the port reform of 2012 intended to create. Thus, the reform of 2012 represents a stage in an ongoing and evolving process.</w:t>
      </w:r>
    </w:p>
    <w:p w14:paraId="60B09450" w14:textId="1387AD95" w:rsidR="0096428F" w:rsidRPr="00CE1E04" w:rsidRDefault="00A257CE" w:rsidP="00A257CE">
      <w:pPr>
        <w:jc w:val="both"/>
        <w:rPr>
          <w:rFonts w:ascii="Times New Roman" w:hAnsi="Times New Roman" w:cs="Times New Roman"/>
        </w:rPr>
      </w:pPr>
      <w:r w:rsidRPr="00CE1E04">
        <w:rPr>
          <w:rFonts w:ascii="Times New Roman" w:hAnsi="Times New Roman" w:cs="Times New Roman"/>
        </w:rPr>
        <w:t xml:space="preserve">  </w:t>
      </w:r>
      <w:r w:rsidR="004619B6" w:rsidRPr="00CE1E04">
        <w:rPr>
          <w:rFonts w:ascii="Times New Roman" w:hAnsi="Times New Roman" w:cs="Times New Roman"/>
        </w:rPr>
        <w:t>On the other hand, however</w:t>
      </w:r>
      <w:r w:rsidR="00731ADC" w:rsidRPr="00CE1E04">
        <w:rPr>
          <w:rFonts w:ascii="Times New Roman" w:hAnsi="Times New Roman" w:cs="Times New Roman"/>
        </w:rPr>
        <w:t xml:space="preserve">, our data also show that such a strategy, whether conscious or not, is not without its risks. </w:t>
      </w:r>
      <w:r w:rsidR="00B40234" w:rsidRPr="00CE1E04">
        <w:rPr>
          <w:rFonts w:ascii="Times New Roman" w:hAnsi="Times New Roman" w:cs="Times New Roman"/>
        </w:rPr>
        <w:t>Ironically, although the use of hypocrisy has allowed Taiwan to move ahead in this strategic direction, it has also meant that contrary to its intended aim, it has actually created less flexibility for its ports. Instead of making port governance more simple and straightforward by combin</w:t>
      </w:r>
      <w:r w:rsidR="0051274B" w:rsidRPr="00CE1E04">
        <w:rPr>
          <w:rFonts w:ascii="Times New Roman" w:hAnsi="Times New Roman" w:cs="Times New Roman"/>
        </w:rPr>
        <w:t>in</w:t>
      </w:r>
      <w:r w:rsidR="00B40234" w:rsidRPr="00CE1E04">
        <w:rPr>
          <w:rFonts w:ascii="Times New Roman" w:hAnsi="Times New Roman" w:cs="Times New Roman"/>
        </w:rPr>
        <w:t>g 4 bureaus</w:t>
      </w:r>
      <w:r w:rsidR="0051274B" w:rsidRPr="00CE1E04">
        <w:rPr>
          <w:rFonts w:ascii="Times New Roman" w:hAnsi="Times New Roman" w:cs="Times New Roman"/>
        </w:rPr>
        <w:t xml:space="preserve"> into</w:t>
      </w:r>
      <w:r w:rsidR="00B40234" w:rsidRPr="00CE1E04">
        <w:rPr>
          <w:rFonts w:ascii="Times New Roman" w:hAnsi="Times New Roman" w:cs="Times New Roman"/>
        </w:rPr>
        <w:t xml:space="preserve"> 2, what has actually happened is that more bureaucracy has been introduced. As Taiwan has moved toward the private but nevertheless</w:t>
      </w:r>
      <w:r w:rsidR="0051274B" w:rsidRPr="00CE1E04">
        <w:rPr>
          <w:rFonts w:ascii="Times New Roman" w:hAnsi="Times New Roman" w:cs="Times New Roman"/>
        </w:rPr>
        <w:t xml:space="preserve"> retained</w:t>
      </w:r>
      <w:r w:rsidR="00B40234" w:rsidRPr="00CE1E04">
        <w:rPr>
          <w:rFonts w:ascii="Times New Roman" w:hAnsi="Times New Roman" w:cs="Times New Roman"/>
        </w:rPr>
        <w:t xml:space="preserve"> public control, it has introduced </w:t>
      </w:r>
      <w:r w:rsidR="0051274B" w:rsidRPr="00CE1E04">
        <w:rPr>
          <w:rFonts w:ascii="Times New Roman" w:hAnsi="Times New Roman" w:cs="Times New Roman"/>
        </w:rPr>
        <w:t xml:space="preserve">an </w:t>
      </w:r>
      <w:r w:rsidR="00B40234" w:rsidRPr="00CE1E04">
        <w:rPr>
          <w:rFonts w:ascii="Times New Roman" w:hAnsi="Times New Roman" w:cs="Times New Roman"/>
        </w:rPr>
        <w:t>extra strata of management that need</w:t>
      </w:r>
      <w:r w:rsidR="0051274B" w:rsidRPr="00CE1E04">
        <w:rPr>
          <w:rFonts w:ascii="Times New Roman" w:hAnsi="Times New Roman" w:cs="Times New Roman"/>
        </w:rPr>
        <w:t>s</w:t>
      </w:r>
      <w:r w:rsidR="00B40234" w:rsidRPr="00CE1E04">
        <w:rPr>
          <w:rFonts w:ascii="Times New Roman" w:hAnsi="Times New Roman" w:cs="Times New Roman"/>
        </w:rPr>
        <w:t xml:space="preserve"> to be passed through before any decisions can be made. This has had the counterproductive result that flexibility has been reduced; in turn this could affect Taiwan’s ports adversely. It could mean that in fact Taiwan’s ports go through a</w:t>
      </w:r>
      <w:r w:rsidR="006C391F" w:rsidRPr="00CE1E04">
        <w:rPr>
          <w:rFonts w:ascii="Times New Roman" w:hAnsi="Times New Roman" w:cs="Times New Roman"/>
        </w:rPr>
        <w:t>n adjustment period before the reform fully takes effect.</w:t>
      </w:r>
      <w:r w:rsidR="00B40234" w:rsidRPr="00CE1E04">
        <w:rPr>
          <w:rFonts w:ascii="Times New Roman" w:hAnsi="Times New Roman" w:cs="Times New Roman"/>
        </w:rPr>
        <w:t xml:space="preserve">  </w:t>
      </w:r>
    </w:p>
    <w:p w14:paraId="63641C10" w14:textId="1CEA5B37" w:rsidR="009F5E1C" w:rsidRPr="00CE1E04" w:rsidRDefault="00A257CE" w:rsidP="00872397">
      <w:pPr>
        <w:jc w:val="both"/>
        <w:rPr>
          <w:rFonts w:ascii="Times New Roman" w:hAnsi="Times New Roman" w:cs="Times New Roman"/>
        </w:rPr>
      </w:pPr>
      <w:r w:rsidRPr="00CE1E04">
        <w:rPr>
          <w:rFonts w:ascii="Times New Roman" w:hAnsi="Times New Roman" w:cs="Times New Roman"/>
        </w:rPr>
        <w:t xml:space="preserve">  </w:t>
      </w:r>
      <w:r w:rsidR="00B40234" w:rsidRPr="00CE1E04">
        <w:rPr>
          <w:rFonts w:ascii="Times New Roman" w:hAnsi="Times New Roman" w:cs="Times New Roman"/>
        </w:rPr>
        <w:t>For future research, we envision</w:t>
      </w:r>
      <w:r w:rsidR="00E028A4" w:rsidRPr="00CE1E04">
        <w:rPr>
          <w:rFonts w:ascii="Times New Roman" w:hAnsi="Times New Roman" w:cs="Times New Roman"/>
        </w:rPr>
        <w:t xml:space="preserve"> investigat</w:t>
      </w:r>
      <w:r w:rsidR="0051274B" w:rsidRPr="00CE1E04">
        <w:rPr>
          <w:rFonts w:ascii="Times New Roman" w:hAnsi="Times New Roman" w:cs="Times New Roman"/>
        </w:rPr>
        <w:t>ing</w:t>
      </w:r>
      <w:r w:rsidR="00E028A4" w:rsidRPr="00CE1E04">
        <w:rPr>
          <w:rFonts w:ascii="Times New Roman" w:hAnsi="Times New Roman" w:cs="Times New Roman"/>
        </w:rPr>
        <w:t xml:space="preserve"> how Taiwan continues to negotiate changes. We envision more specific studies directed to measuring the impact of port governance policies. We found very little here to suggest any impact apart from the compl</w:t>
      </w:r>
      <w:r w:rsidR="00872397" w:rsidRPr="00CE1E04">
        <w:rPr>
          <w:rFonts w:ascii="Times New Roman" w:hAnsi="Times New Roman" w:cs="Times New Roman"/>
        </w:rPr>
        <w:t>exities of measuring it per se, and of the issues of when such a measurement should take place</w:t>
      </w:r>
      <w:r w:rsidR="00E028A4" w:rsidRPr="00CE1E04">
        <w:rPr>
          <w:rFonts w:ascii="Times New Roman" w:hAnsi="Times New Roman" w:cs="Times New Roman"/>
        </w:rPr>
        <w:t xml:space="preserve">. We also envision a way forward to study specifically how port governance policies are influenced by regional moves, and also how port governance </w:t>
      </w:r>
      <w:r w:rsidR="00497F86" w:rsidRPr="00CE1E04">
        <w:rPr>
          <w:rFonts w:ascii="Times New Roman" w:hAnsi="Times New Roman" w:cs="Times New Roman"/>
        </w:rPr>
        <w:t>can be seen through a lens of</w:t>
      </w:r>
      <w:r w:rsidR="00E028A4" w:rsidRPr="00CE1E04">
        <w:rPr>
          <w:rFonts w:ascii="Times New Roman" w:hAnsi="Times New Roman" w:cs="Times New Roman"/>
        </w:rPr>
        <w:t xml:space="preserve"> hy</w:t>
      </w:r>
      <w:r w:rsidR="00872397" w:rsidRPr="00CE1E04">
        <w:rPr>
          <w:rFonts w:ascii="Times New Roman" w:hAnsi="Times New Roman" w:cs="Times New Roman"/>
        </w:rPr>
        <w:t>pocrisy elsewhere. Also, we feel</w:t>
      </w:r>
      <w:r w:rsidR="00E028A4" w:rsidRPr="00CE1E04">
        <w:rPr>
          <w:rFonts w:ascii="Times New Roman" w:hAnsi="Times New Roman" w:cs="Times New Roman"/>
        </w:rPr>
        <w:t xml:space="preserve"> more quantitative studies that tie in th</w:t>
      </w:r>
      <w:r w:rsidR="0051274B" w:rsidRPr="00CE1E04">
        <w:rPr>
          <w:rFonts w:ascii="Times New Roman" w:hAnsi="Times New Roman" w:cs="Times New Roman"/>
        </w:rPr>
        <w:t>e</w:t>
      </w:r>
      <w:r w:rsidR="00E028A4" w:rsidRPr="00CE1E04">
        <w:rPr>
          <w:rFonts w:ascii="Times New Roman" w:hAnsi="Times New Roman" w:cs="Times New Roman"/>
        </w:rPr>
        <w:t xml:space="preserve"> effects of reform with changes in port figures</w:t>
      </w:r>
      <w:r w:rsidR="0051274B" w:rsidRPr="00CE1E04">
        <w:rPr>
          <w:rFonts w:ascii="Times New Roman" w:hAnsi="Times New Roman" w:cs="Times New Roman"/>
        </w:rPr>
        <w:t>,</w:t>
      </w:r>
      <w:r w:rsidR="00E028A4" w:rsidRPr="00CE1E04">
        <w:rPr>
          <w:rFonts w:ascii="Times New Roman" w:hAnsi="Times New Roman" w:cs="Times New Roman"/>
        </w:rPr>
        <w:t xml:space="preserve"> but which contextualize</w:t>
      </w:r>
      <w:r w:rsidR="00497F86" w:rsidRPr="00CE1E04">
        <w:rPr>
          <w:rFonts w:ascii="Times New Roman" w:hAnsi="Times New Roman" w:cs="Times New Roman"/>
        </w:rPr>
        <w:t>s</w:t>
      </w:r>
      <w:r w:rsidR="00E028A4" w:rsidRPr="00CE1E04">
        <w:rPr>
          <w:rFonts w:ascii="Times New Roman" w:hAnsi="Times New Roman" w:cs="Times New Roman"/>
        </w:rPr>
        <w:t xml:space="preserve"> these in the wider economic context of the time</w:t>
      </w:r>
      <w:r w:rsidR="00872397" w:rsidRPr="00CE1E04">
        <w:rPr>
          <w:rFonts w:ascii="Times New Roman" w:hAnsi="Times New Roman" w:cs="Times New Roman"/>
        </w:rPr>
        <w:t xml:space="preserve"> would be beneficial</w:t>
      </w:r>
      <w:r w:rsidR="00E028A4" w:rsidRPr="00CE1E04">
        <w:rPr>
          <w:rFonts w:ascii="Times New Roman" w:hAnsi="Times New Roman" w:cs="Times New Roman"/>
        </w:rPr>
        <w:t xml:space="preserve">. </w:t>
      </w:r>
      <w:r w:rsidR="00872397" w:rsidRPr="00CE1E04">
        <w:rPr>
          <w:rFonts w:ascii="Times New Roman" w:hAnsi="Times New Roman" w:cs="Times New Roman"/>
        </w:rPr>
        <w:t xml:space="preserve">In addition, as much of the literature above shows (e.g. </w:t>
      </w:r>
      <w:r w:rsidR="006507D5" w:rsidRPr="00CE1E04">
        <w:rPr>
          <w:rFonts w:ascii="Times New Roman" w:hAnsi="Times New Roman" w:cs="Times New Roman"/>
        </w:rPr>
        <w:t>Wang et al</w:t>
      </w:r>
      <w:r w:rsidR="009E4A93" w:rsidRPr="00CE1E04">
        <w:rPr>
          <w:rFonts w:ascii="Times New Roman" w:hAnsi="Times New Roman" w:cs="Times New Roman"/>
        </w:rPr>
        <w:t>.</w:t>
      </w:r>
      <w:r w:rsidR="006507D5" w:rsidRPr="00CE1E04">
        <w:rPr>
          <w:rFonts w:ascii="Times New Roman" w:hAnsi="Times New Roman" w:cs="Times New Roman"/>
        </w:rPr>
        <w:t>, 2012), it is possible that cooperation between ports within regions is a way forward. This was something suggested by our interviewees as well. Perhaps future research could look at how port governance can move to a level whereby it is not done national</w:t>
      </w:r>
      <w:r w:rsidR="0051274B" w:rsidRPr="00CE1E04">
        <w:rPr>
          <w:rFonts w:ascii="Times New Roman" w:hAnsi="Times New Roman" w:cs="Times New Roman"/>
        </w:rPr>
        <w:t>ly</w:t>
      </w:r>
      <w:r w:rsidR="006507D5" w:rsidRPr="00CE1E04">
        <w:rPr>
          <w:rFonts w:ascii="Times New Roman" w:hAnsi="Times New Roman" w:cs="Times New Roman"/>
        </w:rPr>
        <w:t xml:space="preserve"> but international</w:t>
      </w:r>
      <w:r w:rsidR="0051274B" w:rsidRPr="00CE1E04">
        <w:rPr>
          <w:rFonts w:ascii="Times New Roman" w:hAnsi="Times New Roman" w:cs="Times New Roman"/>
        </w:rPr>
        <w:t>l</w:t>
      </w:r>
      <w:r w:rsidR="00B97035" w:rsidRPr="00CE1E04">
        <w:rPr>
          <w:rFonts w:ascii="Times New Roman" w:hAnsi="Times New Roman" w:cs="Times New Roman"/>
        </w:rPr>
        <w:t>y</w:t>
      </w:r>
      <w:r w:rsidR="006507D5" w:rsidRPr="00CE1E04">
        <w:rPr>
          <w:rFonts w:ascii="Times New Roman" w:hAnsi="Times New Roman" w:cs="Times New Roman"/>
        </w:rPr>
        <w:t>, for the benefit of all involved.</w:t>
      </w:r>
    </w:p>
    <w:p w14:paraId="4ABE3A23" w14:textId="3B0CA610" w:rsidR="005B57ED" w:rsidRPr="00CE1E04" w:rsidRDefault="005B57ED" w:rsidP="00E028A4">
      <w:pPr>
        <w:jc w:val="both"/>
        <w:rPr>
          <w:rFonts w:ascii="Times New Roman" w:hAnsi="Times New Roman" w:cs="Times New Roman"/>
          <w:b/>
          <w:szCs w:val="24"/>
        </w:rPr>
      </w:pPr>
    </w:p>
    <w:p w14:paraId="5124D696" w14:textId="77777777" w:rsidR="00951AE2" w:rsidRPr="00CE1E04" w:rsidRDefault="00951AE2" w:rsidP="00951AE2">
      <w:pPr>
        <w:jc w:val="both"/>
        <w:rPr>
          <w:rFonts w:ascii="Times New Roman" w:hAnsi="Times New Roman" w:cs="Times New Roman"/>
          <w:b/>
          <w:szCs w:val="24"/>
        </w:rPr>
      </w:pPr>
      <w:r w:rsidRPr="00CE1E04">
        <w:rPr>
          <w:rFonts w:ascii="Times New Roman" w:hAnsi="Times New Roman" w:cs="Times New Roman"/>
          <w:b/>
          <w:szCs w:val="24"/>
        </w:rPr>
        <w:t>References</w:t>
      </w:r>
    </w:p>
    <w:p w14:paraId="0D4915EE" w14:textId="77777777" w:rsidR="00984179" w:rsidRPr="00CE1E04" w:rsidRDefault="00984179"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Alden, D. (1961). The undeclared war of 1773-1777: climax of Luso-Spanish Platine rivalry. </w:t>
      </w:r>
      <w:r w:rsidRPr="00CE1E04">
        <w:rPr>
          <w:rFonts w:ascii="Times New Roman" w:hAnsi="Times New Roman" w:cs="Times New Roman"/>
          <w:i/>
          <w:iCs/>
          <w:szCs w:val="24"/>
        </w:rPr>
        <w:t>The Hispanic American Historical Review</w:t>
      </w:r>
      <w:r w:rsidRPr="00CE1E04">
        <w:rPr>
          <w:rFonts w:ascii="Times New Roman" w:hAnsi="Times New Roman" w:cs="Times New Roman"/>
          <w:szCs w:val="24"/>
        </w:rPr>
        <w:t xml:space="preserve">, </w:t>
      </w:r>
      <w:r w:rsidRPr="00CE1E04">
        <w:rPr>
          <w:rFonts w:ascii="Times New Roman" w:hAnsi="Times New Roman" w:cs="Times New Roman"/>
          <w:i/>
          <w:iCs/>
          <w:szCs w:val="24"/>
        </w:rPr>
        <w:t>41</w:t>
      </w:r>
      <w:r w:rsidRPr="00CE1E04">
        <w:rPr>
          <w:rFonts w:ascii="Times New Roman" w:hAnsi="Times New Roman" w:cs="Times New Roman"/>
          <w:szCs w:val="24"/>
        </w:rPr>
        <w:t>(1), 55-74.</w:t>
      </w:r>
    </w:p>
    <w:p w14:paraId="47DB1258" w14:textId="77777777" w:rsidR="00777465" w:rsidRPr="00CE1E04" w:rsidRDefault="00777465" w:rsidP="00F63355">
      <w:pPr>
        <w:widowControl/>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Baird, A. J., &amp; Valentine, V. F. (2006). Port privatisation in the United Kingdom.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55-84.</w:t>
      </w:r>
    </w:p>
    <w:p w14:paraId="634BB3EC" w14:textId="77777777" w:rsidR="009C7D83" w:rsidRPr="00CE1E04" w:rsidRDefault="009C7D83" w:rsidP="009C7D83">
      <w:pPr>
        <w:ind w:left="280" w:hanging="280"/>
        <w:rPr>
          <w:rFonts w:ascii="Times New Roman" w:hAnsi="Times New Roman" w:cs="Times New Roman"/>
        </w:rPr>
      </w:pPr>
      <w:r w:rsidRPr="00CE1E04">
        <w:rPr>
          <w:rFonts w:ascii="Times New Roman" w:eastAsia="Times New Roman" w:hAnsi="Times New Roman" w:cs="Times New Roman"/>
        </w:rPr>
        <w:t xml:space="preserve">Bakhtin, M. M. (1986). Speech genres and other late essays. </w:t>
      </w:r>
      <w:r w:rsidRPr="00CE1E04">
        <w:rPr>
          <w:rFonts w:ascii="Times New Roman" w:eastAsia="Times New Roman" w:hAnsi="Times New Roman" w:cs="Times New Roman"/>
          <w:i/>
        </w:rPr>
        <w:t>Trans. Vern W. McGee. Ed.</w:t>
      </w:r>
      <w:r w:rsidRPr="00CE1E04">
        <w:rPr>
          <w:rFonts w:ascii="Times New Roman" w:eastAsia="Times New Roman" w:hAnsi="Times New Roman" w:cs="Times New Roman"/>
        </w:rPr>
        <w:t xml:space="preserve"> </w:t>
      </w:r>
      <w:r w:rsidRPr="00CE1E04">
        <w:rPr>
          <w:rFonts w:ascii="Times New Roman" w:eastAsia="Times New Roman" w:hAnsi="Times New Roman" w:cs="Times New Roman"/>
          <w:i/>
        </w:rPr>
        <w:t>Caryl Emerson and Michael Holquist. Austin, TX: The University of Texas Press</w:t>
      </w:r>
      <w:r w:rsidRPr="00CE1E04">
        <w:rPr>
          <w:rFonts w:ascii="Times New Roman" w:eastAsia="Times New Roman" w:hAnsi="Times New Roman" w:cs="Times New Roman"/>
        </w:rPr>
        <w:t>.</w:t>
      </w:r>
    </w:p>
    <w:p w14:paraId="3A5B8D5D" w14:textId="77777777" w:rsidR="00572181" w:rsidRPr="00CE1E04" w:rsidRDefault="00572181" w:rsidP="00F63355">
      <w:pPr>
        <w:widowControl/>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Bichou, K. (2006). Review of port performance approaches and a supply chain framework to port performance benchmarking.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567-598.</w:t>
      </w:r>
    </w:p>
    <w:p w14:paraId="654B08FE" w14:textId="7ACBB633" w:rsidR="00F139BE" w:rsidRPr="00CE1E04" w:rsidRDefault="00F139BE" w:rsidP="00F63355">
      <w:pPr>
        <w:widowControl/>
        <w:autoSpaceDE w:val="0"/>
        <w:autoSpaceDN w:val="0"/>
        <w:adjustRightInd w:val="0"/>
        <w:ind w:left="284" w:hanging="284"/>
        <w:rPr>
          <w:rFonts w:ascii="Times New Roman" w:hAnsi="Times New Roman" w:cs="Times New Roman"/>
          <w:kern w:val="0"/>
          <w:szCs w:val="24"/>
          <w:lang w:val="en-GB"/>
        </w:rPr>
      </w:pPr>
      <w:r w:rsidRPr="00CE1E04">
        <w:rPr>
          <w:rFonts w:ascii="Times New Roman" w:hAnsi="Times New Roman" w:cs="Times New Roman"/>
          <w:kern w:val="0"/>
          <w:szCs w:val="24"/>
          <w:lang w:val="en-GB"/>
        </w:rPr>
        <w:t>Botham, J</w:t>
      </w:r>
      <w:r w:rsidR="00601416" w:rsidRPr="00CE1E04">
        <w:rPr>
          <w:rFonts w:ascii="Times New Roman" w:hAnsi="Times New Roman" w:cs="Times New Roman"/>
          <w:kern w:val="0"/>
          <w:szCs w:val="24"/>
          <w:lang w:val="en-GB"/>
        </w:rPr>
        <w:t>.</w:t>
      </w:r>
      <w:r w:rsidRPr="00CE1E04">
        <w:rPr>
          <w:rFonts w:ascii="Times New Roman" w:hAnsi="Times New Roman" w:cs="Times New Roman"/>
          <w:kern w:val="0"/>
          <w:szCs w:val="24"/>
          <w:lang w:val="en-GB"/>
        </w:rPr>
        <w:t xml:space="preserve"> (2014). ‘Concession Choices’ Available at </w:t>
      </w:r>
      <w:hyperlink r:id="rId23" w:history="1">
        <w:r w:rsidRPr="00CE1E04">
          <w:rPr>
            <w:rStyle w:val="Hyperlink"/>
            <w:rFonts w:ascii="Times New Roman" w:hAnsi="Times New Roman" w:cs="Times New Roman"/>
            <w:color w:val="auto"/>
            <w:kern w:val="0"/>
            <w:szCs w:val="24"/>
            <w:u w:val="none"/>
            <w:lang w:val="en-GB"/>
          </w:rPr>
          <w:t>http://www.portstrategy.com/news101/port-operations/planning-and-design/hfw-concessions</w:t>
        </w:r>
      </w:hyperlink>
      <w:r w:rsidRPr="00CE1E04">
        <w:rPr>
          <w:rFonts w:ascii="Times New Roman" w:hAnsi="Times New Roman" w:cs="Times New Roman"/>
          <w:kern w:val="0"/>
          <w:szCs w:val="24"/>
          <w:lang w:val="en-GB"/>
        </w:rPr>
        <w:t xml:space="preserve"> (last accessed April 2016)</w:t>
      </w:r>
    </w:p>
    <w:p w14:paraId="0AA4DACF" w14:textId="77777777" w:rsidR="00572181" w:rsidRPr="00CE1E04" w:rsidRDefault="00572181" w:rsidP="00F63355">
      <w:pPr>
        <w:widowControl/>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Brooks, M. R. (2006). Issues in measuring port devolution program performance: a managerial perspective.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599-629.</w:t>
      </w:r>
    </w:p>
    <w:p w14:paraId="524D1BDF" w14:textId="77777777" w:rsidR="004925E9" w:rsidRPr="00CE1E04" w:rsidRDefault="00777465" w:rsidP="004925E9">
      <w:pPr>
        <w:widowControl/>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Brooks, M. R., &amp; Cullinane, K. (2006). Chapter 1 introduction.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(1), 3-28.</w:t>
      </w:r>
    </w:p>
    <w:p w14:paraId="33D048ED" w14:textId="4C535A4F" w:rsidR="004925E9" w:rsidRPr="00CE1E04" w:rsidRDefault="004925E9" w:rsidP="004925E9">
      <w:pPr>
        <w:widowControl/>
        <w:autoSpaceDE w:val="0"/>
        <w:autoSpaceDN w:val="0"/>
        <w:adjustRightInd w:val="0"/>
        <w:ind w:left="284" w:hanging="284"/>
        <w:rPr>
          <w:rFonts w:ascii="Times New Roman" w:hAnsi="Times New Roman" w:cs="Times New Roman"/>
          <w:szCs w:val="24"/>
        </w:rPr>
      </w:pPr>
      <w:r w:rsidRPr="00CE1E04">
        <w:rPr>
          <w:rFonts w:ascii="Times New Roman" w:eastAsia="Arial Unicode MS" w:hAnsi="Times New Roman" w:cs="Times New Roman"/>
          <w:szCs w:val="24"/>
          <w:lang w:val="en"/>
        </w:rPr>
        <w:t xml:space="preserve">Brunsson, N. (2002). </w:t>
      </w:r>
      <w:r w:rsidRPr="00CE1E04">
        <w:rPr>
          <w:rFonts w:ascii="Times New Roman" w:eastAsia="Arial Unicode MS" w:hAnsi="Times New Roman" w:cs="Times New Roman"/>
          <w:i/>
          <w:iCs/>
          <w:szCs w:val="24"/>
          <w:lang w:val="en"/>
        </w:rPr>
        <w:t xml:space="preserve">The </w:t>
      </w:r>
      <w:r w:rsidR="00B5235D" w:rsidRPr="00CE1E04">
        <w:rPr>
          <w:rFonts w:ascii="Times New Roman" w:eastAsia="Arial Unicode MS" w:hAnsi="Times New Roman" w:cs="Times New Roman"/>
          <w:i/>
          <w:iCs/>
          <w:szCs w:val="24"/>
          <w:lang w:val="en"/>
        </w:rPr>
        <w:t>organisation</w:t>
      </w:r>
      <w:r w:rsidRPr="00CE1E04">
        <w:rPr>
          <w:rFonts w:ascii="Times New Roman" w:eastAsia="Arial Unicode MS" w:hAnsi="Times New Roman" w:cs="Times New Roman"/>
          <w:i/>
          <w:iCs/>
          <w:szCs w:val="24"/>
          <w:lang w:val="en"/>
        </w:rPr>
        <w:t xml:space="preserve"> of hypocrisy: Talk, decisions and actions in </w:t>
      </w:r>
      <w:r w:rsidR="00B5235D" w:rsidRPr="00CE1E04">
        <w:rPr>
          <w:rFonts w:ascii="Times New Roman" w:eastAsia="Arial Unicode MS" w:hAnsi="Times New Roman" w:cs="Times New Roman"/>
          <w:i/>
          <w:iCs/>
          <w:szCs w:val="24"/>
          <w:lang w:val="en"/>
        </w:rPr>
        <w:t>organisation</w:t>
      </w:r>
      <w:r w:rsidRPr="00CE1E04">
        <w:rPr>
          <w:rFonts w:ascii="Times New Roman" w:eastAsia="Arial Unicode MS" w:hAnsi="Times New Roman" w:cs="Times New Roman"/>
          <w:i/>
          <w:iCs/>
          <w:szCs w:val="24"/>
          <w:lang w:val="en"/>
        </w:rPr>
        <w:t>s</w:t>
      </w:r>
      <w:r w:rsidRPr="00CE1E04">
        <w:rPr>
          <w:rFonts w:ascii="Times New Roman" w:eastAsia="Arial Unicode MS" w:hAnsi="Times New Roman" w:cs="Times New Roman"/>
          <w:szCs w:val="24"/>
          <w:lang w:val="en"/>
        </w:rPr>
        <w:t>. Oslo: Abstrakt.</w:t>
      </w:r>
    </w:p>
    <w:p w14:paraId="2CE7E9F6" w14:textId="0D22A3E4" w:rsidR="007118E8" w:rsidRPr="00CE1E04" w:rsidRDefault="007118E8" w:rsidP="00F63355">
      <w:pPr>
        <w:widowControl/>
        <w:autoSpaceDE w:val="0"/>
        <w:autoSpaceDN w:val="0"/>
        <w:adjustRightInd w:val="0"/>
        <w:ind w:left="284" w:hanging="284"/>
        <w:rPr>
          <w:rFonts w:ascii="Times New Roman" w:hAnsi="Times New Roman" w:cs="Times New Roman"/>
          <w:kern w:val="0"/>
          <w:szCs w:val="24"/>
          <w:lang w:val="en-GB"/>
        </w:rPr>
      </w:pPr>
      <w:r w:rsidRPr="00CE1E04">
        <w:rPr>
          <w:rFonts w:ascii="Times New Roman" w:hAnsi="Times New Roman" w:cs="Times New Roman"/>
          <w:kern w:val="0"/>
          <w:szCs w:val="24"/>
          <w:lang w:val="en-GB"/>
        </w:rPr>
        <w:t>Carvalho, M. L. &amp; Marques, R. C. (2007). Economic regulation in the Portuguese seaport sector. IAME Conference, Greece, 3–6 July</w:t>
      </w:r>
    </w:p>
    <w:p w14:paraId="580755C3" w14:textId="06E1B31F" w:rsidR="000532D0" w:rsidRPr="00CE1E04" w:rsidRDefault="000532D0"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Castillo-Manzano, J. I., &amp; Asencio-Flores, J. P. (2012). Competition between new port governance models on the Iberian Peninsula. </w:t>
      </w:r>
      <w:r w:rsidRPr="00CE1E04">
        <w:rPr>
          <w:rFonts w:ascii="Times New Roman" w:hAnsi="Times New Roman" w:cs="Times New Roman"/>
          <w:i/>
          <w:iCs/>
          <w:szCs w:val="24"/>
        </w:rPr>
        <w:t>Transport Reviews</w:t>
      </w:r>
      <w:r w:rsidRPr="00CE1E04">
        <w:rPr>
          <w:rFonts w:ascii="Times New Roman" w:hAnsi="Times New Roman" w:cs="Times New Roman"/>
          <w:szCs w:val="24"/>
        </w:rPr>
        <w:t xml:space="preserve">, </w:t>
      </w:r>
      <w:r w:rsidRPr="00CE1E04">
        <w:rPr>
          <w:rFonts w:ascii="Times New Roman" w:hAnsi="Times New Roman" w:cs="Times New Roman"/>
          <w:i/>
          <w:iCs/>
          <w:szCs w:val="24"/>
        </w:rPr>
        <w:t>32</w:t>
      </w:r>
      <w:r w:rsidRPr="00CE1E04">
        <w:rPr>
          <w:rFonts w:ascii="Times New Roman" w:hAnsi="Times New Roman" w:cs="Times New Roman"/>
          <w:szCs w:val="24"/>
        </w:rPr>
        <w:t>(4), 519-537.</w:t>
      </w:r>
    </w:p>
    <w:p w14:paraId="6777B6D3" w14:textId="34BC6F47" w:rsidR="00A1479A" w:rsidRPr="00CE1E04" w:rsidRDefault="005056EB" w:rsidP="00A1479A">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Chiu, R. H., &amp; Yen, D. C. (2015). Application of </w:t>
      </w:r>
      <w:r w:rsidR="00B5235D" w:rsidRPr="00CE1E04">
        <w:rPr>
          <w:rFonts w:ascii="Times New Roman" w:hAnsi="Times New Roman" w:cs="Times New Roman"/>
          <w:szCs w:val="24"/>
        </w:rPr>
        <w:t>organisation</w:t>
      </w:r>
      <w:r w:rsidRPr="00CE1E04">
        <w:rPr>
          <w:rFonts w:ascii="Times New Roman" w:hAnsi="Times New Roman" w:cs="Times New Roman"/>
          <w:szCs w:val="24"/>
        </w:rPr>
        <w:t xml:space="preserve">al life cycle theory for port reform initiatives in Taiwan. </w:t>
      </w:r>
      <w:r w:rsidRPr="00CE1E04">
        <w:rPr>
          <w:rFonts w:ascii="Times New Roman" w:hAnsi="Times New Roman" w:cs="Times New Roman"/>
          <w:i/>
          <w:iCs/>
          <w:szCs w:val="24"/>
        </w:rPr>
        <w:t>Research in Transportation Business &amp; Management</w:t>
      </w:r>
      <w:r w:rsidRPr="00CE1E04">
        <w:rPr>
          <w:rFonts w:ascii="Times New Roman" w:hAnsi="Times New Roman" w:cs="Times New Roman"/>
          <w:szCs w:val="24"/>
        </w:rPr>
        <w:t xml:space="preserve">, </w:t>
      </w:r>
      <w:r w:rsidRPr="00CE1E04">
        <w:rPr>
          <w:rFonts w:ascii="Times New Roman" w:hAnsi="Times New Roman" w:cs="Times New Roman"/>
          <w:i/>
          <w:iCs/>
          <w:szCs w:val="24"/>
        </w:rPr>
        <w:t>14</w:t>
      </w:r>
      <w:r w:rsidRPr="00CE1E04">
        <w:rPr>
          <w:rFonts w:ascii="Times New Roman" w:hAnsi="Times New Roman" w:cs="Times New Roman"/>
          <w:szCs w:val="24"/>
        </w:rPr>
        <w:t>, 14-24.</w:t>
      </w:r>
    </w:p>
    <w:p w14:paraId="51BB351B" w14:textId="77777777" w:rsidR="00A90109" w:rsidRPr="00CE1E04" w:rsidRDefault="00A1479A" w:rsidP="00A90109">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kern w:val="0"/>
          <w:szCs w:val="24"/>
          <w:lang w:val="en-GB"/>
        </w:rPr>
        <w:t xml:space="preserve">Christians, C. G. (2011). Ethics and politics in qualitative research. In N. K. Denzin, &amp; Y. S. Lincoln (Eds.), </w:t>
      </w:r>
      <w:r w:rsidRPr="00CE1E04">
        <w:rPr>
          <w:rFonts w:ascii="Times New Roman" w:hAnsi="Times New Roman" w:cs="Times New Roman"/>
          <w:i/>
          <w:kern w:val="0"/>
          <w:szCs w:val="24"/>
          <w:lang w:val="en-GB"/>
        </w:rPr>
        <w:t>The sage handbook of qualitative research</w:t>
      </w:r>
      <w:r w:rsidRPr="00CE1E04">
        <w:rPr>
          <w:rFonts w:ascii="Times New Roman" w:hAnsi="Times New Roman" w:cs="Times New Roman"/>
          <w:kern w:val="0"/>
          <w:szCs w:val="24"/>
          <w:lang w:val="en-GB"/>
        </w:rPr>
        <w:t xml:space="preserve"> (pp. 61</w:t>
      </w:r>
      <w:r w:rsidR="007C4193" w:rsidRPr="00CE1E04">
        <w:rPr>
          <w:rFonts w:ascii="Times New Roman" w:hAnsi="Times New Roman" w:cs="Times New Roman"/>
          <w:kern w:val="0"/>
          <w:szCs w:val="24"/>
          <w:lang w:val="en-GB"/>
        </w:rPr>
        <w:t>-</w:t>
      </w:r>
      <w:r w:rsidRPr="00CE1E04">
        <w:rPr>
          <w:rFonts w:ascii="Times New Roman" w:hAnsi="Times New Roman" w:cs="Times New Roman"/>
          <w:kern w:val="0"/>
          <w:szCs w:val="24"/>
          <w:lang w:val="en-GB"/>
        </w:rPr>
        <w:t>80). Thousand Oaks, Calif: Sage.</w:t>
      </w:r>
    </w:p>
    <w:p w14:paraId="14F06C6C" w14:textId="15F13B7B" w:rsidR="00A90109" w:rsidRPr="00CE1E04" w:rsidRDefault="00A90109" w:rsidP="00A90109">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Cortazzi, M., Pilcher, N., &amp; Jin, L. (2011). Language choices and ‘blind shadows’: investigating interviews with Chinese participants. </w:t>
      </w:r>
      <w:r w:rsidRPr="00CE1E04">
        <w:rPr>
          <w:rFonts w:ascii="Times New Roman" w:hAnsi="Times New Roman" w:cs="Times New Roman"/>
          <w:i/>
          <w:iCs/>
          <w:szCs w:val="24"/>
        </w:rPr>
        <w:t>Qualitative Research</w:t>
      </w:r>
      <w:r w:rsidRPr="00CE1E04">
        <w:rPr>
          <w:rFonts w:ascii="Times New Roman" w:hAnsi="Times New Roman" w:cs="Times New Roman"/>
          <w:szCs w:val="24"/>
        </w:rPr>
        <w:t xml:space="preserve">, </w:t>
      </w:r>
      <w:r w:rsidRPr="00CE1E04">
        <w:rPr>
          <w:rFonts w:ascii="Times New Roman" w:hAnsi="Times New Roman" w:cs="Times New Roman"/>
          <w:i/>
          <w:iCs/>
          <w:szCs w:val="24"/>
        </w:rPr>
        <w:t>11</w:t>
      </w:r>
      <w:r w:rsidRPr="00CE1E04">
        <w:rPr>
          <w:rFonts w:ascii="Times New Roman" w:hAnsi="Times New Roman" w:cs="Times New Roman"/>
          <w:szCs w:val="24"/>
        </w:rPr>
        <w:t>(5), 505-535.</w:t>
      </w:r>
    </w:p>
    <w:p w14:paraId="2B9280E4" w14:textId="667C2CDF" w:rsidR="00557876" w:rsidRPr="00CE1E04" w:rsidRDefault="00557876" w:rsidP="00A1479A">
      <w:pPr>
        <w:ind w:left="284" w:hanging="284"/>
        <w:rPr>
          <w:rFonts w:ascii="Times New Roman" w:hAnsi="Times New Roman" w:cs="Times New Roman"/>
          <w:szCs w:val="24"/>
        </w:rPr>
      </w:pPr>
      <w:r w:rsidRPr="00CE1E04">
        <w:rPr>
          <w:rFonts w:ascii="Times New Roman" w:hAnsi="Times New Roman" w:cs="Times New Roman"/>
          <w:szCs w:val="24"/>
        </w:rPr>
        <w:t>Cullinane, K., &amp; Wang, T. F. (2006</w:t>
      </w:r>
      <w:r w:rsidR="004D42BE" w:rsidRPr="00CE1E04">
        <w:rPr>
          <w:rFonts w:ascii="Times New Roman" w:hAnsi="Times New Roman" w:cs="Times New Roman"/>
          <w:szCs w:val="24"/>
        </w:rPr>
        <w:t>a</w:t>
      </w:r>
      <w:r w:rsidRPr="00CE1E04">
        <w:rPr>
          <w:rFonts w:ascii="Times New Roman" w:hAnsi="Times New Roman" w:cs="Times New Roman"/>
          <w:szCs w:val="24"/>
        </w:rPr>
        <w:t xml:space="preserve">). Port governance in China.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331-356.</w:t>
      </w:r>
    </w:p>
    <w:p w14:paraId="2E677F33" w14:textId="77777777" w:rsidR="004D42BE" w:rsidRPr="00CE1E04" w:rsidRDefault="004D42BE" w:rsidP="00F63355">
      <w:pPr>
        <w:ind w:left="284" w:hanging="284"/>
        <w:rPr>
          <w:rFonts w:ascii="Times New Roman" w:hAnsi="Times New Roman" w:cs="Times New Roman"/>
          <w:szCs w:val="24"/>
        </w:rPr>
      </w:pPr>
      <w:r w:rsidRPr="00CE1E04">
        <w:rPr>
          <w:rFonts w:ascii="Times New Roman" w:hAnsi="Times New Roman" w:cs="Times New Roman"/>
          <w:szCs w:val="24"/>
        </w:rPr>
        <w:t xml:space="preserve">Cullinane, K., &amp; Wang, T. F. (2006b). Data envelopment analysis (DEA) and improving container port efficiency.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517-566.</w:t>
      </w:r>
    </w:p>
    <w:p w14:paraId="53878F3C" w14:textId="77777777" w:rsidR="006C32F7" w:rsidRPr="00CE1E04" w:rsidRDefault="006C32F7"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Cullinane, K., Yap, W. Y., &amp; Lam, J. S. (2006). The port of Singapore and its governance structure.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285-310.</w:t>
      </w:r>
    </w:p>
    <w:p w14:paraId="128EC41F" w14:textId="2F31F4AB" w:rsidR="00115F66" w:rsidRPr="00CE1E04" w:rsidRDefault="00115F66"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Ferrari, C., &amp; Musso, E. (2011). Italian ports: towards a new governance? </w:t>
      </w:r>
      <w:r w:rsidRPr="00CE1E04">
        <w:rPr>
          <w:rFonts w:ascii="Times New Roman" w:hAnsi="Times New Roman" w:cs="Times New Roman"/>
          <w:i/>
          <w:iCs/>
          <w:szCs w:val="24"/>
        </w:rPr>
        <w:t>Maritime Policy &amp; Management</w:t>
      </w:r>
      <w:r w:rsidRPr="00CE1E04">
        <w:rPr>
          <w:rFonts w:ascii="Times New Roman" w:hAnsi="Times New Roman" w:cs="Times New Roman"/>
          <w:szCs w:val="24"/>
        </w:rPr>
        <w:t xml:space="preserve">, </w:t>
      </w:r>
      <w:r w:rsidRPr="00CE1E04">
        <w:rPr>
          <w:rFonts w:ascii="Times New Roman" w:hAnsi="Times New Roman" w:cs="Times New Roman"/>
          <w:i/>
          <w:iCs/>
          <w:szCs w:val="24"/>
        </w:rPr>
        <w:t>38</w:t>
      </w:r>
      <w:r w:rsidRPr="00CE1E04">
        <w:rPr>
          <w:rFonts w:ascii="Times New Roman" w:hAnsi="Times New Roman" w:cs="Times New Roman"/>
          <w:szCs w:val="24"/>
        </w:rPr>
        <w:t>(3), 335-346.</w:t>
      </w:r>
    </w:p>
    <w:p w14:paraId="0A068C24" w14:textId="77777777" w:rsidR="008865DD" w:rsidRPr="00CE1E04" w:rsidRDefault="008865DD"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Ferrari, C., Parola, F., &amp; Tei, A. (2015). Governance models and port concessions in Europe: Commonalities, critical issues and policy perspectives. </w:t>
      </w:r>
      <w:r w:rsidRPr="00CE1E04">
        <w:rPr>
          <w:rFonts w:ascii="Times New Roman" w:hAnsi="Times New Roman" w:cs="Times New Roman"/>
          <w:i/>
          <w:iCs/>
          <w:szCs w:val="24"/>
        </w:rPr>
        <w:t>Transport Policy</w:t>
      </w:r>
      <w:r w:rsidRPr="00CE1E04">
        <w:rPr>
          <w:rFonts w:ascii="Times New Roman" w:hAnsi="Times New Roman" w:cs="Times New Roman"/>
          <w:szCs w:val="24"/>
        </w:rPr>
        <w:t xml:space="preserve">, </w:t>
      </w:r>
      <w:r w:rsidRPr="00CE1E04">
        <w:rPr>
          <w:rFonts w:ascii="Times New Roman" w:hAnsi="Times New Roman" w:cs="Times New Roman"/>
          <w:i/>
          <w:iCs/>
          <w:szCs w:val="24"/>
        </w:rPr>
        <w:t>41</w:t>
      </w:r>
      <w:r w:rsidRPr="00CE1E04">
        <w:rPr>
          <w:rFonts w:ascii="Times New Roman" w:hAnsi="Times New Roman" w:cs="Times New Roman"/>
          <w:szCs w:val="24"/>
        </w:rPr>
        <w:t>, 60-67.</w:t>
      </w:r>
    </w:p>
    <w:p w14:paraId="06009AE7" w14:textId="77777777" w:rsidR="00B201DF" w:rsidRPr="00CE1E04" w:rsidRDefault="00B201DF" w:rsidP="00527A3B">
      <w:pPr>
        <w:widowControl/>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Flyvbjerg, B. (2006). Five misunderstandings about case-study research. </w:t>
      </w:r>
      <w:r w:rsidRPr="00CE1E04">
        <w:rPr>
          <w:rFonts w:ascii="Times New Roman" w:hAnsi="Times New Roman" w:cs="Times New Roman"/>
          <w:i/>
          <w:iCs/>
          <w:szCs w:val="24"/>
        </w:rPr>
        <w:t>Qualitative inquiry</w:t>
      </w:r>
      <w:r w:rsidRPr="00CE1E04">
        <w:rPr>
          <w:rFonts w:ascii="Times New Roman" w:hAnsi="Times New Roman" w:cs="Times New Roman"/>
          <w:szCs w:val="24"/>
        </w:rPr>
        <w:t xml:space="preserve">, </w:t>
      </w:r>
      <w:r w:rsidRPr="00CE1E04">
        <w:rPr>
          <w:rFonts w:ascii="Times New Roman" w:hAnsi="Times New Roman" w:cs="Times New Roman"/>
          <w:i/>
          <w:iCs/>
          <w:szCs w:val="24"/>
        </w:rPr>
        <w:t>12</w:t>
      </w:r>
      <w:r w:rsidRPr="00CE1E04">
        <w:rPr>
          <w:rFonts w:ascii="Times New Roman" w:hAnsi="Times New Roman" w:cs="Times New Roman"/>
          <w:szCs w:val="24"/>
        </w:rPr>
        <w:t>(2), 219-245.</w:t>
      </w:r>
    </w:p>
    <w:p w14:paraId="24CD1B68" w14:textId="60433DD9" w:rsidR="00527A3B" w:rsidRPr="00CE1E04" w:rsidRDefault="00527A3B" w:rsidP="00527A3B">
      <w:pPr>
        <w:widowControl/>
        <w:autoSpaceDE w:val="0"/>
        <w:autoSpaceDN w:val="0"/>
        <w:adjustRightInd w:val="0"/>
        <w:ind w:left="284" w:hanging="284"/>
        <w:rPr>
          <w:rFonts w:ascii="Times New Roman" w:hAnsi="Times New Roman" w:cs="Times New Roman"/>
          <w:kern w:val="0"/>
          <w:szCs w:val="24"/>
          <w:lang w:val="en-GB"/>
        </w:rPr>
      </w:pPr>
      <w:r w:rsidRPr="00CE1E04">
        <w:rPr>
          <w:rFonts w:ascii="Times New Roman" w:hAnsi="Times New Roman" w:cs="Times New Roman"/>
          <w:kern w:val="0"/>
          <w:szCs w:val="24"/>
          <w:lang w:val="en-GB"/>
        </w:rPr>
        <w:t xml:space="preserve">Geiger, A. (2009). </w:t>
      </w:r>
      <w:r w:rsidRPr="00CE1E04">
        <w:rPr>
          <w:rFonts w:ascii="Times New Roman" w:hAnsi="Times New Roman" w:cs="Times New Roman"/>
          <w:i/>
          <w:kern w:val="0"/>
          <w:szCs w:val="24"/>
          <w:lang w:val="en-GB"/>
        </w:rPr>
        <w:t>Governance model to support the competitive insertion of local clusters in global value chains</w:t>
      </w:r>
      <w:r w:rsidRPr="00CE1E04">
        <w:rPr>
          <w:rFonts w:ascii="Times New Roman" w:hAnsi="Times New Roman" w:cs="Times New Roman"/>
          <w:kern w:val="0"/>
          <w:szCs w:val="24"/>
          <w:lang w:val="en-GB"/>
        </w:rPr>
        <w:t>. Doctoral thesis. Postgraduate Program in Production Engineering. Federal University of Rio Grande do Sul, Porto Alegre.</w:t>
      </w:r>
    </w:p>
    <w:p w14:paraId="383B015E" w14:textId="2961F336" w:rsidR="002F7F91" w:rsidRPr="00CE1E04" w:rsidRDefault="0098681E" w:rsidP="002F7F91">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Gonzalez, M.M, </w:t>
      </w:r>
      <w:r w:rsidR="003A0242" w:rsidRPr="00CE1E04">
        <w:rPr>
          <w:rFonts w:ascii="Times New Roman" w:hAnsi="Times New Roman" w:cs="Times New Roman"/>
          <w:szCs w:val="24"/>
        </w:rPr>
        <w:t>&amp;</w:t>
      </w:r>
      <w:r w:rsidRPr="00CE1E04">
        <w:rPr>
          <w:rFonts w:ascii="Times New Roman" w:hAnsi="Times New Roman" w:cs="Times New Roman"/>
          <w:szCs w:val="24"/>
        </w:rPr>
        <w:t xml:space="preserve"> Trujillo, L. (2008). Reforms and infrastructure efficiency in Spain’s container ports. </w:t>
      </w:r>
      <w:r w:rsidRPr="00CE1E04">
        <w:rPr>
          <w:rFonts w:ascii="Times New Roman" w:hAnsi="Times New Roman" w:cs="Times New Roman"/>
          <w:i/>
          <w:iCs/>
          <w:szCs w:val="24"/>
        </w:rPr>
        <w:t>Transportation Research Part A: Policy and Practice</w:t>
      </w:r>
      <w:r w:rsidRPr="00CE1E04">
        <w:rPr>
          <w:rFonts w:ascii="Times New Roman" w:hAnsi="Times New Roman" w:cs="Times New Roman"/>
          <w:szCs w:val="24"/>
        </w:rPr>
        <w:t xml:space="preserve">, </w:t>
      </w:r>
      <w:r w:rsidRPr="00CE1E04">
        <w:rPr>
          <w:rFonts w:ascii="Times New Roman" w:hAnsi="Times New Roman" w:cs="Times New Roman"/>
          <w:i/>
          <w:iCs/>
          <w:szCs w:val="24"/>
        </w:rPr>
        <w:t>42</w:t>
      </w:r>
      <w:r w:rsidRPr="00CE1E04">
        <w:rPr>
          <w:rFonts w:ascii="Times New Roman" w:hAnsi="Times New Roman" w:cs="Times New Roman"/>
          <w:szCs w:val="24"/>
        </w:rPr>
        <w:t>(1), 243-257.</w:t>
      </w:r>
    </w:p>
    <w:p w14:paraId="3F9C0A89" w14:textId="77777777" w:rsidR="00837D7B" w:rsidRPr="00CE1E04" w:rsidRDefault="00837D7B" w:rsidP="002F7F91">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Gurning, S., &amp; Cahoon, S. (2011). Analysis of multi-mitigation scenarios on maritime disruptions. </w:t>
      </w:r>
      <w:r w:rsidRPr="00CE1E04">
        <w:rPr>
          <w:rFonts w:ascii="Times New Roman" w:hAnsi="Times New Roman" w:cs="Times New Roman"/>
          <w:i/>
          <w:iCs/>
          <w:szCs w:val="24"/>
        </w:rPr>
        <w:t>Maritime Policy &amp; Management</w:t>
      </w:r>
      <w:r w:rsidRPr="00CE1E04">
        <w:rPr>
          <w:rFonts w:ascii="Times New Roman" w:hAnsi="Times New Roman" w:cs="Times New Roman"/>
          <w:szCs w:val="24"/>
        </w:rPr>
        <w:t xml:space="preserve">, </w:t>
      </w:r>
      <w:r w:rsidRPr="00CE1E04">
        <w:rPr>
          <w:rFonts w:ascii="Times New Roman" w:hAnsi="Times New Roman" w:cs="Times New Roman"/>
          <w:i/>
          <w:iCs/>
          <w:szCs w:val="24"/>
        </w:rPr>
        <w:t>38</w:t>
      </w:r>
      <w:r w:rsidRPr="00CE1E04">
        <w:rPr>
          <w:rFonts w:ascii="Times New Roman" w:hAnsi="Times New Roman" w:cs="Times New Roman"/>
          <w:szCs w:val="24"/>
        </w:rPr>
        <w:t>(3), 251-268.</w:t>
      </w:r>
    </w:p>
    <w:p w14:paraId="4AB04725" w14:textId="604CF6B8" w:rsidR="002F7F91" w:rsidRPr="00CE1E04" w:rsidRDefault="002F7F91" w:rsidP="002F7F91">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lang w:val="en-GB"/>
        </w:rPr>
        <w:t xml:space="preserve">Hofstede, G. (1994). </w:t>
      </w:r>
      <w:r w:rsidRPr="00CE1E04">
        <w:rPr>
          <w:rFonts w:ascii="Times New Roman" w:hAnsi="Times New Roman" w:cs="Times New Roman"/>
          <w:i/>
          <w:iCs/>
          <w:szCs w:val="24"/>
          <w:lang w:val="en-GB"/>
        </w:rPr>
        <w:t>Cultures and Organisations: Software of the Mind</w:t>
      </w:r>
      <w:r w:rsidRPr="00CE1E04">
        <w:rPr>
          <w:rFonts w:ascii="Times New Roman" w:hAnsi="Times New Roman" w:cs="Times New Roman"/>
          <w:szCs w:val="24"/>
          <w:lang w:val="en-GB"/>
        </w:rPr>
        <w:t>. London: Harper Collins.</w:t>
      </w:r>
    </w:p>
    <w:p w14:paraId="5A2C8280" w14:textId="77777777" w:rsidR="00A1479A" w:rsidRPr="00CE1E04" w:rsidRDefault="00A1479A" w:rsidP="00CB6A25">
      <w:pPr>
        <w:autoSpaceDE w:val="0"/>
        <w:autoSpaceDN w:val="0"/>
        <w:adjustRightInd w:val="0"/>
        <w:ind w:left="284" w:hanging="284"/>
        <w:rPr>
          <w:rFonts w:ascii="Times New Roman" w:hAnsi="Times New Roman" w:cs="Times New Roman"/>
          <w:kern w:val="0"/>
          <w:szCs w:val="24"/>
          <w:lang w:val="en-GB"/>
        </w:rPr>
      </w:pPr>
      <w:r w:rsidRPr="00CE1E04">
        <w:rPr>
          <w:rFonts w:ascii="Times New Roman" w:hAnsi="Times New Roman" w:cs="Times New Roman"/>
          <w:kern w:val="0"/>
          <w:szCs w:val="24"/>
          <w:lang w:val="en-GB"/>
        </w:rPr>
        <w:t xml:space="preserve">Holstein, J. A., &amp; Gubrium, J. F. (1995). </w:t>
      </w:r>
      <w:r w:rsidRPr="00CE1E04">
        <w:rPr>
          <w:rFonts w:ascii="Times New Roman" w:hAnsi="Times New Roman" w:cs="Times New Roman"/>
          <w:i/>
          <w:kern w:val="0"/>
          <w:szCs w:val="24"/>
          <w:lang w:val="en-GB"/>
        </w:rPr>
        <w:t>The active interview.</w:t>
      </w:r>
      <w:r w:rsidRPr="00CE1E04">
        <w:rPr>
          <w:rFonts w:ascii="Times New Roman" w:hAnsi="Times New Roman" w:cs="Times New Roman"/>
          <w:kern w:val="0"/>
          <w:szCs w:val="24"/>
          <w:lang w:val="en-GB"/>
        </w:rPr>
        <w:t xml:space="preserve"> Thousand Oaks, CA: Sage</w:t>
      </w:r>
    </w:p>
    <w:p w14:paraId="29791631" w14:textId="7300FCF4" w:rsidR="00CB6A25" w:rsidRPr="00CE1E04" w:rsidRDefault="00CB6A25" w:rsidP="00CB6A2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kern w:val="0"/>
          <w:szCs w:val="24"/>
          <w:lang w:val="en-GB"/>
        </w:rPr>
        <w:t>Lin, J. Y. (2004). Lessons of China’s transition from a planned economy to a market economy.</w:t>
      </w:r>
      <w:r w:rsidRPr="00CE1E04">
        <w:rPr>
          <w:rFonts w:ascii="Times New Roman" w:hAnsi="Times New Roman" w:cs="Times New Roman"/>
          <w:szCs w:val="24"/>
        </w:rPr>
        <w:t xml:space="preserve"> </w:t>
      </w:r>
      <w:r w:rsidRPr="00CE1E04">
        <w:rPr>
          <w:rFonts w:ascii="Times New Roman" w:hAnsi="Times New Roman" w:cs="Times New Roman"/>
          <w:kern w:val="0"/>
          <w:szCs w:val="24"/>
          <w:lang w:val="en-GB"/>
        </w:rPr>
        <w:t xml:space="preserve">Peking University, Working Paper Series, </w:t>
      </w:r>
      <w:hyperlink r:id="rId24" w:history="1">
        <w:r w:rsidRPr="00CE1E04">
          <w:rPr>
            <w:rStyle w:val="Hyperlink"/>
            <w:rFonts w:ascii="Times New Roman" w:hAnsi="Times New Roman" w:cs="Times New Roman"/>
            <w:color w:val="auto"/>
            <w:kern w:val="0"/>
            <w:szCs w:val="24"/>
            <w:u w:val="none"/>
            <w:lang w:val="en-GB"/>
          </w:rPr>
          <w:t>www.ccer.edu.cn/download/2963-1.pdf</w:t>
        </w:r>
      </w:hyperlink>
    </w:p>
    <w:p w14:paraId="570AF4BA" w14:textId="255513FE" w:rsidR="0098681E" w:rsidRPr="00CE1E04" w:rsidRDefault="0098681E" w:rsidP="00CB6A2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Liou, S. T., Liu, C. P., Chang, C. C., &amp; Yen, D. C. (2011). Restructuring Taiwan's port state control inspection authority. </w:t>
      </w:r>
      <w:r w:rsidRPr="00CE1E04">
        <w:rPr>
          <w:rFonts w:ascii="Times New Roman" w:hAnsi="Times New Roman" w:cs="Times New Roman"/>
          <w:i/>
          <w:iCs/>
          <w:szCs w:val="24"/>
        </w:rPr>
        <w:t>Government Information Quarterly</w:t>
      </w:r>
      <w:r w:rsidRPr="00CE1E04">
        <w:rPr>
          <w:rFonts w:ascii="Times New Roman" w:hAnsi="Times New Roman" w:cs="Times New Roman"/>
          <w:szCs w:val="24"/>
        </w:rPr>
        <w:t xml:space="preserve">, </w:t>
      </w:r>
      <w:r w:rsidRPr="00CE1E04">
        <w:rPr>
          <w:rFonts w:ascii="Times New Roman" w:hAnsi="Times New Roman" w:cs="Times New Roman"/>
          <w:i/>
          <w:iCs/>
          <w:szCs w:val="24"/>
        </w:rPr>
        <w:t>28</w:t>
      </w:r>
      <w:r w:rsidRPr="00CE1E04">
        <w:rPr>
          <w:rFonts w:ascii="Times New Roman" w:hAnsi="Times New Roman" w:cs="Times New Roman"/>
          <w:szCs w:val="24"/>
        </w:rPr>
        <w:t>(1), 36-46.</w:t>
      </w:r>
    </w:p>
    <w:p w14:paraId="1F3234BE" w14:textId="77777777" w:rsidR="003228BA" w:rsidRPr="00CE1E04" w:rsidRDefault="00F63355" w:rsidP="003228BA">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Lu, C. S., Lai, K. H., Lun, Y. V., &amp; Cheng, T. C. E. (2012). Effects of national culture on human failures in container shipping: The moderating role of Confucian dynamism. </w:t>
      </w:r>
      <w:r w:rsidRPr="00CE1E04">
        <w:rPr>
          <w:rFonts w:ascii="Times New Roman" w:hAnsi="Times New Roman" w:cs="Times New Roman"/>
          <w:i/>
          <w:iCs/>
          <w:szCs w:val="24"/>
        </w:rPr>
        <w:t>Accident Analysis &amp; Prevention</w:t>
      </w:r>
      <w:r w:rsidRPr="00CE1E04">
        <w:rPr>
          <w:rFonts w:ascii="Times New Roman" w:hAnsi="Times New Roman" w:cs="Times New Roman"/>
          <w:szCs w:val="24"/>
        </w:rPr>
        <w:t xml:space="preserve">, </w:t>
      </w:r>
      <w:r w:rsidRPr="00CE1E04">
        <w:rPr>
          <w:rFonts w:ascii="Times New Roman" w:hAnsi="Times New Roman" w:cs="Times New Roman"/>
          <w:i/>
          <w:iCs/>
          <w:szCs w:val="24"/>
        </w:rPr>
        <w:t>49</w:t>
      </w:r>
      <w:r w:rsidRPr="00CE1E04">
        <w:rPr>
          <w:rFonts w:ascii="Times New Roman" w:hAnsi="Times New Roman" w:cs="Times New Roman"/>
          <w:szCs w:val="24"/>
        </w:rPr>
        <w:t>, 457-469.</w:t>
      </w:r>
    </w:p>
    <w:p w14:paraId="30DDC931" w14:textId="14BDA06E" w:rsidR="003228BA" w:rsidRPr="00CE1E04" w:rsidRDefault="003228BA" w:rsidP="003228BA">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kern w:val="0"/>
          <w:szCs w:val="24"/>
          <w:lang w:val="en-GB"/>
        </w:rPr>
        <w:t xml:space="preserve">Mazzei, L.A. (2014). Beyond an easy sense: A diffractive analysis. </w:t>
      </w:r>
      <w:r w:rsidRPr="00CE1E04">
        <w:rPr>
          <w:rFonts w:ascii="Times New Roman" w:hAnsi="Times New Roman" w:cs="Times New Roman"/>
          <w:i/>
          <w:kern w:val="0"/>
          <w:szCs w:val="24"/>
          <w:lang w:val="en-GB"/>
        </w:rPr>
        <w:t xml:space="preserve">Qualitative Inquiry, 20(6), </w:t>
      </w:r>
      <w:r w:rsidRPr="00CE1E04">
        <w:rPr>
          <w:rFonts w:ascii="Times New Roman" w:hAnsi="Times New Roman" w:cs="Times New Roman"/>
          <w:kern w:val="0"/>
          <w:szCs w:val="24"/>
          <w:lang w:val="en-GB"/>
        </w:rPr>
        <w:t>742–746.</w:t>
      </w:r>
    </w:p>
    <w:p w14:paraId="6A11C154" w14:textId="77777777" w:rsidR="00C9131B" w:rsidRPr="00CE1E04" w:rsidRDefault="00C9131B" w:rsidP="003228BA">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Newman, J. (1986). </w:t>
      </w:r>
      <w:r w:rsidRPr="00CE1E04">
        <w:rPr>
          <w:rFonts w:ascii="Times New Roman" w:hAnsi="Times New Roman" w:cs="Times New Roman"/>
          <w:i/>
          <w:iCs/>
          <w:szCs w:val="24"/>
        </w:rPr>
        <w:t>Fanatics &amp; hypocrites</w:t>
      </w:r>
      <w:r w:rsidRPr="00CE1E04">
        <w:rPr>
          <w:rFonts w:ascii="Times New Roman" w:hAnsi="Times New Roman" w:cs="Times New Roman"/>
          <w:szCs w:val="24"/>
        </w:rPr>
        <w:t xml:space="preserve">. Buffalo, NY: Prometheus Books. </w:t>
      </w:r>
    </w:p>
    <w:p w14:paraId="7CF06443" w14:textId="4632A5A2" w:rsidR="00777465" w:rsidRPr="00CE1E04" w:rsidRDefault="00777465" w:rsidP="003228BA">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Notteboom, T. (2006</w:t>
      </w:r>
      <w:r w:rsidR="006C32F7" w:rsidRPr="00CE1E04">
        <w:rPr>
          <w:rFonts w:ascii="Times New Roman" w:hAnsi="Times New Roman" w:cs="Times New Roman"/>
          <w:szCs w:val="24"/>
        </w:rPr>
        <w:t>a</w:t>
      </w:r>
      <w:r w:rsidRPr="00CE1E04">
        <w:rPr>
          <w:rFonts w:ascii="Times New Roman" w:hAnsi="Times New Roman" w:cs="Times New Roman"/>
          <w:szCs w:val="24"/>
        </w:rPr>
        <w:t xml:space="preserve">). Strategic challenges to container ports in a changing market environment.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29-52.</w:t>
      </w:r>
    </w:p>
    <w:p w14:paraId="2D4364B0" w14:textId="77777777" w:rsidR="006C32F7" w:rsidRPr="00CE1E04" w:rsidRDefault="006C32F7"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Notteboom, T. (2006b). Concession agreements as port governance tools.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437-455.</w:t>
      </w:r>
    </w:p>
    <w:p w14:paraId="0D7A81A4" w14:textId="77777777" w:rsidR="00F139BE" w:rsidRPr="00CE1E04" w:rsidRDefault="00F139BE"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Notteboom, T., De Langen, P., &amp; Jacobs, W. (2013). Institutional plasticity and path dependence in seaports: interactions between institutions, port governance reforms and port authority routines. </w:t>
      </w:r>
      <w:r w:rsidRPr="00CE1E04">
        <w:rPr>
          <w:rFonts w:ascii="Times New Roman" w:hAnsi="Times New Roman" w:cs="Times New Roman"/>
          <w:i/>
          <w:iCs/>
          <w:szCs w:val="24"/>
        </w:rPr>
        <w:t>Journal of Transport Geography</w:t>
      </w:r>
      <w:r w:rsidRPr="00CE1E04">
        <w:rPr>
          <w:rFonts w:ascii="Times New Roman" w:hAnsi="Times New Roman" w:cs="Times New Roman"/>
          <w:szCs w:val="24"/>
        </w:rPr>
        <w:t xml:space="preserve">, </w:t>
      </w:r>
      <w:r w:rsidRPr="00CE1E04">
        <w:rPr>
          <w:rFonts w:ascii="Times New Roman" w:hAnsi="Times New Roman" w:cs="Times New Roman"/>
          <w:i/>
          <w:iCs/>
          <w:szCs w:val="24"/>
        </w:rPr>
        <w:t>27</w:t>
      </w:r>
      <w:r w:rsidRPr="00CE1E04">
        <w:rPr>
          <w:rFonts w:ascii="Times New Roman" w:hAnsi="Times New Roman" w:cs="Times New Roman"/>
          <w:szCs w:val="24"/>
        </w:rPr>
        <w:t>, 26-35.</w:t>
      </w:r>
    </w:p>
    <w:p w14:paraId="2FCC31EB" w14:textId="77777777" w:rsidR="00FD28E9" w:rsidRPr="00CE1E04" w:rsidRDefault="00FD28E9"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Pallis, A. A. (2006). Port governance in Greece.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155-169.</w:t>
      </w:r>
    </w:p>
    <w:p w14:paraId="79C7FB0A" w14:textId="77777777" w:rsidR="00CB6A25" w:rsidRPr="00CE1E04" w:rsidRDefault="00CB6A25" w:rsidP="00F63355">
      <w:pPr>
        <w:widowControl/>
        <w:autoSpaceDE w:val="0"/>
        <w:autoSpaceDN w:val="0"/>
        <w:adjustRightInd w:val="0"/>
        <w:ind w:left="284" w:hanging="284"/>
        <w:rPr>
          <w:rFonts w:ascii="Times New Roman" w:hAnsi="Times New Roman" w:cs="Times New Roman"/>
          <w:lang w:val="en"/>
        </w:rPr>
      </w:pPr>
      <w:r w:rsidRPr="00CE1E04">
        <w:rPr>
          <w:rFonts w:ascii="Times New Roman" w:hAnsi="Times New Roman" w:cs="Times New Roman"/>
          <w:lang w:val="en"/>
        </w:rPr>
        <w:t xml:space="preserve">Pilcher, N., &amp; Cortazzi, M. (2016). Dialogues: QUANT Researchers on QUAL Methods. </w:t>
      </w:r>
      <w:r w:rsidRPr="00CE1E04">
        <w:rPr>
          <w:rStyle w:val="Emphasis"/>
          <w:rFonts w:ascii="Times New Roman" w:hAnsi="Times New Roman" w:cs="Times New Roman"/>
          <w:lang w:val="en"/>
        </w:rPr>
        <w:t>The Qualitative Report</w:t>
      </w:r>
      <w:r w:rsidRPr="00CE1E04">
        <w:rPr>
          <w:rFonts w:ascii="Times New Roman" w:hAnsi="Times New Roman" w:cs="Times New Roman"/>
          <w:lang w:val="en"/>
        </w:rPr>
        <w:t xml:space="preserve">, </w:t>
      </w:r>
      <w:r w:rsidRPr="00CE1E04">
        <w:rPr>
          <w:rStyle w:val="Emphasis"/>
          <w:rFonts w:ascii="Times New Roman" w:hAnsi="Times New Roman" w:cs="Times New Roman"/>
          <w:lang w:val="en"/>
        </w:rPr>
        <w:t>21</w:t>
      </w:r>
      <w:r w:rsidRPr="00CE1E04">
        <w:rPr>
          <w:rFonts w:ascii="Times New Roman" w:hAnsi="Times New Roman" w:cs="Times New Roman"/>
          <w:lang w:val="en"/>
        </w:rPr>
        <w:t>(3), 450-473.</w:t>
      </w:r>
    </w:p>
    <w:p w14:paraId="773355B3" w14:textId="34C7958E" w:rsidR="009C7D83" w:rsidRPr="00CE1E04" w:rsidRDefault="007118E8" w:rsidP="009C7D83">
      <w:pPr>
        <w:widowControl/>
        <w:autoSpaceDE w:val="0"/>
        <w:autoSpaceDN w:val="0"/>
        <w:adjustRightInd w:val="0"/>
        <w:ind w:left="284" w:hanging="284"/>
        <w:rPr>
          <w:rFonts w:ascii="Times New Roman" w:hAnsi="Times New Roman" w:cs="Times New Roman"/>
          <w:kern w:val="0"/>
          <w:szCs w:val="24"/>
          <w:lang w:val="en-GB"/>
        </w:rPr>
      </w:pPr>
      <w:r w:rsidRPr="00CE1E04">
        <w:rPr>
          <w:rFonts w:ascii="Times New Roman" w:hAnsi="Times New Roman" w:cs="Times New Roman"/>
          <w:kern w:val="0"/>
          <w:szCs w:val="24"/>
          <w:lang w:val="en-GB"/>
        </w:rPr>
        <w:t xml:space="preserve">Saundry, R., &amp; Turnbull, P. (1997). Private profit, public loss: the financial and economic performance of UK ports. </w:t>
      </w:r>
      <w:r w:rsidRPr="00CE1E04">
        <w:rPr>
          <w:rFonts w:ascii="Times New Roman" w:hAnsi="Times New Roman" w:cs="Times New Roman"/>
          <w:i/>
          <w:kern w:val="0"/>
          <w:szCs w:val="24"/>
          <w:lang w:val="en-GB"/>
        </w:rPr>
        <w:t>Maritime Policy &amp; Management, 24</w:t>
      </w:r>
      <w:r w:rsidRPr="00CE1E04">
        <w:rPr>
          <w:rFonts w:ascii="Times New Roman" w:hAnsi="Times New Roman" w:cs="Times New Roman"/>
          <w:kern w:val="0"/>
          <w:szCs w:val="24"/>
          <w:lang w:val="en-GB"/>
        </w:rPr>
        <w:t>(4), 319</w:t>
      </w:r>
      <w:r w:rsidR="007C4193" w:rsidRPr="00CE1E04">
        <w:rPr>
          <w:rFonts w:ascii="Times New Roman" w:hAnsi="Times New Roman" w:cs="Times New Roman"/>
          <w:kern w:val="0"/>
          <w:szCs w:val="24"/>
          <w:lang w:val="en-GB"/>
        </w:rPr>
        <w:t>-</w:t>
      </w:r>
      <w:r w:rsidRPr="00CE1E04">
        <w:rPr>
          <w:rFonts w:ascii="Times New Roman" w:hAnsi="Times New Roman" w:cs="Times New Roman"/>
          <w:kern w:val="0"/>
          <w:szCs w:val="24"/>
          <w:lang w:val="en-GB"/>
        </w:rPr>
        <w:t>334.</w:t>
      </w:r>
    </w:p>
    <w:p w14:paraId="5EB13397" w14:textId="6C1ABAAB" w:rsidR="009C7D83" w:rsidRPr="00CE1E04" w:rsidRDefault="009C7D83" w:rsidP="009C7D83">
      <w:pPr>
        <w:widowControl/>
        <w:autoSpaceDE w:val="0"/>
        <w:autoSpaceDN w:val="0"/>
        <w:adjustRightInd w:val="0"/>
        <w:ind w:left="284" w:hanging="284"/>
        <w:rPr>
          <w:rFonts w:ascii="Times New Roman" w:hAnsi="Times New Roman" w:cs="Times New Roman"/>
          <w:kern w:val="0"/>
          <w:szCs w:val="24"/>
          <w:lang w:val="en-GB"/>
        </w:rPr>
      </w:pPr>
      <w:r w:rsidRPr="00CE1E04">
        <w:rPr>
          <w:rFonts w:ascii="Times New Roman" w:hAnsi="Times New Roman" w:cs="Times New Roman"/>
          <w:kern w:val="0"/>
          <w:szCs w:val="24"/>
          <w:lang w:val="en-GB"/>
        </w:rPr>
        <w:t xml:space="preserve">Stoker, G. 1998. Governance as theory: five propositions. </w:t>
      </w:r>
      <w:r w:rsidRPr="00CE1E04">
        <w:rPr>
          <w:rFonts w:ascii="Times New Roman" w:hAnsi="Times New Roman" w:cs="Times New Roman"/>
          <w:i/>
          <w:kern w:val="0"/>
          <w:szCs w:val="24"/>
          <w:lang w:val="en-GB"/>
        </w:rPr>
        <w:t xml:space="preserve">International Social Science Journal 155, </w:t>
      </w:r>
      <w:r w:rsidRPr="00CE1E04">
        <w:rPr>
          <w:rFonts w:ascii="Times New Roman" w:hAnsi="Times New Roman" w:cs="Times New Roman"/>
          <w:kern w:val="0"/>
          <w:szCs w:val="24"/>
          <w:lang w:val="en-GB"/>
        </w:rPr>
        <w:t>17</w:t>
      </w:r>
      <w:r w:rsidR="00AD5F71" w:rsidRPr="00CE1E04">
        <w:rPr>
          <w:rFonts w:ascii="Times New Roman" w:hAnsi="Times New Roman" w:cs="Times New Roman"/>
          <w:kern w:val="0"/>
          <w:szCs w:val="24"/>
          <w:lang w:val="en-GB"/>
        </w:rPr>
        <w:t>-</w:t>
      </w:r>
      <w:r w:rsidRPr="00CE1E04">
        <w:rPr>
          <w:rFonts w:ascii="Times New Roman" w:hAnsi="Times New Roman" w:cs="Times New Roman"/>
          <w:kern w:val="0"/>
          <w:szCs w:val="24"/>
          <w:lang w:val="en-GB"/>
        </w:rPr>
        <w:t>45</w:t>
      </w:r>
      <w:r w:rsidRPr="00CE1E04">
        <w:rPr>
          <w:rFonts w:ascii="Times New Roman" w:hAnsi="Times New Roman" w:cs="Times New Roman"/>
          <w:i/>
          <w:kern w:val="0"/>
          <w:szCs w:val="24"/>
          <w:lang w:val="en-GB"/>
        </w:rPr>
        <w:t>,</w:t>
      </w:r>
      <w:r w:rsidRPr="00CE1E04">
        <w:rPr>
          <w:rFonts w:ascii="Times New Roman" w:hAnsi="Times New Roman" w:cs="Times New Roman"/>
          <w:kern w:val="0"/>
          <w:szCs w:val="24"/>
          <w:lang w:val="en-GB"/>
        </w:rPr>
        <w:t xml:space="preserve"> UNESCO, Oxford, UK.</w:t>
      </w:r>
    </w:p>
    <w:p w14:paraId="710FB7A3" w14:textId="77777777" w:rsidR="004D42BE" w:rsidRPr="00CE1E04" w:rsidRDefault="004D42BE"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Talley, W. K. (2006). Port performance: an economics perspective.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499-516.</w:t>
      </w:r>
    </w:p>
    <w:p w14:paraId="0304D564" w14:textId="77777777" w:rsidR="00E24E04" w:rsidRPr="00CE1E04" w:rsidRDefault="00E24E04"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Valleri, M. A., Lamonarca, M., &amp; Papa, P. (2006). Port governance in Italy. </w:t>
      </w:r>
      <w:r w:rsidRPr="00CE1E04">
        <w:rPr>
          <w:rFonts w:ascii="Times New Roman" w:hAnsi="Times New Roman" w:cs="Times New Roman"/>
          <w:i/>
          <w:iCs/>
          <w:szCs w:val="24"/>
        </w:rPr>
        <w:t>Research in Transportation Economics</w:t>
      </w:r>
      <w:r w:rsidRPr="00CE1E04">
        <w:rPr>
          <w:rFonts w:ascii="Times New Roman" w:hAnsi="Times New Roman" w:cs="Times New Roman"/>
          <w:szCs w:val="24"/>
        </w:rPr>
        <w:t xml:space="preserve">, </w:t>
      </w:r>
      <w:r w:rsidRPr="00CE1E04">
        <w:rPr>
          <w:rFonts w:ascii="Times New Roman" w:hAnsi="Times New Roman" w:cs="Times New Roman"/>
          <w:i/>
          <w:iCs/>
          <w:szCs w:val="24"/>
        </w:rPr>
        <w:t>17</w:t>
      </w:r>
      <w:r w:rsidRPr="00CE1E04">
        <w:rPr>
          <w:rFonts w:ascii="Times New Roman" w:hAnsi="Times New Roman" w:cs="Times New Roman"/>
          <w:szCs w:val="24"/>
        </w:rPr>
        <w:t>, 139-153.</w:t>
      </w:r>
    </w:p>
    <w:p w14:paraId="6B7B0377" w14:textId="77777777" w:rsidR="002F7F91" w:rsidRPr="00CE1E04" w:rsidRDefault="00646496" w:rsidP="002F7F91">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Vanelslander, T. (2011). Port and maritime governance and regulation: emerging issues. </w:t>
      </w:r>
      <w:r w:rsidRPr="00CE1E04">
        <w:rPr>
          <w:rFonts w:ascii="Times New Roman" w:hAnsi="Times New Roman" w:cs="Times New Roman"/>
          <w:i/>
          <w:iCs/>
          <w:szCs w:val="24"/>
        </w:rPr>
        <w:t>Maritime Policy &amp; Management</w:t>
      </w:r>
      <w:r w:rsidRPr="00CE1E04">
        <w:rPr>
          <w:rFonts w:ascii="Times New Roman" w:hAnsi="Times New Roman" w:cs="Times New Roman"/>
          <w:szCs w:val="24"/>
        </w:rPr>
        <w:t xml:space="preserve">, </w:t>
      </w:r>
      <w:r w:rsidRPr="00CE1E04">
        <w:rPr>
          <w:rFonts w:ascii="Times New Roman" w:hAnsi="Times New Roman" w:cs="Times New Roman"/>
          <w:i/>
          <w:iCs/>
          <w:szCs w:val="24"/>
        </w:rPr>
        <w:t>38</w:t>
      </w:r>
      <w:r w:rsidRPr="00CE1E04">
        <w:rPr>
          <w:rFonts w:ascii="Times New Roman" w:hAnsi="Times New Roman" w:cs="Times New Roman"/>
          <w:szCs w:val="24"/>
        </w:rPr>
        <w:t>(3), 215-217.</w:t>
      </w:r>
    </w:p>
    <w:p w14:paraId="77994B27" w14:textId="77777777" w:rsidR="00C85ACC" w:rsidRPr="00CE1E04" w:rsidRDefault="00C85ACC"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Verhoeven, P., &amp; Vanoutrive, T. (2012). A quantitative analysis of European port governance. </w:t>
      </w:r>
      <w:r w:rsidRPr="00CE1E04">
        <w:rPr>
          <w:rFonts w:ascii="Times New Roman" w:hAnsi="Times New Roman" w:cs="Times New Roman"/>
          <w:i/>
          <w:iCs/>
          <w:szCs w:val="24"/>
        </w:rPr>
        <w:t>Maritime Economics &amp; Logistics</w:t>
      </w:r>
      <w:r w:rsidRPr="00CE1E04">
        <w:rPr>
          <w:rFonts w:ascii="Times New Roman" w:hAnsi="Times New Roman" w:cs="Times New Roman"/>
          <w:szCs w:val="24"/>
        </w:rPr>
        <w:t xml:space="preserve">, </w:t>
      </w:r>
      <w:r w:rsidRPr="00CE1E04">
        <w:rPr>
          <w:rFonts w:ascii="Times New Roman" w:hAnsi="Times New Roman" w:cs="Times New Roman"/>
          <w:i/>
          <w:iCs/>
          <w:szCs w:val="24"/>
        </w:rPr>
        <w:t>14</w:t>
      </w:r>
      <w:r w:rsidR="00ED620A" w:rsidRPr="00CE1E04">
        <w:rPr>
          <w:rFonts w:ascii="Times New Roman" w:hAnsi="Times New Roman" w:cs="Times New Roman"/>
          <w:szCs w:val="24"/>
        </w:rPr>
        <w:t>(2), 178-203.</w:t>
      </w:r>
    </w:p>
    <w:p w14:paraId="4EE513B3" w14:textId="77777777" w:rsidR="007151A0" w:rsidRPr="00CE1E04" w:rsidRDefault="007151A0"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Vieira, G. B. B., Kliemann Neto, F. J., &amp; Amaral, F. G. (2014). Governance, Governance Models and Port Performance: A Systematic Review. </w:t>
      </w:r>
      <w:r w:rsidRPr="00CE1E04">
        <w:rPr>
          <w:rFonts w:ascii="Times New Roman" w:hAnsi="Times New Roman" w:cs="Times New Roman"/>
          <w:i/>
          <w:iCs/>
          <w:szCs w:val="24"/>
        </w:rPr>
        <w:t>Transport Reviews</w:t>
      </w:r>
      <w:r w:rsidRPr="00CE1E04">
        <w:rPr>
          <w:rFonts w:ascii="Times New Roman" w:hAnsi="Times New Roman" w:cs="Times New Roman"/>
          <w:szCs w:val="24"/>
        </w:rPr>
        <w:t xml:space="preserve">, </w:t>
      </w:r>
      <w:r w:rsidRPr="00CE1E04">
        <w:rPr>
          <w:rFonts w:ascii="Times New Roman" w:hAnsi="Times New Roman" w:cs="Times New Roman"/>
          <w:i/>
          <w:iCs/>
          <w:szCs w:val="24"/>
        </w:rPr>
        <w:t>34</w:t>
      </w:r>
      <w:r w:rsidRPr="00CE1E04">
        <w:rPr>
          <w:rFonts w:ascii="Times New Roman" w:hAnsi="Times New Roman" w:cs="Times New Roman"/>
          <w:szCs w:val="24"/>
        </w:rPr>
        <w:t>(5), 645-662.</w:t>
      </w:r>
    </w:p>
    <w:p w14:paraId="45318FAC" w14:textId="77777777" w:rsidR="00290F2F" w:rsidRPr="00CE1E04" w:rsidRDefault="00290F2F"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Wang, J. J., Ng, A. K. Y., &amp; Olivier, D. (2004). Port governance in China: a review of policies in an era of internationalizing port management practices. </w:t>
      </w:r>
      <w:r w:rsidRPr="00CE1E04">
        <w:rPr>
          <w:rFonts w:ascii="Times New Roman" w:hAnsi="Times New Roman" w:cs="Times New Roman"/>
          <w:i/>
          <w:iCs/>
          <w:szCs w:val="24"/>
        </w:rPr>
        <w:t>Transport Policy</w:t>
      </w:r>
      <w:r w:rsidRPr="00CE1E04">
        <w:rPr>
          <w:rFonts w:ascii="Times New Roman" w:hAnsi="Times New Roman" w:cs="Times New Roman"/>
          <w:szCs w:val="24"/>
        </w:rPr>
        <w:t xml:space="preserve">, </w:t>
      </w:r>
      <w:r w:rsidRPr="00CE1E04">
        <w:rPr>
          <w:rFonts w:ascii="Times New Roman" w:hAnsi="Times New Roman" w:cs="Times New Roman"/>
          <w:i/>
          <w:iCs/>
          <w:szCs w:val="24"/>
        </w:rPr>
        <w:t>11</w:t>
      </w:r>
      <w:r w:rsidRPr="00CE1E04">
        <w:rPr>
          <w:rFonts w:ascii="Times New Roman" w:hAnsi="Times New Roman" w:cs="Times New Roman"/>
          <w:szCs w:val="24"/>
        </w:rPr>
        <w:t>(3), 237-250.</w:t>
      </w:r>
    </w:p>
    <w:p w14:paraId="19618491" w14:textId="77777777" w:rsidR="00665CFB" w:rsidRPr="00CE1E04" w:rsidRDefault="00665CFB" w:rsidP="00F63355">
      <w:pPr>
        <w:autoSpaceDE w:val="0"/>
        <w:autoSpaceDN w:val="0"/>
        <w:adjustRightInd w:val="0"/>
        <w:ind w:left="284" w:hanging="284"/>
        <w:rPr>
          <w:rFonts w:ascii="Times New Roman" w:hAnsi="Times New Roman" w:cs="Times New Roman"/>
          <w:szCs w:val="24"/>
        </w:rPr>
      </w:pPr>
      <w:r w:rsidRPr="00CE1E04">
        <w:rPr>
          <w:rFonts w:ascii="Times New Roman" w:hAnsi="Times New Roman" w:cs="Times New Roman"/>
          <w:szCs w:val="24"/>
        </w:rPr>
        <w:t xml:space="preserve">Wang, K., Ng, A. K., Lam, J. S. L., &amp; Fu, X. (2012). Cooperation or competition? Factors and conditions affecting regional port governance in South China. </w:t>
      </w:r>
      <w:r w:rsidRPr="00CE1E04">
        <w:rPr>
          <w:rFonts w:ascii="Times New Roman" w:hAnsi="Times New Roman" w:cs="Times New Roman"/>
          <w:i/>
          <w:iCs/>
          <w:szCs w:val="24"/>
        </w:rPr>
        <w:t>Maritime Economics &amp; Logistics</w:t>
      </w:r>
      <w:r w:rsidRPr="00CE1E04">
        <w:rPr>
          <w:rFonts w:ascii="Times New Roman" w:hAnsi="Times New Roman" w:cs="Times New Roman"/>
          <w:szCs w:val="24"/>
        </w:rPr>
        <w:t xml:space="preserve">, </w:t>
      </w:r>
      <w:r w:rsidRPr="00CE1E04">
        <w:rPr>
          <w:rFonts w:ascii="Times New Roman" w:hAnsi="Times New Roman" w:cs="Times New Roman"/>
          <w:i/>
          <w:iCs/>
          <w:szCs w:val="24"/>
        </w:rPr>
        <w:t>14</w:t>
      </w:r>
      <w:r w:rsidRPr="00CE1E04">
        <w:rPr>
          <w:rFonts w:ascii="Times New Roman" w:hAnsi="Times New Roman" w:cs="Times New Roman"/>
          <w:szCs w:val="24"/>
        </w:rPr>
        <w:t>(3), 386-408.</w:t>
      </w:r>
    </w:p>
    <w:p w14:paraId="0E2CBF94" w14:textId="2CE61C18" w:rsidR="00527A3B" w:rsidRPr="00CE1E04" w:rsidRDefault="00ED620A" w:rsidP="00FE0EAA">
      <w:pPr>
        <w:widowControl/>
        <w:autoSpaceDE w:val="0"/>
        <w:autoSpaceDN w:val="0"/>
        <w:adjustRightInd w:val="0"/>
        <w:ind w:left="284" w:hanging="284"/>
        <w:rPr>
          <w:rFonts w:ascii="Times New Roman" w:hAnsi="Times New Roman" w:cs="Times New Roman"/>
          <w:b/>
          <w:szCs w:val="24"/>
        </w:rPr>
      </w:pPr>
      <w:r w:rsidRPr="00CE1E04">
        <w:rPr>
          <w:rFonts w:ascii="Times New Roman" w:hAnsi="Times New Roman" w:cs="Times New Roman"/>
          <w:kern w:val="0"/>
          <w:szCs w:val="24"/>
          <w:lang w:val="en-GB"/>
        </w:rPr>
        <w:t>World Bank</w:t>
      </w:r>
      <w:r w:rsidR="005C7AF0" w:rsidRPr="00CE1E04">
        <w:rPr>
          <w:rFonts w:ascii="Times New Roman" w:hAnsi="Times New Roman" w:cs="Times New Roman"/>
          <w:kern w:val="0"/>
          <w:szCs w:val="24"/>
          <w:lang w:val="en-GB"/>
        </w:rPr>
        <w:t>.</w:t>
      </w:r>
      <w:r w:rsidRPr="00CE1E04">
        <w:rPr>
          <w:rFonts w:ascii="Times New Roman" w:hAnsi="Times New Roman" w:cs="Times New Roman"/>
          <w:kern w:val="0"/>
          <w:szCs w:val="24"/>
          <w:lang w:val="en-GB"/>
        </w:rPr>
        <w:t xml:space="preserve"> (2007). Port reform toolkit. Washington? DC: World Bank. Available at: </w:t>
      </w:r>
      <w:hyperlink r:id="rId25" w:history="1">
        <w:r w:rsidRPr="00CE1E04">
          <w:rPr>
            <w:rStyle w:val="Hyperlink"/>
            <w:rFonts w:ascii="Times New Roman" w:hAnsi="Times New Roman" w:cs="Times New Roman"/>
            <w:color w:val="auto"/>
            <w:kern w:val="0"/>
            <w:szCs w:val="24"/>
            <w:u w:val="none"/>
            <w:lang w:val="en-GB"/>
          </w:rPr>
          <w:t>http://siteresources.worldbank.org/INTPRAL/Resources/338897-1164990391106/00_TOOLKIT_FM_Vol1.pdf</w:t>
        </w:r>
      </w:hyperlink>
      <w:r w:rsidRPr="00CE1E04">
        <w:rPr>
          <w:rFonts w:ascii="Times New Roman" w:hAnsi="Times New Roman" w:cs="Times New Roman"/>
          <w:kern w:val="0"/>
          <w:szCs w:val="24"/>
          <w:lang w:val="en-GB"/>
        </w:rPr>
        <w:t xml:space="preserve"> (last accessed April 2016)</w:t>
      </w:r>
    </w:p>
    <w:sectPr w:rsidR="00527A3B" w:rsidRPr="00CE1E0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ECDD0" w14:textId="77777777" w:rsidR="002910BD" w:rsidRDefault="002910BD" w:rsidP="00504BE2">
      <w:r>
        <w:separator/>
      </w:r>
    </w:p>
  </w:endnote>
  <w:endnote w:type="continuationSeparator" w:id="0">
    <w:p w14:paraId="32A11CB4" w14:textId="77777777" w:rsidR="002910BD" w:rsidRDefault="002910BD" w:rsidP="0050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DFKai-SB">
    <w:altName w:val="宋体"/>
    <w:panose1 w:val="03000509000000000000"/>
    <w:charset w:val="88"/>
    <w:family w:val="script"/>
    <w:pitch w:val="fixed"/>
    <w:sig w:usb0="00000003" w:usb1="080E0000" w:usb2="00000016" w:usb3="00000000" w:csb0="00100001" w:csb1="00000000"/>
  </w:font>
  <w:font w:name="Microsoft JhengHei">
    <w:altName w:val="Cambria"/>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4E2E0" w14:textId="77777777" w:rsidR="002910BD" w:rsidRDefault="002910BD" w:rsidP="00504BE2">
      <w:r>
        <w:separator/>
      </w:r>
    </w:p>
  </w:footnote>
  <w:footnote w:type="continuationSeparator" w:id="0">
    <w:p w14:paraId="2BDCC846" w14:textId="77777777" w:rsidR="002910BD" w:rsidRDefault="002910BD" w:rsidP="00504BE2">
      <w:r>
        <w:continuationSeparator/>
      </w:r>
    </w:p>
  </w:footnote>
  <w:footnote w:id="1">
    <w:p w14:paraId="600FCCAC" w14:textId="77777777" w:rsidR="00FB1F41" w:rsidRPr="00300284" w:rsidRDefault="00FB1F41">
      <w:pPr>
        <w:pStyle w:val="FootnoteText"/>
      </w:pPr>
      <w:r>
        <w:rPr>
          <w:rStyle w:val="FootnoteReference"/>
        </w:rPr>
        <w:footnoteRef/>
      </w:r>
      <w:r>
        <w:t xml:space="preserve"> Bureau of Foreign Trade, Taiwan. </w:t>
      </w:r>
      <w:r w:rsidRPr="00300284">
        <w:t>http://cus93.trade.gov.tw/FSCI/</w:t>
      </w:r>
    </w:p>
  </w:footnote>
  <w:footnote w:id="2">
    <w:p w14:paraId="592BD87F" w14:textId="77777777" w:rsidR="00FB1F41" w:rsidRPr="00961953" w:rsidRDefault="00FB1F41" w:rsidP="00961953">
      <w:pPr>
        <w:pStyle w:val="FootnoteText"/>
        <w:jc w:val="both"/>
      </w:pPr>
      <w:r w:rsidRPr="00961953">
        <w:rPr>
          <w:rStyle w:val="FootnoteReference"/>
        </w:rPr>
        <w:footnoteRef/>
      </w:r>
      <w:r w:rsidRPr="00961953">
        <w:t xml:space="preserve"> </w:t>
      </w:r>
      <w:bookmarkStart w:id="1" w:name="OLE_LINK7"/>
      <w:r w:rsidRPr="00961953">
        <w:t>20</w:t>
      </w:r>
      <w:r>
        <w:t>15</w:t>
      </w:r>
      <w:r w:rsidRPr="00961953">
        <w:t xml:space="preserve"> Transportation Research Statistics</w:t>
      </w:r>
      <w:bookmarkEnd w:id="1"/>
      <w:r w:rsidRPr="00961953">
        <w:t xml:space="preserve"> </w:t>
      </w:r>
      <w:hyperlink r:id="rId1" w:history="1">
        <w:r w:rsidRPr="00961953">
          <w:rPr>
            <w:rStyle w:val="Hyperlink"/>
          </w:rPr>
          <w:t>http://www.iot.gov.tw/mp.asp</w:t>
        </w:r>
      </w:hyperlink>
      <w:r w:rsidRPr="00961953">
        <w:t xml:space="preserve"> </w:t>
      </w:r>
    </w:p>
  </w:footnote>
  <w:footnote w:id="3">
    <w:p w14:paraId="021D5D34" w14:textId="1BA16E5A" w:rsidR="00FB1F41" w:rsidRPr="005D2FF1" w:rsidRDefault="00FB1F41" w:rsidP="00093C16">
      <w:pPr>
        <w:pStyle w:val="FootnoteText"/>
        <w:ind w:left="200" w:hangingChars="100" w:hanging="200"/>
      </w:pPr>
      <w:r>
        <w:rPr>
          <w:rStyle w:val="FootnoteReference"/>
        </w:rPr>
        <w:footnoteRef/>
      </w:r>
      <w:r>
        <w:t xml:space="preserve"> Established sequence is Keelung, Kaohsiung, Taichung and Hualien. Kaohsiung port was ranked as 3</w:t>
      </w:r>
      <w:r w:rsidRPr="00093C16">
        <w:rPr>
          <w:vertAlign w:val="superscript"/>
        </w:rPr>
        <w:t>rd</w:t>
      </w:r>
      <w:r>
        <w:t xml:space="preserve"> in the world during 1990s, however, it is ranked as 14</w:t>
      </w:r>
      <w:r w:rsidRPr="007555FC">
        <w:rPr>
          <w:vertAlign w:val="superscript"/>
        </w:rPr>
        <w:t>th</w:t>
      </w:r>
      <w:r>
        <w:t xml:space="preserve"> in 2015.</w:t>
      </w:r>
    </w:p>
  </w:footnote>
  <w:footnote w:id="4">
    <w:p w14:paraId="5DD920BE" w14:textId="77777777" w:rsidR="00FB1F41" w:rsidRDefault="00FB1F41" w:rsidP="00971A15">
      <w:pPr>
        <w:pStyle w:val="FootnoteText"/>
        <w:ind w:left="200" w:hangingChars="100" w:hanging="200"/>
      </w:pPr>
      <w:r w:rsidRPr="00961953">
        <w:rPr>
          <w:rStyle w:val="FootnoteReference"/>
        </w:rPr>
        <w:footnoteRef/>
      </w:r>
      <w:r w:rsidRPr="00961953">
        <w:t xml:space="preserve"> Taipei port </w:t>
      </w:r>
      <w:r>
        <w:t xml:space="preserve">and Suao port are </w:t>
      </w:r>
      <w:r w:rsidRPr="00961953">
        <w:rPr>
          <w:rFonts w:eastAsia="Microsoft JhengHei"/>
        </w:rPr>
        <w:t>auxiliary port</w:t>
      </w:r>
      <w:r>
        <w:rPr>
          <w:rFonts w:eastAsia="Microsoft JhengHei"/>
        </w:rPr>
        <w:t>s</w:t>
      </w:r>
      <w:r w:rsidRPr="00961953">
        <w:rPr>
          <w:rFonts w:eastAsia="Microsoft JhengHei"/>
        </w:rPr>
        <w:t xml:space="preserve"> of Keelung Port</w:t>
      </w:r>
      <w:r>
        <w:rPr>
          <w:rFonts w:eastAsia="Microsoft JhengHei"/>
        </w:rPr>
        <w:t xml:space="preserve">. Anping port is auxiliary port of Kaohsiung port. </w:t>
      </w:r>
      <w:r w:rsidRPr="00A42FD9">
        <w:rPr>
          <w:rFonts w:eastAsia="Microsoft JhengHei"/>
        </w:rPr>
        <w:t>http://stat.motc.gov.tw/mocdb/stmain.jsp?sys=100</w:t>
      </w:r>
    </w:p>
  </w:footnote>
  <w:footnote w:id="5">
    <w:p w14:paraId="37D5A25C" w14:textId="40364819" w:rsidR="00FB1F41" w:rsidRPr="00435AF8" w:rsidRDefault="00FB1F41" w:rsidP="00CD00BF">
      <w:pPr>
        <w:pStyle w:val="FootnoteText"/>
      </w:pPr>
      <w:r w:rsidRPr="00435AF8">
        <w:rPr>
          <w:rStyle w:val="FootnoteReference"/>
        </w:rPr>
        <w:footnoteRef/>
      </w:r>
      <w:r w:rsidRPr="00435AF8">
        <w:t xml:space="preserve"> Cargo loading/unloading service in Taipei port was started in 2004.</w:t>
      </w:r>
    </w:p>
  </w:footnote>
  <w:footnote w:id="6">
    <w:p w14:paraId="6D95910D" w14:textId="5EC6C058" w:rsidR="00FB1F41" w:rsidRPr="0043009A" w:rsidRDefault="00FB1F41" w:rsidP="0010447A">
      <w:pPr>
        <w:snapToGrid w:val="0"/>
        <w:rPr>
          <w:rFonts w:ascii="Times New Roman" w:hAnsi="Times New Roman" w:cs="Times New Roman"/>
          <w:sz w:val="20"/>
          <w:szCs w:val="20"/>
        </w:rPr>
      </w:pPr>
      <w:r w:rsidRPr="0043009A">
        <w:rPr>
          <w:rStyle w:val="FootnoteReference"/>
          <w:rFonts w:ascii="Times New Roman" w:hAnsi="Times New Roman" w:cs="Times New Roman"/>
          <w:sz w:val="20"/>
          <w:szCs w:val="20"/>
        </w:rPr>
        <w:footnoteRef/>
      </w:r>
      <w:r w:rsidRPr="0043009A">
        <w:rPr>
          <w:rFonts w:ascii="Times New Roman" w:hAnsi="Times New Roman" w:cs="Times New Roman"/>
          <w:sz w:val="20"/>
          <w:szCs w:val="20"/>
        </w:rPr>
        <w:t xml:space="preserve"> TEU-twenty-foot equivalent units. Container service in Taipei port was started in 2009. Hualien port do not provide container service. Source: Ministry of Transportation and Communication http://www.motc.gov.tw/en/index.jsp</w:t>
      </w:r>
    </w:p>
    <w:p w14:paraId="13ED5884" w14:textId="2CA268A7" w:rsidR="00FB1F41" w:rsidRPr="0010447A" w:rsidRDefault="00FB1F4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E3E"/>
    <w:multiLevelType w:val="hybridMultilevel"/>
    <w:tmpl w:val="0950B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B70ED"/>
    <w:multiLevelType w:val="multilevel"/>
    <w:tmpl w:val="9A7C335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8074E6"/>
    <w:multiLevelType w:val="hybridMultilevel"/>
    <w:tmpl w:val="31723D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E2BA4"/>
    <w:multiLevelType w:val="hybridMultilevel"/>
    <w:tmpl w:val="316A1134"/>
    <w:lvl w:ilvl="0" w:tplc="BC4411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5333AA"/>
    <w:multiLevelType w:val="hybridMultilevel"/>
    <w:tmpl w:val="2222E08C"/>
    <w:lvl w:ilvl="0" w:tplc="643A8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7564D1"/>
    <w:multiLevelType w:val="hybridMultilevel"/>
    <w:tmpl w:val="905243A8"/>
    <w:lvl w:ilvl="0" w:tplc="BA9ED0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270A6E"/>
    <w:multiLevelType w:val="hybridMultilevel"/>
    <w:tmpl w:val="F4B8E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A26356"/>
    <w:multiLevelType w:val="hybridMultilevel"/>
    <w:tmpl w:val="A738B2BA"/>
    <w:lvl w:ilvl="0" w:tplc="8A3A3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7"/>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B0"/>
    <w:rsid w:val="00005148"/>
    <w:rsid w:val="0001007A"/>
    <w:rsid w:val="00014F57"/>
    <w:rsid w:val="00022169"/>
    <w:rsid w:val="000301C5"/>
    <w:rsid w:val="00033CB4"/>
    <w:rsid w:val="00037B21"/>
    <w:rsid w:val="00042776"/>
    <w:rsid w:val="00045617"/>
    <w:rsid w:val="000529CD"/>
    <w:rsid w:val="000532D0"/>
    <w:rsid w:val="0005344C"/>
    <w:rsid w:val="0005418E"/>
    <w:rsid w:val="00056B48"/>
    <w:rsid w:val="00056DCC"/>
    <w:rsid w:val="00060723"/>
    <w:rsid w:val="00062383"/>
    <w:rsid w:val="00066098"/>
    <w:rsid w:val="0006696D"/>
    <w:rsid w:val="00067F70"/>
    <w:rsid w:val="000706AD"/>
    <w:rsid w:val="00072D12"/>
    <w:rsid w:val="0007460F"/>
    <w:rsid w:val="00076721"/>
    <w:rsid w:val="00083F14"/>
    <w:rsid w:val="00085D8C"/>
    <w:rsid w:val="000934AD"/>
    <w:rsid w:val="00093C16"/>
    <w:rsid w:val="00096437"/>
    <w:rsid w:val="00096C88"/>
    <w:rsid w:val="000A304D"/>
    <w:rsid w:val="000A57ED"/>
    <w:rsid w:val="000A6602"/>
    <w:rsid w:val="000B5711"/>
    <w:rsid w:val="000C0835"/>
    <w:rsid w:val="000C18BE"/>
    <w:rsid w:val="000C25B0"/>
    <w:rsid w:val="000C520D"/>
    <w:rsid w:val="000C61A5"/>
    <w:rsid w:val="000C62FE"/>
    <w:rsid w:val="000C75C9"/>
    <w:rsid w:val="000E0A69"/>
    <w:rsid w:val="000E222A"/>
    <w:rsid w:val="000E3D71"/>
    <w:rsid w:val="000E3D95"/>
    <w:rsid w:val="000E40EB"/>
    <w:rsid w:val="000E78AC"/>
    <w:rsid w:val="000E7FCE"/>
    <w:rsid w:val="000F5D4F"/>
    <w:rsid w:val="0010447A"/>
    <w:rsid w:val="001110F8"/>
    <w:rsid w:val="0011224D"/>
    <w:rsid w:val="0011275D"/>
    <w:rsid w:val="00112EB1"/>
    <w:rsid w:val="00115F66"/>
    <w:rsid w:val="00117C55"/>
    <w:rsid w:val="001223E6"/>
    <w:rsid w:val="001235CA"/>
    <w:rsid w:val="001333D5"/>
    <w:rsid w:val="00135946"/>
    <w:rsid w:val="0013627E"/>
    <w:rsid w:val="001378CD"/>
    <w:rsid w:val="00143F46"/>
    <w:rsid w:val="00150BC2"/>
    <w:rsid w:val="00152DBA"/>
    <w:rsid w:val="001538A2"/>
    <w:rsid w:val="00155D2F"/>
    <w:rsid w:val="00155DA9"/>
    <w:rsid w:val="00160A9F"/>
    <w:rsid w:val="0016223C"/>
    <w:rsid w:val="00162F3B"/>
    <w:rsid w:val="00164790"/>
    <w:rsid w:val="0017116D"/>
    <w:rsid w:val="001733A9"/>
    <w:rsid w:val="00173BA0"/>
    <w:rsid w:val="001809E5"/>
    <w:rsid w:val="00186E58"/>
    <w:rsid w:val="0019070D"/>
    <w:rsid w:val="001939EA"/>
    <w:rsid w:val="001A16F3"/>
    <w:rsid w:val="001A4667"/>
    <w:rsid w:val="001B39BD"/>
    <w:rsid w:val="001B422E"/>
    <w:rsid w:val="001B4C0C"/>
    <w:rsid w:val="001B660D"/>
    <w:rsid w:val="001D3236"/>
    <w:rsid w:val="001F4EAC"/>
    <w:rsid w:val="001F6613"/>
    <w:rsid w:val="002002BD"/>
    <w:rsid w:val="00202AE5"/>
    <w:rsid w:val="00207823"/>
    <w:rsid w:val="00220ECC"/>
    <w:rsid w:val="0022329F"/>
    <w:rsid w:val="002236EC"/>
    <w:rsid w:val="00231F5A"/>
    <w:rsid w:val="0023235E"/>
    <w:rsid w:val="00234949"/>
    <w:rsid w:val="00234A1C"/>
    <w:rsid w:val="00235B53"/>
    <w:rsid w:val="002452A0"/>
    <w:rsid w:val="0024579E"/>
    <w:rsid w:val="002470AF"/>
    <w:rsid w:val="002527BD"/>
    <w:rsid w:val="00254F64"/>
    <w:rsid w:val="002552E4"/>
    <w:rsid w:val="0026166E"/>
    <w:rsid w:val="00263778"/>
    <w:rsid w:val="00266F39"/>
    <w:rsid w:val="00271183"/>
    <w:rsid w:val="002716D5"/>
    <w:rsid w:val="00273A14"/>
    <w:rsid w:val="002750A3"/>
    <w:rsid w:val="0027512F"/>
    <w:rsid w:val="002772F7"/>
    <w:rsid w:val="002805E3"/>
    <w:rsid w:val="00280AC4"/>
    <w:rsid w:val="00283E04"/>
    <w:rsid w:val="00284858"/>
    <w:rsid w:val="00286924"/>
    <w:rsid w:val="00290F2F"/>
    <w:rsid w:val="002910BD"/>
    <w:rsid w:val="00291F26"/>
    <w:rsid w:val="0029200A"/>
    <w:rsid w:val="00293E2C"/>
    <w:rsid w:val="002957E1"/>
    <w:rsid w:val="00296301"/>
    <w:rsid w:val="002970DE"/>
    <w:rsid w:val="002A3E56"/>
    <w:rsid w:val="002A42EA"/>
    <w:rsid w:val="002A5BB3"/>
    <w:rsid w:val="002B0C8F"/>
    <w:rsid w:val="002B4DEC"/>
    <w:rsid w:val="002C2916"/>
    <w:rsid w:val="002C5041"/>
    <w:rsid w:val="002C6622"/>
    <w:rsid w:val="002C6FBB"/>
    <w:rsid w:val="002C75DB"/>
    <w:rsid w:val="002C7949"/>
    <w:rsid w:val="002D76E0"/>
    <w:rsid w:val="002D78AA"/>
    <w:rsid w:val="002D7B63"/>
    <w:rsid w:val="002E2B0C"/>
    <w:rsid w:val="002E4676"/>
    <w:rsid w:val="002F6576"/>
    <w:rsid w:val="002F6A47"/>
    <w:rsid w:val="002F7F91"/>
    <w:rsid w:val="002F7FE0"/>
    <w:rsid w:val="00300284"/>
    <w:rsid w:val="00300F83"/>
    <w:rsid w:val="00301D38"/>
    <w:rsid w:val="003023C8"/>
    <w:rsid w:val="00303C73"/>
    <w:rsid w:val="00304882"/>
    <w:rsid w:val="003078B1"/>
    <w:rsid w:val="00313805"/>
    <w:rsid w:val="00315F59"/>
    <w:rsid w:val="00316E01"/>
    <w:rsid w:val="003228BA"/>
    <w:rsid w:val="003266FF"/>
    <w:rsid w:val="00326980"/>
    <w:rsid w:val="0032778C"/>
    <w:rsid w:val="00330AB3"/>
    <w:rsid w:val="00332387"/>
    <w:rsid w:val="00334B31"/>
    <w:rsid w:val="003367AD"/>
    <w:rsid w:val="003376FA"/>
    <w:rsid w:val="003427FF"/>
    <w:rsid w:val="00343A05"/>
    <w:rsid w:val="00354A0A"/>
    <w:rsid w:val="00356B81"/>
    <w:rsid w:val="0036347B"/>
    <w:rsid w:val="003668D5"/>
    <w:rsid w:val="00370D8E"/>
    <w:rsid w:val="00372AAB"/>
    <w:rsid w:val="00372DDB"/>
    <w:rsid w:val="00373323"/>
    <w:rsid w:val="003740EA"/>
    <w:rsid w:val="003836F8"/>
    <w:rsid w:val="003840B6"/>
    <w:rsid w:val="00386CB4"/>
    <w:rsid w:val="003872A0"/>
    <w:rsid w:val="003950B1"/>
    <w:rsid w:val="003A0242"/>
    <w:rsid w:val="003A0E36"/>
    <w:rsid w:val="003A1BD9"/>
    <w:rsid w:val="003B0042"/>
    <w:rsid w:val="003B59C1"/>
    <w:rsid w:val="003B629E"/>
    <w:rsid w:val="003C0823"/>
    <w:rsid w:val="003C083B"/>
    <w:rsid w:val="003C1CFD"/>
    <w:rsid w:val="003D0DA2"/>
    <w:rsid w:val="003D13F7"/>
    <w:rsid w:val="003D5BD8"/>
    <w:rsid w:val="003D5F7A"/>
    <w:rsid w:val="003D64D1"/>
    <w:rsid w:val="003E056E"/>
    <w:rsid w:val="003E0940"/>
    <w:rsid w:val="003E2673"/>
    <w:rsid w:val="003E6A4C"/>
    <w:rsid w:val="003F630B"/>
    <w:rsid w:val="003F6D0F"/>
    <w:rsid w:val="003F742C"/>
    <w:rsid w:val="004040C2"/>
    <w:rsid w:val="00406FD8"/>
    <w:rsid w:val="00412368"/>
    <w:rsid w:val="00414165"/>
    <w:rsid w:val="004202B2"/>
    <w:rsid w:val="00423807"/>
    <w:rsid w:val="004264DB"/>
    <w:rsid w:val="0043009A"/>
    <w:rsid w:val="0043056F"/>
    <w:rsid w:val="00431728"/>
    <w:rsid w:val="00431A08"/>
    <w:rsid w:val="00434AB1"/>
    <w:rsid w:val="00435AF8"/>
    <w:rsid w:val="00440CCD"/>
    <w:rsid w:val="00444691"/>
    <w:rsid w:val="00444BA1"/>
    <w:rsid w:val="004467EC"/>
    <w:rsid w:val="004469BE"/>
    <w:rsid w:val="00447807"/>
    <w:rsid w:val="00460C9A"/>
    <w:rsid w:val="004610C4"/>
    <w:rsid w:val="004619B6"/>
    <w:rsid w:val="00463BF0"/>
    <w:rsid w:val="004658C0"/>
    <w:rsid w:val="00472BDA"/>
    <w:rsid w:val="00473F91"/>
    <w:rsid w:val="004764C2"/>
    <w:rsid w:val="00477D23"/>
    <w:rsid w:val="0048438A"/>
    <w:rsid w:val="004843F2"/>
    <w:rsid w:val="00484872"/>
    <w:rsid w:val="004865FC"/>
    <w:rsid w:val="004925E9"/>
    <w:rsid w:val="00494BF2"/>
    <w:rsid w:val="00496EB4"/>
    <w:rsid w:val="004972A6"/>
    <w:rsid w:val="00497CB7"/>
    <w:rsid w:val="00497F86"/>
    <w:rsid w:val="004A20E1"/>
    <w:rsid w:val="004A73F6"/>
    <w:rsid w:val="004B002F"/>
    <w:rsid w:val="004B35E5"/>
    <w:rsid w:val="004B51F1"/>
    <w:rsid w:val="004B7E4E"/>
    <w:rsid w:val="004C0461"/>
    <w:rsid w:val="004C0925"/>
    <w:rsid w:val="004C25C1"/>
    <w:rsid w:val="004C3802"/>
    <w:rsid w:val="004C65E1"/>
    <w:rsid w:val="004C7372"/>
    <w:rsid w:val="004C792B"/>
    <w:rsid w:val="004D28C4"/>
    <w:rsid w:val="004D42BE"/>
    <w:rsid w:val="004D5F38"/>
    <w:rsid w:val="004E0E59"/>
    <w:rsid w:val="004E4BD0"/>
    <w:rsid w:val="004E579C"/>
    <w:rsid w:val="004E5CFF"/>
    <w:rsid w:val="004E6F09"/>
    <w:rsid w:val="004F0AA4"/>
    <w:rsid w:val="004F6B9A"/>
    <w:rsid w:val="00501453"/>
    <w:rsid w:val="0050454A"/>
    <w:rsid w:val="00504BE2"/>
    <w:rsid w:val="005056EB"/>
    <w:rsid w:val="0050596E"/>
    <w:rsid w:val="00511628"/>
    <w:rsid w:val="0051274B"/>
    <w:rsid w:val="00514BF0"/>
    <w:rsid w:val="00515BCE"/>
    <w:rsid w:val="0052542E"/>
    <w:rsid w:val="00527A3B"/>
    <w:rsid w:val="00527F27"/>
    <w:rsid w:val="005374D9"/>
    <w:rsid w:val="0055135B"/>
    <w:rsid w:val="00552D68"/>
    <w:rsid w:val="00553161"/>
    <w:rsid w:val="0055448D"/>
    <w:rsid w:val="005551A3"/>
    <w:rsid w:val="00555DD4"/>
    <w:rsid w:val="005577B1"/>
    <w:rsid w:val="00557876"/>
    <w:rsid w:val="0056083B"/>
    <w:rsid w:val="00561834"/>
    <w:rsid w:val="00561C4F"/>
    <w:rsid w:val="00561D3D"/>
    <w:rsid w:val="0056240E"/>
    <w:rsid w:val="00565C44"/>
    <w:rsid w:val="0056658A"/>
    <w:rsid w:val="0056789C"/>
    <w:rsid w:val="00570E5B"/>
    <w:rsid w:val="00572181"/>
    <w:rsid w:val="00573FA6"/>
    <w:rsid w:val="00576666"/>
    <w:rsid w:val="005848C3"/>
    <w:rsid w:val="00586809"/>
    <w:rsid w:val="00587F2C"/>
    <w:rsid w:val="0059156B"/>
    <w:rsid w:val="0059220A"/>
    <w:rsid w:val="005949E1"/>
    <w:rsid w:val="005973F0"/>
    <w:rsid w:val="005A1318"/>
    <w:rsid w:val="005A4630"/>
    <w:rsid w:val="005A6D4D"/>
    <w:rsid w:val="005B25F6"/>
    <w:rsid w:val="005B4A5D"/>
    <w:rsid w:val="005B57ED"/>
    <w:rsid w:val="005B7ECD"/>
    <w:rsid w:val="005C1AF8"/>
    <w:rsid w:val="005C1EB7"/>
    <w:rsid w:val="005C5C96"/>
    <w:rsid w:val="005C7905"/>
    <w:rsid w:val="005C7AF0"/>
    <w:rsid w:val="005D0AA4"/>
    <w:rsid w:val="005D2424"/>
    <w:rsid w:val="005D2FF1"/>
    <w:rsid w:val="005D31C8"/>
    <w:rsid w:val="005D3CF3"/>
    <w:rsid w:val="005E2769"/>
    <w:rsid w:val="005E2AF2"/>
    <w:rsid w:val="005F6864"/>
    <w:rsid w:val="005F7091"/>
    <w:rsid w:val="006002E9"/>
    <w:rsid w:val="00600D87"/>
    <w:rsid w:val="00601416"/>
    <w:rsid w:val="006035FB"/>
    <w:rsid w:val="00610F79"/>
    <w:rsid w:val="00613861"/>
    <w:rsid w:val="0061432A"/>
    <w:rsid w:val="006143AC"/>
    <w:rsid w:val="0061635D"/>
    <w:rsid w:val="00616B5F"/>
    <w:rsid w:val="006206E8"/>
    <w:rsid w:val="00621DB7"/>
    <w:rsid w:val="00630954"/>
    <w:rsid w:val="00630EA1"/>
    <w:rsid w:val="00635656"/>
    <w:rsid w:val="00635C7E"/>
    <w:rsid w:val="00642DD7"/>
    <w:rsid w:val="00646496"/>
    <w:rsid w:val="00647DBC"/>
    <w:rsid w:val="006500D8"/>
    <w:rsid w:val="006507D5"/>
    <w:rsid w:val="0065687D"/>
    <w:rsid w:val="00657375"/>
    <w:rsid w:val="00660400"/>
    <w:rsid w:val="00661B1D"/>
    <w:rsid w:val="00662CB0"/>
    <w:rsid w:val="00665CFB"/>
    <w:rsid w:val="00670FD4"/>
    <w:rsid w:val="0067302E"/>
    <w:rsid w:val="00675F6E"/>
    <w:rsid w:val="0068136D"/>
    <w:rsid w:val="00684242"/>
    <w:rsid w:val="00684992"/>
    <w:rsid w:val="00685732"/>
    <w:rsid w:val="00690650"/>
    <w:rsid w:val="006943D3"/>
    <w:rsid w:val="006952A6"/>
    <w:rsid w:val="00695A1F"/>
    <w:rsid w:val="00695FBE"/>
    <w:rsid w:val="00696015"/>
    <w:rsid w:val="006A2581"/>
    <w:rsid w:val="006A31D9"/>
    <w:rsid w:val="006A7290"/>
    <w:rsid w:val="006B21CD"/>
    <w:rsid w:val="006B5A0D"/>
    <w:rsid w:val="006B7D69"/>
    <w:rsid w:val="006C32F7"/>
    <w:rsid w:val="006C391F"/>
    <w:rsid w:val="006C3AB1"/>
    <w:rsid w:val="006D5023"/>
    <w:rsid w:val="006E26FE"/>
    <w:rsid w:val="006E577C"/>
    <w:rsid w:val="006E7A0A"/>
    <w:rsid w:val="006F00E0"/>
    <w:rsid w:val="006F07A3"/>
    <w:rsid w:val="006F0C1A"/>
    <w:rsid w:val="006F0F19"/>
    <w:rsid w:val="006F1153"/>
    <w:rsid w:val="007011B2"/>
    <w:rsid w:val="00705836"/>
    <w:rsid w:val="0070664C"/>
    <w:rsid w:val="007118E8"/>
    <w:rsid w:val="00712CE2"/>
    <w:rsid w:val="007151A0"/>
    <w:rsid w:val="007218E4"/>
    <w:rsid w:val="00725239"/>
    <w:rsid w:val="00725ECC"/>
    <w:rsid w:val="00731ADC"/>
    <w:rsid w:val="007342EB"/>
    <w:rsid w:val="00735AF4"/>
    <w:rsid w:val="00736E48"/>
    <w:rsid w:val="007370CE"/>
    <w:rsid w:val="00740407"/>
    <w:rsid w:val="00741511"/>
    <w:rsid w:val="007429CC"/>
    <w:rsid w:val="0075165E"/>
    <w:rsid w:val="00751C81"/>
    <w:rsid w:val="00751CAA"/>
    <w:rsid w:val="007523FD"/>
    <w:rsid w:val="00752F8D"/>
    <w:rsid w:val="00753893"/>
    <w:rsid w:val="007555FC"/>
    <w:rsid w:val="007645C1"/>
    <w:rsid w:val="00765CCD"/>
    <w:rsid w:val="00765D82"/>
    <w:rsid w:val="00767846"/>
    <w:rsid w:val="00777465"/>
    <w:rsid w:val="00783069"/>
    <w:rsid w:val="007911E1"/>
    <w:rsid w:val="00792B01"/>
    <w:rsid w:val="0079538D"/>
    <w:rsid w:val="007A3A8C"/>
    <w:rsid w:val="007A58AB"/>
    <w:rsid w:val="007A6F43"/>
    <w:rsid w:val="007B0B8E"/>
    <w:rsid w:val="007B0D73"/>
    <w:rsid w:val="007B1509"/>
    <w:rsid w:val="007B2C64"/>
    <w:rsid w:val="007B4268"/>
    <w:rsid w:val="007B5654"/>
    <w:rsid w:val="007C0335"/>
    <w:rsid w:val="007C3563"/>
    <w:rsid w:val="007C4193"/>
    <w:rsid w:val="007C4CBC"/>
    <w:rsid w:val="007D1BAE"/>
    <w:rsid w:val="007D2026"/>
    <w:rsid w:val="007D4B2B"/>
    <w:rsid w:val="007D6F9E"/>
    <w:rsid w:val="007E1466"/>
    <w:rsid w:val="007E5B23"/>
    <w:rsid w:val="007E633E"/>
    <w:rsid w:val="008002D5"/>
    <w:rsid w:val="00802E9B"/>
    <w:rsid w:val="008030E6"/>
    <w:rsid w:val="0080561C"/>
    <w:rsid w:val="00811205"/>
    <w:rsid w:val="0081678B"/>
    <w:rsid w:val="0082083E"/>
    <w:rsid w:val="00820860"/>
    <w:rsid w:val="0082326B"/>
    <w:rsid w:val="00824597"/>
    <w:rsid w:val="0082641F"/>
    <w:rsid w:val="00826682"/>
    <w:rsid w:val="008306B2"/>
    <w:rsid w:val="00833A1C"/>
    <w:rsid w:val="00837D7B"/>
    <w:rsid w:val="00844DFF"/>
    <w:rsid w:val="00845350"/>
    <w:rsid w:val="008464E9"/>
    <w:rsid w:val="00851C69"/>
    <w:rsid w:val="00852543"/>
    <w:rsid w:val="00852978"/>
    <w:rsid w:val="00853BDC"/>
    <w:rsid w:val="00854B8C"/>
    <w:rsid w:val="0085740D"/>
    <w:rsid w:val="00860EC4"/>
    <w:rsid w:val="00862D5A"/>
    <w:rsid w:val="00872397"/>
    <w:rsid w:val="00873102"/>
    <w:rsid w:val="00873201"/>
    <w:rsid w:val="00873604"/>
    <w:rsid w:val="008822E3"/>
    <w:rsid w:val="00882E0F"/>
    <w:rsid w:val="00882E25"/>
    <w:rsid w:val="00882FE5"/>
    <w:rsid w:val="00883DC5"/>
    <w:rsid w:val="008859D8"/>
    <w:rsid w:val="008865DD"/>
    <w:rsid w:val="008904FC"/>
    <w:rsid w:val="008A0262"/>
    <w:rsid w:val="008A22B3"/>
    <w:rsid w:val="008A2C26"/>
    <w:rsid w:val="008A46B3"/>
    <w:rsid w:val="008A6B42"/>
    <w:rsid w:val="008B69A1"/>
    <w:rsid w:val="008C5862"/>
    <w:rsid w:val="008C63D3"/>
    <w:rsid w:val="008D0366"/>
    <w:rsid w:val="008D395F"/>
    <w:rsid w:val="008D4D82"/>
    <w:rsid w:val="008D5C40"/>
    <w:rsid w:val="008E07AE"/>
    <w:rsid w:val="008E0FC0"/>
    <w:rsid w:val="008E6BB6"/>
    <w:rsid w:val="008F04B3"/>
    <w:rsid w:val="008F238E"/>
    <w:rsid w:val="008F755F"/>
    <w:rsid w:val="009006F6"/>
    <w:rsid w:val="009037EB"/>
    <w:rsid w:val="00904407"/>
    <w:rsid w:val="0090734F"/>
    <w:rsid w:val="009100C0"/>
    <w:rsid w:val="00914613"/>
    <w:rsid w:val="009148CA"/>
    <w:rsid w:val="0091664B"/>
    <w:rsid w:val="00926C22"/>
    <w:rsid w:val="00930BAB"/>
    <w:rsid w:val="00932FB4"/>
    <w:rsid w:val="009374DD"/>
    <w:rsid w:val="00941367"/>
    <w:rsid w:val="00943861"/>
    <w:rsid w:val="009440CC"/>
    <w:rsid w:val="00946B9E"/>
    <w:rsid w:val="00946E26"/>
    <w:rsid w:val="00946F21"/>
    <w:rsid w:val="00947F34"/>
    <w:rsid w:val="00950F67"/>
    <w:rsid w:val="00951AE2"/>
    <w:rsid w:val="009527B7"/>
    <w:rsid w:val="00953AAF"/>
    <w:rsid w:val="00954358"/>
    <w:rsid w:val="00956662"/>
    <w:rsid w:val="00957AFD"/>
    <w:rsid w:val="00961953"/>
    <w:rsid w:val="009632EB"/>
    <w:rsid w:val="0096428F"/>
    <w:rsid w:val="009644C2"/>
    <w:rsid w:val="00964AEF"/>
    <w:rsid w:val="00965981"/>
    <w:rsid w:val="00970150"/>
    <w:rsid w:val="00971A15"/>
    <w:rsid w:val="00973031"/>
    <w:rsid w:val="009735AD"/>
    <w:rsid w:val="00983D0A"/>
    <w:rsid w:val="00984179"/>
    <w:rsid w:val="00984627"/>
    <w:rsid w:val="00984E97"/>
    <w:rsid w:val="00985A12"/>
    <w:rsid w:val="009866DB"/>
    <w:rsid w:val="0098681E"/>
    <w:rsid w:val="009872DC"/>
    <w:rsid w:val="00987312"/>
    <w:rsid w:val="00992E40"/>
    <w:rsid w:val="009943CA"/>
    <w:rsid w:val="00997048"/>
    <w:rsid w:val="009978E9"/>
    <w:rsid w:val="009A0211"/>
    <w:rsid w:val="009A2339"/>
    <w:rsid w:val="009A52B5"/>
    <w:rsid w:val="009B5AE9"/>
    <w:rsid w:val="009B5BE6"/>
    <w:rsid w:val="009C18BF"/>
    <w:rsid w:val="009C4715"/>
    <w:rsid w:val="009C7D83"/>
    <w:rsid w:val="009D0F41"/>
    <w:rsid w:val="009D184D"/>
    <w:rsid w:val="009D33A1"/>
    <w:rsid w:val="009D5F7D"/>
    <w:rsid w:val="009D6901"/>
    <w:rsid w:val="009D6A84"/>
    <w:rsid w:val="009E2564"/>
    <w:rsid w:val="009E2724"/>
    <w:rsid w:val="009E39EB"/>
    <w:rsid w:val="009E4A93"/>
    <w:rsid w:val="009E552F"/>
    <w:rsid w:val="009E5D26"/>
    <w:rsid w:val="009E606F"/>
    <w:rsid w:val="009E700D"/>
    <w:rsid w:val="009E70C2"/>
    <w:rsid w:val="009F24E9"/>
    <w:rsid w:val="009F3832"/>
    <w:rsid w:val="009F5E1C"/>
    <w:rsid w:val="009F641E"/>
    <w:rsid w:val="009F6694"/>
    <w:rsid w:val="009F6A48"/>
    <w:rsid w:val="009F6D8B"/>
    <w:rsid w:val="00A12306"/>
    <w:rsid w:val="00A128B8"/>
    <w:rsid w:val="00A1479A"/>
    <w:rsid w:val="00A1497A"/>
    <w:rsid w:val="00A1551B"/>
    <w:rsid w:val="00A20457"/>
    <w:rsid w:val="00A257CE"/>
    <w:rsid w:val="00A27A48"/>
    <w:rsid w:val="00A33B1C"/>
    <w:rsid w:val="00A35188"/>
    <w:rsid w:val="00A3617C"/>
    <w:rsid w:val="00A36E91"/>
    <w:rsid w:val="00A41ED1"/>
    <w:rsid w:val="00A42FD9"/>
    <w:rsid w:val="00A4570D"/>
    <w:rsid w:val="00A47E97"/>
    <w:rsid w:val="00A51A0D"/>
    <w:rsid w:val="00A52E4D"/>
    <w:rsid w:val="00A60F8D"/>
    <w:rsid w:val="00A6188B"/>
    <w:rsid w:val="00A63FEE"/>
    <w:rsid w:val="00A70AD4"/>
    <w:rsid w:val="00A72CFD"/>
    <w:rsid w:val="00A75E9D"/>
    <w:rsid w:val="00A80373"/>
    <w:rsid w:val="00A804DA"/>
    <w:rsid w:val="00A80DD5"/>
    <w:rsid w:val="00A90109"/>
    <w:rsid w:val="00A91CD8"/>
    <w:rsid w:val="00A95310"/>
    <w:rsid w:val="00A978B6"/>
    <w:rsid w:val="00A97D68"/>
    <w:rsid w:val="00AA15CC"/>
    <w:rsid w:val="00AA3544"/>
    <w:rsid w:val="00AA7509"/>
    <w:rsid w:val="00AB036C"/>
    <w:rsid w:val="00AC69E9"/>
    <w:rsid w:val="00AC6C6A"/>
    <w:rsid w:val="00AC71D0"/>
    <w:rsid w:val="00AD0886"/>
    <w:rsid w:val="00AD1E86"/>
    <w:rsid w:val="00AD5F71"/>
    <w:rsid w:val="00AD6440"/>
    <w:rsid w:val="00AE068B"/>
    <w:rsid w:val="00AE6784"/>
    <w:rsid w:val="00AF0683"/>
    <w:rsid w:val="00AF6536"/>
    <w:rsid w:val="00B00565"/>
    <w:rsid w:val="00B00F59"/>
    <w:rsid w:val="00B03065"/>
    <w:rsid w:val="00B151C7"/>
    <w:rsid w:val="00B16800"/>
    <w:rsid w:val="00B201DF"/>
    <w:rsid w:val="00B23807"/>
    <w:rsid w:val="00B25A17"/>
    <w:rsid w:val="00B353D5"/>
    <w:rsid w:val="00B3596E"/>
    <w:rsid w:val="00B37EFB"/>
    <w:rsid w:val="00B40234"/>
    <w:rsid w:val="00B42B2D"/>
    <w:rsid w:val="00B44630"/>
    <w:rsid w:val="00B44723"/>
    <w:rsid w:val="00B50C95"/>
    <w:rsid w:val="00B52292"/>
    <w:rsid w:val="00B5235D"/>
    <w:rsid w:val="00B5523D"/>
    <w:rsid w:val="00B665EA"/>
    <w:rsid w:val="00B6700E"/>
    <w:rsid w:val="00B72E65"/>
    <w:rsid w:val="00B830BC"/>
    <w:rsid w:val="00B857B6"/>
    <w:rsid w:val="00B87210"/>
    <w:rsid w:val="00B92970"/>
    <w:rsid w:val="00B945AE"/>
    <w:rsid w:val="00B97035"/>
    <w:rsid w:val="00BA04C0"/>
    <w:rsid w:val="00BA23A7"/>
    <w:rsid w:val="00BB33CD"/>
    <w:rsid w:val="00BB3CFE"/>
    <w:rsid w:val="00BB54E3"/>
    <w:rsid w:val="00BC019A"/>
    <w:rsid w:val="00BC3571"/>
    <w:rsid w:val="00BC3C82"/>
    <w:rsid w:val="00BC3EC0"/>
    <w:rsid w:val="00BD0C8F"/>
    <w:rsid w:val="00BD2821"/>
    <w:rsid w:val="00BD4C16"/>
    <w:rsid w:val="00BE462D"/>
    <w:rsid w:val="00BE6D76"/>
    <w:rsid w:val="00BE78E7"/>
    <w:rsid w:val="00BF3936"/>
    <w:rsid w:val="00BF5374"/>
    <w:rsid w:val="00C015E2"/>
    <w:rsid w:val="00C035D3"/>
    <w:rsid w:val="00C05547"/>
    <w:rsid w:val="00C05CEA"/>
    <w:rsid w:val="00C06D04"/>
    <w:rsid w:val="00C14413"/>
    <w:rsid w:val="00C16866"/>
    <w:rsid w:val="00C23BFF"/>
    <w:rsid w:val="00C250EA"/>
    <w:rsid w:val="00C27D51"/>
    <w:rsid w:val="00C312B8"/>
    <w:rsid w:val="00C320F7"/>
    <w:rsid w:val="00C334C7"/>
    <w:rsid w:val="00C41624"/>
    <w:rsid w:val="00C423BD"/>
    <w:rsid w:val="00C42F5B"/>
    <w:rsid w:val="00C46062"/>
    <w:rsid w:val="00C475B5"/>
    <w:rsid w:val="00C555C0"/>
    <w:rsid w:val="00C556D3"/>
    <w:rsid w:val="00C55918"/>
    <w:rsid w:val="00C63092"/>
    <w:rsid w:val="00C631B3"/>
    <w:rsid w:val="00C74741"/>
    <w:rsid w:val="00C778BD"/>
    <w:rsid w:val="00C80705"/>
    <w:rsid w:val="00C81A28"/>
    <w:rsid w:val="00C81DE8"/>
    <w:rsid w:val="00C85ACC"/>
    <w:rsid w:val="00C9131B"/>
    <w:rsid w:val="00C953E9"/>
    <w:rsid w:val="00C96D48"/>
    <w:rsid w:val="00C975BB"/>
    <w:rsid w:val="00CA01F6"/>
    <w:rsid w:val="00CA0A8A"/>
    <w:rsid w:val="00CA55FE"/>
    <w:rsid w:val="00CA6235"/>
    <w:rsid w:val="00CA6BD3"/>
    <w:rsid w:val="00CA72DD"/>
    <w:rsid w:val="00CB0D16"/>
    <w:rsid w:val="00CB17C7"/>
    <w:rsid w:val="00CB6A25"/>
    <w:rsid w:val="00CB73A4"/>
    <w:rsid w:val="00CD00BF"/>
    <w:rsid w:val="00CD3070"/>
    <w:rsid w:val="00CE1E04"/>
    <w:rsid w:val="00CF7579"/>
    <w:rsid w:val="00D02330"/>
    <w:rsid w:val="00D05DFE"/>
    <w:rsid w:val="00D10BC1"/>
    <w:rsid w:val="00D11834"/>
    <w:rsid w:val="00D11F88"/>
    <w:rsid w:val="00D17FF3"/>
    <w:rsid w:val="00D20E1A"/>
    <w:rsid w:val="00D21543"/>
    <w:rsid w:val="00D239E6"/>
    <w:rsid w:val="00D23DFC"/>
    <w:rsid w:val="00D24F96"/>
    <w:rsid w:val="00D24FF8"/>
    <w:rsid w:val="00D27044"/>
    <w:rsid w:val="00D40D03"/>
    <w:rsid w:val="00D50E0E"/>
    <w:rsid w:val="00D51C3A"/>
    <w:rsid w:val="00D54A1D"/>
    <w:rsid w:val="00D56504"/>
    <w:rsid w:val="00D57C1B"/>
    <w:rsid w:val="00D61A93"/>
    <w:rsid w:val="00D61F4E"/>
    <w:rsid w:val="00D64A21"/>
    <w:rsid w:val="00D70BAF"/>
    <w:rsid w:val="00D723BE"/>
    <w:rsid w:val="00D73AAD"/>
    <w:rsid w:val="00D75982"/>
    <w:rsid w:val="00D81FFD"/>
    <w:rsid w:val="00D85359"/>
    <w:rsid w:val="00D90B5E"/>
    <w:rsid w:val="00D94BEB"/>
    <w:rsid w:val="00D95652"/>
    <w:rsid w:val="00DA4E3C"/>
    <w:rsid w:val="00DB0463"/>
    <w:rsid w:val="00DB2A6E"/>
    <w:rsid w:val="00DB5DA5"/>
    <w:rsid w:val="00DC024C"/>
    <w:rsid w:val="00DD039A"/>
    <w:rsid w:val="00DD08AF"/>
    <w:rsid w:val="00DD2641"/>
    <w:rsid w:val="00DD438B"/>
    <w:rsid w:val="00DD487F"/>
    <w:rsid w:val="00DD4C75"/>
    <w:rsid w:val="00DD5CF9"/>
    <w:rsid w:val="00DD611A"/>
    <w:rsid w:val="00DD7FEA"/>
    <w:rsid w:val="00DE2766"/>
    <w:rsid w:val="00DE6565"/>
    <w:rsid w:val="00DF2133"/>
    <w:rsid w:val="00DF29B3"/>
    <w:rsid w:val="00DF434B"/>
    <w:rsid w:val="00DF4687"/>
    <w:rsid w:val="00DF74F6"/>
    <w:rsid w:val="00E024B3"/>
    <w:rsid w:val="00E028A4"/>
    <w:rsid w:val="00E0759E"/>
    <w:rsid w:val="00E075B2"/>
    <w:rsid w:val="00E103BC"/>
    <w:rsid w:val="00E11E6F"/>
    <w:rsid w:val="00E13960"/>
    <w:rsid w:val="00E17C0F"/>
    <w:rsid w:val="00E22AF9"/>
    <w:rsid w:val="00E2419E"/>
    <w:rsid w:val="00E24E04"/>
    <w:rsid w:val="00E27BCB"/>
    <w:rsid w:val="00E33C6F"/>
    <w:rsid w:val="00E34515"/>
    <w:rsid w:val="00E34AF0"/>
    <w:rsid w:val="00E36D31"/>
    <w:rsid w:val="00E408EA"/>
    <w:rsid w:val="00E41F7C"/>
    <w:rsid w:val="00E42339"/>
    <w:rsid w:val="00E42B95"/>
    <w:rsid w:val="00E519D2"/>
    <w:rsid w:val="00E572EE"/>
    <w:rsid w:val="00E60E67"/>
    <w:rsid w:val="00E6127A"/>
    <w:rsid w:val="00E66389"/>
    <w:rsid w:val="00E67E62"/>
    <w:rsid w:val="00E70BC4"/>
    <w:rsid w:val="00E71873"/>
    <w:rsid w:val="00E910BC"/>
    <w:rsid w:val="00E925C9"/>
    <w:rsid w:val="00EA37FC"/>
    <w:rsid w:val="00EC2196"/>
    <w:rsid w:val="00EC49BF"/>
    <w:rsid w:val="00EC5150"/>
    <w:rsid w:val="00ED05E8"/>
    <w:rsid w:val="00ED620A"/>
    <w:rsid w:val="00ED6D24"/>
    <w:rsid w:val="00EE26E1"/>
    <w:rsid w:val="00EE3A89"/>
    <w:rsid w:val="00EE585B"/>
    <w:rsid w:val="00EF1FE7"/>
    <w:rsid w:val="00EF2B49"/>
    <w:rsid w:val="00EF3AC5"/>
    <w:rsid w:val="00F02586"/>
    <w:rsid w:val="00F02FE6"/>
    <w:rsid w:val="00F03D76"/>
    <w:rsid w:val="00F076E4"/>
    <w:rsid w:val="00F07FF4"/>
    <w:rsid w:val="00F10DCD"/>
    <w:rsid w:val="00F11025"/>
    <w:rsid w:val="00F139BE"/>
    <w:rsid w:val="00F172D5"/>
    <w:rsid w:val="00F21232"/>
    <w:rsid w:val="00F2414A"/>
    <w:rsid w:val="00F2513F"/>
    <w:rsid w:val="00F368B9"/>
    <w:rsid w:val="00F41165"/>
    <w:rsid w:val="00F514FA"/>
    <w:rsid w:val="00F5273A"/>
    <w:rsid w:val="00F53825"/>
    <w:rsid w:val="00F549FA"/>
    <w:rsid w:val="00F5701C"/>
    <w:rsid w:val="00F57477"/>
    <w:rsid w:val="00F61C67"/>
    <w:rsid w:val="00F63355"/>
    <w:rsid w:val="00F64C61"/>
    <w:rsid w:val="00F65618"/>
    <w:rsid w:val="00F664FC"/>
    <w:rsid w:val="00F706FB"/>
    <w:rsid w:val="00F7588E"/>
    <w:rsid w:val="00F77518"/>
    <w:rsid w:val="00F875AE"/>
    <w:rsid w:val="00F9254D"/>
    <w:rsid w:val="00F9353D"/>
    <w:rsid w:val="00F9590D"/>
    <w:rsid w:val="00FA06DC"/>
    <w:rsid w:val="00FA2945"/>
    <w:rsid w:val="00FA4A28"/>
    <w:rsid w:val="00FB1F41"/>
    <w:rsid w:val="00FB27E0"/>
    <w:rsid w:val="00FB34FA"/>
    <w:rsid w:val="00FB3DB6"/>
    <w:rsid w:val="00FC3CC7"/>
    <w:rsid w:val="00FC6DE8"/>
    <w:rsid w:val="00FC6ECA"/>
    <w:rsid w:val="00FD1060"/>
    <w:rsid w:val="00FD28E9"/>
    <w:rsid w:val="00FD6155"/>
    <w:rsid w:val="00FE0EAA"/>
    <w:rsid w:val="00FE212A"/>
    <w:rsid w:val="00FE24F4"/>
    <w:rsid w:val="00FE6048"/>
    <w:rsid w:val="00FE670A"/>
    <w:rsid w:val="00FF3219"/>
    <w:rsid w:val="00FF33C9"/>
    <w:rsid w:val="00FF5753"/>
    <w:rsid w:val="00FF7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34FEF6"/>
  <w15:docId w15:val="{123D4722-D696-44CC-A3CE-D9988D7E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BE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04BE2"/>
    <w:rPr>
      <w:sz w:val="20"/>
      <w:szCs w:val="20"/>
    </w:rPr>
  </w:style>
  <w:style w:type="paragraph" w:styleId="Footer">
    <w:name w:val="footer"/>
    <w:basedOn w:val="Normal"/>
    <w:link w:val="FooterChar"/>
    <w:uiPriority w:val="99"/>
    <w:unhideWhenUsed/>
    <w:rsid w:val="00504BE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04BE2"/>
    <w:rPr>
      <w:sz w:val="20"/>
      <w:szCs w:val="20"/>
    </w:rPr>
  </w:style>
  <w:style w:type="table" w:styleId="TableGrid">
    <w:name w:val="Table Grid"/>
    <w:basedOn w:val="TableNormal"/>
    <w:uiPriority w:val="39"/>
    <w:rsid w:val="0096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664B"/>
    <w:pPr>
      <w:widowControl/>
      <w:spacing w:before="100" w:beforeAutospacing="1" w:after="100" w:afterAutospacing="1"/>
    </w:pPr>
    <w:rPr>
      <w:rFonts w:ascii="PMingLiU" w:eastAsia="PMingLiU" w:hAnsi="PMingLiU" w:cs="PMingLiU"/>
      <w:kern w:val="0"/>
      <w:szCs w:val="24"/>
    </w:rPr>
  </w:style>
  <w:style w:type="paragraph" w:styleId="ListParagraph">
    <w:name w:val="List Paragraph"/>
    <w:basedOn w:val="Normal"/>
    <w:uiPriority w:val="34"/>
    <w:qFormat/>
    <w:rsid w:val="008A6B42"/>
    <w:pPr>
      <w:ind w:leftChars="200" w:left="480"/>
    </w:pPr>
  </w:style>
  <w:style w:type="character" w:styleId="Hyperlink">
    <w:name w:val="Hyperlink"/>
    <w:basedOn w:val="DefaultParagraphFont"/>
    <w:rsid w:val="00961953"/>
    <w:rPr>
      <w:color w:val="0000FF"/>
      <w:u w:val="single"/>
    </w:rPr>
  </w:style>
  <w:style w:type="paragraph" w:styleId="FootnoteText">
    <w:name w:val="footnote text"/>
    <w:basedOn w:val="Normal"/>
    <w:link w:val="FootnoteTextChar"/>
    <w:semiHidden/>
    <w:rsid w:val="00961953"/>
    <w:pPr>
      <w:snapToGrid w:val="0"/>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semiHidden/>
    <w:rsid w:val="00961953"/>
    <w:rPr>
      <w:rFonts w:ascii="Times New Roman" w:eastAsia="PMingLiU" w:hAnsi="Times New Roman" w:cs="Times New Roman"/>
      <w:sz w:val="20"/>
      <w:szCs w:val="20"/>
    </w:rPr>
  </w:style>
  <w:style w:type="character" w:styleId="FootnoteReference">
    <w:name w:val="footnote reference"/>
    <w:basedOn w:val="DefaultParagraphFont"/>
    <w:semiHidden/>
    <w:rsid w:val="00961953"/>
    <w:rPr>
      <w:vertAlign w:val="superscript"/>
    </w:rPr>
  </w:style>
  <w:style w:type="character" w:styleId="CommentReference">
    <w:name w:val="annotation reference"/>
    <w:basedOn w:val="DefaultParagraphFont"/>
    <w:uiPriority w:val="99"/>
    <w:semiHidden/>
    <w:unhideWhenUsed/>
    <w:rsid w:val="0068136D"/>
    <w:rPr>
      <w:sz w:val="16"/>
      <w:szCs w:val="16"/>
    </w:rPr>
  </w:style>
  <w:style w:type="paragraph" w:styleId="CommentText">
    <w:name w:val="annotation text"/>
    <w:basedOn w:val="Normal"/>
    <w:link w:val="CommentTextChar"/>
    <w:uiPriority w:val="99"/>
    <w:semiHidden/>
    <w:unhideWhenUsed/>
    <w:rsid w:val="0068136D"/>
    <w:rPr>
      <w:sz w:val="20"/>
      <w:szCs w:val="20"/>
    </w:rPr>
  </w:style>
  <w:style w:type="character" w:customStyle="1" w:styleId="CommentTextChar">
    <w:name w:val="Comment Text Char"/>
    <w:basedOn w:val="DefaultParagraphFont"/>
    <w:link w:val="CommentText"/>
    <w:uiPriority w:val="99"/>
    <w:semiHidden/>
    <w:rsid w:val="0068136D"/>
    <w:rPr>
      <w:sz w:val="20"/>
      <w:szCs w:val="20"/>
    </w:rPr>
  </w:style>
  <w:style w:type="paragraph" w:styleId="CommentSubject">
    <w:name w:val="annotation subject"/>
    <w:basedOn w:val="CommentText"/>
    <w:next w:val="CommentText"/>
    <w:link w:val="CommentSubjectChar"/>
    <w:uiPriority w:val="99"/>
    <w:semiHidden/>
    <w:unhideWhenUsed/>
    <w:rsid w:val="0068136D"/>
    <w:rPr>
      <w:b/>
      <w:bCs/>
    </w:rPr>
  </w:style>
  <w:style w:type="character" w:customStyle="1" w:styleId="CommentSubjectChar">
    <w:name w:val="Comment Subject Char"/>
    <w:basedOn w:val="CommentTextChar"/>
    <w:link w:val="CommentSubject"/>
    <w:uiPriority w:val="99"/>
    <w:semiHidden/>
    <w:rsid w:val="0068136D"/>
    <w:rPr>
      <w:b/>
      <w:bCs/>
      <w:sz w:val="20"/>
      <w:szCs w:val="20"/>
    </w:rPr>
  </w:style>
  <w:style w:type="paragraph" w:styleId="BalloonText">
    <w:name w:val="Balloon Text"/>
    <w:basedOn w:val="Normal"/>
    <w:link w:val="BalloonTextChar"/>
    <w:uiPriority w:val="99"/>
    <w:semiHidden/>
    <w:unhideWhenUsed/>
    <w:rsid w:val="00681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6D"/>
    <w:rPr>
      <w:rFonts w:ascii="Segoe UI" w:hAnsi="Segoe UI" w:cs="Segoe UI"/>
      <w:sz w:val="18"/>
      <w:szCs w:val="18"/>
    </w:rPr>
  </w:style>
  <w:style w:type="paragraph" w:styleId="HTMLPreformatted">
    <w:name w:val="HTML Preformatted"/>
    <w:basedOn w:val="Normal"/>
    <w:link w:val="HTMLPreformattedChar"/>
    <w:uiPriority w:val="99"/>
    <w:unhideWhenUsed/>
    <w:rsid w:val="00AD0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character" w:customStyle="1" w:styleId="HTMLPreformattedChar">
    <w:name w:val="HTML Preformatted Char"/>
    <w:basedOn w:val="DefaultParagraphFont"/>
    <w:link w:val="HTMLPreformatted"/>
    <w:uiPriority w:val="99"/>
    <w:rsid w:val="00AD0886"/>
    <w:rPr>
      <w:rFonts w:ascii="MingLiU" w:eastAsia="MingLiU" w:hAnsi="MingLiU" w:cs="MingLiU"/>
      <w:kern w:val="0"/>
      <w:szCs w:val="24"/>
    </w:rPr>
  </w:style>
  <w:style w:type="character" w:customStyle="1" w:styleId="ya-q-full-text">
    <w:name w:val="ya-q-full-text"/>
    <w:basedOn w:val="DefaultParagraphFont"/>
    <w:rsid w:val="00005148"/>
  </w:style>
  <w:style w:type="character" w:styleId="Emphasis">
    <w:name w:val="Emphasis"/>
    <w:basedOn w:val="DefaultParagraphFont"/>
    <w:uiPriority w:val="20"/>
    <w:qFormat/>
    <w:rsid w:val="00CB6A25"/>
    <w:rPr>
      <w:i/>
      <w:iCs/>
    </w:rPr>
  </w:style>
  <w:style w:type="paragraph" w:styleId="Revision">
    <w:name w:val="Revision"/>
    <w:hidden/>
    <w:uiPriority w:val="99"/>
    <w:semiHidden/>
    <w:rsid w:val="0090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6973">
      <w:bodyDiv w:val="1"/>
      <w:marLeft w:val="0"/>
      <w:marRight w:val="0"/>
      <w:marTop w:val="0"/>
      <w:marBottom w:val="0"/>
      <w:divBdr>
        <w:top w:val="none" w:sz="0" w:space="0" w:color="auto"/>
        <w:left w:val="none" w:sz="0" w:space="0" w:color="auto"/>
        <w:bottom w:val="none" w:sz="0" w:space="0" w:color="auto"/>
        <w:right w:val="none" w:sz="0" w:space="0" w:color="auto"/>
      </w:divBdr>
    </w:div>
    <w:div w:id="113451411">
      <w:bodyDiv w:val="1"/>
      <w:marLeft w:val="0"/>
      <w:marRight w:val="0"/>
      <w:marTop w:val="0"/>
      <w:marBottom w:val="0"/>
      <w:divBdr>
        <w:top w:val="none" w:sz="0" w:space="0" w:color="auto"/>
        <w:left w:val="none" w:sz="0" w:space="0" w:color="auto"/>
        <w:bottom w:val="none" w:sz="0" w:space="0" w:color="auto"/>
        <w:right w:val="none" w:sz="0" w:space="0" w:color="auto"/>
      </w:divBdr>
    </w:div>
    <w:div w:id="147523077">
      <w:bodyDiv w:val="1"/>
      <w:marLeft w:val="0"/>
      <w:marRight w:val="0"/>
      <w:marTop w:val="0"/>
      <w:marBottom w:val="0"/>
      <w:divBdr>
        <w:top w:val="none" w:sz="0" w:space="0" w:color="auto"/>
        <w:left w:val="none" w:sz="0" w:space="0" w:color="auto"/>
        <w:bottom w:val="none" w:sz="0" w:space="0" w:color="auto"/>
        <w:right w:val="none" w:sz="0" w:space="0" w:color="auto"/>
      </w:divBdr>
    </w:div>
    <w:div w:id="342129761">
      <w:bodyDiv w:val="1"/>
      <w:marLeft w:val="0"/>
      <w:marRight w:val="0"/>
      <w:marTop w:val="0"/>
      <w:marBottom w:val="0"/>
      <w:divBdr>
        <w:top w:val="none" w:sz="0" w:space="0" w:color="auto"/>
        <w:left w:val="none" w:sz="0" w:space="0" w:color="auto"/>
        <w:bottom w:val="none" w:sz="0" w:space="0" w:color="auto"/>
        <w:right w:val="none" w:sz="0" w:space="0" w:color="auto"/>
      </w:divBdr>
    </w:div>
    <w:div w:id="502472859">
      <w:bodyDiv w:val="1"/>
      <w:marLeft w:val="0"/>
      <w:marRight w:val="0"/>
      <w:marTop w:val="0"/>
      <w:marBottom w:val="0"/>
      <w:divBdr>
        <w:top w:val="none" w:sz="0" w:space="0" w:color="auto"/>
        <w:left w:val="none" w:sz="0" w:space="0" w:color="auto"/>
        <w:bottom w:val="none" w:sz="0" w:space="0" w:color="auto"/>
        <w:right w:val="none" w:sz="0" w:space="0" w:color="auto"/>
      </w:divBdr>
    </w:div>
    <w:div w:id="508259099">
      <w:bodyDiv w:val="1"/>
      <w:marLeft w:val="0"/>
      <w:marRight w:val="0"/>
      <w:marTop w:val="0"/>
      <w:marBottom w:val="0"/>
      <w:divBdr>
        <w:top w:val="none" w:sz="0" w:space="0" w:color="auto"/>
        <w:left w:val="none" w:sz="0" w:space="0" w:color="auto"/>
        <w:bottom w:val="none" w:sz="0" w:space="0" w:color="auto"/>
        <w:right w:val="none" w:sz="0" w:space="0" w:color="auto"/>
      </w:divBdr>
    </w:div>
    <w:div w:id="510871325">
      <w:bodyDiv w:val="1"/>
      <w:marLeft w:val="0"/>
      <w:marRight w:val="0"/>
      <w:marTop w:val="0"/>
      <w:marBottom w:val="0"/>
      <w:divBdr>
        <w:top w:val="none" w:sz="0" w:space="0" w:color="auto"/>
        <w:left w:val="none" w:sz="0" w:space="0" w:color="auto"/>
        <w:bottom w:val="none" w:sz="0" w:space="0" w:color="auto"/>
        <w:right w:val="none" w:sz="0" w:space="0" w:color="auto"/>
      </w:divBdr>
    </w:div>
    <w:div w:id="519127716">
      <w:bodyDiv w:val="1"/>
      <w:marLeft w:val="0"/>
      <w:marRight w:val="0"/>
      <w:marTop w:val="0"/>
      <w:marBottom w:val="0"/>
      <w:divBdr>
        <w:top w:val="none" w:sz="0" w:space="0" w:color="auto"/>
        <w:left w:val="none" w:sz="0" w:space="0" w:color="auto"/>
        <w:bottom w:val="none" w:sz="0" w:space="0" w:color="auto"/>
        <w:right w:val="none" w:sz="0" w:space="0" w:color="auto"/>
      </w:divBdr>
    </w:div>
    <w:div w:id="567501591">
      <w:bodyDiv w:val="1"/>
      <w:marLeft w:val="0"/>
      <w:marRight w:val="0"/>
      <w:marTop w:val="0"/>
      <w:marBottom w:val="0"/>
      <w:divBdr>
        <w:top w:val="none" w:sz="0" w:space="0" w:color="auto"/>
        <w:left w:val="none" w:sz="0" w:space="0" w:color="auto"/>
        <w:bottom w:val="none" w:sz="0" w:space="0" w:color="auto"/>
        <w:right w:val="none" w:sz="0" w:space="0" w:color="auto"/>
      </w:divBdr>
    </w:div>
    <w:div w:id="647320074">
      <w:bodyDiv w:val="1"/>
      <w:marLeft w:val="0"/>
      <w:marRight w:val="0"/>
      <w:marTop w:val="0"/>
      <w:marBottom w:val="0"/>
      <w:divBdr>
        <w:top w:val="none" w:sz="0" w:space="0" w:color="auto"/>
        <w:left w:val="none" w:sz="0" w:space="0" w:color="auto"/>
        <w:bottom w:val="none" w:sz="0" w:space="0" w:color="auto"/>
        <w:right w:val="none" w:sz="0" w:space="0" w:color="auto"/>
      </w:divBdr>
    </w:div>
    <w:div w:id="923028275">
      <w:bodyDiv w:val="1"/>
      <w:marLeft w:val="0"/>
      <w:marRight w:val="0"/>
      <w:marTop w:val="0"/>
      <w:marBottom w:val="0"/>
      <w:divBdr>
        <w:top w:val="none" w:sz="0" w:space="0" w:color="auto"/>
        <w:left w:val="none" w:sz="0" w:space="0" w:color="auto"/>
        <w:bottom w:val="none" w:sz="0" w:space="0" w:color="auto"/>
        <w:right w:val="none" w:sz="0" w:space="0" w:color="auto"/>
      </w:divBdr>
    </w:div>
    <w:div w:id="932472341">
      <w:bodyDiv w:val="1"/>
      <w:marLeft w:val="0"/>
      <w:marRight w:val="0"/>
      <w:marTop w:val="0"/>
      <w:marBottom w:val="0"/>
      <w:divBdr>
        <w:top w:val="none" w:sz="0" w:space="0" w:color="auto"/>
        <w:left w:val="none" w:sz="0" w:space="0" w:color="auto"/>
        <w:bottom w:val="none" w:sz="0" w:space="0" w:color="auto"/>
        <w:right w:val="none" w:sz="0" w:space="0" w:color="auto"/>
      </w:divBdr>
    </w:div>
    <w:div w:id="944657205">
      <w:bodyDiv w:val="1"/>
      <w:marLeft w:val="0"/>
      <w:marRight w:val="0"/>
      <w:marTop w:val="0"/>
      <w:marBottom w:val="0"/>
      <w:divBdr>
        <w:top w:val="none" w:sz="0" w:space="0" w:color="auto"/>
        <w:left w:val="none" w:sz="0" w:space="0" w:color="auto"/>
        <w:bottom w:val="none" w:sz="0" w:space="0" w:color="auto"/>
        <w:right w:val="none" w:sz="0" w:space="0" w:color="auto"/>
      </w:divBdr>
    </w:div>
    <w:div w:id="1011491615">
      <w:bodyDiv w:val="1"/>
      <w:marLeft w:val="0"/>
      <w:marRight w:val="0"/>
      <w:marTop w:val="0"/>
      <w:marBottom w:val="0"/>
      <w:divBdr>
        <w:top w:val="none" w:sz="0" w:space="0" w:color="auto"/>
        <w:left w:val="none" w:sz="0" w:space="0" w:color="auto"/>
        <w:bottom w:val="none" w:sz="0" w:space="0" w:color="auto"/>
        <w:right w:val="none" w:sz="0" w:space="0" w:color="auto"/>
      </w:divBdr>
      <w:divsChild>
        <w:div w:id="82533604">
          <w:marLeft w:val="0"/>
          <w:marRight w:val="0"/>
          <w:marTop w:val="0"/>
          <w:marBottom w:val="0"/>
          <w:divBdr>
            <w:top w:val="none" w:sz="0" w:space="0" w:color="auto"/>
            <w:left w:val="none" w:sz="0" w:space="0" w:color="auto"/>
            <w:bottom w:val="none" w:sz="0" w:space="0" w:color="auto"/>
            <w:right w:val="none" w:sz="0" w:space="0" w:color="auto"/>
          </w:divBdr>
          <w:divsChild>
            <w:div w:id="1062798563">
              <w:marLeft w:val="0"/>
              <w:marRight w:val="0"/>
              <w:marTop w:val="600"/>
              <w:marBottom w:val="300"/>
              <w:divBdr>
                <w:top w:val="none" w:sz="0" w:space="0" w:color="auto"/>
                <w:left w:val="none" w:sz="0" w:space="0" w:color="auto"/>
                <w:bottom w:val="none" w:sz="0" w:space="0" w:color="auto"/>
                <w:right w:val="none" w:sz="0" w:space="0" w:color="auto"/>
              </w:divBdr>
              <w:divsChild>
                <w:div w:id="31805757">
                  <w:marLeft w:val="150"/>
                  <w:marRight w:val="0"/>
                  <w:marTop w:val="0"/>
                  <w:marBottom w:val="0"/>
                  <w:divBdr>
                    <w:top w:val="none" w:sz="0" w:space="0" w:color="auto"/>
                    <w:left w:val="none" w:sz="0" w:space="0" w:color="auto"/>
                    <w:bottom w:val="none" w:sz="0" w:space="0" w:color="auto"/>
                    <w:right w:val="none" w:sz="0" w:space="0" w:color="auto"/>
                  </w:divBdr>
                  <w:divsChild>
                    <w:div w:id="2144420038">
                      <w:marLeft w:val="0"/>
                      <w:marRight w:val="0"/>
                      <w:marTop w:val="300"/>
                      <w:marBottom w:val="0"/>
                      <w:divBdr>
                        <w:top w:val="none" w:sz="0" w:space="0" w:color="auto"/>
                        <w:left w:val="none" w:sz="0" w:space="0" w:color="auto"/>
                        <w:bottom w:val="none" w:sz="0" w:space="0" w:color="auto"/>
                        <w:right w:val="none" w:sz="0" w:space="0" w:color="auto"/>
                      </w:divBdr>
                      <w:divsChild>
                        <w:div w:id="2122138429">
                          <w:marLeft w:val="0"/>
                          <w:marRight w:val="0"/>
                          <w:marTop w:val="0"/>
                          <w:marBottom w:val="0"/>
                          <w:divBdr>
                            <w:top w:val="none" w:sz="0" w:space="0" w:color="auto"/>
                            <w:left w:val="none" w:sz="0" w:space="0" w:color="auto"/>
                            <w:bottom w:val="none" w:sz="0" w:space="0" w:color="auto"/>
                            <w:right w:val="none" w:sz="0" w:space="0" w:color="auto"/>
                          </w:divBdr>
                          <w:divsChild>
                            <w:div w:id="8440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1755">
      <w:bodyDiv w:val="1"/>
      <w:marLeft w:val="0"/>
      <w:marRight w:val="0"/>
      <w:marTop w:val="0"/>
      <w:marBottom w:val="0"/>
      <w:divBdr>
        <w:top w:val="none" w:sz="0" w:space="0" w:color="auto"/>
        <w:left w:val="none" w:sz="0" w:space="0" w:color="auto"/>
        <w:bottom w:val="none" w:sz="0" w:space="0" w:color="auto"/>
        <w:right w:val="none" w:sz="0" w:space="0" w:color="auto"/>
      </w:divBdr>
    </w:div>
    <w:div w:id="1054738522">
      <w:bodyDiv w:val="1"/>
      <w:marLeft w:val="0"/>
      <w:marRight w:val="0"/>
      <w:marTop w:val="0"/>
      <w:marBottom w:val="0"/>
      <w:divBdr>
        <w:top w:val="none" w:sz="0" w:space="0" w:color="auto"/>
        <w:left w:val="none" w:sz="0" w:space="0" w:color="auto"/>
        <w:bottom w:val="none" w:sz="0" w:space="0" w:color="auto"/>
        <w:right w:val="none" w:sz="0" w:space="0" w:color="auto"/>
      </w:divBdr>
    </w:div>
    <w:div w:id="1125202006">
      <w:bodyDiv w:val="1"/>
      <w:marLeft w:val="0"/>
      <w:marRight w:val="0"/>
      <w:marTop w:val="0"/>
      <w:marBottom w:val="0"/>
      <w:divBdr>
        <w:top w:val="none" w:sz="0" w:space="0" w:color="auto"/>
        <w:left w:val="none" w:sz="0" w:space="0" w:color="auto"/>
        <w:bottom w:val="none" w:sz="0" w:space="0" w:color="auto"/>
        <w:right w:val="none" w:sz="0" w:space="0" w:color="auto"/>
      </w:divBdr>
    </w:div>
    <w:div w:id="1144351833">
      <w:bodyDiv w:val="1"/>
      <w:marLeft w:val="0"/>
      <w:marRight w:val="0"/>
      <w:marTop w:val="0"/>
      <w:marBottom w:val="0"/>
      <w:divBdr>
        <w:top w:val="none" w:sz="0" w:space="0" w:color="auto"/>
        <w:left w:val="none" w:sz="0" w:space="0" w:color="auto"/>
        <w:bottom w:val="none" w:sz="0" w:space="0" w:color="auto"/>
        <w:right w:val="none" w:sz="0" w:space="0" w:color="auto"/>
      </w:divBdr>
    </w:div>
    <w:div w:id="1164853271">
      <w:bodyDiv w:val="1"/>
      <w:marLeft w:val="0"/>
      <w:marRight w:val="0"/>
      <w:marTop w:val="0"/>
      <w:marBottom w:val="0"/>
      <w:divBdr>
        <w:top w:val="none" w:sz="0" w:space="0" w:color="auto"/>
        <w:left w:val="none" w:sz="0" w:space="0" w:color="auto"/>
        <w:bottom w:val="none" w:sz="0" w:space="0" w:color="auto"/>
        <w:right w:val="none" w:sz="0" w:space="0" w:color="auto"/>
      </w:divBdr>
    </w:div>
    <w:div w:id="1170558456">
      <w:bodyDiv w:val="1"/>
      <w:marLeft w:val="0"/>
      <w:marRight w:val="0"/>
      <w:marTop w:val="0"/>
      <w:marBottom w:val="0"/>
      <w:divBdr>
        <w:top w:val="none" w:sz="0" w:space="0" w:color="auto"/>
        <w:left w:val="none" w:sz="0" w:space="0" w:color="auto"/>
        <w:bottom w:val="none" w:sz="0" w:space="0" w:color="auto"/>
        <w:right w:val="none" w:sz="0" w:space="0" w:color="auto"/>
      </w:divBdr>
    </w:div>
    <w:div w:id="1198856420">
      <w:bodyDiv w:val="1"/>
      <w:marLeft w:val="0"/>
      <w:marRight w:val="0"/>
      <w:marTop w:val="0"/>
      <w:marBottom w:val="0"/>
      <w:divBdr>
        <w:top w:val="none" w:sz="0" w:space="0" w:color="auto"/>
        <w:left w:val="none" w:sz="0" w:space="0" w:color="auto"/>
        <w:bottom w:val="none" w:sz="0" w:space="0" w:color="auto"/>
        <w:right w:val="none" w:sz="0" w:space="0" w:color="auto"/>
      </w:divBdr>
    </w:div>
    <w:div w:id="1251739659">
      <w:bodyDiv w:val="1"/>
      <w:marLeft w:val="0"/>
      <w:marRight w:val="0"/>
      <w:marTop w:val="0"/>
      <w:marBottom w:val="0"/>
      <w:divBdr>
        <w:top w:val="none" w:sz="0" w:space="0" w:color="auto"/>
        <w:left w:val="none" w:sz="0" w:space="0" w:color="auto"/>
        <w:bottom w:val="none" w:sz="0" w:space="0" w:color="auto"/>
        <w:right w:val="none" w:sz="0" w:space="0" w:color="auto"/>
      </w:divBdr>
    </w:div>
    <w:div w:id="1271207736">
      <w:bodyDiv w:val="1"/>
      <w:marLeft w:val="0"/>
      <w:marRight w:val="0"/>
      <w:marTop w:val="0"/>
      <w:marBottom w:val="0"/>
      <w:divBdr>
        <w:top w:val="none" w:sz="0" w:space="0" w:color="auto"/>
        <w:left w:val="none" w:sz="0" w:space="0" w:color="auto"/>
        <w:bottom w:val="none" w:sz="0" w:space="0" w:color="auto"/>
        <w:right w:val="none" w:sz="0" w:space="0" w:color="auto"/>
      </w:divBdr>
    </w:div>
    <w:div w:id="1444423607">
      <w:bodyDiv w:val="1"/>
      <w:marLeft w:val="0"/>
      <w:marRight w:val="0"/>
      <w:marTop w:val="0"/>
      <w:marBottom w:val="0"/>
      <w:divBdr>
        <w:top w:val="none" w:sz="0" w:space="0" w:color="auto"/>
        <w:left w:val="none" w:sz="0" w:space="0" w:color="auto"/>
        <w:bottom w:val="none" w:sz="0" w:space="0" w:color="auto"/>
        <w:right w:val="none" w:sz="0" w:space="0" w:color="auto"/>
      </w:divBdr>
    </w:div>
    <w:div w:id="1454053344">
      <w:bodyDiv w:val="1"/>
      <w:marLeft w:val="0"/>
      <w:marRight w:val="0"/>
      <w:marTop w:val="0"/>
      <w:marBottom w:val="0"/>
      <w:divBdr>
        <w:top w:val="none" w:sz="0" w:space="0" w:color="auto"/>
        <w:left w:val="none" w:sz="0" w:space="0" w:color="auto"/>
        <w:bottom w:val="none" w:sz="0" w:space="0" w:color="auto"/>
        <w:right w:val="none" w:sz="0" w:space="0" w:color="auto"/>
      </w:divBdr>
    </w:div>
    <w:div w:id="1476727612">
      <w:bodyDiv w:val="1"/>
      <w:marLeft w:val="0"/>
      <w:marRight w:val="0"/>
      <w:marTop w:val="0"/>
      <w:marBottom w:val="0"/>
      <w:divBdr>
        <w:top w:val="none" w:sz="0" w:space="0" w:color="auto"/>
        <w:left w:val="none" w:sz="0" w:space="0" w:color="auto"/>
        <w:bottom w:val="none" w:sz="0" w:space="0" w:color="auto"/>
        <w:right w:val="none" w:sz="0" w:space="0" w:color="auto"/>
      </w:divBdr>
    </w:div>
    <w:div w:id="1594432286">
      <w:bodyDiv w:val="1"/>
      <w:marLeft w:val="0"/>
      <w:marRight w:val="0"/>
      <w:marTop w:val="0"/>
      <w:marBottom w:val="0"/>
      <w:divBdr>
        <w:top w:val="none" w:sz="0" w:space="0" w:color="auto"/>
        <w:left w:val="none" w:sz="0" w:space="0" w:color="auto"/>
        <w:bottom w:val="none" w:sz="0" w:space="0" w:color="auto"/>
        <w:right w:val="none" w:sz="0" w:space="0" w:color="auto"/>
      </w:divBdr>
    </w:div>
    <w:div w:id="1621763522">
      <w:bodyDiv w:val="1"/>
      <w:marLeft w:val="0"/>
      <w:marRight w:val="0"/>
      <w:marTop w:val="0"/>
      <w:marBottom w:val="0"/>
      <w:divBdr>
        <w:top w:val="none" w:sz="0" w:space="0" w:color="auto"/>
        <w:left w:val="none" w:sz="0" w:space="0" w:color="auto"/>
        <w:bottom w:val="none" w:sz="0" w:space="0" w:color="auto"/>
        <w:right w:val="none" w:sz="0" w:space="0" w:color="auto"/>
      </w:divBdr>
    </w:div>
    <w:div w:id="1722360078">
      <w:bodyDiv w:val="1"/>
      <w:marLeft w:val="0"/>
      <w:marRight w:val="0"/>
      <w:marTop w:val="0"/>
      <w:marBottom w:val="0"/>
      <w:divBdr>
        <w:top w:val="none" w:sz="0" w:space="0" w:color="auto"/>
        <w:left w:val="none" w:sz="0" w:space="0" w:color="auto"/>
        <w:bottom w:val="none" w:sz="0" w:space="0" w:color="auto"/>
        <w:right w:val="none" w:sz="0" w:space="0" w:color="auto"/>
      </w:divBdr>
    </w:div>
    <w:div w:id="1815636801">
      <w:bodyDiv w:val="1"/>
      <w:marLeft w:val="0"/>
      <w:marRight w:val="0"/>
      <w:marTop w:val="0"/>
      <w:marBottom w:val="0"/>
      <w:divBdr>
        <w:top w:val="none" w:sz="0" w:space="0" w:color="auto"/>
        <w:left w:val="none" w:sz="0" w:space="0" w:color="auto"/>
        <w:bottom w:val="none" w:sz="0" w:space="0" w:color="auto"/>
        <w:right w:val="none" w:sz="0" w:space="0" w:color="auto"/>
      </w:divBdr>
    </w:div>
    <w:div w:id="1819036152">
      <w:bodyDiv w:val="1"/>
      <w:marLeft w:val="0"/>
      <w:marRight w:val="0"/>
      <w:marTop w:val="0"/>
      <w:marBottom w:val="0"/>
      <w:divBdr>
        <w:top w:val="none" w:sz="0" w:space="0" w:color="auto"/>
        <w:left w:val="none" w:sz="0" w:space="0" w:color="auto"/>
        <w:bottom w:val="none" w:sz="0" w:space="0" w:color="auto"/>
        <w:right w:val="none" w:sz="0" w:space="0" w:color="auto"/>
      </w:divBdr>
    </w:div>
    <w:div w:id="1845707028">
      <w:bodyDiv w:val="1"/>
      <w:marLeft w:val="0"/>
      <w:marRight w:val="0"/>
      <w:marTop w:val="0"/>
      <w:marBottom w:val="0"/>
      <w:divBdr>
        <w:top w:val="none" w:sz="0" w:space="0" w:color="auto"/>
        <w:left w:val="none" w:sz="0" w:space="0" w:color="auto"/>
        <w:bottom w:val="none" w:sz="0" w:space="0" w:color="auto"/>
        <w:right w:val="none" w:sz="0" w:space="0" w:color="auto"/>
      </w:divBdr>
    </w:div>
    <w:div w:id="1850411665">
      <w:bodyDiv w:val="1"/>
      <w:marLeft w:val="0"/>
      <w:marRight w:val="0"/>
      <w:marTop w:val="0"/>
      <w:marBottom w:val="0"/>
      <w:divBdr>
        <w:top w:val="none" w:sz="0" w:space="0" w:color="auto"/>
        <w:left w:val="none" w:sz="0" w:space="0" w:color="auto"/>
        <w:bottom w:val="none" w:sz="0" w:space="0" w:color="auto"/>
        <w:right w:val="none" w:sz="0" w:space="0" w:color="auto"/>
      </w:divBdr>
    </w:div>
    <w:div w:id="1902594462">
      <w:bodyDiv w:val="1"/>
      <w:marLeft w:val="0"/>
      <w:marRight w:val="0"/>
      <w:marTop w:val="0"/>
      <w:marBottom w:val="0"/>
      <w:divBdr>
        <w:top w:val="none" w:sz="0" w:space="0" w:color="auto"/>
        <w:left w:val="none" w:sz="0" w:space="0" w:color="auto"/>
        <w:bottom w:val="none" w:sz="0" w:space="0" w:color="auto"/>
        <w:right w:val="none" w:sz="0" w:space="0" w:color="auto"/>
      </w:divBdr>
    </w:div>
    <w:div w:id="1928154011">
      <w:bodyDiv w:val="1"/>
      <w:marLeft w:val="0"/>
      <w:marRight w:val="0"/>
      <w:marTop w:val="0"/>
      <w:marBottom w:val="0"/>
      <w:divBdr>
        <w:top w:val="none" w:sz="0" w:space="0" w:color="auto"/>
        <w:left w:val="none" w:sz="0" w:space="0" w:color="auto"/>
        <w:bottom w:val="none" w:sz="0" w:space="0" w:color="auto"/>
        <w:right w:val="none" w:sz="0" w:space="0" w:color="auto"/>
      </w:divBdr>
    </w:div>
    <w:div w:id="1930575111">
      <w:bodyDiv w:val="1"/>
      <w:marLeft w:val="0"/>
      <w:marRight w:val="0"/>
      <w:marTop w:val="0"/>
      <w:marBottom w:val="0"/>
      <w:divBdr>
        <w:top w:val="none" w:sz="0" w:space="0" w:color="auto"/>
        <w:left w:val="none" w:sz="0" w:space="0" w:color="auto"/>
        <w:bottom w:val="none" w:sz="0" w:space="0" w:color="auto"/>
        <w:right w:val="none" w:sz="0" w:space="0" w:color="auto"/>
      </w:divBdr>
    </w:div>
    <w:div w:id="2070418131">
      <w:bodyDiv w:val="1"/>
      <w:marLeft w:val="0"/>
      <w:marRight w:val="0"/>
      <w:marTop w:val="0"/>
      <w:marBottom w:val="0"/>
      <w:divBdr>
        <w:top w:val="none" w:sz="0" w:space="0" w:color="auto"/>
        <w:left w:val="none" w:sz="0" w:space="0" w:color="auto"/>
        <w:bottom w:val="none" w:sz="0" w:space="0" w:color="auto"/>
        <w:right w:val="none" w:sz="0" w:space="0" w:color="auto"/>
      </w:divBdr>
    </w:div>
    <w:div w:id="21307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oleObject" Target="embeddings/Microsoft_Visio_2003-2010_Drawing3.vsd"/><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emf"/><Relationship Id="rId25" Type="http://schemas.openxmlformats.org/officeDocument/2006/relationships/hyperlink" Target="http://siteresources.worldbank.org/INTPRAL/Resources/338897-1164990391106/00_TOOLKIT_FM_Vol1.pdf" TargetMode="External"/><Relationship Id="rId2" Type="http://schemas.openxmlformats.org/officeDocument/2006/relationships/numbering" Target="numbering.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ccer.edu.cn/download/2963-1.pdf"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portstrategy.com/news101/port-operations/planning-and-design/hfw-concessions" TargetMode="External"/><Relationship Id="rId10" Type="http://schemas.openxmlformats.org/officeDocument/2006/relationships/chart" Target="charts/chart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Microsoft_Visio_2003-2010_Drawing1.vsd"/><Relationship Id="rId14" Type="http://schemas.openxmlformats.org/officeDocument/2006/relationships/chart" Target="charts/chart5.xml"/><Relationship Id="rId22" Type="http://schemas.openxmlformats.org/officeDocument/2006/relationships/oleObject" Target="embeddings/Microsoft_Visio_2003-2010_Drawing5.vsd"/><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ot.gov.tw/mp.a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Kevin%20Cullinane\RTBM\&#20840;&#21488;&#28771;&#28207;&#21475;&#36008;&#29289;&#35037;&#21368;&#3732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evin%20Cullinane\RTBM\&#20840;&#21488;&#28771;&#28207;&#21475;&#36008;&#29289;&#35037;&#21368;&#3732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evin%20Cullinane\RTBM\&#20840;&#21488;&#28771;&#28207;&#21475;&#36008;&#29289;&#35037;&#21368;&#3732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evin%20Cullinane\RTBM\&#20840;&#21488;&#28771;&#28207;&#21475;&#36008;&#29289;&#35037;&#21368;&#3732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Kevin%20Cullinane\RTBM\&#20840;&#21488;&#28771;&#28207;&#21475;&#36008;&#29289;&#35037;&#21368;&#3732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200">
                <a:latin typeface="Times New Roman" panose="02020603050405020304" pitchFamily="18" charset="0"/>
                <a:cs typeface="Times New Roman" panose="02020603050405020304" pitchFamily="18" charset="0"/>
              </a:rPr>
              <a:t>Unit:</a:t>
            </a:r>
            <a:r>
              <a:rPr lang="en-US" altLang="zh-TW" sz="1200" baseline="0">
                <a:latin typeface="Times New Roman" panose="02020603050405020304" pitchFamily="18" charset="0"/>
                <a:cs typeface="Times New Roman" panose="02020603050405020304" pitchFamily="18" charset="0"/>
              </a:rPr>
              <a:t> ton</a:t>
            </a:r>
            <a:endParaRPr lang="zh-TW" altLang="en-US" sz="1200">
              <a:latin typeface="Times New Roman" panose="02020603050405020304" pitchFamily="18" charset="0"/>
              <a:cs typeface="Times New Roman" panose="02020603050405020304" pitchFamily="18" charset="0"/>
            </a:endParaRPr>
          </a:p>
        </c:rich>
      </c:tx>
      <c:layout>
        <c:manualLayout>
          <c:xMode val="edge"/>
          <c:yMode val="edge"/>
          <c:x val="2.6579714345522799E-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工作表2!$B$23</c:f>
              <c:strCache>
                <c:ptCount val="1"/>
                <c:pt idx="0">
                  <c:v>Keelung</c:v>
                </c:pt>
              </c:strCache>
            </c:strRef>
          </c:tx>
          <c:spPr>
            <a:ln w="28575" cap="rnd">
              <a:solidFill>
                <a:schemeClr val="accent2"/>
              </a:solidFill>
              <a:prstDash val="sysDot"/>
              <a:round/>
              <a:tailEnd type="oval"/>
            </a:ln>
            <a:effectLst/>
          </c:spPr>
          <c:marker>
            <c:symbol val="circle"/>
            <c:size val="5"/>
            <c:spPr>
              <a:solidFill>
                <a:schemeClr val="accent2"/>
              </a:solidFill>
              <a:ln w="9525">
                <a:solidFill>
                  <a:schemeClr val="accent2"/>
                </a:solidFill>
              </a:ln>
              <a:effectLst/>
            </c:spPr>
          </c:marker>
          <c:cat>
            <c:numRef>
              <c:f>工作表2!$A$24:$A$38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工作表2!$B$24:$B$38</c:f>
              <c:numCache>
                <c:formatCode>#,##0_);[Red]\(#,##0\)</c:formatCode>
                <c:ptCount val="15"/>
                <c:pt idx="0">
                  <c:v>82418128</c:v>
                </c:pt>
                <c:pt idx="1">
                  <c:v>88911035</c:v>
                </c:pt>
                <c:pt idx="2">
                  <c:v>93103938</c:v>
                </c:pt>
                <c:pt idx="3">
                  <c:v>97765969</c:v>
                </c:pt>
                <c:pt idx="4">
                  <c:v>99166647</c:v>
                </c:pt>
                <c:pt idx="5">
                  <c:v>99479400</c:v>
                </c:pt>
                <c:pt idx="6">
                  <c:v>97209941</c:v>
                </c:pt>
                <c:pt idx="7">
                  <c:v>91261274</c:v>
                </c:pt>
                <c:pt idx="8">
                  <c:v>69991448</c:v>
                </c:pt>
                <c:pt idx="9">
                  <c:v>76674501</c:v>
                </c:pt>
                <c:pt idx="10">
                  <c:v>75419263</c:v>
                </c:pt>
                <c:pt idx="11">
                  <c:v>69402920</c:v>
                </c:pt>
                <c:pt idx="12">
                  <c:v>69380599</c:v>
                </c:pt>
                <c:pt idx="13">
                  <c:v>72238894</c:v>
                </c:pt>
                <c:pt idx="14">
                  <c:v>62478862</c:v>
                </c:pt>
              </c:numCache>
            </c:numRef>
          </c:val>
          <c:smooth val="0"/>
        </c:ser>
        <c:ser>
          <c:idx val="2"/>
          <c:order val="1"/>
          <c:tx>
            <c:strRef>
              <c:f>工作表2!$C$23</c:f>
              <c:strCache>
                <c:ptCount val="1"/>
                <c:pt idx="0">
                  <c:v>Kaohsiung</c:v>
                </c:pt>
              </c:strCache>
            </c:strRef>
          </c:tx>
          <c:spPr>
            <a:ln w="28575" cap="sq">
              <a:solidFill>
                <a:schemeClr val="accent3"/>
              </a:solidFill>
              <a:round/>
            </a:ln>
            <a:effectLst/>
          </c:spPr>
          <c:marker>
            <c:symbol val="circle"/>
            <c:size val="5"/>
            <c:spPr>
              <a:solidFill>
                <a:schemeClr val="accent3"/>
              </a:solidFill>
              <a:ln w="9525">
                <a:solidFill>
                  <a:schemeClr val="accent3"/>
                </a:solidFill>
              </a:ln>
              <a:effectLst/>
            </c:spPr>
          </c:marker>
          <c:cat>
            <c:numRef>
              <c:f>工作表2!$A$24:$A$38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工作表2!$C$24:$C$38</c:f>
              <c:numCache>
                <c:formatCode>#,##0_);[Red]\(#,##0\)</c:formatCode>
                <c:ptCount val="15"/>
                <c:pt idx="0">
                  <c:v>373746857</c:v>
                </c:pt>
                <c:pt idx="1">
                  <c:v>410687169</c:v>
                </c:pt>
                <c:pt idx="2">
                  <c:v>429643614</c:v>
                </c:pt>
                <c:pt idx="3">
                  <c:v>468912579</c:v>
                </c:pt>
                <c:pt idx="4">
                  <c:v>455425749</c:v>
                </c:pt>
                <c:pt idx="5">
                  <c:v>464883967</c:v>
                </c:pt>
                <c:pt idx="6">
                  <c:v>477622156</c:v>
                </c:pt>
                <c:pt idx="7">
                  <c:v>448992446</c:v>
                </c:pt>
                <c:pt idx="8">
                  <c:v>397195913</c:v>
                </c:pt>
                <c:pt idx="9">
                  <c:v>423074169</c:v>
                </c:pt>
                <c:pt idx="10">
                  <c:v>437641572</c:v>
                </c:pt>
                <c:pt idx="11">
                  <c:v>440301297</c:v>
                </c:pt>
                <c:pt idx="12">
                  <c:v>441452925</c:v>
                </c:pt>
                <c:pt idx="13">
                  <c:v>467809429</c:v>
                </c:pt>
                <c:pt idx="14">
                  <c:v>450383327</c:v>
                </c:pt>
              </c:numCache>
            </c:numRef>
          </c:val>
          <c:smooth val="0"/>
        </c:ser>
        <c:ser>
          <c:idx val="3"/>
          <c:order val="2"/>
          <c:tx>
            <c:strRef>
              <c:f>工作表2!$D$23</c:f>
              <c:strCache>
                <c:ptCount val="1"/>
                <c:pt idx="0">
                  <c:v>Taichung</c:v>
                </c:pt>
              </c:strCache>
            </c:strRef>
          </c:tx>
          <c:spPr>
            <a:ln w="28575" cap="rnd">
              <a:solidFill>
                <a:schemeClr val="accent4"/>
              </a:solidFill>
              <a:prstDash val="dash"/>
              <a:round/>
              <a:tailEnd type="triangle" w="lg" len="lg"/>
            </a:ln>
            <a:effectLst/>
          </c:spPr>
          <c:marker>
            <c:symbol val="circle"/>
            <c:size val="5"/>
            <c:spPr>
              <a:solidFill>
                <a:schemeClr val="accent4"/>
              </a:solidFill>
              <a:ln w="9525">
                <a:solidFill>
                  <a:schemeClr val="accent4"/>
                </a:solidFill>
              </a:ln>
              <a:effectLst/>
            </c:spPr>
          </c:marker>
          <c:cat>
            <c:numRef>
              <c:f>工作表2!$A$24:$A$38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工作表2!$D$24:$D$38</c:f>
              <c:numCache>
                <c:formatCode>#,##0_);[Red]\(#,##0\)</c:formatCode>
                <c:ptCount val="15"/>
                <c:pt idx="0">
                  <c:v>75367738</c:v>
                </c:pt>
                <c:pt idx="1">
                  <c:v>81508298</c:v>
                </c:pt>
                <c:pt idx="2">
                  <c:v>84573967</c:v>
                </c:pt>
                <c:pt idx="3">
                  <c:v>88901905</c:v>
                </c:pt>
                <c:pt idx="4">
                  <c:v>88429531</c:v>
                </c:pt>
                <c:pt idx="5">
                  <c:v>90323312</c:v>
                </c:pt>
                <c:pt idx="6">
                  <c:v>90795281</c:v>
                </c:pt>
                <c:pt idx="7">
                  <c:v>89293902</c:v>
                </c:pt>
                <c:pt idx="8">
                  <c:v>89204839</c:v>
                </c:pt>
                <c:pt idx="9">
                  <c:v>107031247</c:v>
                </c:pt>
                <c:pt idx="10">
                  <c:v>107709565</c:v>
                </c:pt>
                <c:pt idx="11">
                  <c:v>111169766</c:v>
                </c:pt>
                <c:pt idx="12">
                  <c:v>120508807</c:v>
                </c:pt>
                <c:pt idx="13">
                  <c:v>122620103</c:v>
                </c:pt>
                <c:pt idx="14">
                  <c:v>121916825</c:v>
                </c:pt>
              </c:numCache>
            </c:numRef>
          </c:val>
          <c:smooth val="0"/>
        </c:ser>
        <c:ser>
          <c:idx val="4"/>
          <c:order val="3"/>
          <c:tx>
            <c:strRef>
              <c:f>工作表2!$E$23</c:f>
              <c:strCache>
                <c:ptCount val="1"/>
                <c:pt idx="0">
                  <c:v>Hualien</c:v>
                </c:pt>
              </c:strCache>
            </c:strRef>
          </c:tx>
          <c:spPr>
            <a:ln w="28575" cap="rnd">
              <a:solidFill>
                <a:schemeClr val="accent5"/>
              </a:solidFill>
              <a:prstDash val="lgDash"/>
              <a:round/>
              <a:tailEnd type="stealth"/>
            </a:ln>
            <a:effectLst/>
          </c:spPr>
          <c:marker>
            <c:symbol val="circle"/>
            <c:size val="5"/>
            <c:spPr>
              <a:solidFill>
                <a:schemeClr val="accent5"/>
              </a:solidFill>
              <a:ln w="9525">
                <a:solidFill>
                  <a:schemeClr val="accent5"/>
                </a:solidFill>
              </a:ln>
              <a:effectLst/>
            </c:spPr>
          </c:marker>
          <c:cat>
            <c:numRef>
              <c:f>工作表2!$A$24:$A$38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工作表2!$E$24:$E$38</c:f>
              <c:numCache>
                <c:formatCode>#,##0_);[Red]\(#,##0\)</c:formatCode>
                <c:ptCount val="15"/>
                <c:pt idx="0">
                  <c:v>15263424</c:v>
                </c:pt>
                <c:pt idx="1">
                  <c:v>17160169</c:v>
                </c:pt>
                <c:pt idx="2">
                  <c:v>18056735</c:v>
                </c:pt>
                <c:pt idx="3">
                  <c:v>21751049</c:v>
                </c:pt>
                <c:pt idx="4">
                  <c:v>21949581</c:v>
                </c:pt>
                <c:pt idx="5">
                  <c:v>20072032</c:v>
                </c:pt>
                <c:pt idx="6">
                  <c:v>19381469</c:v>
                </c:pt>
                <c:pt idx="7">
                  <c:v>17420361</c:v>
                </c:pt>
                <c:pt idx="8">
                  <c:v>13729703</c:v>
                </c:pt>
                <c:pt idx="9">
                  <c:v>14267653</c:v>
                </c:pt>
                <c:pt idx="10">
                  <c:v>13286432</c:v>
                </c:pt>
                <c:pt idx="11">
                  <c:v>11226185</c:v>
                </c:pt>
                <c:pt idx="12">
                  <c:v>13055528</c:v>
                </c:pt>
                <c:pt idx="13">
                  <c:v>13481348</c:v>
                </c:pt>
                <c:pt idx="14">
                  <c:v>12550856</c:v>
                </c:pt>
              </c:numCache>
            </c:numRef>
          </c:val>
          <c:smooth val="0"/>
        </c:ser>
        <c:ser>
          <c:idx val="5"/>
          <c:order val="4"/>
          <c:tx>
            <c:strRef>
              <c:f>工作表2!$F$23</c:f>
              <c:strCache>
                <c:ptCount val="1"/>
                <c:pt idx="0">
                  <c:v>Taipei</c:v>
                </c:pt>
              </c:strCache>
            </c:strRef>
          </c:tx>
          <c:spPr>
            <a:ln w="28575" cap="rnd">
              <a:solidFill>
                <a:schemeClr val="accent6"/>
              </a:solidFill>
              <a:prstDash val="lgDashDot"/>
              <a:round/>
              <a:tailEnd type="diamond"/>
            </a:ln>
            <a:effectLst/>
          </c:spPr>
          <c:marker>
            <c:symbol val="circle"/>
            <c:size val="5"/>
            <c:spPr>
              <a:solidFill>
                <a:schemeClr val="accent6"/>
              </a:solidFill>
              <a:ln w="9525">
                <a:solidFill>
                  <a:schemeClr val="accent6"/>
                </a:solidFill>
              </a:ln>
              <a:effectLst/>
            </c:spPr>
          </c:marker>
          <c:cat>
            <c:numRef>
              <c:f>工作表2!$A$24:$A$38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工作表2!$F$24:$F$38</c:f>
              <c:numCache>
                <c:formatCode>#,##0_);[Red]\(#,##0\)</c:formatCode>
                <c:ptCount val="15"/>
                <c:pt idx="0">
                  <c:v>0</c:v>
                </c:pt>
                <c:pt idx="1">
                  <c:v>0</c:v>
                </c:pt>
                <c:pt idx="2">
                  <c:v>0</c:v>
                </c:pt>
                <c:pt idx="3">
                  <c:v>7742816</c:v>
                </c:pt>
                <c:pt idx="4">
                  <c:v>9731647</c:v>
                </c:pt>
                <c:pt idx="5">
                  <c:v>13993528</c:v>
                </c:pt>
                <c:pt idx="6">
                  <c:v>11685078</c:v>
                </c:pt>
                <c:pt idx="7">
                  <c:v>9636621</c:v>
                </c:pt>
                <c:pt idx="8">
                  <c:v>23760815</c:v>
                </c:pt>
                <c:pt idx="9">
                  <c:v>27359956</c:v>
                </c:pt>
                <c:pt idx="10">
                  <c:v>38340586</c:v>
                </c:pt>
                <c:pt idx="11">
                  <c:v>52527708</c:v>
                </c:pt>
                <c:pt idx="12">
                  <c:v>54712074</c:v>
                </c:pt>
                <c:pt idx="13">
                  <c:v>66004257</c:v>
                </c:pt>
                <c:pt idx="14">
                  <c:v>67996913</c:v>
                </c:pt>
              </c:numCache>
            </c:numRef>
          </c:val>
          <c:smooth val="0"/>
        </c:ser>
        <c:dLbls>
          <c:showLegendKey val="0"/>
          <c:showVal val="0"/>
          <c:showCatName val="0"/>
          <c:showSerName val="0"/>
          <c:showPercent val="0"/>
          <c:showBubbleSize val="0"/>
        </c:dLbls>
        <c:marker val="1"/>
        <c:smooth val="0"/>
        <c:axId val="126884832"/>
        <c:axId val="126888008"/>
      </c:lineChart>
      <c:catAx>
        <c:axId val="126884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888008"/>
        <c:crosses val="autoZero"/>
        <c:auto val="1"/>
        <c:lblAlgn val="ctr"/>
        <c:lblOffset val="100"/>
        <c:noMultiLvlLbl val="0"/>
      </c:catAx>
      <c:valAx>
        <c:axId val="1268880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884832"/>
        <c:crosses val="autoZero"/>
        <c:crossBetween val="between"/>
      </c:valAx>
      <c:spPr>
        <a:noFill/>
        <a:ln w="19050" cmpd="dbl">
          <a:solidFill>
            <a:schemeClr val="accent3"/>
          </a:solidFill>
        </a:ln>
        <a:effectLst/>
      </c:spPr>
    </c:plotArea>
    <c:legend>
      <c:legendPos val="b"/>
      <c:layout/>
      <c:overlay val="0"/>
      <c:spPr>
        <a:noFill/>
        <a:ln>
          <a:solidFill>
            <a:schemeClr val="accent3"/>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latin typeface="Times New Roman" panose="02020603050405020304" pitchFamily="18" charset="0"/>
                <a:cs typeface="Times New Roman" panose="02020603050405020304" pitchFamily="18" charset="0"/>
              </a:rPr>
              <a:t>Unit: TEU</a:t>
            </a:r>
            <a:endParaRPr lang="zh-TW" altLang="en-US">
              <a:latin typeface="Times New Roman" panose="02020603050405020304" pitchFamily="18" charset="0"/>
              <a:cs typeface="Times New Roman" panose="02020603050405020304" pitchFamily="18" charset="0"/>
            </a:endParaRPr>
          </a:p>
        </c:rich>
      </c:tx>
      <c:layout>
        <c:manualLayout>
          <c:xMode val="edge"/>
          <c:yMode val="edge"/>
          <c:x val="2.14448768616564E-3"/>
          <c:y val="1.0764262648008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工作表2!$B$1</c:f>
              <c:strCache>
                <c:ptCount val="1"/>
                <c:pt idx="0">
                  <c:v>Keelung</c:v>
                </c:pt>
              </c:strCache>
            </c:strRef>
          </c:tx>
          <c:spPr>
            <a:ln w="28575" cap="rnd">
              <a:solidFill>
                <a:schemeClr val="accent1"/>
              </a:solidFill>
              <a:prstDash val="sysDot"/>
              <a:round/>
              <a:tailEnd type="oval"/>
            </a:ln>
            <a:effectLst/>
          </c:spPr>
          <c:marker>
            <c:symbol val="circle"/>
            <c:size val="5"/>
            <c:spPr>
              <a:solidFill>
                <a:schemeClr val="accent1"/>
              </a:solidFill>
              <a:ln w="9525">
                <a:solidFill>
                  <a:schemeClr val="accent1"/>
                </a:solidFill>
              </a:ln>
              <a:effectLst/>
            </c:spPr>
          </c:marker>
          <c:cat>
            <c:numRef>
              <c:f>工作表2!$A$2:$A$16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工作表2!$B$2:$B$16</c:f>
              <c:numCache>
                <c:formatCode>#,##0_ </c:formatCode>
                <c:ptCount val="15"/>
                <c:pt idx="0">
                  <c:v>1815855</c:v>
                </c:pt>
                <c:pt idx="1">
                  <c:v>1918598</c:v>
                </c:pt>
                <c:pt idx="2">
                  <c:v>2000707</c:v>
                </c:pt>
                <c:pt idx="3">
                  <c:v>2070192</c:v>
                </c:pt>
                <c:pt idx="4">
                  <c:v>2091458</c:v>
                </c:pt>
                <c:pt idx="5">
                  <c:v>2128815</c:v>
                </c:pt>
                <c:pt idx="6">
                  <c:v>2215483</c:v>
                </c:pt>
                <c:pt idx="7">
                  <c:v>2055258</c:v>
                </c:pt>
                <c:pt idx="8">
                  <c:v>1577825</c:v>
                </c:pt>
                <c:pt idx="9">
                  <c:v>1763900</c:v>
                </c:pt>
                <c:pt idx="10">
                  <c:v>1749386</c:v>
                </c:pt>
                <c:pt idx="11">
                  <c:v>1607566</c:v>
                </c:pt>
                <c:pt idx="12">
                  <c:v>1612666</c:v>
                </c:pt>
                <c:pt idx="13">
                  <c:v>1685183</c:v>
                </c:pt>
                <c:pt idx="14">
                  <c:v>1445337</c:v>
                </c:pt>
              </c:numCache>
            </c:numRef>
          </c:val>
          <c:smooth val="0"/>
        </c:ser>
        <c:ser>
          <c:idx val="1"/>
          <c:order val="1"/>
          <c:tx>
            <c:strRef>
              <c:f>工作表2!$C$1</c:f>
              <c:strCache>
                <c:ptCount val="1"/>
                <c:pt idx="0">
                  <c:v>Kaohsiung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工作表2!$A$2:$A$16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工作表2!$C$2:$C$16</c:f>
              <c:numCache>
                <c:formatCode>#,##0_ </c:formatCode>
                <c:ptCount val="15"/>
                <c:pt idx="0">
                  <c:v>7540525</c:v>
                </c:pt>
                <c:pt idx="1">
                  <c:v>8493052</c:v>
                </c:pt>
                <c:pt idx="2">
                  <c:v>8843365</c:v>
                </c:pt>
                <c:pt idx="3">
                  <c:v>9714115</c:v>
                </c:pt>
                <c:pt idx="4">
                  <c:v>9471056</c:v>
                </c:pt>
                <c:pt idx="5">
                  <c:v>9774671</c:v>
                </c:pt>
                <c:pt idx="6">
                  <c:v>10256830</c:v>
                </c:pt>
                <c:pt idx="7">
                  <c:v>9676554</c:v>
                </c:pt>
                <c:pt idx="8">
                  <c:v>8581273</c:v>
                </c:pt>
                <c:pt idx="9">
                  <c:v>9181211</c:v>
                </c:pt>
                <c:pt idx="10">
                  <c:v>9636289</c:v>
                </c:pt>
                <c:pt idx="11">
                  <c:v>9781221</c:v>
                </c:pt>
                <c:pt idx="12">
                  <c:v>9937719</c:v>
                </c:pt>
                <c:pt idx="13">
                  <c:v>10593335</c:v>
                </c:pt>
                <c:pt idx="14">
                  <c:v>10264420</c:v>
                </c:pt>
              </c:numCache>
            </c:numRef>
          </c:val>
          <c:smooth val="0"/>
        </c:ser>
        <c:ser>
          <c:idx val="2"/>
          <c:order val="2"/>
          <c:tx>
            <c:strRef>
              <c:f>工作表2!$D$1</c:f>
              <c:strCache>
                <c:ptCount val="1"/>
                <c:pt idx="0">
                  <c:v>Taichung</c:v>
                </c:pt>
              </c:strCache>
            </c:strRef>
          </c:tx>
          <c:spPr>
            <a:ln w="28575" cap="rnd">
              <a:solidFill>
                <a:schemeClr val="accent3"/>
              </a:solidFill>
              <a:prstDash val="dash"/>
              <a:round/>
              <a:tailEnd type="triangle"/>
            </a:ln>
            <a:effectLst/>
          </c:spPr>
          <c:marker>
            <c:symbol val="circle"/>
            <c:size val="5"/>
            <c:spPr>
              <a:solidFill>
                <a:schemeClr val="accent3"/>
              </a:solidFill>
              <a:ln w="9525">
                <a:solidFill>
                  <a:schemeClr val="accent3"/>
                </a:solidFill>
              </a:ln>
              <a:effectLst/>
            </c:spPr>
          </c:marker>
          <c:cat>
            <c:numRef>
              <c:f>工作表2!$A$2:$A$16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工作表2!$D$2:$D$16</c:f>
              <c:numCache>
                <c:formatCode>#,##0_ </c:formatCode>
                <c:ptCount val="15"/>
                <c:pt idx="0">
                  <c:v>1069354</c:v>
                </c:pt>
                <c:pt idx="1">
                  <c:v>1193657</c:v>
                </c:pt>
                <c:pt idx="2">
                  <c:v>1246027</c:v>
                </c:pt>
                <c:pt idx="3">
                  <c:v>1245186</c:v>
                </c:pt>
                <c:pt idx="4">
                  <c:v>1228915</c:v>
                </c:pt>
                <c:pt idx="5">
                  <c:v>1198530</c:v>
                </c:pt>
                <c:pt idx="6">
                  <c:v>1247750</c:v>
                </c:pt>
                <c:pt idx="7">
                  <c:v>1239412</c:v>
                </c:pt>
                <c:pt idx="8">
                  <c:v>1193943</c:v>
                </c:pt>
                <c:pt idx="9">
                  <c:v>1356952</c:v>
                </c:pt>
                <c:pt idx="10">
                  <c:v>1383578</c:v>
                </c:pt>
                <c:pt idx="11">
                  <c:v>1395405</c:v>
                </c:pt>
                <c:pt idx="12">
                  <c:v>1467605</c:v>
                </c:pt>
                <c:pt idx="13">
                  <c:v>1513759</c:v>
                </c:pt>
                <c:pt idx="14">
                  <c:v>1447390</c:v>
                </c:pt>
              </c:numCache>
            </c:numRef>
          </c:val>
          <c:smooth val="0"/>
        </c:ser>
        <c:ser>
          <c:idx val="3"/>
          <c:order val="3"/>
          <c:tx>
            <c:strRef>
              <c:f>工作表2!$E$1</c:f>
              <c:strCache>
                <c:ptCount val="1"/>
                <c:pt idx="0">
                  <c:v>Taipei</c:v>
                </c:pt>
              </c:strCache>
            </c:strRef>
          </c:tx>
          <c:spPr>
            <a:ln w="28575" cap="rnd">
              <a:solidFill>
                <a:schemeClr val="accent4"/>
              </a:solidFill>
              <a:prstDash val="lgDashDot"/>
              <a:round/>
              <a:tailEnd type="diamond"/>
            </a:ln>
            <a:effectLst/>
          </c:spPr>
          <c:marker>
            <c:symbol val="circle"/>
            <c:size val="5"/>
            <c:spPr>
              <a:solidFill>
                <a:schemeClr val="accent4"/>
              </a:solidFill>
              <a:ln w="9525">
                <a:solidFill>
                  <a:schemeClr val="accent4"/>
                </a:solidFill>
              </a:ln>
              <a:effectLst/>
            </c:spPr>
          </c:marker>
          <c:cat>
            <c:numRef>
              <c:f>工作表2!$A$2:$A$16</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工作表2!$E$2:$E$16</c:f>
              <c:numCache>
                <c:formatCode>#,##0_ </c:formatCode>
                <c:ptCount val="15"/>
                <c:pt idx="0">
                  <c:v>0</c:v>
                </c:pt>
                <c:pt idx="1">
                  <c:v>0</c:v>
                </c:pt>
                <c:pt idx="2">
                  <c:v>0</c:v>
                </c:pt>
                <c:pt idx="3">
                  <c:v>0</c:v>
                </c:pt>
                <c:pt idx="4">
                  <c:v>0</c:v>
                </c:pt>
                <c:pt idx="5">
                  <c:v>0</c:v>
                </c:pt>
                <c:pt idx="6">
                  <c:v>0</c:v>
                </c:pt>
                <c:pt idx="7">
                  <c:v>0</c:v>
                </c:pt>
                <c:pt idx="8">
                  <c:v>356777</c:v>
                </c:pt>
                <c:pt idx="9">
                  <c:v>434745</c:v>
                </c:pt>
                <c:pt idx="10">
                  <c:v>653394</c:v>
                </c:pt>
                <c:pt idx="11">
                  <c:v>1097164</c:v>
                </c:pt>
                <c:pt idx="12">
                  <c:v>1028878</c:v>
                </c:pt>
                <c:pt idx="13">
                  <c:v>1258238</c:v>
                </c:pt>
                <c:pt idx="14">
                  <c:v>1334506</c:v>
                </c:pt>
              </c:numCache>
            </c:numRef>
          </c:val>
          <c:smooth val="0"/>
        </c:ser>
        <c:dLbls>
          <c:showLegendKey val="0"/>
          <c:showVal val="0"/>
          <c:showCatName val="0"/>
          <c:showSerName val="0"/>
          <c:showPercent val="0"/>
          <c:showBubbleSize val="0"/>
        </c:dLbls>
        <c:marker val="1"/>
        <c:smooth val="0"/>
        <c:axId val="126578184"/>
        <c:axId val="126578568"/>
      </c:lineChart>
      <c:catAx>
        <c:axId val="126578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78568"/>
        <c:crosses val="autoZero"/>
        <c:auto val="1"/>
        <c:lblAlgn val="ctr"/>
        <c:lblOffset val="100"/>
        <c:noMultiLvlLbl val="0"/>
      </c:catAx>
      <c:valAx>
        <c:axId val="126578568"/>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578184"/>
        <c:crosses val="autoZero"/>
        <c:crossBetween val="between"/>
      </c:valAx>
      <c:spPr>
        <a:noFill/>
        <a:ln>
          <a:noFill/>
        </a:ln>
        <a:effectLst/>
      </c:spPr>
    </c:plotArea>
    <c:legend>
      <c:legendPos val="b"/>
      <c:layout/>
      <c:overlay val="0"/>
      <c:spPr>
        <a:noFill/>
        <a:ln w="9525" cmpd="dbl">
          <a:solidFill>
            <a:schemeClr val="accent1"/>
          </a:solidFill>
        </a:ln>
        <a:effectLst>
          <a:outerShdw blurRad="50800" dist="50800" algn="ctr" rotWithShape="0">
            <a:srgbClr val="000000">
              <a:alpha val="43137"/>
            </a:srgbClr>
          </a:outerShdw>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latin typeface="Times New Roman" panose="02020603050405020304" pitchFamily="18" charset="0"/>
                <a:cs typeface="Times New Roman" panose="02020603050405020304" pitchFamily="18" charset="0"/>
              </a:rPr>
              <a:t>Unit: ship</a:t>
            </a:r>
            <a:endParaRPr lang="zh-TW" altLang="en-US">
              <a:latin typeface="Times New Roman" panose="02020603050405020304" pitchFamily="18" charset="0"/>
              <a:cs typeface="Times New Roman" panose="02020603050405020304" pitchFamily="18" charset="0"/>
            </a:endParaRPr>
          </a:p>
        </c:rich>
      </c:tx>
      <c:layout>
        <c:manualLayout>
          <c:xMode val="edge"/>
          <c:yMode val="edge"/>
          <c:x val="2.01377952755908E-3"/>
          <c:y val="2.31481481481480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工作表2!$B$43</c:f>
              <c:strCache>
                <c:ptCount val="1"/>
                <c:pt idx="0">
                  <c:v>Keelung</c:v>
                </c:pt>
              </c:strCache>
            </c:strRef>
          </c:tx>
          <c:spPr>
            <a:ln w="28575" cap="rnd">
              <a:solidFill>
                <a:schemeClr val="accent1"/>
              </a:solidFill>
              <a:prstDash val="sysDash"/>
              <a:round/>
              <a:tailEnd type="oval"/>
            </a:ln>
            <a:effectLst/>
          </c:spPr>
          <c:marker>
            <c:symbol val="circle"/>
            <c:size val="5"/>
            <c:spPr>
              <a:solidFill>
                <a:schemeClr val="accent1"/>
              </a:solidFill>
              <a:ln w="9525">
                <a:solidFill>
                  <a:schemeClr val="accent1"/>
                </a:solidFill>
              </a:ln>
              <a:effectLst/>
            </c:spPr>
          </c:marker>
          <c:cat>
            <c:numRef>
              <c:f>工作表2!$A$44:$A$58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工作表2!$B$44:$B$58</c:f>
              <c:numCache>
                <c:formatCode>#,##0_ </c:formatCode>
                <c:ptCount val="15"/>
                <c:pt idx="0">
                  <c:v>18830</c:v>
                </c:pt>
                <c:pt idx="1">
                  <c:v>18164</c:v>
                </c:pt>
                <c:pt idx="2">
                  <c:v>18239</c:v>
                </c:pt>
                <c:pt idx="3">
                  <c:v>18972</c:v>
                </c:pt>
                <c:pt idx="4">
                  <c:v>18907</c:v>
                </c:pt>
                <c:pt idx="5">
                  <c:v>18364</c:v>
                </c:pt>
                <c:pt idx="6">
                  <c:v>17271</c:v>
                </c:pt>
                <c:pt idx="7">
                  <c:v>16101</c:v>
                </c:pt>
                <c:pt idx="8">
                  <c:v>14055</c:v>
                </c:pt>
                <c:pt idx="9">
                  <c:v>14590</c:v>
                </c:pt>
                <c:pt idx="10">
                  <c:v>13793</c:v>
                </c:pt>
                <c:pt idx="11">
                  <c:v>12173</c:v>
                </c:pt>
                <c:pt idx="12">
                  <c:v>12410</c:v>
                </c:pt>
                <c:pt idx="13">
                  <c:v>12468</c:v>
                </c:pt>
                <c:pt idx="14">
                  <c:v>11839</c:v>
                </c:pt>
              </c:numCache>
            </c:numRef>
          </c:val>
          <c:smooth val="0"/>
        </c:ser>
        <c:ser>
          <c:idx val="1"/>
          <c:order val="1"/>
          <c:tx>
            <c:strRef>
              <c:f>工作表2!$C$43</c:f>
              <c:strCache>
                <c:ptCount val="1"/>
                <c:pt idx="0">
                  <c:v>Kaohsiung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工作表2!$A$44:$A$58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工作表2!$C$44:$C$58</c:f>
              <c:numCache>
                <c:formatCode>#,##0_ </c:formatCode>
                <c:ptCount val="15"/>
                <c:pt idx="0">
                  <c:v>36358</c:v>
                </c:pt>
                <c:pt idx="1">
                  <c:v>36484</c:v>
                </c:pt>
                <c:pt idx="2">
                  <c:v>37718</c:v>
                </c:pt>
                <c:pt idx="3">
                  <c:v>39045</c:v>
                </c:pt>
                <c:pt idx="4">
                  <c:v>38223</c:v>
                </c:pt>
                <c:pt idx="5">
                  <c:v>38440</c:v>
                </c:pt>
                <c:pt idx="6">
                  <c:v>36668</c:v>
                </c:pt>
                <c:pt idx="7">
                  <c:v>35466</c:v>
                </c:pt>
                <c:pt idx="8">
                  <c:v>35024</c:v>
                </c:pt>
                <c:pt idx="9">
                  <c:v>35312</c:v>
                </c:pt>
                <c:pt idx="10">
                  <c:v>35733</c:v>
                </c:pt>
                <c:pt idx="11">
                  <c:v>34503</c:v>
                </c:pt>
                <c:pt idx="12">
                  <c:v>35256</c:v>
                </c:pt>
                <c:pt idx="13">
                  <c:v>34593</c:v>
                </c:pt>
                <c:pt idx="14">
                  <c:v>34456</c:v>
                </c:pt>
              </c:numCache>
            </c:numRef>
          </c:val>
          <c:smooth val="0"/>
        </c:ser>
        <c:ser>
          <c:idx val="2"/>
          <c:order val="2"/>
          <c:tx>
            <c:strRef>
              <c:f>工作表2!$D$43</c:f>
              <c:strCache>
                <c:ptCount val="1"/>
                <c:pt idx="0">
                  <c:v>Taichung</c:v>
                </c:pt>
              </c:strCache>
            </c:strRef>
          </c:tx>
          <c:spPr>
            <a:ln w="28575" cap="rnd">
              <a:solidFill>
                <a:schemeClr val="accent3"/>
              </a:solidFill>
              <a:prstDash val="dashDot"/>
              <a:round/>
              <a:tailEnd type="triangle"/>
            </a:ln>
            <a:effectLst/>
          </c:spPr>
          <c:marker>
            <c:symbol val="circle"/>
            <c:size val="5"/>
            <c:spPr>
              <a:solidFill>
                <a:schemeClr val="accent3"/>
              </a:solidFill>
              <a:ln w="9525">
                <a:solidFill>
                  <a:schemeClr val="accent3"/>
                </a:solidFill>
              </a:ln>
              <a:effectLst/>
            </c:spPr>
          </c:marker>
          <c:cat>
            <c:numRef>
              <c:f>工作表2!$A$44:$A$58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工作表2!$D$44:$D$58</c:f>
              <c:numCache>
                <c:formatCode>#,##0_ </c:formatCode>
                <c:ptCount val="15"/>
                <c:pt idx="0">
                  <c:v>10694</c:v>
                </c:pt>
                <c:pt idx="1">
                  <c:v>11081</c:v>
                </c:pt>
                <c:pt idx="2">
                  <c:v>11508</c:v>
                </c:pt>
                <c:pt idx="3">
                  <c:v>11901</c:v>
                </c:pt>
                <c:pt idx="4">
                  <c:v>11722</c:v>
                </c:pt>
                <c:pt idx="5">
                  <c:v>11731</c:v>
                </c:pt>
                <c:pt idx="6">
                  <c:v>11886</c:v>
                </c:pt>
                <c:pt idx="7">
                  <c:v>11639</c:v>
                </c:pt>
                <c:pt idx="8">
                  <c:v>12620</c:v>
                </c:pt>
                <c:pt idx="9">
                  <c:v>14345</c:v>
                </c:pt>
                <c:pt idx="10">
                  <c:v>13988</c:v>
                </c:pt>
                <c:pt idx="11">
                  <c:v>14746</c:v>
                </c:pt>
                <c:pt idx="12">
                  <c:v>15795</c:v>
                </c:pt>
                <c:pt idx="13">
                  <c:v>14997</c:v>
                </c:pt>
                <c:pt idx="14">
                  <c:v>15587</c:v>
                </c:pt>
              </c:numCache>
            </c:numRef>
          </c:val>
          <c:smooth val="0"/>
        </c:ser>
        <c:ser>
          <c:idx val="3"/>
          <c:order val="3"/>
          <c:tx>
            <c:strRef>
              <c:f>工作表2!$E$43</c:f>
              <c:strCache>
                <c:ptCount val="1"/>
                <c:pt idx="0">
                  <c:v>Hualien</c:v>
                </c:pt>
              </c:strCache>
            </c:strRef>
          </c:tx>
          <c:spPr>
            <a:ln w="28575" cap="rnd">
              <a:solidFill>
                <a:schemeClr val="accent4"/>
              </a:solidFill>
              <a:prstDash val="lgDashDotDot"/>
              <a:round/>
              <a:tailEnd type="stealth"/>
            </a:ln>
            <a:effectLst/>
          </c:spPr>
          <c:marker>
            <c:symbol val="circle"/>
            <c:size val="5"/>
            <c:spPr>
              <a:solidFill>
                <a:schemeClr val="accent4"/>
              </a:solidFill>
              <a:ln w="9525">
                <a:solidFill>
                  <a:schemeClr val="accent4"/>
                </a:solidFill>
              </a:ln>
              <a:effectLst/>
            </c:spPr>
          </c:marker>
          <c:cat>
            <c:numRef>
              <c:f>工作表2!$A$44:$A$58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工作表2!$E$44:$E$58</c:f>
              <c:numCache>
                <c:formatCode>#,##0_ </c:formatCode>
                <c:ptCount val="15"/>
                <c:pt idx="0">
                  <c:v>4222</c:v>
                </c:pt>
                <c:pt idx="1">
                  <c:v>4673</c:v>
                </c:pt>
                <c:pt idx="2">
                  <c:v>5250</c:v>
                </c:pt>
                <c:pt idx="3">
                  <c:v>6811</c:v>
                </c:pt>
                <c:pt idx="4">
                  <c:v>6968</c:v>
                </c:pt>
                <c:pt idx="5">
                  <c:v>6284</c:v>
                </c:pt>
                <c:pt idx="6">
                  <c:v>5516</c:v>
                </c:pt>
                <c:pt idx="7">
                  <c:v>4471</c:v>
                </c:pt>
                <c:pt idx="8">
                  <c:v>3443</c:v>
                </c:pt>
                <c:pt idx="9">
                  <c:v>3065</c:v>
                </c:pt>
                <c:pt idx="10">
                  <c:v>2759</c:v>
                </c:pt>
                <c:pt idx="11">
                  <c:v>2065</c:v>
                </c:pt>
                <c:pt idx="12">
                  <c:v>2708</c:v>
                </c:pt>
                <c:pt idx="13">
                  <c:v>3100</c:v>
                </c:pt>
                <c:pt idx="14">
                  <c:v>2546</c:v>
                </c:pt>
              </c:numCache>
            </c:numRef>
          </c:val>
          <c:smooth val="0"/>
        </c:ser>
        <c:ser>
          <c:idx val="4"/>
          <c:order val="4"/>
          <c:tx>
            <c:strRef>
              <c:f>工作表2!$F$43</c:f>
              <c:strCache>
                <c:ptCount val="1"/>
                <c:pt idx="0">
                  <c:v>Taipei</c:v>
                </c:pt>
              </c:strCache>
            </c:strRef>
          </c:tx>
          <c:spPr>
            <a:ln w="28575" cap="rnd">
              <a:solidFill>
                <a:schemeClr val="accent5"/>
              </a:solidFill>
              <a:prstDash val="lgDashDot"/>
              <a:round/>
              <a:tailEnd type="diamond"/>
            </a:ln>
            <a:effectLst/>
          </c:spPr>
          <c:marker>
            <c:symbol val="circle"/>
            <c:size val="5"/>
            <c:spPr>
              <a:solidFill>
                <a:schemeClr val="accent5"/>
              </a:solidFill>
              <a:ln w="9525">
                <a:solidFill>
                  <a:schemeClr val="accent5"/>
                </a:solidFill>
              </a:ln>
              <a:effectLst/>
            </c:spPr>
          </c:marker>
          <c:cat>
            <c:numRef>
              <c:f>工作表2!$A$44:$A$58</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工作表2!$F$44:$F$58</c:f>
              <c:numCache>
                <c:formatCode>#,##0_ </c:formatCode>
                <c:ptCount val="15"/>
                <c:pt idx="0">
                  <c:v>0</c:v>
                </c:pt>
                <c:pt idx="1">
                  <c:v>0</c:v>
                </c:pt>
                <c:pt idx="2">
                  <c:v>0</c:v>
                </c:pt>
                <c:pt idx="3">
                  <c:v>2693</c:v>
                </c:pt>
                <c:pt idx="4">
                  <c:v>3407</c:v>
                </c:pt>
                <c:pt idx="5">
                  <c:v>3461</c:v>
                </c:pt>
                <c:pt idx="6">
                  <c:v>3702</c:v>
                </c:pt>
                <c:pt idx="7">
                  <c:v>3930</c:v>
                </c:pt>
                <c:pt idx="8">
                  <c:v>5126</c:v>
                </c:pt>
                <c:pt idx="9">
                  <c:v>5228</c:v>
                </c:pt>
                <c:pt idx="10">
                  <c:v>5949</c:v>
                </c:pt>
                <c:pt idx="11">
                  <c:v>6508</c:v>
                </c:pt>
                <c:pt idx="12">
                  <c:v>7474</c:v>
                </c:pt>
                <c:pt idx="13">
                  <c:v>8131</c:v>
                </c:pt>
                <c:pt idx="14">
                  <c:v>8278</c:v>
                </c:pt>
              </c:numCache>
            </c:numRef>
          </c:val>
          <c:smooth val="0"/>
        </c:ser>
        <c:dLbls>
          <c:showLegendKey val="0"/>
          <c:showVal val="0"/>
          <c:showCatName val="0"/>
          <c:showSerName val="0"/>
          <c:showPercent val="0"/>
          <c:showBubbleSize val="0"/>
        </c:dLbls>
        <c:marker val="1"/>
        <c:smooth val="0"/>
        <c:axId val="126806728"/>
        <c:axId val="126838728"/>
      </c:lineChart>
      <c:catAx>
        <c:axId val="126806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838728"/>
        <c:crosses val="autoZero"/>
        <c:auto val="1"/>
        <c:lblAlgn val="ctr"/>
        <c:lblOffset val="100"/>
        <c:noMultiLvlLbl val="0"/>
      </c:catAx>
      <c:valAx>
        <c:axId val="126838728"/>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806728"/>
        <c:crosses val="autoZero"/>
        <c:crossBetween val="between"/>
      </c:valAx>
      <c:spPr>
        <a:noFill/>
        <a:ln w="9525">
          <a:solidFill>
            <a:schemeClr val="tx1"/>
          </a:solidFill>
        </a:ln>
        <a:effectLst/>
      </c:spPr>
    </c:plotArea>
    <c:legend>
      <c:legendPos val="b"/>
      <c:layout/>
      <c:overlay val="0"/>
      <c:spPr>
        <a:noFill/>
        <a:ln>
          <a:solidFill>
            <a:schemeClr val="accent5"/>
          </a:solidFill>
          <a:prstDash val="sysDash"/>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altLang="zh-TW" sz="1000">
                <a:latin typeface="Times New Roman" panose="02020603050405020304" pitchFamily="18" charset="0"/>
                <a:cs typeface="Times New Roman" panose="02020603050405020304" pitchFamily="18" charset="0"/>
              </a:rPr>
              <a:t>Unit: ton/person-hour</a:t>
            </a:r>
            <a:endParaRPr lang="zh-TW" altLang="en-US" sz="1000">
              <a:latin typeface="Times New Roman" panose="02020603050405020304" pitchFamily="18" charset="0"/>
              <a:cs typeface="Times New Roman" panose="02020603050405020304" pitchFamily="18" charset="0"/>
            </a:endParaRPr>
          </a:p>
        </c:rich>
      </c:tx>
      <c:layout>
        <c:manualLayout>
          <c:xMode val="edge"/>
          <c:yMode val="edge"/>
          <c:x val="1.9854111986001701E-2"/>
          <c:y val="2.314814814814809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工作表2!$B$65</c:f>
              <c:strCache>
                <c:ptCount val="1"/>
                <c:pt idx="0">
                  <c:v>Keelung</c:v>
                </c:pt>
              </c:strCache>
            </c:strRef>
          </c:tx>
          <c:spPr>
            <a:ln w="28575" cap="rnd">
              <a:solidFill>
                <a:schemeClr val="accent1"/>
              </a:solidFill>
              <a:prstDash val="sysDash"/>
              <a:round/>
              <a:tailEnd type="oval"/>
            </a:ln>
            <a:effectLst/>
          </c:spPr>
          <c:marker>
            <c:symbol val="circle"/>
            <c:size val="5"/>
            <c:spPr>
              <a:solidFill>
                <a:schemeClr val="accent1"/>
              </a:solidFill>
              <a:ln w="9525">
                <a:solidFill>
                  <a:schemeClr val="accent1"/>
                </a:solidFill>
              </a:ln>
              <a:effectLst/>
            </c:spPr>
          </c:marker>
          <c:cat>
            <c:numRef>
              <c:f>工作表2!$A$66:$A$80</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工作表2!$B$66:$B$80</c:f>
              <c:numCache>
                <c:formatCode>General</c:formatCode>
                <c:ptCount val="15"/>
                <c:pt idx="0">
                  <c:v>107.67</c:v>
                </c:pt>
                <c:pt idx="1">
                  <c:v>120.58</c:v>
                </c:pt>
                <c:pt idx="2">
                  <c:v>119.55</c:v>
                </c:pt>
                <c:pt idx="3">
                  <c:v>123.25</c:v>
                </c:pt>
                <c:pt idx="4">
                  <c:v>129.16</c:v>
                </c:pt>
                <c:pt idx="5">
                  <c:v>125.91</c:v>
                </c:pt>
                <c:pt idx="6">
                  <c:v>146.71</c:v>
                </c:pt>
                <c:pt idx="7">
                  <c:v>150.97</c:v>
                </c:pt>
                <c:pt idx="8">
                  <c:v>157.13</c:v>
                </c:pt>
                <c:pt idx="9">
                  <c:v>160.74</c:v>
                </c:pt>
                <c:pt idx="10">
                  <c:v>161.87</c:v>
                </c:pt>
                <c:pt idx="11">
                  <c:v>163.36000000000001</c:v>
                </c:pt>
                <c:pt idx="12">
                  <c:v>154.91</c:v>
                </c:pt>
                <c:pt idx="13">
                  <c:v>159.41</c:v>
                </c:pt>
                <c:pt idx="14">
                  <c:v>148.65</c:v>
                </c:pt>
              </c:numCache>
            </c:numRef>
          </c:val>
          <c:smooth val="0"/>
        </c:ser>
        <c:ser>
          <c:idx val="1"/>
          <c:order val="1"/>
          <c:tx>
            <c:strRef>
              <c:f>工作表2!$C$65</c:f>
              <c:strCache>
                <c:ptCount val="1"/>
                <c:pt idx="0">
                  <c:v>Kaohsiung</c:v>
                </c:pt>
              </c:strCache>
            </c:strRef>
          </c:tx>
          <c:spPr>
            <a:ln w="28575" cap="rnd">
              <a:solidFill>
                <a:schemeClr val="accent2"/>
              </a:solidFill>
              <a:prstDash val="solid"/>
              <a:round/>
            </a:ln>
            <a:effectLst/>
          </c:spPr>
          <c:marker>
            <c:symbol val="circle"/>
            <c:size val="5"/>
            <c:spPr>
              <a:solidFill>
                <a:schemeClr val="accent2"/>
              </a:solidFill>
              <a:ln w="9525">
                <a:solidFill>
                  <a:schemeClr val="accent2"/>
                </a:solidFill>
              </a:ln>
              <a:effectLst/>
            </c:spPr>
          </c:marker>
          <c:cat>
            <c:numRef>
              <c:f>工作表2!$A$66:$A$80</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工作表2!$C$66:$C$80</c:f>
              <c:numCache>
                <c:formatCode>General</c:formatCode>
                <c:ptCount val="15"/>
                <c:pt idx="0">
                  <c:v>124.03</c:v>
                </c:pt>
                <c:pt idx="1">
                  <c:v>129.22999999999999</c:v>
                </c:pt>
                <c:pt idx="2">
                  <c:v>128.71</c:v>
                </c:pt>
                <c:pt idx="3">
                  <c:v>140.29</c:v>
                </c:pt>
                <c:pt idx="4">
                  <c:v>150.62</c:v>
                </c:pt>
                <c:pt idx="5">
                  <c:v>148.71</c:v>
                </c:pt>
                <c:pt idx="6">
                  <c:v>157.91</c:v>
                </c:pt>
                <c:pt idx="7">
                  <c:v>157.51</c:v>
                </c:pt>
                <c:pt idx="8">
                  <c:v>166.81</c:v>
                </c:pt>
                <c:pt idx="9">
                  <c:v>153.25</c:v>
                </c:pt>
                <c:pt idx="10">
                  <c:v>154.87</c:v>
                </c:pt>
                <c:pt idx="11">
                  <c:v>156.35</c:v>
                </c:pt>
                <c:pt idx="12">
                  <c:v>156.77000000000001</c:v>
                </c:pt>
                <c:pt idx="13">
                  <c:v>156.58000000000001</c:v>
                </c:pt>
                <c:pt idx="14">
                  <c:v>163.35</c:v>
                </c:pt>
              </c:numCache>
            </c:numRef>
          </c:val>
          <c:smooth val="0"/>
        </c:ser>
        <c:ser>
          <c:idx val="2"/>
          <c:order val="2"/>
          <c:tx>
            <c:strRef>
              <c:f>工作表2!$D$65</c:f>
              <c:strCache>
                <c:ptCount val="1"/>
                <c:pt idx="0">
                  <c:v>Taichung</c:v>
                </c:pt>
              </c:strCache>
            </c:strRef>
          </c:tx>
          <c:spPr>
            <a:ln w="28575" cap="rnd">
              <a:solidFill>
                <a:schemeClr val="accent3"/>
              </a:solidFill>
              <a:prstDash val="dashDot"/>
              <a:round/>
              <a:tailEnd type="triangle"/>
            </a:ln>
            <a:effectLst/>
          </c:spPr>
          <c:marker>
            <c:symbol val="circle"/>
            <c:size val="5"/>
            <c:spPr>
              <a:solidFill>
                <a:schemeClr val="accent3"/>
              </a:solidFill>
              <a:ln w="9525">
                <a:solidFill>
                  <a:schemeClr val="accent3"/>
                </a:solidFill>
              </a:ln>
              <a:effectLst/>
            </c:spPr>
          </c:marker>
          <c:cat>
            <c:numRef>
              <c:f>工作表2!$A$66:$A$80</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工作表2!$D$66:$D$80</c:f>
              <c:numCache>
                <c:formatCode>General</c:formatCode>
                <c:ptCount val="15"/>
                <c:pt idx="0">
                  <c:v>142.58000000000001</c:v>
                </c:pt>
                <c:pt idx="1">
                  <c:v>137.47999999999999</c:v>
                </c:pt>
                <c:pt idx="2">
                  <c:v>142.66</c:v>
                </c:pt>
                <c:pt idx="3">
                  <c:v>118.62</c:v>
                </c:pt>
                <c:pt idx="4">
                  <c:v>134.81</c:v>
                </c:pt>
                <c:pt idx="5">
                  <c:v>134.06</c:v>
                </c:pt>
                <c:pt idx="6">
                  <c:v>132.05000000000001</c:v>
                </c:pt>
                <c:pt idx="7">
                  <c:v>140.44</c:v>
                </c:pt>
                <c:pt idx="8">
                  <c:v>148.37</c:v>
                </c:pt>
                <c:pt idx="9">
                  <c:v>156.94999999999999</c:v>
                </c:pt>
                <c:pt idx="10">
                  <c:v>169.27</c:v>
                </c:pt>
                <c:pt idx="11">
                  <c:v>168.35</c:v>
                </c:pt>
                <c:pt idx="12">
                  <c:v>159.87</c:v>
                </c:pt>
                <c:pt idx="13">
                  <c:v>157.21</c:v>
                </c:pt>
                <c:pt idx="14">
                  <c:v>174.49</c:v>
                </c:pt>
              </c:numCache>
            </c:numRef>
          </c:val>
          <c:smooth val="0"/>
        </c:ser>
        <c:ser>
          <c:idx val="3"/>
          <c:order val="3"/>
          <c:tx>
            <c:strRef>
              <c:f>工作表2!$E$65</c:f>
              <c:strCache>
                <c:ptCount val="1"/>
                <c:pt idx="0">
                  <c:v>Hualien</c:v>
                </c:pt>
              </c:strCache>
            </c:strRef>
          </c:tx>
          <c:spPr>
            <a:ln w="28575" cap="rnd">
              <a:solidFill>
                <a:schemeClr val="accent4"/>
              </a:solidFill>
              <a:prstDash val="lgDashDotDot"/>
              <a:round/>
              <a:tailEnd type="stealth"/>
            </a:ln>
            <a:effectLst/>
          </c:spPr>
          <c:marker>
            <c:symbol val="circle"/>
            <c:size val="5"/>
            <c:spPr>
              <a:solidFill>
                <a:schemeClr val="accent4"/>
              </a:solidFill>
              <a:ln w="9525">
                <a:solidFill>
                  <a:schemeClr val="accent4"/>
                </a:solidFill>
              </a:ln>
              <a:effectLst/>
            </c:spPr>
          </c:marker>
          <c:cat>
            <c:numRef>
              <c:f>工作表2!$A$66:$A$80</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工作表2!$E$66:$E$80</c:f>
              <c:numCache>
                <c:formatCode>General</c:formatCode>
                <c:ptCount val="15"/>
                <c:pt idx="0">
                  <c:v>130.55000000000001</c:v>
                </c:pt>
                <c:pt idx="1">
                  <c:v>117.34</c:v>
                </c:pt>
                <c:pt idx="2">
                  <c:v>134.22999999999999</c:v>
                </c:pt>
                <c:pt idx="3">
                  <c:v>154.15</c:v>
                </c:pt>
                <c:pt idx="4">
                  <c:v>155.52000000000001</c:v>
                </c:pt>
                <c:pt idx="5">
                  <c:v>146.07</c:v>
                </c:pt>
                <c:pt idx="6">
                  <c:v>143.81</c:v>
                </c:pt>
                <c:pt idx="7">
                  <c:v>145.66999999999999</c:v>
                </c:pt>
                <c:pt idx="8">
                  <c:v>182.24</c:v>
                </c:pt>
                <c:pt idx="9">
                  <c:v>148.91</c:v>
                </c:pt>
                <c:pt idx="10">
                  <c:v>142.97</c:v>
                </c:pt>
                <c:pt idx="11">
                  <c:v>130.61000000000001</c:v>
                </c:pt>
                <c:pt idx="12">
                  <c:v>134</c:v>
                </c:pt>
                <c:pt idx="13">
                  <c:v>130.79</c:v>
                </c:pt>
                <c:pt idx="14">
                  <c:v>138.34</c:v>
                </c:pt>
              </c:numCache>
            </c:numRef>
          </c:val>
          <c:smooth val="0"/>
        </c:ser>
        <c:ser>
          <c:idx val="4"/>
          <c:order val="4"/>
          <c:tx>
            <c:strRef>
              <c:f>工作表2!$F$65</c:f>
              <c:strCache>
                <c:ptCount val="1"/>
                <c:pt idx="0">
                  <c:v>Taipei</c:v>
                </c:pt>
              </c:strCache>
            </c:strRef>
          </c:tx>
          <c:spPr>
            <a:ln w="28575" cap="rnd">
              <a:solidFill>
                <a:schemeClr val="accent5"/>
              </a:solidFill>
              <a:prstDash val="lgDashDot"/>
              <a:round/>
              <a:tailEnd type="diamond"/>
            </a:ln>
            <a:effectLst/>
          </c:spPr>
          <c:marker>
            <c:symbol val="circle"/>
            <c:size val="5"/>
            <c:spPr>
              <a:solidFill>
                <a:schemeClr val="accent5"/>
              </a:solidFill>
              <a:ln w="9525">
                <a:solidFill>
                  <a:schemeClr val="accent5"/>
                </a:solidFill>
              </a:ln>
              <a:effectLst/>
            </c:spPr>
          </c:marker>
          <c:cat>
            <c:numRef>
              <c:f>工作表2!$A$66:$A$80</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工作表2!$F$66:$F$80</c:f>
              <c:numCache>
                <c:formatCode>General</c:formatCode>
                <c:ptCount val="15"/>
                <c:pt idx="0">
                  <c:v>0</c:v>
                </c:pt>
                <c:pt idx="1">
                  <c:v>0</c:v>
                </c:pt>
                <c:pt idx="2">
                  <c:v>0</c:v>
                </c:pt>
                <c:pt idx="3">
                  <c:v>80.92</c:v>
                </c:pt>
                <c:pt idx="4">
                  <c:v>76.709999999999994</c:v>
                </c:pt>
                <c:pt idx="5">
                  <c:v>69.75</c:v>
                </c:pt>
                <c:pt idx="6">
                  <c:v>68.930000000000007</c:v>
                </c:pt>
                <c:pt idx="7">
                  <c:v>52.7</c:v>
                </c:pt>
                <c:pt idx="8">
                  <c:v>80.95</c:v>
                </c:pt>
                <c:pt idx="9">
                  <c:v>101.73</c:v>
                </c:pt>
                <c:pt idx="10">
                  <c:v>117.63</c:v>
                </c:pt>
                <c:pt idx="11">
                  <c:v>136.12</c:v>
                </c:pt>
                <c:pt idx="12">
                  <c:v>117.11</c:v>
                </c:pt>
                <c:pt idx="13">
                  <c:v>128.03</c:v>
                </c:pt>
                <c:pt idx="14">
                  <c:v>115.47</c:v>
                </c:pt>
              </c:numCache>
            </c:numRef>
          </c:val>
          <c:smooth val="0"/>
        </c:ser>
        <c:dLbls>
          <c:showLegendKey val="0"/>
          <c:showVal val="0"/>
          <c:showCatName val="0"/>
          <c:showSerName val="0"/>
          <c:showPercent val="0"/>
          <c:showBubbleSize val="0"/>
        </c:dLbls>
        <c:marker val="1"/>
        <c:smooth val="0"/>
        <c:axId val="125585616"/>
        <c:axId val="125586792"/>
      </c:lineChart>
      <c:catAx>
        <c:axId val="12558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586792"/>
        <c:crosses val="autoZero"/>
        <c:auto val="1"/>
        <c:lblAlgn val="ctr"/>
        <c:lblOffset val="100"/>
        <c:noMultiLvlLbl val="0"/>
      </c:catAx>
      <c:valAx>
        <c:axId val="125586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585616"/>
        <c:crosses val="autoZero"/>
        <c:crossBetween val="between"/>
      </c:valAx>
      <c:spPr>
        <a:no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sz="1000">
                <a:latin typeface="Times New Roman" panose="02020603050405020304" pitchFamily="18" charset="0"/>
                <a:cs typeface="Times New Roman" panose="02020603050405020304" pitchFamily="18" charset="0"/>
              </a:rPr>
              <a:t>Unit:</a:t>
            </a:r>
            <a:r>
              <a:rPr lang="en-US" altLang="zh-TW" sz="1000" baseline="0">
                <a:latin typeface="Times New Roman" panose="02020603050405020304" pitchFamily="18" charset="0"/>
                <a:cs typeface="Times New Roman" panose="02020603050405020304" pitchFamily="18" charset="0"/>
              </a:rPr>
              <a:t> ton/machine-hour</a:t>
            </a:r>
            <a:endParaRPr lang="zh-TW" altLang="en-US" sz="1000">
              <a:latin typeface="Times New Roman" panose="02020603050405020304" pitchFamily="18" charset="0"/>
              <a:cs typeface="Times New Roman" panose="02020603050405020304" pitchFamily="18" charset="0"/>
            </a:endParaRPr>
          </a:p>
        </c:rich>
      </c:tx>
      <c:layout>
        <c:manualLayout>
          <c:xMode val="edge"/>
          <c:yMode val="edge"/>
          <c:x val="3.0333333333333299E-2"/>
          <c:y val="2.31481481481480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工作表2!$B$84</c:f>
              <c:strCache>
                <c:ptCount val="1"/>
                <c:pt idx="0">
                  <c:v>Keelung</c:v>
                </c:pt>
              </c:strCache>
            </c:strRef>
          </c:tx>
          <c:spPr>
            <a:ln w="28575" cap="rnd">
              <a:solidFill>
                <a:schemeClr val="accent1"/>
              </a:solidFill>
              <a:prstDash val="sysDash"/>
              <a:round/>
              <a:tailEnd type="oval"/>
            </a:ln>
            <a:effectLst/>
          </c:spPr>
          <c:marker>
            <c:symbol val="circle"/>
            <c:size val="5"/>
            <c:spPr>
              <a:solidFill>
                <a:schemeClr val="accent1"/>
              </a:solidFill>
              <a:ln w="9525">
                <a:solidFill>
                  <a:schemeClr val="accent1"/>
                </a:solidFill>
              </a:ln>
              <a:effectLst/>
            </c:spPr>
          </c:marker>
          <c:cat>
            <c:numRef>
              <c:f>工作表2!$A$85:$A$99</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工作表2!$B$85:$B$99</c:f>
              <c:numCache>
                <c:formatCode>General</c:formatCode>
                <c:ptCount val="15"/>
                <c:pt idx="0">
                  <c:v>684.32999999999936</c:v>
                </c:pt>
                <c:pt idx="1">
                  <c:v>710.88</c:v>
                </c:pt>
                <c:pt idx="2">
                  <c:v>732.37</c:v>
                </c:pt>
                <c:pt idx="3">
                  <c:v>717.45999999999935</c:v>
                </c:pt>
                <c:pt idx="4">
                  <c:v>726.77</c:v>
                </c:pt>
                <c:pt idx="5">
                  <c:v>793.44999999999936</c:v>
                </c:pt>
                <c:pt idx="6">
                  <c:v>795.32999999999936</c:v>
                </c:pt>
                <c:pt idx="7">
                  <c:v>788.19</c:v>
                </c:pt>
                <c:pt idx="8">
                  <c:v>806.32999999999936</c:v>
                </c:pt>
                <c:pt idx="9">
                  <c:v>857.88</c:v>
                </c:pt>
                <c:pt idx="10">
                  <c:v>896.58</c:v>
                </c:pt>
                <c:pt idx="11">
                  <c:v>901.04</c:v>
                </c:pt>
                <c:pt idx="12">
                  <c:v>885.42</c:v>
                </c:pt>
                <c:pt idx="13">
                  <c:v>878.67</c:v>
                </c:pt>
                <c:pt idx="14">
                  <c:v>840.12</c:v>
                </c:pt>
              </c:numCache>
            </c:numRef>
          </c:val>
          <c:smooth val="0"/>
        </c:ser>
        <c:ser>
          <c:idx val="2"/>
          <c:order val="1"/>
          <c:tx>
            <c:strRef>
              <c:f>工作表2!$C$84</c:f>
              <c:strCache>
                <c:ptCount val="1"/>
                <c:pt idx="0">
                  <c:v>Kaohsiung</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工作表2!$A$85:$A$99</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工作表2!$C$85:$C$99</c:f>
              <c:numCache>
                <c:formatCode>General</c:formatCode>
                <c:ptCount val="15"/>
                <c:pt idx="0">
                  <c:v>707.58</c:v>
                </c:pt>
                <c:pt idx="1">
                  <c:v>714.15</c:v>
                </c:pt>
                <c:pt idx="2">
                  <c:v>711.78</c:v>
                </c:pt>
                <c:pt idx="3">
                  <c:v>748.25</c:v>
                </c:pt>
                <c:pt idx="4">
                  <c:v>790.81999999999937</c:v>
                </c:pt>
                <c:pt idx="5">
                  <c:v>777.41</c:v>
                </c:pt>
                <c:pt idx="6">
                  <c:v>858.38</c:v>
                </c:pt>
                <c:pt idx="7">
                  <c:v>884.9</c:v>
                </c:pt>
                <c:pt idx="8">
                  <c:v>872.41</c:v>
                </c:pt>
                <c:pt idx="9">
                  <c:v>844.73</c:v>
                </c:pt>
                <c:pt idx="10">
                  <c:v>877.23</c:v>
                </c:pt>
                <c:pt idx="11">
                  <c:v>887.16</c:v>
                </c:pt>
                <c:pt idx="12">
                  <c:v>899.43999999999937</c:v>
                </c:pt>
                <c:pt idx="13">
                  <c:v>909.64</c:v>
                </c:pt>
                <c:pt idx="14">
                  <c:v>952.76</c:v>
                </c:pt>
              </c:numCache>
            </c:numRef>
          </c:val>
          <c:smooth val="0"/>
        </c:ser>
        <c:ser>
          <c:idx val="3"/>
          <c:order val="2"/>
          <c:tx>
            <c:strRef>
              <c:f>工作表2!$D$84</c:f>
              <c:strCache>
                <c:ptCount val="1"/>
                <c:pt idx="0">
                  <c:v>Taichung</c:v>
                </c:pt>
              </c:strCache>
            </c:strRef>
          </c:tx>
          <c:spPr>
            <a:ln w="28575" cap="rnd">
              <a:solidFill>
                <a:schemeClr val="accent4"/>
              </a:solidFill>
              <a:prstDash val="dashDot"/>
              <a:round/>
              <a:tailEnd type="triangle"/>
            </a:ln>
            <a:effectLst/>
          </c:spPr>
          <c:marker>
            <c:symbol val="circle"/>
            <c:size val="5"/>
            <c:spPr>
              <a:solidFill>
                <a:schemeClr val="accent4"/>
              </a:solidFill>
              <a:ln w="9525">
                <a:solidFill>
                  <a:schemeClr val="accent4"/>
                </a:solidFill>
              </a:ln>
              <a:effectLst/>
            </c:spPr>
          </c:marker>
          <c:cat>
            <c:numRef>
              <c:f>工作表2!$A$85:$A$99</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工作表2!$D$85:$D$99</c:f>
              <c:numCache>
                <c:formatCode>General</c:formatCode>
                <c:ptCount val="15"/>
                <c:pt idx="0">
                  <c:v>525.63</c:v>
                </c:pt>
                <c:pt idx="1">
                  <c:v>509.91</c:v>
                </c:pt>
                <c:pt idx="2">
                  <c:v>525.51</c:v>
                </c:pt>
                <c:pt idx="3">
                  <c:v>452.73</c:v>
                </c:pt>
                <c:pt idx="4">
                  <c:v>493.17</c:v>
                </c:pt>
                <c:pt idx="5">
                  <c:v>433.04</c:v>
                </c:pt>
                <c:pt idx="6">
                  <c:v>453.06</c:v>
                </c:pt>
                <c:pt idx="7">
                  <c:v>472.34</c:v>
                </c:pt>
                <c:pt idx="8">
                  <c:v>480.26</c:v>
                </c:pt>
                <c:pt idx="9">
                  <c:v>495.18</c:v>
                </c:pt>
                <c:pt idx="10">
                  <c:v>522.67999999999995</c:v>
                </c:pt>
                <c:pt idx="11">
                  <c:v>538.62</c:v>
                </c:pt>
                <c:pt idx="12">
                  <c:v>556.92999999999938</c:v>
                </c:pt>
                <c:pt idx="13">
                  <c:v>556.39</c:v>
                </c:pt>
                <c:pt idx="14">
                  <c:v>564.77</c:v>
                </c:pt>
              </c:numCache>
            </c:numRef>
          </c:val>
          <c:smooth val="0"/>
        </c:ser>
        <c:ser>
          <c:idx val="4"/>
          <c:order val="3"/>
          <c:tx>
            <c:strRef>
              <c:f>工作表2!$E$84</c:f>
              <c:strCache>
                <c:ptCount val="1"/>
                <c:pt idx="0">
                  <c:v>Hualien</c:v>
                </c:pt>
              </c:strCache>
            </c:strRef>
          </c:tx>
          <c:spPr>
            <a:ln w="28575" cap="rnd">
              <a:solidFill>
                <a:schemeClr val="accent5"/>
              </a:solidFill>
              <a:prstDash val="lgDashDotDot"/>
              <a:round/>
              <a:tailEnd type="stealth"/>
            </a:ln>
            <a:effectLst/>
          </c:spPr>
          <c:marker>
            <c:symbol val="circle"/>
            <c:size val="5"/>
            <c:spPr>
              <a:solidFill>
                <a:schemeClr val="accent5"/>
              </a:solidFill>
              <a:ln w="9525">
                <a:solidFill>
                  <a:schemeClr val="accent5"/>
                </a:solidFill>
              </a:ln>
              <a:effectLst/>
            </c:spPr>
          </c:marker>
          <c:cat>
            <c:numRef>
              <c:f>工作表2!$A$85:$A$99</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工作表2!$E$85:$E$99</c:f>
              <c:numCache>
                <c:formatCode>General</c:formatCode>
                <c:ptCount val="15"/>
                <c:pt idx="0">
                  <c:v>390.91</c:v>
                </c:pt>
                <c:pt idx="1">
                  <c:v>408.45</c:v>
                </c:pt>
                <c:pt idx="2">
                  <c:v>481.14</c:v>
                </c:pt>
                <c:pt idx="3">
                  <c:v>501.72</c:v>
                </c:pt>
                <c:pt idx="4">
                  <c:v>506.37</c:v>
                </c:pt>
                <c:pt idx="5">
                  <c:v>492.53</c:v>
                </c:pt>
                <c:pt idx="6">
                  <c:v>475.12</c:v>
                </c:pt>
                <c:pt idx="7">
                  <c:v>450.53</c:v>
                </c:pt>
                <c:pt idx="8">
                  <c:v>476.61</c:v>
                </c:pt>
                <c:pt idx="9">
                  <c:v>400.71</c:v>
                </c:pt>
                <c:pt idx="10">
                  <c:v>387.57</c:v>
                </c:pt>
                <c:pt idx="11">
                  <c:v>355.18</c:v>
                </c:pt>
                <c:pt idx="12">
                  <c:v>350.51</c:v>
                </c:pt>
                <c:pt idx="13">
                  <c:v>356.11</c:v>
                </c:pt>
                <c:pt idx="14">
                  <c:v>385.01</c:v>
                </c:pt>
              </c:numCache>
            </c:numRef>
          </c:val>
          <c:smooth val="0"/>
        </c:ser>
        <c:ser>
          <c:idx val="5"/>
          <c:order val="4"/>
          <c:tx>
            <c:strRef>
              <c:f>工作表2!$F$84</c:f>
              <c:strCache>
                <c:ptCount val="1"/>
                <c:pt idx="0">
                  <c:v>Taipei</c:v>
                </c:pt>
              </c:strCache>
            </c:strRef>
          </c:tx>
          <c:spPr>
            <a:ln w="28575" cap="rnd">
              <a:solidFill>
                <a:schemeClr val="accent6"/>
              </a:solidFill>
              <a:prstDash val="lgDashDot"/>
              <a:round/>
              <a:tailEnd type="diamond"/>
            </a:ln>
            <a:effectLst/>
          </c:spPr>
          <c:marker>
            <c:symbol val="circle"/>
            <c:size val="5"/>
            <c:spPr>
              <a:solidFill>
                <a:schemeClr val="accent6"/>
              </a:solidFill>
              <a:ln w="9525">
                <a:solidFill>
                  <a:schemeClr val="accent6"/>
                </a:solidFill>
              </a:ln>
              <a:effectLst/>
            </c:spPr>
          </c:marker>
          <c:cat>
            <c:numRef>
              <c:f>工作表2!$A$85:$A$99</c:f>
              <c:numCache>
                <c:formatCode>General</c:formatCod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numCache>
            </c:numRef>
          </c:cat>
          <c:val>
            <c:numRef>
              <c:f>工作表2!$F$85:$F$99</c:f>
              <c:numCache>
                <c:formatCode>General</c:formatCode>
                <c:ptCount val="15"/>
                <c:pt idx="0">
                  <c:v>0</c:v>
                </c:pt>
                <c:pt idx="1">
                  <c:v>0</c:v>
                </c:pt>
                <c:pt idx="2">
                  <c:v>0</c:v>
                </c:pt>
                <c:pt idx="3">
                  <c:v>438.49</c:v>
                </c:pt>
                <c:pt idx="4">
                  <c:v>438.28</c:v>
                </c:pt>
                <c:pt idx="5">
                  <c:v>416.2</c:v>
                </c:pt>
                <c:pt idx="6">
                  <c:v>415.19</c:v>
                </c:pt>
                <c:pt idx="7">
                  <c:v>346.52</c:v>
                </c:pt>
                <c:pt idx="8">
                  <c:v>532.04999999999939</c:v>
                </c:pt>
                <c:pt idx="9">
                  <c:v>560.85999999999933</c:v>
                </c:pt>
                <c:pt idx="10">
                  <c:v>595.61</c:v>
                </c:pt>
                <c:pt idx="11">
                  <c:v>725.28</c:v>
                </c:pt>
                <c:pt idx="12">
                  <c:v>600.4</c:v>
                </c:pt>
                <c:pt idx="13">
                  <c:v>657.47</c:v>
                </c:pt>
                <c:pt idx="14">
                  <c:v>583.07000000000005</c:v>
                </c:pt>
              </c:numCache>
            </c:numRef>
          </c:val>
          <c:smooth val="0"/>
        </c:ser>
        <c:dLbls>
          <c:showLegendKey val="0"/>
          <c:showVal val="0"/>
          <c:showCatName val="0"/>
          <c:showSerName val="0"/>
          <c:showPercent val="0"/>
          <c:showBubbleSize val="0"/>
        </c:dLbls>
        <c:marker val="1"/>
        <c:smooth val="0"/>
        <c:axId val="125587968"/>
        <c:axId val="125588360"/>
      </c:lineChart>
      <c:catAx>
        <c:axId val="1255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588360"/>
        <c:crosses val="autoZero"/>
        <c:auto val="1"/>
        <c:lblAlgn val="ctr"/>
        <c:lblOffset val="100"/>
        <c:noMultiLvlLbl val="0"/>
      </c:catAx>
      <c:valAx>
        <c:axId val="125588360"/>
        <c:scaling>
          <c:orientation val="minMax"/>
        </c:scaling>
        <c:delete val="0"/>
        <c:axPos val="l"/>
        <c:majorGridlines>
          <c:spPr>
            <a:ln w="9525" cap="flat" cmpd="sng" algn="ctr">
              <a:solidFill>
                <a:schemeClr val="accent5"/>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587968"/>
        <c:crosses val="autoZero"/>
        <c:crossBetween val="between"/>
      </c:valAx>
      <c:spPr>
        <a:noFill/>
        <a:ln>
          <a:solidFill>
            <a:schemeClr val="tx1"/>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type="arrow" w="med" len="lg"/>
        </a:ln>
        <a:extLst>
          <a:ext uri="{909E8E84-426E-40dd-AFC4-6F175D3DCCD1}">
            <a14:hiddenFill xmlns:a14="http://schemas.microsoft.com/office/drawing/2010/main" xmlns="">
              <a:noFill/>
            </a14:hiddenFill>
          </a:ext>
        </a:extLst>
      </a:spPr>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3E8B-B15D-46E1-844F-E26F0328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10720</Words>
  <Characters>61110</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Gibson, Lyn</cp:lastModifiedBy>
  <cp:revision>2</cp:revision>
  <cp:lastPrinted>2016-04-18T10:04:00Z</cp:lastPrinted>
  <dcterms:created xsi:type="dcterms:W3CDTF">2016-07-31T21:14:00Z</dcterms:created>
  <dcterms:modified xsi:type="dcterms:W3CDTF">2016-07-31T21:14:00Z</dcterms:modified>
</cp:coreProperties>
</file>