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0F9F6" w14:textId="77777777" w:rsidR="00323EA5" w:rsidRPr="0061355E" w:rsidRDefault="001F05F2" w:rsidP="00282F91">
      <w:pPr>
        <w:spacing w:after="100" w:afterAutospacing="1"/>
        <w:contextualSpacing/>
        <w:jc w:val="center"/>
        <w:rPr>
          <w:b/>
          <w:bCs/>
          <w:szCs w:val="24"/>
          <w:lang w:val="en-GB"/>
        </w:rPr>
      </w:pPr>
      <w:r w:rsidRPr="0061355E">
        <w:rPr>
          <w:b/>
          <w:bCs/>
          <w:szCs w:val="24"/>
          <w:lang w:val="en-GB"/>
        </w:rPr>
        <w:t>Elite Youth Athletes’ Mental Health and Its Relationship with the Talent Development Environment: A Variable- and Person-</w:t>
      </w:r>
      <w:r w:rsidR="004C334B" w:rsidRPr="0061355E">
        <w:rPr>
          <w:b/>
          <w:bCs/>
          <w:szCs w:val="24"/>
          <w:lang w:val="en-GB"/>
        </w:rPr>
        <w:t>Centred</w:t>
      </w:r>
      <w:r w:rsidRPr="0061355E">
        <w:rPr>
          <w:b/>
          <w:bCs/>
          <w:szCs w:val="24"/>
          <w:lang w:val="en-GB"/>
        </w:rPr>
        <w:t xml:space="preserve"> Approach</w:t>
      </w:r>
    </w:p>
    <w:p w14:paraId="7D2436CB" w14:textId="77777777" w:rsidR="00323EA5" w:rsidRPr="0061355E" w:rsidRDefault="00323EA5" w:rsidP="00323EA5">
      <w:pPr>
        <w:spacing w:after="100" w:afterAutospacing="1"/>
        <w:contextualSpacing/>
        <w:jc w:val="center"/>
        <w:rPr>
          <w:szCs w:val="24"/>
        </w:rPr>
      </w:pPr>
    </w:p>
    <w:p w14:paraId="0730D4D7" w14:textId="18E0A4EF" w:rsidR="00323EA5" w:rsidRPr="0061355E" w:rsidRDefault="00323EA5" w:rsidP="00323EA5">
      <w:pPr>
        <w:spacing w:after="100" w:afterAutospacing="1"/>
        <w:contextualSpacing/>
        <w:jc w:val="center"/>
        <w:rPr>
          <w:szCs w:val="24"/>
        </w:rPr>
      </w:pPr>
      <w:proofErr w:type="spellStart"/>
      <w:r w:rsidRPr="0061355E">
        <w:rPr>
          <w:szCs w:val="24"/>
        </w:rPr>
        <w:t>Xingni</w:t>
      </w:r>
      <w:proofErr w:type="spellEnd"/>
      <w:r w:rsidRPr="0061355E">
        <w:rPr>
          <w:szCs w:val="24"/>
        </w:rPr>
        <w:t xml:space="preserve"> Cao </w:t>
      </w:r>
    </w:p>
    <w:p w14:paraId="7761E084" w14:textId="77777777" w:rsidR="00323EA5" w:rsidRPr="0061355E" w:rsidRDefault="00323EA5" w:rsidP="00323EA5">
      <w:pPr>
        <w:spacing w:after="100" w:afterAutospacing="1"/>
        <w:contextualSpacing/>
        <w:jc w:val="center"/>
        <w:rPr>
          <w:szCs w:val="24"/>
        </w:rPr>
      </w:pPr>
      <w:r w:rsidRPr="0061355E">
        <w:rPr>
          <w:szCs w:val="24"/>
        </w:rPr>
        <w:t>South China Normal University</w:t>
      </w:r>
    </w:p>
    <w:p w14:paraId="00EF32CD" w14:textId="77777777" w:rsidR="00323EA5" w:rsidRPr="0061355E" w:rsidRDefault="00323EA5" w:rsidP="00323EA5">
      <w:pPr>
        <w:spacing w:after="100" w:afterAutospacing="1"/>
        <w:contextualSpacing/>
        <w:jc w:val="center"/>
        <w:rPr>
          <w:szCs w:val="24"/>
        </w:rPr>
      </w:pPr>
      <w:r w:rsidRPr="0061355E">
        <w:rPr>
          <w:szCs w:val="24"/>
        </w:rPr>
        <w:t xml:space="preserve">Martindale Russell </w:t>
      </w:r>
    </w:p>
    <w:p w14:paraId="737C85E9" w14:textId="77777777" w:rsidR="00323EA5" w:rsidRPr="0061355E" w:rsidRDefault="00323EA5" w:rsidP="00323EA5">
      <w:pPr>
        <w:spacing w:after="100" w:afterAutospacing="1"/>
        <w:contextualSpacing/>
        <w:jc w:val="center"/>
        <w:rPr>
          <w:szCs w:val="24"/>
        </w:rPr>
      </w:pPr>
      <w:r w:rsidRPr="0061355E">
        <w:rPr>
          <w:szCs w:val="24"/>
        </w:rPr>
        <w:t>Edinburgh Napier University</w:t>
      </w:r>
    </w:p>
    <w:p w14:paraId="0B2A38A1" w14:textId="77777777" w:rsidR="00323EA5" w:rsidRPr="0061355E" w:rsidRDefault="00323EA5" w:rsidP="00323EA5">
      <w:pPr>
        <w:spacing w:after="100" w:afterAutospacing="1"/>
        <w:contextualSpacing/>
        <w:jc w:val="center"/>
        <w:rPr>
          <w:szCs w:val="24"/>
        </w:rPr>
      </w:pPr>
      <w:proofErr w:type="spellStart"/>
      <w:r w:rsidRPr="0061355E">
        <w:rPr>
          <w:szCs w:val="24"/>
        </w:rPr>
        <w:t>Heetae</w:t>
      </w:r>
      <w:proofErr w:type="spellEnd"/>
      <w:r w:rsidRPr="0061355E">
        <w:rPr>
          <w:szCs w:val="24"/>
        </w:rPr>
        <w:t xml:space="preserve"> Cho</w:t>
      </w:r>
    </w:p>
    <w:p w14:paraId="6DCB369A" w14:textId="77777777" w:rsidR="00323EA5" w:rsidRPr="0061355E" w:rsidRDefault="00323EA5" w:rsidP="00323EA5">
      <w:pPr>
        <w:spacing w:after="100" w:afterAutospacing="1"/>
        <w:contextualSpacing/>
        <w:jc w:val="center"/>
        <w:rPr>
          <w:szCs w:val="24"/>
        </w:rPr>
      </w:pPr>
      <w:proofErr w:type="spellStart"/>
      <w:r w:rsidRPr="0061355E">
        <w:rPr>
          <w:szCs w:val="24"/>
        </w:rPr>
        <w:t>Sungkyunkwan</w:t>
      </w:r>
      <w:proofErr w:type="spellEnd"/>
      <w:r w:rsidRPr="0061355E">
        <w:rPr>
          <w:szCs w:val="24"/>
        </w:rPr>
        <w:t> University</w:t>
      </w:r>
    </w:p>
    <w:p w14:paraId="27FAA20A" w14:textId="77777777" w:rsidR="00323EA5" w:rsidRPr="0061355E" w:rsidRDefault="00323EA5" w:rsidP="00323EA5">
      <w:pPr>
        <w:spacing w:after="100" w:afterAutospacing="1"/>
        <w:contextualSpacing/>
        <w:jc w:val="center"/>
        <w:rPr>
          <w:szCs w:val="24"/>
        </w:rPr>
      </w:pPr>
      <w:r w:rsidRPr="0061355E">
        <w:rPr>
          <w:szCs w:val="24"/>
        </w:rPr>
        <w:t>Chunxiao Li</w:t>
      </w:r>
    </w:p>
    <w:p w14:paraId="55272948" w14:textId="77777777" w:rsidR="00323EA5" w:rsidRPr="0061355E" w:rsidRDefault="00323EA5" w:rsidP="00323EA5">
      <w:pPr>
        <w:spacing w:after="100" w:afterAutospacing="1"/>
        <w:contextualSpacing/>
        <w:jc w:val="center"/>
        <w:rPr>
          <w:szCs w:val="24"/>
        </w:rPr>
      </w:pPr>
      <w:r w:rsidRPr="0061355E">
        <w:rPr>
          <w:szCs w:val="24"/>
        </w:rPr>
        <w:t>South China Normal University</w:t>
      </w:r>
    </w:p>
    <w:p w14:paraId="5A678C37" w14:textId="77777777" w:rsidR="00323EA5" w:rsidRPr="0061355E" w:rsidRDefault="00323EA5" w:rsidP="00323EA5">
      <w:pPr>
        <w:spacing w:after="100" w:afterAutospacing="1"/>
        <w:contextualSpacing/>
        <w:jc w:val="center"/>
        <w:rPr>
          <w:szCs w:val="24"/>
        </w:rPr>
      </w:pPr>
    </w:p>
    <w:p w14:paraId="517B0ABF" w14:textId="77777777" w:rsidR="00323EA5" w:rsidRPr="0061355E" w:rsidRDefault="00323EA5" w:rsidP="00323EA5">
      <w:pPr>
        <w:spacing w:after="100" w:afterAutospacing="1"/>
        <w:contextualSpacing/>
        <w:jc w:val="center"/>
        <w:rPr>
          <w:b/>
          <w:szCs w:val="24"/>
        </w:rPr>
      </w:pPr>
      <w:r w:rsidRPr="0061355E">
        <w:rPr>
          <w:b/>
          <w:szCs w:val="24"/>
        </w:rPr>
        <w:t>Author Note</w:t>
      </w:r>
    </w:p>
    <w:p w14:paraId="78582962" w14:textId="77777777" w:rsidR="00323EA5" w:rsidRPr="0061355E" w:rsidRDefault="00323EA5" w:rsidP="00323EA5">
      <w:pPr>
        <w:spacing w:after="100" w:afterAutospacing="1"/>
        <w:contextualSpacing/>
        <w:rPr>
          <w:szCs w:val="24"/>
          <w:shd w:val="clear" w:color="auto" w:fill="F7F7F7"/>
        </w:rPr>
      </w:pPr>
      <w:r w:rsidRPr="0061355E">
        <w:rPr>
          <w:szCs w:val="24"/>
        </w:rPr>
        <w:tab/>
      </w:r>
      <w:proofErr w:type="spellStart"/>
      <w:r w:rsidRPr="0061355E">
        <w:rPr>
          <w:szCs w:val="24"/>
        </w:rPr>
        <w:t>Xingni</w:t>
      </w:r>
      <w:proofErr w:type="spellEnd"/>
      <w:r w:rsidRPr="0061355E">
        <w:rPr>
          <w:szCs w:val="24"/>
        </w:rPr>
        <w:t xml:space="preserve"> Cao and Chunxiao Li are now at the South China Normal University, Guangzhou, China. </w:t>
      </w:r>
      <w:proofErr w:type="spellStart"/>
      <w:r w:rsidRPr="0061355E">
        <w:rPr>
          <w:szCs w:val="24"/>
        </w:rPr>
        <w:t>Heetae</w:t>
      </w:r>
      <w:proofErr w:type="spellEnd"/>
      <w:r w:rsidRPr="0061355E">
        <w:rPr>
          <w:szCs w:val="24"/>
        </w:rPr>
        <w:t xml:space="preserve"> Cho is now at the </w:t>
      </w:r>
      <w:proofErr w:type="spellStart"/>
      <w:r w:rsidRPr="0061355E">
        <w:rPr>
          <w:szCs w:val="24"/>
        </w:rPr>
        <w:t>Sungkyunkwan</w:t>
      </w:r>
      <w:proofErr w:type="spellEnd"/>
      <w:r w:rsidRPr="0061355E">
        <w:rPr>
          <w:szCs w:val="24"/>
        </w:rPr>
        <w:t> University, Seoul, Republic of Korea. Martindale Russell is now at the Edinburgh Napier University, Edinburgh, United Kingdom.</w:t>
      </w:r>
    </w:p>
    <w:p w14:paraId="6938994C" w14:textId="77777777" w:rsidR="00323EA5" w:rsidRPr="0061355E" w:rsidRDefault="00323EA5" w:rsidP="00323EA5">
      <w:pPr>
        <w:spacing w:after="100" w:afterAutospacing="1"/>
        <w:ind w:firstLine="720"/>
        <w:contextualSpacing/>
        <w:rPr>
          <w:szCs w:val="24"/>
        </w:rPr>
      </w:pPr>
      <w:r w:rsidRPr="0061355E">
        <w:rPr>
          <w:szCs w:val="24"/>
        </w:rPr>
        <w:t>Funding: No.</w:t>
      </w:r>
    </w:p>
    <w:p w14:paraId="3B5DECD3" w14:textId="77777777" w:rsidR="00323EA5" w:rsidRPr="0061355E" w:rsidRDefault="00323EA5" w:rsidP="00323EA5">
      <w:pPr>
        <w:spacing w:after="100" w:afterAutospacing="1"/>
        <w:ind w:firstLine="720"/>
        <w:contextualSpacing/>
        <w:rPr>
          <w:szCs w:val="24"/>
        </w:rPr>
      </w:pPr>
      <w:r w:rsidRPr="0061355E">
        <w:rPr>
          <w:szCs w:val="24"/>
        </w:rPr>
        <w:t xml:space="preserve">Declaration of interest statement: The authors report there are no competing interest to declare. </w:t>
      </w:r>
    </w:p>
    <w:p w14:paraId="38449B67" w14:textId="77777777" w:rsidR="00323EA5" w:rsidRPr="0061355E" w:rsidRDefault="00323EA5" w:rsidP="00323EA5">
      <w:pPr>
        <w:spacing w:after="100" w:afterAutospacing="1"/>
        <w:ind w:firstLine="720"/>
        <w:contextualSpacing/>
        <w:rPr>
          <w:szCs w:val="24"/>
        </w:rPr>
      </w:pPr>
      <w:r w:rsidRPr="0061355E">
        <w:rPr>
          <w:szCs w:val="24"/>
        </w:rPr>
        <w:t>Acknowledgements: We thank all the participants for their participation.</w:t>
      </w:r>
    </w:p>
    <w:p w14:paraId="05BE17F4" w14:textId="1DA0AE1F" w:rsidR="001F05F2" w:rsidRPr="0061355E" w:rsidRDefault="00323EA5" w:rsidP="00323EA5">
      <w:pPr>
        <w:spacing w:after="100" w:afterAutospacing="1"/>
        <w:ind w:firstLine="720"/>
        <w:contextualSpacing/>
        <w:rPr>
          <w:szCs w:val="24"/>
        </w:rPr>
      </w:pPr>
      <w:r w:rsidRPr="0061355E">
        <w:rPr>
          <w:szCs w:val="24"/>
        </w:rPr>
        <w:t xml:space="preserve">Correspondence: Chunxiao </w:t>
      </w:r>
      <w:proofErr w:type="spellStart"/>
      <w:r w:rsidRPr="0061355E">
        <w:rPr>
          <w:szCs w:val="24"/>
        </w:rPr>
        <w:t>Li,</w:t>
      </w:r>
      <w:proofErr w:type="spellEnd"/>
      <w:r w:rsidRPr="0061355E">
        <w:rPr>
          <w:szCs w:val="24"/>
        </w:rPr>
        <w:t xml:space="preserve"> School of Physical Education &amp; Sports Science, South China Normal University, Guangzhou, China, 51006. Email: </w:t>
      </w:r>
      <w:hyperlink r:id="rId7" w:history="1">
        <w:r w:rsidRPr="0061355E">
          <w:rPr>
            <w:rStyle w:val="a9"/>
            <w:color w:val="auto"/>
            <w:szCs w:val="24"/>
          </w:rPr>
          <w:t>chunxiao.li@m.scnu.edu.cn</w:t>
        </w:r>
      </w:hyperlink>
      <w:r w:rsidRPr="0061355E">
        <w:rPr>
          <w:szCs w:val="24"/>
        </w:rPr>
        <w:t xml:space="preserve">; </w:t>
      </w:r>
      <w:hyperlink r:id="rId8" w:history="1">
        <w:r w:rsidRPr="0061355E">
          <w:rPr>
            <w:rStyle w:val="a9"/>
            <w:color w:val="auto"/>
            <w:szCs w:val="24"/>
          </w:rPr>
          <w:t>cxlilee@gmail.com</w:t>
        </w:r>
      </w:hyperlink>
      <w:r w:rsidRPr="0061355E">
        <w:rPr>
          <w:szCs w:val="24"/>
        </w:rPr>
        <w:t>.</w:t>
      </w:r>
      <w:r w:rsidR="001F05F2" w:rsidRPr="0061355E">
        <w:rPr>
          <w:b/>
          <w:szCs w:val="24"/>
          <w:lang w:val="en-GB"/>
        </w:rPr>
        <w:br w:type="page"/>
      </w:r>
    </w:p>
    <w:p w14:paraId="68A98FE7" w14:textId="77777777" w:rsidR="001F05F2" w:rsidRPr="0061355E" w:rsidRDefault="001F05F2" w:rsidP="0060536E">
      <w:pPr>
        <w:pStyle w:val="AuthorList"/>
        <w:spacing w:before="0" w:after="0" w:line="480" w:lineRule="auto"/>
        <w:contextualSpacing/>
        <w:jc w:val="center"/>
        <w:rPr>
          <w:lang w:val="en-GB"/>
        </w:rPr>
      </w:pPr>
      <w:r w:rsidRPr="0061355E">
        <w:rPr>
          <w:lang w:val="en-GB"/>
        </w:rPr>
        <w:lastRenderedPageBreak/>
        <w:t>Abstract</w:t>
      </w:r>
    </w:p>
    <w:p w14:paraId="4C028DD3" w14:textId="1144E04F" w:rsidR="00013D22" w:rsidRPr="0061355E" w:rsidRDefault="00013D22" w:rsidP="00013D22">
      <w:pPr>
        <w:rPr>
          <w:szCs w:val="24"/>
          <w:lang w:val="en-GB"/>
        </w:rPr>
      </w:pPr>
      <w:r w:rsidRPr="0061355E">
        <w:rPr>
          <w:szCs w:val="24"/>
          <w:lang w:val="en-GB"/>
        </w:rPr>
        <w:t xml:space="preserve">The present research sought to examine the prevalence of elite youth athletes’ mental health and its relationship with talent development environments (TDEs). A sample of 248 Chinese elite youth athletes completed a self-report survey measuring demographic variables, TDE factors, and mental health outcomes </w:t>
      </w:r>
      <w:r w:rsidR="00155062" w:rsidRPr="0061355E">
        <w:rPr>
          <w:szCs w:val="24"/>
          <w:lang w:val="en-GB"/>
        </w:rPr>
        <w:t>including</w:t>
      </w:r>
      <w:r w:rsidRPr="0061355E">
        <w:rPr>
          <w:szCs w:val="24"/>
          <w:lang w:val="en-GB"/>
        </w:rPr>
        <w:t xml:space="preserve"> generali</w:t>
      </w:r>
      <w:r w:rsidR="00E84188" w:rsidRPr="0061355E">
        <w:rPr>
          <w:szCs w:val="24"/>
          <w:lang w:val="en-GB"/>
        </w:rPr>
        <w:t>s</w:t>
      </w:r>
      <w:r w:rsidRPr="0061355E">
        <w:rPr>
          <w:szCs w:val="24"/>
          <w:lang w:val="en-GB"/>
        </w:rPr>
        <w:t xml:space="preserve">ed anxiety disorder </w:t>
      </w:r>
      <w:r w:rsidR="00155062" w:rsidRPr="0061355E">
        <w:rPr>
          <w:szCs w:val="24"/>
          <w:lang w:val="en-GB"/>
        </w:rPr>
        <w:t>(</w:t>
      </w:r>
      <w:r w:rsidRPr="0061355E">
        <w:rPr>
          <w:szCs w:val="24"/>
          <w:lang w:val="en-GB"/>
        </w:rPr>
        <w:t>GAD</w:t>
      </w:r>
      <w:r w:rsidR="00155062" w:rsidRPr="0061355E">
        <w:rPr>
          <w:szCs w:val="24"/>
          <w:lang w:val="en-GB"/>
        </w:rPr>
        <w:t>)</w:t>
      </w:r>
      <w:r w:rsidRPr="0061355E">
        <w:rPr>
          <w:szCs w:val="24"/>
          <w:lang w:val="en-GB"/>
        </w:rPr>
        <w:t xml:space="preserve">, depression, and athlete burnout. The results revealed moderate levels of burnout, with 19% of the participants meeting the diagnostic </w:t>
      </w:r>
      <w:r w:rsidR="00B965E0" w:rsidRPr="0061355E">
        <w:rPr>
          <w:szCs w:val="24"/>
          <w:lang w:val="en-GB"/>
        </w:rPr>
        <w:t>cut-off</w:t>
      </w:r>
      <w:r w:rsidRPr="0061355E">
        <w:rPr>
          <w:szCs w:val="24"/>
          <w:lang w:val="en-GB"/>
        </w:rPr>
        <w:t xml:space="preserve"> of GAD, and similar numbers for depression. The multiple regression analysis revealed alignment of expectations was the only TDE factor to significantly </w:t>
      </w:r>
      <w:r w:rsidRPr="0061355E">
        <w:rPr>
          <w:rFonts w:eastAsia="AmeriGarmndPL-Roman"/>
          <w:szCs w:val="24"/>
          <w:lang w:val="en-GB"/>
        </w:rPr>
        <w:t xml:space="preserve">predict </w:t>
      </w:r>
      <w:r w:rsidR="003E2B7E" w:rsidRPr="0061355E">
        <w:rPr>
          <w:rFonts w:eastAsia="AmeriGarmndPL-Roman"/>
          <w:szCs w:val="24"/>
          <w:lang w:val="en-GB"/>
        </w:rPr>
        <w:t>GAD</w:t>
      </w:r>
      <w:r w:rsidRPr="0061355E">
        <w:rPr>
          <w:rFonts w:eastAsia="AmeriGarmndPL-Roman"/>
          <w:szCs w:val="24"/>
          <w:lang w:val="en-GB"/>
        </w:rPr>
        <w:t xml:space="preserve"> and depression. Holistic quality preparation was the only significant TDE predictor of burnout. The results of cluster analysis suggested a three cluster solution: </w:t>
      </w:r>
      <w:r w:rsidRPr="0061355E">
        <w:rPr>
          <w:rFonts w:eastAsia="STIX-Regular"/>
          <w:szCs w:val="24"/>
          <w:lang w:val="en-GB" w:eastAsia="zh-CN"/>
        </w:rPr>
        <w:t xml:space="preserve">cluster 1 </w:t>
      </w:r>
      <w:r w:rsidRPr="0061355E">
        <w:rPr>
          <w:szCs w:val="24"/>
          <w:shd w:val="clear" w:color="auto" w:fill="FFFFFF"/>
          <w:lang w:val="en-GB"/>
        </w:rPr>
        <w:t>—</w:t>
      </w:r>
      <w:r w:rsidRPr="0061355E">
        <w:rPr>
          <w:rFonts w:eastAsia="STIX-Regular"/>
          <w:szCs w:val="24"/>
          <w:lang w:val="en-GB" w:eastAsia="zh-CN"/>
        </w:rPr>
        <w:t xml:space="preserve"> “</w:t>
      </w:r>
      <w:r w:rsidR="00646437" w:rsidRPr="0061355E">
        <w:rPr>
          <w:rFonts w:eastAsia="STIX-Regular"/>
          <w:szCs w:val="24"/>
          <w:lang w:val="en-GB" w:eastAsia="zh-CN"/>
        </w:rPr>
        <w:t>s</w:t>
      </w:r>
      <w:r w:rsidRPr="0061355E">
        <w:rPr>
          <w:rFonts w:eastAsia="STIX-Regular"/>
          <w:szCs w:val="24"/>
          <w:lang w:val="en-GB" w:eastAsia="zh-CN"/>
        </w:rPr>
        <w:t xml:space="preserve">lightly </w:t>
      </w:r>
      <w:r w:rsidR="00646437" w:rsidRPr="0061355E">
        <w:rPr>
          <w:rFonts w:eastAsia="STIX-Regular"/>
          <w:szCs w:val="24"/>
          <w:lang w:val="en-GB" w:eastAsia="zh-CN"/>
        </w:rPr>
        <w:t>b</w:t>
      </w:r>
      <w:r w:rsidRPr="0061355E">
        <w:rPr>
          <w:rFonts w:eastAsia="STIX-Regular"/>
          <w:szCs w:val="24"/>
          <w:lang w:val="en-GB" w:eastAsia="zh-CN"/>
        </w:rPr>
        <w:t xml:space="preserve">elow </w:t>
      </w:r>
      <w:r w:rsidR="00646437" w:rsidRPr="0061355E">
        <w:rPr>
          <w:rFonts w:eastAsia="STIX-Regular"/>
          <w:szCs w:val="24"/>
          <w:lang w:val="en-GB" w:eastAsia="zh-CN"/>
        </w:rPr>
        <w:t>a</w:t>
      </w:r>
      <w:r w:rsidRPr="0061355E">
        <w:rPr>
          <w:rFonts w:eastAsia="STIX-Regular"/>
          <w:szCs w:val="24"/>
          <w:lang w:val="en-GB" w:eastAsia="zh-CN"/>
        </w:rPr>
        <w:t xml:space="preserve">verage TDE”, cluster 2 </w:t>
      </w:r>
      <w:r w:rsidRPr="0061355E">
        <w:rPr>
          <w:szCs w:val="24"/>
          <w:shd w:val="clear" w:color="auto" w:fill="FFFFFF"/>
          <w:lang w:val="en-GB"/>
        </w:rPr>
        <w:t>—</w:t>
      </w:r>
      <w:r w:rsidRPr="0061355E">
        <w:rPr>
          <w:rFonts w:eastAsia="STIX-Regular"/>
          <w:szCs w:val="24"/>
          <w:lang w:val="en-GB" w:eastAsia="zh-CN"/>
        </w:rPr>
        <w:t xml:space="preserve"> “</w:t>
      </w:r>
      <w:r w:rsidR="00646437" w:rsidRPr="0061355E">
        <w:rPr>
          <w:rFonts w:eastAsia="STIX-Regular"/>
          <w:szCs w:val="24"/>
          <w:lang w:val="en-GB" w:eastAsia="zh-CN"/>
        </w:rPr>
        <w:t>h</w:t>
      </w:r>
      <w:r w:rsidRPr="0061355E">
        <w:rPr>
          <w:rFonts w:eastAsia="STIX-Regular"/>
          <w:szCs w:val="24"/>
          <w:lang w:val="en-GB" w:eastAsia="zh-CN"/>
        </w:rPr>
        <w:t xml:space="preserve">igh TDE”, and cluster 3 </w:t>
      </w:r>
      <w:r w:rsidRPr="0061355E">
        <w:rPr>
          <w:szCs w:val="24"/>
          <w:shd w:val="clear" w:color="auto" w:fill="FFFFFF"/>
          <w:lang w:val="en-GB"/>
        </w:rPr>
        <w:t>—</w:t>
      </w:r>
      <w:r w:rsidRPr="0061355E">
        <w:rPr>
          <w:rFonts w:eastAsia="STIX-Regular"/>
          <w:szCs w:val="24"/>
          <w:lang w:val="en-GB" w:eastAsia="zh-CN"/>
        </w:rPr>
        <w:t xml:space="preserve"> “</w:t>
      </w:r>
      <w:r w:rsidR="00646437" w:rsidRPr="0061355E">
        <w:rPr>
          <w:rFonts w:eastAsia="STIX-Regular"/>
          <w:szCs w:val="24"/>
          <w:lang w:val="en-GB" w:eastAsia="zh-CN"/>
        </w:rPr>
        <w:t>v</w:t>
      </w:r>
      <w:r w:rsidRPr="0061355E">
        <w:rPr>
          <w:rFonts w:eastAsia="STIX-Regular"/>
          <w:szCs w:val="24"/>
          <w:lang w:val="en-GB" w:eastAsia="zh-CN"/>
        </w:rPr>
        <w:t xml:space="preserve">ery </w:t>
      </w:r>
      <w:r w:rsidR="00646437" w:rsidRPr="0061355E">
        <w:rPr>
          <w:rFonts w:eastAsia="STIX-Regular"/>
          <w:szCs w:val="24"/>
          <w:lang w:val="en-GB" w:eastAsia="zh-CN"/>
        </w:rPr>
        <w:t>l</w:t>
      </w:r>
      <w:r w:rsidRPr="0061355E">
        <w:rPr>
          <w:rFonts w:eastAsia="STIX-Regular"/>
          <w:szCs w:val="24"/>
          <w:lang w:val="en-GB" w:eastAsia="zh-CN"/>
        </w:rPr>
        <w:t xml:space="preserve">ow TDE”. Among the three clusters, cluster 2 had the lowest levels of </w:t>
      </w:r>
      <w:r w:rsidRPr="0061355E">
        <w:rPr>
          <w:rFonts w:eastAsia="AmeriGarmndPL-Roman"/>
          <w:szCs w:val="24"/>
          <w:lang w:val="en-GB"/>
        </w:rPr>
        <w:t>GAD, depression, and burnout. C</w:t>
      </w:r>
      <w:r w:rsidRPr="0061355E">
        <w:rPr>
          <w:rFonts w:eastAsia="STIX-Regular"/>
          <w:szCs w:val="24"/>
          <w:lang w:val="en-GB" w:eastAsia="zh-CN"/>
        </w:rPr>
        <w:t xml:space="preserve">luster 3 reported a higher burnout level than cluster 1, and the two clusters showed no differences in other two mental health outcomes. These findings suggest a need to </w:t>
      </w:r>
      <w:r w:rsidR="00B77277" w:rsidRPr="0061355E">
        <w:rPr>
          <w:rFonts w:eastAsia="STIX-Regular"/>
          <w:szCs w:val="24"/>
          <w:lang w:val="en-GB" w:eastAsia="zh-CN"/>
        </w:rPr>
        <w:t>manage</w:t>
      </w:r>
      <w:r w:rsidRPr="0061355E">
        <w:rPr>
          <w:rFonts w:eastAsia="STIX-Regular"/>
          <w:szCs w:val="24"/>
          <w:lang w:val="en-GB" w:eastAsia="zh-CN"/>
        </w:rPr>
        <w:t xml:space="preserve"> mental health symptoms of elite </w:t>
      </w:r>
      <w:r w:rsidR="00C07EE6" w:rsidRPr="0061355E">
        <w:rPr>
          <w:rFonts w:eastAsia="STIX-Regular"/>
          <w:szCs w:val="24"/>
          <w:lang w:val="en-GB" w:eastAsia="zh-CN"/>
        </w:rPr>
        <w:t xml:space="preserve">youth </w:t>
      </w:r>
      <w:r w:rsidRPr="0061355E">
        <w:rPr>
          <w:rFonts w:eastAsia="STIX-Regular"/>
          <w:szCs w:val="24"/>
          <w:lang w:val="en-GB" w:eastAsia="zh-CN"/>
        </w:rPr>
        <w:t xml:space="preserve">athletes and </w:t>
      </w:r>
      <w:r w:rsidR="00F40E29" w:rsidRPr="0061355E">
        <w:rPr>
          <w:rFonts w:eastAsia="STIX-Regular"/>
          <w:szCs w:val="24"/>
          <w:lang w:val="en-GB" w:eastAsia="zh-CN"/>
        </w:rPr>
        <w:t xml:space="preserve">the roles of </w:t>
      </w:r>
      <w:r w:rsidRPr="0061355E">
        <w:rPr>
          <w:rFonts w:eastAsia="STIX-Regular"/>
          <w:szCs w:val="24"/>
          <w:lang w:val="en-GB" w:eastAsia="zh-CN"/>
        </w:rPr>
        <w:t>TDE</w:t>
      </w:r>
      <w:r w:rsidR="00F40E29" w:rsidRPr="0061355E">
        <w:rPr>
          <w:rFonts w:eastAsia="STIX-Regular"/>
          <w:szCs w:val="24"/>
          <w:lang w:val="en-GB" w:eastAsia="zh-CN"/>
        </w:rPr>
        <w:t xml:space="preserve"> </w:t>
      </w:r>
      <w:r w:rsidR="00F803A7" w:rsidRPr="0061355E">
        <w:rPr>
          <w:rFonts w:eastAsia="STIX-Regular"/>
          <w:szCs w:val="24"/>
          <w:lang w:val="en-GB" w:eastAsia="zh-CN"/>
        </w:rPr>
        <w:t>could</w:t>
      </w:r>
      <w:r w:rsidR="00F40E29" w:rsidRPr="0061355E">
        <w:rPr>
          <w:rFonts w:eastAsia="STIX-Regular"/>
          <w:szCs w:val="24"/>
          <w:lang w:val="en-GB" w:eastAsia="zh-CN"/>
        </w:rPr>
        <w:t xml:space="preserve"> be considered</w:t>
      </w:r>
      <w:r w:rsidRPr="0061355E">
        <w:rPr>
          <w:rFonts w:eastAsia="STIX-Regular"/>
          <w:szCs w:val="24"/>
          <w:lang w:val="en-GB" w:eastAsia="zh-CN"/>
        </w:rPr>
        <w:t xml:space="preserve"> in the management of mental health. </w:t>
      </w:r>
    </w:p>
    <w:p w14:paraId="1907A9A0" w14:textId="77777777" w:rsidR="001F05F2" w:rsidRPr="0061355E" w:rsidRDefault="001F05F2" w:rsidP="00282F91">
      <w:pPr>
        <w:spacing w:after="100" w:afterAutospacing="1"/>
        <w:ind w:firstLine="720"/>
        <w:contextualSpacing/>
        <w:rPr>
          <w:szCs w:val="24"/>
          <w:lang w:val="en-GB"/>
        </w:rPr>
      </w:pPr>
      <w:r w:rsidRPr="0061355E">
        <w:rPr>
          <w:i/>
          <w:szCs w:val="24"/>
          <w:lang w:val="en-GB"/>
        </w:rPr>
        <w:t>Keywords</w:t>
      </w:r>
      <w:r w:rsidRPr="0061355E">
        <w:rPr>
          <w:szCs w:val="24"/>
          <w:lang w:val="en-GB"/>
        </w:rPr>
        <w:t>: talent development, environmental factor, psychological health, sport</w:t>
      </w:r>
      <w:r w:rsidRPr="0061355E">
        <w:rPr>
          <w:szCs w:val="24"/>
          <w:lang w:val="en-GB"/>
        </w:rPr>
        <w:br w:type="page"/>
      </w:r>
    </w:p>
    <w:p w14:paraId="56032E06" w14:textId="77777777" w:rsidR="001F05F2" w:rsidRPr="0061355E" w:rsidRDefault="001F05F2" w:rsidP="0060536E">
      <w:pPr>
        <w:spacing w:before="240" w:after="100" w:afterAutospacing="1"/>
        <w:contextualSpacing/>
        <w:rPr>
          <w:b/>
          <w:szCs w:val="24"/>
          <w:lang w:val="en-GB"/>
        </w:rPr>
      </w:pPr>
      <w:r w:rsidRPr="0061355E">
        <w:rPr>
          <w:b/>
          <w:szCs w:val="24"/>
          <w:lang w:val="en-GB"/>
        </w:rPr>
        <w:lastRenderedPageBreak/>
        <w:t>Introduction</w:t>
      </w:r>
    </w:p>
    <w:p w14:paraId="53098048" w14:textId="201A1335" w:rsidR="001F05F2" w:rsidRPr="0061355E" w:rsidRDefault="001F05F2" w:rsidP="0060536E">
      <w:pPr>
        <w:spacing w:before="240" w:after="100" w:afterAutospacing="1"/>
        <w:ind w:firstLine="720"/>
        <w:contextualSpacing/>
        <w:rPr>
          <w:szCs w:val="24"/>
          <w:lang w:val="en-GB"/>
        </w:rPr>
      </w:pPr>
      <w:r w:rsidRPr="0061355E">
        <w:rPr>
          <w:szCs w:val="24"/>
          <w:lang w:val="en-GB"/>
        </w:rPr>
        <w:t xml:space="preserve">Research highlights the benefits of physical activity on mental health </w:t>
      </w:r>
      <w:r w:rsidR="003E7DFB" w:rsidRPr="0061355E">
        <w:rPr>
          <w:szCs w:val="24"/>
          <w:lang w:val="en-GB"/>
        </w:rPr>
        <w:t xml:space="preserve">in adolescents </w:t>
      </w:r>
      <w:r w:rsidRPr="0061355E">
        <w:rPr>
          <w:szCs w:val="24"/>
          <w:lang w:val="en-GB"/>
        </w:rPr>
        <w:t>(</w:t>
      </w:r>
      <w:proofErr w:type="spellStart"/>
      <w:r w:rsidRPr="0061355E">
        <w:rPr>
          <w:szCs w:val="24"/>
          <w:lang w:val="en-GB"/>
        </w:rPr>
        <w:t>Eime</w:t>
      </w:r>
      <w:proofErr w:type="spellEnd"/>
      <w:r w:rsidRPr="0061355E">
        <w:rPr>
          <w:szCs w:val="24"/>
          <w:lang w:val="en-GB"/>
        </w:rPr>
        <w:t xml:space="preserve"> et al., 2013). However, the media is reporting more and more cases of mental health concerns amongst high profile elite </w:t>
      </w:r>
      <w:r w:rsidR="003E7DFB" w:rsidRPr="0061355E">
        <w:rPr>
          <w:szCs w:val="24"/>
          <w:lang w:val="en-GB"/>
        </w:rPr>
        <w:t xml:space="preserve">youth </w:t>
      </w:r>
      <w:r w:rsidRPr="0061355E">
        <w:rPr>
          <w:szCs w:val="24"/>
          <w:lang w:val="en-GB"/>
        </w:rPr>
        <w:t xml:space="preserve">athletes. A recent meta-analysis indicated high prevalence rates of several mental health symptoms and disorders in elite </w:t>
      </w:r>
      <w:r w:rsidR="00AC7660" w:rsidRPr="0061355E">
        <w:rPr>
          <w:szCs w:val="24"/>
          <w:lang w:val="en-GB"/>
        </w:rPr>
        <w:t xml:space="preserve">youth and adult </w:t>
      </w:r>
      <w:r w:rsidRPr="0061355E">
        <w:rPr>
          <w:szCs w:val="24"/>
          <w:lang w:val="en-GB"/>
        </w:rPr>
        <w:t>athletes: 18% for alcohol misuse, 19.6% for distress, 26.4% for sleep disturbance, and 34% for anxiety/depression (</w:t>
      </w:r>
      <w:proofErr w:type="spellStart"/>
      <w:r w:rsidRPr="0061355E">
        <w:rPr>
          <w:szCs w:val="24"/>
          <w:lang w:val="en-GB"/>
        </w:rPr>
        <w:t>Gouttebarge</w:t>
      </w:r>
      <w:proofErr w:type="spellEnd"/>
      <w:r w:rsidRPr="0061355E">
        <w:rPr>
          <w:szCs w:val="24"/>
          <w:lang w:val="en-GB"/>
        </w:rPr>
        <w:t xml:space="preserve"> et al., 2019). Further, </w:t>
      </w:r>
      <w:r w:rsidR="00C65388" w:rsidRPr="0061355E">
        <w:rPr>
          <w:szCs w:val="24"/>
          <w:lang w:val="en-GB"/>
        </w:rPr>
        <w:t>5</w:t>
      </w:r>
      <w:r w:rsidR="007A29D4" w:rsidRPr="0061355E">
        <w:rPr>
          <w:szCs w:val="24"/>
          <w:lang w:val="en-GB"/>
        </w:rPr>
        <w:t>%-</w:t>
      </w:r>
      <w:r w:rsidR="00C65388" w:rsidRPr="0061355E">
        <w:rPr>
          <w:szCs w:val="24"/>
          <w:lang w:val="en-GB"/>
        </w:rPr>
        <w:t>19</w:t>
      </w:r>
      <w:r w:rsidR="003E7DFB" w:rsidRPr="0061355E">
        <w:rPr>
          <w:szCs w:val="24"/>
          <w:lang w:val="en-GB"/>
        </w:rPr>
        <w:t>%</w:t>
      </w:r>
      <w:r w:rsidR="00C65388" w:rsidRPr="0061355E">
        <w:rPr>
          <w:szCs w:val="24"/>
          <w:lang w:val="en-GB"/>
        </w:rPr>
        <w:t xml:space="preserve"> </w:t>
      </w:r>
      <w:r w:rsidR="007A29D4" w:rsidRPr="0061355E">
        <w:rPr>
          <w:szCs w:val="24"/>
          <w:lang w:val="en-GB"/>
        </w:rPr>
        <w:t xml:space="preserve">elite youth athletes </w:t>
      </w:r>
      <w:r w:rsidR="00C65388" w:rsidRPr="0061355E">
        <w:rPr>
          <w:szCs w:val="24"/>
          <w:lang w:val="en-GB"/>
        </w:rPr>
        <w:t xml:space="preserve">experienced mental health symptoms such as anxiety, </w:t>
      </w:r>
      <w:r w:rsidR="007A29D4" w:rsidRPr="0061355E">
        <w:rPr>
          <w:szCs w:val="24"/>
          <w:lang w:val="en-GB"/>
        </w:rPr>
        <w:t xml:space="preserve">athlete burnout, </w:t>
      </w:r>
      <w:r w:rsidR="00C65388" w:rsidRPr="0061355E">
        <w:rPr>
          <w:szCs w:val="24"/>
          <w:lang w:val="en-GB"/>
        </w:rPr>
        <w:t xml:space="preserve">depression, and </w:t>
      </w:r>
      <w:r w:rsidR="003E2B7E" w:rsidRPr="0061355E">
        <w:rPr>
          <w:szCs w:val="24"/>
          <w:lang w:val="en-GB"/>
        </w:rPr>
        <w:t>insomnia</w:t>
      </w:r>
      <w:r w:rsidRPr="0061355E">
        <w:rPr>
          <w:szCs w:val="24"/>
          <w:lang w:val="en-GB"/>
        </w:rPr>
        <w:t xml:space="preserve"> (</w:t>
      </w:r>
      <w:r w:rsidR="00C65388" w:rsidRPr="0061355E">
        <w:rPr>
          <w:szCs w:val="24"/>
          <w:lang w:val="en-GB"/>
        </w:rPr>
        <w:t xml:space="preserve">Gerber et al., 2022; </w:t>
      </w:r>
      <w:proofErr w:type="spellStart"/>
      <w:r w:rsidRPr="0061355E">
        <w:rPr>
          <w:szCs w:val="24"/>
          <w:lang w:val="en-GB"/>
        </w:rPr>
        <w:t>Gustafsson</w:t>
      </w:r>
      <w:proofErr w:type="spellEnd"/>
      <w:r w:rsidRPr="0061355E">
        <w:rPr>
          <w:szCs w:val="24"/>
          <w:lang w:val="en-GB"/>
        </w:rPr>
        <w:t xml:space="preserve"> et al., 2007</w:t>
      </w:r>
      <w:r w:rsidR="00C65388" w:rsidRPr="0061355E">
        <w:rPr>
          <w:szCs w:val="24"/>
          <w:lang w:val="en-GB"/>
        </w:rPr>
        <w:t xml:space="preserve">; </w:t>
      </w:r>
      <w:proofErr w:type="spellStart"/>
      <w:r w:rsidR="00C65388" w:rsidRPr="0061355E">
        <w:rPr>
          <w:shd w:val="clear" w:color="auto" w:fill="FFFFFF"/>
          <w:lang w:val="en-GB"/>
        </w:rPr>
        <w:t>Håkansson</w:t>
      </w:r>
      <w:proofErr w:type="spellEnd"/>
      <w:r w:rsidR="00C65388" w:rsidRPr="0061355E">
        <w:rPr>
          <w:shd w:val="clear" w:color="auto" w:fill="FFFFFF"/>
          <w:lang w:val="en-GB"/>
        </w:rPr>
        <w:t xml:space="preserve"> et al., 2022</w:t>
      </w:r>
      <w:r w:rsidRPr="0061355E">
        <w:rPr>
          <w:szCs w:val="24"/>
          <w:lang w:val="en-GB"/>
        </w:rPr>
        <w:t xml:space="preserve">). Indeed, </w:t>
      </w:r>
      <w:r w:rsidR="003E7DFB" w:rsidRPr="0061355E">
        <w:rPr>
          <w:szCs w:val="24"/>
          <w:lang w:val="en-GB"/>
        </w:rPr>
        <w:t>elite youth</w:t>
      </w:r>
      <w:r w:rsidR="004B0BA6" w:rsidRPr="0061355E">
        <w:rPr>
          <w:szCs w:val="24"/>
          <w:lang w:val="en-GB"/>
        </w:rPr>
        <w:t xml:space="preserve"> </w:t>
      </w:r>
      <w:r w:rsidRPr="0061355E">
        <w:rPr>
          <w:szCs w:val="24"/>
          <w:lang w:val="en-GB"/>
        </w:rPr>
        <w:t xml:space="preserve">athletes are often required to deal with many challenges and demands both within and outside of sports settings that can negatively impact their mental health (Rice et al., 2019). Elite youth athletes are subject to a significant number of </w:t>
      </w:r>
      <w:r w:rsidR="00AC7660" w:rsidRPr="0061355E">
        <w:rPr>
          <w:szCs w:val="24"/>
          <w:lang w:val="en-GB"/>
        </w:rPr>
        <w:t xml:space="preserve">unique </w:t>
      </w:r>
      <w:r w:rsidRPr="0061355E">
        <w:rPr>
          <w:szCs w:val="24"/>
          <w:lang w:val="en-GB"/>
        </w:rPr>
        <w:t>stressors such as school changes, puberty and transition to financial independence</w:t>
      </w:r>
      <w:r w:rsidR="0077336B" w:rsidRPr="0061355E">
        <w:rPr>
          <w:szCs w:val="24"/>
          <w:lang w:val="en-GB"/>
        </w:rPr>
        <w:t xml:space="preserve"> while they are in the period during which coping resources and skills are still under development</w:t>
      </w:r>
      <w:r w:rsidR="00F967F4" w:rsidRPr="0061355E">
        <w:rPr>
          <w:szCs w:val="24"/>
          <w:lang w:val="en-GB"/>
        </w:rPr>
        <w:t xml:space="preserve"> (</w:t>
      </w:r>
      <w:r w:rsidR="007C4307" w:rsidRPr="0061355E">
        <w:rPr>
          <w:szCs w:val="20"/>
          <w:shd w:val="clear" w:color="auto" w:fill="FFFFFF"/>
          <w:lang w:val="en-GB"/>
        </w:rPr>
        <w:t>Schinke et al., 2022</w:t>
      </w:r>
      <w:r w:rsidR="00F967F4" w:rsidRPr="0061355E">
        <w:rPr>
          <w:szCs w:val="24"/>
          <w:lang w:val="en-GB"/>
        </w:rPr>
        <w:t>)</w:t>
      </w:r>
      <w:r w:rsidRPr="0061355E">
        <w:rPr>
          <w:szCs w:val="24"/>
          <w:lang w:val="en-GB"/>
        </w:rPr>
        <w:t>. Thus, it becomes clear that elite youth sport cohorts may be a particularly high risk group of mental health concerns (</w:t>
      </w:r>
      <w:r w:rsidR="00AC7660" w:rsidRPr="0061355E">
        <w:rPr>
          <w:szCs w:val="24"/>
          <w:lang w:val="en-GB"/>
        </w:rPr>
        <w:t xml:space="preserve">Gerber et al., 2022; </w:t>
      </w:r>
      <w:r w:rsidRPr="0061355E">
        <w:rPr>
          <w:szCs w:val="24"/>
          <w:lang w:val="en-GB"/>
        </w:rPr>
        <w:t>Thompson &amp; Sherman, 2014)</w:t>
      </w:r>
      <w:r w:rsidR="009516A3" w:rsidRPr="0061355E">
        <w:rPr>
          <w:szCs w:val="24"/>
          <w:lang w:val="en-GB"/>
        </w:rPr>
        <w:t xml:space="preserve">, </w:t>
      </w:r>
      <w:r w:rsidR="00277827" w:rsidRPr="0061355E">
        <w:rPr>
          <w:szCs w:val="24"/>
          <w:lang w:val="en-GB" w:eastAsia="zh-CN"/>
        </w:rPr>
        <w:t>h</w:t>
      </w:r>
      <w:r w:rsidR="00277827" w:rsidRPr="0061355E">
        <w:rPr>
          <w:szCs w:val="24"/>
          <w:lang w:val="en-GB"/>
        </w:rPr>
        <w:t xml:space="preserve">ighlighting the need </w:t>
      </w:r>
      <w:r w:rsidR="009516A3" w:rsidRPr="0061355E">
        <w:rPr>
          <w:szCs w:val="24"/>
          <w:lang w:val="en-GB"/>
        </w:rPr>
        <w:t>to</w:t>
      </w:r>
      <w:r w:rsidR="00277827" w:rsidRPr="0061355E">
        <w:rPr>
          <w:szCs w:val="24"/>
          <w:lang w:val="en-GB"/>
        </w:rPr>
        <w:t xml:space="preserve"> understand mental health issues of</w:t>
      </w:r>
      <w:r w:rsidR="009516A3" w:rsidRPr="0061355E">
        <w:rPr>
          <w:szCs w:val="24"/>
          <w:lang w:val="en-GB"/>
        </w:rPr>
        <w:t xml:space="preserve"> this group</w:t>
      </w:r>
      <w:r w:rsidRPr="0061355E">
        <w:rPr>
          <w:szCs w:val="24"/>
          <w:lang w:val="en-GB"/>
        </w:rPr>
        <w:t xml:space="preserve">. Not only is this important for </w:t>
      </w:r>
      <w:r w:rsidR="004B0BA6" w:rsidRPr="0061355E">
        <w:rPr>
          <w:szCs w:val="24"/>
          <w:lang w:val="en-GB"/>
        </w:rPr>
        <w:t>elite youth athletes’</w:t>
      </w:r>
      <w:r w:rsidRPr="0061355E">
        <w:rPr>
          <w:szCs w:val="24"/>
          <w:lang w:val="en-GB"/>
        </w:rPr>
        <w:t xml:space="preserve"> mental welfare, it is also likely to have a significant impact on </w:t>
      </w:r>
      <w:r w:rsidR="00456155" w:rsidRPr="0061355E">
        <w:rPr>
          <w:szCs w:val="24"/>
          <w:lang w:val="en-GB"/>
        </w:rPr>
        <w:t xml:space="preserve">their </w:t>
      </w:r>
      <w:r w:rsidRPr="0061355E">
        <w:rPr>
          <w:szCs w:val="24"/>
          <w:lang w:val="en-GB"/>
        </w:rPr>
        <w:t xml:space="preserve">talent development prospects (Hill et al., 2016).  </w:t>
      </w:r>
    </w:p>
    <w:p w14:paraId="2E8B3DC6" w14:textId="6A9AC1B6" w:rsidR="001F05F2" w:rsidRPr="0061355E" w:rsidRDefault="001F05F2" w:rsidP="0060536E">
      <w:pPr>
        <w:spacing w:before="240" w:after="100" w:afterAutospacing="1"/>
        <w:contextualSpacing/>
        <w:rPr>
          <w:szCs w:val="24"/>
          <w:lang w:val="en-GB"/>
        </w:rPr>
      </w:pPr>
      <w:r w:rsidRPr="0061355E">
        <w:rPr>
          <w:szCs w:val="24"/>
          <w:lang w:val="en-GB"/>
        </w:rPr>
        <w:tab/>
        <w:t>Increasingly, research is being conducted to understand potential risk and protective factors of mental health symptoms such as athlete burnout, depression, and generali</w:t>
      </w:r>
      <w:r w:rsidR="00E84188" w:rsidRPr="0061355E">
        <w:rPr>
          <w:szCs w:val="24"/>
          <w:lang w:val="en-GB"/>
        </w:rPr>
        <w:t>s</w:t>
      </w:r>
      <w:r w:rsidRPr="0061355E">
        <w:rPr>
          <w:szCs w:val="24"/>
          <w:lang w:val="en-GB"/>
        </w:rPr>
        <w:t xml:space="preserve">ed anxiety disorder (GAD). GAD refers to a long-term condition of excessive worry about a wide range of general life events (American Psychiatric Association, 2013). Several factors such as fear of failure, life stress, and sport injury have been found to increase the risk of GAD in elite athletes, </w:t>
      </w:r>
      <w:r w:rsidRPr="0061355E">
        <w:rPr>
          <w:szCs w:val="24"/>
          <w:lang w:val="en-GB"/>
        </w:rPr>
        <w:lastRenderedPageBreak/>
        <w:t xml:space="preserve">whereas factors such as adaptive coping strategies and satisfaction in sport have been shown to be protective (King et al., 2020; Li et al., 2021; </w:t>
      </w:r>
      <w:proofErr w:type="spellStart"/>
      <w:r w:rsidRPr="0061355E">
        <w:rPr>
          <w:szCs w:val="24"/>
          <w:lang w:val="en-GB"/>
        </w:rPr>
        <w:t>McLoughlin</w:t>
      </w:r>
      <w:proofErr w:type="spellEnd"/>
      <w:r w:rsidRPr="0061355E">
        <w:rPr>
          <w:szCs w:val="24"/>
          <w:lang w:val="en-GB"/>
        </w:rPr>
        <w:t xml:space="preserve"> et al., 2021; Perry et al., 2022). Similarly, a history of sport injury, insomnia, stress, being a female, and adverse life events have been shown to be risk factors of depression, factors such as sport satisfaction, support from inside and outside of sport, a starting status, and help-seeking intentions have been found to predict lower depression scores in elite athletes (</w:t>
      </w:r>
      <w:proofErr w:type="spellStart"/>
      <w:r w:rsidRPr="0061355E">
        <w:rPr>
          <w:szCs w:val="24"/>
          <w:lang w:val="en-GB"/>
        </w:rPr>
        <w:t>Kuettel</w:t>
      </w:r>
      <w:proofErr w:type="spellEnd"/>
      <w:r w:rsidRPr="0061355E">
        <w:rPr>
          <w:szCs w:val="24"/>
          <w:lang w:val="en-GB"/>
        </w:rPr>
        <w:t xml:space="preserve"> &amp; Larsen, 2019; </w:t>
      </w:r>
      <w:proofErr w:type="spellStart"/>
      <w:r w:rsidRPr="0061355E">
        <w:rPr>
          <w:szCs w:val="24"/>
          <w:lang w:val="en-GB"/>
        </w:rPr>
        <w:t>Kuettel</w:t>
      </w:r>
      <w:proofErr w:type="spellEnd"/>
      <w:r w:rsidRPr="0061355E">
        <w:rPr>
          <w:szCs w:val="24"/>
          <w:lang w:val="en-GB"/>
        </w:rPr>
        <w:t xml:space="preserve"> et al., 2021; Perry et al., 2022; </w:t>
      </w:r>
      <w:proofErr w:type="spellStart"/>
      <w:r w:rsidRPr="0061355E">
        <w:rPr>
          <w:szCs w:val="24"/>
          <w:lang w:val="en-GB"/>
        </w:rPr>
        <w:t>Tahtinen</w:t>
      </w:r>
      <w:proofErr w:type="spellEnd"/>
      <w:r w:rsidRPr="0061355E">
        <w:rPr>
          <w:szCs w:val="24"/>
          <w:lang w:val="en-GB"/>
        </w:rPr>
        <w:t xml:space="preserve"> et al., 2021). Finally, higher levels of athlete burnout have been shown to be predicted by greater levels of stress, extrinsic motivation, perfectionism issues, and poor social interactions (Edison et al., 2021; </w:t>
      </w:r>
      <w:proofErr w:type="spellStart"/>
      <w:r w:rsidRPr="0061355E">
        <w:rPr>
          <w:szCs w:val="24"/>
          <w:lang w:val="en-GB"/>
        </w:rPr>
        <w:t>Gustafsson</w:t>
      </w:r>
      <w:proofErr w:type="spellEnd"/>
      <w:r w:rsidRPr="0061355E">
        <w:rPr>
          <w:szCs w:val="24"/>
          <w:lang w:val="en-GB"/>
        </w:rPr>
        <w:t xml:space="preserve"> et al., 2017; Lin et al., 2022).</w:t>
      </w:r>
    </w:p>
    <w:p w14:paraId="2ECD92D2" w14:textId="77777777" w:rsidR="001F05F2" w:rsidRPr="0061355E" w:rsidRDefault="001F05F2" w:rsidP="0060536E">
      <w:pPr>
        <w:spacing w:before="240" w:after="100" w:afterAutospacing="1"/>
        <w:ind w:firstLine="720"/>
        <w:contextualSpacing/>
        <w:rPr>
          <w:szCs w:val="24"/>
          <w:lang w:val="en-GB"/>
        </w:rPr>
      </w:pPr>
      <w:r w:rsidRPr="0061355E">
        <w:rPr>
          <w:szCs w:val="24"/>
          <w:lang w:val="en-GB"/>
        </w:rPr>
        <w:t xml:space="preserve">Although previous studies have identified some potential risk and protective factors of mental health symptoms in elite youth athletes, little is known about the </w:t>
      </w:r>
      <w:r w:rsidRPr="0061355E">
        <w:rPr>
          <w:szCs w:val="24"/>
          <w:lang w:val="en-GB" w:eastAsia="zh-CN"/>
        </w:rPr>
        <w:t>pred</w:t>
      </w:r>
      <w:r w:rsidRPr="0061355E">
        <w:rPr>
          <w:szCs w:val="24"/>
          <w:lang w:val="en-GB"/>
        </w:rPr>
        <w:t>icting role of the wider talent development environment (TDE; Thomas et al., 2021)</w:t>
      </w:r>
      <w:r w:rsidRPr="0061355E">
        <w:rPr>
          <w:szCs w:val="24"/>
          <w:lang w:val="en-GB" w:eastAsia="zh-CN"/>
        </w:rPr>
        <w:t>. TDE is defined as all of the surroundings, in which talented athletes can achieve their athletic potential (</w:t>
      </w:r>
      <w:proofErr w:type="spellStart"/>
      <w:r w:rsidRPr="0061355E">
        <w:rPr>
          <w:szCs w:val="24"/>
          <w:lang w:val="en-GB" w:eastAsia="zh-CN"/>
        </w:rPr>
        <w:t>Henriksen</w:t>
      </w:r>
      <w:proofErr w:type="spellEnd"/>
      <w:r w:rsidRPr="0061355E">
        <w:rPr>
          <w:szCs w:val="24"/>
          <w:lang w:val="en-GB" w:eastAsia="zh-CN"/>
        </w:rPr>
        <w:t xml:space="preserve"> et al., 2010; Martindale et al., 2005). </w:t>
      </w:r>
      <w:r w:rsidR="00277827" w:rsidRPr="0061355E">
        <w:rPr>
          <w:szCs w:val="24"/>
          <w:lang w:val="en-GB" w:eastAsia="zh-CN"/>
        </w:rPr>
        <w:t xml:space="preserve">Inspired by the </w:t>
      </w:r>
      <w:r w:rsidR="005A0C37" w:rsidRPr="0061355E">
        <w:rPr>
          <w:szCs w:val="24"/>
          <w:lang w:val="en-GB" w:eastAsia="zh-CN"/>
        </w:rPr>
        <w:t xml:space="preserve">holistic </w:t>
      </w:r>
      <w:r w:rsidR="00277827" w:rsidRPr="0061355E">
        <w:rPr>
          <w:szCs w:val="24"/>
          <w:lang w:val="en-GB" w:eastAsia="zh-CN"/>
        </w:rPr>
        <w:t xml:space="preserve">ecological </w:t>
      </w:r>
      <w:r w:rsidR="006C2A7B" w:rsidRPr="0061355E">
        <w:rPr>
          <w:szCs w:val="24"/>
          <w:lang w:val="en-GB" w:eastAsia="zh-CN"/>
        </w:rPr>
        <w:t>approach</w:t>
      </w:r>
      <w:r w:rsidR="00277827" w:rsidRPr="0061355E">
        <w:rPr>
          <w:szCs w:val="24"/>
          <w:lang w:val="en-GB" w:eastAsia="zh-CN"/>
        </w:rPr>
        <w:t xml:space="preserve">, TDE </w:t>
      </w:r>
      <w:r w:rsidR="00056799" w:rsidRPr="0061355E">
        <w:rPr>
          <w:szCs w:val="24"/>
          <w:lang w:val="en-GB" w:eastAsia="zh-CN"/>
        </w:rPr>
        <w:t>factors are</w:t>
      </w:r>
      <w:r w:rsidR="00277827" w:rsidRPr="0061355E">
        <w:rPr>
          <w:szCs w:val="24"/>
          <w:lang w:val="en-GB" w:eastAsia="zh-CN"/>
        </w:rPr>
        <w:t xml:space="preserve"> believed to play a key role in the </w:t>
      </w:r>
      <w:r w:rsidR="006C2A7B" w:rsidRPr="0061355E">
        <w:rPr>
          <w:szCs w:val="24"/>
          <w:lang w:val="en-GB" w:eastAsia="zh-CN"/>
        </w:rPr>
        <w:t>successful development of elite youth athletes (</w:t>
      </w:r>
      <w:proofErr w:type="spellStart"/>
      <w:r w:rsidR="006C2A7B" w:rsidRPr="0061355E">
        <w:rPr>
          <w:szCs w:val="24"/>
          <w:lang w:val="en-GB" w:eastAsia="zh-CN"/>
        </w:rPr>
        <w:t>Henriksen</w:t>
      </w:r>
      <w:proofErr w:type="spellEnd"/>
      <w:r w:rsidR="006C2A7B" w:rsidRPr="0061355E">
        <w:rPr>
          <w:szCs w:val="24"/>
          <w:lang w:val="en-GB" w:eastAsia="zh-CN"/>
        </w:rPr>
        <w:t xml:space="preserve"> &amp; </w:t>
      </w:r>
      <w:proofErr w:type="spellStart"/>
      <w:r w:rsidR="006C2A7B" w:rsidRPr="0061355E">
        <w:rPr>
          <w:szCs w:val="24"/>
          <w:lang w:val="en-GB" w:eastAsia="zh-CN"/>
        </w:rPr>
        <w:t>Stambulova</w:t>
      </w:r>
      <w:proofErr w:type="spellEnd"/>
      <w:r w:rsidR="006C2A7B" w:rsidRPr="0061355E">
        <w:rPr>
          <w:szCs w:val="24"/>
          <w:lang w:val="en-GB" w:eastAsia="zh-CN"/>
        </w:rPr>
        <w:t xml:space="preserve">, 2023; </w:t>
      </w:r>
      <w:r w:rsidR="006C2A7B" w:rsidRPr="0061355E">
        <w:rPr>
          <w:szCs w:val="24"/>
          <w:lang w:val="en-GB"/>
        </w:rPr>
        <w:t>Martindale et al., 2005</w:t>
      </w:r>
      <w:r w:rsidR="006C2A7B" w:rsidRPr="0061355E">
        <w:rPr>
          <w:szCs w:val="24"/>
          <w:lang w:val="en-GB" w:eastAsia="zh-CN"/>
        </w:rPr>
        <w:t>)</w:t>
      </w:r>
      <w:r w:rsidR="00277827" w:rsidRPr="0061355E">
        <w:rPr>
          <w:szCs w:val="24"/>
          <w:lang w:val="en-GB" w:eastAsia="zh-CN"/>
        </w:rPr>
        <w:t xml:space="preserve">. </w:t>
      </w:r>
      <w:r w:rsidR="005A0C37" w:rsidRPr="0061355E">
        <w:rPr>
          <w:szCs w:val="24"/>
          <w:lang w:val="en-GB" w:eastAsia="zh-CN"/>
        </w:rPr>
        <w:t>Specifically, e</w:t>
      </w:r>
      <w:r w:rsidR="00373564" w:rsidRPr="0061355E">
        <w:rPr>
          <w:szCs w:val="24"/>
          <w:lang w:val="en-GB" w:eastAsia="zh-CN"/>
        </w:rPr>
        <w:t xml:space="preserve">lite youth athletes are situated within </w:t>
      </w:r>
      <w:r w:rsidR="005A0C37" w:rsidRPr="0061355E">
        <w:rPr>
          <w:szCs w:val="24"/>
          <w:lang w:val="en-GB" w:eastAsia="zh-CN"/>
        </w:rPr>
        <w:t xml:space="preserve">a wide range of </w:t>
      </w:r>
      <w:r w:rsidR="00056799" w:rsidRPr="0061355E">
        <w:rPr>
          <w:szCs w:val="24"/>
          <w:lang w:val="en-GB" w:eastAsia="zh-CN"/>
        </w:rPr>
        <w:t xml:space="preserve">TDE </w:t>
      </w:r>
      <w:r w:rsidR="00373564" w:rsidRPr="0061355E">
        <w:rPr>
          <w:szCs w:val="24"/>
          <w:lang w:val="en-GB" w:eastAsia="zh-CN"/>
        </w:rPr>
        <w:t xml:space="preserve">factors that could either </w:t>
      </w:r>
      <w:r w:rsidR="006425B5" w:rsidRPr="0061355E">
        <w:rPr>
          <w:szCs w:val="24"/>
          <w:lang w:val="en-GB" w:eastAsia="zh-CN"/>
        </w:rPr>
        <w:t>facilitate</w:t>
      </w:r>
      <w:r w:rsidR="00373564" w:rsidRPr="0061355E">
        <w:rPr>
          <w:szCs w:val="24"/>
          <w:lang w:val="en-GB" w:eastAsia="zh-CN"/>
        </w:rPr>
        <w:t xml:space="preserve"> or hinder their </w:t>
      </w:r>
      <w:r w:rsidR="00481D69" w:rsidRPr="0061355E">
        <w:rPr>
          <w:szCs w:val="24"/>
          <w:lang w:val="en-GB" w:eastAsia="zh-CN"/>
        </w:rPr>
        <w:t>sporting journey and outcomes</w:t>
      </w:r>
      <w:r w:rsidR="00056799" w:rsidRPr="0061355E">
        <w:rPr>
          <w:szCs w:val="24"/>
          <w:lang w:val="en-GB" w:eastAsia="zh-CN"/>
        </w:rPr>
        <w:t xml:space="preserve">. </w:t>
      </w:r>
      <w:r w:rsidRPr="0061355E">
        <w:rPr>
          <w:szCs w:val="24"/>
          <w:lang w:val="en-GB" w:eastAsia="zh-CN"/>
        </w:rPr>
        <w:t xml:space="preserve">One of the few qualitative studies in this area highlights protective TDE factors revolve around good quality relationships, such as an open and supportive coaching environment, parental and family support, and peer support </w:t>
      </w:r>
      <w:r w:rsidRPr="0061355E">
        <w:rPr>
          <w:szCs w:val="24"/>
          <w:lang w:val="en-GB"/>
        </w:rPr>
        <w:t>(Hill et al., 2016)</w:t>
      </w:r>
      <w:r w:rsidRPr="0061355E">
        <w:rPr>
          <w:szCs w:val="24"/>
          <w:lang w:val="en-GB" w:eastAsia="zh-CN"/>
        </w:rPr>
        <w:t xml:space="preserve">. Risk TDE factors included unstable home life and pushy parents, pressure to perform and overly competitive environments, lack of support around key transitions, injury, adolescence, maturation, identity, and attachment difficulties </w:t>
      </w:r>
      <w:r w:rsidRPr="0061355E">
        <w:rPr>
          <w:szCs w:val="24"/>
          <w:lang w:val="en-GB"/>
        </w:rPr>
        <w:t>(Hill et al., 2016)</w:t>
      </w:r>
      <w:r w:rsidRPr="0061355E">
        <w:rPr>
          <w:szCs w:val="24"/>
          <w:lang w:val="en-GB" w:eastAsia="zh-CN"/>
        </w:rPr>
        <w:t xml:space="preserve">. </w:t>
      </w:r>
    </w:p>
    <w:p w14:paraId="1F865D7B" w14:textId="1C099942" w:rsidR="001F05F2" w:rsidRPr="0061355E" w:rsidRDefault="001F05F2" w:rsidP="0060536E">
      <w:pPr>
        <w:spacing w:before="240" w:after="100" w:afterAutospacing="1"/>
        <w:ind w:firstLine="720"/>
        <w:contextualSpacing/>
        <w:rPr>
          <w:szCs w:val="24"/>
          <w:lang w:val="en-GB"/>
        </w:rPr>
      </w:pPr>
      <w:r w:rsidRPr="0061355E">
        <w:rPr>
          <w:szCs w:val="24"/>
          <w:lang w:val="en-GB"/>
        </w:rPr>
        <w:lastRenderedPageBreak/>
        <w:t>A few quantitative studies, utilizing the Talent Development Environment Questionnaire (TDEQ; Li et al., 2015; Martindale et al., 2010) have examined the predictive role of TDEs</w:t>
      </w:r>
      <w:r w:rsidRPr="0061355E">
        <w:rPr>
          <w:szCs w:val="24"/>
          <w:lang w:val="en-GB" w:eastAsia="zh-CN"/>
        </w:rPr>
        <w:t xml:space="preserve"> on mental health of elite </w:t>
      </w:r>
      <w:r w:rsidR="00C07EE6" w:rsidRPr="0061355E">
        <w:rPr>
          <w:szCs w:val="24"/>
          <w:lang w:val="en-GB" w:eastAsia="zh-CN"/>
        </w:rPr>
        <w:t xml:space="preserve">youth </w:t>
      </w:r>
      <w:r w:rsidRPr="0061355E">
        <w:rPr>
          <w:szCs w:val="24"/>
          <w:lang w:val="en-GB" w:eastAsia="zh-CN"/>
        </w:rPr>
        <w:t xml:space="preserve">athletes. For example, </w:t>
      </w:r>
      <w:proofErr w:type="spellStart"/>
      <w:r w:rsidRPr="0061355E">
        <w:rPr>
          <w:szCs w:val="24"/>
          <w:lang w:val="en-GB" w:eastAsia="zh-CN"/>
        </w:rPr>
        <w:t>Ivarsson</w:t>
      </w:r>
      <w:proofErr w:type="spellEnd"/>
      <w:r w:rsidRPr="0061355E">
        <w:rPr>
          <w:szCs w:val="24"/>
          <w:lang w:val="en-GB" w:eastAsia="zh-CN"/>
        </w:rPr>
        <w:t xml:space="preserve"> et al. (2015) employed a person-</w:t>
      </w:r>
      <w:r w:rsidR="00BE509C" w:rsidRPr="0061355E">
        <w:rPr>
          <w:szCs w:val="24"/>
          <w:lang w:val="en-GB" w:eastAsia="zh-CN"/>
        </w:rPr>
        <w:t>centred</w:t>
      </w:r>
      <w:r w:rsidRPr="0061355E">
        <w:rPr>
          <w:szCs w:val="24"/>
          <w:lang w:val="en-GB" w:eastAsia="zh-CN"/>
        </w:rPr>
        <w:t xml:space="preserve"> analytic approach (e.g., cluster analysis) to investigate the </w:t>
      </w:r>
      <w:r w:rsidRPr="0061355E">
        <w:rPr>
          <w:szCs w:val="24"/>
          <w:lang w:val="en-GB"/>
        </w:rPr>
        <w:t xml:space="preserve">predictive ability of the TDE on elite </w:t>
      </w:r>
      <w:r w:rsidR="00C07EE6" w:rsidRPr="0061355E">
        <w:rPr>
          <w:szCs w:val="24"/>
          <w:lang w:val="en-GB"/>
        </w:rPr>
        <w:t xml:space="preserve">youth </w:t>
      </w:r>
      <w:r w:rsidRPr="0061355E">
        <w:rPr>
          <w:szCs w:val="24"/>
          <w:lang w:val="en-GB"/>
        </w:rPr>
        <w:t>football players’ well-being and stress. This study found that coach-athlete relationships which demonstrated good communication about athlete’s lives inside and outside of sport were important in this regard. As were coherent, individuali</w:t>
      </w:r>
      <w:r w:rsidR="00E84188" w:rsidRPr="0061355E">
        <w:rPr>
          <w:szCs w:val="24"/>
          <w:lang w:val="en-GB"/>
        </w:rPr>
        <w:t>s</w:t>
      </w:r>
      <w:r w:rsidRPr="0061355E">
        <w:rPr>
          <w:szCs w:val="24"/>
          <w:lang w:val="en-GB"/>
        </w:rPr>
        <w:t xml:space="preserve">ed development plans and processes, with well established relationships between clubs, coaches, parents and school. </w:t>
      </w:r>
      <w:r w:rsidRPr="0061355E">
        <w:rPr>
          <w:szCs w:val="24"/>
          <w:lang w:val="en-GB" w:eastAsia="zh-CN"/>
        </w:rPr>
        <w:t xml:space="preserve">Building on this work, Li et al. (2017) </w:t>
      </w:r>
      <w:r w:rsidRPr="0061355E">
        <w:rPr>
          <w:szCs w:val="24"/>
          <w:lang w:val="en-GB"/>
        </w:rPr>
        <w:t xml:space="preserve">showed that </w:t>
      </w:r>
      <w:r w:rsidR="00FA194E" w:rsidRPr="0061355E">
        <w:rPr>
          <w:szCs w:val="24"/>
          <w:lang w:val="en-GB"/>
        </w:rPr>
        <w:t xml:space="preserve">three TDEQ factors (i.e., </w:t>
      </w:r>
      <w:r w:rsidRPr="0061355E">
        <w:rPr>
          <w:szCs w:val="24"/>
          <w:lang w:val="en-GB"/>
        </w:rPr>
        <w:t>long-term development focus, holistic quality preparation, and communication</w:t>
      </w:r>
      <w:r w:rsidR="00FA194E" w:rsidRPr="0061355E">
        <w:rPr>
          <w:szCs w:val="24"/>
          <w:lang w:val="en-GB"/>
        </w:rPr>
        <w:t>)</w:t>
      </w:r>
      <w:r w:rsidRPr="0061355E">
        <w:rPr>
          <w:szCs w:val="24"/>
          <w:lang w:val="en-GB"/>
        </w:rPr>
        <w:t xml:space="preserve"> negatively predicted athlete burnout through needs satisfaction in elite athletes. However, only holistic quality preparation was found to negatively predict athlete burnout in a more recent study (Thomas et al., 2021). This research to date highlights the complexity, and perhaps context specific nature of the impact of the TDE on different mental health outcomes. However, there is consistency in the finding that the environment may have a significant role to play on the protection and even facilitation of positive mental health outcomes in young athletes. As such, more research is needed to examine the predictive role of TDEs in youth athletes’ mental health. </w:t>
      </w:r>
    </w:p>
    <w:p w14:paraId="00BCED56" w14:textId="59845AC7" w:rsidR="001F05F2" w:rsidRPr="0061355E" w:rsidRDefault="001F05F2" w:rsidP="0060536E">
      <w:pPr>
        <w:spacing w:before="240" w:after="100" w:afterAutospacing="1"/>
        <w:ind w:firstLine="720"/>
        <w:contextualSpacing/>
        <w:rPr>
          <w:szCs w:val="24"/>
          <w:lang w:val="en-GB"/>
        </w:rPr>
      </w:pPr>
      <w:r w:rsidRPr="0061355E">
        <w:rPr>
          <w:szCs w:val="24"/>
          <w:lang w:val="en-GB"/>
        </w:rPr>
        <w:t xml:space="preserve">To address the outlined literature gaps, our study sought to (a) examine the prevalence of mental health issues among elite youth athletes in China and (b) investigate the relationship between TDEs and mental health </w:t>
      </w:r>
      <w:r w:rsidRPr="0061355E">
        <w:rPr>
          <w:szCs w:val="24"/>
          <w:lang w:val="en-GB" w:eastAsia="zh-CN"/>
        </w:rPr>
        <w:t>through both</w:t>
      </w:r>
      <w:r w:rsidRPr="0061355E">
        <w:rPr>
          <w:szCs w:val="24"/>
          <w:lang w:val="en-GB"/>
        </w:rPr>
        <w:t xml:space="preserve"> variable- and person-</w:t>
      </w:r>
      <w:r w:rsidR="00BA2601" w:rsidRPr="0061355E">
        <w:rPr>
          <w:szCs w:val="24"/>
          <w:lang w:val="en-GB"/>
        </w:rPr>
        <w:t>centred</w:t>
      </w:r>
      <w:r w:rsidRPr="0061355E">
        <w:rPr>
          <w:szCs w:val="24"/>
          <w:lang w:val="en-GB"/>
        </w:rPr>
        <w:t xml:space="preserve"> approaches. Of note, to date, most research has employed a variable-</w:t>
      </w:r>
      <w:r w:rsidR="00BA2601" w:rsidRPr="0061355E">
        <w:rPr>
          <w:szCs w:val="24"/>
          <w:lang w:val="en-GB"/>
        </w:rPr>
        <w:t>centred</w:t>
      </w:r>
      <w:r w:rsidRPr="0061355E">
        <w:rPr>
          <w:szCs w:val="24"/>
          <w:lang w:val="en-GB"/>
        </w:rPr>
        <w:t xml:space="preserve"> analytic approach such as regression analysis to examine risk and protective factors of mental health in elite athletes (</w:t>
      </w:r>
      <w:proofErr w:type="spellStart"/>
      <w:r w:rsidRPr="0061355E">
        <w:rPr>
          <w:szCs w:val="24"/>
          <w:lang w:val="en-GB"/>
        </w:rPr>
        <w:t>Kuettel</w:t>
      </w:r>
      <w:proofErr w:type="spellEnd"/>
      <w:r w:rsidRPr="0061355E">
        <w:rPr>
          <w:szCs w:val="24"/>
          <w:lang w:val="en-GB"/>
        </w:rPr>
        <w:t xml:space="preserve"> et al., 2021). As a supplement to the variable-</w:t>
      </w:r>
      <w:r w:rsidR="00BA2601" w:rsidRPr="0061355E">
        <w:rPr>
          <w:szCs w:val="24"/>
          <w:lang w:val="en-GB"/>
        </w:rPr>
        <w:t>centred</w:t>
      </w:r>
      <w:r w:rsidRPr="0061355E">
        <w:rPr>
          <w:szCs w:val="24"/>
          <w:lang w:val="en-GB"/>
        </w:rPr>
        <w:t xml:space="preserve"> approach, the person-</w:t>
      </w:r>
      <w:r w:rsidR="00BA2601" w:rsidRPr="0061355E">
        <w:rPr>
          <w:szCs w:val="24"/>
          <w:lang w:val="en-GB"/>
        </w:rPr>
        <w:t>centred</w:t>
      </w:r>
      <w:r w:rsidRPr="0061355E">
        <w:rPr>
          <w:szCs w:val="24"/>
          <w:lang w:val="en-GB"/>
        </w:rPr>
        <w:t xml:space="preserve"> approach can help </w:t>
      </w:r>
      <w:r w:rsidRPr="0061355E">
        <w:rPr>
          <w:szCs w:val="24"/>
          <w:lang w:val="en-GB"/>
        </w:rPr>
        <w:lastRenderedPageBreak/>
        <w:t>identify subgroups of a sample who share similar characteristics on a set of variables such as TDE factors (Howard &amp; Hoffman, 2018), which can provide additional insight. Furthermore, we limited outcomes to three mental health symptoms (i.e., GAD, depression, and athlete burnout) given their high prevalence rates and close associations with sport performance</w:t>
      </w:r>
      <w:r w:rsidR="007A29D4" w:rsidRPr="0061355E">
        <w:rPr>
          <w:szCs w:val="24"/>
          <w:lang w:val="en-GB"/>
        </w:rPr>
        <w:t xml:space="preserve"> in elite youth athletes</w:t>
      </w:r>
      <w:r w:rsidRPr="0061355E">
        <w:rPr>
          <w:szCs w:val="24"/>
          <w:lang w:val="en-GB"/>
        </w:rPr>
        <w:t xml:space="preserve"> (</w:t>
      </w:r>
      <w:proofErr w:type="spellStart"/>
      <w:r w:rsidRPr="0061355E">
        <w:rPr>
          <w:szCs w:val="24"/>
          <w:lang w:val="en-GB"/>
        </w:rPr>
        <w:t>Gouttebarge</w:t>
      </w:r>
      <w:proofErr w:type="spellEnd"/>
      <w:r w:rsidRPr="0061355E">
        <w:rPr>
          <w:szCs w:val="24"/>
          <w:lang w:val="en-GB"/>
        </w:rPr>
        <w:t xml:space="preserve"> et al., 2019; </w:t>
      </w:r>
      <w:proofErr w:type="spellStart"/>
      <w:r w:rsidRPr="0061355E">
        <w:rPr>
          <w:szCs w:val="24"/>
          <w:lang w:val="en-GB"/>
        </w:rPr>
        <w:t>Gustafsson</w:t>
      </w:r>
      <w:proofErr w:type="spellEnd"/>
      <w:r w:rsidRPr="0061355E">
        <w:rPr>
          <w:szCs w:val="24"/>
          <w:lang w:val="en-GB"/>
        </w:rPr>
        <w:t xml:space="preserve"> et al., 2007; </w:t>
      </w:r>
      <w:proofErr w:type="spellStart"/>
      <w:r w:rsidRPr="0061355E">
        <w:rPr>
          <w:szCs w:val="24"/>
          <w:lang w:val="en-GB"/>
        </w:rPr>
        <w:t>Sanhueza</w:t>
      </w:r>
      <w:proofErr w:type="spellEnd"/>
      <w:r w:rsidRPr="0061355E">
        <w:rPr>
          <w:szCs w:val="24"/>
          <w:lang w:val="en-GB"/>
        </w:rPr>
        <w:t xml:space="preserve"> et al., 2016). </w:t>
      </w:r>
      <w:r w:rsidR="006E1263" w:rsidRPr="0061355E">
        <w:rPr>
          <w:szCs w:val="24"/>
          <w:lang w:val="en-GB"/>
        </w:rPr>
        <w:t xml:space="preserve">Elite youth athletes </w:t>
      </w:r>
      <w:r w:rsidR="003F4803" w:rsidRPr="0061355E">
        <w:rPr>
          <w:szCs w:val="24"/>
          <w:lang w:val="en-GB"/>
        </w:rPr>
        <w:t xml:space="preserve">often </w:t>
      </w:r>
      <w:r w:rsidR="00FA194E" w:rsidRPr="0061355E">
        <w:rPr>
          <w:szCs w:val="24"/>
          <w:lang w:val="en-GB"/>
        </w:rPr>
        <w:t>experience</w:t>
      </w:r>
      <w:r w:rsidR="003F4803" w:rsidRPr="0061355E">
        <w:rPr>
          <w:szCs w:val="24"/>
          <w:lang w:val="en-GB"/>
        </w:rPr>
        <w:t xml:space="preserve"> general and high performance risk factors </w:t>
      </w:r>
      <w:r w:rsidR="000A4B93" w:rsidRPr="0061355E">
        <w:rPr>
          <w:szCs w:val="24"/>
          <w:lang w:val="en-GB"/>
        </w:rPr>
        <w:t xml:space="preserve">(e.g., abuse and maltreatment, identity formation, overtraining, perfectionism, </w:t>
      </w:r>
      <w:r w:rsidR="00FA194E" w:rsidRPr="0061355E">
        <w:rPr>
          <w:szCs w:val="24"/>
          <w:lang w:val="en-GB"/>
        </w:rPr>
        <w:t xml:space="preserve">and </w:t>
      </w:r>
      <w:r w:rsidR="000A4B93" w:rsidRPr="0061355E">
        <w:rPr>
          <w:szCs w:val="24"/>
          <w:lang w:val="en-GB"/>
        </w:rPr>
        <w:t xml:space="preserve">pressure to win) </w:t>
      </w:r>
      <w:r w:rsidR="003F4803" w:rsidRPr="0061355E">
        <w:rPr>
          <w:szCs w:val="24"/>
          <w:lang w:val="en-GB"/>
        </w:rPr>
        <w:t>that are likely</w:t>
      </w:r>
      <w:r w:rsidR="00CB0606" w:rsidRPr="0061355E">
        <w:rPr>
          <w:szCs w:val="24"/>
          <w:lang w:val="en-GB"/>
        </w:rPr>
        <w:t xml:space="preserve"> to</w:t>
      </w:r>
      <w:r w:rsidR="003F4803" w:rsidRPr="0061355E">
        <w:rPr>
          <w:szCs w:val="24"/>
          <w:lang w:val="en-GB"/>
        </w:rPr>
        <w:t xml:space="preserve"> result in GAD, depression, and athlete burnout</w:t>
      </w:r>
      <w:r w:rsidR="000A4B93" w:rsidRPr="0061355E">
        <w:rPr>
          <w:szCs w:val="24"/>
          <w:lang w:val="en-GB"/>
        </w:rPr>
        <w:t xml:space="preserve"> (Gerber et al., 2022; </w:t>
      </w:r>
      <w:r w:rsidR="007B5CF8" w:rsidRPr="0061355E">
        <w:rPr>
          <w:szCs w:val="24"/>
          <w:lang w:val="en-GB"/>
        </w:rPr>
        <w:t xml:space="preserve">Rice et al., 2019; </w:t>
      </w:r>
      <w:r w:rsidR="000A4B93" w:rsidRPr="0061355E">
        <w:rPr>
          <w:szCs w:val="20"/>
          <w:shd w:val="clear" w:color="auto" w:fill="FFFFFF"/>
          <w:lang w:val="en-GB"/>
        </w:rPr>
        <w:t xml:space="preserve">Schinke et al., 2022). </w:t>
      </w:r>
      <w:r w:rsidRPr="0061355E">
        <w:rPr>
          <w:szCs w:val="24"/>
          <w:lang w:val="en-GB"/>
        </w:rPr>
        <w:t>According to previous research (</w:t>
      </w:r>
      <w:proofErr w:type="spellStart"/>
      <w:r w:rsidRPr="0061355E">
        <w:rPr>
          <w:szCs w:val="24"/>
          <w:lang w:val="en-GB"/>
        </w:rPr>
        <w:t>Ivarsson</w:t>
      </w:r>
      <w:proofErr w:type="spellEnd"/>
      <w:r w:rsidRPr="0061355E">
        <w:rPr>
          <w:szCs w:val="24"/>
          <w:lang w:val="en-GB"/>
        </w:rPr>
        <w:t xml:space="preserve"> et al., 2015; Li et al., 2017; Thomas et al., 2021), it was hypothesi</w:t>
      </w:r>
      <w:r w:rsidR="00DB018E" w:rsidRPr="0061355E">
        <w:rPr>
          <w:szCs w:val="24"/>
          <w:lang w:val="en-GB"/>
        </w:rPr>
        <w:t>s</w:t>
      </w:r>
      <w:r w:rsidRPr="0061355E">
        <w:rPr>
          <w:szCs w:val="24"/>
          <w:lang w:val="en-GB"/>
        </w:rPr>
        <w:t xml:space="preserve">ed that </w:t>
      </w:r>
      <w:r w:rsidR="007A29D4" w:rsidRPr="0061355E">
        <w:rPr>
          <w:szCs w:val="24"/>
          <w:lang w:val="en-GB"/>
        </w:rPr>
        <w:t>TDE</w:t>
      </w:r>
      <w:r w:rsidR="00FA194E" w:rsidRPr="0061355E">
        <w:rPr>
          <w:szCs w:val="24"/>
          <w:lang w:val="en-GB"/>
        </w:rPr>
        <w:t xml:space="preserve"> factor</w:t>
      </w:r>
      <w:r w:rsidR="007A29D4" w:rsidRPr="0061355E">
        <w:rPr>
          <w:szCs w:val="24"/>
          <w:lang w:val="en-GB"/>
        </w:rPr>
        <w:t xml:space="preserve">s would be significantly related to </w:t>
      </w:r>
      <w:r w:rsidR="003F4803" w:rsidRPr="0061355E">
        <w:rPr>
          <w:szCs w:val="24"/>
          <w:lang w:val="en-GB"/>
        </w:rPr>
        <w:t xml:space="preserve">the three </w:t>
      </w:r>
      <w:r w:rsidR="007A29D4" w:rsidRPr="0061355E">
        <w:rPr>
          <w:szCs w:val="24"/>
          <w:lang w:val="en-GB"/>
        </w:rPr>
        <w:t xml:space="preserve">mental health </w:t>
      </w:r>
      <w:r w:rsidR="00DB018E" w:rsidRPr="0061355E">
        <w:rPr>
          <w:szCs w:val="24"/>
          <w:lang w:val="en-GB"/>
        </w:rPr>
        <w:t>symptoms</w:t>
      </w:r>
      <w:r w:rsidR="007A29D4" w:rsidRPr="0061355E">
        <w:rPr>
          <w:szCs w:val="24"/>
          <w:lang w:val="en-GB"/>
        </w:rPr>
        <w:t>. It was also hypothesi</w:t>
      </w:r>
      <w:r w:rsidR="00DB018E" w:rsidRPr="0061355E">
        <w:rPr>
          <w:szCs w:val="24"/>
          <w:lang w:val="en-GB"/>
        </w:rPr>
        <w:t>s</w:t>
      </w:r>
      <w:r w:rsidR="007A29D4" w:rsidRPr="0061355E">
        <w:rPr>
          <w:szCs w:val="24"/>
          <w:lang w:val="en-GB"/>
        </w:rPr>
        <w:t xml:space="preserve">ed that </w:t>
      </w:r>
      <w:r w:rsidR="00DB018E" w:rsidRPr="0061355E">
        <w:rPr>
          <w:szCs w:val="24"/>
          <w:lang w:val="en-GB"/>
        </w:rPr>
        <w:t xml:space="preserve">the identified TDE subgroups would differ in levels of </w:t>
      </w:r>
      <w:r w:rsidRPr="0061355E">
        <w:rPr>
          <w:szCs w:val="24"/>
          <w:lang w:val="en-GB"/>
        </w:rPr>
        <w:t xml:space="preserve">mental health symptoms. </w:t>
      </w:r>
    </w:p>
    <w:p w14:paraId="6AE9B1D0" w14:textId="77777777" w:rsidR="001F05F2" w:rsidRPr="0061355E" w:rsidRDefault="001F05F2" w:rsidP="0060536E">
      <w:pPr>
        <w:spacing w:before="240" w:after="100" w:afterAutospacing="1"/>
        <w:contextualSpacing/>
        <w:jc w:val="center"/>
        <w:rPr>
          <w:b/>
          <w:bCs/>
          <w:szCs w:val="24"/>
          <w:lang w:val="en-GB"/>
        </w:rPr>
      </w:pPr>
      <w:r w:rsidRPr="0061355E">
        <w:rPr>
          <w:b/>
          <w:bCs/>
          <w:szCs w:val="24"/>
          <w:lang w:val="en-GB"/>
        </w:rPr>
        <w:t>Method</w:t>
      </w:r>
    </w:p>
    <w:p w14:paraId="225773E6" w14:textId="77777777" w:rsidR="001F05F2" w:rsidRPr="0061355E" w:rsidRDefault="001F05F2" w:rsidP="0060536E">
      <w:pPr>
        <w:spacing w:after="100" w:afterAutospacing="1"/>
        <w:contextualSpacing/>
        <w:rPr>
          <w:b/>
          <w:bCs/>
          <w:szCs w:val="24"/>
          <w:lang w:val="en-GB"/>
        </w:rPr>
      </w:pPr>
      <w:r w:rsidRPr="0061355E">
        <w:rPr>
          <w:b/>
          <w:bCs/>
          <w:szCs w:val="24"/>
          <w:lang w:val="en-GB"/>
        </w:rPr>
        <w:t>Design</w:t>
      </w:r>
    </w:p>
    <w:p w14:paraId="1005FCD3" w14:textId="110C27CD" w:rsidR="001F05F2" w:rsidRPr="0061355E" w:rsidRDefault="001F05F2" w:rsidP="0060536E">
      <w:pPr>
        <w:spacing w:after="100" w:afterAutospacing="1"/>
        <w:ind w:firstLine="720"/>
        <w:contextualSpacing/>
        <w:rPr>
          <w:b/>
          <w:bCs/>
          <w:szCs w:val="24"/>
          <w:lang w:val="en-GB"/>
        </w:rPr>
      </w:pPr>
      <w:r w:rsidRPr="0061355E">
        <w:rPr>
          <w:szCs w:val="24"/>
          <w:lang w:val="en-GB"/>
        </w:rPr>
        <w:t xml:space="preserve">A cross-sectional observational study design was used in our research. We obtained ethics approval from the Human Research Ethics Committee of </w:t>
      </w:r>
      <w:r w:rsidR="00323EA5" w:rsidRPr="0061355E">
        <w:rPr>
          <w:szCs w:val="24"/>
          <w:lang w:val="en-GB" w:eastAsia="zh-CN"/>
        </w:rPr>
        <w:t xml:space="preserve">South China Normal University </w:t>
      </w:r>
      <w:r w:rsidR="00323EA5" w:rsidRPr="0061355E">
        <w:rPr>
          <w:szCs w:val="24"/>
          <w:lang w:val="en-GB"/>
        </w:rPr>
        <w:t>(approval number: SCNU-SPT-2021-018).</w:t>
      </w:r>
    </w:p>
    <w:p w14:paraId="4A77A668" w14:textId="6B5BD6BA" w:rsidR="00E829CE" w:rsidRPr="0061355E" w:rsidRDefault="00E829CE" w:rsidP="0060536E">
      <w:pPr>
        <w:spacing w:after="100" w:afterAutospacing="1"/>
        <w:contextualSpacing/>
        <w:rPr>
          <w:b/>
          <w:bCs/>
          <w:szCs w:val="24"/>
          <w:lang w:val="en-GB"/>
        </w:rPr>
      </w:pPr>
      <w:r w:rsidRPr="0061355E">
        <w:rPr>
          <w:b/>
          <w:bCs/>
          <w:szCs w:val="24"/>
          <w:lang w:val="en-GB"/>
        </w:rPr>
        <w:t>Context</w:t>
      </w:r>
    </w:p>
    <w:p w14:paraId="022E8D1A" w14:textId="3339F800" w:rsidR="00C91C4E" w:rsidRPr="0061355E" w:rsidRDefault="00BE509C" w:rsidP="006E2542">
      <w:pPr>
        <w:autoSpaceDE w:val="0"/>
        <w:autoSpaceDN w:val="0"/>
        <w:adjustRightInd w:val="0"/>
        <w:snapToGrid w:val="0"/>
        <w:ind w:firstLine="720"/>
        <w:rPr>
          <w:szCs w:val="24"/>
          <w:lang w:val="en-GB"/>
        </w:rPr>
      </w:pPr>
      <w:r w:rsidRPr="0061355E">
        <w:rPr>
          <w:szCs w:val="24"/>
          <w:lang w:val="en-GB"/>
        </w:rPr>
        <w:t>Similar to many other countries, China has a long tradition to identify and develop talented athletes through a scientific approach</w:t>
      </w:r>
      <w:r w:rsidR="00102A45" w:rsidRPr="0061355E">
        <w:rPr>
          <w:szCs w:val="24"/>
          <w:lang w:val="en-GB"/>
        </w:rPr>
        <w:t xml:space="preserve"> (e.g., use of a talent identification test battery, </w:t>
      </w:r>
      <w:r w:rsidR="00D2050E" w:rsidRPr="0061355E">
        <w:rPr>
          <w:szCs w:val="24"/>
          <w:lang w:val="en-GB"/>
        </w:rPr>
        <w:t xml:space="preserve">and </w:t>
      </w:r>
      <w:r w:rsidR="00102A45" w:rsidRPr="0061355E">
        <w:rPr>
          <w:szCs w:val="24"/>
          <w:lang w:val="en-GB"/>
        </w:rPr>
        <w:t>provision of sports science support)</w:t>
      </w:r>
      <w:r w:rsidRPr="0061355E">
        <w:rPr>
          <w:szCs w:val="24"/>
          <w:lang w:val="en-GB"/>
        </w:rPr>
        <w:t>.</w:t>
      </w:r>
      <w:r w:rsidR="00BA2601" w:rsidRPr="0061355E">
        <w:rPr>
          <w:szCs w:val="24"/>
          <w:lang w:val="en-GB"/>
        </w:rPr>
        <w:t xml:space="preserve"> </w:t>
      </w:r>
      <w:r w:rsidR="00102A45" w:rsidRPr="0061355E">
        <w:rPr>
          <w:szCs w:val="24"/>
          <w:lang w:val="en-GB"/>
        </w:rPr>
        <w:t xml:space="preserve">Meanwhile, there is a 4-layer pyramidal system for talent identification and development, ranging from </w:t>
      </w:r>
      <w:r w:rsidR="00C55826" w:rsidRPr="0061355E">
        <w:rPr>
          <w:szCs w:val="24"/>
          <w:lang w:val="en-GB"/>
        </w:rPr>
        <w:t xml:space="preserve">the </w:t>
      </w:r>
      <w:r w:rsidR="00102A45" w:rsidRPr="0061355E">
        <w:rPr>
          <w:szCs w:val="24"/>
          <w:lang w:val="en-GB"/>
        </w:rPr>
        <w:t xml:space="preserve">fundamental level to </w:t>
      </w:r>
      <w:r w:rsidR="00C55826" w:rsidRPr="0061355E">
        <w:rPr>
          <w:szCs w:val="24"/>
          <w:lang w:val="en-GB"/>
        </w:rPr>
        <w:t>the national</w:t>
      </w:r>
      <w:r w:rsidR="00102A45" w:rsidRPr="0061355E">
        <w:rPr>
          <w:szCs w:val="24"/>
          <w:lang w:val="en-GB"/>
        </w:rPr>
        <w:t xml:space="preserve"> level. At the fundamental level, athletes who could be as </w:t>
      </w:r>
      <w:r w:rsidR="005E0F59" w:rsidRPr="0061355E">
        <w:rPr>
          <w:szCs w:val="24"/>
          <w:lang w:val="en-GB"/>
        </w:rPr>
        <w:t>young</w:t>
      </w:r>
      <w:r w:rsidR="00102A45" w:rsidRPr="0061355E">
        <w:rPr>
          <w:szCs w:val="24"/>
          <w:lang w:val="en-GB"/>
        </w:rPr>
        <w:t xml:space="preserve"> as 6 years old are selected and trained</w:t>
      </w:r>
      <w:r w:rsidR="006E2542" w:rsidRPr="0061355E">
        <w:rPr>
          <w:szCs w:val="24"/>
          <w:lang w:val="en-GB"/>
        </w:rPr>
        <w:t xml:space="preserve"> in a </w:t>
      </w:r>
      <w:r w:rsidR="006E2542" w:rsidRPr="0061355E">
        <w:rPr>
          <w:szCs w:val="24"/>
          <w:lang w:val="en-GB"/>
        </w:rPr>
        <w:lastRenderedPageBreak/>
        <w:t>speciali</w:t>
      </w:r>
      <w:r w:rsidR="00E84188" w:rsidRPr="0061355E">
        <w:rPr>
          <w:szCs w:val="24"/>
          <w:lang w:val="en-GB"/>
        </w:rPr>
        <w:t>s</w:t>
      </w:r>
      <w:r w:rsidR="006E2542" w:rsidRPr="0061355E">
        <w:rPr>
          <w:szCs w:val="24"/>
          <w:lang w:val="en-GB"/>
        </w:rPr>
        <w:t>ed sport</w:t>
      </w:r>
      <w:r w:rsidR="00102A45" w:rsidRPr="0061355E">
        <w:rPr>
          <w:szCs w:val="24"/>
          <w:lang w:val="en-GB"/>
        </w:rPr>
        <w:t xml:space="preserve">. Some of these athletes may be selected onto </w:t>
      </w:r>
      <w:r w:rsidR="00C55826" w:rsidRPr="0061355E">
        <w:rPr>
          <w:szCs w:val="24"/>
          <w:lang w:val="en-GB"/>
        </w:rPr>
        <w:t xml:space="preserve">the </w:t>
      </w:r>
      <w:r w:rsidR="00102A45" w:rsidRPr="0061355E">
        <w:rPr>
          <w:szCs w:val="24"/>
          <w:lang w:val="en-GB"/>
        </w:rPr>
        <w:t>next level (</w:t>
      </w:r>
      <w:r w:rsidR="00E839C5" w:rsidRPr="0061355E">
        <w:rPr>
          <w:szCs w:val="24"/>
          <w:lang w:val="en-GB"/>
        </w:rPr>
        <w:t xml:space="preserve">i.e., </w:t>
      </w:r>
      <w:r w:rsidR="00102A45" w:rsidRPr="0061355E">
        <w:rPr>
          <w:szCs w:val="24"/>
          <w:lang w:val="en-GB"/>
        </w:rPr>
        <w:t>elementary level)</w:t>
      </w:r>
      <w:r w:rsidR="00C55826" w:rsidRPr="0061355E">
        <w:rPr>
          <w:szCs w:val="24"/>
          <w:lang w:val="en-GB"/>
        </w:rPr>
        <w:t xml:space="preserve"> to receive semi-professional training in sports schools or other schools hosting talent development programmes. Only 5% of the athletes can progress </w:t>
      </w:r>
      <w:r w:rsidR="006E2542" w:rsidRPr="0061355E">
        <w:rPr>
          <w:szCs w:val="24"/>
          <w:lang w:val="en-GB"/>
        </w:rPr>
        <w:t>in</w:t>
      </w:r>
      <w:r w:rsidR="00C55826" w:rsidRPr="0061355E">
        <w:rPr>
          <w:szCs w:val="24"/>
          <w:lang w:val="en-GB"/>
        </w:rPr>
        <w:t xml:space="preserve">to the next two levels (i.e., intermediate level and national level). Intermediate level athletes are usually trained in provincial teams, sports institutes, or professional clubs. The national level athletes are </w:t>
      </w:r>
      <w:r w:rsidR="00E839C5" w:rsidRPr="0061355E">
        <w:rPr>
          <w:szCs w:val="24"/>
          <w:lang w:val="en-GB"/>
        </w:rPr>
        <w:t>generally</w:t>
      </w:r>
      <w:r w:rsidR="008D3653" w:rsidRPr="0061355E">
        <w:rPr>
          <w:szCs w:val="24"/>
          <w:lang w:val="en-GB"/>
        </w:rPr>
        <w:t xml:space="preserve"> </w:t>
      </w:r>
      <w:r w:rsidR="00C55826" w:rsidRPr="0061355E">
        <w:rPr>
          <w:szCs w:val="24"/>
          <w:lang w:val="en-GB"/>
        </w:rPr>
        <w:t>trained in national training centres (</w:t>
      </w:r>
      <w:r w:rsidR="008D3653" w:rsidRPr="0061355E">
        <w:rPr>
          <w:szCs w:val="24"/>
          <w:lang w:val="en-GB"/>
        </w:rPr>
        <w:t>Hong et al., 2005</w:t>
      </w:r>
      <w:r w:rsidR="00C55826" w:rsidRPr="0061355E">
        <w:rPr>
          <w:szCs w:val="24"/>
          <w:lang w:val="en-GB"/>
        </w:rPr>
        <w:t xml:space="preserve">). </w:t>
      </w:r>
      <w:r w:rsidR="00A25F4A" w:rsidRPr="0061355E">
        <w:rPr>
          <w:szCs w:val="24"/>
          <w:lang w:val="en-GB"/>
        </w:rPr>
        <w:t>Obviously, t</w:t>
      </w:r>
      <w:r w:rsidR="00974651" w:rsidRPr="0061355E">
        <w:rPr>
          <w:szCs w:val="24"/>
          <w:lang w:val="en-GB"/>
        </w:rPr>
        <w:t xml:space="preserve">his pyramidal system </w:t>
      </w:r>
      <w:r w:rsidR="005E0F59" w:rsidRPr="0061355E">
        <w:rPr>
          <w:szCs w:val="24"/>
          <w:lang w:val="en-GB"/>
        </w:rPr>
        <w:t xml:space="preserve">is highly competitive in nature, which </w:t>
      </w:r>
      <w:r w:rsidR="00974651" w:rsidRPr="0061355E">
        <w:rPr>
          <w:szCs w:val="24"/>
          <w:lang w:val="en-GB"/>
        </w:rPr>
        <w:t xml:space="preserve">requires </w:t>
      </w:r>
      <w:r w:rsidR="0045781A" w:rsidRPr="0061355E">
        <w:rPr>
          <w:szCs w:val="24"/>
          <w:lang w:val="en-GB"/>
        </w:rPr>
        <w:t>elite</w:t>
      </w:r>
      <w:r w:rsidR="00974651" w:rsidRPr="0061355E">
        <w:rPr>
          <w:szCs w:val="24"/>
          <w:lang w:val="en-GB"/>
        </w:rPr>
        <w:t xml:space="preserve"> </w:t>
      </w:r>
      <w:r w:rsidR="005E0F59" w:rsidRPr="0061355E">
        <w:rPr>
          <w:szCs w:val="24"/>
          <w:lang w:val="en-GB"/>
        </w:rPr>
        <w:t xml:space="preserve">youth </w:t>
      </w:r>
      <w:r w:rsidR="00974651" w:rsidRPr="0061355E">
        <w:rPr>
          <w:szCs w:val="24"/>
          <w:lang w:val="en-GB"/>
        </w:rPr>
        <w:t xml:space="preserve">athletes </w:t>
      </w:r>
      <w:r w:rsidR="00A25F4A" w:rsidRPr="0061355E">
        <w:rPr>
          <w:szCs w:val="24"/>
          <w:lang w:val="en-GB"/>
        </w:rPr>
        <w:t>to focus on their performance outcomes in order to progress into a higher level</w:t>
      </w:r>
      <w:r w:rsidR="00931796" w:rsidRPr="0061355E">
        <w:rPr>
          <w:szCs w:val="24"/>
          <w:lang w:val="en-GB"/>
        </w:rPr>
        <w:t xml:space="preserve"> or to maintain </w:t>
      </w:r>
      <w:r w:rsidR="00E839C5" w:rsidRPr="0061355E">
        <w:rPr>
          <w:szCs w:val="24"/>
          <w:lang w:val="en-GB"/>
        </w:rPr>
        <w:t>elite</w:t>
      </w:r>
      <w:r w:rsidR="00931796" w:rsidRPr="0061355E">
        <w:rPr>
          <w:szCs w:val="24"/>
          <w:lang w:val="en-GB"/>
        </w:rPr>
        <w:t xml:space="preserve"> performance</w:t>
      </w:r>
      <w:r w:rsidR="00A25F4A" w:rsidRPr="0061355E">
        <w:rPr>
          <w:szCs w:val="24"/>
          <w:lang w:val="en-GB"/>
        </w:rPr>
        <w:t>.</w:t>
      </w:r>
      <w:r w:rsidR="006E2542" w:rsidRPr="0061355E">
        <w:rPr>
          <w:szCs w:val="24"/>
          <w:lang w:val="en-GB"/>
        </w:rPr>
        <w:t xml:space="preserve"> </w:t>
      </w:r>
      <w:r w:rsidR="00B3695A" w:rsidRPr="0061355E">
        <w:rPr>
          <w:szCs w:val="24"/>
          <w:lang w:val="en-GB"/>
        </w:rPr>
        <w:t xml:space="preserve">This would result in performance anxiety and fear of failure. Of concern, few provincial and national training centres </w:t>
      </w:r>
      <w:r w:rsidR="00695AEB" w:rsidRPr="0061355E">
        <w:rPr>
          <w:szCs w:val="24"/>
          <w:lang w:val="en-GB"/>
        </w:rPr>
        <w:t xml:space="preserve">in China </w:t>
      </w:r>
      <w:r w:rsidR="00B3695A" w:rsidRPr="0061355E">
        <w:rPr>
          <w:szCs w:val="24"/>
          <w:lang w:val="en-GB"/>
        </w:rPr>
        <w:t xml:space="preserve">provide mental health management training to </w:t>
      </w:r>
      <w:r w:rsidR="00695AEB" w:rsidRPr="0061355E">
        <w:rPr>
          <w:szCs w:val="24"/>
          <w:lang w:val="en-GB"/>
        </w:rPr>
        <w:t xml:space="preserve">elite youth </w:t>
      </w:r>
      <w:r w:rsidR="00B3695A" w:rsidRPr="0061355E">
        <w:rPr>
          <w:szCs w:val="24"/>
          <w:lang w:val="en-GB"/>
        </w:rPr>
        <w:t>athletes</w:t>
      </w:r>
      <w:r w:rsidR="00695AEB" w:rsidRPr="0061355E">
        <w:rPr>
          <w:szCs w:val="24"/>
          <w:lang w:val="en-GB"/>
        </w:rPr>
        <w:t xml:space="preserve"> (Schinke et al., 2022).</w:t>
      </w:r>
      <w:r w:rsidR="00B3695A" w:rsidRPr="0061355E">
        <w:rPr>
          <w:szCs w:val="24"/>
          <w:lang w:val="en-GB"/>
        </w:rPr>
        <w:t xml:space="preserve"> </w:t>
      </w:r>
    </w:p>
    <w:p w14:paraId="50C0DBF4" w14:textId="553AC3D5" w:rsidR="001F05F2" w:rsidRPr="0061355E" w:rsidRDefault="001F05F2" w:rsidP="0060536E">
      <w:pPr>
        <w:spacing w:after="100" w:afterAutospacing="1"/>
        <w:contextualSpacing/>
        <w:rPr>
          <w:b/>
          <w:bCs/>
          <w:szCs w:val="24"/>
          <w:lang w:val="en-GB"/>
        </w:rPr>
      </w:pPr>
      <w:r w:rsidRPr="0061355E">
        <w:rPr>
          <w:b/>
          <w:bCs/>
          <w:szCs w:val="24"/>
          <w:lang w:val="en-GB"/>
        </w:rPr>
        <w:t>Participants and Procedure</w:t>
      </w:r>
    </w:p>
    <w:p w14:paraId="11C30D6A" w14:textId="1DEF3D23" w:rsidR="001F05F2" w:rsidRPr="0061355E" w:rsidRDefault="001F05F2" w:rsidP="00E829CE">
      <w:pPr>
        <w:spacing w:after="100" w:afterAutospacing="1"/>
        <w:ind w:firstLine="720"/>
        <w:contextualSpacing/>
        <w:rPr>
          <w:szCs w:val="24"/>
          <w:lang w:val="en-GB"/>
        </w:rPr>
      </w:pPr>
      <w:r w:rsidRPr="0061355E">
        <w:rPr>
          <w:szCs w:val="24"/>
          <w:lang w:val="en-GB"/>
        </w:rPr>
        <w:t>To be eligible for the present research, participants must be: (a) an active elite youth athlete from China at the time the survey was conducted; (b) an elected member in provincial talent program</w:t>
      </w:r>
      <w:r w:rsidR="005E0F59" w:rsidRPr="0061355E">
        <w:rPr>
          <w:szCs w:val="24"/>
          <w:lang w:val="en-GB"/>
        </w:rPr>
        <w:t>me</w:t>
      </w:r>
      <w:r w:rsidRPr="0061355E">
        <w:rPr>
          <w:szCs w:val="24"/>
          <w:lang w:val="en-GB"/>
        </w:rPr>
        <w:t xml:space="preserve">s or representative squads; and (c) aged 13 years or above to ensure they were able to understand survey questions. </w:t>
      </w:r>
    </w:p>
    <w:p w14:paraId="02E652F5" w14:textId="02900E86" w:rsidR="001F05F2" w:rsidRPr="0061355E" w:rsidRDefault="001F05F2" w:rsidP="0060536E">
      <w:pPr>
        <w:spacing w:after="100" w:afterAutospacing="1"/>
        <w:ind w:firstLine="720"/>
        <w:contextualSpacing/>
        <w:rPr>
          <w:szCs w:val="24"/>
          <w:lang w:val="en-GB"/>
        </w:rPr>
      </w:pPr>
      <w:r w:rsidRPr="0061355E">
        <w:rPr>
          <w:szCs w:val="24"/>
          <w:lang w:val="en-GB"/>
        </w:rPr>
        <w:t xml:space="preserve">Based on social networks, we approached head coaches who were affiliated with elite training </w:t>
      </w:r>
      <w:r w:rsidR="00A51263" w:rsidRPr="0061355E">
        <w:rPr>
          <w:szCs w:val="24"/>
          <w:lang w:val="en-GB"/>
        </w:rPr>
        <w:t>centres</w:t>
      </w:r>
      <w:r w:rsidRPr="0061355E">
        <w:rPr>
          <w:szCs w:val="24"/>
          <w:lang w:val="en-GB"/>
        </w:rPr>
        <w:t xml:space="preserve"> across China, including Beijing municipality, Chongqing municipality, Fujian Province, Guangdong Province, Hebei Province, Heilongjiang Province, Sichuan Province, and Shanxi Province. The coaches were invited to forward a </w:t>
      </w:r>
      <w:proofErr w:type="spellStart"/>
      <w:r w:rsidRPr="0061355E">
        <w:rPr>
          <w:szCs w:val="24"/>
          <w:lang w:val="en-GB"/>
        </w:rPr>
        <w:t>url</w:t>
      </w:r>
      <w:proofErr w:type="spellEnd"/>
      <w:r w:rsidRPr="0061355E">
        <w:rPr>
          <w:szCs w:val="24"/>
          <w:lang w:val="en-GB"/>
        </w:rPr>
        <w:t xml:space="preserve"> link to eligible athletes to participate in this anonymous survey. </w:t>
      </w:r>
      <w:r w:rsidR="008E1AE4" w:rsidRPr="0061355E">
        <w:rPr>
          <w:szCs w:val="24"/>
          <w:lang w:val="en-GB"/>
        </w:rPr>
        <w:t xml:space="preserve">The link directed athletes to an online survey package. Athletes and their parents/guardians completed consent and assent forms before proceeding to complete the survey form. Of 251 athletes entered the survey platform between 1 July 2021 and 31 August </w:t>
      </w:r>
      <w:r w:rsidR="008E1AE4" w:rsidRPr="0061355E">
        <w:rPr>
          <w:szCs w:val="24"/>
          <w:lang w:val="en-GB"/>
        </w:rPr>
        <w:lastRenderedPageBreak/>
        <w:t xml:space="preserve">2021, </w:t>
      </w:r>
      <w:r w:rsidRPr="0061355E">
        <w:rPr>
          <w:szCs w:val="24"/>
          <w:lang w:val="en-GB"/>
        </w:rPr>
        <w:t>one did not complete the survey and two were aged 12 years. Thus, we removed these three cases and used the data of the remaining 248 athletes for analysis.</w:t>
      </w:r>
    </w:p>
    <w:p w14:paraId="5909445D" w14:textId="77777777" w:rsidR="001F05F2" w:rsidRPr="0061355E" w:rsidRDefault="001F05F2" w:rsidP="0060536E">
      <w:pPr>
        <w:spacing w:after="100" w:afterAutospacing="1"/>
        <w:contextualSpacing/>
        <w:rPr>
          <w:b/>
          <w:bCs/>
          <w:szCs w:val="24"/>
          <w:lang w:val="en-GB"/>
        </w:rPr>
      </w:pPr>
      <w:r w:rsidRPr="0061355E">
        <w:rPr>
          <w:b/>
          <w:bCs/>
          <w:szCs w:val="24"/>
          <w:lang w:val="en-GB"/>
        </w:rPr>
        <w:t>Measures</w:t>
      </w:r>
    </w:p>
    <w:p w14:paraId="539088F1" w14:textId="042F1ED5" w:rsidR="001F05F2" w:rsidRPr="0061355E" w:rsidRDefault="001F05F2" w:rsidP="0060536E">
      <w:pPr>
        <w:spacing w:after="100" w:afterAutospacing="1"/>
        <w:ind w:firstLine="720"/>
        <w:contextualSpacing/>
        <w:rPr>
          <w:b/>
          <w:bCs/>
          <w:szCs w:val="24"/>
          <w:lang w:val="en-GB"/>
        </w:rPr>
      </w:pPr>
      <w:r w:rsidRPr="0061355E">
        <w:rPr>
          <w:bCs/>
          <w:szCs w:val="24"/>
          <w:lang w:val="en-GB"/>
        </w:rPr>
        <w:t xml:space="preserve">Athletes’ mental health symptoms, including GAD, depression, and </w:t>
      </w:r>
      <w:r w:rsidR="00E839C5" w:rsidRPr="0061355E">
        <w:rPr>
          <w:bCs/>
          <w:szCs w:val="24"/>
          <w:lang w:val="en-GB"/>
        </w:rPr>
        <w:t xml:space="preserve">athlete </w:t>
      </w:r>
      <w:r w:rsidRPr="0061355E">
        <w:rPr>
          <w:bCs/>
          <w:szCs w:val="24"/>
          <w:lang w:val="en-GB"/>
        </w:rPr>
        <w:t xml:space="preserve">burnout were our study outcomes. Predicting factors were TDEs and participant demographics (i.e., age, gender, and training hours per week). </w:t>
      </w:r>
    </w:p>
    <w:p w14:paraId="6AE25845" w14:textId="77777777" w:rsidR="001F05F2" w:rsidRPr="0061355E" w:rsidRDefault="001F05F2" w:rsidP="0060536E">
      <w:pPr>
        <w:spacing w:after="100" w:afterAutospacing="1"/>
        <w:ind w:firstLine="720"/>
        <w:contextualSpacing/>
        <w:rPr>
          <w:b/>
          <w:bCs/>
          <w:szCs w:val="24"/>
          <w:lang w:val="en-GB"/>
        </w:rPr>
      </w:pPr>
      <w:r w:rsidRPr="0061355E">
        <w:rPr>
          <w:b/>
          <w:bCs/>
          <w:szCs w:val="24"/>
          <w:lang w:val="en-GB"/>
        </w:rPr>
        <w:t>TDE.</w:t>
      </w:r>
      <w:r w:rsidRPr="0061355E">
        <w:rPr>
          <w:bCs/>
          <w:szCs w:val="24"/>
          <w:lang w:val="en-GB"/>
        </w:rPr>
        <w:t xml:space="preserve"> We used the validated Chinese TDEQ-5 to measure TDEs (</w:t>
      </w:r>
      <w:proofErr w:type="spellStart"/>
      <w:r w:rsidRPr="0061355E">
        <w:rPr>
          <w:bCs/>
          <w:szCs w:val="24"/>
          <w:lang w:val="en-GB"/>
        </w:rPr>
        <w:t>Li,</w:t>
      </w:r>
      <w:proofErr w:type="spellEnd"/>
      <w:r w:rsidRPr="0061355E">
        <w:rPr>
          <w:bCs/>
          <w:szCs w:val="24"/>
          <w:lang w:val="en-GB"/>
        </w:rPr>
        <w:t xml:space="preserve"> Martindale, et al., 2018; Li et al., 2015). The scale includes 25 items and five TDE factors: </w:t>
      </w:r>
      <w:r w:rsidRPr="0061355E">
        <w:rPr>
          <w:szCs w:val="24"/>
          <w:lang w:val="en-GB"/>
        </w:rPr>
        <w:t xml:space="preserve">long-term development focus (five </w:t>
      </w:r>
      <w:bookmarkStart w:id="0" w:name="OLE_LINK79"/>
      <w:bookmarkStart w:id="1" w:name="OLE_LINK80"/>
      <w:r w:rsidRPr="0061355E">
        <w:rPr>
          <w:szCs w:val="24"/>
          <w:lang w:val="en-GB"/>
        </w:rPr>
        <w:t>items</w:t>
      </w:r>
      <w:bookmarkEnd w:id="0"/>
      <w:bookmarkEnd w:id="1"/>
      <w:r w:rsidRPr="0061355E">
        <w:rPr>
          <w:szCs w:val="24"/>
          <w:lang w:val="en-GB"/>
        </w:rPr>
        <w:t>; e.g., “</w:t>
      </w:r>
      <w:r w:rsidRPr="0061355E">
        <w:rPr>
          <w:bCs/>
          <w:szCs w:val="24"/>
          <w:lang w:val="en-GB"/>
        </w:rPr>
        <w:t>My coach allows me to learn through making my own mistakes</w:t>
      </w:r>
      <w:r w:rsidRPr="0061355E">
        <w:rPr>
          <w:szCs w:val="24"/>
          <w:lang w:val="en-GB"/>
        </w:rPr>
        <w:t xml:space="preserve">”); </w:t>
      </w:r>
      <w:bookmarkStart w:id="2" w:name="OLE_LINK85"/>
      <w:bookmarkStart w:id="3" w:name="OLE_LINK86"/>
      <w:r w:rsidRPr="0061355E">
        <w:rPr>
          <w:szCs w:val="24"/>
          <w:lang w:val="en-GB"/>
        </w:rPr>
        <w:t xml:space="preserve">alignment of expectations </w:t>
      </w:r>
      <w:bookmarkEnd w:id="2"/>
      <w:bookmarkEnd w:id="3"/>
      <w:r w:rsidRPr="0061355E">
        <w:rPr>
          <w:szCs w:val="24"/>
          <w:lang w:val="en-GB"/>
        </w:rPr>
        <w:t>(five items; e.g., “</w:t>
      </w:r>
      <w:r w:rsidRPr="0061355E">
        <w:rPr>
          <w:bCs/>
          <w:szCs w:val="24"/>
          <w:lang w:val="en-GB"/>
        </w:rPr>
        <w:t>My coaches make time to talk to my parents about me and what I am trying to achieve</w:t>
      </w:r>
      <w:r w:rsidRPr="0061355E">
        <w:rPr>
          <w:szCs w:val="24"/>
          <w:lang w:val="en-GB"/>
        </w:rPr>
        <w:t>”); communication (four items; “M</w:t>
      </w:r>
      <w:r w:rsidRPr="0061355E">
        <w:rPr>
          <w:bCs/>
          <w:szCs w:val="24"/>
          <w:lang w:val="en-GB"/>
        </w:rPr>
        <w:t>y coach and I talk about what current and/or past world-class performers did to be successful</w:t>
      </w:r>
      <w:r w:rsidRPr="0061355E">
        <w:rPr>
          <w:szCs w:val="24"/>
          <w:lang w:val="en-GB"/>
        </w:rPr>
        <w:t>”); holistic quality preparation (seven items; e.g., “</w:t>
      </w:r>
      <w:r w:rsidRPr="0061355E">
        <w:rPr>
          <w:bCs/>
          <w:szCs w:val="24"/>
          <w:lang w:val="en-GB"/>
        </w:rPr>
        <w:t>My coach takes the time to talk to other coaches who work with me</w:t>
      </w:r>
      <w:r w:rsidRPr="0061355E">
        <w:rPr>
          <w:szCs w:val="24"/>
          <w:lang w:val="en-GB"/>
        </w:rPr>
        <w:t>”); and support network (four items; e.g., “</w:t>
      </w:r>
      <w:r w:rsidRPr="0061355E">
        <w:rPr>
          <w:bCs/>
          <w:szCs w:val="24"/>
          <w:lang w:val="en-GB"/>
        </w:rPr>
        <w:t>I can pop in to see my coach or other support staff whenever I need to</w:t>
      </w:r>
      <w:r w:rsidRPr="0061355E">
        <w:rPr>
          <w:szCs w:val="24"/>
          <w:lang w:val="en-GB"/>
        </w:rPr>
        <w:t>”). Participants scored the scale items on a 6-point scale (1 = strongly disagree, 6 = strongly agree). The five factors showed adequate internal reliability in the present sample (α = 0.76 to 0.87).</w:t>
      </w:r>
    </w:p>
    <w:p w14:paraId="08613D4A" w14:textId="032ADE14" w:rsidR="001F05F2" w:rsidRPr="0061355E" w:rsidRDefault="001F05F2" w:rsidP="0060536E">
      <w:pPr>
        <w:spacing w:after="100" w:afterAutospacing="1"/>
        <w:ind w:firstLine="720"/>
        <w:contextualSpacing/>
        <w:rPr>
          <w:b/>
          <w:bCs/>
          <w:szCs w:val="24"/>
          <w:lang w:val="en-GB"/>
        </w:rPr>
      </w:pPr>
      <w:r w:rsidRPr="0061355E">
        <w:rPr>
          <w:b/>
          <w:bCs/>
          <w:szCs w:val="24"/>
          <w:lang w:val="en-GB"/>
        </w:rPr>
        <w:t xml:space="preserve">GAD. </w:t>
      </w:r>
      <w:r w:rsidRPr="0061355E">
        <w:rPr>
          <w:szCs w:val="24"/>
          <w:lang w:val="en-GB"/>
        </w:rPr>
        <w:t>We employed the validated Chinese GAD-7 to measure anxiety symptoms (Spitzer et al., 2006). The scale has seven items (e.g., “Over the last two weeks, how often have you been bothered by feeling nervous, anxious, or on edge</w:t>
      </w:r>
      <w:r w:rsidR="00D64AED" w:rsidRPr="0061355E">
        <w:rPr>
          <w:szCs w:val="24"/>
          <w:lang w:val="en-GB"/>
        </w:rPr>
        <w:t>?</w:t>
      </w:r>
      <w:r w:rsidRPr="0061355E">
        <w:rPr>
          <w:szCs w:val="24"/>
          <w:lang w:val="en-GB"/>
        </w:rPr>
        <w:t xml:space="preserve">”). Participants provided responses to scale items on a 4-point scale (0 = not at all, 3 = nearly every day). According to Spitzer et al. (2006), a total score of 10 or above was used as a diagnostic </w:t>
      </w:r>
      <w:r w:rsidR="00B965E0" w:rsidRPr="0061355E">
        <w:rPr>
          <w:szCs w:val="24"/>
          <w:lang w:val="en-GB"/>
        </w:rPr>
        <w:t>cut-off</w:t>
      </w:r>
      <w:r w:rsidRPr="0061355E">
        <w:rPr>
          <w:szCs w:val="24"/>
          <w:lang w:val="en-GB"/>
        </w:rPr>
        <w:t xml:space="preserve"> for GAD. The scale had excellent internal reliability with our sample (α = 0.92).</w:t>
      </w:r>
    </w:p>
    <w:p w14:paraId="1578FADB" w14:textId="528B5EB6" w:rsidR="001F05F2" w:rsidRPr="0061355E" w:rsidRDefault="001F05F2" w:rsidP="0060536E">
      <w:pPr>
        <w:spacing w:after="100" w:afterAutospacing="1"/>
        <w:ind w:firstLine="720"/>
        <w:contextualSpacing/>
        <w:rPr>
          <w:b/>
          <w:bCs/>
          <w:szCs w:val="24"/>
          <w:lang w:val="en-GB"/>
        </w:rPr>
      </w:pPr>
      <w:r w:rsidRPr="0061355E">
        <w:rPr>
          <w:b/>
          <w:bCs/>
          <w:szCs w:val="24"/>
          <w:lang w:val="en-GB"/>
        </w:rPr>
        <w:lastRenderedPageBreak/>
        <w:t xml:space="preserve">Depression. </w:t>
      </w:r>
      <w:r w:rsidRPr="0061355E">
        <w:rPr>
          <w:bCs/>
          <w:szCs w:val="24"/>
          <w:lang w:val="en-GB"/>
        </w:rPr>
        <w:t xml:space="preserve">We used the validated Chinese Patient Health Questionnaire-2 to assess depression </w:t>
      </w:r>
      <w:r w:rsidR="003E2B7E" w:rsidRPr="0061355E">
        <w:rPr>
          <w:bCs/>
          <w:szCs w:val="24"/>
          <w:lang w:val="en-GB"/>
        </w:rPr>
        <w:t xml:space="preserve">symptoms </w:t>
      </w:r>
      <w:r w:rsidRPr="0061355E">
        <w:rPr>
          <w:bCs/>
          <w:szCs w:val="24"/>
          <w:lang w:val="en-GB"/>
        </w:rPr>
        <w:t>(Kroenke et al., 2003). This scale has two items (e.g., “</w:t>
      </w:r>
      <w:r w:rsidRPr="0061355E">
        <w:rPr>
          <w:szCs w:val="24"/>
          <w:lang w:val="en-GB"/>
        </w:rPr>
        <w:t>Little interest or pleasure in doing things</w:t>
      </w:r>
      <w:r w:rsidRPr="0061355E">
        <w:rPr>
          <w:bCs/>
          <w:szCs w:val="24"/>
          <w:lang w:val="en-GB"/>
        </w:rPr>
        <w:t>”)</w:t>
      </w:r>
      <w:r w:rsidR="00A7048C" w:rsidRPr="0061355E">
        <w:rPr>
          <w:bCs/>
          <w:szCs w:val="24"/>
          <w:lang w:val="en-GB"/>
        </w:rPr>
        <w:t xml:space="preserve"> and a </w:t>
      </w:r>
      <w:r w:rsidR="005F440D" w:rsidRPr="0061355E">
        <w:rPr>
          <w:bCs/>
          <w:szCs w:val="24"/>
          <w:lang w:val="en-GB"/>
        </w:rPr>
        <w:t>leading question asks</w:t>
      </w:r>
      <w:r w:rsidR="00A7048C" w:rsidRPr="0061355E">
        <w:rPr>
          <w:bCs/>
          <w:szCs w:val="24"/>
          <w:lang w:val="en-GB"/>
        </w:rPr>
        <w:t xml:space="preserve"> </w:t>
      </w:r>
      <w:r w:rsidR="00A7048C" w:rsidRPr="0061355E">
        <w:rPr>
          <w:szCs w:val="24"/>
          <w:lang w:val="en-GB"/>
        </w:rPr>
        <w:t>“</w:t>
      </w:r>
      <w:r w:rsidR="00A7048C" w:rsidRPr="0061355E">
        <w:rPr>
          <w:bCs/>
          <w:szCs w:val="24"/>
          <w:lang w:val="en-GB"/>
        </w:rPr>
        <w:t>Over the last two weeks, how often have you been bothered by the following problem</w:t>
      </w:r>
      <w:r w:rsidR="005F440D" w:rsidRPr="0061355E">
        <w:rPr>
          <w:bCs/>
          <w:szCs w:val="24"/>
          <w:lang w:val="en-GB"/>
        </w:rPr>
        <w:t>?</w:t>
      </w:r>
      <w:r w:rsidR="00A7048C" w:rsidRPr="0061355E">
        <w:rPr>
          <w:bCs/>
          <w:szCs w:val="24"/>
          <w:lang w:val="en-GB"/>
        </w:rPr>
        <w:t xml:space="preserve">” </w:t>
      </w:r>
      <w:r w:rsidRPr="0061355E">
        <w:rPr>
          <w:szCs w:val="24"/>
          <w:lang w:val="en-GB"/>
        </w:rPr>
        <w:t xml:space="preserve">Participants </w:t>
      </w:r>
      <w:r w:rsidR="00A7048C" w:rsidRPr="0061355E">
        <w:rPr>
          <w:szCs w:val="24"/>
          <w:lang w:val="en-GB"/>
        </w:rPr>
        <w:t>provided</w:t>
      </w:r>
      <w:r w:rsidR="006753CE" w:rsidRPr="0061355E">
        <w:rPr>
          <w:szCs w:val="24"/>
          <w:lang w:val="en-GB"/>
        </w:rPr>
        <w:t xml:space="preserve"> </w:t>
      </w:r>
      <w:r w:rsidR="00A7048C" w:rsidRPr="0061355E">
        <w:rPr>
          <w:szCs w:val="24"/>
          <w:lang w:val="en-GB"/>
        </w:rPr>
        <w:t>responses</w:t>
      </w:r>
      <w:r w:rsidRPr="0061355E">
        <w:rPr>
          <w:szCs w:val="24"/>
          <w:lang w:val="en-GB"/>
        </w:rPr>
        <w:t xml:space="preserve"> on a 4-point scale (0 = not at all, 3 = nearly every day). A total score of 3 or above was used as a diagnostic </w:t>
      </w:r>
      <w:r w:rsidR="00B965E0" w:rsidRPr="0061355E">
        <w:rPr>
          <w:szCs w:val="24"/>
          <w:lang w:val="en-GB"/>
        </w:rPr>
        <w:t>cut-off</w:t>
      </w:r>
      <w:r w:rsidRPr="0061355E">
        <w:rPr>
          <w:szCs w:val="24"/>
          <w:lang w:val="en-GB"/>
        </w:rPr>
        <w:t xml:space="preserve"> for a major depressive disorder. The scale </w:t>
      </w:r>
      <w:r w:rsidR="003C3ACF" w:rsidRPr="0061355E">
        <w:rPr>
          <w:szCs w:val="24"/>
          <w:lang w:val="en-GB"/>
        </w:rPr>
        <w:t>had</w:t>
      </w:r>
      <w:r w:rsidRPr="0061355E">
        <w:rPr>
          <w:szCs w:val="24"/>
          <w:lang w:val="en-GB"/>
        </w:rPr>
        <w:t xml:space="preserve"> good internal reliability </w:t>
      </w:r>
      <w:r w:rsidR="003C3ACF" w:rsidRPr="0061355E">
        <w:rPr>
          <w:szCs w:val="24"/>
          <w:lang w:val="en-GB"/>
        </w:rPr>
        <w:t>with</w:t>
      </w:r>
      <w:r w:rsidRPr="0061355E">
        <w:rPr>
          <w:szCs w:val="24"/>
          <w:lang w:val="en-GB"/>
        </w:rPr>
        <w:t xml:space="preserve"> the present sample (α = 0.88).</w:t>
      </w:r>
    </w:p>
    <w:p w14:paraId="5D3C5529" w14:textId="041F8377" w:rsidR="001F05F2" w:rsidRPr="0061355E" w:rsidRDefault="001F05F2" w:rsidP="0060536E">
      <w:pPr>
        <w:autoSpaceDE w:val="0"/>
        <w:autoSpaceDN w:val="0"/>
        <w:adjustRightInd w:val="0"/>
        <w:spacing w:after="100" w:afterAutospacing="1"/>
        <w:ind w:firstLine="720"/>
        <w:contextualSpacing/>
        <w:jc w:val="both"/>
        <w:rPr>
          <w:szCs w:val="24"/>
          <w:lang w:val="en-GB"/>
        </w:rPr>
      </w:pPr>
      <w:r w:rsidRPr="0061355E">
        <w:rPr>
          <w:b/>
          <w:bCs/>
          <w:szCs w:val="24"/>
          <w:lang w:val="en-GB"/>
        </w:rPr>
        <w:t xml:space="preserve">Athlete burnout. </w:t>
      </w:r>
      <w:r w:rsidRPr="0061355E">
        <w:rPr>
          <w:bCs/>
          <w:szCs w:val="24"/>
          <w:lang w:val="en-GB"/>
        </w:rPr>
        <w:t>We used the validated Chinese Athlete Burnout Questionnaire to assess athlete burnout (Chen &amp; Zhou, 2007). In line with previous research, we only used the physical and emotional exhaustion subscale as it measures the core dimension of burnout (</w:t>
      </w:r>
      <w:proofErr w:type="spellStart"/>
      <w:r w:rsidRPr="0061355E">
        <w:rPr>
          <w:bCs/>
          <w:szCs w:val="24"/>
          <w:lang w:val="en-GB"/>
        </w:rPr>
        <w:t>Li,</w:t>
      </w:r>
      <w:proofErr w:type="spellEnd"/>
      <w:r w:rsidRPr="0061355E">
        <w:rPr>
          <w:bCs/>
          <w:szCs w:val="24"/>
          <w:lang w:val="en-GB"/>
        </w:rPr>
        <w:t xml:space="preserve"> </w:t>
      </w:r>
      <w:proofErr w:type="spellStart"/>
      <w:r w:rsidRPr="0061355E">
        <w:rPr>
          <w:bCs/>
          <w:szCs w:val="24"/>
          <w:lang w:val="en-GB"/>
        </w:rPr>
        <w:t>Kee</w:t>
      </w:r>
      <w:proofErr w:type="spellEnd"/>
      <w:r w:rsidRPr="0061355E">
        <w:rPr>
          <w:bCs/>
          <w:szCs w:val="24"/>
          <w:lang w:val="en-GB"/>
        </w:rPr>
        <w:t>, et al., 2018). The use of this subscale can also ease the administration burden of our survey. The subscale has five items (e.g., “I feel physically exhausted from the sport”). Participants answered the scale items on a 5</w:t>
      </w:r>
      <w:r w:rsidRPr="0061355E">
        <w:rPr>
          <w:szCs w:val="24"/>
          <w:lang w:val="en-GB"/>
        </w:rPr>
        <w:t xml:space="preserve">-point scale (1 = almost never, 5 = almost always). A diagnostic </w:t>
      </w:r>
      <w:r w:rsidR="00B965E0" w:rsidRPr="0061355E">
        <w:rPr>
          <w:szCs w:val="24"/>
          <w:lang w:val="en-GB"/>
        </w:rPr>
        <w:t>cut-off</w:t>
      </w:r>
      <w:r w:rsidRPr="0061355E">
        <w:rPr>
          <w:szCs w:val="24"/>
          <w:lang w:val="en-GB"/>
        </w:rPr>
        <w:t xml:space="preserve"> for the burnout syndrome is not available for this subscale. The subscale demonstrated excellent internal reliability in our sample (α = 0.93).</w:t>
      </w:r>
    </w:p>
    <w:p w14:paraId="6E9BE92C" w14:textId="77777777" w:rsidR="001F05F2" w:rsidRPr="0061355E" w:rsidRDefault="001F05F2" w:rsidP="0060536E">
      <w:pPr>
        <w:spacing w:after="100" w:afterAutospacing="1"/>
        <w:contextualSpacing/>
        <w:rPr>
          <w:b/>
          <w:bCs/>
          <w:szCs w:val="24"/>
          <w:lang w:val="en-GB"/>
        </w:rPr>
      </w:pPr>
      <w:r w:rsidRPr="0061355E">
        <w:rPr>
          <w:b/>
          <w:bCs/>
          <w:szCs w:val="24"/>
          <w:lang w:val="en-GB"/>
        </w:rPr>
        <w:t>Data Analysis</w:t>
      </w:r>
    </w:p>
    <w:p w14:paraId="6E4D30AC" w14:textId="77777777" w:rsidR="001F05F2" w:rsidRPr="0061355E" w:rsidRDefault="001F05F2" w:rsidP="0060536E">
      <w:pPr>
        <w:spacing w:after="100" w:afterAutospacing="1"/>
        <w:ind w:firstLine="720"/>
        <w:contextualSpacing/>
        <w:jc w:val="both"/>
        <w:rPr>
          <w:szCs w:val="24"/>
          <w:lang w:val="en-GB"/>
        </w:rPr>
      </w:pPr>
      <w:r w:rsidRPr="0061355E">
        <w:rPr>
          <w:szCs w:val="24"/>
          <w:lang w:val="en-GB"/>
        </w:rPr>
        <w:t xml:space="preserve">We used descriptive statistics including means, standard deviations, frequencies, and percentages to describe characteristics of study variables. We estimated prevalence of GAD and depression as the number of participants with symptoms divided by the total sample size. We computed zero-order correlations to determine the relationships between predicting variables and the three mental health outcomes (i.e., GAD, depression, and athlete burnout). We used those predicting factors that showed a significant association with mental health outcomes in subsequent regression analyses. To estimate the minimal sample size needed for multiple regression analyses, </w:t>
      </w:r>
      <w:r w:rsidRPr="0061355E">
        <w:rPr>
          <w:szCs w:val="24"/>
          <w:lang w:val="en-GB"/>
        </w:rPr>
        <w:lastRenderedPageBreak/>
        <w:t>G*Power 3 was used (</w:t>
      </w:r>
      <w:proofErr w:type="spellStart"/>
      <w:r w:rsidRPr="0061355E">
        <w:rPr>
          <w:szCs w:val="24"/>
          <w:lang w:val="en-GB"/>
        </w:rPr>
        <w:t>Faul</w:t>
      </w:r>
      <w:proofErr w:type="spellEnd"/>
      <w:r w:rsidRPr="0061355E">
        <w:rPr>
          <w:szCs w:val="24"/>
          <w:lang w:val="en-GB"/>
        </w:rPr>
        <w:t xml:space="preserve"> et al., 2009). By assuming a medium and practically meaningful effect size (</w:t>
      </w:r>
      <w:r w:rsidRPr="0061355E">
        <w:rPr>
          <w:i/>
          <w:szCs w:val="24"/>
          <w:lang w:val="en-GB"/>
        </w:rPr>
        <w:t>f</w:t>
      </w:r>
      <w:r w:rsidRPr="0061355E">
        <w:rPr>
          <w:i/>
          <w:szCs w:val="24"/>
          <w:vertAlign w:val="superscript"/>
          <w:lang w:val="en-GB"/>
        </w:rPr>
        <w:t>2</w:t>
      </w:r>
      <w:r w:rsidRPr="0061355E">
        <w:rPr>
          <w:szCs w:val="24"/>
          <w:lang w:val="en-GB"/>
        </w:rPr>
        <w:t xml:space="preserve"> = 0.15, α = 0.05, power = 0.95, maximal number of predictors = 8), we would need a minimum sample size of 160. Thus, our sample size was adequate. </w:t>
      </w:r>
    </w:p>
    <w:p w14:paraId="225121B5" w14:textId="7D7F5BAC" w:rsidR="001F05F2" w:rsidRPr="0061355E" w:rsidRDefault="001F05F2" w:rsidP="0060536E">
      <w:pPr>
        <w:spacing w:after="100" w:afterAutospacing="1"/>
        <w:ind w:firstLine="720"/>
        <w:contextualSpacing/>
        <w:jc w:val="both"/>
        <w:rPr>
          <w:rFonts w:eastAsiaTheme="minorEastAsia"/>
          <w:szCs w:val="24"/>
          <w:lang w:val="en-GB" w:eastAsia="zh-CN"/>
        </w:rPr>
      </w:pPr>
      <w:r w:rsidRPr="0061355E">
        <w:rPr>
          <w:szCs w:val="24"/>
          <w:lang w:val="en-GB"/>
        </w:rPr>
        <w:t xml:space="preserve">We conducted </w:t>
      </w:r>
      <w:r w:rsidRPr="0061355E">
        <w:rPr>
          <w:rFonts w:eastAsiaTheme="minorEastAsia"/>
          <w:szCs w:val="24"/>
          <w:lang w:val="en-GB" w:eastAsia="zh-CN"/>
        </w:rPr>
        <w:t>cluster analyses (i.e., a person-</w:t>
      </w:r>
      <w:r w:rsidR="00A51263" w:rsidRPr="0061355E">
        <w:rPr>
          <w:rFonts w:eastAsiaTheme="minorEastAsia"/>
          <w:szCs w:val="24"/>
          <w:lang w:val="en-GB" w:eastAsia="zh-CN"/>
        </w:rPr>
        <w:t>centred</w:t>
      </w:r>
      <w:r w:rsidRPr="0061355E">
        <w:rPr>
          <w:rFonts w:eastAsiaTheme="minorEastAsia"/>
          <w:szCs w:val="24"/>
          <w:lang w:val="en-GB" w:eastAsia="zh-CN"/>
        </w:rPr>
        <w:t xml:space="preserve"> analytic approach) to identify subgroups of athletes on the basis of TDE scores. Specifically, we used the recommended two-step process to conduct the analyses (Hair et al., 2010). In the first step, we used a hierarchical cluster analysis to determine the potential number of clusters with the assistance of the </w:t>
      </w:r>
      <w:r w:rsidRPr="0061355E">
        <w:rPr>
          <w:rFonts w:eastAsia="STIX-Regular"/>
          <w:szCs w:val="24"/>
          <w:lang w:val="en-GB" w:eastAsia="zh-CN"/>
        </w:rPr>
        <w:t xml:space="preserve">agglomeration schedules and </w:t>
      </w:r>
      <w:proofErr w:type="spellStart"/>
      <w:r w:rsidRPr="0061355E">
        <w:rPr>
          <w:rFonts w:eastAsia="STIX-Regular"/>
          <w:szCs w:val="24"/>
          <w:lang w:val="en-GB" w:eastAsia="zh-CN"/>
        </w:rPr>
        <w:t>dendrogram</w:t>
      </w:r>
      <w:proofErr w:type="spellEnd"/>
      <w:r w:rsidRPr="0061355E">
        <w:rPr>
          <w:rFonts w:eastAsia="STIX-Regular"/>
          <w:szCs w:val="24"/>
          <w:lang w:val="en-GB" w:eastAsia="zh-CN"/>
        </w:rPr>
        <w:t xml:space="preserve">. In the second step, we employed </w:t>
      </w:r>
      <w:r w:rsidRPr="0061355E">
        <w:rPr>
          <w:rFonts w:eastAsiaTheme="minorEastAsia"/>
          <w:szCs w:val="24"/>
          <w:lang w:val="en-GB" w:eastAsia="zh-CN"/>
        </w:rPr>
        <w:t>a non</w:t>
      </w:r>
      <w:r w:rsidR="004C334B" w:rsidRPr="0061355E">
        <w:rPr>
          <w:rFonts w:eastAsiaTheme="minorEastAsia"/>
          <w:szCs w:val="24"/>
          <w:lang w:val="en-GB" w:eastAsia="zh-CN"/>
        </w:rPr>
        <w:t>-</w:t>
      </w:r>
      <w:r w:rsidRPr="0061355E">
        <w:rPr>
          <w:rFonts w:eastAsiaTheme="minorEastAsia"/>
          <w:szCs w:val="24"/>
          <w:lang w:val="en-GB" w:eastAsia="zh-CN"/>
        </w:rPr>
        <w:t xml:space="preserve">hierarchical cluster analysis (i.e., k-means) by specifying the most appropriate cluster solution identified from the first step. We calculated Z-scores of TDE to better interpret what constitutes low or high TDE values from the most appropriate cluster solution. According to </w:t>
      </w:r>
      <w:proofErr w:type="spellStart"/>
      <w:r w:rsidRPr="0061355E">
        <w:rPr>
          <w:rFonts w:eastAsiaTheme="minorEastAsia"/>
          <w:szCs w:val="24"/>
          <w:lang w:val="en-GB" w:eastAsia="zh-CN"/>
        </w:rPr>
        <w:t>Gustafsson</w:t>
      </w:r>
      <w:proofErr w:type="spellEnd"/>
      <w:r w:rsidRPr="0061355E">
        <w:rPr>
          <w:rFonts w:eastAsiaTheme="minorEastAsia"/>
          <w:szCs w:val="24"/>
          <w:lang w:val="en-GB" w:eastAsia="zh-CN"/>
        </w:rPr>
        <w:t xml:space="preserve"> et al. (2018), we classified </w:t>
      </w:r>
      <w:r w:rsidRPr="0061355E">
        <w:rPr>
          <w:rFonts w:eastAsiaTheme="minorEastAsia"/>
          <w:i/>
          <w:szCs w:val="24"/>
          <w:lang w:val="en-GB" w:eastAsia="zh-CN"/>
        </w:rPr>
        <w:t>Z</w:t>
      </w:r>
      <w:r w:rsidRPr="0061355E">
        <w:rPr>
          <w:rFonts w:eastAsiaTheme="minorEastAsia"/>
          <w:szCs w:val="24"/>
          <w:lang w:val="en-GB" w:eastAsia="zh-CN"/>
        </w:rPr>
        <w:t xml:space="preserve">-scores of −0.5 to 0.5 </w:t>
      </w:r>
      <w:r w:rsidRPr="0061355E">
        <w:rPr>
          <w:rFonts w:eastAsiaTheme="minorEastAsia"/>
          <w:i/>
          <w:szCs w:val="24"/>
          <w:lang w:val="en-GB" w:eastAsia="zh-CN"/>
        </w:rPr>
        <w:t>SD</w:t>
      </w:r>
      <w:r w:rsidRPr="0061355E">
        <w:rPr>
          <w:rFonts w:eastAsiaTheme="minorEastAsia"/>
          <w:szCs w:val="24"/>
          <w:lang w:val="en-GB" w:eastAsia="zh-CN"/>
        </w:rPr>
        <w:t xml:space="preserve">, ± 0.5 to 1 </w:t>
      </w:r>
      <w:r w:rsidRPr="0061355E">
        <w:rPr>
          <w:rFonts w:eastAsiaTheme="minorEastAsia"/>
          <w:i/>
          <w:szCs w:val="24"/>
          <w:lang w:val="en-GB" w:eastAsia="zh-CN"/>
        </w:rPr>
        <w:t>SD</w:t>
      </w:r>
      <w:r w:rsidRPr="0061355E">
        <w:rPr>
          <w:szCs w:val="24"/>
          <w:lang w:val="en-GB" w:eastAsia="zh-CN"/>
        </w:rPr>
        <w:t xml:space="preserve">, and </w:t>
      </w:r>
      <w:r w:rsidRPr="0061355E">
        <w:rPr>
          <w:rFonts w:eastAsiaTheme="minorEastAsia"/>
          <w:szCs w:val="24"/>
          <w:lang w:val="en-GB" w:eastAsia="zh-CN"/>
        </w:rPr>
        <w:t xml:space="preserve">± 1 </w:t>
      </w:r>
      <w:r w:rsidRPr="0061355E">
        <w:rPr>
          <w:rFonts w:eastAsiaTheme="minorEastAsia"/>
          <w:i/>
          <w:szCs w:val="24"/>
          <w:lang w:val="en-GB" w:eastAsia="zh-CN"/>
        </w:rPr>
        <w:t>SD</w:t>
      </w:r>
      <w:r w:rsidRPr="0061355E">
        <w:rPr>
          <w:rFonts w:eastAsiaTheme="minorEastAsia"/>
          <w:szCs w:val="24"/>
          <w:lang w:val="en-GB" w:eastAsia="zh-CN"/>
        </w:rPr>
        <w:t xml:space="preserve"> </w:t>
      </w:r>
      <w:r w:rsidRPr="0061355E">
        <w:rPr>
          <w:szCs w:val="24"/>
          <w:lang w:val="en-GB" w:eastAsia="zh-CN"/>
        </w:rPr>
        <w:t xml:space="preserve">as </w:t>
      </w:r>
      <w:r w:rsidRPr="0061355E">
        <w:rPr>
          <w:rFonts w:eastAsiaTheme="minorEastAsia"/>
          <w:szCs w:val="24"/>
          <w:lang w:val="en-GB" w:eastAsia="zh-CN"/>
        </w:rPr>
        <w:t xml:space="preserve">slightly below/above average, high/low, and very high/low, respectively. </w:t>
      </w:r>
    </w:p>
    <w:p w14:paraId="1D86F3E6" w14:textId="77777777" w:rsidR="001F05F2" w:rsidRPr="0061355E" w:rsidRDefault="001F05F2" w:rsidP="0060536E">
      <w:pPr>
        <w:spacing w:after="100" w:afterAutospacing="1"/>
        <w:ind w:firstLine="720"/>
        <w:contextualSpacing/>
        <w:jc w:val="both"/>
        <w:rPr>
          <w:b/>
          <w:bCs/>
          <w:szCs w:val="24"/>
          <w:lang w:val="en-GB"/>
        </w:rPr>
      </w:pPr>
      <w:r w:rsidRPr="0061355E">
        <w:rPr>
          <w:rFonts w:eastAsiaTheme="minorEastAsia"/>
          <w:szCs w:val="24"/>
          <w:lang w:val="en-GB" w:eastAsia="zh-CN"/>
        </w:rPr>
        <w:t xml:space="preserve">Finally, we used a one-way analysis of variance (ANOVA) to examine whether the three mental health outcomes were different across the identified cluster solutions. We used </w:t>
      </w:r>
      <w:r w:rsidRPr="0061355E">
        <w:rPr>
          <w:rFonts w:eastAsia="STIX-Regular"/>
          <w:szCs w:val="24"/>
          <w:lang w:val="en-GB" w:eastAsia="zh-CN"/>
        </w:rPr>
        <w:t xml:space="preserve">Tukey’s honest significance difference (HSD) test to further compare between-cluster differences if the main test was significant. </w:t>
      </w:r>
      <w:r w:rsidRPr="0061355E">
        <w:rPr>
          <w:szCs w:val="24"/>
          <w:lang w:val="en-GB"/>
        </w:rPr>
        <w:t xml:space="preserve">We set a statistical significance level at </w:t>
      </w:r>
      <w:r w:rsidRPr="0061355E">
        <w:rPr>
          <w:i/>
          <w:szCs w:val="24"/>
          <w:lang w:val="en-GB"/>
        </w:rPr>
        <w:t>p</w:t>
      </w:r>
      <w:r w:rsidRPr="0061355E">
        <w:rPr>
          <w:szCs w:val="24"/>
          <w:lang w:val="en-GB"/>
        </w:rPr>
        <w:t xml:space="preserve"> &lt; 0.05</w:t>
      </w:r>
      <w:r w:rsidR="004825F8" w:rsidRPr="0061355E">
        <w:rPr>
          <w:szCs w:val="24"/>
          <w:lang w:val="en-GB"/>
        </w:rPr>
        <w:t xml:space="preserve"> (two-tailed)</w:t>
      </w:r>
      <w:r w:rsidRPr="0061355E">
        <w:rPr>
          <w:szCs w:val="24"/>
          <w:lang w:val="en-GB"/>
        </w:rPr>
        <w:t>. We conducted all the analyses using IBM SPSS Statistics 25 (IBM, Armonk, NY, USA).</w:t>
      </w:r>
    </w:p>
    <w:p w14:paraId="5D477B8B" w14:textId="77777777" w:rsidR="001F05F2" w:rsidRPr="0061355E" w:rsidRDefault="001F05F2" w:rsidP="0060536E">
      <w:pPr>
        <w:spacing w:after="100" w:afterAutospacing="1"/>
        <w:contextualSpacing/>
        <w:jc w:val="center"/>
        <w:rPr>
          <w:b/>
          <w:bCs/>
          <w:szCs w:val="24"/>
          <w:lang w:val="en-GB"/>
        </w:rPr>
      </w:pPr>
      <w:r w:rsidRPr="0061355E">
        <w:rPr>
          <w:b/>
          <w:bCs/>
          <w:szCs w:val="24"/>
          <w:lang w:val="en-GB"/>
        </w:rPr>
        <w:t>Results</w:t>
      </w:r>
    </w:p>
    <w:p w14:paraId="1A5B7E28" w14:textId="77777777" w:rsidR="001F05F2" w:rsidRPr="0061355E" w:rsidRDefault="001F05F2" w:rsidP="0060536E">
      <w:pPr>
        <w:spacing w:after="100" w:afterAutospacing="1"/>
        <w:contextualSpacing/>
        <w:rPr>
          <w:b/>
          <w:bCs/>
          <w:szCs w:val="24"/>
          <w:lang w:val="en-GB"/>
        </w:rPr>
      </w:pPr>
      <w:r w:rsidRPr="0061355E">
        <w:rPr>
          <w:b/>
          <w:bCs/>
          <w:szCs w:val="24"/>
          <w:lang w:val="en-GB"/>
        </w:rPr>
        <w:t>Participant Characteristics and Descriptive Statistics</w:t>
      </w:r>
    </w:p>
    <w:p w14:paraId="43038545" w14:textId="6ACD9295" w:rsidR="001F05F2" w:rsidRPr="0061355E" w:rsidRDefault="001F05F2" w:rsidP="0060536E">
      <w:pPr>
        <w:spacing w:after="100" w:afterAutospacing="1"/>
        <w:ind w:firstLine="720"/>
        <w:contextualSpacing/>
        <w:rPr>
          <w:szCs w:val="24"/>
          <w:lang w:val="en-GB"/>
        </w:rPr>
      </w:pPr>
      <w:r w:rsidRPr="0061355E">
        <w:rPr>
          <w:szCs w:val="24"/>
          <w:lang w:val="en-GB"/>
        </w:rPr>
        <w:t>A sample of 248 Chinese elite athletes was included in the present study (see Table 1). They had a mean age of 18.34 years (</w:t>
      </w:r>
      <w:r w:rsidRPr="0061355E">
        <w:rPr>
          <w:i/>
          <w:szCs w:val="24"/>
          <w:lang w:val="en-GB"/>
        </w:rPr>
        <w:t xml:space="preserve">SD </w:t>
      </w:r>
      <w:r w:rsidRPr="0061355E">
        <w:rPr>
          <w:szCs w:val="24"/>
          <w:lang w:val="en-GB"/>
        </w:rPr>
        <w:t>= 3.11)</w:t>
      </w:r>
      <w:r w:rsidR="0030680B" w:rsidRPr="0061355E">
        <w:rPr>
          <w:szCs w:val="24"/>
          <w:lang w:val="en-GB"/>
        </w:rPr>
        <w:t xml:space="preserve"> and the majority of them were male (67.3%)</w:t>
      </w:r>
      <w:r w:rsidRPr="0061355E">
        <w:rPr>
          <w:szCs w:val="24"/>
          <w:lang w:val="en-GB"/>
        </w:rPr>
        <w:t xml:space="preserve">. The participants were from 16 different sports (e.g., athletics, martial arts, table tennis, and water </w:t>
      </w:r>
      <w:r w:rsidRPr="0061355E">
        <w:rPr>
          <w:szCs w:val="24"/>
          <w:lang w:val="en-GB"/>
        </w:rPr>
        <w:lastRenderedPageBreak/>
        <w:t>polo). They on average trained for 35.14 hours per week (</w:t>
      </w:r>
      <w:r w:rsidRPr="0061355E">
        <w:rPr>
          <w:i/>
          <w:szCs w:val="24"/>
          <w:lang w:val="en-GB"/>
        </w:rPr>
        <w:t>SD</w:t>
      </w:r>
      <w:r w:rsidRPr="0061355E">
        <w:rPr>
          <w:szCs w:val="24"/>
          <w:lang w:val="en-GB"/>
        </w:rPr>
        <w:t xml:space="preserve"> = 15.26). They reported moderate to high </w:t>
      </w:r>
      <w:r w:rsidR="00D64AED" w:rsidRPr="0061355E">
        <w:rPr>
          <w:szCs w:val="24"/>
          <w:lang w:val="en-GB"/>
        </w:rPr>
        <w:t>TDE levels</w:t>
      </w:r>
      <w:r w:rsidRPr="0061355E">
        <w:rPr>
          <w:szCs w:val="24"/>
          <w:lang w:val="en-GB"/>
        </w:rPr>
        <w:t xml:space="preserve"> </w:t>
      </w:r>
      <w:r w:rsidR="00DF76AF" w:rsidRPr="0061355E">
        <w:rPr>
          <w:szCs w:val="24"/>
          <w:lang w:val="en-GB"/>
        </w:rPr>
        <w:t>(</w:t>
      </w:r>
      <w:r w:rsidR="00DF76AF" w:rsidRPr="0061355E">
        <w:rPr>
          <w:i/>
          <w:szCs w:val="24"/>
          <w:lang w:val="en-GB"/>
        </w:rPr>
        <w:t>M</w:t>
      </w:r>
      <w:r w:rsidR="00DF76AF" w:rsidRPr="0061355E">
        <w:rPr>
          <w:szCs w:val="24"/>
          <w:lang w:val="en-GB"/>
        </w:rPr>
        <w:t xml:space="preserve"> = 4.27 to 4.81, </w:t>
      </w:r>
      <w:r w:rsidR="00DF76AF" w:rsidRPr="0061355E">
        <w:rPr>
          <w:i/>
          <w:szCs w:val="24"/>
          <w:lang w:val="en-GB"/>
        </w:rPr>
        <w:t>SD</w:t>
      </w:r>
      <w:r w:rsidR="00DF76AF" w:rsidRPr="0061355E">
        <w:rPr>
          <w:szCs w:val="24"/>
          <w:lang w:val="en-GB"/>
        </w:rPr>
        <w:t xml:space="preserve"> = 0.77 to 0.94) </w:t>
      </w:r>
      <w:r w:rsidRPr="0061355E">
        <w:rPr>
          <w:szCs w:val="24"/>
          <w:lang w:val="en-GB"/>
        </w:rPr>
        <w:t>and a moderate burnout level</w:t>
      </w:r>
      <w:r w:rsidR="00DF76AF" w:rsidRPr="0061355E">
        <w:rPr>
          <w:szCs w:val="24"/>
          <w:lang w:val="en-GB"/>
        </w:rPr>
        <w:t xml:space="preserve"> </w:t>
      </w:r>
      <w:r w:rsidR="007620D6" w:rsidRPr="0061355E">
        <w:rPr>
          <w:szCs w:val="24"/>
          <w:lang w:val="en-GB"/>
        </w:rPr>
        <w:t xml:space="preserve">as measured by </w:t>
      </w:r>
      <w:r w:rsidR="007620D6" w:rsidRPr="0061355E">
        <w:rPr>
          <w:bCs/>
          <w:szCs w:val="24"/>
          <w:lang w:val="en-GB"/>
        </w:rPr>
        <w:t>the physical and emotional exhaustion subscale</w:t>
      </w:r>
      <w:r w:rsidR="00265F28" w:rsidRPr="0061355E">
        <w:rPr>
          <w:bCs/>
          <w:szCs w:val="24"/>
          <w:lang w:val="en-GB"/>
        </w:rPr>
        <w:t xml:space="preserve"> </w:t>
      </w:r>
      <w:r w:rsidR="00265F28" w:rsidRPr="0061355E">
        <w:rPr>
          <w:szCs w:val="24"/>
          <w:lang w:val="en-GB"/>
        </w:rPr>
        <w:t>(</w:t>
      </w:r>
      <w:r w:rsidR="00265F28" w:rsidRPr="0061355E">
        <w:rPr>
          <w:i/>
          <w:szCs w:val="24"/>
          <w:lang w:val="en-GB"/>
        </w:rPr>
        <w:t>M</w:t>
      </w:r>
      <w:r w:rsidR="00265F28" w:rsidRPr="0061355E">
        <w:rPr>
          <w:szCs w:val="24"/>
          <w:lang w:val="en-GB"/>
        </w:rPr>
        <w:t xml:space="preserve"> = 2.56, </w:t>
      </w:r>
      <w:r w:rsidR="00265F28" w:rsidRPr="0061355E">
        <w:rPr>
          <w:i/>
          <w:szCs w:val="24"/>
          <w:lang w:val="en-GB"/>
        </w:rPr>
        <w:t>SD</w:t>
      </w:r>
      <w:r w:rsidR="00265F28" w:rsidRPr="0061355E">
        <w:rPr>
          <w:szCs w:val="24"/>
          <w:lang w:val="en-GB"/>
        </w:rPr>
        <w:t xml:space="preserve"> = 0.95)</w:t>
      </w:r>
      <w:r w:rsidRPr="0061355E">
        <w:rPr>
          <w:szCs w:val="24"/>
          <w:lang w:val="en-GB"/>
        </w:rPr>
        <w:t xml:space="preserve">. Nineteen percentage (95%CI [14.3, 24.4]) of the participants met the diagnostic </w:t>
      </w:r>
      <w:r w:rsidR="00B965E0" w:rsidRPr="0061355E">
        <w:rPr>
          <w:szCs w:val="24"/>
          <w:lang w:val="en-GB"/>
        </w:rPr>
        <w:t>cut-off</w:t>
      </w:r>
      <w:r w:rsidRPr="0061355E">
        <w:rPr>
          <w:szCs w:val="24"/>
          <w:lang w:val="en-GB"/>
        </w:rPr>
        <w:t xml:space="preserve"> of GAD. Further, about the same proportion of the participants (19.4%; 95%CI [14.6, 24.8]) met the diagnostic </w:t>
      </w:r>
      <w:r w:rsidR="00B965E0" w:rsidRPr="0061355E">
        <w:rPr>
          <w:szCs w:val="24"/>
          <w:lang w:val="en-GB"/>
        </w:rPr>
        <w:t>cut-off</w:t>
      </w:r>
      <w:r w:rsidRPr="0061355E">
        <w:rPr>
          <w:szCs w:val="24"/>
          <w:lang w:val="en-GB"/>
        </w:rPr>
        <w:t xml:space="preserve"> of depression. </w:t>
      </w:r>
    </w:p>
    <w:p w14:paraId="791C7F81" w14:textId="77777777" w:rsidR="001F05F2" w:rsidRPr="0061355E" w:rsidRDefault="001F05F2" w:rsidP="0060536E">
      <w:pPr>
        <w:spacing w:after="100" w:afterAutospacing="1"/>
        <w:contextualSpacing/>
        <w:jc w:val="both"/>
        <w:rPr>
          <w:b/>
          <w:szCs w:val="24"/>
          <w:lang w:val="en-GB"/>
        </w:rPr>
      </w:pPr>
      <w:r w:rsidRPr="0061355E">
        <w:rPr>
          <w:b/>
          <w:szCs w:val="24"/>
          <w:lang w:val="en-GB"/>
        </w:rPr>
        <w:t>Associations Between TDE and Mental Health: Regression Analyses</w:t>
      </w:r>
    </w:p>
    <w:p w14:paraId="55547717" w14:textId="6DBB4066" w:rsidR="001F05F2" w:rsidRPr="0061355E" w:rsidRDefault="001F05F2" w:rsidP="0060536E">
      <w:pPr>
        <w:spacing w:after="100" w:afterAutospacing="1"/>
        <w:contextualSpacing/>
        <w:rPr>
          <w:rFonts w:eastAsia="AmeriGarmndPL-Roman"/>
          <w:szCs w:val="24"/>
          <w:lang w:val="en-GB"/>
        </w:rPr>
      </w:pPr>
      <w:r w:rsidRPr="0061355E">
        <w:rPr>
          <w:rFonts w:eastAsia="AmeriGarmndPL-Roman"/>
          <w:szCs w:val="24"/>
          <w:lang w:val="en-GB"/>
        </w:rPr>
        <w:tab/>
        <w:t>Table 2 shows the findings of zero-order associations between study variables. In general, three demographic variables (</w:t>
      </w:r>
      <w:r w:rsidR="00D2050E" w:rsidRPr="0061355E">
        <w:rPr>
          <w:rFonts w:eastAsia="AmeriGarmndPL-Roman"/>
          <w:szCs w:val="24"/>
          <w:lang w:val="en-GB"/>
        </w:rPr>
        <w:t xml:space="preserve">i.e., </w:t>
      </w:r>
      <w:r w:rsidRPr="0061355E">
        <w:rPr>
          <w:rFonts w:eastAsia="AmeriGarmndPL-Roman"/>
          <w:szCs w:val="24"/>
          <w:lang w:val="en-GB"/>
        </w:rPr>
        <w:t>age, gender, and training hours per week) were not significantly associated with mental health outcomes including GAD, depression, and athlete burnout. The only exception was that age was significantly associated with athlete burnout (</w:t>
      </w:r>
      <w:r w:rsidRPr="0061355E">
        <w:rPr>
          <w:rFonts w:eastAsia="AmeriGarmndPL-Roman"/>
          <w:i/>
          <w:szCs w:val="24"/>
          <w:lang w:val="en-GB"/>
        </w:rPr>
        <w:t>r</w:t>
      </w:r>
      <w:r w:rsidRPr="0061355E">
        <w:rPr>
          <w:rFonts w:eastAsia="AmeriGarmndPL-Roman"/>
          <w:szCs w:val="24"/>
          <w:lang w:val="en-GB"/>
        </w:rPr>
        <w:t xml:space="preserve"> = 0.24, </w:t>
      </w:r>
      <w:r w:rsidRPr="0061355E">
        <w:rPr>
          <w:rFonts w:eastAsia="AmeriGarmndPL-Roman"/>
          <w:i/>
          <w:szCs w:val="24"/>
          <w:lang w:val="en-GB"/>
        </w:rPr>
        <w:t>p</w:t>
      </w:r>
      <w:r w:rsidRPr="0061355E">
        <w:rPr>
          <w:rFonts w:eastAsia="AmeriGarmndPL-Roman"/>
          <w:szCs w:val="24"/>
          <w:lang w:val="en-GB"/>
        </w:rPr>
        <w:t xml:space="preserve"> &lt; 0.001)</w:t>
      </w:r>
      <w:r w:rsidR="00FE531E" w:rsidRPr="0061355E">
        <w:rPr>
          <w:rFonts w:eastAsia="AmeriGarmndPL-Roman"/>
          <w:szCs w:val="24"/>
          <w:lang w:val="en-GB"/>
        </w:rPr>
        <w:t xml:space="preserve">, and thus age was </w:t>
      </w:r>
      <w:r w:rsidR="00EB52C2" w:rsidRPr="0061355E">
        <w:rPr>
          <w:rFonts w:eastAsia="AmeriGarmndPL-Roman"/>
          <w:szCs w:val="24"/>
          <w:lang w:val="en-GB"/>
        </w:rPr>
        <w:t xml:space="preserve">the only demographic variable </w:t>
      </w:r>
      <w:r w:rsidR="00FE531E" w:rsidRPr="0061355E">
        <w:rPr>
          <w:rFonts w:eastAsia="AmeriGarmndPL-Roman"/>
          <w:szCs w:val="24"/>
          <w:lang w:val="en-GB"/>
        </w:rPr>
        <w:t>controlled in the subsequent regression analyses</w:t>
      </w:r>
      <w:r w:rsidRPr="0061355E">
        <w:rPr>
          <w:rFonts w:eastAsia="AmeriGarmndPL-Roman"/>
          <w:szCs w:val="24"/>
          <w:lang w:val="en-GB"/>
        </w:rPr>
        <w:t xml:space="preserve">. All the five TDE factors were significantly related to the three mental health outcomes (β = -0.13 to -0.32, </w:t>
      </w:r>
      <w:proofErr w:type="spellStart"/>
      <w:r w:rsidRPr="0061355E">
        <w:rPr>
          <w:rFonts w:eastAsia="AmeriGarmndPL-Roman"/>
          <w:i/>
          <w:szCs w:val="24"/>
          <w:lang w:val="en-GB"/>
        </w:rPr>
        <w:t>p</w:t>
      </w:r>
      <w:r w:rsidRPr="0061355E">
        <w:rPr>
          <w:rFonts w:eastAsia="AmeriGarmndPL-Roman"/>
          <w:szCs w:val="24"/>
          <w:lang w:val="en-GB"/>
        </w:rPr>
        <w:t>s</w:t>
      </w:r>
      <w:proofErr w:type="spellEnd"/>
      <w:r w:rsidRPr="0061355E">
        <w:rPr>
          <w:rFonts w:eastAsia="AmeriGarmndPL-Roman"/>
          <w:szCs w:val="24"/>
          <w:lang w:val="en-GB"/>
        </w:rPr>
        <w:t xml:space="preserve"> &lt; 0.01).</w:t>
      </w:r>
    </w:p>
    <w:p w14:paraId="246997AE" w14:textId="77777777" w:rsidR="001F05F2" w:rsidRPr="0061355E" w:rsidRDefault="001F05F2" w:rsidP="0060536E">
      <w:pPr>
        <w:spacing w:after="100" w:afterAutospacing="1"/>
        <w:ind w:firstLine="720"/>
        <w:contextualSpacing/>
        <w:rPr>
          <w:rFonts w:eastAsia="AmeriGarmndPL-Roman"/>
          <w:szCs w:val="24"/>
          <w:lang w:val="en-GB"/>
        </w:rPr>
      </w:pPr>
      <w:r w:rsidRPr="0061355E">
        <w:rPr>
          <w:rFonts w:eastAsia="AmeriGarmndPL-Roman"/>
          <w:szCs w:val="24"/>
          <w:lang w:val="en-GB"/>
        </w:rPr>
        <w:t xml:space="preserve">Table 3 presents the results of multiple regression analysis. We found alignment of expectations was the only TDE factor to significantly predict GAD (β = -0.24, </w:t>
      </w:r>
      <w:r w:rsidRPr="0061355E">
        <w:rPr>
          <w:rFonts w:eastAsia="AmeriGarmndPL-Roman"/>
          <w:i/>
          <w:szCs w:val="24"/>
          <w:lang w:val="en-GB"/>
        </w:rPr>
        <w:t xml:space="preserve">p </w:t>
      </w:r>
      <w:r w:rsidRPr="0061355E">
        <w:rPr>
          <w:rFonts w:eastAsia="AmeriGarmndPL-Roman"/>
          <w:szCs w:val="24"/>
          <w:lang w:val="en-GB"/>
        </w:rPr>
        <w:t xml:space="preserve">= 0.04) and depression (β = -0.26, </w:t>
      </w:r>
      <w:r w:rsidRPr="0061355E">
        <w:rPr>
          <w:rFonts w:eastAsia="AmeriGarmndPL-Roman"/>
          <w:i/>
          <w:szCs w:val="24"/>
          <w:lang w:val="en-GB"/>
        </w:rPr>
        <w:t xml:space="preserve">p </w:t>
      </w:r>
      <w:r w:rsidRPr="0061355E">
        <w:rPr>
          <w:rFonts w:eastAsia="AmeriGarmndPL-Roman"/>
          <w:szCs w:val="24"/>
          <w:lang w:val="en-GB"/>
        </w:rPr>
        <w:t xml:space="preserve">= 0.02). Further, holistic quality preparation was the only significant TDE predictor of athlete burnout (β = -0.26, </w:t>
      </w:r>
      <w:r w:rsidRPr="0061355E">
        <w:rPr>
          <w:rFonts w:eastAsia="AmeriGarmndPL-Roman"/>
          <w:i/>
          <w:szCs w:val="24"/>
          <w:lang w:val="en-GB"/>
        </w:rPr>
        <w:t xml:space="preserve">p </w:t>
      </w:r>
      <w:r w:rsidRPr="0061355E">
        <w:rPr>
          <w:rFonts w:eastAsia="AmeriGarmndPL-Roman"/>
          <w:szCs w:val="24"/>
          <w:lang w:val="en-GB"/>
        </w:rPr>
        <w:t>= 0.03). These predicting effects were close to moderate (Cohen, 1992). All predictors explained a total variance of 8.7% to 15.9% in the three mental health outcomes. These magnitudes represented a medium effect (Cohen, 1992).</w:t>
      </w:r>
    </w:p>
    <w:p w14:paraId="01ECBE63" w14:textId="77777777" w:rsidR="001F05F2" w:rsidRPr="0061355E" w:rsidRDefault="001F05F2" w:rsidP="0060536E">
      <w:pPr>
        <w:spacing w:after="100" w:afterAutospacing="1"/>
        <w:contextualSpacing/>
        <w:jc w:val="both"/>
        <w:rPr>
          <w:b/>
          <w:bCs/>
          <w:szCs w:val="24"/>
          <w:lang w:val="en-GB"/>
        </w:rPr>
      </w:pPr>
      <w:r w:rsidRPr="0061355E">
        <w:rPr>
          <w:b/>
          <w:szCs w:val="24"/>
          <w:lang w:val="en-GB"/>
        </w:rPr>
        <w:t>Associations Between TDE and Mental Health: Cluster Analyses</w:t>
      </w:r>
    </w:p>
    <w:p w14:paraId="72509D13" w14:textId="77777777" w:rsidR="001F05F2" w:rsidRPr="0061355E" w:rsidRDefault="001F05F2" w:rsidP="0060536E">
      <w:pPr>
        <w:spacing w:after="100" w:afterAutospacing="1"/>
        <w:ind w:firstLine="720"/>
        <w:contextualSpacing/>
        <w:jc w:val="both"/>
        <w:rPr>
          <w:rFonts w:eastAsia="STIX-Regular"/>
          <w:szCs w:val="24"/>
          <w:lang w:val="en-GB" w:eastAsia="zh-CN"/>
        </w:rPr>
      </w:pPr>
      <w:r w:rsidRPr="0061355E">
        <w:rPr>
          <w:bCs/>
          <w:szCs w:val="24"/>
          <w:lang w:val="en-GB"/>
        </w:rPr>
        <w:t xml:space="preserve">After inspection of the </w:t>
      </w:r>
      <w:r w:rsidRPr="0061355E">
        <w:rPr>
          <w:rFonts w:eastAsia="STIX-Regular"/>
          <w:szCs w:val="24"/>
          <w:lang w:val="en-GB" w:eastAsia="zh-CN"/>
        </w:rPr>
        <w:t xml:space="preserve">agglomeration schedules and </w:t>
      </w:r>
      <w:proofErr w:type="spellStart"/>
      <w:r w:rsidRPr="0061355E">
        <w:rPr>
          <w:rFonts w:eastAsia="STIX-Regular"/>
          <w:szCs w:val="24"/>
          <w:lang w:val="en-GB" w:eastAsia="zh-CN"/>
        </w:rPr>
        <w:t>dendrogram</w:t>
      </w:r>
      <w:proofErr w:type="spellEnd"/>
      <w:r w:rsidRPr="0061355E">
        <w:rPr>
          <w:rFonts w:eastAsia="STIX-Regular"/>
          <w:szCs w:val="24"/>
          <w:lang w:val="en-GB" w:eastAsia="zh-CN"/>
        </w:rPr>
        <w:t xml:space="preserve">, we decided to select a three-cluster solution. The decision was also supported by the finding of a one-way multiple </w:t>
      </w:r>
      <w:r w:rsidRPr="0061355E">
        <w:rPr>
          <w:rFonts w:eastAsia="STIX-Regular"/>
          <w:szCs w:val="24"/>
          <w:lang w:val="en-GB" w:eastAsia="zh-CN"/>
        </w:rPr>
        <w:lastRenderedPageBreak/>
        <w:t xml:space="preserve">analysis of variance (MANOVA): </w:t>
      </w:r>
      <w:r w:rsidRPr="0061355E">
        <w:rPr>
          <w:rFonts w:eastAsia="STIX-Italic"/>
          <w:i/>
          <w:iCs/>
          <w:szCs w:val="24"/>
          <w:lang w:val="en-GB" w:eastAsia="zh-CN"/>
        </w:rPr>
        <w:t xml:space="preserve">Pillai’s Trace </w:t>
      </w:r>
      <w:r w:rsidRPr="0061355E">
        <w:rPr>
          <w:rFonts w:eastAsia="STIX-Regular"/>
          <w:szCs w:val="24"/>
          <w:lang w:val="en-GB" w:eastAsia="zh-CN"/>
        </w:rPr>
        <w:t xml:space="preserve">= 0.92, </w:t>
      </w:r>
      <w:r w:rsidRPr="0061355E">
        <w:rPr>
          <w:rFonts w:eastAsia="STIX-Italic"/>
          <w:i/>
          <w:iCs/>
          <w:szCs w:val="24"/>
          <w:lang w:val="en-GB" w:eastAsia="zh-CN"/>
        </w:rPr>
        <w:t xml:space="preserve">F </w:t>
      </w:r>
      <w:r w:rsidRPr="0061355E">
        <w:rPr>
          <w:rFonts w:eastAsia="STIX-Regular"/>
          <w:szCs w:val="24"/>
          <w:lang w:val="en-GB" w:eastAsia="zh-CN"/>
        </w:rPr>
        <w:t xml:space="preserve">(10, 484) = 40.89, </w:t>
      </w:r>
      <w:r w:rsidRPr="0061355E">
        <w:rPr>
          <w:rFonts w:eastAsia="STIX-Italic"/>
          <w:i/>
          <w:iCs/>
          <w:szCs w:val="24"/>
          <w:lang w:val="en-GB" w:eastAsia="zh-CN"/>
        </w:rPr>
        <w:t xml:space="preserve">p </w:t>
      </w:r>
      <w:r w:rsidRPr="0061355E">
        <w:rPr>
          <w:rFonts w:eastAsia="STIX-Regular"/>
          <w:szCs w:val="24"/>
          <w:lang w:val="en-GB" w:eastAsia="zh-CN"/>
        </w:rPr>
        <w:t xml:space="preserve">&lt; 0.001, </w:t>
      </w:r>
      <w:r w:rsidRPr="0061355E">
        <w:rPr>
          <w:rFonts w:eastAsia="STIX-Italic"/>
          <w:i/>
          <w:iCs/>
          <w:szCs w:val="24"/>
          <w:lang w:val="en-GB" w:eastAsia="zh-CN"/>
        </w:rPr>
        <w:t>η</w:t>
      </w:r>
      <w:r w:rsidRPr="0061355E">
        <w:rPr>
          <w:rFonts w:eastAsia="STIX-Italic"/>
          <w:i/>
          <w:iCs/>
          <w:szCs w:val="24"/>
          <w:vertAlign w:val="subscript"/>
          <w:lang w:val="en-GB" w:eastAsia="zh-CN"/>
        </w:rPr>
        <w:t>p</w:t>
      </w:r>
      <w:r w:rsidRPr="0061355E">
        <w:rPr>
          <w:rFonts w:eastAsia="STIX-Regular"/>
          <w:szCs w:val="24"/>
          <w:vertAlign w:val="superscript"/>
          <w:lang w:val="en-GB" w:eastAsia="zh-CN"/>
        </w:rPr>
        <w:t>2</w:t>
      </w:r>
      <w:r w:rsidRPr="0061355E">
        <w:rPr>
          <w:rFonts w:eastAsia="STIX-Regular"/>
          <w:szCs w:val="24"/>
          <w:lang w:val="en-GB" w:eastAsia="zh-CN"/>
        </w:rPr>
        <w:t xml:space="preserve"> = 0.46. This result suggests that the three clusters differed significantly in TDE subscale scores. We repeated the two-step approach with a randomly selected split-half sample (</w:t>
      </w:r>
      <w:r w:rsidRPr="0061355E">
        <w:rPr>
          <w:rFonts w:eastAsia="STIX-Regular"/>
          <w:i/>
          <w:szCs w:val="24"/>
          <w:lang w:val="en-GB" w:eastAsia="zh-CN"/>
        </w:rPr>
        <w:t>n</w:t>
      </w:r>
      <w:r w:rsidRPr="0061355E">
        <w:rPr>
          <w:rFonts w:eastAsia="STIX-Regular"/>
          <w:szCs w:val="24"/>
          <w:lang w:val="en-GB" w:eastAsia="zh-CN"/>
        </w:rPr>
        <w:t xml:space="preserve"> = 120). The result confirmed the stability of the three-cluster solution (Hair et al., 2010). </w:t>
      </w:r>
    </w:p>
    <w:p w14:paraId="19A6DC31" w14:textId="490EB751" w:rsidR="001F05F2" w:rsidRPr="0061355E" w:rsidRDefault="001F05F2" w:rsidP="0060536E">
      <w:pPr>
        <w:spacing w:after="100" w:afterAutospacing="1"/>
        <w:ind w:firstLine="720"/>
        <w:contextualSpacing/>
        <w:jc w:val="both"/>
        <w:rPr>
          <w:b/>
          <w:bCs/>
          <w:szCs w:val="24"/>
          <w:lang w:val="en-GB"/>
        </w:rPr>
      </w:pPr>
      <w:r w:rsidRPr="0061355E">
        <w:rPr>
          <w:rFonts w:eastAsia="STIX-Regular"/>
          <w:szCs w:val="24"/>
          <w:lang w:val="en-GB" w:eastAsia="zh-CN"/>
        </w:rPr>
        <w:t>Table 4 summari</w:t>
      </w:r>
      <w:r w:rsidR="00E84188" w:rsidRPr="0061355E">
        <w:rPr>
          <w:rFonts w:eastAsia="STIX-Regular"/>
          <w:szCs w:val="24"/>
          <w:lang w:val="en-GB" w:eastAsia="zh-CN"/>
        </w:rPr>
        <w:t>s</w:t>
      </w:r>
      <w:r w:rsidRPr="0061355E">
        <w:rPr>
          <w:rFonts w:eastAsia="STIX-Regular"/>
          <w:szCs w:val="24"/>
          <w:lang w:val="en-GB" w:eastAsia="zh-CN"/>
        </w:rPr>
        <w:t xml:space="preserve">es the descriptive statistics of the three-cluster solution. According to Z scores of TDE, the three clusters were coined as cluster 1 </w:t>
      </w:r>
      <w:r w:rsidRPr="0061355E">
        <w:rPr>
          <w:szCs w:val="24"/>
          <w:shd w:val="clear" w:color="auto" w:fill="FFFFFF"/>
          <w:lang w:val="en-GB"/>
        </w:rPr>
        <w:t>—</w:t>
      </w:r>
      <w:r w:rsidRPr="0061355E">
        <w:rPr>
          <w:rFonts w:eastAsia="STIX-Regular"/>
          <w:szCs w:val="24"/>
          <w:lang w:val="en-GB" w:eastAsia="zh-CN"/>
        </w:rPr>
        <w:t xml:space="preserve"> “slightly below average TDE” (</w:t>
      </w:r>
      <w:r w:rsidRPr="0061355E">
        <w:rPr>
          <w:rFonts w:eastAsia="STIX-Regular"/>
          <w:i/>
          <w:szCs w:val="24"/>
          <w:lang w:val="en-GB" w:eastAsia="zh-CN"/>
        </w:rPr>
        <w:t>n</w:t>
      </w:r>
      <w:r w:rsidRPr="0061355E">
        <w:rPr>
          <w:rFonts w:eastAsia="STIX-Regular"/>
          <w:szCs w:val="24"/>
          <w:lang w:val="en-GB" w:eastAsia="zh-CN"/>
        </w:rPr>
        <w:t xml:space="preserve"> = 123), cluster 2 </w:t>
      </w:r>
      <w:r w:rsidRPr="0061355E">
        <w:rPr>
          <w:szCs w:val="24"/>
          <w:shd w:val="clear" w:color="auto" w:fill="FFFFFF"/>
          <w:lang w:val="en-GB"/>
        </w:rPr>
        <w:t>—</w:t>
      </w:r>
      <w:r w:rsidRPr="0061355E">
        <w:rPr>
          <w:rFonts w:eastAsia="STIX-Regular"/>
          <w:szCs w:val="24"/>
          <w:lang w:val="en-GB" w:eastAsia="zh-CN"/>
        </w:rPr>
        <w:t xml:space="preserve"> “high TDE” (</w:t>
      </w:r>
      <w:r w:rsidRPr="0061355E">
        <w:rPr>
          <w:rFonts w:eastAsia="STIX-Regular"/>
          <w:i/>
          <w:szCs w:val="24"/>
          <w:lang w:val="en-GB" w:eastAsia="zh-CN"/>
        </w:rPr>
        <w:t>n</w:t>
      </w:r>
      <w:r w:rsidRPr="0061355E">
        <w:rPr>
          <w:rFonts w:eastAsia="STIX-Regular"/>
          <w:szCs w:val="24"/>
          <w:lang w:val="en-GB" w:eastAsia="zh-CN"/>
        </w:rPr>
        <w:t xml:space="preserve"> = 85), and cluster 3 </w:t>
      </w:r>
      <w:r w:rsidRPr="0061355E">
        <w:rPr>
          <w:szCs w:val="24"/>
          <w:shd w:val="clear" w:color="auto" w:fill="FFFFFF"/>
          <w:lang w:val="en-GB"/>
        </w:rPr>
        <w:t>—</w:t>
      </w:r>
      <w:r w:rsidRPr="0061355E">
        <w:rPr>
          <w:rFonts w:eastAsia="STIX-Regular"/>
          <w:szCs w:val="24"/>
          <w:lang w:val="en-GB" w:eastAsia="zh-CN"/>
        </w:rPr>
        <w:t xml:space="preserve"> “very low TDE” (</w:t>
      </w:r>
      <w:r w:rsidRPr="0061355E">
        <w:rPr>
          <w:rFonts w:eastAsia="STIX-Regular"/>
          <w:i/>
          <w:szCs w:val="24"/>
          <w:lang w:val="en-GB" w:eastAsia="zh-CN"/>
        </w:rPr>
        <w:t>n</w:t>
      </w:r>
      <w:r w:rsidRPr="0061355E">
        <w:rPr>
          <w:rFonts w:eastAsia="STIX-Regular"/>
          <w:szCs w:val="24"/>
          <w:lang w:val="en-GB" w:eastAsia="zh-CN"/>
        </w:rPr>
        <w:t xml:space="preserve"> = 40). The results of ANOVA indicated that the three mental health outcomes were significantly different across the three clusters (</w:t>
      </w:r>
      <w:proofErr w:type="spellStart"/>
      <w:r w:rsidRPr="0061355E">
        <w:rPr>
          <w:rFonts w:eastAsia="STIX-Regular"/>
          <w:i/>
          <w:szCs w:val="24"/>
          <w:lang w:val="en-GB" w:eastAsia="zh-CN"/>
        </w:rPr>
        <w:t>p</w:t>
      </w:r>
      <w:r w:rsidRPr="0061355E">
        <w:rPr>
          <w:rFonts w:eastAsia="STIX-Regular"/>
          <w:szCs w:val="24"/>
          <w:lang w:val="en-GB" w:eastAsia="zh-CN"/>
        </w:rPr>
        <w:t>s</w:t>
      </w:r>
      <w:proofErr w:type="spellEnd"/>
      <w:r w:rsidRPr="0061355E">
        <w:rPr>
          <w:rFonts w:eastAsia="STIX-Regular"/>
          <w:szCs w:val="24"/>
          <w:lang w:val="en-GB" w:eastAsia="zh-CN"/>
        </w:rPr>
        <w:t xml:space="preserve"> &lt; 0.001, </w:t>
      </w:r>
      <w:r w:rsidRPr="0061355E">
        <w:rPr>
          <w:rFonts w:eastAsia="STIX-Italic"/>
          <w:i/>
          <w:iCs/>
          <w:szCs w:val="24"/>
          <w:lang w:val="en-GB" w:eastAsia="zh-CN"/>
        </w:rPr>
        <w:t>η</w:t>
      </w:r>
      <w:r w:rsidRPr="0061355E">
        <w:rPr>
          <w:rFonts w:eastAsia="STIX-Italic"/>
          <w:i/>
          <w:iCs/>
          <w:szCs w:val="24"/>
          <w:vertAlign w:val="subscript"/>
          <w:lang w:val="en-GB" w:eastAsia="zh-CN"/>
        </w:rPr>
        <w:t>p</w:t>
      </w:r>
      <w:r w:rsidRPr="0061355E">
        <w:rPr>
          <w:rFonts w:eastAsia="STIX-Regular"/>
          <w:szCs w:val="24"/>
          <w:vertAlign w:val="superscript"/>
          <w:lang w:val="en-GB" w:eastAsia="zh-CN"/>
        </w:rPr>
        <w:t>2</w:t>
      </w:r>
      <w:r w:rsidRPr="0061355E">
        <w:rPr>
          <w:rFonts w:eastAsia="STIX-Regular"/>
          <w:szCs w:val="24"/>
          <w:lang w:val="en-GB" w:eastAsia="zh-CN"/>
        </w:rPr>
        <w:t xml:space="preserve"> = 0.07 to 0.09), and thus Tukey’s HSD test was followed. As expected, cluster 2 had the lowest level</w:t>
      </w:r>
      <w:r w:rsidR="00960265" w:rsidRPr="0061355E">
        <w:rPr>
          <w:rFonts w:eastAsia="STIX-Regular"/>
          <w:szCs w:val="24"/>
          <w:lang w:val="en-GB" w:eastAsia="zh-CN"/>
        </w:rPr>
        <w:t>s</w:t>
      </w:r>
      <w:r w:rsidRPr="0061355E">
        <w:rPr>
          <w:rFonts w:eastAsia="STIX-Regular"/>
          <w:szCs w:val="24"/>
          <w:lang w:val="en-GB" w:eastAsia="zh-CN"/>
        </w:rPr>
        <w:t xml:space="preserve"> of GAD, depression, and athlete burnout among the three clusters (</w:t>
      </w:r>
      <w:proofErr w:type="spellStart"/>
      <w:r w:rsidRPr="0061355E">
        <w:rPr>
          <w:rFonts w:eastAsia="STIX-Regular"/>
          <w:i/>
          <w:szCs w:val="24"/>
          <w:lang w:val="en-GB" w:eastAsia="zh-CN"/>
        </w:rPr>
        <w:t>p</w:t>
      </w:r>
      <w:r w:rsidRPr="0061355E">
        <w:rPr>
          <w:rFonts w:eastAsia="STIX-Regular"/>
          <w:szCs w:val="24"/>
          <w:lang w:val="en-GB" w:eastAsia="zh-CN"/>
        </w:rPr>
        <w:t>s</w:t>
      </w:r>
      <w:proofErr w:type="spellEnd"/>
      <w:r w:rsidRPr="0061355E">
        <w:rPr>
          <w:rFonts w:eastAsia="STIX-Regular"/>
          <w:szCs w:val="24"/>
          <w:lang w:val="en-GB" w:eastAsia="zh-CN"/>
        </w:rPr>
        <w:t xml:space="preserve"> &lt; 0.01). Although cluster 1 and cluster 3 showed no significant difference in GAD and depression, cluster 3 had a higher level of athlete burnout than cluster 1 (</w:t>
      </w:r>
      <w:r w:rsidRPr="0061355E">
        <w:rPr>
          <w:rFonts w:eastAsia="STIX-Regular"/>
          <w:i/>
          <w:szCs w:val="24"/>
          <w:lang w:val="en-GB" w:eastAsia="zh-CN"/>
        </w:rPr>
        <w:t>p</w:t>
      </w:r>
      <w:r w:rsidRPr="0061355E">
        <w:rPr>
          <w:rFonts w:eastAsia="STIX-Regular"/>
          <w:szCs w:val="24"/>
          <w:lang w:val="en-GB" w:eastAsia="zh-CN"/>
        </w:rPr>
        <w:t xml:space="preserve"> = 0.01).</w:t>
      </w:r>
    </w:p>
    <w:p w14:paraId="3159F8C7" w14:textId="77777777" w:rsidR="001F05F2" w:rsidRPr="0061355E" w:rsidRDefault="001F05F2" w:rsidP="0060536E">
      <w:pPr>
        <w:spacing w:after="100" w:afterAutospacing="1"/>
        <w:contextualSpacing/>
        <w:jc w:val="center"/>
        <w:rPr>
          <w:b/>
          <w:bCs/>
          <w:szCs w:val="24"/>
          <w:lang w:val="en-GB"/>
        </w:rPr>
      </w:pPr>
      <w:r w:rsidRPr="0061355E">
        <w:rPr>
          <w:b/>
          <w:bCs/>
          <w:szCs w:val="24"/>
          <w:lang w:val="en-GB"/>
        </w:rPr>
        <w:t xml:space="preserve">Discussion </w:t>
      </w:r>
    </w:p>
    <w:p w14:paraId="403E7A5B" w14:textId="5E75D0A4" w:rsidR="00960265" w:rsidRPr="0061355E" w:rsidRDefault="001F05F2" w:rsidP="0060536E">
      <w:pPr>
        <w:spacing w:before="240" w:after="100" w:afterAutospacing="1"/>
        <w:ind w:firstLine="720"/>
        <w:contextualSpacing/>
        <w:rPr>
          <w:bCs/>
          <w:szCs w:val="24"/>
          <w:lang w:val="en-GB"/>
        </w:rPr>
      </w:pPr>
      <w:r w:rsidRPr="0061355E">
        <w:rPr>
          <w:bCs/>
          <w:szCs w:val="24"/>
          <w:lang w:val="en-GB"/>
        </w:rPr>
        <w:t xml:space="preserve">As an extension to previous research </w:t>
      </w:r>
      <w:r w:rsidRPr="0061355E">
        <w:rPr>
          <w:szCs w:val="24"/>
          <w:lang w:val="en-GB"/>
        </w:rPr>
        <w:t>(</w:t>
      </w:r>
      <w:proofErr w:type="spellStart"/>
      <w:r w:rsidRPr="0061355E">
        <w:rPr>
          <w:szCs w:val="24"/>
          <w:lang w:val="en-GB"/>
        </w:rPr>
        <w:t>Ivarsson</w:t>
      </w:r>
      <w:proofErr w:type="spellEnd"/>
      <w:r w:rsidRPr="0061355E">
        <w:rPr>
          <w:szCs w:val="24"/>
          <w:lang w:val="en-GB"/>
        </w:rPr>
        <w:t xml:space="preserve"> et al., 2015; Li et al., 2017; Thomas et al., 2021)</w:t>
      </w:r>
      <w:r w:rsidRPr="0061355E">
        <w:rPr>
          <w:bCs/>
          <w:szCs w:val="24"/>
          <w:lang w:val="en-GB"/>
        </w:rPr>
        <w:t xml:space="preserve">, our study examined the predicting roles of the five TDE factors on GAD, depression, and athlete burnout of Chinese elite </w:t>
      </w:r>
      <w:r w:rsidR="00C07EE6" w:rsidRPr="0061355E">
        <w:rPr>
          <w:bCs/>
          <w:szCs w:val="24"/>
          <w:lang w:val="en-GB"/>
        </w:rPr>
        <w:t xml:space="preserve">youth </w:t>
      </w:r>
      <w:r w:rsidRPr="0061355E">
        <w:rPr>
          <w:bCs/>
          <w:szCs w:val="24"/>
          <w:lang w:val="en-GB"/>
        </w:rPr>
        <w:t>athletes through both variable- and person-</w:t>
      </w:r>
      <w:r w:rsidR="004C334B" w:rsidRPr="0061355E">
        <w:rPr>
          <w:bCs/>
          <w:szCs w:val="24"/>
          <w:lang w:val="en-GB"/>
        </w:rPr>
        <w:t>centred</w:t>
      </w:r>
      <w:r w:rsidRPr="0061355E">
        <w:rPr>
          <w:bCs/>
          <w:szCs w:val="24"/>
          <w:lang w:val="en-GB"/>
        </w:rPr>
        <w:t xml:space="preserve"> approaches. The descriptive findings indicated a </w:t>
      </w:r>
      <w:r w:rsidRPr="0061355E">
        <w:rPr>
          <w:bCs/>
          <w:szCs w:val="24"/>
          <w:lang w:val="en-GB" w:eastAsia="zh-CN"/>
        </w:rPr>
        <w:t>19%</w:t>
      </w:r>
      <w:r w:rsidRPr="0061355E">
        <w:rPr>
          <w:bCs/>
          <w:szCs w:val="24"/>
          <w:lang w:val="en-GB"/>
        </w:rPr>
        <w:t xml:space="preserve"> prevalence rate of GAD in our sample, which is greater than that reported in </w:t>
      </w:r>
      <w:r w:rsidR="00523182" w:rsidRPr="0061355E">
        <w:rPr>
          <w:bCs/>
          <w:szCs w:val="24"/>
          <w:lang w:val="en-GB"/>
        </w:rPr>
        <w:t>Chinese youth (1</w:t>
      </w:r>
      <w:r w:rsidR="00543130" w:rsidRPr="0061355E">
        <w:rPr>
          <w:bCs/>
          <w:szCs w:val="24"/>
          <w:lang w:val="en-GB"/>
        </w:rPr>
        <w:t>5</w:t>
      </w:r>
      <w:r w:rsidR="00523182" w:rsidRPr="0061355E">
        <w:rPr>
          <w:bCs/>
          <w:szCs w:val="24"/>
          <w:lang w:val="en-GB"/>
        </w:rPr>
        <w:t>.</w:t>
      </w:r>
      <w:r w:rsidR="00543130" w:rsidRPr="0061355E">
        <w:rPr>
          <w:bCs/>
          <w:szCs w:val="24"/>
          <w:lang w:val="en-GB"/>
        </w:rPr>
        <w:t>8</w:t>
      </w:r>
      <w:r w:rsidR="00523182" w:rsidRPr="0061355E">
        <w:rPr>
          <w:bCs/>
          <w:szCs w:val="24"/>
          <w:lang w:val="en-GB"/>
        </w:rPr>
        <w:t>%) (</w:t>
      </w:r>
      <w:r w:rsidR="00543130" w:rsidRPr="0061355E">
        <w:rPr>
          <w:bCs/>
          <w:szCs w:val="24"/>
          <w:lang w:val="en-GB"/>
        </w:rPr>
        <w:t>Zhu</w:t>
      </w:r>
      <w:r w:rsidRPr="0061355E">
        <w:rPr>
          <w:bCs/>
          <w:szCs w:val="24"/>
          <w:lang w:val="en-GB"/>
        </w:rPr>
        <w:t xml:space="preserve"> et al., 20</w:t>
      </w:r>
      <w:r w:rsidR="00523182" w:rsidRPr="0061355E">
        <w:rPr>
          <w:bCs/>
          <w:szCs w:val="24"/>
          <w:lang w:val="en-GB"/>
        </w:rPr>
        <w:t>2</w:t>
      </w:r>
      <w:r w:rsidR="00543130" w:rsidRPr="0061355E">
        <w:rPr>
          <w:bCs/>
          <w:szCs w:val="24"/>
          <w:lang w:val="en-GB"/>
        </w:rPr>
        <w:t>1</w:t>
      </w:r>
      <w:r w:rsidRPr="0061355E">
        <w:rPr>
          <w:bCs/>
          <w:szCs w:val="24"/>
          <w:lang w:val="en-GB"/>
        </w:rPr>
        <w:t xml:space="preserve">). This means that elite </w:t>
      </w:r>
      <w:r w:rsidR="00C07EE6" w:rsidRPr="0061355E">
        <w:rPr>
          <w:bCs/>
          <w:szCs w:val="24"/>
          <w:lang w:val="en-GB"/>
        </w:rPr>
        <w:t xml:space="preserve">youth </w:t>
      </w:r>
      <w:r w:rsidRPr="0061355E">
        <w:rPr>
          <w:bCs/>
          <w:szCs w:val="24"/>
          <w:lang w:val="en-GB"/>
        </w:rPr>
        <w:t xml:space="preserve">athletes are more likely to develop GAD symptoms than general populations. Further, our GAD figure is within the range of prevalence rates reported in previous studies with elite </w:t>
      </w:r>
      <w:r w:rsidR="00543130" w:rsidRPr="0061355E">
        <w:rPr>
          <w:bCs/>
          <w:szCs w:val="24"/>
          <w:lang w:val="en-GB"/>
        </w:rPr>
        <w:t xml:space="preserve">youth and adult </w:t>
      </w:r>
      <w:r w:rsidRPr="0061355E">
        <w:rPr>
          <w:bCs/>
          <w:szCs w:val="24"/>
          <w:lang w:val="en-GB"/>
        </w:rPr>
        <w:t>athletes</w:t>
      </w:r>
      <w:r w:rsidR="00543130" w:rsidRPr="0061355E">
        <w:rPr>
          <w:bCs/>
          <w:szCs w:val="24"/>
          <w:lang w:val="en-GB"/>
        </w:rPr>
        <w:t xml:space="preserve"> </w:t>
      </w:r>
      <w:r w:rsidR="00795727" w:rsidRPr="0061355E">
        <w:rPr>
          <w:bCs/>
          <w:szCs w:val="24"/>
          <w:lang w:val="en-GB"/>
        </w:rPr>
        <w:t>from</w:t>
      </w:r>
      <w:r w:rsidR="00543130" w:rsidRPr="0061355E">
        <w:rPr>
          <w:bCs/>
          <w:szCs w:val="24"/>
          <w:lang w:val="en-GB"/>
        </w:rPr>
        <w:t xml:space="preserve"> western countries</w:t>
      </w:r>
      <w:r w:rsidRPr="0061355E">
        <w:rPr>
          <w:bCs/>
          <w:szCs w:val="24"/>
          <w:lang w:val="en-GB"/>
        </w:rPr>
        <w:t xml:space="preserve"> (7% to 27.7%) (Du </w:t>
      </w:r>
      <w:proofErr w:type="spellStart"/>
      <w:r w:rsidRPr="0061355E">
        <w:rPr>
          <w:bCs/>
          <w:szCs w:val="24"/>
          <w:lang w:val="en-GB"/>
        </w:rPr>
        <w:t>Preez</w:t>
      </w:r>
      <w:proofErr w:type="spellEnd"/>
      <w:r w:rsidRPr="0061355E">
        <w:rPr>
          <w:bCs/>
          <w:szCs w:val="24"/>
          <w:lang w:val="en-GB"/>
        </w:rPr>
        <w:t xml:space="preserve"> et al., 2017; Gulliver et al., 2015; King et al., 2020; </w:t>
      </w:r>
      <w:proofErr w:type="spellStart"/>
      <w:r w:rsidRPr="0061355E">
        <w:rPr>
          <w:bCs/>
          <w:szCs w:val="24"/>
          <w:lang w:val="en-GB"/>
        </w:rPr>
        <w:t>Kuettel</w:t>
      </w:r>
      <w:proofErr w:type="spellEnd"/>
      <w:r w:rsidRPr="0061355E">
        <w:rPr>
          <w:bCs/>
          <w:szCs w:val="24"/>
          <w:lang w:val="en-GB"/>
        </w:rPr>
        <w:t xml:space="preserve"> et al., 2021; </w:t>
      </w:r>
      <w:proofErr w:type="spellStart"/>
      <w:r w:rsidRPr="0061355E">
        <w:rPr>
          <w:bCs/>
          <w:szCs w:val="24"/>
          <w:lang w:val="en-GB"/>
        </w:rPr>
        <w:t>McLoughlin</w:t>
      </w:r>
      <w:proofErr w:type="spellEnd"/>
      <w:r w:rsidRPr="0061355E">
        <w:rPr>
          <w:bCs/>
          <w:szCs w:val="24"/>
          <w:lang w:val="en-GB"/>
        </w:rPr>
        <w:t xml:space="preserve"> et al., 2021). Around 19.4% of our sample showed </w:t>
      </w:r>
      <w:r w:rsidR="00F84353" w:rsidRPr="0061355E">
        <w:rPr>
          <w:bCs/>
          <w:szCs w:val="24"/>
          <w:lang w:val="en-GB"/>
        </w:rPr>
        <w:t xml:space="preserve">symptoms of </w:t>
      </w:r>
      <w:r w:rsidR="003E2B7E" w:rsidRPr="0061355E">
        <w:rPr>
          <w:bCs/>
          <w:szCs w:val="24"/>
          <w:lang w:val="en-GB"/>
        </w:rPr>
        <w:t>depression</w:t>
      </w:r>
      <w:r w:rsidRPr="0061355E">
        <w:rPr>
          <w:bCs/>
          <w:szCs w:val="24"/>
          <w:lang w:val="en-GB"/>
        </w:rPr>
        <w:t xml:space="preserve">. A recent review indicated that the prevalence of </w:t>
      </w:r>
      <w:r w:rsidRPr="0061355E">
        <w:rPr>
          <w:bCs/>
          <w:szCs w:val="24"/>
          <w:lang w:val="en-GB"/>
        </w:rPr>
        <w:lastRenderedPageBreak/>
        <w:t xml:space="preserve">depression in elite </w:t>
      </w:r>
      <w:r w:rsidR="00795727" w:rsidRPr="0061355E">
        <w:rPr>
          <w:bCs/>
          <w:szCs w:val="24"/>
          <w:lang w:val="en-GB"/>
        </w:rPr>
        <w:t xml:space="preserve">youth and adult </w:t>
      </w:r>
      <w:r w:rsidRPr="0061355E">
        <w:rPr>
          <w:bCs/>
          <w:szCs w:val="24"/>
          <w:lang w:val="en-GB"/>
        </w:rPr>
        <w:t xml:space="preserve">athletes can ranged from 0% to 57% </w:t>
      </w:r>
      <w:r w:rsidR="00543130" w:rsidRPr="0061355E">
        <w:rPr>
          <w:bCs/>
          <w:szCs w:val="24"/>
          <w:lang w:val="en-GB"/>
        </w:rPr>
        <w:t xml:space="preserve">across the world </w:t>
      </w:r>
      <w:r w:rsidRPr="0061355E">
        <w:rPr>
          <w:bCs/>
          <w:szCs w:val="24"/>
          <w:lang w:val="en-GB"/>
        </w:rPr>
        <w:t>(</w:t>
      </w:r>
      <w:proofErr w:type="spellStart"/>
      <w:r w:rsidRPr="0061355E">
        <w:rPr>
          <w:bCs/>
          <w:szCs w:val="24"/>
          <w:lang w:val="en-GB"/>
        </w:rPr>
        <w:t>Kuettel</w:t>
      </w:r>
      <w:proofErr w:type="spellEnd"/>
      <w:r w:rsidRPr="0061355E">
        <w:rPr>
          <w:bCs/>
          <w:szCs w:val="24"/>
          <w:lang w:val="en-GB"/>
        </w:rPr>
        <w:t xml:space="preserve"> &amp; Larsen, 2019). </w:t>
      </w:r>
    </w:p>
    <w:p w14:paraId="63A9ADE0" w14:textId="1E301E04" w:rsidR="001F05F2" w:rsidRPr="0061355E" w:rsidRDefault="001F05F2" w:rsidP="0060536E">
      <w:pPr>
        <w:spacing w:before="240" w:after="100" w:afterAutospacing="1"/>
        <w:ind w:firstLine="720"/>
        <w:contextualSpacing/>
        <w:rPr>
          <w:bCs/>
          <w:szCs w:val="24"/>
          <w:lang w:val="en-GB"/>
        </w:rPr>
      </w:pPr>
      <w:r w:rsidRPr="0061355E">
        <w:rPr>
          <w:bCs/>
          <w:szCs w:val="24"/>
          <w:lang w:val="en-GB"/>
        </w:rPr>
        <w:t xml:space="preserve">The observed differences in prevalence rates of GAD/depression </w:t>
      </w:r>
      <w:r w:rsidR="003C54E9" w:rsidRPr="0061355E">
        <w:rPr>
          <w:bCs/>
          <w:szCs w:val="24"/>
          <w:lang w:val="en-GB"/>
        </w:rPr>
        <w:t>could</w:t>
      </w:r>
      <w:r w:rsidRPr="0061355E">
        <w:rPr>
          <w:bCs/>
          <w:szCs w:val="24"/>
          <w:lang w:val="en-GB"/>
        </w:rPr>
        <w:t xml:space="preserve"> be attributed to</w:t>
      </w:r>
      <w:r w:rsidR="003C54E9" w:rsidRPr="0061355E">
        <w:rPr>
          <w:bCs/>
          <w:szCs w:val="24"/>
          <w:lang w:val="en-GB"/>
        </w:rPr>
        <w:t xml:space="preserve"> the data collection period of the present study </w:t>
      </w:r>
      <w:r w:rsidR="003C54E9" w:rsidRPr="0061355E">
        <w:rPr>
          <w:szCs w:val="24"/>
          <w:lang w:val="en-GB"/>
        </w:rPr>
        <w:t xml:space="preserve">(1 July 2021 and 31 August 2021) which happened to be in the midst of the COVID-19 pandemic. </w:t>
      </w:r>
      <w:r w:rsidR="003C54E9" w:rsidRPr="0061355E">
        <w:rPr>
          <w:bCs/>
          <w:szCs w:val="24"/>
          <w:lang w:val="en-GB"/>
        </w:rPr>
        <w:t xml:space="preserve">The observed differences could also be attributed to </w:t>
      </w:r>
      <w:r w:rsidRPr="0061355E">
        <w:rPr>
          <w:bCs/>
          <w:szCs w:val="24"/>
          <w:lang w:val="en-GB"/>
        </w:rPr>
        <w:t>varied participant demographics, outcome measures</w:t>
      </w:r>
      <w:r w:rsidR="005D57CD" w:rsidRPr="0061355E">
        <w:rPr>
          <w:bCs/>
          <w:szCs w:val="24"/>
          <w:lang w:val="en-GB"/>
        </w:rPr>
        <w:t>, and cultural differences</w:t>
      </w:r>
      <w:r w:rsidRPr="0061355E">
        <w:rPr>
          <w:bCs/>
          <w:szCs w:val="24"/>
          <w:lang w:val="en-GB"/>
        </w:rPr>
        <w:t xml:space="preserve"> across studies</w:t>
      </w:r>
      <w:r w:rsidR="005D57CD" w:rsidRPr="0061355E">
        <w:rPr>
          <w:bCs/>
          <w:szCs w:val="24"/>
          <w:lang w:val="en-GB"/>
        </w:rPr>
        <w:t xml:space="preserve">. </w:t>
      </w:r>
      <w:r w:rsidR="00DF6837" w:rsidRPr="0061355E">
        <w:rPr>
          <w:bCs/>
          <w:szCs w:val="24"/>
          <w:lang w:val="en-GB"/>
        </w:rPr>
        <w:t xml:space="preserve">In comparison to individualistic values </w:t>
      </w:r>
      <w:r w:rsidR="00DC1936" w:rsidRPr="0061355E">
        <w:rPr>
          <w:bCs/>
          <w:szCs w:val="24"/>
          <w:lang w:val="en-GB"/>
        </w:rPr>
        <w:t xml:space="preserve">that are largely unique </w:t>
      </w:r>
      <w:r w:rsidR="00DF6837" w:rsidRPr="0061355E">
        <w:rPr>
          <w:bCs/>
          <w:szCs w:val="24"/>
          <w:lang w:val="en-GB"/>
        </w:rPr>
        <w:t>in Western cultures</w:t>
      </w:r>
      <w:r w:rsidR="00AD1713" w:rsidRPr="0061355E">
        <w:rPr>
          <w:bCs/>
          <w:szCs w:val="24"/>
          <w:lang w:val="en-GB"/>
        </w:rPr>
        <w:t xml:space="preserve"> (e.g., independence, self-reliance, and personal success)</w:t>
      </w:r>
      <w:r w:rsidR="00DF6837" w:rsidRPr="0061355E">
        <w:rPr>
          <w:bCs/>
          <w:szCs w:val="24"/>
          <w:lang w:val="en-GB"/>
        </w:rPr>
        <w:t xml:space="preserve">, a collective perspective is valued </w:t>
      </w:r>
      <w:r w:rsidR="00DC1936" w:rsidRPr="0061355E">
        <w:rPr>
          <w:bCs/>
          <w:szCs w:val="24"/>
          <w:lang w:val="en-GB"/>
        </w:rPr>
        <w:t>China</w:t>
      </w:r>
      <w:r w:rsidRPr="0061355E">
        <w:rPr>
          <w:bCs/>
          <w:szCs w:val="24"/>
          <w:lang w:val="en-GB"/>
        </w:rPr>
        <w:t>.</w:t>
      </w:r>
      <w:r w:rsidR="00DC1936" w:rsidRPr="0061355E">
        <w:rPr>
          <w:bCs/>
          <w:szCs w:val="24"/>
          <w:lang w:val="en-GB"/>
        </w:rPr>
        <w:t xml:space="preserve"> </w:t>
      </w:r>
      <w:r w:rsidR="00D77035" w:rsidRPr="0061355E">
        <w:rPr>
          <w:bCs/>
          <w:szCs w:val="24"/>
          <w:lang w:val="en-GB"/>
        </w:rPr>
        <w:t xml:space="preserve">Within this eastern ideology, </w:t>
      </w:r>
      <w:r w:rsidR="00DC1936" w:rsidRPr="0061355E">
        <w:rPr>
          <w:bCs/>
          <w:szCs w:val="24"/>
          <w:lang w:val="en-GB"/>
        </w:rPr>
        <w:t>Chinese</w:t>
      </w:r>
      <w:r w:rsidRPr="0061355E">
        <w:rPr>
          <w:bCs/>
          <w:szCs w:val="24"/>
          <w:lang w:val="en-GB"/>
        </w:rPr>
        <w:t xml:space="preserve"> </w:t>
      </w:r>
      <w:r w:rsidR="00DC1936" w:rsidRPr="0061355E">
        <w:rPr>
          <w:bCs/>
          <w:szCs w:val="24"/>
          <w:lang w:val="en-GB"/>
        </w:rPr>
        <w:t xml:space="preserve">elite youth athletes </w:t>
      </w:r>
      <w:r w:rsidR="00D77035" w:rsidRPr="0061355E">
        <w:rPr>
          <w:bCs/>
          <w:szCs w:val="24"/>
          <w:lang w:val="en-GB"/>
        </w:rPr>
        <w:t>are filled with gold medal expectations and pressure</w:t>
      </w:r>
      <w:r w:rsidR="00DC1936" w:rsidRPr="0061355E">
        <w:rPr>
          <w:bCs/>
          <w:szCs w:val="24"/>
          <w:lang w:val="en-GB"/>
        </w:rPr>
        <w:t xml:space="preserve"> to bring glory to their family and country</w:t>
      </w:r>
      <w:r w:rsidR="00D77035" w:rsidRPr="0061355E">
        <w:rPr>
          <w:bCs/>
          <w:szCs w:val="24"/>
          <w:lang w:val="en-GB"/>
        </w:rPr>
        <w:t xml:space="preserve"> </w:t>
      </w:r>
      <w:r w:rsidR="00112655" w:rsidRPr="0061355E">
        <w:rPr>
          <w:bCs/>
          <w:szCs w:val="24"/>
          <w:lang w:val="en-GB"/>
        </w:rPr>
        <w:t>for</w:t>
      </w:r>
      <w:r w:rsidR="00D77035" w:rsidRPr="0061355E">
        <w:rPr>
          <w:bCs/>
          <w:szCs w:val="24"/>
          <w:lang w:val="en-GB"/>
        </w:rPr>
        <w:t xml:space="preserve"> the common good. </w:t>
      </w:r>
      <w:r w:rsidR="005E1618" w:rsidRPr="0061355E">
        <w:rPr>
          <w:bCs/>
          <w:szCs w:val="24"/>
          <w:lang w:val="en-GB"/>
        </w:rPr>
        <w:t xml:space="preserve">Chinese elite youth athletes are part of the whole-national system in which </w:t>
      </w:r>
      <w:r w:rsidR="0074191D" w:rsidRPr="0061355E">
        <w:rPr>
          <w:bCs/>
          <w:szCs w:val="24"/>
          <w:lang w:val="en-GB"/>
        </w:rPr>
        <w:t xml:space="preserve">individual interests such as </w:t>
      </w:r>
      <w:r w:rsidR="005E1618" w:rsidRPr="0061355E">
        <w:rPr>
          <w:bCs/>
          <w:szCs w:val="24"/>
          <w:lang w:val="en-GB"/>
        </w:rPr>
        <w:t xml:space="preserve">independence and personal wellbeing are </w:t>
      </w:r>
      <w:r w:rsidR="0074191D" w:rsidRPr="0061355E">
        <w:rPr>
          <w:bCs/>
          <w:szCs w:val="24"/>
          <w:lang w:val="en-GB"/>
        </w:rPr>
        <w:t>overridden by collective interests (</w:t>
      </w:r>
      <w:r w:rsidR="00331537" w:rsidRPr="0061355E">
        <w:rPr>
          <w:szCs w:val="24"/>
          <w:lang w:val="en-GB"/>
        </w:rPr>
        <w:t>Schinke et al., 2022</w:t>
      </w:r>
      <w:r w:rsidR="0074191D" w:rsidRPr="0061355E">
        <w:rPr>
          <w:bCs/>
          <w:szCs w:val="24"/>
          <w:lang w:val="en-GB"/>
        </w:rPr>
        <w:t xml:space="preserve">). </w:t>
      </w:r>
      <w:r w:rsidR="00AD1713" w:rsidRPr="0061355E">
        <w:rPr>
          <w:bCs/>
          <w:szCs w:val="24"/>
          <w:lang w:val="en-GB"/>
        </w:rPr>
        <w:t>Thus, cultur</w:t>
      </w:r>
      <w:r w:rsidR="00112655" w:rsidRPr="0061355E">
        <w:rPr>
          <w:bCs/>
          <w:szCs w:val="24"/>
          <w:lang w:val="en-GB"/>
        </w:rPr>
        <w:t>e</w:t>
      </w:r>
      <w:r w:rsidR="00AD1713" w:rsidRPr="0061355E">
        <w:rPr>
          <w:bCs/>
          <w:szCs w:val="24"/>
          <w:lang w:val="en-GB"/>
        </w:rPr>
        <w:t xml:space="preserve"> </w:t>
      </w:r>
      <w:r w:rsidR="00112655" w:rsidRPr="0061355E">
        <w:rPr>
          <w:bCs/>
          <w:szCs w:val="24"/>
          <w:lang w:val="en-GB"/>
        </w:rPr>
        <w:t>could</w:t>
      </w:r>
      <w:r w:rsidR="00AD1713" w:rsidRPr="0061355E">
        <w:rPr>
          <w:bCs/>
          <w:szCs w:val="24"/>
          <w:lang w:val="en-GB"/>
        </w:rPr>
        <w:t xml:space="preserve"> be a factor influencing elite youth athletes’ mental health. </w:t>
      </w:r>
      <w:r w:rsidRPr="0061355E">
        <w:rPr>
          <w:bCs/>
          <w:szCs w:val="24"/>
          <w:lang w:val="en-GB"/>
        </w:rPr>
        <w:t xml:space="preserve">Regardless of the </w:t>
      </w:r>
      <w:r w:rsidR="003C54E9" w:rsidRPr="0061355E">
        <w:rPr>
          <w:bCs/>
          <w:szCs w:val="24"/>
          <w:lang w:val="en-GB"/>
        </w:rPr>
        <w:t xml:space="preserve">observed </w:t>
      </w:r>
      <w:r w:rsidRPr="0061355E">
        <w:rPr>
          <w:bCs/>
          <w:szCs w:val="24"/>
          <w:lang w:val="en-GB"/>
        </w:rPr>
        <w:t xml:space="preserve">differences, the relatively high prevalence rates of GAD/depression </w:t>
      </w:r>
      <w:r w:rsidR="00037463" w:rsidRPr="0061355E">
        <w:rPr>
          <w:bCs/>
          <w:szCs w:val="24"/>
          <w:lang w:val="en-GB"/>
        </w:rPr>
        <w:t>symptom</w:t>
      </w:r>
      <w:r w:rsidR="00F84353" w:rsidRPr="0061355E">
        <w:rPr>
          <w:bCs/>
          <w:szCs w:val="24"/>
          <w:lang w:val="en-GB"/>
        </w:rPr>
        <w:t>s</w:t>
      </w:r>
      <w:r w:rsidR="00037463" w:rsidRPr="0061355E">
        <w:rPr>
          <w:bCs/>
          <w:szCs w:val="24"/>
          <w:lang w:val="en-GB"/>
        </w:rPr>
        <w:t xml:space="preserve"> </w:t>
      </w:r>
      <w:r w:rsidRPr="0061355E">
        <w:rPr>
          <w:bCs/>
          <w:szCs w:val="24"/>
          <w:lang w:val="en-GB"/>
        </w:rPr>
        <w:t>suggest the need of regular screening for these mental health symptoms for Chinese elite youth athletes.</w:t>
      </w:r>
      <w:r w:rsidR="005D57CD" w:rsidRPr="0061355E">
        <w:rPr>
          <w:bCs/>
          <w:szCs w:val="24"/>
          <w:lang w:val="en-GB"/>
        </w:rPr>
        <w:t xml:space="preserve"> </w:t>
      </w:r>
      <w:r w:rsidR="00DF6837" w:rsidRPr="0061355E">
        <w:rPr>
          <w:szCs w:val="24"/>
          <w:lang w:val="en-GB"/>
        </w:rPr>
        <w:t>Unfortunately, mental health screening and training services for Chinese elite youth athletes are limited (Schinke et al., 2022).</w:t>
      </w:r>
    </w:p>
    <w:p w14:paraId="7F80646E" w14:textId="1BBE2284" w:rsidR="001F05F2" w:rsidRPr="0061355E" w:rsidRDefault="001F05F2" w:rsidP="0060536E">
      <w:pPr>
        <w:spacing w:before="240" w:after="100" w:afterAutospacing="1"/>
        <w:ind w:firstLine="720"/>
        <w:contextualSpacing/>
        <w:rPr>
          <w:bCs/>
          <w:szCs w:val="24"/>
          <w:lang w:val="en-GB"/>
        </w:rPr>
      </w:pPr>
      <w:r w:rsidRPr="0061355E">
        <w:rPr>
          <w:bCs/>
          <w:szCs w:val="24"/>
          <w:lang w:val="en-GB"/>
        </w:rPr>
        <w:t xml:space="preserve">Protective factors of GAD and depression such as sport satisfaction, social support, and help-seeking intentions have been identified in elite athletes </w:t>
      </w:r>
      <w:r w:rsidRPr="0061355E">
        <w:rPr>
          <w:szCs w:val="24"/>
          <w:lang w:val="en-GB"/>
        </w:rPr>
        <w:t>(</w:t>
      </w:r>
      <w:proofErr w:type="spellStart"/>
      <w:r w:rsidRPr="0061355E">
        <w:rPr>
          <w:szCs w:val="24"/>
          <w:lang w:val="en-GB"/>
        </w:rPr>
        <w:t>Kuettel</w:t>
      </w:r>
      <w:proofErr w:type="spellEnd"/>
      <w:r w:rsidRPr="0061355E">
        <w:rPr>
          <w:szCs w:val="24"/>
          <w:lang w:val="en-GB"/>
        </w:rPr>
        <w:t xml:space="preserve"> &amp; Larsen, 2019; </w:t>
      </w:r>
      <w:proofErr w:type="spellStart"/>
      <w:r w:rsidRPr="0061355E">
        <w:rPr>
          <w:szCs w:val="24"/>
          <w:lang w:val="en-GB"/>
        </w:rPr>
        <w:t>Kuettel</w:t>
      </w:r>
      <w:proofErr w:type="spellEnd"/>
      <w:r w:rsidRPr="0061355E">
        <w:rPr>
          <w:szCs w:val="24"/>
          <w:lang w:val="en-GB"/>
        </w:rPr>
        <w:t xml:space="preserve"> et al., 2021; Perry et al., 2022; </w:t>
      </w:r>
      <w:proofErr w:type="spellStart"/>
      <w:r w:rsidRPr="0061355E">
        <w:rPr>
          <w:szCs w:val="24"/>
          <w:lang w:val="en-GB"/>
        </w:rPr>
        <w:t>Tahtinen</w:t>
      </w:r>
      <w:proofErr w:type="spellEnd"/>
      <w:r w:rsidRPr="0061355E">
        <w:rPr>
          <w:szCs w:val="24"/>
          <w:lang w:val="en-GB"/>
        </w:rPr>
        <w:t xml:space="preserve"> et al., 2021)</w:t>
      </w:r>
      <w:r w:rsidRPr="0061355E">
        <w:rPr>
          <w:bCs/>
          <w:szCs w:val="24"/>
          <w:lang w:val="en-GB"/>
        </w:rPr>
        <w:t xml:space="preserve">. Our results of regression analysis add to the existing literature, showing that alignment of expectations was the only TDE factor that negatively predicted both GAD and depression. It is worthy to note that all of the five TDE factors had a significant negative association with these two mental health symptoms (see Table </w:t>
      </w:r>
      <w:r w:rsidRPr="0061355E">
        <w:rPr>
          <w:bCs/>
          <w:szCs w:val="24"/>
          <w:lang w:val="en-GB"/>
        </w:rPr>
        <w:lastRenderedPageBreak/>
        <w:t xml:space="preserve">2). These TDEQ-5 factors include (a) Long-term development - </w:t>
      </w:r>
      <w:r w:rsidRPr="0061355E">
        <w:rPr>
          <w:szCs w:val="24"/>
          <w:lang w:val="en-GB"/>
        </w:rPr>
        <w:t>The extent to which developmental program</w:t>
      </w:r>
      <w:r w:rsidR="005E0F59" w:rsidRPr="0061355E">
        <w:rPr>
          <w:szCs w:val="24"/>
          <w:lang w:val="en-GB"/>
        </w:rPr>
        <w:t>me</w:t>
      </w:r>
      <w:r w:rsidRPr="0061355E">
        <w:rPr>
          <w:szCs w:val="24"/>
          <w:lang w:val="en-GB"/>
        </w:rPr>
        <w:t>s are specifically designed to facilitate athletes’ long-term success (e.g., fundamental training, ongoing opportunities, and de-emphasis of winning); (b) Holistic quality preparation - The extent to which intervention program</w:t>
      </w:r>
      <w:r w:rsidR="005E0F59" w:rsidRPr="0061355E">
        <w:rPr>
          <w:szCs w:val="24"/>
          <w:lang w:val="en-GB"/>
        </w:rPr>
        <w:t>me</w:t>
      </w:r>
      <w:r w:rsidRPr="0061355E">
        <w:rPr>
          <w:szCs w:val="24"/>
          <w:lang w:val="en-GB"/>
        </w:rPr>
        <w:t>s are prepared both inside and outside of sports settings (e.g., caring coach, mental preparation, and balanced life); (c) Support network - The extent to which a coherent, approachable, and wide-ranging support network is available for the athlete in all areas (e.g., professionals, parents, and coaches); (d) Communication - The extent to which the coach communicates effectively with the athlete in both formal and informal settings (e.g., development path, rationale for training, and feedback); and finally (e) Alignment of expectations - The extent to which goals for sport development are coherently set and aligned (e.g., goal setting, goal review, and individuali</w:t>
      </w:r>
      <w:r w:rsidR="008F62DF" w:rsidRPr="0061355E">
        <w:rPr>
          <w:szCs w:val="24"/>
          <w:lang w:val="en-GB"/>
        </w:rPr>
        <w:t>s</w:t>
      </w:r>
      <w:r w:rsidRPr="0061355E">
        <w:rPr>
          <w:szCs w:val="24"/>
          <w:lang w:val="en-GB"/>
        </w:rPr>
        <w:t>ed goals) (Li et al., 2015).</w:t>
      </w:r>
      <w:r w:rsidRPr="0061355E">
        <w:rPr>
          <w:bCs/>
          <w:szCs w:val="24"/>
          <w:lang w:val="en-GB"/>
        </w:rPr>
        <w:t xml:space="preserve"> </w:t>
      </w:r>
    </w:p>
    <w:p w14:paraId="7B99CC0A" w14:textId="0F546275" w:rsidR="001F05F2" w:rsidRPr="0061355E" w:rsidRDefault="001F05F2" w:rsidP="0060536E">
      <w:pPr>
        <w:spacing w:before="240" w:after="100" w:afterAutospacing="1"/>
        <w:ind w:firstLine="720"/>
        <w:contextualSpacing/>
        <w:rPr>
          <w:bCs/>
          <w:szCs w:val="24"/>
          <w:lang w:val="en-GB"/>
        </w:rPr>
      </w:pPr>
      <w:r w:rsidRPr="0061355E">
        <w:rPr>
          <w:bCs/>
          <w:szCs w:val="24"/>
          <w:lang w:val="en-GB"/>
        </w:rPr>
        <w:t xml:space="preserve">Taken together, our findings suggest alignment of expectations is a more important protective factor than the other four TDE factors. Unpacking the factor alignment of expectations may be particularly important in understanding what it is about the environment that may be most impactful in protecting GAD and depression. Alignment of expectations </w:t>
      </w:r>
      <w:r w:rsidR="00A51263" w:rsidRPr="0061355E">
        <w:rPr>
          <w:bCs/>
          <w:szCs w:val="24"/>
          <w:lang w:val="en-GB"/>
        </w:rPr>
        <w:t>concern</w:t>
      </w:r>
      <w:r w:rsidR="00377885" w:rsidRPr="0061355E">
        <w:rPr>
          <w:bCs/>
          <w:szCs w:val="24"/>
          <w:lang w:val="en-GB"/>
        </w:rPr>
        <w:t>s</w:t>
      </w:r>
      <w:r w:rsidR="00A51263" w:rsidRPr="0061355E">
        <w:rPr>
          <w:bCs/>
          <w:szCs w:val="24"/>
          <w:lang w:val="en-GB"/>
        </w:rPr>
        <w:t xml:space="preserve"> ongoing individualised goal </w:t>
      </w:r>
      <w:r w:rsidR="004C334B" w:rsidRPr="0061355E">
        <w:rPr>
          <w:bCs/>
          <w:szCs w:val="24"/>
          <w:lang w:val="en-GB"/>
        </w:rPr>
        <w:t>setting</w:t>
      </w:r>
      <w:r w:rsidR="00A51263" w:rsidRPr="0061355E">
        <w:rPr>
          <w:bCs/>
          <w:szCs w:val="24"/>
          <w:lang w:val="en-GB"/>
        </w:rPr>
        <w:t xml:space="preserve"> and adjustment</w:t>
      </w:r>
      <w:r w:rsidR="00377885" w:rsidRPr="0061355E">
        <w:rPr>
          <w:bCs/>
          <w:szCs w:val="24"/>
          <w:lang w:val="en-GB"/>
        </w:rPr>
        <w:t>, which</w:t>
      </w:r>
      <w:r w:rsidR="00A51263" w:rsidRPr="0061355E">
        <w:rPr>
          <w:bCs/>
          <w:szCs w:val="24"/>
          <w:lang w:val="en-GB"/>
        </w:rPr>
        <w:t xml:space="preserve"> involve different stakeholders</w:t>
      </w:r>
      <w:r w:rsidR="004C334B" w:rsidRPr="0061355E">
        <w:rPr>
          <w:bCs/>
          <w:szCs w:val="24"/>
          <w:lang w:val="en-GB"/>
        </w:rPr>
        <w:t xml:space="preserve"> such as parents and coaches</w:t>
      </w:r>
      <w:r w:rsidR="00A203A8" w:rsidRPr="0061355E">
        <w:rPr>
          <w:bCs/>
          <w:szCs w:val="24"/>
          <w:lang w:val="en-GB"/>
        </w:rPr>
        <w:t xml:space="preserve"> (</w:t>
      </w:r>
      <w:r w:rsidR="00A203A8" w:rsidRPr="0061355E">
        <w:rPr>
          <w:szCs w:val="24"/>
          <w:lang w:val="en-GB"/>
        </w:rPr>
        <w:t>Li et al., 2015; Martindale et al., 2010</w:t>
      </w:r>
      <w:r w:rsidR="00A203A8" w:rsidRPr="0061355E">
        <w:rPr>
          <w:bCs/>
          <w:szCs w:val="24"/>
          <w:lang w:val="en-GB"/>
        </w:rPr>
        <w:t>)</w:t>
      </w:r>
      <w:r w:rsidR="004C334B" w:rsidRPr="0061355E">
        <w:rPr>
          <w:bCs/>
          <w:szCs w:val="24"/>
          <w:lang w:val="en-GB"/>
        </w:rPr>
        <w:t>.</w:t>
      </w:r>
      <w:r w:rsidR="00A51263" w:rsidRPr="0061355E">
        <w:rPr>
          <w:bCs/>
          <w:szCs w:val="24"/>
          <w:lang w:val="en-GB"/>
        </w:rPr>
        <w:t xml:space="preserve"> </w:t>
      </w:r>
      <w:r w:rsidRPr="0061355E">
        <w:rPr>
          <w:szCs w:val="24"/>
          <w:lang w:val="en-GB"/>
        </w:rPr>
        <w:t>This highlights the importance of input from parents and communication between parents and coaches, the need for individuali</w:t>
      </w:r>
      <w:r w:rsidR="00E84188" w:rsidRPr="0061355E">
        <w:rPr>
          <w:szCs w:val="24"/>
          <w:lang w:val="en-GB"/>
        </w:rPr>
        <w:t>s</w:t>
      </w:r>
      <w:r w:rsidRPr="0061355E">
        <w:rPr>
          <w:szCs w:val="24"/>
          <w:lang w:val="en-GB"/>
        </w:rPr>
        <w:t xml:space="preserve">ed goal setting and review, and the importance of athlete involvement in the process, as protective factors for mental health concerns examined in this study. </w:t>
      </w:r>
    </w:p>
    <w:p w14:paraId="5635940B" w14:textId="27C1F04F" w:rsidR="001F05F2" w:rsidRPr="0061355E" w:rsidRDefault="001F05F2" w:rsidP="0060536E">
      <w:pPr>
        <w:spacing w:before="240" w:after="100" w:afterAutospacing="1"/>
        <w:ind w:firstLine="720"/>
        <w:contextualSpacing/>
        <w:rPr>
          <w:bCs/>
          <w:szCs w:val="24"/>
          <w:lang w:val="en-GB"/>
        </w:rPr>
      </w:pPr>
      <w:r w:rsidRPr="0061355E">
        <w:rPr>
          <w:szCs w:val="24"/>
          <w:lang w:val="en-GB"/>
        </w:rPr>
        <w:t>Interestingly, the work by Hill et al. (2016), who examined speciali</w:t>
      </w:r>
      <w:r w:rsidR="00E84188" w:rsidRPr="0061355E">
        <w:rPr>
          <w:szCs w:val="24"/>
          <w:lang w:val="en-GB"/>
        </w:rPr>
        <w:t>s</w:t>
      </w:r>
      <w:r w:rsidRPr="0061355E">
        <w:rPr>
          <w:szCs w:val="24"/>
          <w:lang w:val="en-GB"/>
        </w:rPr>
        <w:t xml:space="preserve">ed clinicians’ perceptions of mental health protective and risk factors in elite youth sport found two key </w:t>
      </w:r>
      <w:r w:rsidRPr="0061355E">
        <w:rPr>
          <w:szCs w:val="24"/>
          <w:lang w:val="en-GB"/>
        </w:rPr>
        <w:lastRenderedPageBreak/>
        <w:t>protective features of the environment. First, the role of parents and family was found to be fundamental to protecting well-being throughout the development journey. Second, the role of an open and supportive coaching environment where coaches proactively build relationships and trusted, open communication channels. These two factors that emerged from this qualitative research, have strong connection to the alignment of expectations factor as outlined above. Such individuali</w:t>
      </w:r>
      <w:r w:rsidR="00E84188" w:rsidRPr="0061355E">
        <w:rPr>
          <w:szCs w:val="24"/>
          <w:lang w:val="en-GB"/>
        </w:rPr>
        <w:t>s</w:t>
      </w:r>
      <w:r w:rsidRPr="0061355E">
        <w:rPr>
          <w:szCs w:val="24"/>
          <w:lang w:val="en-GB"/>
        </w:rPr>
        <w:t>ed communication, and coherently set, time adjusted goals characteri</w:t>
      </w:r>
      <w:r w:rsidR="00E84188" w:rsidRPr="0061355E">
        <w:rPr>
          <w:szCs w:val="24"/>
          <w:lang w:val="en-GB"/>
        </w:rPr>
        <w:t>s</w:t>
      </w:r>
      <w:r w:rsidRPr="0061355E">
        <w:rPr>
          <w:szCs w:val="24"/>
          <w:lang w:val="en-GB"/>
        </w:rPr>
        <w:t>e alignment of expectations (Li et al., 2015; Martindale et al., 2010) would be expected to increase ability, confidence and career satisfaction, as well as decrease performance stress and adverse response to failure</w:t>
      </w:r>
      <w:r w:rsidR="00A203A8" w:rsidRPr="0061355E">
        <w:rPr>
          <w:szCs w:val="24"/>
          <w:lang w:val="en-GB"/>
        </w:rPr>
        <w:t>. These positive changes</w:t>
      </w:r>
      <w:r w:rsidRPr="0061355E">
        <w:rPr>
          <w:szCs w:val="24"/>
          <w:lang w:val="en-GB"/>
        </w:rPr>
        <w:t xml:space="preserve"> could subsequently reduce the chances of mental health concerns such as GAD and depression symptoms </w:t>
      </w:r>
      <w:r w:rsidRPr="0061355E">
        <w:rPr>
          <w:bCs/>
          <w:szCs w:val="24"/>
          <w:lang w:val="en-GB"/>
        </w:rPr>
        <w:t>(Beaumont et al., 2015; Hammond et al., 2013; Rice et al., 2019).</w:t>
      </w:r>
    </w:p>
    <w:p w14:paraId="607D3FF0" w14:textId="7F5141EA" w:rsidR="001F05F2" w:rsidRPr="0061355E" w:rsidRDefault="001F05F2" w:rsidP="0060536E">
      <w:pPr>
        <w:spacing w:before="240" w:after="100" w:afterAutospacing="1"/>
        <w:ind w:firstLine="720"/>
        <w:contextualSpacing/>
        <w:rPr>
          <w:bCs/>
          <w:szCs w:val="24"/>
          <w:lang w:val="en-GB"/>
        </w:rPr>
      </w:pPr>
      <w:r w:rsidRPr="0061355E">
        <w:rPr>
          <w:bCs/>
          <w:szCs w:val="24"/>
          <w:lang w:val="en-GB"/>
        </w:rPr>
        <w:t>Although alignment of expectations was a significant predictor of GAD/depression, we did not find this factor to predict athlete burnout</w:t>
      </w:r>
      <w:r w:rsidR="00265F28" w:rsidRPr="0061355E">
        <w:rPr>
          <w:szCs w:val="24"/>
          <w:lang w:val="en-GB"/>
        </w:rPr>
        <w:t xml:space="preserve"> as measured by </w:t>
      </w:r>
      <w:r w:rsidR="00265F28" w:rsidRPr="0061355E">
        <w:rPr>
          <w:bCs/>
          <w:szCs w:val="24"/>
          <w:lang w:val="en-GB"/>
        </w:rPr>
        <w:t>the physical and emotional exhaustion subscale</w:t>
      </w:r>
      <w:r w:rsidRPr="0061355E">
        <w:rPr>
          <w:bCs/>
          <w:szCs w:val="24"/>
          <w:lang w:val="en-GB"/>
        </w:rPr>
        <w:t xml:space="preserve">, which is in line with other research that has investigated the role of TDE and </w:t>
      </w:r>
      <w:r w:rsidR="00646437" w:rsidRPr="0061355E">
        <w:rPr>
          <w:bCs/>
          <w:szCs w:val="24"/>
          <w:lang w:val="en-GB"/>
        </w:rPr>
        <w:t xml:space="preserve">athlete </w:t>
      </w:r>
      <w:r w:rsidRPr="0061355E">
        <w:rPr>
          <w:bCs/>
          <w:szCs w:val="24"/>
          <w:lang w:val="en-GB"/>
        </w:rPr>
        <w:t xml:space="preserve">burnout (Li et al., 2017; Thomas et al., 2021). Instead, we found holistic quality preparation was the only TDE factor to negatively predict athlete burnout through regression analyses, similar to Thomas et al.’s (2021) finding in </w:t>
      </w:r>
      <w:r w:rsidRPr="0061355E">
        <w:rPr>
          <w:szCs w:val="24"/>
          <w:lang w:val="en-GB"/>
        </w:rPr>
        <w:t>Caribbean youth track and field athletes</w:t>
      </w:r>
      <w:r w:rsidRPr="0061355E">
        <w:rPr>
          <w:bCs/>
          <w:szCs w:val="24"/>
          <w:lang w:val="en-GB"/>
        </w:rPr>
        <w:t xml:space="preserve">. In line with previous research, this supports the idea that different TDE factors would affect different mental health symptoms in different ways (Li et al., 2017). Indeed, the features and factors within the environment are likely to interact and impact each other in quite a complex way, as has been shown in TDE intervention (Hall et al., 2019). In our case, compared with the other four TDE factors, holistic quality preparation played a more important role in the prevention of athlete burnout. This could be because holistic quality preparation concerns </w:t>
      </w:r>
      <w:r w:rsidRPr="0061355E">
        <w:rPr>
          <w:bCs/>
          <w:szCs w:val="24"/>
          <w:lang w:val="en-GB"/>
        </w:rPr>
        <w:lastRenderedPageBreak/>
        <w:t xml:space="preserve">providing clear guidance and transition planning, balancing sport training and life, and understanding of athletes’ wellbeing (Li et al., 2015; Martindale et al., 2010). There is also indirect evidence showing that appropriate training loads and supportive coaching environments were linked to lower levels of athlete burnout (Bergeron et al., 2015; Booth et al., 2018). Thus, it is reasonable to find holistic quality preparation to predict athlete burnout. </w:t>
      </w:r>
    </w:p>
    <w:p w14:paraId="400AC124" w14:textId="48D67D06" w:rsidR="001F05F2" w:rsidRPr="0061355E" w:rsidRDefault="001F05F2" w:rsidP="0060536E">
      <w:pPr>
        <w:spacing w:before="240" w:after="100" w:afterAutospacing="1"/>
        <w:ind w:firstLine="720"/>
        <w:contextualSpacing/>
        <w:rPr>
          <w:bCs/>
          <w:szCs w:val="24"/>
          <w:lang w:val="en-GB"/>
        </w:rPr>
      </w:pPr>
      <w:r w:rsidRPr="0061355E">
        <w:rPr>
          <w:bCs/>
          <w:szCs w:val="24"/>
          <w:lang w:val="en-GB"/>
        </w:rPr>
        <w:t xml:space="preserve">While the study by Thomas et al. (2021) and ours did not find other TDE factors to predict athlete burnout, Li et al. (2017) found that long-term development focus, holistic quality preparation, and communication were negative predictors of athlete burnout through needs satisfaction in elite youth athletes. Similarly, the same three TDE factors were also found to predict mental toughness via needs satisfaction (Li et al., 2019). That is, instead of a direct effect, some of the TDE factors (e.g., long-term development focus, </w:t>
      </w:r>
      <w:r w:rsidR="00646437" w:rsidRPr="0061355E">
        <w:rPr>
          <w:bCs/>
          <w:szCs w:val="24"/>
          <w:lang w:val="en-GB"/>
        </w:rPr>
        <w:t xml:space="preserve">and </w:t>
      </w:r>
      <w:r w:rsidRPr="0061355E">
        <w:rPr>
          <w:bCs/>
          <w:szCs w:val="24"/>
          <w:lang w:val="en-GB"/>
        </w:rPr>
        <w:t xml:space="preserve">communication) may have an indirect effect on elite </w:t>
      </w:r>
      <w:r w:rsidR="00646437" w:rsidRPr="0061355E">
        <w:rPr>
          <w:bCs/>
          <w:szCs w:val="24"/>
          <w:lang w:val="en-GB"/>
        </w:rPr>
        <w:t xml:space="preserve">youth </w:t>
      </w:r>
      <w:r w:rsidRPr="0061355E">
        <w:rPr>
          <w:bCs/>
          <w:szCs w:val="24"/>
          <w:lang w:val="en-GB"/>
        </w:rPr>
        <w:t>athletes’ mental health. Other sport-environmental risk factors such as low support from teammates, deselection, and uncertainty about retirement were found to affect mental health (</w:t>
      </w:r>
      <w:proofErr w:type="spellStart"/>
      <w:r w:rsidRPr="0061355E">
        <w:rPr>
          <w:bCs/>
          <w:szCs w:val="24"/>
          <w:lang w:val="en-GB"/>
        </w:rPr>
        <w:t>Kuettel</w:t>
      </w:r>
      <w:proofErr w:type="spellEnd"/>
      <w:r w:rsidRPr="0061355E">
        <w:rPr>
          <w:bCs/>
          <w:szCs w:val="24"/>
          <w:lang w:val="en-GB"/>
        </w:rPr>
        <w:t xml:space="preserve"> &amp; Larsen, 2019). Overall, these findings highlight the importance of high-quality environments on mental health of elite athletes, and the need to consider the TDE as a complex, highly interactive domain (</w:t>
      </w:r>
      <w:proofErr w:type="spellStart"/>
      <w:r w:rsidRPr="0061355E">
        <w:rPr>
          <w:bCs/>
          <w:szCs w:val="24"/>
          <w:lang w:val="en-GB"/>
        </w:rPr>
        <w:t>Henriksen</w:t>
      </w:r>
      <w:proofErr w:type="spellEnd"/>
      <w:r w:rsidRPr="0061355E">
        <w:rPr>
          <w:bCs/>
          <w:szCs w:val="24"/>
          <w:lang w:val="en-GB"/>
        </w:rPr>
        <w:t xml:space="preserve"> et al., 2010). </w:t>
      </w:r>
    </w:p>
    <w:p w14:paraId="77A04B94" w14:textId="3DFDFA93" w:rsidR="001F05F2" w:rsidRPr="0061355E" w:rsidRDefault="001F05F2" w:rsidP="0060536E">
      <w:pPr>
        <w:spacing w:before="240" w:after="100" w:afterAutospacing="1"/>
        <w:ind w:firstLine="720"/>
        <w:contextualSpacing/>
        <w:rPr>
          <w:bCs/>
          <w:szCs w:val="24"/>
          <w:lang w:val="en-GB"/>
        </w:rPr>
      </w:pPr>
      <w:r w:rsidRPr="0061355E">
        <w:rPr>
          <w:bCs/>
          <w:szCs w:val="24"/>
          <w:lang w:val="en-GB"/>
        </w:rPr>
        <w:t xml:space="preserve">One significant </w:t>
      </w:r>
      <w:r w:rsidRPr="0061355E">
        <w:rPr>
          <w:bCs/>
          <w:szCs w:val="24"/>
          <w:lang w:val="en-GB" w:eastAsia="zh-CN"/>
        </w:rPr>
        <w:t>co</w:t>
      </w:r>
      <w:r w:rsidRPr="0061355E">
        <w:rPr>
          <w:bCs/>
          <w:szCs w:val="24"/>
          <w:lang w:val="en-GB"/>
        </w:rPr>
        <w:t>ntribution of this study was the use of cluster analysis to understand the predictability of TDE factors on mental health. Our cluster analysis revealed three distinct clusters with each shared similar characteristics based on TDEQ-5 scores: “</w:t>
      </w:r>
      <w:r w:rsidR="00646437" w:rsidRPr="0061355E">
        <w:rPr>
          <w:rFonts w:eastAsia="STIX-Regular"/>
          <w:szCs w:val="24"/>
          <w:lang w:val="en-GB" w:eastAsia="zh-CN"/>
        </w:rPr>
        <w:t>s</w:t>
      </w:r>
      <w:r w:rsidRPr="0061355E">
        <w:rPr>
          <w:rFonts w:eastAsia="STIX-Regular"/>
          <w:szCs w:val="24"/>
          <w:lang w:val="en-GB" w:eastAsia="zh-CN"/>
        </w:rPr>
        <w:t xml:space="preserve">lightly </w:t>
      </w:r>
      <w:r w:rsidR="00646437" w:rsidRPr="0061355E">
        <w:rPr>
          <w:rFonts w:eastAsia="STIX-Regular"/>
          <w:szCs w:val="24"/>
          <w:lang w:val="en-GB" w:eastAsia="zh-CN"/>
        </w:rPr>
        <w:t>b</w:t>
      </w:r>
      <w:r w:rsidRPr="0061355E">
        <w:rPr>
          <w:rFonts w:eastAsia="STIX-Regular"/>
          <w:szCs w:val="24"/>
          <w:lang w:val="en-GB" w:eastAsia="zh-CN"/>
        </w:rPr>
        <w:t xml:space="preserve">elow </w:t>
      </w:r>
      <w:r w:rsidR="00646437" w:rsidRPr="0061355E">
        <w:rPr>
          <w:rFonts w:eastAsia="STIX-Regular"/>
          <w:szCs w:val="24"/>
          <w:lang w:val="en-GB" w:eastAsia="zh-CN"/>
        </w:rPr>
        <w:t>a</w:t>
      </w:r>
      <w:r w:rsidRPr="0061355E">
        <w:rPr>
          <w:rFonts w:eastAsia="STIX-Regular"/>
          <w:szCs w:val="24"/>
          <w:lang w:val="en-GB" w:eastAsia="zh-CN"/>
        </w:rPr>
        <w:t>verage TDE</w:t>
      </w:r>
      <w:r w:rsidRPr="0061355E">
        <w:rPr>
          <w:bCs/>
          <w:szCs w:val="24"/>
          <w:lang w:val="en-GB"/>
        </w:rPr>
        <w:t>”, “</w:t>
      </w:r>
      <w:r w:rsidR="00646437" w:rsidRPr="0061355E">
        <w:rPr>
          <w:rFonts w:eastAsia="STIX-Regular"/>
          <w:szCs w:val="24"/>
          <w:lang w:val="en-GB" w:eastAsia="zh-CN"/>
        </w:rPr>
        <w:t>h</w:t>
      </w:r>
      <w:r w:rsidRPr="0061355E">
        <w:rPr>
          <w:rFonts w:eastAsia="STIX-Regular"/>
          <w:szCs w:val="24"/>
          <w:lang w:val="en-GB" w:eastAsia="zh-CN"/>
        </w:rPr>
        <w:t>igh TDE</w:t>
      </w:r>
      <w:r w:rsidRPr="0061355E">
        <w:rPr>
          <w:bCs/>
          <w:szCs w:val="24"/>
          <w:lang w:val="en-GB"/>
        </w:rPr>
        <w:t>”, and “</w:t>
      </w:r>
      <w:r w:rsidR="00646437" w:rsidRPr="0061355E">
        <w:rPr>
          <w:rFonts w:eastAsia="STIX-Regular"/>
          <w:szCs w:val="24"/>
          <w:lang w:val="en-GB" w:eastAsia="zh-CN"/>
        </w:rPr>
        <w:t>v</w:t>
      </w:r>
      <w:r w:rsidRPr="0061355E">
        <w:rPr>
          <w:rFonts w:eastAsia="STIX-Regular"/>
          <w:szCs w:val="24"/>
          <w:lang w:val="en-GB" w:eastAsia="zh-CN"/>
        </w:rPr>
        <w:t xml:space="preserve">ery </w:t>
      </w:r>
      <w:r w:rsidR="00646437" w:rsidRPr="0061355E">
        <w:rPr>
          <w:rFonts w:eastAsia="STIX-Regular"/>
          <w:szCs w:val="24"/>
          <w:lang w:val="en-GB" w:eastAsia="zh-CN"/>
        </w:rPr>
        <w:t>l</w:t>
      </w:r>
      <w:r w:rsidRPr="0061355E">
        <w:rPr>
          <w:rFonts w:eastAsia="STIX-Regular"/>
          <w:szCs w:val="24"/>
          <w:lang w:val="en-GB" w:eastAsia="zh-CN"/>
        </w:rPr>
        <w:t>ow TDE</w:t>
      </w:r>
      <w:r w:rsidRPr="0061355E">
        <w:rPr>
          <w:bCs/>
          <w:szCs w:val="24"/>
          <w:lang w:val="en-GB"/>
        </w:rPr>
        <w:t>”. Among these three clusters, athletes from the “</w:t>
      </w:r>
      <w:r w:rsidR="00646437" w:rsidRPr="0061355E">
        <w:rPr>
          <w:bCs/>
          <w:szCs w:val="24"/>
          <w:lang w:val="en-GB"/>
        </w:rPr>
        <w:t>h</w:t>
      </w:r>
      <w:r w:rsidRPr="0061355E">
        <w:rPr>
          <w:bCs/>
          <w:szCs w:val="24"/>
          <w:lang w:val="en-GB"/>
        </w:rPr>
        <w:t xml:space="preserve">igh TDE” cluster experienced the lowest levels of GAD, depression, and athlete burnout. This finding supplements our findings of regression analysis. This finding is also somewhat consistent with the study by </w:t>
      </w:r>
      <w:proofErr w:type="spellStart"/>
      <w:r w:rsidRPr="0061355E">
        <w:rPr>
          <w:szCs w:val="24"/>
          <w:lang w:val="en-GB" w:eastAsia="zh-CN"/>
        </w:rPr>
        <w:t>Ivarsson</w:t>
      </w:r>
      <w:proofErr w:type="spellEnd"/>
      <w:r w:rsidRPr="0061355E">
        <w:rPr>
          <w:szCs w:val="24"/>
          <w:lang w:val="en-GB" w:eastAsia="zh-CN"/>
        </w:rPr>
        <w:t xml:space="preserve"> et al. (2015)</w:t>
      </w:r>
      <w:r w:rsidRPr="0061355E">
        <w:rPr>
          <w:bCs/>
          <w:szCs w:val="24"/>
          <w:lang w:val="en-GB"/>
        </w:rPr>
        <w:t xml:space="preserve">. Their study revealed “high TDE”, “moderate TDE”, and </w:t>
      </w:r>
      <w:r w:rsidRPr="0061355E">
        <w:rPr>
          <w:bCs/>
          <w:szCs w:val="24"/>
          <w:lang w:val="en-GB"/>
        </w:rPr>
        <w:lastRenderedPageBreak/>
        <w:t>“poor TDE” clusters based on TDEQ scores, whereby the “poor TDE” cluster had higher levels of stress and lower levels psychological well-being than the other two. Their study finding together with ours suggest the need to consider the person-</w:t>
      </w:r>
      <w:r w:rsidR="00A51263" w:rsidRPr="0061355E">
        <w:rPr>
          <w:bCs/>
          <w:szCs w:val="24"/>
          <w:lang w:val="en-GB"/>
        </w:rPr>
        <w:t>centred</w:t>
      </w:r>
      <w:r w:rsidRPr="0061355E">
        <w:rPr>
          <w:bCs/>
          <w:szCs w:val="24"/>
          <w:lang w:val="en-GB"/>
        </w:rPr>
        <w:t xml:space="preserve"> approach and the interplay of different TDE factors on mental health of elite athletes. By examining cluster sizes of “slightly below average TDE” (</w:t>
      </w:r>
      <w:r w:rsidRPr="0061355E">
        <w:rPr>
          <w:bCs/>
          <w:i/>
          <w:szCs w:val="24"/>
          <w:lang w:val="en-GB"/>
        </w:rPr>
        <w:t>n</w:t>
      </w:r>
      <w:r w:rsidRPr="0061355E">
        <w:rPr>
          <w:bCs/>
          <w:szCs w:val="24"/>
          <w:lang w:val="en-GB"/>
        </w:rPr>
        <w:t xml:space="preserve"> = 123, 49.6%) and the “very low TDE” cluster (</w:t>
      </w:r>
      <w:r w:rsidRPr="0061355E">
        <w:rPr>
          <w:bCs/>
          <w:i/>
          <w:szCs w:val="24"/>
          <w:lang w:val="en-GB"/>
        </w:rPr>
        <w:t>n</w:t>
      </w:r>
      <w:r w:rsidRPr="0061355E">
        <w:rPr>
          <w:bCs/>
          <w:szCs w:val="24"/>
          <w:lang w:val="en-GB"/>
        </w:rPr>
        <w:t xml:space="preserve"> = 40, 16.1%), it is understandable that many elite </w:t>
      </w:r>
      <w:r w:rsidR="00C07EE6" w:rsidRPr="0061355E">
        <w:rPr>
          <w:bCs/>
          <w:szCs w:val="24"/>
          <w:lang w:val="en-GB"/>
        </w:rPr>
        <w:t xml:space="preserve">youth </w:t>
      </w:r>
      <w:r w:rsidRPr="0061355E">
        <w:rPr>
          <w:bCs/>
          <w:szCs w:val="24"/>
          <w:lang w:val="en-GB"/>
        </w:rPr>
        <w:t>athletes were not trained in high-quality TDEs. Thus, coaches, parents, and other stakeholders are required to provide these athletes with effective TDEs such as allowing athletes to make mistakes, setting individuali</w:t>
      </w:r>
      <w:r w:rsidR="00E84188" w:rsidRPr="0061355E">
        <w:rPr>
          <w:bCs/>
          <w:szCs w:val="24"/>
          <w:lang w:val="en-GB"/>
        </w:rPr>
        <w:t>s</w:t>
      </w:r>
      <w:r w:rsidRPr="0061355E">
        <w:rPr>
          <w:bCs/>
          <w:szCs w:val="24"/>
          <w:lang w:val="en-GB"/>
        </w:rPr>
        <w:t>ed development goals and reviewing them regularly, offering sport science coach support, and providing holistic and balanced training program</w:t>
      </w:r>
      <w:r w:rsidR="005E0F59" w:rsidRPr="0061355E">
        <w:rPr>
          <w:bCs/>
          <w:szCs w:val="24"/>
          <w:lang w:val="en-GB"/>
        </w:rPr>
        <w:t>me</w:t>
      </w:r>
      <w:r w:rsidRPr="0061355E">
        <w:rPr>
          <w:bCs/>
          <w:szCs w:val="24"/>
          <w:lang w:val="en-GB"/>
        </w:rPr>
        <w:t xml:space="preserve">s (Li et al., 2019; Martindale et al., 2010; Thomas et al., 2021). Meanwhile, it is also important to maintain and even further improve TDEs for those who are trained in high-quality TDEs. </w:t>
      </w:r>
      <w:r w:rsidR="00B2259D" w:rsidRPr="0061355E">
        <w:rPr>
          <w:bCs/>
          <w:szCs w:val="24"/>
          <w:lang w:val="en-GB"/>
        </w:rPr>
        <w:t xml:space="preserve">Currently there are no well-established cut-off scores for low-, moderate-, and high-quality TDEs, values presented in Table 4 could therefore be used as a </w:t>
      </w:r>
      <w:r w:rsidR="00F15477" w:rsidRPr="0061355E">
        <w:rPr>
          <w:bCs/>
          <w:szCs w:val="24"/>
          <w:lang w:val="en-GB"/>
        </w:rPr>
        <w:t>reference</w:t>
      </w:r>
      <w:r w:rsidR="00B2259D" w:rsidRPr="0061355E">
        <w:rPr>
          <w:bCs/>
          <w:szCs w:val="24"/>
          <w:lang w:val="en-GB"/>
        </w:rPr>
        <w:t xml:space="preserve">, at least </w:t>
      </w:r>
      <w:r w:rsidR="00F15477" w:rsidRPr="0061355E">
        <w:rPr>
          <w:bCs/>
          <w:szCs w:val="24"/>
          <w:lang w:val="en-GB"/>
        </w:rPr>
        <w:t xml:space="preserve">for determining whether TDEs are conducive for relieving </w:t>
      </w:r>
      <w:r w:rsidR="00F4687C" w:rsidRPr="0061355E">
        <w:rPr>
          <w:bCs/>
          <w:szCs w:val="24"/>
          <w:lang w:val="en-GB"/>
        </w:rPr>
        <w:t xml:space="preserve">symptoms of </w:t>
      </w:r>
      <w:r w:rsidR="00F15477" w:rsidRPr="0061355E">
        <w:rPr>
          <w:bCs/>
          <w:szCs w:val="24"/>
          <w:lang w:val="en-GB"/>
        </w:rPr>
        <w:t>GAD, depression, and athlete burnout.</w:t>
      </w:r>
    </w:p>
    <w:p w14:paraId="5B80743C" w14:textId="77777777" w:rsidR="001F05F2" w:rsidRPr="0061355E" w:rsidRDefault="001F05F2" w:rsidP="0060536E">
      <w:pPr>
        <w:spacing w:after="100" w:afterAutospacing="1"/>
        <w:contextualSpacing/>
        <w:rPr>
          <w:b/>
          <w:bCs/>
          <w:szCs w:val="24"/>
          <w:lang w:val="en-GB"/>
        </w:rPr>
      </w:pPr>
      <w:r w:rsidRPr="0061355E">
        <w:rPr>
          <w:b/>
          <w:bCs/>
          <w:szCs w:val="24"/>
          <w:lang w:val="en-GB"/>
        </w:rPr>
        <w:t>Limitations and Future Research Directions</w:t>
      </w:r>
    </w:p>
    <w:p w14:paraId="69F80B38" w14:textId="67C4E0A0" w:rsidR="001F05F2" w:rsidRPr="0061355E" w:rsidRDefault="001F05F2" w:rsidP="0060536E">
      <w:pPr>
        <w:spacing w:after="100" w:afterAutospacing="1"/>
        <w:ind w:firstLine="720"/>
        <w:contextualSpacing/>
        <w:rPr>
          <w:szCs w:val="24"/>
          <w:lang w:val="en-GB"/>
        </w:rPr>
      </w:pPr>
      <w:r w:rsidRPr="0061355E">
        <w:rPr>
          <w:szCs w:val="24"/>
          <w:lang w:val="en-GB"/>
        </w:rPr>
        <w:t xml:space="preserve">Although this study provides further insights into the associations between TDEs and mental health, it has a few major limitations. One limitation is that we employed a cross-sectional design to examine the protective roles of the five TDE factors on mental health symptoms. As this design is limited to draw casual conclusions, a prospective longitudinal design or a trial design can be used to further examine the predictability of TDE factors on mental health. Future research can also include other potential risk/protective factors of mental health in addition to the TDE factors to understand which factor plays a more significant role. </w:t>
      </w:r>
      <w:r w:rsidRPr="0061355E">
        <w:rPr>
          <w:szCs w:val="24"/>
          <w:lang w:val="en-GB"/>
        </w:rPr>
        <w:lastRenderedPageBreak/>
        <w:t xml:space="preserve">The second limitation is related to our study sample. Despite recruiting elite youth athletes is a challenging task, a convenience sample largely dominated by </w:t>
      </w:r>
      <w:r w:rsidR="0098195A" w:rsidRPr="0061355E">
        <w:rPr>
          <w:szCs w:val="24"/>
          <w:lang w:val="en-GB"/>
        </w:rPr>
        <w:t xml:space="preserve">male </w:t>
      </w:r>
      <w:r w:rsidRPr="0061355E">
        <w:rPr>
          <w:szCs w:val="24"/>
          <w:lang w:val="en-GB"/>
        </w:rPr>
        <w:t>players of individual sports was used in our present analysis. A more representative and diverse sample should be recruited, if possible, to replicate the present findings in future. As to the sample size, it is adequate for conducting multiple regression analyses. However, to conduct logistic regression analyses (i.e., use the diagnosis of GAD/depression as a dependent variable), a larger sample size will be needed to ensure adequate statistical power. Lastly, similar to most earlier survey studies, we used self-reported screening tools (e.g., GAD-7) rather than clinical diagnosis to determine the presence/absence of mental health symptoms. We suggest future research to follow clinical diagnosis if the results of initial screening are positive.</w:t>
      </w:r>
    </w:p>
    <w:p w14:paraId="6BD352FC" w14:textId="77777777" w:rsidR="001F05F2" w:rsidRPr="0061355E" w:rsidRDefault="001F05F2" w:rsidP="0060536E">
      <w:pPr>
        <w:spacing w:after="100" w:afterAutospacing="1"/>
        <w:contextualSpacing/>
        <w:rPr>
          <w:b/>
          <w:bCs/>
          <w:szCs w:val="24"/>
          <w:lang w:val="en-GB"/>
        </w:rPr>
      </w:pPr>
      <w:r w:rsidRPr="0061355E">
        <w:rPr>
          <w:b/>
          <w:bCs/>
          <w:szCs w:val="24"/>
          <w:lang w:val="en-GB"/>
        </w:rPr>
        <w:t>Conclusion</w:t>
      </w:r>
    </w:p>
    <w:p w14:paraId="5DF6A808" w14:textId="2F55752C" w:rsidR="002E7D96" w:rsidRPr="0061355E" w:rsidRDefault="001F05F2" w:rsidP="007206C0">
      <w:pPr>
        <w:spacing w:after="100" w:afterAutospacing="1"/>
        <w:contextualSpacing/>
        <w:rPr>
          <w:szCs w:val="24"/>
          <w:lang w:val="en-GB"/>
        </w:rPr>
      </w:pPr>
      <w:r w:rsidRPr="0061355E">
        <w:rPr>
          <w:szCs w:val="24"/>
          <w:lang w:val="en-GB"/>
        </w:rPr>
        <w:tab/>
        <w:t>In conclusion, our study shows that nearly 20% of elite youth athletes present signs of GAD</w:t>
      </w:r>
      <w:r w:rsidRPr="0061355E">
        <w:rPr>
          <w:szCs w:val="24"/>
          <w:lang w:val="en-GB" w:eastAsia="zh-CN"/>
        </w:rPr>
        <w:t>/</w:t>
      </w:r>
      <w:r w:rsidRPr="0061355E">
        <w:rPr>
          <w:szCs w:val="24"/>
          <w:lang w:val="en-GB"/>
        </w:rPr>
        <w:t>depression and the participants have a moderate level of athlete burnout</w:t>
      </w:r>
      <w:r w:rsidR="00F84353" w:rsidRPr="0061355E">
        <w:rPr>
          <w:szCs w:val="24"/>
          <w:lang w:val="en-GB"/>
        </w:rPr>
        <w:t xml:space="preserve"> (as measured by the physical and emotional subscale)</w:t>
      </w:r>
      <w:r w:rsidRPr="0061355E">
        <w:rPr>
          <w:szCs w:val="24"/>
          <w:lang w:val="en-GB"/>
        </w:rPr>
        <w:t>. More importantly, our study expands upon previous research in that the five TDE factors are protective factors of GAD, depression, and athlete burnout in elite youth athletes. To enhance mental health of elite youth athletes, prevention measures or interventions based on their TDE scores and cluster memberships can be developed and adopted. Although developing effective TDEs could be useful for the prevention and management of mental health symptoms, further investigations are needed to better under</w:t>
      </w:r>
      <w:r w:rsidR="002E7D96" w:rsidRPr="0061355E">
        <w:rPr>
          <w:szCs w:val="24"/>
          <w:lang w:val="en-GB"/>
        </w:rPr>
        <w:t xml:space="preserve">stand this important issue. </w:t>
      </w:r>
      <w:r w:rsidR="002E7D96" w:rsidRPr="0061355E">
        <w:rPr>
          <w:b/>
          <w:bCs/>
          <w:szCs w:val="24"/>
          <w:lang w:val="en-GB"/>
        </w:rPr>
        <w:br w:type="page"/>
      </w:r>
    </w:p>
    <w:p w14:paraId="5A993064" w14:textId="77777777" w:rsidR="001F05F2" w:rsidRPr="0061355E" w:rsidRDefault="001F05F2" w:rsidP="0060536E">
      <w:pPr>
        <w:contextualSpacing/>
        <w:jc w:val="center"/>
        <w:rPr>
          <w:b/>
          <w:bCs/>
          <w:szCs w:val="24"/>
          <w:lang w:val="en-GB"/>
        </w:rPr>
      </w:pPr>
      <w:r w:rsidRPr="0061355E">
        <w:rPr>
          <w:b/>
          <w:bCs/>
          <w:szCs w:val="24"/>
          <w:lang w:val="en-GB"/>
        </w:rPr>
        <w:lastRenderedPageBreak/>
        <w:t>References</w:t>
      </w:r>
    </w:p>
    <w:p w14:paraId="41E26556"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American Psychiatric Association. (2013). </w:t>
      </w:r>
      <w:r w:rsidRPr="0061355E">
        <w:rPr>
          <w:i/>
          <w:noProof w:val="0"/>
          <w:color w:val="auto"/>
          <w:szCs w:val="24"/>
          <w:lang w:val="en-GB"/>
        </w:rPr>
        <w:t>Diagnostic and statistical manual of mental disorders (DSM-5®)</w:t>
      </w:r>
      <w:r w:rsidRPr="0061355E">
        <w:rPr>
          <w:noProof w:val="0"/>
          <w:color w:val="auto"/>
          <w:szCs w:val="24"/>
          <w:lang w:val="en-GB"/>
        </w:rPr>
        <w:t xml:space="preserve">. American Psychiatric Pub. </w:t>
      </w:r>
    </w:p>
    <w:p w14:paraId="25567B7F"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Beaumont, C., Maynard, I. W., &amp; Butt, J. (2015). Effective ways to develop and maintain robust sport-confidence: Strategies advocated by sport psychology consultants. </w:t>
      </w:r>
      <w:r w:rsidRPr="0061355E">
        <w:rPr>
          <w:i/>
          <w:noProof w:val="0"/>
          <w:color w:val="auto"/>
          <w:szCs w:val="24"/>
          <w:lang w:val="en-GB"/>
        </w:rPr>
        <w:t>Journal of Applied Sport Psychology</w:t>
      </w:r>
      <w:r w:rsidRPr="0061355E">
        <w:rPr>
          <w:noProof w:val="0"/>
          <w:color w:val="auto"/>
          <w:szCs w:val="24"/>
          <w:lang w:val="en-GB"/>
        </w:rPr>
        <w:t>,</w:t>
      </w:r>
      <w:r w:rsidRPr="0061355E">
        <w:rPr>
          <w:i/>
          <w:noProof w:val="0"/>
          <w:color w:val="auto"/>
          <w:szCs w:val="24"/>
          <w:lang w:val="en-GB"/>
        </w:rPr>
        <w:t xml:space="preserve"> 27</w:t>
      </w:r>
      <w:r w:rsidRPr="0061355E">
        <w:rPr>
          <w:noProof w:val="0"/>
          <w:color w:val="auto"/>
          <w:szCs w:val="24"/>
          <w:lang w:val="en-GB"/>
        </w:rPr>
        <w:t xml:space="preserve">(3), 301-318. </w:t>
      </w:r>
      <w:r w:rsidRPr="0061355E">
        <w:rPr>
          <w:rFonts w:eastAsia="宋体"/>
          <w:noProof w:val="0"/>
          <w:color w:val="auto"/>
          <w:szCs w:val="24"/>
          <w:lang w:val="en-GB"/>
        </w:rPr>
        <w:t>https://doi.org/10.1080/10413200.2014.996302</w:t>
      </w:r>
      <w:r w:rsidRPr="0061355E">
        <w:rPr>
          <w:noProof w:val="0"/>
          <w:color w:val="auto"/>
          <w:szCs w:val="24"/>
          <w:lang w:val="en-GB"/>
        </w:rPr>
        <w:t xml:space="preserve"> </w:t>
      </w:r>
    </w:p>
    <w:p w14:paraId="01CC7628"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Bergeron, M. F., </w:t>
      </w:r>
      <w:proofErr w:type="spellStart"/>
      <w:r w:rsidRPr="0061355E">
        <w:rPr>
          <w:noProof w:val="0"/>
          <w:color w:val="auto"/>
          <w:szCs w:val="24"/>
          <w:lang w:val="en-GB"/>
        </w:rPr>
        <w:t>Mountjoy</w:t>
      </w:r>
      <w:proofErr w:type="spellEnd"/>
      <w:r w:rsidRPr="0061355E">
        <w:rPr>
          <w:noProof w:val="0"/>
          <w:color w:val="auto"/>
          <w:szCs w:val="24"/>
          <w:lang w:val="en-GB"/>
        </w:rPr>
        <w:t xml:space="preserve">, M., Armstrong, N., Chia, M., </w:t>
      </w:r>
      <w:proofErr w:type="spellStart"/>
      <w:r w:rsidRPr="0061355E">
        <w:rPr>
          <w:noProof w:val="0"/>
          <w:color w:val="auto"/>
          <w:szCs w:val="24"/>
          <w:lang w:val="en-GB"/>
        </w:rPr>
        <w:t>Côté</w:t>
      </w:r>
      <w:proofErr w:type="spellEnd"/>
      <w:r w:rsidRPr="0061355E">
        <w:rPr>
          <w:noProof w:val="0"/>
          <w:color w:val="auto"/>
          <w:szCs w:val="24"/>
          <w:lang w:val="en-GB"/>
        </w:rPr>
        <w:t xml:space="preserve">, J., Emery, C. A., . . . </w:t>
      </w:r>
      <w:proofErr w:type="spellStart"/>
      <w:r w:rsidRPr="0061355E">
        <w:rPr>
          <w:noProof w:val="0"/>
          <w:color w:val="auto"/>
          <w:szCs w:val="24"/>
          <w:lang w:val="en-GB"/>
        </w:rPr>
        <w:t>Léglise</w:t>
      </w:r>
      <w:proofErr w:type="spellEnd"/>
      <w:r w:rsidRPr="0061355E">
        <w:rPr>
          <w:noProof w:val="0"/>
          <w:color w:val="auto"/>
          <w:szCs w:val="24"/>
          <w:lang w:val="en-GB"/>
        </w:rPr>
        <w:t xml:space="preserve">, M. (2015). International Olympic Committee consensus statement on youth athletic development. </w:t>
      </w:r>
      <w:r w:rsidR="0060536E" w:rsidRPr="0061355E">
        <w:rPr>
          <w:i/>
          <w:noProof w:val="0"/>
          <w:color w:val="auto"/>
          <w:szCs w:val="24"/>
          <w:lang w:val="en-GB"/>
        </w:rPr>
        <w:t>British Journal of Sports M</w:t>
      </w:r>
      <w:r w:rsidRPr="0061355E">
        <w:rPr>
          <w:i/>
          <w:noProof w:val="0"/>
          <w:color w:val="auto"/>
          <w:szCs w:val="24"/>
          <w:lang w:val="en-GB"/>
        </w:rPr>
        <w:t>edicine</w:t>
      </w:r>
      <w:r w:rsidRPr="0061355E">
        <w:rPr>
          <w:noProof w:val="0"/>
          <w:color w:val="auto"/>
          <w:szCs w:val="24"/>
          <w:lang w:val="en-GB"/>
        </w:rPr>
        <w:t>,</w:t>
      </w:r>
      <w:r w:rsidRPr="0061355E">
        <w:rPr>
          <w:i/>
          <w:noProof w:val="0"/>
          <w:color w:val="auto"/>
          <w:szCs w:val="24"/>
          <w:lang w:val="en-GB"/>
        </w:rPr>
        <w:t xml:space="preserve"> 49</w:t>
      </w:r>
      <w:r w:rsidRPr="0061355E">
        <w:rPr>
          <w:noProof w:val="0"/>
          <w:color w:val="auto"/>
          <w:szCs w:val="24"/>
          <w:lang w:val="en-GB"/>
        </w:rPr>
        <w:t xml:space="preserve">(13), 843-851. </w:t>
      </w:r>
      <w:r w:rsidRPr="0061355E">
        <w:rPr>
          <w:rFonts w:eastAsia="宋体"/>
          <w:noProof w:val="0"/>
          <w:color w:val="auto"/>
          <w:szCs w:val="24"/>
          <w:lang w:val="en-GB"/>
        </w:rPr>
        <w:t>https://doi.org/10.1136/bjsports-2015-094962</w:t>
      </w:r>
      <w:r w:rsidRPr="0061355E">
        <w:rPr>
          <w:noProof w:val="0"/>
          <w:color w:val="auto"/>
          <w:szCs w:val="24"/>
          <w:lang w:val="en-GB"/>
        </w:rPr>
        <w:t xml:space="preserve"> </w:t>
      </w:r>
    </w:p>
    <w:p w14:paraId="1BDD86CB"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Booth, M., </w:t>
      </w:r>
      <w:proofErr w:type="spellStart"/>
      <w:r w:rsidRPr="0061355E">
        <w:rPr>
          <w:noProof w:val="0"/>
          <w:color w:val="auto"/>
          <w:szCs w:val="24"/>
          <w:lang w:val="en-GB"/>
        </w:rPr>
        <w:t>Cobley</w:t>
      </w:r>
      <w:proofErr w:type="spellEnd"/>
      <w:r w:rsidRPr="0061355E">
        <w:rPr>
          <w:noProof w:val="0"/>
          <w:color w:val="auto"/>
          <w:szCs w:val="24"/>
          <w:lang w:val="en-GB"/>
        </w:rPr>
        <w:t xml:space="preserve">, S., &amp; Orr, R. (2018). The effect of training loads on performance measures and injury characteristics in rugby league players: A systematic review. </w:t>
      </w:r>
      <w:r w:rsidRPr="0061355E">
        <w:rPr>
          <w:i/>
          <w:noProof w:val="0"/>
          <w:color w:val="auto"/>
          <w:szCs w:val="24"/>
          <w:lang w:val="en-GB"/>
        </w:rPr>
        <w:t>International Journal of Sports Physiology and Performance</w:t>
      </w:r>
      <w:r w:rsidRPr="0061355E">
        <w:rPr>
          <w:noProof w:val="0"/>
          <w:color w:val="auto"/>
          <w:szCs w:val="24"/>
          <w:lang w:val="en-GB"/>
        </w:rPr>
        <w:t>,</w:t>
      </w:r>
      <w:r w:rsidRPr="0061355E">
        <w:rPr>
          <w:i/>
          <w:noProof w:val="0"/>
          <w:color w:val="auto"/>
          <w:szCs w:val="24"/>
          <w:lang w:val="en-GB"/>
        </w:rPr>
        <w:t xml:space="preserve"> 13</w:t>
      </w:r>
      <w:r w:rsidRPr="0061355E">
        <w:rPr>
          <w:noProof w:val="0"/>
          <w:color w:val="auto"/>
          <w:szCs w:val="24"/>
          <w:lang w:val="en-GB"/>
        </w:rPr>
        <w:t xml:space="preserve">(10), 1259-1272. </w:t>
      </w:r>
      <w:r w:rsidRPr="0061355E">
        <w:rPr>
          <w:rFonts w:eastAsia="宋体"/>
          <w:noProof w:val="0"/>
          <w:color w:val="auto"/>
          <w:szCs w:val="24"/>
          <w:lang w:val="en-GB"/>
        </w:rPr>
        <w:t>https://doi.org/10.1123/ijspp.2017-0329</w:t>
      </w:r>
      <w:r w:rsidRPr="0061355E">
        <w:rPr>
          <w:noProof w:val="0"/>
          <w:color w:val="auto"/>
          <w:szCs w:val="24"/>
          <w:lang w:val="en-GB"/>
        </w:rPr>
        <w:t xml:space="preserve"> </w:t>
      </w:r>
    </w:p>
    <w:p w14:paraId="1C88DE4F"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Chen, Z. S., &amp; Zhou, A. G. (2007). Study on the measurement of athlete burnout and primary revision of ABQ. </w:t>
      </w:r>
      <w:r w:rsidRPr="0061355E">
        <w:rPr>
          <w:i/>
          <w:noProof w:val="0"/>
          <w:color w:val="auto"/>
          <w:szCs w:val="24"/>
          <w:lang w:val="en-GB"/>
        </w:rPr>
        <w:t>China Sport Science</w:t>
      </w:r>
      <w:r w:rsidRPr="0061355E">
        <w:rPr>
          <w:noProof w:val="0"/>
          <w:color w:val="auto"/>
          <w:szCs w:val="24"/>
          <w:lang w:val="en-GB"/>
        </w:rPr>
        <w:t>,</w:t>
      </w:r>
      <w:r w:rsidRPr="0061355E">
        <w:rPr>
          <w:i/>
          <w:noProof w:val="0"/>
          <w:color w:val="auto"/>
          <w:szCs w:val="24"/>
          <w:lang w:val="en-GB"/>
        </w:rPr>
        <w:t xml:space="preserve"> 27</w:t>
      </w:r>
      <w:r w:rsidRPr="0061355E">
        <w:rPr>
          <w:noProof w:val="0"/>
          <w:color w:val="auto"/>
          <w:szCs w:val="24"/>
          <w:lang w:val="en-GB"/>
        </w:rPr>
        <w:t xml:space="preserve">, 66-70. </w:t>
      </w:r>
      <w:r w:rsidRPr="0061355E">
        <w:rPr>
          <w:rFonts w:eastAsia="宋体"/>
          <w:noProof w:val="0"/>
          <w:color w:val="auto"/>
          <w:szCs w:val="24"/>
          <w:lang w:val="en-GB"/>
        </w:rPr>
        <w:t>https://doi.org/10.16469/j.css.2007.08.008</w:t>
      </w:r>
      <w:r w:rsidRPr="0061355E">
        <w:rPr>
          <w:noProof w:val="0"/>
          <w:color w:val="auto"/>
          <w:szCs w:val="24"/>
          <w:lang w:val="en-GB"/>
        </w:rPr>
        <w:t xml:space="preserve"> </w:t>
      </w:r>
    </w:p>
    <w:p w14:paraId="49C54EE5"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Cohen, J. (1992). A power primer. </w:t>
      </w:r>
      <w:r w:rsidRPr="0061355E">
        <w:rPr>
          <w:i/>
          <w:noProof w:val="0"/>
          <w:color w:val="auto"/>
          <w:szCs w:val="24"/>
          <w:lang w:val="en-GB"/>
        </w:rPr>
        <w:t>Psychological Bulletin</w:t>
      </w:r>
      <w:r w:rsidRPr="0061355E">
        <w:rPr>
          <w:noProof w:val="0"/>
          <w:color w:val="auto"/>
          <w:szCs w:val="24"/>
          <w:lang w:val="en-GB"/>
        </w:rPr>
        <w:t>,</w:t>
      </w:r>
      <w:r w:rsidRPr="0061355E">
        <w:rPr>
          <w:i/>
          <w:noProof w:val="0"/>
          <w:color w:val="auto"/>
          <w:szCs w:val="24"/>
          <w:lang w:val="en-GB"/>
        </w:rPr>
        <w:t xml:space="preserve"> 112</w:t>
      </w:r>
      <w:r w:rsidRPr="0061355E">
        <w:rPr>
          <w:noProof w:val="0"/>
          <w:color w:val="auto"/>
          <w:szCs w:val="24"/>
          <w:lang w:val="en-GB"/>
        </w:rPr>
        <w:t xml:space="preserve">(1), 155-159. </w:t>
      </w:r>
      <w:r w:rsidRPr="0061355E">
        <w:rPr>
          <w:rFonts w:eastAsia="宋体"/>
          <w:noProof w:val="0"/>
          <w:color w:val="auto"/>
          <w:szCs w:val="24"/>
          <w:lang w:val="en-GB"/>
        </w:rPr>
        <w:t>https://doi.org/10.1037/0033-2909.112.1.155</w:t>
      </w:r>
      <w:r w:rsidRPr="0061355E">
        <w:rPr>
          <w:noProof w:val="0"/>
          <w:color w:val="auto"/>
          <w:szCs w:val="24"/>
          <w:lang w:val="en-GB"/>
        </w:rPr>
        <w:t xml:space="preserve"> </w:t>
      </w:r>
    </w:p>
    <w:p w14:paraId="31708AFF"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Du </w:t>
      </w:r>
      <w:proofErr w:type="spellStart"/>
      <w:r w:rsidRPr="0061355E">
        <w:rPr>
          <w:noProof w:val="0"/>
          <w:color w:val="auto"/>
          <w:szCs w:val="24"/>
          <w:lang w:val="en-GB"/>
        </w:rPr>
        <w:t>Preez</w:t>
      </w:r>
      <w:proofErr w:type="spellEnd"/>
      <w:r w:rsidRPr="0061355E">
        <w:rPr>
          <w:noProof w:val="0"/>
          <w:color w:val="auto"/>
          <w:szCs w:val="24"/>
          <w:lang w:val="en-GB"/>
        </w:rPr>
        <w:t xml:space="preserve">, E. J., Graham, K. S., </w:t>
      </w:r>
      <w:proofErr w:type="spellStart"/>
      <w:r w:rsidRPr="0061355E">
        <w:rPr>
          <w:noProof w:val="0"/>
          <w:color w:val="auto"/>
          <w:szCs w:val="24"/>
          <w:lang w:val="en-GB"/>
        </w:rPr>
        <w:t>Gan</w:t>
      </w:r>
      <w:proofErr w:type="spellEnd"/>
      <w:r w:rsidRPr="0061355E">
        <w:rPr>
          <w:noProof w:val="0"/>
          <w:color w:val="auto"/>
          <w:szCs w:val="24"/>
          <w:lang w:val="en-GB"/>
        </w:rPr>
        <w:t xml:space="preserve">, T. Y., Moses, B., Ball, C., &amp; </w:t>
      </w:r>
      <w:proofErr w:type="spellStart"/>
      <w:r w:rsidRPr="0061355E">
        <w:rPr>
          <w:noProof w:val="0"/>
          <w:color w:val="auto"/>
          <w:szCs w:val="24"/>
          <w:lang w:val="en-GB"/>
        </w:rPr>
        <w:t>Kuah</w:t>
      </w:r>
      <w:proofErr w:type="spellEnd"/>
      <w:r w:rsidRPr="0061355E">
        <w:rPr>
          <w:noProof w:val="0"/>
          <w:color w:val="auto"/>
          <w:szCs w:val="24"/>
          <w:lang w:val="en-GB"/>
        </w:rPr>
        <w:t xml:space="preserve">, D. E. (2017). Depression, anxiety, and alcohol use in elite rugby league players over a competitive </w:t>
      </w:r>
      <w:r w:rsidRPr="0061355E">
        <w:rPr>
          <w:noProof w:val="0"/>
          <w:color w:val="auto"/>
          <w:szCs w:val="24"/>
          <w:lang w:val="en-GB"/>
        </w:rPr>
        <w:lastRenderedPageBreak/>
        <w:t xml:space="preserve">season. </w:t>
      </w:r>
      <w:r w:rsidRPr="0061355E">
        <w:rPr>
          <w:i/>
          <w:noProof w:val="0"/>
          <w:color w:val="auto"/>
          <w:szCs w:val="24"/>
          <w:lang w:val="en-GB"/>
        </w:rPr>
        <w:t>Clinical Journal of Sport Medicine</w:t>
      </w:r>
      <w:r w:rsidRPr="0061355E">
        <w:rPr>
          <w:noProof w:val="0"/>
          <w:color w:val="auto"/>
          <w:szCs w:val="24"/>
          <w:lang w:val="en-GB"/>
        </w:rPr>
        <w:t>,</w:t>
      </w:r>
      <w:r w:rsidRPr="0061355E">
        <w:rPr>
          <w:i/>
          <w:noProof w:val="0"/>
          <w:color w:val="auto"/>
          <w:szCs w:val="24"/>
          <w:lang w:val="en-GB"/>
        </w:rPr>
        <w:t xml:space="preserve"> 27</w:t>
      </w:r>
      <w:r w:rsidRPr="0061355E">
        <w:rPr>
          <w:noProof w:val="0"/>
          <w:color w:val="auto"/>
          <w:szCs w:val="24"/>
          <w:lang w:val="en-GB"/>
        </w:rPr>
        <w:t xml:space="preserve">(6), 530-535. </w:t>
      </w:r>
      <w:r w:rsidRPr="0061355E">
        <w:rPr>
          <w:rFonts w:eastAsia="宋体"/>
          <w:noProof w:val="0"/>
          <w:color w:val="auto"/>
          <w:szCs w:val="24"/>
          <w:lang w:val="en-GB"/>
        </w:rPr>
        <w:t>https://doi.org/10.1097/JSM.0000000000000411</w:t>
      </w:r>
      <w:r w:rsidRPr="0061355E">
        <w:rPr>
          <w:noProof w:val="0"/>
          <w:color w:val="auto"/>
          <w:szCs w:val="24"/>
          <w:lang w:val="en-GB"/>
        </w:rPr>
        <w:t xml:space="preserve"> </w:t>
      </w:r>
    </w:p>
    <w:p w14:paraId="45913061"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Edison, B. R., </w:t>
      </w:r>
      <w:proofErr w:type="spellStart"/>
      <w:r w:rsidRPr="0061355E">
        <w:rPr>
          <w:noProof w:val="0"/>
          <w:color w:val="auto"/>
          <w:szCs w:val="24"/>
          <w:lang w:val="en-GB"/>
        </w:rPr>
        <w:t>Christino</w:t>
      </w:r>
      <w:proofErr w:type="spellEnd"/>
      <w:r w:rsidRPr="0061355E">
        <w:rPr>
          <w:noProof w:val="0"/>
          <w:color w:val="auto"/>
          <w:szCs w:val="24"/>
          <w:lang w:val="en-GB"/>
        </w:rPr>
        <w:t xml:space="preserve">, M. A., &amp; </w:t>
      </w:r>
      <w:proofErr w:type="spellStart"/>
      <w:r w:rsidRPr="0061355E">
        <w:rPr>
          <w:noProof w:val="0"/>
          <w:color w:val="auto"/>
          <w:szCs w:val="24"/>
          <w:lang w:val="en-GB"/>
        </w:rPr>
        <w:t>Rizzone</w:t>
      </w:r>
      <w:proofErr w:type="spellEnd"/>
      <w:r w:rsidRPr="0061355E">
        <w:rPr>
          <w:noProof w:val="0"/>
          <w:color w:val="auto"/>
          <w:szCs w:val="24"/>
          <w:lang w:val="en-GB"/>
        </w:rPr>
        <w:t xml:space="preserve">, K. H. (2021). Athletic identity in youth athletes: A systematic review of the literature. </w:t>
      </w:r>
      <w:r w:rsidRPr="0061355E">
        <w:rPr>
          <w:i/>
          <w:noProof w:val="0"/>
          <w:color w:val="auto"/>
          <w:szCs w:val="24"/>
          <w:lang w:val="en-GB"/>
        </w:rPr>
        <w:t>International Journal of Environmental Research and Public Health</w:t>
      </w:r>
      <w:r w:rsidRPr="0061355E">
        <w:rPr>
          <w:noProof w:val="0"/>
          <w:color w:val="auto"/>
          <w:szCs w:val="24"/>
          <w:lang w:val="en-GB"/>
        </w:rPr>
        <w:t>,</w:t>
      </w:r>
      <w:r w:rsidRPr="0061355E">
        <w:rPr>
          <w:i/>
          <w:noProof w:val="0"/>
          <w:color w:val="auto"/>
          <w:szCs w:val="24"/>
          <w:lang w:val="en-GB"/>
        </w:rPr>
        <w:t xml:space="preserve"> 18</w:t>
      </w:r>
      <w:r w:rsidRPr="0061355E">
        <w:rPr>
          <w:noProof w:val="0"/>
          <w:color w:val="auto"/>
          <w:szCs w:val="24"/>
          <w:lang w:val="en-GB"/>
        </w:rPr>
        <w:t xml:space="preserve">(14). </w:t>
      </w:r>
      <w:r w:rsidRPr="0061355E">
        <w:rPr>
          <w:rFonts w:eastAsia="宋体"/>
          <w:noProof w:val="0"/>
          <w:color w:val="auto"/>
          <w:szCs w:val="24"/>
          <w:lang w:val="en-GB"/>
        </w:rPr>
        <w:t>https://doi.org/10.3390/ijerph18147331</w:t>
      </w:r>
      <w:r w:rsidRPr="0061355E">
        <w:rPr>
          <w:noProof w:val="0"/>
          <w:color w:val="auto"/>
          <w:szCs w:val="24"/>
          <w:lang w:val="en-GB"/>
        </w:rPr>
        <w:t xml:space="preserve"> </w:t>
      </w:r>
    </w:p>
    <w:p w14:paraId="6DF9C79C"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Eime</w:t>
      </w:r>
      <w:proofErr w:type="spellEnd"/>
      <w:r w:rsidRPr="0061355E">
        <w:rPr>
          <w:noProof w:val="0"/>
          <w:color w:val="auto"/>
          <w:szCs w:val="24"/>
          <w:lang w:val="en-GB"/>
        </w:rPr>
        <w:t xml:space="preserve">, R. M., Young, J. A., Harvey, J. T., Charity, M. J., &amp; Payne, W. R. (2013). A systematic review of the psychological and social benefits of participation in sport for children and adolescents: Informing development of a conceptual model of health through sport. </w:t>
      </w:r>
      <w:r w:rsidRPr="0061355E">
        <w:rPr>
          <w:i/>
          <w:noProof w:val="0"/>
          <w:color w:val="auto"/>
          <w:szCs w:val="24"/>
          <w:lang w:val="en-GB"/>
        </w:rPr>
        <w:t xml:space="preserve">International Journal of </w:t>
      </w:r>
      <w:proofErr w:type="spellStart"/>
      <w:r w:rsidRPr="0061355E">
        <w:rPr>
          <w:i/>
          <w:noProof w:val="0"/>
          <w:color w:val="auto"/>
          <w:szCs w:val="24"/>
          <w:lang w:val="en-GB"/>
        </w:rPr>
        <w:t>Behavioral</w:t>
      </w:r>
      <w:proofErr w:type="spellEnd"/>
      <w:r w:rsidRPr="0061355E">
        <w:rPr>
          <w:i/>
          <w:noProof w:val="0"/>
          <w:color w:val="auto"/>
          <w:szCs w:val="24"/>
          <w:lang w:val="en-GB"/>
        </w:rPr>
        <w:t xml:space="preserve"> Nutrition and Physical Activity</w:t>
      </w:r>
      <w:r w:rsidRPr="0061355E">
        <w:rPr>
          <w:noProof w:val="0"/>
          <w:color w:val="auto"/>
          <w:szCs w:val="24"/>
          <w:lang w:val="en-GB"/>
        </w:rPr>
        <w:t>,</w:t>
      </w:r>
      <w:r w:rsidRPr="0061355E">
        <w:rPr>
          <w:i/>
          <w:noProof w:val="0"/>
          <w:color w:val="auto"/>
          <w:szCs w:val="24"/>
          <w:lang w:val="en-GB"/>
        </w:rPr>
        <w:t xml:space="preserve"> 10</w:t>
      </w:r>
      <w:r w:rsidRPr="0061355E">
        <w:rPr>
          <w:noProof w:val="0"/>
          <w:color w:val="auto"/>
          <w:szCs w:val="24"/>
          <w:lang w:val="en-GB"/>
        </w:rPr>
        <w:t xml:space="preserve">(1), 1-21. </w:t>
      </w:r>
      <w:r w:rsidRPr="0061355E">
        <w:rPr>
          <w:rFonts w:eastAsia="宋体"/>
          <w:noProof w:val="0"/>
          <w:color w:val="auto"/>
          <w:szCs w:val="24"/>
          <w:lang w:val="en-GB"/>
        </w:rPr>
        <w:t>https://doi.org/10.1186/1479-5868-10-98</w:t>
      </w:r>
      <w:r w:rsidRPr="0061355E">
        <w:rPr>
          <w:noProof w:val="0"/>
          <w:color w:val="auto"/>
          <w:szCs w:val="24"/>
          <w:lang w:val="en-GB"/>
        </w:rPr>
        <w:t xml:space="preserve"> </w:t>
      </w:r>
    </w:p>
    <w:p w14:paraId="226BABBA"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Faul</w:t>
      </w:r>
      <w:proofErr w:type="spellEnd"/>
      <w:r w:rsidRPr="0061355E">
        <w:rPr>
          <w:noProof w:val="0"/>
          <w:color w:val="auto"/>
          <w:szCs w:val="24"/>
          <w:lang w:val="en-GB"/>
        </w:rPr>
        <w:t xml:space="preserve">, F., </w:t>
      </w:r>
      <w:proofErr w:type="spellStart"/>
      <w:r w:rsidRPr="0061355E">
        <w:rPr>
          <w:noProof w:val="0"/>
          <w:color w:val="auto"/>
          <w:szCs w:val="24"/>
          <w:lang w:val="en-GB"/>
        </w:rPr>
        <w:t>Erdfelder</w:t>
      </w:r>
      <w:proofErr w:type="spellEnd"/>
      <w:r w:rsidRPr="0061355E">
        <w:rPr>
          <w:noProof w:val="0"/>
          <w:color w:val="auto"/>
          <w:szCs w:val="24"/>
          <w:lang w:val="en-GB"/>
        </w:rPr>
        <w:t xml:space="preserve">, E., Buchner, A., &amp; Lang, A. G. (2009). Statistical power analyses using G*Power 3.1: Tests for correlation and regression analyses. </w:t>
      </w:r>
      <w:proofErr w:type="spellStart"/>
      <w:r w:rsidRPr="0061355E">
        <w:rPr>
          <w:i/>
          <w:noProof w:val="0"/>
          <w:color w:val="auto"/>
          <w:szCs w:val="24"/>
          <w:lang w:val="en-GB"/>
        </w:rPr>
        <w:t>Behavior</w:t>
      </w:r>
      <w:proofErr w:type="spellEnd"/>
      <w:r w:rsidRPr="0061355E">
        <w:rPr>
          <w:i/>
          <w:noProof w:val="0"/>
          <w:color w:val="auto"/>
          <w:szCs w:val="24"/>
          <w:lang w:val="en-GB"/>
        </w:rPr>
        <w:t xml:space="preserve"> Research Methods</w:t>
      </w:r>
      <w:r w:rsidRPr="0061355E">
        <w:rPr>
          <w:noProof w:val="0"/>
          <w:color w:val="auto"/>
          <w:szCs w:val="24"/>
          <w:lang w:val="en-GB"/>
        </w:rPr>
        <w:t>,</w:t>
      </w:r>
      <w:r w:rsidRPr="0061355E">
        <w:rPr>
          <w:i/>
          <w:noProof w:val="0"/>
          <w:color w:val="auto"/>
          <w:szCs w:val="24"/>
          <w:lang w:val="en-GB"/>
        </w:rPr>
        <w:t xml:space="preserve"> 41</w:t>
      </w:r>
      <w:r w:rsidRPr="0061355E">
        <w:rPr>
          <w:noProof w:val="0"/>
          <w:color w:val="auto"/>
          <w:szCs w:val="24"/>
          <w:lang w:val="en-GB"/>
        </w:rPr>
        <w:t xml:space="preserve">(4), 1149-1160. </w:t>
      </w:r>
      <w:r w:rsidRPr="0061355E">
        <w:rPr>
          <w:rFonts w:eastAsia="宋体"/>
          <w:noProof w:val="0"/>
          <w:color w:val="auto"/>
          <w:szCs w:val="24"/>
          <w:lang w:val="en-GB"/>
        </w:rPr>
        <w:t>https://doi.org/10.3758/BRM.41.4.1149</w:t>
      </w:r>
      <w:r w:rsidRPr="0061355E">
        <w:rPr>
          <w:noProof w:val="0"/>
          <w:color w:val="auto"/>
          <w:szCs w:val="24"/>
          <w:lang w:val="en-GB"/>
        </w:rPr>
        <w:t xml:space="preserve"> </w:t>
      </w:r>
    </w:p>
    <w:p w14:paraId="17A7C262" w14:textId="77777777" w:rsidR="003358CD" w:rsidRPr="0061355E" w:rsidRDefault="003358CD" w:rsidP="003358CD">
      <w:pPr>
        <w:rPr>
          <w:szCs w:val="24"/>
          <w:shd w:val="clear" w:color="auto" w:fill="FFFFFF"/>
          <w:lang w:val="en-GB"/>
        </w:rPr>
      </w:pPr>
      <w:r w:rsidRPr="0061355E">
        <w:rPr>
          <w:szCs w:val="24"/>
          <w:shd w:val="clear" w:color="auto" w:fill="FFFFFF"/>
          <w:lang w:val="en-GB"/>
        </w:rPr>
        <w:t xml:space="preserve">Gerber, M., </w:t>
      </w:r>
      <w:proofErr w:type="spellStart"/>
      <w:r w:rsidRPr="0061355E">
        <w:rPr>
          <w:szCs w:val="24"/>
          <w:shd w:val="clear" w:color="auto" w:fill="FFFFFF"/>
          <w:lang w:val="en-GB"/>
        </w:rPr>
        <w:t>Kellmann</w:t>
      </w:r>
      <w:proofErr w:type="spellEnd"/>
      <w:r w:rsidRPr="0061355E">
        <w:rPr>
          <w:szCs w:val="24"/>
          <w:shd w:val="clear" w:color="auto" w:fill="FFFFFF"/>
          <w:lang w:val="en-GB"/>
        </w:rPr>
        <w:t xml:space="preserve">, M., Brand, S., </w:t>
      </w:r>
      <w:proofErr w:type="spellStart"/>
      <w:r w:rsidRPr="0061355E">
        <w:rPr>
          <w:szCs w:val="24"/>
          <w:shd w:val="clear" w:color="auto" w:fill="FFFFFF"/>
          <w:lang w:val="en-GB"/>
        </w:rPr>
        <w:t>Gygax</w:t>
      </w:r>
      <w:proofErr w:type="spellEnd"/>
      <w:r w:rsidRPr="0061355E">
        <w:rPr>
          <w:szCs w:val="24"/>
          <w:shd w:val="clear" w:color="auto" w:fill="FFFFFF"/>
          <w:lang w:val="en-GB"/>
        </w:rPr>
        <w:t xml:space="preserve">, B., </w:t>
      </w:r>
      <w:proofErr w:type="spellStart"/>
      <w:r w:rsidRPr="0061355E">
        <w:rPr>
          <w:szCs w:val="24"/>
          <w:shd w:val="clear" w:color="auto" w:fill="FFFFFF"/>
          <w:lang w:val="en-GB"/>
        </w:rPr>
        <w:t>Ludyga</w:t>
      </w:r>
      <w:proofErr w:type="spellEnd"/>
      <w:r w:rsidRPr="0061355E">
        <w:rPr>
          <w:szCs w:val="24"/>
          <w:shd w:val="clear" w:color="auto" w:fill="FFFFFF"/>
          <w:lang w:val="en-GB"/>
        </w:rPr>
        <w:t xml:space="preserve">, S., Müller, C., </w:t>
      </w:r>
      <w:r w:rsidR="008C2B2E" w:rsidRPr="0061355E">
        <w:rPr>
          <w:szCs w:val="24"/>
          <w:shd w:val="clear" w:color="auto" w:fill="FFFFFF"/>
          <w:lang w:val="en-GB"/>
        </w:rPr>
        <w:t>…</w:t>
      </w:r>
      <w:r w:rsidRPr="0061355E">
        <w:rPr>
          <w:szCs w:val="24"/>
          <w:shd w:val="clear" w:color="auto" w:fill="FFFFFF"/>
          <w:lang w:val="en-GB"/>
        </w:rPr>
        <w:t xml:space="preserve"> </w:t>
      </w:r>
      <w:proofErr w:type="spellStart"/>
      <w:r w:rsidR="008C2B2E" w:rsidRPr="0061355E">
        <w:rPr>
          <w:szCs w:val="24"/>
          <w:shd w:val="clear" w:color="auto" w:fill="FFFFFF"/>
          <w:lang w:val="en-GB"/>
        </w:rPr>
        <w:t>Jakowski</w:t>
      </w:r>
      <w:proofErr w:type="spellEnd"/>
      <w:r w:rsidR="008C2B2E" w:rsidRPr="0061355E">
        <w:rPr>
          <w:szCs w:val="24"/>
          <w:shd w:val="clear" w:color="auto" w:fill="FFFFFF"/>
          <w:lang w:val="en-GB"/>
        </w:rPr>
        <w:t>, S. (2022)</w:t>
      </w:r>
    </w:p>
    <w:p w14:paraId="19D8EBD7" w14:textId="77777777" w:rsidR="003358CD" w:rsidRPr="0061355E" w:rsidRDefault="003358CD" w:rsidP="003358CD">
      <w:pPr>
        <w:ind w:firstLine="720"/>
        <w:rPr>
          <w:szCs w:val="24"/>
          <w:shd w:val="clear" w:color="auto" w:fill="FFFFFF"/>
          <w:lang w:val="en-GB"/>
        </w:rPr>
      </w:pPr>
      <w:r w:rsidRPr="0061355E">
        <w:rPr>
          <w:szCs w:val="24"/>
          <w:shd w:val="clear" w:color="auto" w:fill="FFFFFF"/>
          <w:lang w:val="en-GB"/>
        </w:rPr>
        <w:t xml:space="preserve">Differences in mental health outcomes between adolescent elite </w:t>
      </w:r>
      <w:r w:rsidR="008C2B2E" w:rsidRPr="0061355E">
        <w:rPr>
          <w:szCs w:val="24"/>
          <w:shd w:val="clear" w:color="auto" w:fill="FFFFFF"/>
          <w:lang w:val="en-GB"/>
        </w:rPr>
        <w:t xml:space="preserve">athletes and </w:t>
      </w:r>
      <w:proofErr w:type="gramStart"/>
      <w:r w:rsidR="008C2B2E" w:rsidRPr="0061355E">
        <w:rPr>
          <w:szCs w:val="24"/>
          <w:shd w:val="clear" w:color="auto" w:fill="FFFFFF"/>
          <w:lang w:val="en-GB"/>
        </w:rPr>
        <w:t>peers</w:t>
      </w:r>
      <w:proofErr w:type="gramEnd"/>
      <w:r w:rsidR="008C2B2E" w:rsidRPr="0061355E">
        <w:rPr>
          <w:szCs w:val="24"/>
          <w:shd w:val="clear" w:color="auto" w:fill="FFFFFF"/>
          <w:lang w:val="en-GB"/>
        </w:rPr>
        <w:t xml:space="preserve"> not</w:t>
      </w:r>
    </w:p>
    <w:p w14:paraId="31DC6076" w14:textId="77777777" w:rsidR="003358CD" w:rsidRPr="0061355E" w:rsidRDefault="003358CD" w:rsidP="003358CD">
      <w:pPr>
        <w:ind w:firstLine="720"/>
        <w:rPr>
          <w:szCs w:val="24"/>
          <w:shd w:val="clear" w:color="auto" w:fill="FFFFFF"/>
          <w:lang w:val="en-GB"/>
        </w:rPr>
      </w:pPr>
      <w:r w:rsidRPr="0061355E">
        <w:rPr>
          <w:szCs w:val="24"/>
          <w:shd w:val="clear" w:color="auto" w:fill="FFFFFF"/>
          <w:lang w:val="en-GB"/>
        </w:rPr>
        <w:t>engaged in elite sport. </w:t>
      </w:r>
      <w:r w:rsidRPr="0061355E">
        <w:rPr>
          <w:i/>
          <w:iCs/>
          <w:szCs w:val="24"/>
          <w:shd w:val="clear" w:color="auto" w:fill="FFFFFF"/>
          <w:lang w:val="en-GB"/>
        </w:rPr>
        <w:t>Current Issues in Sport Science (CISS)</w:t>
      </w:r>
      <w:r w:rsidRPr="0061355E">
        <w:rPr>
          <w:szCs w:val="24"/>
          <w:shd w:val="clear" w:color="auto" w:fill="FFFFFF"/>
          <w:lang w:val="en-GB"/>
        </w:rPr>
        <w:t>, </w:t>
      </w:r>
      <w:r w:rsidRPr="0061355E">
        <w:rPr>
          <w:i/>
          <w:iCs/>
          <w:szCs w:val="24"/>
          <w:shd w:val="clear" w:color="auto" w:fill="FFFFFF"/>
          <w:lang w:val="en-GB"/>
        </w:rPr>
        <w:t>7</w:t>
      </w:r>
      <w:r w:rsidRPr="0061355E">
        <w:rPr>
          <w:szCs w:val="24"/>
          <w:shd w:val="clear" w:color="auto" w:fill="FFFFFF"/>
          <w:lang w:val="en-GB"/>
        </w:rPr>
        <w:t xml:space="preserve">, </w:t>
      </w:r>
      <w:r w:rsidR="008C2B2E" w:rsidRPr="0061355E">
        <w:rPr>
          <w:szCs w:val="24"/>
          <w:shd w:val="clear" w:color="auto" w:fill="FFFFFF"/>
          <w:lang w:val="en-GB"/>
        </w:rPr>
        <w:t>13.</w:t>
      </w:r>
    </w:p>
    <w:p w14:paraId="6E6D6209" w14:textId="77777777" w:rsidR="003358CD" w:rsidRPr="0061355E" w:rsidRDefault="003358CD" w:rsidP="003358CD">
      <w:pPr>
        <w:ind w:firstLine="720"/>
        <w:rPr>
          <w:szCs w:val="24"/>
          <w:shd w:val="clear" w:color="auto" w:fill="FFFFFF"/>
          <w:lang w:val="en-GB"/>
        </w:rPr>
      </w:pPr>
      <w:r w:rsidRPr="0061355E">
        <w:rPr>
          <w:szCs w:val="24"/>
          <w:shd w:val="clear" w:color="auto" w:fill="FFFFFF"/>
          <w:lang w:val="en-GB"/>
        </w:rPr>
        <w:t>https://doi.org/10.36950/2022ciss013</w:t>
      </w:r>
    </w:p>
    <w:p w14:paraId="7556E4EF"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Gouttebarge</w:t>
      </w:r>
      <w:proofErr w:type="spellEnd"/>
      <w:r w:rsidRPr="0061355E">
        <w:rPr>
          <w:noProof w:val="0"/>
          <w:color w:val="auto"/>
          <w:szCs w:val="24"/>
          <w:lang w:val="en-GB"/>
        </w:rPr>
        <w:t xml:space="preserve">, V., </w:t>
      </w:r>
      <w:proofErr w:type="spellStart"/>
      <w:r w:rsidRPr="0061355E">
        <w:rPr>
          <w:noProof w:val="0"/>
          <w:color w:val="auto"/>
          <w:szCs w:val="24"/>
          <w:lang w:val="en-GB"/>
        </w:rPr>
        <w:t>Castaldelli</w:t>
      </w:r>
      <w:proofErr w:type="spellEnd"/>
      <w:r w:rsidRPr="0061355E">
        <w:rPr>
          <w:noProof w:val="0"/>
          <w:color w:val="auto"/>
          <w:szCs w:val="24"/>
          <w:lang w:val="en-GB"/>
        </w:rPr>
        <w:t xml:space="preserve">-Maia, J. M., </w:t>
      </w:r>
      <w:proofErr w:type="spellStart"/>
      <w:r w:rsidRPr="0061355E">
        <w:rPr>
          <w:noProof w:val="0"/>
          <w:color w:val="auto"/>
          <w:szCs w:val="24"/>
          <w:lang w:val="en-GB"/>
        </w:rPr>
        <w:t>Gorczynski</w:t>
      </w:r>
      <w:proofErr w:type="spellEnd"/>
      <w:r w:rsidRPr="0061355E">
        <w:rPr>
          <w:noProof w:val="0"/>
          <w:color w:val="auto"/>
          <w:szCs w:val="24"/>
          <w:lang w:val="en-GB"/>
        </w:rPr>
        <w:t xml:space="preserve">, P., </w:t>
      </w:r>
      <w:proofErr w:type="spellStart"/>
      <w:r w:rsidRPr="0061355E">
        <w:rPr>
          <w:noProof w:val="0"/>
          <w:color w:val="auto"/>
          <w:szCs w:val="24"/>
          <w:lang w:val="en-GB"/>
        </w:rPr>
        <w:t>Hainline</w:t>
      </w:r>
      <w:proofErr w:type="spellEnd"/>
      <w:r w:rsidRPr="0061355E">
        <w:rPr>
          <w:noProof w:val="0"/>
          <w:color w:val="auto"/>
          <w:szCs w:val="24"/>
          <w:lang w:val="en-GB"/>
        </w:rPr>
        <w:t xml:space="preserve">, B., Hitchcock, M. E., </w:t>
      </w:r>
      <w:proofErr w:type="spellStart"/>
      <w:r w:rsidRPr="0061355E">
        <w:rPr>
          <w:noProof w:val="0"/>
          <w:color w:val="auto"/>
          <w:szCs w:val="24"/>
          <w:lang w:val="en-GB"/>
        </w:rPr>
        <w:t>Kerkhoffs</w:t>
      </w:r>
      <w:proofErr w:type="spellEnd"/>
      <w:r w:rsidRPr="0061355E">
        <w:rPr>
          <w:noProof w:val="0"/>
          <w:color w:val="auto"/>
          <w:szCs w:val="24"/>
          <w:lang w:val="en-GB"/>
        </w:rPr>
        <w:t xml:space="preserve">, G. M., . . . Reardon, C. L. (2019). Occurrence of mental health symptoms and disorders in current and former elite athletes: A systematic review and meta-analysis. </w:t>
      </w:r>
      <w:r w:rsidR="0060536E" w:rsidRPr="0061355E">
        <w:rPr>
          <w:i/>
          <w:noProof w:val="0"/>
          <w:color w:val="auto"/>
          <w:szCs w:val="24"/>
          <w:lang w:val="en-GB"/>
        </w:rPr>
        <w:t>British Journal of Sports M</w:t>
      </w:r>
      <w:r w:rsidRPr="0061355E">
        <w:rPr>
          <w:i/>
          <w:noProof w:val="0"/>
          <w:color w:val="auto"/>
          <w:szCs w:val="24"/>
          <w:lang w:val="en-GB"/>
        </w:rPr>
        <w:t>edicine</w:t>
      </w:r>
      <w:r w:rsidRPr="0061355E">
        <w:rPr>
          <w:noProof w:val="0"/>
          <w:color w:val="auto"/>
          <w:szCs w:val="24"/>
          <w:lang w:val="en-GB"/>
        </w:rPr>
        <w:t>,</w:t>
      </w:r>
      <w:r w:rsidRPr="0061355E">
        <w:rPr>
          <w:i/>
          <w:noProof w:val="0"/>
          <w:color w:val="auto"/>
          <w:szCs w:val="24"/>
          <w:lang w:val="en-GB"/>
        </w:rPr>
        <w:t xml:space="preserve"> 53</w:t>
      </w:r>
      <w:r w:rsidRPr="0061355E">
        <w:rPr>
          <w:noProof w:val="0"/>
          <w:color w:val="auto"/>
          <w:szCs w:val="24"/>
          <w:lang w:val="en-GB"/>
        </w:rPr>
        <w:t xml:space="preserve">(11), 700-706. </w:t>
      </w:r>
      <w:r w:rsidRPr="0061355E">
        <w:rPr>
          <w:rFonts w:eastAsia="宋体"/>
          <w:noProof w:val="0"/>
          <w:color w:val="auto"/>
          <w:szCs w:val="24"/>
          <w:lang w:val="en-GB"/>
        </w:rPr>
        <w:t>https://doi.org/10.1136/bjsports-2019-100671</w:t>
      </w:r>
      <w:r w:rsidRPr="0061355E">
        <w:rPr>
          <w:noProof w:val="0"/>
          <w:color w:val="auto"/>
          <w:szCs w:val="24"/>
          <w:lang w:val="en-GB"/>
        </w:rPr>
        <w:t xml:space="preserve"> </w:t>
      </w:r>
    </w:p>
    <w:p w14:paraId="219993CC"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lastRenderedPageBreak/>
        <w:t xml:space="preserve">Gulliver, A., Griffiths, K. M., Mackinnon, A., </w:t>
      </w:r>
      <w:proofErr w:type="spellStart"/>
      <w:r w:rsidRPr="0061355E">
        <w:rPr>
          <w:noProof w:val="0"/>
          <w:color w:val="auto"/>
          <w:szCs w:val="24"/>
          <w:lang w:val="en-GB"/>
        </w:rPr>
        <w:t>Batterham</w:t>
      </w:r>
      <w:proofErr w:type="spellEnd"/>
      <w:r w:rsidRPr="0061355E">
        <w:rPr>
          <w:noProof w:val="0"/>
          <w:color w:val="auto"/>
          <w:szCs w:val="24"/>
          <w:lang w:val="en-GB"/>
        </w:rPr>
        <w:t xml:space="preserve">, P. J., &amp; </w:t>
      </w:r>
      <w:proofErr w:type="spellStart"/>
      <w:r w:rsidRPr="0061355E">
        <w:rPr>
          <w:noProof w:val="0"/>
          <w:color w:val="auto"/>
          <w:szCs w:val="24"/>
          <w:lang w:val="en-GB"/>
        </w:rPr>
        <w:t>Stanimirovic</w:t>
      </w:r>
      <w:proofErr w:type="spellEnd"/>
      <w:r w:rsidRPr="0061355E">
        <w:rPr>
          <w:noProof w:val="0"/>
          <w:color w:val="auto"/>
          <w:szCs w:val="24"/>
          <w:lang w:val="en-GB"/>
        </w:rPr>
        <w:t xml:space="preserve">, R. (2015). The mental health of Australian elite athletes. </w:t>
      </w:r>
      <w:r w:rsidRPr="0061355E">
        <w:rPr>
          <w:i/>
          <w:noProof w:val="0"/>
          <w:color w:val="auto"/>
          <w:szCs w:val="24"/>
          <w:lang w:val="en-GB"/>
        </w:rPr>
        <w:t xml:space="preserve">Journal </w:t>
      </w:r>
      <w:r w:rsidR="0060536E" w:rsidRPr="0061355E">
        <w:rPr>
          <w:i/>
          <w:noProof w:val="0"/>
          <w:color w:val="auto"/>
          <w:szCs w:val="24"/>
          <w:lang w:val="en-GB"/>
        </w:rPr>
        <w:t>of Science and Medicine in S</w:t>
      </w:r>
      <w:r w:rsidRPr="0061355E">
        <w:rPr>
          <w:i/>
          <w:noProof w:val="0"/>
          <w:color w:val="auto"/>
          <w:szCs w:val="24"/>
          <w:lang w:val="en-GB"/>
        </w:rPr>
        <w:t>port</w:t>
      </w:r>
      <w:r w:rsidRPr="0061355E">
        <w:rPr>
          <w:noProof w:val="0"/>
          <w:color w:val="auto"/>
          <w:szCs w:val="24"/>
          <w:lang w:val="en-GB"/>
        </w:rPr>
        <w:t>,</w:t>
      </w:r>
      <w:r w:rsidRPr="0061355E">
        <w:rPr>
          <w:i/>
          <w:noProof w:val="0"/>
          <w:color w:val="auto"/>
          <w:szCs w:val="24"/>
          <w:lang w:val="en-GB"/>
        </w:rPr>
        <w:t xml:space="preserve"> 18</w:t>
      </w:r>
      <w:r w:rsidRPr="0061355E">
        <w:rPr>
          <w:noProof w:val="0"/>
          <w:color w:val="auto"/>
          <w:szCs w:val="24"/>
          <w:lang w:val="en-GB"/>
        </w:rPr>
        <w:t xml:space="preserve">(3), 255-261. </w:t>
      </w:r>
      <w:r w:rsidRPr="0061355E">
        <w:rPr>
          <w:rFonts w:eastAsia="宋体"/>
          <w:noProof w:val="0"/>
          <w:color w:val="auto"/>
          <w:szCs w:val="24"/>
          <w:lang w:val="en-GB"/>
        </w:rPr>
        <w:t>https://doi.org/10.1016/j.jsams.2014.04.006</w:t>
      </w:r>
      <w:r w:rsidRPr="0061355E">
        <w:rPr>
          <w:noProof w:val="0"/>
          <w:color w:val="auto"/>
          <w:szCs w:val="24"/>
          <w:lang w:val="en-GB"/>
        </w:rPr>
        <w:t xml:space="preserve"> </w:t>
      </w:r>
    </w:p>
    <w:p w14:paraId="1BC7AD0A"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Gustafsson</w:t>
      </w:r>
      <w:proofErr w:type="spellEnd"/>
      <w:r w:rsidRPr="0061355E">
        <w:rPr>
          <w:noProof w:val="0"/>
          <w:color w:val="auto"/>
          <w:szCs w:val="24"/>
          <w:lang w:val="en-GB"/>
        </w:rPr>
        <w:t xml:space="preserve">, H., Carlin, M., </w:t>
      </w:r>
      <w:proofErr w:type="spellStart"/>
      <w:r w:rsidRPr="0061355E">
        <w:rPr>
          <w:noProof w:val="0"/>
          <w:color w:val="auto"/>
          <w:szCs w:val="24"/>
          <w:lang w:val="en-GB"/>
        </w:rPr>
        <w:t>Podlog</w:t>
      </w:r>
      <w:proofErr w:type="spellEnd"/>
      <w:r w:rsidRPr="0061355E">
        <w:rPr>
          <w:noProof w:val="0"/>
          <w:color w:val="auto"/>
          <w:szCs w:val="24"/>
          <w:lang w:val="en-GB"/>
        </w:rPr>
        <w:t xml:space="preserve">, L., </w:t>
      </w:r>
      <w:proofErr w:type="spellStart"/>
      <w:r w:rsidRPr="0061355E">
        <w:rPr>
          <w:noProof w:val="0"/>
          <w:color w:val="auto"/>
          <w:szCs w:val="24"/>
          <w:lang w:val="en-GB"/>
        </w:rPr>
        <w:t>Stenling</w:t>
      </w:r>
      <w:proofErr w:type="spellEnd"/>
      <w:r w:rsidRPr="0061355E">
        <w:rPr>
          <w:noProof w:val="0"/>
          <w:color w:val="auto"/>
          <w:szCs w:val="24"/>
          <w:lang w:val="en-GB"/>
        </w:rPr>
        <w:t xml:space="preserve">, A., &amp; </w:t>
      </w:r>
      <w:proofErr w:type="spellStart"/>
      <w:r w:rsidRPr="0061355E">
        <w:rPr>
          <w:noProof w:val="0"/>
          <w:color w:val="auto"/>
          <w:szCs w:val="24"/>
          <w:lang w:val="en-GB"/>
        </w:rPr>
        <w:t>Lindwall</w:t>
      </w:r>
      <w:proofErr w:type="spellEnd"/>
      <w:r w:rsidRPr="0061355E">
        <w:rPr>
          <w:noProof w:val="0"/>
          <w:color w:val="auto"/>
          <w:szCs w:val="24"/>
          <w:lang w:val="en-GB"/>
        </w:rPr>
        <w:t>, M. (2018). Motivational profiles and burnout in elite athletes: A person-</w:t>
      </w:r>
      <w:proofErr w:type="spellStart"/>
      <w:r w:rsidRPr="0061355E">
        <w:rPr>
          <w:noProof w:val="0"/>
          <w:color w:val="auto"/>
          <w:szCs w:val="24"/>
          <w:lang w:val="en-GB"/>
        </w:rPr>
        <w:t>centered</w:t>
      </w:r>
      <w:proofErr w:type="spellEnd"/>
      <w:r w:rsidRPr="0061355E">
        <w:rPr>
          <w:noProof w:val="0"/>
          <w:color w:val="auto"/>
          <w:szCs w:val="24"/>
          <w:lang w:val="en-GB"/>
        </w:rPr>
        <w:t xml:space="preserve"> approach. </w:t>
      </w:r>
      <w:r w:rsidRPr="0061355E">
        <w:rPr>
          <w:i/>
          <w:noProof w:val="0"/>
          <w:color w:val="auto"/>
          <w:szCs w:val="24"/>
          <w:lang w:val="en-GB"/>
        </w:rPr>
        <w:t>Psychology of Sport and Exercise</w:t>
      </w:r>
      <w:r w:rsidRPr="0061355E">
        <w:rPr>
          <w:noProof w:val="0"/>
          <w:color w:val="auto"/>
          <w:szCs w:val="24"/>
          <w:lang w:val="en-GB"/>
        </w:rPr>
        <w:t>,</w:t>
      </w:r>
      <w:r w:rsidRPr="0061355E">
        <w:rPr>
          <w:i/>
          <w:noProof w:val="0"/>
          <w:color w:val="auto"/>
          <w:szCs w:val="24"/>
          <w:lang w:val="en-GB"/>
        </w:rPr>
        <w:t xml:space="preserve"> 35</w:t>
      </w:r>
      <w:r w:rsidRPr="0061355E">
        <w:rPr>
          <w:noProof w:val="0"/>
          <w:color w:val="auto"/>
          <w:szCs w:val="24"/>
          <w:lang w:val="en-GB"/>
        </w:rPr>
        <w:t xml:space="preserve">, 118-125. </w:t>
      </w:r>
      <w:r w:rsidRPr="0061355E">
        <w:rPr>
          <w:rFonts w:eastAsia="宋体"/>
          <w:noProof w:val="0"/>
          <w:color w:val="auto"/>
          <w:szCs w:val="24"/>
          <w:lang w:val="en-GB"/>
        </w:rPr>
        <w:t>https://doi.org/10.1016/j.psychsport.2017.11.009</w:t>
      </w:r>
      <w:r w:rsidRPr="0061355E">
        <w:rPr>
          <w:noProof w:val="0"/>
          <w:color w:val="auto"/>
          <w:szCs w:val="24"/>
          <w:lang w:val="en-GB"/>
        </w:rPr>
        <w:t xml:space="preserve"> </w:t>
      </w:r>
    </w:p>
    <w:p w14:paraId="56460763"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Gustafsson</w:t>
      </w:r>
      <w:proofErr w:type="spellEnd"/>
      <w:r w:rsidRPr="0061355E">
        <w:rPr>
          <w:noProof w:val="0"/>
          <w:color w:val="auto"/>
          <w:szCs w:val="24"/>
          <w:lang w:val="en-GB"/>
        </w:rPr>
        <w:t xml:space="preserve">, H., </w:t>
      </w:r>
      <w:proofErr w:type="spellStart"/>
      <w:r w:rsidRPr="0061355E">
        <w:rPr>
          <w:noProof w:val="0"/>
          <w:color w:val="auto"/>
          <w:szCs w:val="24"/>
          <w:lang w:val="en-GB"/>
        </w:rPr>
        <w:t>DeFreese</w:t>
      </w:r>
      <w:proofErr w:type="spellEnd"/>
      <w:r w:rsidRPr="0061355E">
        <w:rPr>
          <w:noProof w:val="0"/>
          <w:color w:val="auto"/>
          <w:szCs w:val="24"/>
          <w:lang w:val="en-GB"/>
        </w:rPr>
        <w:t xml:space="preserve">, J. D., &amp; Madigan, D. J. (2017). Athlete burnout: Review and recommendations. </w:t>
      </w:r>
      <w:r w:rsidRPr="0061355E">
        <w:rPr>
          <w:i/>
          <w:noProof w:val="0"/>
          <w:color w:val="auto"/>
          <w:szCs w:val="24"/>
          <w:lang w:val="en-GB"/>
        </w:rPr>
        <w:t>Current Opinion in Psychology</w:t>
      </w:r>
      <w:r w:rsidRPr="0061355E">
        <w:rPr>
          <w:noProof w:val="0"/>
          <w:color w:val="auto"/>
          <w:szCs w:val="24"/>
          <w:lang w:val="en-GB"/>
        </w:rPr>
        <w:t>,</w:t>
      </w:r>
      <w:r w:rsidRPr="0061355E">
        <w:rPr>
          <w:i/>
          <w:noProof w:val="0"/>
          <w:color w:val="auto"/>
          <w:szCs w:val="24"/>
          <w:lang w:val="en-GB"/>
        </w:rPr>
        <w:t xml:space="preserve"> 16</w:t>
      </w:r>
      <w:r w:rsidRPr="0061355E">
        <w:rPr>
          <w:noProof w:val="0"/>
          <w:color w:val="auto"/>
          <w:szCs w:val="24"/>
          <w:lang w:val="en-GB"/>
        </w:rPr>
        <w:t xml:space="preserve">, 109-113. </w:t>
      </w:r>
      <w:r w:rsidRPr="0061355E">
        <w:rPr>
          <w:rFonts w:eastAsia="宋体"/>
          <w:noProof w:val="0"/>
          <w:color w:val="auto"/>
          <w:szCs w:val="24"/>
          <w:lang w:val="en-GB"/>
        </w:rPr>
        <w:t>https://doi.org/10.1016/j.copsyc.2017.05.002</w:t>
      </w:r>
      <w:r w:rsidRPr="0061355E">
        <w:rPr>
          <w:noProof w:val="0"/>
          <w:color w:val="auto"/>
          <w:szCs w:val="24"/>
          <w:lang w:val="en-GB"/>
        </w:rPr>
        <w:t xml:space="preserve"> </w:t>
      </w:r>
    </w:p>
    <w:p w14:paraId="579647FD"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Gustafsson</w:t>
      </w:r>
      <w:proofErr w:type="spellEnd"/>
      <w:r w:rsidRPr="0061355E">
        <w:rPr>
          <w:noProof w:val="0"/>
          <w:color w:val="auto"/>
          <w:szCs w:val="24"/>
          <w:lang w:val="en-GB"/>
        </w:rPr>
        <w:t xml:space="preserve">, H., </w:t>
      </w:r>
      <w:proofErr w:type="spellStart"/>
      <w:r w:rsidRPr="0061355E">
        <w:rPr>
          <w:noProof w:val="0"/>
          <w:color w:val="auto"/>
          <w:szCs w:val="24"/>
          <w:lang w:val="en-GB"/>
        </w:rPr>
        <w:t>Kenttä</w:t>
      </w:r>
      <w:proofErr w:type="spellEnd"/>
      <w:r w:rsidRPr="0061355E">
        <w:rPr>
          <w:noProof w:val="0"/>
          <w:color w:val="auto"/>
          <w:szCs w:val="24"/>
          <w:lang w:val="en-GB"/>
        </w:rPr>
        <w:t xml:space="preserve">, G., </w:t>
      </w:r>
      <w:proofErr w:type="spellStart"/>
      <w:r w:rsidRPr="0061355E">
        <w:rPr>
          <w:noProof w:val="0"/>
          <w:color w:val="auto"/>
          <w:szCs w:val="24"/>
          <w:lang w:val="en-GB"/>
        </w:rPr>
        <w:t>Hassmén</w:t>
      </w:r>
      <w:proofErr w:type="spellEnd"/>
      <w:r w:rsidRPr="0061355E">
        <w:rPr>
          <w:noProof w:val="0"/>
          <w:color w:val="auto"/>
          <w:szCs w:val="24"/>
          <w:lang w:val="en-GB"/>
        </w:rPr>
        <w:t xml:space="preserve">, P., &amp; </w:t>
      </w:r>
      <w:proofErr w:type="spellStart"/>
      <w:r w:rsidRPr="0061355E">
        <w:rPr>
          <w:noProof w:val="0"/>
          <w:color w:val="auto"/>
          <w:szCs w:val="24"/>
          <w:lang w:val="en-GB"/>
        </w:rPr>
        <w:t>Lundqvist</w:t>
      </w:r>
      <w:proofErr w:type="spellEnd"/>
      <w:r w:rsidRPr="0061355E">
        <w:rPr>
          <w:noProof w:val="0"/>
          <w:color w:val="auto"/>
          <w:szCs w:val="24"/>
          <w:lang w:val="en-GB"/>
        </w:rPr>
        <w:t xml:space="preserve">, C. (2007). Prevalence of burnout in competitive adolescent athletes. </w:t>
      </w:r>
      <w:r w:rsidRPr="0061355E">
        <w:rPr>
          <w:i/>
          <w:noProof w:val="0"/>
          <w:color w:val="auto"/>
          <w:szCs w:val="24"/>
          <w:lang w:val="en-GB"/>
        </w:rPr>
        <w:t>Sport Psychologist</w:t>
      </w:r>
      <w:r w:rsidRPr="0061355E">
        <w:rPr>
          <w:noProof w:val="0"/>
          <w:color w:val="auto"/>
          <w:szCs w:val="24"/>
          <w:lang w:val="en-GB"/>
        </w:rPr>
        <w:t>,</w:t>
      </w:r>
      <w:r w:rsidRPr="0061355E">
        <w:rPr>
          <w:i/>
          <w:noProof w:val="0"/>
          <w:color w:val="auto"/>
          <w:szCs w:val="24"/>
          <w:lang w:val="en-GB"/>
        </w:rPr>
        <w:t xml:space="preserve"> 21</w:t>
      </w:r>
      <w:r w:rsidRPr="0061355E">
        <w:rPr>
          <w:noProof w:val="0"/>
          <w:color w:val="auto"/>
          <w:szCs w:val="24"/>
          <w:lang w:val="en-GB"/>
        </w:rPr>
        <w:t xml:space="preserve">(1), 21-37. </w:t>
      </w:r>
      <w:r w:rsidRPr="0061355E">
        <w:rPr>
          <w:rFonts w:eastAsia="宋体"/>
          <w:noProof w:val="0"/>
          <w:color w:val="auto"/>
          <w:szCs w:val="24"/>
          <w:lang w:val="en-GB"/>
        </w:rPr>
        <w:t>https://doi.org/10.1123/tsp.21.1.21</w:t>
      </w:r>
      <w:r w:rsidRPr="0061355E">
        <w:rPr>
          <w:noProof w:val="0"/>
          <w:color w:val="auto"/>
          <w:szCs w:val="24"/>
          <w:lang w:val="en-GB"/>
        </w:rPr>
        <w:t xml:space="preserve"> </w:t>
      </w:r>
    </w:p>
    <w:p w14:paraId="3B54ABBF"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Hair, J. F., Black, W. C., </w:t>
      </w:r>
      <w:proofErr w:type="spellStart"/>
      <w:r w:rsidRPr="0061355E">
        <w:rPr>
          <w:noProof w:val="0"/>
          <w:color w:val="auto"/>
          <w:szCs w:val="24"/>
          <w:lang w:val="en-GB"/>
        </w:rPr>
        <w:t>Babin</w:t>
      </w:r>
      <w:proofErr w:type="spellEnd"/>
      <w:r w:rsidRPr="0061355E">
        <w:rPr>
          <w:noProof w:val="0"/>
          <w:color w:val="auto"/>
          <w:szCs w:val="24"/>
          <w:lang w:val="en-GB"/>
        </w:rPr>
        <w:t xml:space="preserve">, B. J., &amp; Anderson, R. E. (2010). </w:t>
      </w:r>
      <w:r w:rsidRPr="0061355E">
        <w:rPr>
          <w:i/>
          <w:noProof w:val="0"/>
          <w:color w:val="auto"/>
          <w:szCs w:val="24"/>
          <w:lang w:val="en-GB"/>
        </w:rPr>
        <w:t>Multivariate data analysis</w:t>
      </w:r>
      <w:r w:rsidRPr="0061355E">
        <w:rPr>
          <w:noProof w:val="0"/>
          <w:color w:val="auto"/>
          <w:szCs w:val="24"/>
          <w:lang w:val="en-GB"/>
        </w:rPr>
        <w:t xml:space="preserve"> (7th ed.). Pearson. </w:t>
      </w:r>
    </w:p>
    <w:p w14:paraId="3A4D9B60" w14:textId="1C940A1F" w:rsidR="00440638" w:rsidRPr="0061355E" w:rsidRDefault="00440638"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shd w:val="clear" w:color="auto" w:fill="FFFFFF"/>
          <w:lang w:val="en-GB"/>
        </w:rPr>
        <w:t>Håkansson</w:t>
      </w:r>
      <w:proofErr w:type="spellEnd"/>
      <w:r w:rsidRPr="0061355E">
        <w:rPr>
          <w:noProof w:val="0"/>
          <w:color w:val="auto"/>
          <w:szCs w:val="24"/>
          <w:shd w:val="clear" w:color="auto" w:fill="FFFFFF"/>
          <w:lang w:val="en-GB"/>
        </w:rPr>
        <w:t xml:space="preserve">, A., </w:t>
      </w:r>
      <w:proofErr w:type="spellStart"/>
      <w:r w:rsidRPr="0061355E">
        <w:rPr>
          <w:noProof w:val="0"/>
          <w:color w:val="auto"/>
          <w:szCs w:val="24"/>
          <w:shd w:val="clear" w:color="auto" w:fill="FFFFFF"/>
          <w:lang w:val="en-GB"/>
        </w:rPr>
        <w:t>Moesch</w:t>
      </w:r>
      <w:proofErr w:type="spellEnd"/>
      <w:r w:rsidRPr="0061355E">
        <w:rPr>
          <w:noProof w:val="0"/>
          <w:color w:val="auto"/>
          <w:szCs w:val="24"/>
          <w:shd w:val="clear" w:color="auto" w:fill="FFFFFF"/>
          <w:lang w:val="en-GB"/>
        </w:rPr>
        <w:t xml:space="preserve">, K., &amp; </w:t>
      </w:r>
      <w:proofErr w:type="spellStart"/>
      <w:r w:rsidRPr="0061355E">
        <w:rPr>
          <w:noProof w:val="0"/>
          <w:color w:val="auto"/>
          <w:szCs w:val="24"/>
          <w:shd w:val="clear" w:color="auto" w:fill="FFFFFF"/>
          <w:lang w:val="en-GB"/>
        </w:rPr>
        <w:t>Kenttä</w:t>
      </w:r>
      <w:proofErr w:type="spellEnd"/>
      <w:r w:rsidRPr="0061355E">
        <w:rPr>
          <w:noProof w:val="0"/>
          <w:color w:val="auto"/>
          <w:szCs w:val="24"/>
          <w:shd w:val="clear" w:color="auto" w:fill="FFFFFF"/>
          <w:lang w:val="en-GB"/>
        </w:rPr>
        <w:t>, G. (2022). COVID-19-related impact on mental health and career uncertainty in student-athletes</w:t>
      </w:r>
      <w:r w:rsidRPr="0061355E">
        <w:rPr>
          <w:noProof w:val="0"/>
          <w:color w:val="auto"/>
          <w:szCs w:val="24"/>
          <w:lang w:val="en-GB"/>
        </w:rPr>
        <w:t>—</w:t>
      </w:r>
      <w:r w:rsidRPr="0061355E">
        <w:rPr>
          <w:noProof w:val="0"/>
          <w:color w:val="auto"/>
          <w:szCs w:val="24"/>
          <w:shd w:val="clear" w:color="auto" w:fill="FFFFFF"/>
          <w:lang w:val="en-GB"/>
        </w:rPr>
        <w:t>Data from a cohort of 7,025 athletes in an elite sport high school system in Sweden. </w:t>
      </w:r>
      <w:r w:rsidRPr="0061355E">
        <w:rPr>
          <w:i/>
          <w:iCs/>
          <w:noProof w:val="0"/>
          <w:color w:val="auto"/>
          <w:szCs w:val="24"/>
          <w:shd w:val="clear" w:color="auto" w:fill="FFFFFF"/>
          <w:lang w:val="en-GB"/>
        </w:rPr>
        <w:t>Frontiers in Sports and Active Living</w:t>
      </w:r>
      <w:r w:rsidRPr="0061355E">
        <w:rPr>
          <w:noProof w:val="0"/>
          <w:color w:val="auto"/>
          <w:szCs w:val="24"/>
          <w:shd w:val="clear" w:color="auto" w:fill="FFFFFF"/>
          <w:lang w:val="en-GB"/>
        </w:rPr>
        <w:t>, </w:t>
      </w:r>
      <w:r w:rsidRPr="0061355E">
        <w:rPr>
          <w:i/>
          <w:iCs/>
          <w:noProof w:val="0"/>
          <w:color w:val="auto"/>
          <w:szCs w:val="24"/>
          <w:shd w:val="clear" w:color="auto" w:fill="FFFFFF"/>
          <w:lang w:val="en-GB"/>
        </w:rPr>
        <w:t>4</w:t>
      </w:r>
      <w:r w:rsidRPr="0061355E">
        <w:rPr>
          <w:noProof w:val="0"/>
          <w:color w:val="auto"/>
          <w:szCs w:val="24"/>
          <w:shd w:val="clear" w:color="auto" w:fill="FFFFFF"/>
          <w:lang w:val="en-GB"/>
        </w:rPr>
        <w:t xml:space="preserve">, </w:t>
      </w:r>
      <w:r w:rsidRPr="0061355E">
        <w:rPr>
          <w:noProof w:val="0"/>
          <w:color w:val="auto"/>
          <w:szCs w:val="24"/>
          <w:lang w:val="en-GB"/>
        </w:rPr>
        <w:t xml:space="preserve">943402. </w:t>
      </w:r>
      <w:r w:rsidRPr="0061355E">
        <w:rPr>
          <w:rFonts w:eastAsia="宋体"/>
          <w:noProof w:val="0"/>
          <w:color w:val="auto"/>
          <w:szCs w:val="24"/>
          <w:lang w:val="en-GB"/>
        </w:rPr>
        <w:t>https://doi.org/</w:t>
      </w:r>
      <w:r w:rsidRPr="0061355E">
        <w:rPr>
          <w:noProof w:val="0"/>
          <w:color w:val="auto"/>
          <w:szCs w:val="24"/>
          <w:lang w:val="en-GB"/>
        </w:rPr>
        <w:t>10.3389/fspor.2022.943402</w:t>
      </w:r>
    </w:p>
    <w:p w14:paraId="4E4E754F"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Hall, A. J. A., Jones, L., &amp; Martindale, R. J. J. (2019). The Talent Development Environment Questionnaire as a tool to drive excellence in elite sport environments. </w:t>
      </w:r>
      <w:r w:rsidRPr="0061355E">
        <w:rPr>
          <w:i/>
          <w:noProof w:val="0"/>
          <w:color w:val="auto"/>
          <w:szCs w:val="24"/>
          <w:lang w:val="en-GB"/>
        </w:rPr>
        <w:t>International Sport Coaching Journal</w:t>
      </w:r>
      <w:r w:rsidRPr="0061355E">
        <w:rPr>
          <w:noProof w:val="0"/>
          <w:color w:val="auto"/>
          <w:szCs w:val="24"/>
          <w:lang w:val="en-GB"/>
        </w:rPr>
        <w:t>,</w:t>
      </w:r>
      <w:r w:rsidRPr="0061355E">
        <w:rPr>
          <w:i/>
          <w:noProof w:val="0"/>
          <w:color w:val="auto"/>
          <w:szCs w:val="24"/>
          <w:lang w:val="en-GB"/>
        </w:rPr>
        <w:t xml:space="preserve"> 6</w:t>
      </w:r>
      <w:r w:rsidRPr="0061355E">
        <w:rPr>
          <w:noProof w:val="0"/>
          <w:color w:val="auto"/>
          <w:szCs w:val="24"/>
          <w:lang w:val="en-GB"/>
        </w:rPr>
        <w:t xml:space="preserve">(2), 187-198. </w:t>
      </w:r>
      <w:r w:rsidRPr="0061355E">
        <w:rPr>
          <w:rFonts w:eastAsia="宋体"/>
          <w:noProof w:val="0"/>
          <w:color w:val="auto"/>
          <w:szCs w:val="24"/>
          <w:lang w:val="en-GB"/>
        </w:rPr>
        <w:t>https://doi.org/10.1123/iscj.2018-0041</w:t>
      </w:r>
      <w:r w:rsidRPr="0061355E">
        <w:rPr>
          <w:noProof w:val="0"/>
          <w:color w:val="auto"/>
          <w:szCs w:val="24"/>
          <w:lang w:val="en-GB"/>
        </w:rPr>
        <w:t xml:space="preserve"> </w:t>
      </w:r>
    </w:p>
    <w:p w14:paraId="32F743D2"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lastRenderedPageBreak/>
        <w:t xml:space="preserve">Hammond, T., </w:t>
      </w:r>
      <w:proofErr w:type="spellStart"/>
      <w:r w:rsidRPr="0061355E">
        <w:rPr>
          <w:noProof w:val="0"/>
          <w:color w:val="auto"/>
          <w:szCs w:val="24"/>
          <w:lang w:val="en-GB"/>
        </w:rPr>
        <w:t>Gialloreto</w:t>
      </w:r>
      <w:proofErr w:type="spellEnd"/>
      <w:r w:rsidRPr="0061355E">
        <w:rPr>
          <w:noProof w:val="0"/>
          <w:color w:val="auto"/>
          <w:szCs w:val="24"/>
          <w:lang w:val="en-GB"/>
        </w:rPr>
        <w:t xml:space="preserve">, C., </w:t>
      </w:r>
      <w:proofErr w:type="spellStart"/>
      <w:r w:rsidRPr="0061355E">
        <w:rPr>
          <w:noProof w:val="0"/>
          <w:color w:val="auto"/>
          <w:szCs w:val="24"/>
          <w:lang w:val="en-GB"/>
        </w:rPr>
        <w:t>Kubas</w:t>
      </w:r>
      <w:proofErr w:type="spellEnd"/>
      <w:r w:rsidRPr="0061355E">
        <w:rPr>
          <w:noProof w:val="0"/>
          <w:color w:val="auto"/>
          <w:szCs w:val="24"/>
          <w:lang w:val="en-GB"/>
        </w:rPr>
        <w:t xml:space="preserve">, H., &amp; Davis, H. (2013). The prevalence of failure-based depression among elite athletes. </w:t>
      </w:r>
      <w:r w:rsidRPr="0061355E">
        <w:rPr>
          <w:i/>
          <w:noProof w:val="0"/>
          <w:color w:val="auto"/>
          <w:szCs w:val="24"/>
          <w:lang w:val="en-GB"/>
        </w:rPr>
        <w:t>Clinical Journal of Sport Medicine</w:t>
      </w:r>
      <w:r w:rsidRPr="0061355E">
        <w:rPr>
          <w:noProof w:val="0"/>
          <w:color w:val="auto"/>
          <w:szCs w:val="24"/>
          <w:lang w:val="en-GB"/>
        </w:rPr>
        <w:t>,</w:t>
      </w:r>
      <w:r w:rsidRPr="0061355E">
        <w:rPr>
          <w:i/>
          <w:noProof w:val="0"/>
          <w:color w:val="auto"/>
          <w:szCs w:val="24"/>
          <w:lang w:val="en-GB"/>
        </w:rPr>
        <w:t xml:space="preserve"> 23</w:t>
      </w:r>
      <w:r w:rsidRPr="0061355E">
        <w:rPr>
          <w:noProof w:val="0"/>
          <w:color w:val="auto"/>
          <w:szCs w:val="24"/>
          <w:lang w:val="en-GB"/>
        </w:rPr>
        <w:t xml:space="preserve">(4), 273-277. </w:t>
      </w:r>
      <w:r w:rsidRPr="0061355E">
        <w:rPr>
          <w:rFonts w:eastAsia="宋体"/>
          <w:noProof w:val="0"/>
          <w:color w:val="auto"/>
          <w:szCs w:val="24"/>
          <w:lang w:val="en-GB"/>
        </w:rPr>
        <w:t>https://doi.org/10.1097/JSM.0b013e318287b870</w:t>
      </w:r>
      <w:r w:rsidRPr="0061355E">
        <w:rPr>
          <w:noProof w:val="0"/>
          <w:color w:val="auto"/>
          <w:szCs w:val="24"/>
          <w:lang w:val="en-GB"/>
        </w:rPr>
        <w:t xml:space="preserve"> </w:t>
      </w:r>
    </w:p>
    <w:p w14:paraId="52F1AD40" w14:textId="77777777" w:rsidR="006C2A7B" w:rsidRPr="0061355E" w:rsidRDefault="006C2A7B" w:rsidP="0060536E">
      <w:pPr>
        <w:pStyle w:val="EndNoteBibliography"/>
        <w:spacing w:line="480" w:lineRule="auto"/>
        <w:ind w:left="720" w:hanging="720"/>
        <w:jc w:val="left"/>
        <w:rPr>
          <w:noProof w:val="0"/>
          <w:color w:val="auto"/>
          <w:sz w:val="32"/>
          <w:szCs w:val="24"/>
          <w:lang w:val="en-GB"/>
        </w:rPr>
      </w:pPr>
      <w:proofErr w:type="spellStart"/>
      <w:r w:rsidRPr="0061355E">
        <w:rPr>
          <w:noProof w:val="0"/>
          <w:color w:val="auto"/>
          <w:shd w:val="clear" w:color="auto" w:fill="FFFFFF"/>
          <w:lang w:val="en-GB"/>
        </w:rPr>
        <w:t>Henriksen</w:t>
      </w:r>
      <w:proofErr w:type="spellEnd"/>
      <w:r w:rsidRPr="0061355E">
        <w:rPr>
          <w:noProof w:val="0"/>
          <w:color w:val="auto"/>
          <w:shd w:val="clear" w:color="auto" w:fill="FFFFFF"/>
          <w:lang w:val="en-GB"/>
        </w:rPr>
        <w:t xml:space="preserve">, K., &amp; </w:t>
      </w:r>
      <w:proofErr w:type="spellStart"/>
      <w:r w:rsidRPr="0061355E">
        <w:rPr>
          <w:noProof w:val="0"/>
          <w:color w:val="auto"/>
          <w:shd w:val="clear" w:color="auto" w:fill="FFFFFF"/>
          <w:lang w:val="en-GB"/>
        </w:rPr>
        <w:t>Stambulova</w:t>
      </w:r>
      <w:proofErr w:type="spellEnd"/>
      <w:r w:rsidRPr="0061355E">
        <w:rPr>
          <w:noProof w:val="0"/>
          <w:color w:val="auto"/>
          <w:shd w:val="clear" w:color="auto" w:fill="FFFFFF"/>
          <w:lang w:val="en-GB"/>
        </w:rPr>
        <w:t>, N. (2023). The social environment of talent development in youth sport. </w:t>
      </w:r>
      <w:r w:rsidRPr="0061355E">
        <w:rPr>
          <w:i/>
          <w:iCs/>
          <w:noProof w:val="0"/>
          <w:color w:val="auto"/>
          <w:shd w:val="clear" w:color="auto" w:fill="FFFFFF"/>
          <w:lang w:val="en-GB"/>
        </w:rPr>
        <w:t>Frontiers in Sports and Active Living</w:t>
      </w:r>
      <w:r w:rsidRPr="0061355E">
        <w:rPr>
          <w:noProof w:val="0"/>
          <w:color w:val="auto"/>
          <w:shd w:val="clear" w:color="auto" w:fill="FFFFFF"/>
          <w:lang w:val="en-GB"/>
        </w:rPr>
        <w:t>, </w:t>
      </w:r>
      <w:r w:rsidRPr="0061355E">
        <w:rPr>
          <w:i/>
          <w:iCs/>
          <w:noProof w:val="0"/>
          <w:color w:val="auto"/>
          <w:shd w:val="clear" w:color="auto" w:fill="FFFFFF"/>
          <w:lang w:val="en-GB"/>
        </w:rPr>
        <w:t>5</w:t>
      </w:r>
      <w:r w:rsidRPr="0061355E">
        <w:rPr>
          <w:iCs/>
          <w:noProof w:val="0"/>
          <w:color w:val="auto"/>
          <w:shd w:val="clear" w:color="auto" w:fill="FFFFFF"/>
          <w:lang w:val="en-GB"/>
        </w:rPr>
        <w:t>,</w:t>
      </w:r>
      <w:r w:rsidRPr="0061355E">
        <w:rPr>
          <w:i/>
          <w:iCs/>
          <w:noProof w:val="0"/>
          <w:color w:val="auto"/>
          <w:shd w:val="clear" w:color="auto" w:fill="FFFFFF"/>
          <w:lang w:val="en-GB"/>
        </w:rPr>
        <w:t xml:space="preserve"> </w:t>
      </w:r>
      <w:r w:rsidRPr="0061355E">
        <w:rPr>
          <w:iCs/>
          <w:noProof w:val="0"/>
          <w:color w:val="auto"/>
          <w:shd w:val="clear" w:color="auto" w:fill="FFFFFF"/>
          <w:lang w:val="en-GB"/>
        </w:rPr>
        <w:t>1127151</w:t>
      </w:r>
      <w:r w:rsidRPr="0061355E">
        <w:rPr>
          <w:noProof w:val="0"/>
          <w:color w:val="auto"/>
          <w:shd w:val="clear" w:color="auto" w:fill="FFFFFF"/>
          <w:lang w:val="en-GB"/>
        </w:rPr>
        <w:t>.</w:t>
      </w:r>
      <w:r w:rsidRPr="0061355E">
        <w:rPr>
          <w:noProof w:val="0"/>
          <w:color w:val="auto"/>
          <w:sz w:val="32"/>
          <w:szCs w:val="24"/>
          <w:lang w:val="en-GB"/>
        </w:rPr>
        <w:t xml:space="preserve"> </w:t>
      </w:r>
      <w:r w:rsidRPr="0061355E">
        <w:rPr>
          <w:rFonts w:eastAsia="宋体"/>
          <w:noProof w:val="0"/>
          <w:color w:val="auto"/>
          <w:szCs w:val="24"/>
          <w:lang w:val="en-GB"/>
        </w:rPr>
        <w:t>https://doi.org/</w:t>
      </w:r>
      <w:r w:rsidRPr="0061355E">
        <w:rPr>
          <w:rFonts w:ascii="Georgia" w:hAnsi="Georgia"/>
          <w:noProof w:val="0"/>
          <w:color w:val="auto"/>
          <w:sz w:val="18"/>
          <w:szCs w:val="18"/>
          <w:shd w:val="clear" w:color="auto" w:fill="F7F7F7"/>
          <w:lang w:val="en-GB"/>
        </w:rPr>
        <w:t xml:space="preserve"> </w:t>
      </w:r>
      <w:r w:rsidRPr="0061355E">
        <w:rPr>
          <w:noProof w:val="0"/>
          <w:color w:val="auto"/>
          <w:szCs w:val="18"/>
          <w:lang w:val="en-GB"/>
        </w:rPr>
        <w:t>10.3389/fspor.2023.1127151</w:t>
      </w:r>
    </w:p>
    <w:p w14:paraId="1C90418D"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Henriksen</w:t>
      </w:r>
      <w:proofErr w:type="spellEnd"/>
      <w:r w:rsidRPr="0061355E">
        <w:rPr>
          <w:noProof w:val="0"/>
          <w:color w:val="auto"/>
          <w:szCs w:val="24"/>
          <w:lang w:val="en-GB"/>
        </w:rPr>
        <w:t xml:space="preserve">, K., </w:t>
      </w:r>
      <w:proofErr w:type="spellStart"/>
      <w:r w:rsidRPr="0061355E">
        <w:rPr>
          <w:noProof w:val="0"/>
          <w:color w:val="auto"/>
          <w:szCs w:val="24"/>
          <w:lang w:val="en-GB"/>
        </w:rPr>
        <w:t>Stambulova</w:t>
      </w:r>
      <w:proofErr w:type="spellEnd"/>
      <w:r w:rsidRPr="0061355E">
        <w:rPr>
          <w:noProof w:val="0"/>
          <w:color w:val="auto"/>
          <w:szCs w:val="24"/>
          <w:lang w:val="en-GB"/>
        </w:rPr>
        <w:t xml:space="preserve">, N., &amp; </w:t>
      </w:r>
      <w:proofErr w:type="spellStart"/>
      <w:r w:rsidRPr="0061355E">
        <w:rPr>
          <w:noProof w:val="0"/>
          <w:color w:val="auto"/>
          <w:szCs w:val="24"/>
          <w:lang w:val="en-GB"/>
        </w:rPr>
        <w:t>Roessler</w:t>
      </w:r>
      <w:proofErr w:type="spellEnd"/>
      <w:r w:rsidRPr="0061355E">
        <w:rPr>
          <w:noProof w:val="0"/>
          <w:color w:val="auto"/>
          <w:szCs w:val="24"/>
          <w:lang w:val="en-GB"/>
        </w:rPr>
        <w:t xml:space="preserve">, K. K. (2010). Holistic approach to athletic talent development environments: A successful sailing milieu. </w:t>
      </w:r>
      <w:r w:rsidRPr="0061355E">
        <w:rPr>
          <w:i/>
          <w:noProof w:val="0"/>
          <w:color w:val="auto"/>
          <w:szCs w:val="24"/>
          <w:lang w:val="en-GB"/>
        </w:rPr>
        <w:t>Psychology of Sport and Exercise</w:t>
      </w:r>
      <w:r w:rsidRPr="0061355E">
        <w:rPr>
          <w:noProof w:val="0"/>
          <w:color w:val="auto"/>
          <w:szCs w:val="24"/>
          <w:lang w:val="en-GB"/>
        </w:rPr>
        <w:t>,</w:t>
      </w:r>
      <w:r w:rsidRPr="0061355E">
        <w:rPr>
          <w:i/>
          <w:noProof w:val="0"/>
          <w:color w:val="auto"/>
          <w:szCs w:val="24"/>
          <w:lang w:val="en-GB"/>
        </w:rPr>
        <w:t xml:space="preserve"> 11</w:t>
      </w:r>
      <w:r w:rsidRPr="0061355E">
        <w:rPr>
          <w:noProof w:val="0"/>
          <w:color w:val="auto"/>
          <w:szCs w:val="24"/>
          <w:lang w:val="en-GB"/>
        </w:rPr>
        <w:t xml:space="preserve">(3), 212-222. </w:t>
      </w:r>
      <w:r w:rsidRPr="0061355E">
        <w:rPr>
          <w:rFonts w:eastAsia="宋体"/>
          <w:noProof w:val="0"/>
          <w:color w:val="auto"/>
          <w:szCs w:val="24"/>
          <w:lang w:val="en-GB"/>
        </w:rPr>
        <w:t>https://doi.org/10.1016/j.psychsport.2009.10.005</w:t>
      </w:r>
      <w:r w:rsidRPr="0061355E">
        <w:rPr>
          <w:noProof w:val="0"/>
          <w:color w:val="auto"/>
          <w:szCs w:val="24"/>
          <w:lang w:val="en-GB"/>
        </w:rPr>
        <w:t xml:space="preserve"> </w:t>
      </w:r>
    </w:p>
    <w:p w14:paraId="3F3C7D9E" w14:textId="5399E613" w:rsidR="00A0068F" w:rsidRPr="0061355E" w:rsidRDefault="001F05F2" w:rsidP="008D3653">
      <w:pPr>
        <w:pStyle w:val="EndNoteBibliography"/>
        <w:spacing w:line="480" w:lineRule="auto"/>
        <w:ind w:left="720" w:hanging="720"/>
        <w:jc w:val="left"/>
        <w:rPr>
          <w:rFonts w:eastAsia="宋体"/>
          <w:noProof w:val="0"/>
          <w:color w:val="auto"/>
          <w:szCs w:val="24"/>
          <w:lang w:val="en-GB"/>
        </w:rPr>
      </w:pPr>
      <w:r w:rsidRPr="0061355E">
        <w:rPr>
          <w:noProof w:val="0"/>
          <w:color w:val="auto"/>
          <w:szCs w:val="24"/>
          <w:lang w:val="en-GB"/>
        </w:rPr>
        <w:t xml:space="preserve">Hill, A., </w:t>
      </w:r>
      <w:proofErr w:type="spellStart"/>
      <w:r w:rsidRPr="0061355E">
        <w:rPr>
          <w:noProof w:val="0"/>
          <w:color w:val="auto"/>
          <w:szCs w:val="24"/>
          <w:lang w:val="en-GB"/>
        </w:rPr>
        <w:t>MacNamara</w:t>
      </w:r>
      <w:proofErr w:type="spellEnd"/>
      <w:r w:rsidRPr="0061355E">
        <w:rPr>
          <w:noProof w:val="0"/>
          <w:color w:val="auto"/>
          <w:szCs w:val="24"/>
          <w:lang w:val="en-GB"/>
        </w:rPr>
        <w:t xml:space="preserve">, Á., Collins, D., &amp; Rodgers, S. (2016). Examining the role of mental health and clinical issues within talent development. </w:t>
      </w:r>
      <w:r w:rsidR="0060536E" w:rsidRPr="0061355E">
        <w:rPr>
          <w:i/>
          <w:noProof w:val="0"/>
          <w:color w:val="auto"/>
          <w:szCs w:val="24"/>
          <w:lang w:val="en-GB"/>
        </w:rPr>
        <w:t>Frontiers in P</w:t>
      </w:r>
      <w:r w:rsidRPr="0061355E">
        <w:rPr>
          <w:i/>
          <w:noProof w:val="0"/>
          <w:color w:val="auto"/>
          <w:szCs w:val="24"/>
          <w:lang w:val="en-GB"/>
        </w:rPr>
        <w:t>sychology</w:t>
      </w:r>
      <w:r w:rsidRPr="0061355E">
        <w:rPr>
          <w:noProof w:val="0"/>
          <w:color w:val="auto"/>
          <w:szCs w:val="24"/>
          <w:lang w:val="en-GB"/>
        </w:rPr>
        <w:t>,</w:t>
      </w:r>
      <w:r w:rsidRPr="0061355E">
        <w:rPr>
          <w:i/>
          <w:noProof w:val="0"/>
          <w:color w:val="auto"/>
          <w:szCs w:val="24"/>
          <w:lang w:val="en-GB"/>
        </w:rPr>
        <w:t xml:space="preserve"> 6</w:t>
      </w:r>
      <w:r w:rsidRPr="0061355E">
        <w:rPr>
          <w:noProof w:val="0"/>
          <w:color w:val="auto"/>
          <w:szCs w:val="24"/>
          <w:lang w:val="en-GB"/>
        </w:rPr>
        <w:t xml:space="preserve">, 2042. </w:t>
      </w:r>
      <w:r w:rsidR="00A0068F" w:rsidRPr="0061355E">
        <w:rPr>
          <w:rFonts w:eastAsia="宋体"/>
          <w:noProof w:val="0"/>
          <w:color w:val="auto"/>
          <w:szCs w:val="24"/>
          <w:lang w:val="en-GB"/>
        </w:rPr>
        <w:t>https://doi.org/10.3389/fpsyg.2015.02042</w:t>
      </w:r>
    </w:p>
    <w:p w14:paraId="7B713C20" w14:textId="43E83B6C" w:rsidR="008D3653" w:rsidRPr="0061355E" w:rsidRDefault="008D3653" w:rsidP="008D3653">
      <w:pPr>
        <w:pStyle w:val="EndNoteBibliography"/>
        <w:spacing w:line="480" w:lineRule="auto"/>
        <w:ind w:left="720" w:hanging="720"/>
        <w:jc w:val="left"/>
        <w:rPr>
          <w:noProof w:val="0"/>
          <w:color w:val="auto"/>
          <w:sz w:val="40"/>
          <w:szCs w:val="24"/>
          <w:lang w:val="en-GB"/>
        </w:rPr>
      </w:pPr>
      <w:r w:rsidRPr="0061355E">
        <w:rPr>
          <w:rFonts w:eastAsiaTheme="minorEastAsia"/>
          <w:noProof w:val="0"/>
          <w:color w:val="auto"/>
          <w:lang w:val="en-GB"/>
        </w:rPr>
        <w:t xml:space="preserve">Hong, F., Wu, P., &amp; </w:t>
      </w:r>
      <w:proofErr w:type="spellStart"/>
      <w:r w:rsidRPr="0061355E">
        <w:rPr>
          <w:rFonts w:eastAsiaTheme="minorEastAsia"/>
          <w:noProof w:val="0"/>
          <w:color w:val="auto"/>
          <w:lang w:val="en-GB"/>
        </w:rPr>
        <w:t>Xiong</w:t>
      </w:r>
      <w:proofErr w:type="spellEnd"/>
      <w:r w:rsidRPr="0061355E">
        <w:rPr>
          <w:rFonts w:eastAsiaTheme="minorEastAsia"/>
          <w:noProof w:val="0"/>
          <w:color w:val="auto"/>
          <w:lang w:val="en-GB"/>
        </w:rPr>
        <w:t xml:space="preserve">, H. (2005). Beijing ambitions: An analysis of the </w:t>
      </w:r>
      <w:r w:rsidRPr="0061355E">
        <w:rPr>
          <w:rFonts w:eastAsiaTheme="minorEastAsia"/>
          <w:noProof w:val="0"/>
          <w:color w:val="auto"/>
          <w:szCs w:val="16"/>
          <w:lang w:val="en-GB" w:eastAsia="zh-CN"/>
        </w:rPr>
        <w:t xml:space="preserve">Chinese elite sports system and its Olympic strategy for the 2008 Olympic Games. </w:t>
      </w:r>
      <w:r w:rsidRPr="0061355E">
        <w:rPr>
          <w:rFonts w:eastAsiaTheme="minorEastAsia"/>
          <w:i/>
          <w:noProof w:val="0"/>
          <w:color w:val="auto"/>
          <w:szCs w:val="16"/>
          <w:lang w:val="en-GB" w:eastAsia="zh-CN"/>
        </w:rPr>
        <w:t>The International Journal of the History of Sport</w:t>
      </w:r>
      <w:r w:rsidRPr="0061355E">
        <w:rPr>
          <w:rFonts w:eastAsiaTheme="minorEastAsia"/>
          <w:noProof w:val="0"/>
          <w:color w:val="auto"/>
          <w:szCs w:val="16"/>
          <w:lang w:val="en-GB" w:eastAsia="zh-CN"/>
        </w:rPr>
        <w:t xml:space="preserve">, </w:t>
      </w:r>
      <w:r w:rsidRPr="0061355E">
        <w:rPr>
          <w:rFonts w:eastAsiaTheme="minorEastAsia"/>
          <w:i/>
          <w:noProof w:val="0"/>
          <w:color w:val="auto"/>
          <w:szCs w:val="16"/>
          <w:lang w:val="en-GB" w:eastAsia="zh-CN"/>
        </w:rPr>
        <w:t>22</w:t>
      </w:r>
      <w:r w:rsidRPr="0061355E">
        <w:rPr>
          <w:rFonts w:eastAsiaTheme="minorEastAsia"/>
          <w:noProof w:val="0"/>
          <w:color w:val="auto"/>
          <w:szCs w:val="16"/>
          <w:lang w:val="en-GB" w:eastAsia="zh-CN"/>
        </w:rPr>
        <w:t>(4), 510</w:t>
      </w:r>
      <w:r w:rsidRPr="0061355E">
        <w:rPr>
          <w:noProof w:val="0"/>
          <w:color w:val="auto"/>
          <w:szCs w:val="24"/>
          <w:lang w:val="en-GB"/>
        </w:rPr>
        <w:t>-</w:t>
      </w:r>
      <w:r w:rsidRPr="0061355E">
        <w:rPr>
          <w:rFonts w:eastAsiaTheme="minorEastAsia"/>
          <w:noProof w:val="0"/>
          <w:color w:val="auto"/>
          <w:szCs w:val="16"/>
          <w:lang w:val="en-GB" w:eastAsia="zh-CN"/>
        </w:rPr>
        <w:t xml:space="preserve">529. </w:t>
      </w:r>
      <w:r w:rsidRPr="0061355E">
        <w:rPr>
          <w:rFonts w:eastAsia="宋体"/>
          <w:noProof w:val="0"/>
          <w:color w:val="auto"/>
          <w:szCs w:val="24"/>
          <w:lang w:val="en-GB"/>
        </w:rPr>
        <w:t>https://doi.org/</w:t>
      </w:r>
      <w:r w:rsidRPr="0061355E">
        <w:rPr>
          <w:rFonts w:eastAsiaTheme="minorEastAsia"/>
          <w:noProof w:val="0"/>
          <w:color w:val="auto"/>
          <w:szCs w:val="16"/>
          <w:lang w:val="en-GB" w:eastAsia="zh-CN"/>
        </w:rPr>
        <w:t>10.1080/09523360500126336</w:t>
      </w:r>
    </w:p>
    <w:p w14:paraId="689F8C65" w14:textId="054321B8"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Howard, M. C., &amp; Hoffman, M. E. (2018). Variable-</w:t>
      </w:r>
      <w:proofErr w:type="spellStart"/>
      <w:r w:rsidRPr="0061355E">
        <w:rPr>
          <w:noProof w:val="0"/>
          <w:color w:val="auto"/>
          <w:szCs w:val="24"/>
          <w:lang w:val="en-GB"/>
        </w:rPr>
        <w:t>centered</w:t>
      </w:r>
      <w:proofErr w:type="spellEnd"/>
      <w:r w:rsidRPr="0061355E">
        <w:rPr>
          <w:noProof w:val="0"/>
          <w:color w:val="auto"/>
          <w:szCs w:val="24"/>
          <w:lang w:val="en-GB"/>
        </w:rPr>
        <w:t>, person-</w:t>
      </w:r>
      <w:proofErr w:type="spellStart"/>
      <w:r w:rsidRPr="0061355E">
        <w:rPr>
          <w:noProof w:val="0"/>
          <w:color w:val="auto"/>
          <w:szCs w:val="24"/>
          <w:lang w:val="en-GB"/>
        </w:rPr>
        <w:t>centered</w:t>
      </w:r>
      <w:proofErr w:type="spellEnd"/>
      <w:r w:rsidRPr="0061355E">
        <w:rPr>
          <w:noProof w:val="0"/>
          <w:color w:val="auto"/>
          <w:szCs w:val="24"/>
          <w:lang w:val="en-GB"/>
        </w:rPr>
        <w:t xml:space="preserve">, and person-specific approaches: Where theory meets the method. </w:t>
      </w:r>
      <w:r w:rsidRPr="0061355E">
        <w:rPr>
          <w:i/>
          <w:noProof w:val="0"/>
          <w:color w:val="auto"/>
          <w:szCs w:val="24"/>
          <w:lang w:val="en-GB"/>
        </w:rPr>
        <w:t>Organizational Research Methods</w:t>
      </w:r>
      <w:r w:rsidRPr="0061355E">
        <w:rPr>
          <w:noProof w:val="0"/>
          <w:color w:val="auto"/>
          <w:szCs w:val="24"/>
          <w:lang w:val="en-GB"/>
        </w:rPr>
        <w:t>,</w:t>
      </w:r>
      <w:r w:rsidRPr="0061355E">
        <w:rPr>
          <w:i/>
          <w:noProof w:val="0"/>
          <w:color w:val="auto"/>
          <w:szCs w:val="24"/>
          <w:lang w:val="en-GB"/>
        </w:rPr>
        <w:t xml:space="preserve"> 21</w:t>
      </w:r>
      <w:r w:rsidRPr="0061355E">
        <w:rPr>
          <w:noProof w:val="0"/>
          <w:color w:val="auto"/>
          <w:szCs w:val="24"/>
          <w:lang w:val="en-GB"/>
        </w:rPr>
        <w:t xml:space="preserve">(4), 846-876. </w:t>
      </w:r>
      <w:r w:rsidRPr="0061355E">
        <w:rPr>
          <w:rFonts w:eastAsia="宋体"/>
          <w:noProof w:val="0"/>
          <w:color w:val="auto"/>
          <w:szCs w:val="24"/>
          <w:lang w:val="en-GB"/>
        </w:rPr>
        <w:t>https://doi.org/10.1177/1094428117744021</w:t>
      </w:r>
      <w:r w:rsidRPr="0061355E">
        <w:rPr>
          <w:noProof w:val="0"/>
          <w:color w:val="auto"/>
          <w:szCs w:val="24"/>
          <w:lang w:val="en-GB"/>
        </w:rPr>
        <w:t xml:space="preserve"> </w:t>
      </w:r>
    </w:p>
    <w:p w14:paraId="4BD9EEEF"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Ivarsson</w:t>
      </w:r>
      <w:proofErr w:type="spellEnd"/>
      <w:r w:rsidRPr="0061355E">
        <w:rPr>
          <w:noProof w:val="0"/>
          <w:color w:val="auto"/>
          <w:szCs w:val="24"/>
          <w:lang w:val="en-GB"/>
        </w:rPr>
        <w:t xml:space="preserve">, A., </w:t>
      </w:r>
      <w:proofErr w:type="spellStart"/>
      <w:r w:rsidRPr="0061355E">
        <w:rPr>
          <w:noProof w:val="0"/>
          <w:color w:val="auto"/>
          <w:szCs w:val="24"/>
          <w:lang w:val="en-GB"/>
        </w:rPr>
        <w:t>Stenling</w:t>
      </w:r>
      <w:proofErr w:type="spellEnd"/>
      <w:r w:rsidRPr="0061355E">
        <w:rPr>
          <w:noProof w:val="0"/>
          <w:color w:val="auto"/>
          <w:szCs w:val="24"/>
          <w:lang w:val="en-GB"/>
        </w:rPr>
        <w:t xml:space="preserve">, A., </w:t>
      </w:r>
      <w:proofErr w:type="spellStart"/>
      <w:r w:rsidRPr="0061355E">
        <w:rPr>
          <w:noProof w:val="0"/>
          <w:color w:val="auto"/>
          <w:szCs w:val="24"/>
          <w:lang w:val="en-GB"/>
        </w:rPr>
        <w:t>Fallby</w:t>
      </w:r>
      <w:proofErr w:type="spellEnd"/>
      <w:r w:rsidRPr="0061355E">
        <w:rPr>
          <w:noProof w:val="0"/>
          <w:color w:val="auto"/>
          <w:szCs w:val="24"/>
          <w:lang w:val="en-GB"/>
        </w:rPr>
        <w:t>, J., Johnson, U., Borg, E., &amp; Johansson, G. (2015). The predictive ability of the talent development environment on youth elite football players' well-being: A person-</w:t>
      </w:r>
      <w:proofErr w:type="spellStart"/>
      <w:r w:rsidRPr="0061355E">
        <w:rPr>
          <w:noProof w:val="0"/>
          <w:color w:val="auto"/>
          <w:szCs w:val="24"/>
          <w:lang w:val="en-GB"/>
        </w:rPr>
        <w:t>centered</w:t>
      </w:r>
      <w:proofErr w:type="spellEnd"/>
      <w:r w:rsidRPr="0061355E">
        <w:rPr>
          <w:noProof w:val="0"/>
          <w:color w:val="auto"/>
          <w:szCs w:val="24"/>
          <w:lang w:val="en-GB"/>
        </w:rPr>
        <w:t xml:space="preserve"> approach. </w:t>
      </w:r>
      <w:r w:rsidRPr="0061355E">
        <w:rPr>
          <w:i/>
          <w:noProof w:val="0"/>
          <w:color w:val="auto"/>
          <w:szCs w:val="24"/>
          <w:lang w:val="en-GB"/>
        </w:rPr>
        <w:t>Psychology of Sport and Exercise</w:t>
      </w:r>
      <w:r w:rsidRPr="0061355E">
        <w:rPr>
          <w:noProof w:val="0"/>
          <w:color w:val="auto"/>
          <w:szCs w:val="24"/>
          <w:lang w:val="en-GB"/>
        </w:rPr>
        <w:t>,</w:t>
      </w:r>
      <w:r w:rsidRPr="0061355E">
        <w:rPr>
          <w:i/>
          <w:noProof w:val="0"/>
          <w:color w:val="auto"/>
          <w:szCs w:val="24"/>
          <w:lang w:val="en-GB"/>
        </w:rPr>
        <w:t xml:space="preserve"> 16</w:t>
      </w:r>
      <w:r w:rsidRPr="0061355E">
        <w:rPr>
          <w:noProof w:val="0"/>
          <w:color w:val="auto"/>
          <w:szCs w:val="24"/>
          <w:lang w:val="en-GB"/>
        </w:rPr>
        <w:t xml:space="preserve">, 15-23. </w:t>
      </w:r>
      <w:r w:rsidRPr="0061355E">
        <w:rPr>
          <w:rFonts w:eastAsia="宋体"/>
          <w:noProof w:val="0"/>
          <w:color w:val="auto"/>
          <w:szCs w:val="24"/>
          <w:lang w:val="en-GB"/>
        </w:rPr>
        <w:t>https://doi.org/10.1016/j.psychsport.2014.09.006</w:t>
      </w:r>
      <w:r w:rsidRPr="0061355E">
        <w:rPr>
          <w:noProof w:val="0"/>
          <w:color w:val="auto"/>
          <w:szCs w:val="24"/>
          <w:lang w:val="en-GB"/>
        </w:rPr>
        <w:t xml:space="preserve"> </w:t>
      </w:r>
    </w:p>
    <w:p w14:paraId="02B0246A"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lastRenderedPageBreak/>
        <w:t xml:space="preserve">King, L., Cullen, S. J., O'Connor, S., </w:t>
      </w:r>
      <w:proofErr w:type="spellStart"/>
      <w:r w:rsidRPr="0061355E">
        <w:rPr>
          <w:noProof w:val="0"/>
          <w:color w:val="auto"/>
          <w:szCs w:val="24"/>
          <w:lang w:val="en-GB"/>
        </w:rPr>
        <w:t>McGoldrick</w:t>
      </w:r>
      <w:proofErr w:type="spellEnd"/>
      <w:r w:rsidRPr="0061355E">
        <w:rPr>
          <w:noProof w:val="0"/>
          <w:color w:val="auto"/>
          <w:szCs w:val="24"/>
          <w:lang w:val="en-GB"/>
        </w:rPr>
        <w:t xml:space="preserve">, A., Pugh, J., Warrington, G., . . . </w:t>
      </w:r>
      <w:proofErr w:type="spellStart"/>
      <w:r w:rsidRPr="0061355E">
        <w:rPr>
          <w:noProof w:val="0"/>
          <w:color w:val="auto"/>
          <w:szCs w:val="24"/>
          <w:lang w:val="en-GB"/>
        </w:rPr>
        <w:t>Losty</w:t>
      </w:r>
      <w:proofErr w:type="spellEnd"/>
      <w:r w:rsidRPr="0061355E">
        <w:rPr>
          <w:noProof w:val="0"/>
          <w:color w:val="auto"/>
          <w:szCs w:val="24"/>
          <w:lang w:val="en-GB"/>
        </w:rPr>
        <w:t xml:space="preserve">, C. (2020). Common mental disorders among Irish jockeys: prevalence and risk factors. </w:t>
      </w:r>
      <w:r w:rsidRPr="0061355E">
        <w:rPr>
          <w:i/>
          <w:noProof w:val="0"/>
          <w:color w:val="auto"/>
          <w:szCs w:val="24"/>
          <w:lang w:val="en-GB"/>
        </w:rPr>
        <w:t xml:space="preserve">The </w:t>
      </w:r>
      <w:proofErr w:type="spellStart"/>
      <w:r w:rsidRPr="0061355E">
        <w:rPr>
          <w:i/>
          <w:noProof w:val="0"/>
          <w:color w:val="auto"/>
          <w:szCs w:val="24"/>
          <w:lang w:val="en-GB"/>
        </w:rPr>
        <w:t>Physican</w:t>
      </w:r>
      <w:proofErr w:type="spellEnd"/>
      <w:r w:rsidRPr="0061355E">
        <w:rPr>
          <w:i/>
          <w:noProof w:val="0"/>
          <w:color w:val="auto"/>
          <w:szCs w:val="24"/>
          <w:lang w:val="en-GB"/>
        </w:rPr>
        <w:t xml:space="preserve"> and </w:t>
      </w:r>
      <w:proofErr w:type="spellStart"/>
      <w:r w:rsidRPr="0061355E">
        <w:rPr>
          <w:i/>
          <w:noProof w:val="0"/>
          <w:color w:val="auto"/>
          <w:szCs w:val="24"/>
          <w:lang w:val="en-GB"/>
        </w:rPr>
        <w:t>Sportsmedicine</w:t>
      </w:r>
      <w:proofErr w:type="spellEnd"/>
      <w:r w:rsidRPr="0061355E">
        <w:rPr>
          <w:noProof w:val="0"/>
          <w:color w:val="auto"/>
          <w:szCs w:val="24"/>
          <w:lang w:val="en-GB"/>
        </w:rPr>
        <w:t xml:space="preserve">, 1-7. </w:t>
      </w:r>
      <w:r w:rsidRPr="0061355E">
        <w:rPr>
          <w:rFonts w:eastAsia="宋体"/>
          <w:noProof w:val="0"/>
          <w:color w:val="auto"/>
          <w:szCs w:val="24"/>
          <w:lang w:val="en-GB"/>
        </w:rPr>
        <w:t>https://doi.org/10.1080/00913847.2020.1808435</w:t>
      </w:r>
      <w:r w:rsidRPr="0061355E">
        <w:rPr>
          <w:noProof w:val="0"/>
          <w:color w:val="auto"/>
          <w:szCs w:val="24"/>
          <w:lang w:val="en-GB"/>
        </w:rPr>
        <w:t xml:space="preserve"> </w:t>
      </w:r>
    </w:p>
    <w:p w14:paraId="3A71A4F7"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Kroenke, K., Spitzer, R. L., &amp; Williams, J. B. (2003). The Patient Health Questionnaire-2: Validity of a two-item depression screener. </w:t>
      </w:r>
      <w:r w:rsidRPr="0061355E">
        <w:rPr>
          <w:i/>
          <w:noProof w:val="0"/>
          <w:color w:val="auto"/>
          <w:szCs w:val="24"/>
          <w:lang w:val="en-GB"/>
        </w:rPr>
        <w:t xml:space="preserve">Medical </w:t>
      </w:r>
      <w:r w:rsidR="00A06730" w:rsidRPr="0061355E">
        <w:rPr>
          <w:i/>
          <w:noProof w:val="0"/>
          <w:color w:val="auto"/>
          <w:szCs w:val="24"/>
          <w:lang w:val="en-GB"/>
        </w:rPr>
        <w:t>C</w:t>
      </w:r>
      <w:r w:rsidRPr="0061355E">
        <w:rPr>
          <w:i/>
          <w:noProof w:val="0"/>
          <w:color w:val="auto"/>
          <w:szCs w:val="24"/>
          <w:lang w:val="en-GB"/>
        </w:rPr>
        <w:t>are</w:t>
      </w:r>
      <w:r w:rsidRPr="0061355E">
        <w:rPr>
          <w:noProof w:val="0"/>
          <w:color w:val="auto"/>
          <w:szCs w:val="24"/>
          <w:lang w:val="en-GB"/>
        </w:rPr>
        <w:t>,</w:t>
      </w:r>
      <w:r w:rsidRPr="0061355E">
        <w:rPr>
          <w:i/>
          <w:noProof w:val="0"/>
          <w:color w:val="auto"/>
          <w:szCs w:val="24"/>
          <w:lang w:val="en-GB"/>
        </w:rPr>
        <w:t xml:space="preserve"> 41</w:t>
      </w:r>
      <w:r w:rsidRPr="0061355E">
        <w:rPr>
          <w:noProof w:val="0"/>
          <w:color w:val="auto"/>
          <w:szCs w:val="24"/>
          <w:lang w:val="en-GB"/>
        </w:rPr>
        <w:t xml:space="preserve">(11), 1284-1292. </w:t>
      </w:r>
    </w:p>
    <w:p w14:paraId="34D262E3"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Kuettel</w:t>
      </w:r>
      <w:proofErr w:type="spellEnd"/>
      <w:r w:rsidRPr="0061355E">
        <w:rPr>
          <w:noProof w:val="0"/>
          <w:color w:val="auto"/>
          <w:szCs w:val="24"/>
          <w:lang w:val="en-GB"/>
        </w:rPr>
        <w:t xml:space="preserve">, A., &amp; Larsen, C. H. (2019). Risk and protective factors for mental health in elite athletes: A scoping review. </w:t>
      </w:r>
      <w:r w:rsidRPr="0061355E">
        <w:rPr>
          <w:i/>
          <w:noProof w:val="0"/>
          <w:color w:val="auto"/>
          <w:szCs w:val="24"/>
          <w:lang w:val="en-GB"/>
        </w:rPr>
        <w:t>International Review of Sport and Exercise Psychology</w:t>
      </w:r>
      <w:r w:rsidRPr="0061355E">
        <w:rPr>
          <w:noProof w:val="0"/>
          <w:color w:val="auto"/>
          <w:szCs w:val="24"/>
          <w:lang w:val="en-GB"/>
        </w:rPr>
        <w:t xml:space="preserve">, 1-35. </w:t>
      </w:r>
      <w:r w:rsidRPr="0061355E">
        <w:rPr>
          <w:rFonts w:eastAsia="宋体"/>
          <w:noProof w:val="0"/>
          <w:color w:val="auto"/>
          <w:szCs w:val="24"/>
          <w:lang w:val="en-GB"/>
        </w:rPr>
        <w:t>https://doi.org/10.1080/1750984X.2019.1689574</w:t>
      </w:r>
      <w:r w:rsidRPr="0061355E">
        <w:rPr>
          <w:noProof w:val="0"/>
          <w:color w:val="auto"/>
          <w:szCs w:val="24"/>
          <w:lang w:val="en-GB"/>
        </w:rPr>
        <w:t xml:space="preserve"> </w:t>
      </w:r>
    </w:p>
    <w:p w14:paraId="06287011"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Kuettel</w:t>
      </w:r>
      <w:proofErr w:type="spellEnd"/>
      <w:r w:rsidRPr="0061355E">
        <w:rPr>
          <w:noProof w:val="0"/>
          <w:color w:val="auto"/>
          <w:szCs w:val="24"/>
          <w:lang w:val="en-GB"/>
        </w:rPr>
        <w:t xml:space="preserve">, A., Pedersen, A. K., &amp; Larsen, C. H. (2021). To Flourish or Languish, that is the question: Exploring the mental health profiles of Danish elite athletes. </w:t>
      </w:r>
      <w:r w:rsidRPr="0061355E">
        <w:rPr>
          <w:i/>
          <w:noProof w:val="0"/>
          <w:color w:val="auto"/>
          <w:szCs w:val="24"/>
          <w:lang w:val="en-GB"/>
        </w:rPr>
        <w:t>Psychology of Sport and Exercise</w:t>
      </w:r>
      <w:r w:rsidRPr="0061355E">
        <w:rPr>
          <w:noProof w:val="0"/>
          <w:color w:val="auto"/>
          <w:szCs w:val="24"/>
          <w:lang w:val="en-GB"/>
        </w:rPr>
        <w:t>,</w:t>
      </w:r>
      <w:r w:rsidRPr="0061355E">
        <w:rPr>
          <w:i/>
          <w:noProof w:val="0"/>
          <w:color w:val="auto"/>
          <w:szCs w:val="24"/>
          <w:lang w:val="en-GB"/>
        </w:rPr>
        <w:t xml:space="preserve"> 52</w:t>
      </w:r>
      <w:r w:rsidR="00A06730" w:rsidRPr="0061355E">
        <w:rPr>
          <w:noProof w:val="0"/>
          <w:color w:val="auto"/>
          <w:szCs w:val="24"/>
          <w:lang w:val="en-GB"/>
        </w:rPr>
        <w:t>, 101837.</w:t>
      </w:r>
      <w:r w:rsidRPr="0061355E">
        <w:rPr>
          <w:noProof w:val="0"/>
          <w:color w:val="auto"/>
          <w:szCs w:val="24"/>
          <w:lang w:val="en-GB"/>
        </w:rPr>
        <w:t xml:space="preserve"> </w:t>
      </w:r>
      <w:r w:rsidRPr="0061355E">
        <w:rPr>
          <w:rFonts w:eastAsia="宋体"/>
          <w:noProof w:val="0"/>
          <w:color w:val="auto"/>
          <w:szCs w:val="24"/>
          <w:lang w:val="en-GB"/>
        </w:rPr>
        <w:t>https://doi.org/10.1016/j.psychsport.2020.101837</w:t>
      </w:r>
      <w:r w:rsidRPr="0061355E">
        <w:rPr>
          <w:noProof w:val="0"/>
          <w:color w:val="auto"/>
          <w:szCs w:val="24"/>
          <w:lang w:val="en-GB"/>
        </w:rPr>
        <w:t xml:space="preserve"> </w:t>
      </w:r>
    </w:p>
    <w:p w14:paraId="585FE83C"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Li,</w:t>
      </w:r>
      <w:proofErr w:type="spellEnd"/>
      <w:r w:rsidRPr="0061355E">
        <w:rPr>
          <w:noProof w:val="0"/>
          <w:color w:val="auto"/>
          <w:szCs w:val="24"/>
          <w:lang w:val="en-GB"/>
        </w:rPr>
        <w:t xml:space="preserve"> C., Fan, R., Sun, J., &amp; </w:t>
      </w:r>
      <w:proofErr w:type="spellStart"/>
      <w:r w:rsidRPr="0061355E">
        <w:rPr>
          <w:noProof w:val="0"/>
          <w:color w:val="auto"/>
          <w:szCs w:val="24"/>
          <w:lang w:val="en-GB"/>
        </w:rPr>
        <w:t>Li,</w:t>
      </w:r>
      <w:proofErr w:type="spellEnd"/>
      <w:r w:rsidRPr="0061355E">
        <w:rPr>
          <w:noProof w:val="0"/>
          <w:color w:val="auto"/>
          <w:szCs w:val="24"/>
          <w:lang w:val="en-GB"/>
        </w:rPr>
        <w:t xml:space="preserve"> G. (2021). Risk and protective factors of generalized anxiety disorder of elite collegiate athletes: A cross-sectional study. </w:t>
      </w:r>
      <w:r w:rsidRPr="0061355E">
        <w:rPr>
          <w:i/>
          <w:noProof w:val="0"/>
          <w:color w:val="auto"/>
          <w:szCs w:val="24"/>
          <w:lang w:val="en-GB"/>
        </w:rPr>
        <w:t>Frontiers in Public Health</w:t>
      </w:r>
      <w:r w:rsidRPr="0061355E">
        <w:rPr>
          <w:noProof w:val="0"/>
          <w:color w:val="auto"/>
          <w:szCs w:val="24"/>
          <w:lang w:val="en-GB"/>
        </w:rPr>
        <w:t>,</w:t>
      </w:r>
      <w:r w:rsidRPr="0061355E">
        <w:rPr>
          <w:i/>
          <w:noProof w:val="0"/>
          <w:color w:val="auto"/>
          <w:szCs w:val="24"/>
          <w:lang w:val="en-GB"/>
        </w:rPr>
        <w:t xml:space="preserve"> 9</w:t>
      </w:r>
      <w:r w:rsidRPr="0061355E">
        <w:rPr>
          <w:noProof w:val="0"/>
          <w:color w:val="auto"/>
          <w:szCs w:val="24"/>
          <w:lang w:val="en-GB"/>
        </w:rPr>
        <w:t xml:space="preserve">, 607800. </w:t>
      </w:r>
      <w:r w:rsidRPr="0061355E">
        <w:rPr>
          <w:rFonts w:eastAsia="宋体"/>
          <w:noProof w:val="0"/>
          <w:color w:val="auto"/>
          <w:szCs w:val="24"/>
          <w:lang w:val="en-GB"/>
        </w:rPr>
        <w:t>https://doi.org/10.3389/fpubh.2021.607800</w:t>
      </w:r>
      <w:r w:rsidRPr="0061355E">
        <w:rPr>
          <w:noProof w:val="0"/>
          <w:color w:val="auto"/>
          <w:szCs w:val="24"/>
          <w:lang w:val="en-GB"/>
        </w:rPr>
        <w:t xml:space="preserve"> </w:t>
      </w:r>
    </w:p>
    <w:p w14:paraId="725D1824"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Li,</w:t>
      </w:r>
      <w:proofErr w:type="spellEnd"/>
      <w:r w:rsidRPr="0061355E">
        <w:rPr>
          <w:noProof w:val="0"/>
          <w:color w:val="auto"/>
          <w:szCs w:val="24"/>
          <w:lang w:val="en-GB"/>
        </w:rPr>
        <w:t xml:space="preserve"> C., </w:t>
      </w:r>
      <w:proofErr w:type="spellStart"/>
      <w:r w:rsidRPr="0061355E">
        <w:rPr>
          <w:noProof w:val="0"/>
          <w:color w:val="auto"/>
          <w:szCs w:val="24"/>
          <w:lang w:val="en-GB"/>
        </w:rPr>
        <w:t>Kee</w:t>
      </w:r>
      <w:proofErr w:type="spellEnd"/>
      <w:r w:rsidRPr="0061355E">
        <w:rPr>
          <w:noProof w:val="0"/>
          <w:color w:val="auto"/>
          <w:szCs w:val="24"/>
          <w:lang w:val="en-GB"/>
        </w:rPr>
        <w:t xml:space="preserve">, Y. H., Wang, X., &amp; </w:t>
      </w:r>
      <w:proofErr w:type="spellStart"/>
      <w:r w:rsidRPr="0061355E">
        <w:rPr>
          <w:noProof w:val="0"/>
          <w:color w:val="auto"/>
          <w:szCs w:val="24"/>
          <w:lang w:val="en-GB"/>
        </w:rPr>
        <w:t>Guo</w:t>
      </w:r>
      <w:proofErr w:type="spellEnd"/>
      <w:r w:rsidRPr="0061355E">
        <w:rPr>
          <w:noProof w:val="0"/>
          <w:color w:val="auto"/>
          <w:szCs w:val="24"/>
          <w:lang w:val="en-GB"/>
        </w:rPr>
        <w:t>, Q. (2018). The Big Five Personality Traits and physical and emotional exhaustion among athletes: The mediating role of autonomous and controlled motivation.</w:t>
      </w:r>
      <w:r w:rsidRPr="0061355E">
        <w:rPr>
          <w:i/>
          <w:noProof w:val="0"/>
          <w:color w:val="auto"/>
          <w:szCs w:val="24"/>
          <w:lang w:val="en-GB"/>
        </w:rPr>
        <w:t xml:space="preserve"> International Journal of Sport Psychology</w:t>
      </w:r>
      <w:r w:rsidRPr="0061355E">
        <w:rPr>
          <w:noProof w:val="0"/>
          <w:color w:val="auto"/>
          <w:szCs w:val="24"/>
          <w:lang w:val="en-GB"/>
        </w:rPr>
        <w:t>,</w:t>
      </w:r>
      <w:r w:rsidRPr="0061355E">
        <w:rPr>
          <w:i/>
          <w:noProof w:val="0"/>
          <w:color w:val="auto"/>
          <w:szCs w:val="24"/>
          <w:lang w:val="en-GB"/>
        </w:rPr>
        <w:t xml:space="preserve"> 49</w:t>
      </w:r>
      <w:r w:rsidRPr="0061355E">
        <w:rPr>
          <w:noProof w:val="0"/>
          <w:color w:val="auto"/>
          <w:szCs w:val="24"/>
          <w:lang w:val="en-GB"/>
        </w:rPr>
        <w:t xml:space="preserve">(1), 1-16. </w:t>
      </w:r>
      <w:r w:rsidRPr="0061355E">
        <w:rPr>
          <w:rFonts w:eastAsia="宋体"/>
          <w:noProof w:val="0"/>
          <w:color w:val="auto"/>
          <w:szCs w:val="24"/>
          <w:lang w:val="en-GB"/>
        </w:rPr>
        <w:t>https://doi.org/10.7352/ijsp2018.49.001</w:t>
      </w:r>
      <w:r w:rsidRPr="0061355E">
        <w:rPr>
          <w:noProof w:val="0"/>
          <w:color w:val="auto"/>
          <w:szCs w:val="24"/>
          <w:lang w:val="en-GB"/>
        </w:rPr>
        <w:t xml:space="preserve"> </w:t>
      </w:r>
    </w:p>
    <w:p w14:paraId="78740ED1"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Li,</w:t>
      </w:r>
      <w:proofErr w:type="spellEnd"/>
      <w:r w:rsidRPr="0061355E">
        <w:rPr>
          <w:noProof w:val="0"/>
          <w:color w:val="auto"/>
          <w:szCs w:val="24"/>
          <w:lang w:val="en-GB"/>
        </w:rPr>
        <w:t xml:space="preserve"> C., Martindale, R., &amp; Sun, Y. (2019). Relationships between talent development environments and mental toughness: The role of basic psychological need satisfaction. </w:t>
      </w:r>
      <w:r w:rsidRPr="0061355E">
        <w:rPr>
          <w:i/>
          <w:noProof w:val="0"/>
          <w:color w:val="auto"/>
          <w:szCs w:val="24"/>
          <w:lang w:val="en-GB"/>
        </w:rPr>
        <w:t xml:space="preserve">Journal of </w:t>
      </w:r>
      <w:r w:rsidR="005E092F" w:rsidRPr="0061355E">
        <w:rPr>
          <w:i/>
          <w:noProof w:val="0"/>
          <w:color w:val="auto"/>
          <w:szCs w:val="24"/>
          <w:lang w:val="en-GB"/>
        </w:rPr>
        <w:t>Sports S</w:t>
      </w:r>
      <w:r w:rsidRPr="0061355E">
        <w:rPr>
          <w:i/>
          <w:noProof w:val="0"/>
          <w:color w:val="auto"/>
          <w:szCs w:val="24"/>
          <w:lang w:val="en-GB"/>
        </w:rPr>
        <w:t>ciences</w:t>
      </w:r>
      <w:r w:rsidRPr="0061355E">
        <w:rPr>
          <w:noProof w:val="0"/>
          <w:color w:val="auto"/>
          <w:szCs w:val="24"/>
          <w:lang w:val="en-GB"/>
        </w:rPr>
        <w:t>,</w:t>
      </w:r>
      <w:r w:rsidRPr="0061355E">
        <w:rPr>
          <w:i/>
          <w:noProof w:val="0"/>
          <w:color w:val="auto"/>
          <w:szCs w:val="24"/>
          <w:lang w:val="en-GB"/>
        </w:rPr>
        <w:t xml:space="preserve"> 37</w:t>
      </w:r>
      <w:r w:rsidRPr="0061355E">
        <w:rPr>
          <w:noProof w:val="0"/>
          <w:color w:val="auto"/>
          <w:szCs w:val="24"/>
          <w:lang w:val="en-GB"/>
        </w:rPr>
        <w:t xml:space="preserve">(18), 2057-2065. </w:t>
      </w:r>
      <w:r w:rsidRPr="0061355E">
        <w:rPr>
          <w:rFonts w:eastAsia="宋体"/>
          <w:noProof w:val="0"/>
          <w:color w:val="auto"/>
          <w:szCs w:val="24"/>
          <w:lang w:val="en-GB"/>
        </w:rPr>
        <w:t>https://doi.org/10.1080/02640414.2019.1620979</w:t>
      </w:r>
      <w:r w:rsidRPr="0061355E">
        <w:rPr>
          <w:noProof w:val="0"/>
          <w:color w:val="auto"/>
          <w:szCs w:val="24"/>
          <w:lang w:val="en-GB"/>
        </w:rPr>
        <w:t xml:space="preserve"> </w:t>
      </w:r>
    </w:p>
    <w:p w14:paraId="17695DF1"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lastRenderedPageBreak/>
        <w:t>Li,</w:t>
      </w:r>
      <w:proofErr w:type="spellEnd"/>
      <w:r w:rsidRPr="0061355E">
        <w:rPr>
          <w:noProof w:val="0"/>
          <w:color w:val="auto"/>
          <w:szCs w:val="24"/>
          <w:lang w:val="en-GB"/>
        </w:rPr>
        <w:t xml:space="preserve"> C., Martindale, R., Wu, Y., &amp; Si, G. (2018). Psychometric properties of the Talent Development Environment Questionnaire with Chinese talented athletes. </w:t>
      </w:r>
      <w:r w:rsidR="005E092F" w:rsidRPr="0061355E">
        <w:rPr>
          <w:i/>
          <w:noProof w:val="0"/>
          <w:color w:val="auto"/>
          <w:szCs w:val="24"/>
          <w:lang w:val="en-GB"/>
        </w:rPr>
        <w:t>Journal of Sports S</w:t>
      </w:r>
      <w:r w:rsidRPr="0061355E">
        <w:rPr>
          <w:i/>
          <w:noProof w:val="0"/>
          <w:color w:val="auto"/>
          <w:szCs w:val="24"/>
          <w:lang w:val="en-GB"/>
        </w:rPr>
        <w:t>ciences</w:t>
      </w:r>
      <w:r w:rsidRPr="0061355E">
        <w:rPr>
          <w:noProof w:val="0"/>
          <w:color w:val="auto"/>
          <w:szCs w:val="24"/>
          <w:lang w:val="en-GB"/>
        </w:rPr>
        <w:t>,</w:t>
      </w:r>
      <w:r w:rsidRPr="0061355E">
        <w:rPr>
          <w:i/>
          <w:noProof w:val="0"/>
          <w:color w:val="auto"/>
          <w:szCs w:val="24"/>
          <w:lang w:val="en-GB"/>
        </w:rPr>
        <w:t xml:space="preserve"> 36</w:t>
      </w:r>
      <w:r w:rsidRPr="0061355E">
        <w:rPr>
          <w:noProof w:val="0"/>
          <w:color w:val="auto"/>
          <w:szCs w:val="24"/>
          <w:lang w:val="en-GB"/>
        </w:rPr>
        <w:t xml:space="preserve">(1), 79-85. </w:t>
      </w:r>
      <w:r w:rsidRPr="0061355E">
        <w:rPr>
          <w:rFonts w:eastAsia="宋体"/>
          <w:noProof w:val="0"/>
          <w:color w:val="auto"/>
          <w:szCs w:val="24"/>
          <w:lang w:val="en-GB"/>
        </w:rPr>
        <w:t>https://doi.org/10.1080/02640414.2017.1282619</w:t>
      </w:r>
      <w:r w:rsidRPr="0061355E">
        <w:rPr>
          <w:noProof w:val="0"/>
          <w:color w:val="auto"/>
          <w:szCs w:val="24"/>
          <w:lang w:val="en-GB"/>
        </w:rPr>
        <w:t xml:space="preserve"> </w:t>
      </w:r>
    </w:p>
    <w:p w14:paraId="40459D53"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Li,</w:t>
      </w:r>
      <w:proofErr w:type="spellEnd"/>
      <w:r w:rsidRPr="0061355E">
        <w:rPr>
          <w:noProof w:val="0"/>
          <w:color w:val="auto"/>
          <w:szCs w:val="24"/>
          <w:lang w:val="en-GB"/>
        </w:rPr>
        <w:t xml:space="preserve"> C., Wang, C. K., </w:t>
      </w:r>
      <w:proofErr w:type="spellStart"/>
      <w:r w:rsidRPr="0061355E">
        <w:rPr>
          <w:noProof w:val="0"/>
          <w:color w:val="auto"/>
          <w:szCs w:val="24"/>
          <w:lang w:val="en-GB"/>
        </w:rPr>
        <w:t>Pyun</w:t>
      </w:r>
      <w:proofErr w:type="spellEnd"/>
      <w:r w:rsidRPr="0061355E">
        <w:rPr>
          <w:noProof w:val="0"/>
          <w:color w:val="auto"/>
          <w:szCs w:val="24"/>
          <w:lang w:val="en-GB"/>
        </w:rPr>
        <w:t xml:space="preserve">, D. Y., &amp; Martindale, R. (2015). Further development of the talent development environment questionnaire for sport. </w:t>
      </w:r>
      <w:r w:rsidRPr="0061355E">
        <w:rPr>
          <w:i/>
          <w:noProof w:val="0"/>
          <w:color w:val="auto"/>
          <w:szCs w:val="24"/>
          <w:lang w:val="en-GB"/>
        </w:rPr>
        <w:t xml:space="preserve">Journal of </w:t>
      </w:r>
      <w:r w:rsidR="005E092F" w:rsidRPr="0061355E">
        <w:rPr>
          <w:i/>
          <w:noProof w:val="0"/>
          <w:color w:val="auto"/>
          <w:szCs w:val="24"/>
          <w:lang w:val="en-GB"/>
        </w:rPr>
        <w:t>Sports S</w:t>
      </w:r>
      <w:r w:rsidRPr="0061355E">
        <w:rPr>
          <w:i/>
          <w:noProof w:val="0"/>
          <w:color w:val="auto"/>
          <w:szCs w:val="24"/>
          <w:lang w:val="en-GB"/>
        </w:rPr>
        <w:t>ciences</w:t>
      </w:r>
      <w:r w:rsidRPr="0061355E">
        <w:rPr>
          <w:noProof w:val="0"/>
          <w:color w:val="auto"/>
          <w:szCs w:val="24"/>
          <w:lang w:val="en-GB"/>
        </w:rPr>
        <w:t>,</w:t>
      </w:r>
      <w:r w:rsidRPr="0061355E">
        <w:rPr>
          <w:i/>
          <w:noProof w:val="0"/>
          <w:color w:val="auto"/>
          <w:szCs w:val="24"/>
          <w:lang w:val="en-GB"/>
        </w:rPr>
        <w:t xml:space="preserve"> 33</w:t>
      </w:r>
      <w:r w:rsidRPr="0061355E">
        <w:rPr>
          <w:noProof w:val="0"/>
          <w:color w:val="auto"/>
          <w:szCs w:val="24"/>
          <w:lang w:val="en-GB"/>
        </w:rPr>
        <w:t xml:space="preserve">(17), 1831-1843. </w:t>
      </w:r>
      <w:r w:rsidRPr="0061355E">
        <w:rPr>
          <w:rFonts w:eastAsia="宋体"/>
          <w:noProof w:val="0"/>
          <w:color w:val="auto"/>
          <w:szCs w:val="24"/>
          <w:lang w:val="en-GB"/>
        </w:rPr>
        <w:t>https://doi.org/10.1080/02640414.2015.1014828</w:t>
      </w:r>
      <w:r w:rsidRPr="0061355E">
        <w:rPr>
          <w:noProof w:val="0"/>
          <w:color w:val="auto"/>
          <w:szCs w:val="24"/>
          <w:lang w:val="en-GB"/>
        </w:rPr>
        <w:t xml:space="preserve"> </w:t>
      </w:r>
    </w:p>
    <w:p w14:paraId="49B14A86"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Li,</w:t>
      </w:r>
      <w:proofErr w:type="spellEnd"/>
      <w:r w:rsidRPr="0061355E">
        <w:rPr>
          <w:noProof w:val="0"/>
          <w:color w:val="auto"/>
          <w:szCs w:val="24"/>
          <w:lang w:val="en-GB"/>
        </w:rPr>
        <w:t xml:space="preserve"> C., Wang, C. K. J., &amp; </w:t>
      </w:r>
      <w:proofErr w:type="spellStart"/>
      <w:r w:rsidRPr="0061355E">
        <w:rPr>
          <w:noProof w:val="0"/>
          <w:color w:val="auto"/>
          <w:szCs w:val="24"/>
          <w:lang w:val="en-GB"/>
        </w:rPr>
        <w:t>Pyun</w:t>
      </w:r>
      <w:proofErr w:type="spellEnd"/>
      <w:r w:rsidRPr="0061355E">
        <w:rPr>
          <w:noProof w:val="0"/>
          <w:color w:val="auto"/>
          <w:szCs w:val="24"/>
          <w:lang w:val="en-GB"/>
        </w:rPr>
        <w:t xml:space="preserve">, D. Y. (2017). Impacts of talent development environments on athlete burnout: A self-determination perspective. </w:t>
      </w:r>
      <w:r w:rsidR="005E092F" w:rsidRPr="0061355E">
        <w:rPr>
          <w:i/>
          <w:noProof w:val="0"/>
          <w:color w:val="auto"/>
          <w:szCs w:val="24"/>
          <w:lang w:val="en-GB"/>
        </w:rPr>
        <w:t>Journal of Sports S</w:t>
      </w:r>
      <w:r w:rsidRPr="0061355E">
        <w:rPr>
          <w:i/>
          <w:noProof w:val="0"/>
          <w:color w:val="auto"/>
          <w:szCs w:val="24"/>
          <w:lang w:val="en-GB"/>
        </w:rPr>
        <w:t>ciences</w:t>
      </w:r>
      <w:r w:rsidRPr="0061355E">
        <w:rPr>
          <w:noProof w:val="0"/>
          <w:color w:val="auto"/>
          <w:szCs w:val="24"/>
          <w:lang w:val="en-GB"/>
        </w:rPr>
        <w:t>,</w:t>
      </w:r>
      <w:r w:rsidRPr="0061355E">
        <w:rPr>
          <w:i/>
          <w:noProof w:val="0"/>
          <w:color w:val="auto"/>
          <w:szCs w:val="24"/>
          <w:lang w:val="en-GB"/>
        </w:rPr>
        <w:t xml:space="preserve"> 35</w:t>
      </w:r>
      <w:r w:rsidRPr="0061355E">
        <w:rPr>
          <w:noProof w:val="0"/>
          <w:color w:val="auto"/>
          <w:szCs w:val="24"/>
          <w:lang w:val="en-GB"/>
        </w:rPr>
        <w:t xml:space="preserve">(18), 1-8. </w:t>
      </w:r>
      <w:r w:rsidRPr="0061355E">
        <w:rPr>
          <w:rFonts w:eastAsia="宋体"/>
          <w:noProof w:val="0"/>
          <w:color w:val="auto"/>
          <w:szCs w:val="24"/>
          <w:lang w:val="en-GB"/>
        </w:rPr>
        <w:t>https://doi.org/10.1080/02640414.2016.1240370</w:t>
      </w:r>
      <w:r w:rsidRPr="0061355E">
        <w:rPr>
          <w:noProof w:val="0"/>
          <w:color w:val="auto"/>
          <w:szCs w:val="24"/>
          <w:lang w:val="en-GB"/>
        </w:rPr>
        <w:t xml:space="preserve"> </w:t>
      </w:r>
    </w:p>
    <w:p w14:paraId="3184DA8F"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Lin, C. H., Lu, F. J. H., Chen, T. W., &amp; Hsu, Y. W. (2022). Relationship between athlete stress and burnout: A systematic review and meta-analysis. </w:t>
      </w:r>
      <w:r w:rsidRPr="0061355E">
        <w:rPr>
          <w:i/>
          <w:noProof w:val="0"/>
          <w:color w:val="auto"/>
          <w:szCs w:val="24"/>
          <w:lang w:val="en-GB"/>
        </w:rPr>
        <w:t>International Journal of Sport and Exercise Psychology</w:t>
      </w:r>
      <w:r w:rsidRPr="0061355E">
        <w:rPr>
          <w:noProof w:val="0"/>
          <w:color w:val="auto"/>
          <w:szCs w:val="24"/>
          <w:lang w:val="en-GB"/>
        </w:rPr>
        <w:t xml:space="preserve">, 21. </w:t>
      </w:r>
      <w:r w:rsidRPr="0061355E">
        <w:rPr>
          <w:rFonts w:eastAsia="宋体"/>
          <w:noProof w:val="0"/>
          <w:color w:val="auto"/>
          <w:szCs w:val="24"/>
          <w:lang w:val="en-GB"/>
        </w:rPr>
        <w:t>https://doi.org/10.1080/1612197x.2021.1987503</w:t>
      </w:r>
      <w:r w:rsidRPr="0061355E">
        <w:rPr>
          <w:noProof w:val="0"/>
          <w:color w:val="auto"/>
          <w:szCs w:val="24"/>
          <w:lang w:val="en-GB"/>
        </w:rPr>
        <w:t xml:space="preserve"> </w:t>
      </w:r>
    </w:p>
    <w:p w14:paraId="2A24E3A6"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Martindale, R. J., Collins, D., Wang, J. C., McNeill, M., Lee, K. S., </w:t>
      </w:r>
      <w:proofErr w:type="spellStart"/>
      <w:r w:rsidRPr="0061355E">
        <w:rPr>
          <w:noProof w:val="0"/>
          <w:color w:val="auto"/>
          <w:szCs w:val="24"/>
          <w:lang w:val="en-GB"/>
        </w:rPr>
        <w:t>Sproule</w:t>
      </w:r>
      <w:proofErr w:type="spellEnd"/>
      <w:r w:rsidRPr="0061355E">
        <w:rPr>
          <w:noProof w:val="0"/>
          <w:color w:val="auto"/>
          <w:szCs w:val="24"/>
          <w:lang w:val="en-GB"/>
        </w:rPr>
        <w:t xml:space="preserve">, J., &amp; Westbury, T. (2010). Development of the talent development environment questionnaire for sport. </w:t>
      </w:r>
      <w:r w:rsidR="005E092F" w:rsidRPr="0061355E">
        <w:rPr>
          <w:i/>
          <w:noProof w:val="0"/>
          <w:color w:val="auto"/>
          <w:szCs w:val="24"/>
          <w:lang w:val="en-GB"/>
        </w:rPr>
        <w:t>Journal of Sports S</w:t>
      </w:r>
      <w:r w:rsidRPr="0061355E">
        <w:rPr>
          <w:i/>
          <w:noProof w:val="0"/>
          <w:color w:val="auto"/>
          <w:szCs w:val="24"/>
          <w:lang w:val="en-GB"/>
        </w:rPr>
        <w:t>ciences</w:t>
      </w:r>
      <w:r w:rsidRPr="0061355E">
        <w:rPr>
          <w:noProof w:val="0"/>
          <w:color w:val="auto"/>
          <w:szCs w:val="24"/>
          <w:lang w:val="en-GB"/>
        </w:rPr>
        <w:t>,</w:t>
      </w:r>
      <w:r w:rsidRPr="0061355E">
        <w:rPr>
          <w:i/>
          <w:noProof w:val="0"/>
          <w:color w:val="auto"/>
          <w:szCs w:val="24"/>
          <w:lang w:val="en-GB"/>
        </w:rPr>
        <w:t xml:space="preserve"> 28</w:t>
      </w:r>
      <w:r w:rsidRPr="0061355E">
        <w:rPr>
          <w:noProof w:val="0"/>
          <w:color w:val="auto"/>
          <w:szCs w:val="24"/>
          <w:lang w:val="en-GB"/>
        </w:rPr>
        <w:t xml:space="preserve">(11), 1209-1221. </w:t>
      </w:r>
      <w:r w:rsidRPr="0061355E">
        <w:rPr>
          <w:rFonts w:eastAsia="宋体"/>
          <w:noProof w:val="0"/>
          <w:color w:val="auto"/>
          <w:szCs w:val="24"/>
          <w:lang w:val="en-GB"/>
        </w:rPr>
        <w:t>https://doi.org/10.1080/02640414.2010.495993</w:t>
      </w:r>
      <w:r w:rsidRPr="0061355E">
        <w:rPr>
          <w:noProof w:val="0"/>
          <w:color w:val="auto"/>
          <w:szCs w:val="24"/>
          <w:lang w:val="en-GB"/>
        </w:rPr>
        <w:t xml:space="preserve"> </w:t>
      </w:r>
    </w:p>
    <w:p w14:paraId="643E315E"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Martindale, R. J. J., Collins, D., &amp; </w:t>
      </w:r>
      <w:proofErr w:type="spellStart"/>
      <w:r w:rsidRPr="0061355E">
        <w:rPr>
          <w:noProof w:val="0"/>
          <w:color w:val="auto"/>
          <w:szCs w:val="24"/>
          <w:lang w:val="en-GB"/>
        </w:rPr>
        <w:t>Daubney</w:t>
      </w:r>
      <w:proofErr w:type="spellEnd"/>
      <w:r w:rsidRPr="0061355E">
        <w:rPr>
          <w:noProof w:val="0"/>
          <w:color w:val="auto"/>
          <w:szCs w:val="24"/>
          <w:lang w:val="en-GB"/>
        </w:rPr>
        <w:t xml:space="preserve">, J. (2005). Talent development: A guide for practice and research within sport. </w:t>
      </w:r>
      <w:r w:rsidRPr="0061355E">
        <w:rPr>
          <w:i/>
          <w:noProof w:val="0"/>
          <w:color w:val="auto"/>
          <w:szCs w:val="24"/>
          <w:lang w:val="en-GB"/>
        </w:rPr>
        <w:t>Quest</w:t>
      </w:r>
      <w:r w:rsidRPr="0061355E">
        <w:rPr>
          <w:noProof w:val="0"/>
          <w:color w:val="auto"/>
          <w:szCs w:val="24"/>
          <w:lang w:val="en-GB"/>
        </w:rPr>
        <w:t>,</w:t>
      </w:r>
      <w:r w:rsidRPr="0061355E">
        <w:rPr>
          <w:i/>
          <w:noProof w:val="0"/>
          <w:color w:val="auto"/>
          <w:szCs w:val="24"/>
          <w:lang w:val="en-GB"/>
        </w:rPr>
        <w:t xml:space="preserve"> 57</w:t>
      </w:r>
      <w:r w:rsidRPr="0061355E">
        <w:rPr>
          <w:noProof w:val="0"/>
          <w:color w:val="auto"/>
          <w:szCs w:val="24"/>
          <w:lang w:val="en-GB"/>
        </w:rPr>
        <w:t xml:space="preserve">(4), 353-375. </w:t>
      </w:r>
      <w:r w:rsidRPr="0061355E">
        <w:rPr>
          <w:rFonts w:eastAsia="宋体"/>
          <w:noProof w:val="0"/>
          <w:color w:val="auto"/>
          <w:szCs w:val="24"/>
          <w:lang w:val="en-GB"/>
        </w:rPr>
        <w:t>https://doi.org/10.1080/00336297.2005.10491862</w:t>
      </w:r>
      <w:r w:rsidRPr="0061355E">
        <w:rPr>
          <w:noProof w:val="0"/>
          <w:color w:val="auto"/>
          <w:szCs w:val="24"/>
          <w:lang w:val="en-GB"/>
        </w:rPr>
        <w:t xml:space="preserve"> </w:t>
      </w:r>
    </w:p>
    <w:p w14:paraId="40F8C9BA"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McLoughlin</w:t>
      </w:r>
      <w:proofErr w:type="spellEnd"/>
      <w:r w:rsidRPr="0061355E">
        <w:rPr>
          <w:noProof w:val="0"/>
          <w:color w:val="auto"/>
          <w:szCs w:val="24"/>
          <w:lang w:val="en-GB"/>
        </w:rPr>
        <w:t xml:space="preserve">, E., Fletcher, D., </w:t>
      </w:r>
      <w:proofErr w:type="spellStart"/>
      <w:r w:rsidRPr="0061355E">
        <w:rPr>
          <w:noProof w:val="0"/>
          <w:color w:val="auto"/>
          <w:szCs w:val="24"/>
          <w:lang w:val="en-GB"/>
        </w:rPr>
        <w:t>Slavich</w:t>
      </w:r>
      <w:proofErr w:type="spellEnd"/>
      <w:r w:rsidRPr="0061355E">
        <w:rPr>
          <w:noProof w:val="0"/>
          <w:color w:val="auto"/>
          <w:szCs w:val="24"/>
          <w:lang w:val="en-GB"/>
        </w:rPr>
        <w:t xml:space="preserve">, G. M., Arnold, R., &amp; Moore, L. J. (2021). Cumulative lifetime stress exposure, depression, anxiety, and well-being in elite athletes: A mixed-method study. </w:t>
      </w:r>
      <w:r w:rsidRPr="0061355E">
        <w:rPr>
          <w:i/>
          <w:noProof w:val="0"/>
          <w:color w:val="auto"/>
          <w:szCs w:val="24"/>
          <w:lang w:val="en-GB"/>
        </w:rPr>
        <w:t>Psychology of Sport and Exercise</w:t>
      </w:r>
      <w:r w:rsidRPr="0061355E">
        <w:rPr>
          <w:noProof w:val="0"/>
          <w:color w:val="auto"/>
          <w:szCs w:val="24"/>
          <w:lang w:val="en-GB"/>
        </w:rPr>
        <w:t>,</w:t>
      </w:r>
      <w:r w:rsidRPr="0061355E">
        <w:rPr>
          <w:i/>
          <w:noProof w:val="0"/>
          <w:color w:val="auto"/>
          <w:szCs w:val="24"/>
          <w:lang w:val="en-GB"/>
        </w:rPr>
        <w:t xml:space="preserve"> 52</w:t>
      </w:r>
      <w:r w:rsidRPr="0061355E">
        <w:rPr>
          <w:noProof w:val="0"/>
          <w:color w:val="auto"/>
          <w:szCs w:val="24"/>
          <w:lang w:val="en-GB"/>
        </w:rPr>
        <w:t xml:space="preserve">, 101823. </w:t>
      </w:r>
      <w:r w:rsidRPr="0061355E">
        <w:rPr>
          <w:rFonts w:eastAsia="宋体"/>
          <w:noProof w:val="0"/>
          <w:color w:val="auto"/>
          <w:szCs w:val="24"/>
          <w:lang w:val="en-GB"/>
        </w:rPr>
        <w:t>https://doi.org/10.1016/j.psychsport.2020.101823</w:t>
      </w:r>
      <w:r w:rsidRPr="0061355E">
        <w:rPr>
          <w:noProof w:val="0"/>
          <w:color w:val="auto"/>
          <w:szCs w:val="24"/>
          <w:lang w:val="en-GB"/>
        </w:rPr>
        <w:t xml:space="preserve"> </w:t>
      </w:r>
    </w:p>
    <w:p w14:paraId="235FB199"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lastRenderedPageBreak/>
        <w:t xml:space="preserve">Perry, C., </w:t>
      </w:r>
      <w:proofErr w:type="spellStart"/>
      <w:r w:rsidRPr="0061355E">
        <w:rPr>
          <w:noProof w:val="0"/>
          <w:color w:val="auto"/>
          <w:szCs w:val="24"/>
          <w:lang w:val="en-GB"/>
        </w:rPr>
        <w:t>Chauntry</w:t>
      </w:r>
      <w:proofErr w:type="spellEnd"/>
      <w:r w:rsidRPr="0061355E">
        <w:rPr>
          <w:noProof w:val="0"/>
          <w:color w:val="auto"/>
          <w:szCs w:val="24"/>
          <w:lang w:val="en-GB"/>
        </w:rPr>
        <w:t xml:space="preserve">, A. J., &amp; Champ, F. M. (2022). Elite female footballers in England: An exploration of mental ill-health and help-seeking intentions. </w:t>
      </w:r>
      <w:r w:rsidRPr="0061355E">
        <w:rPr>
          <w:i/>
          <w:noProof w:val="0"/>
          <w:color w:val="auto"/>
          <w:szCs w:val="24"/>
          <w:lang w:val="en-GB"/>
        </w:rPr>
        <w:t>Science and Medicine in Football</w:t>
      </w:r>
      <w:r w:rsidRPr="0061355E">
        <w:rPr>
          <w:noProof w:val="0"/>
          <w:color w:val="auto"/>
          <w:szCs w:val="24"/>
          <w:lang w:val="en-GB"/>
        </w:rPr>
        <w:t xml:space="preserve">. </w:t>
      </w:r>
      <w:r w:rsidRPr="0061355E">
        <w:rPr>
          <w:rFonts w:eastAsia="宋体"/>
          <w:noProof w:val="0"/>
          <w:color w:val="auto"/>
          <w:szCs w:val="24"/>
          <w:lang w:val="en-GB"/>
        </w:rPr>
        <w:t>https://doi.org/10.1080/24733938.2022.2084149</w:t>
      </w:r>
      <w:r w:rsidRPr="0061355E">
        <w:rPr>
          <w:noProof w:val="0"/>
          <w:color w:val="auto"/>
          <w:szCs w:val="24"/>
          <w:lang w:val="en-GB"/>
        </w:rPr>
        <w:t xml:space="preserve"> </w:t>
      </w:r>
    </w:p>
    <w:p w14:paraId="292D09EF"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Rice, S. M., </w:t>
      </w:r>
      <w:proofErr w:type="spellStart"/>
      <w:r w:rsidRPr="0061355E">
        <w:rPr>
          <w:noProof w:val="0"/>
          <w:color w:val="auto"/>
          <w:szCs w:val="24"/>
          <w:lang w:val="en-GB"/>
        </w:rPr>
        <w:t>Gwyther</w:t>
      </w:r>
      <w:proofErr w:type="spellEnd"/>
      <w:r w:rsidRPr="0061355E">
        <w:rPr>
          <w:noProof w:val="0"/>
          <w:color w:val="auto"/>
          <w:szCs w:val="24"/>
          <w:lang w:val="en-GB"/>
        </w:rPr>
        <w:t xml:space="preserve">, K., </w:t>
      </w:r>
      <w:proofErr w:type="spellStart"/>
      <w:r w:rsidRPr="0061355E">
        <w:rPr>
          <w:noProof w:val="0"/>
          <w:color w:val="auto"/>
          <w:szCs w:val="24"/>
          <w:lang w:val="en-GB"/>
        </w:rPr>
        <w:t>Santesteban-Echarri</w:t>
      </w:r>
      <w:proofErr w:type="spellEnd"/>
      <w:r w:rsidRPr="0061355E">
        <w:rPr>
          <w:noProof w:val="0"/>
          <w:color w:val="auto"/>
          <w:szCs w:val="24"/>
          <w:lang w:val="en-GB"/>
        </w:rPr>
        <w:t xml:space="preserve">, O., Baron, D., </w:t>
      </w:r>
      <w:proofErr w:type="spellStart"/>
      <w:r w:rsidRPr="0061355E">
        <w:rPr>
          <w:noProof w:val="0"/>
          <w:color w:val="auto"/>
          <w:szCs w:val="24"/>
          <w:lang w:val="en-GB"/>
        </w:rPr>
        <w:t>Gorczynski</w:t>
      </w:r>
      <w:proofErr w:type="spellEnd"/>
      <w:r w:rsidRPr="0061355E">
        <w:rPr>
          <w:noProof w:val="0"/>
          <w:color w:val="auto"/>
          <w:szCs w:val="24"/>
          <w:lang w:val="en-GB"/>
        </w:rPr>
        <w:t xml:space="preserve">, P., </w:t>
      </w:r>
      <w:proofErr w:type="spellStart"/>
      <w:r w:rsidRPr="0061355E">
        <w:rPr>
          <w:noProof w:val="0"/>
          <w:color w:val="auto"/>
          <w:szCs w:val="24"/>
          <w:lang w:val="en-GB"/>
        </w:rPr>
        <w:t>Gouttebarge</w:t>
      </w:r>
      <w:proofErr w:type="spellEnd"/>
      <w:r w:rsidRPr="0061355E">
        <w:rPr>
          <w:noProof w:val="0"/>
          <w:color w:val="auto"/>
          <w:szCs w:val="24"/>
          <w:lang w:val="en-GB"/>
        </w:rPr>
        <w:t xml:space="preserve">, V., . . . Purcell, R. (2019). Determinants of anxiety in elite athletes: A systematic review and meta-analysis. </w:t>
      </w:r>
      <w:r w:rsidR="005E092F" w:rsidRPr="0061355E">
        <w:rPr>
          <w:i/>
          <w:noProof w:val="0"/>
          <w:color w:val="auto"/>
          <w:szCs w:val="24"/>
          <w:lang w:val="en-GB"/>
        </w:rPr>
        <w:t>British J</w:t>
      </w:r>
      <w:r w:rsidRPr="0061355E">
        <w:rPr>
          <w:i/>
          <w:noProof w:val="0"/>
          <w:color w:val="auto"/>
          <w:szCs w:val="24"/>
          <w:lang w:val="en-GB"/>
        </w:rPr>
        <w:t xml:space="preserve">ournal of </w:t>
      </w:r>
      <w:r w:rsidR="005E092F" w:rsidRPr="0061355E">
        <w:rPr>
          <w:i/>
          <w:noProof w:val="0"/>
          <w:color w:val="auto"/>
          <w:szCs w:val="24"/>
          <w:lang w:val="en-GB"/>
        </w:rPr>
        <w:t>S</w:t>
      </w:r>
      <w:r w:rsidRPr="0061355E">
        <w:rPr>
          <w:i/>
          <w:noProof w:val="0"/>
          <w:color w:val="auto"/>
          <w:szCs w:val="24"/>
          <w:lang w:val="en-GB"/>
        </w:rPr>
        <w:t xml:space="preserve">ports </w:t>
      </w:r>
      <w:r w:rsidR="005E092F" w:rsidRPr="0061355E">
        <w:rPr>
          <w:i/>
          <w:noProof w:val="0"/>
          <w:color w:val="auto"/>
          <w:szCs w:val="24"/>
          <w:lang w:val="en-GB"/>
        </w:rPr>
        <w:t>M</w:t>
      </w:r>
      <w:r w:rsidRPr="0061355E">
        <w:rPr>
          <w:i/>
          <w:noProof w:val="0"/>
          <w:color w:val="auto"/>
          <w:szCs w:val="24"/>
          <w:lang w:val="en-GB"/>
        </w:rPr>
        <w:t>edicine</w:t>
      </w:r>
      <w:r w:rsidRPr="0061355E">
        <w:rPr>
          <w:noProof w:val="0"/>
          <w:color w:val="auto"/>
          <w:szCs w:val="24"/>
          <w:lang w:val="en-GB"/>
        </w:rPr>
        <w:t>,</w:t>
      </w:r>
      <w:r w:rsidRPr="0061355E">
        <w:rPr>
          <w:i/>
          <w:noProof w:val="0"/>
          <w:color w:val="auto"/>
          <w:szCs w:val="24"/>
          <w:lang w:val="en-GB"/>
        </w:rPr>
        <w:t xml:space="preserve"> 53</w:t>
      </w:r>
      <w:r w:rsidRPr="0061355E">
        <w:rPr>
          <w:noProof w:val="0"/>
          <w:color w:val="auto"/>
          <w:szCs w:val="24"/>
          <w:lang w:val="en-GB"/>
        </w:rPr>
        <w:t xml:space="preserve">(11), 722-730. </w:t>
      </w:r>
      <w:r w:rsidRPr="0061355E">
        <w:rPr>
          <w:rFonts w:eastAsia="宋体"/>
          <w:noProof w:val="0"/>
          <w:color w:val="auto"/>
          <w:szCs w:val="24"/>
          <w:lang w:val="en-GB"/>
        </w:rPr>
        <w:t>https://doi.org/10.1136/bjsports-2019-100620</w:t>
      </w:r>
      <w:r w:rsidRPr="0061355E">
        <w:rPr>
          <w:noProof w:val="0"/>
          <w:color w:val="auto"/>
          <w:szCs w:val="24"/>
          <w:lang w:val="en-GB"/>
        </w:rPr>
        <w:t xml:space="preserve"> </w:t>
      </w:r>
    </w:p>
    <w:p w14:paraId="3FE2D703" w14:textId="77777777"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Sanhueza</w:t>
      </w:r>
      <w:proofErr w:type="spellEnd"/>
      <w:r w:rsidRPr="0061355E">
        <w:rPr>
          <w:noProof w:val="0"/>
          <w:color w:val="auto"/>
          <w:szCs w:val="24"/>
          <w:lang w:val="en-GB"/>
        </w:rPr>
        <w:t xml:space="preserve">, J. A., Zambrano, T., </w:t>
      </w:r>
      <w:proofErr w:type="spellStart"/>
      <w:r w:rsidRPr="0061355E">
        <w:rPr>
          <w:noProof w:val="0"/>
          <w:color w:val="auto"/>
          <w:szCs w:val="24"/>
          <w:lang w:val="en-GB"/>
        </w:rPr>
        <w:t>Bahamondes</w:t>
      </w:r>
      <w:proofErr w:type="spellEnd"/>
      <w:r w:rsidRPr="0061355E">
        <w:rPr>
          <w:noProof w:val="0"/>
          <w:color w:val="auto"/>
          <w:szCs w:val="24"/>
          <w:lang w:val="en-GB"/>
        </w:rPr>
        <w:t xml:space="preserve">-Avila, C., &amp; Salazar, L. A. (2016). Association of anxiety-related polymorphisms with sports performance in Chilean long distance triathletes: a pilot study. </w:t>
      </w:r>
      <w:r w:rsidRPr="0061355E">
        <w:rPr>
          <w:i/>
          <w:noProof w:val="0"/>
          <w:color w:val="auto"/>
          <w:szCs w:val="24"/>
          <w:lang w:val="en-GB"/>
        </w:rPr>
        <w:t xml:space="preserve">Journal of </w:t>
      </w:r>
      <w:r w:rsidR="005E092F" w:rsidRPr="0061355E">
        <w:rPr>
          <w:i/>
          <w:noProof w:val="0"/>
          <w:color w:val="auto"/>
          <w:szCs w:val="24"/>
          <w:lang w:val="en-GB"/>
        </w:rPr>
        <w:t>Sports Science &amp; M</w:t>
      </w:r>
      <w:r w:rsidRPr="0061355E">
        <w:rPr>
          <w:i/>
          <w:noProof w:val="0"/>
          <w:color w:val="auto"/>
          <w:szCs w:val="24"/>
          <w:lang w:val="en-GB"/>
        </w:rPr>
        <w:t>edicine</w:t>
      </w:r>
      <w:r w:rsidRPr="0061355E">
        <w:rPr>
          <w:noProof w:val="0"/>
          <w:color w:val="auto"/>
          <w:szCs w:val="24"/>
          <w:lang w:val="en-GB"/>
        </w:rPr>
        <w:t>,</w:t>
      </w:r>
      <w:r w:rsidRPr="0061355E">
        <w:rPr>
          <w:i/>
          <w:noProof w:val="0"/>
          <w:color w:val="auto"/>
          <w:szCs w:val="24"/>
          <w:lang w:val="en-GB"/>
        </w:rPr>
        <w:t xml:space="preserve"> 15</w:t>
      </w:r>
      <w:r w:rsidRPr="0061355E">
        <w:rPr>
          <w:noProof w:val="0"/>
          <w:color w:val="auto"/>
          <w:szCs w:val="24"/>
          <w:lang w:val="en-GB"/>
        </w:rPr>
        <w:t xml:space="preserve">(4), 554-561. </w:t>
      </w:r>
    </w:p>
    <w:p w14:paraId="7C5F68F9" w14:textId="47FB5E18" w:rsidR="007C4307" w:rsidRPr="0061355E" w:rsidRDefault="007C4307" w:rsidP="007C4307">
      <w:pPr>
        <w:pStyle w:val="EndNoteBibliography"/>
        <w:spacing w:line="480" w:lineRule="auto"/>
        <w:ind w:left="720" w:hanging="720"/>
        <w:jc w:val="left"/>
        <w:rPr>
          <w:noProof w:val="0"/>
          <w:color w:val="auto"/>
          <w:shd w:val="clear" w:color="auto" w:fill="FFFFFF"/>
          <w:lang w:val="en-GB"/>
        </w:rPr>
      </w:pPr>
      <w:r w:rsidRPr="0061355E">
        <w:rPr>
          <w:noProof w:val="0"/>
          <w:color w:val="auto"/>
          <w:shd w:val="clear" w:color="auto" w:fill="FFFFFF"/>
          <w:lang w:val="en-GB"/>
        </w:rPr>
        <w:t xml:space="preserve">Schinke, R. J., </w:t>
      </w:r>
      <w:proofErr w:type="spellStart"/>
      <w:r w:rsidRPr="0061355E">
        <w:rPr>
          <w:noProof w:val="0"/>
          <w:color w:val="auto"/>
          <w:shd w:val="clear" w:color="auto" w:fill="FFFFFF"/>
          <w:lang w:val="en-GB"/>
        </w:rPr>
        <w:t>Giffin</w:t>
      </w:r>
      <w:proofErr w:type="spellEnd"/>
      <w:r w:rsidRPr="0061355E">
        <w:rPr>
          <w:noProof w:val="0"/>
          <w:color w:val="auto"/>
          <w:shd w:val="clear" w:color="auto" w:fill="FFFFFF"/>
          <w:lang w:val="en-GB"/>
        </w:rPr>
        <w:t xml:space="preserve">, C., Cosh, S., Douglas, K., </w:t>
      </w:r>
      <w:proofErr w:type="spellStart"/>
      <w:r w:rsidRPr="0061355E">
        <w:rPr>
          <w:noProof w:val="0"/>
          <w:color w:val="auto"/>
          <w:shd w:val="clear" w:color="auto" w:fill="FFFFFF"/>
          <w:lang w:val="en-GB"/>
        </w:rPr>
        <w:t>Rhind</w:t>
      </w:r>
      <w:proofErr w:type="spellEnd"/>
      <w:r w:rsidRPr="0061355E">
        <w:rPr>
          <w:noProof w:val="0"/>
          <w:color w:val="auto"/>
          <w:shd w:val="clear" w:color="auto" w:fill="FFFFFF"/>
          <w:lang w:val="en-GB"/>
        </w:rPr>
        <w:t xml:space="preserve">, D., Harwood, C., ... </w:t>
      </w:r>
      <w:proofErr w:type="spellStart"/>
      <w:r w:rsidRPr="0061355E">
        <w:rPr>
          <w:noProof w:val="0"/>
          <w:color w:val="auto"/>
          <w:shd w:val="clear" w:color="auto" w:fill="FFFFFF"/>
          <w:lang w:val="en-GB"/>
        </w:rPr>
        <w:t>Papaiounnou</w:t>
      </w:r>
      <w:proofErr w:type="spellEnd"/>
      <w:r w:rsidRPr="0061355E">
        <w:rPr>
          <w:noProof w:val="0"/>
          <w:color w:val="auto"/>
          <w:shd w:val="clear" w:color="auto" w:fill="FFFFFF"/>
          <w:lang w:val="en-GB"/>
        </w:rPr>
        <w:t>, A. (2022). International society of sport psychology position stand:</w:t>
      </w:r>
      <w:r w:rsidR="000B6DBC" w:rsidRPr="0061355E">
        <w:rPr>
          <w:noProof w:val="0"/>
          <w:color w:val="auto"/>
          <w:shd w:val="clear" w:color="auto" w:fill="FFFFFF"/>
          <w:lang w:val="en-GB"/>
        </w:rPr>
        <w:t xml:space="preserve"> M</w:t>
      </w:r>
      <w:r w:rsidRPr="0061355E">
        <w:rPr>
          <w:noProof w:val="0"/>
          <w:color w:val="auto"/>
          <w:shd w:val="clear" w:color="auto" w:fill="FFFFFF"/>
          <w:lang w:val="en-GB"/>
        </w:rPr>
        <w:t>ental health through occupational health and safety in high performance sport. </w:t>
      </w:r>
      <w:r w:rsidRPr="0061355E">
        <w:rPr>
          <w:i/>
          <w:iCs/>
          <w:noProof w:val="0"/>
          <w:color w:val="auto"/>
          <w:shd w:val="clear" w:color="auto" w:fill="FFFFFF"/>
          <w:lang w:val="en-GB"/>
        </w:rPr>
        <w:t>International Journal of Sport and Exercise Psychology</w:t>
      </w:r>
      <w:r w:rsidRPr="0061355E">
        <w:rPr>
          <w:noProof w:val="0"/>
          <w:color w:val="auto"/>
          <w:shd w:val="clear" w:color="auto" w:fill="FFFFFF"/>
          <w:lang w:val="en-GB"/>
        </w:rPr>
        <w:t>, </w:t>
      </w:r>
      <w:r w:rsidRPr="0061355E">
        <w:rPr>
          <w:i/>
          <w:iCs/>
          <w:noProof w:val="0"/>
          <w:color w:val="auto"/>
          <w:shd w:val="clear" w:color="auto" w:fill="FFFFFF"/>
          <w:lang w:val="en-GB"/>
        </w:rPr>
        <w:t>20</w:t>
      </w:r>
      <w:r w:rsidRPr="0061355E">
        <w:rPr>
          <w:noProof w:val="0"/>
          <w:color w:val="auto"/>
          <w:shd w:val="clear" w:color="auto" w:fill="FFFFFF"/>
          <w:lang w:val="en-GB"/>
        </w:rPr>
        <w:t xml:space="preserve">(6), 1711-1733. </w:t>
      </w:r>
      <w:r w:rsidRPr="0061355E">
        <w:rPr>
          <w:rFonts w:eastAsia="Cambria"/>
          <w:noProof w:val="0"/>
          <w:color w:val="auto"/>
          <w:lang w:val="en-GB"/>
        </w:rPr>
        <w:t>https://doi.org/10.1080/1750984X.2022.2129423</w:t>
      </w:r>
    </w:p>
    <w:p w14:paraId="734B2552"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Spitzer, R. L., Kroenke, K., Williams, J. B., &amp; </w:t>
      </w:r>
      <w:proofErr w:type="spellStart"/>
      <w:r w:rsidRPr="0061355E">
        <w:rPr>
          <w:noProof w:val="0"/>
          <w:color w:val="auto"/>
          <w:szCs w:val="24"/>
          <w:lang w:val="en-GB"/>
        </w:rPr>
        <w:t>Löwe</w:t>
      </w:r>
      <w:proofErr w:type="spellEnd"/>
      <w:r w:rsidRPr="0061355E">
        <w:rPr>
          <w:noProof w:val="0"/>
          <w:color w:val="auto"/>
          <w:szCs w:val="24"/>
          <w:lang w:val="en-GB"/>
        </w:rPr>
        <w:t xml:space="preserve">, B. (2006). A brief measure for assessing generalized anxiety disorder: The GAD-7. </w:t>
      </w:r>
      <w:r w:rsidR="005E092F" w:rsidRPr="0061355E">
        <w:rPr>
          <w:i/>
          <w:noProof w:val="0"/>
          <w:color w:val="auto"/>
          <w:szCs w:val="24"/>
          <w:lang w:val="en-GB"/>
        </w:rPr>
        <w:t>Archives of Internal M</w:t>
      </w:r>
      <w:r w:rsidRPr="0061355E">
        <w:rPr>
          <w:i/>
          <w:noProof w:val="0"/>
          <w:color w:val="auto"/>
          <w:szCs w:val="24"/>
          <w:lang w:val="en-GB"/>
        </w:rPr>
        <w:t>edicine</w:t>
      </w:r>
      <w:r w:rsidRPr="0061355E">
        <w:rPr>
          <w:noProof w:val="0"/>
          <w:color w:val="auto"/>
          <w:szCs w:val="24"/>
          <w:lang w:val="en-GB"/>
        </w:rPr>
        <w:t>,</w:t>
      </w:r>
      <w:r w:rsidRPr="0061355E">
        <w:rPr>
          <w:i/>
          <w:noProof w:val="0"/>
          <w:color w:val="auto"/>
          <w:szCs w:val="24"/>
          <w:lang w:val="en-GB"/>
        </w:rPr>
        <w:t xml:space="preserve"> 166</w:t>
      </w:r>
      <w:r w:rsidRPr="0061355E">
        <w:rPr>
          <w:noProof w:val="0"/>
          <w:color w:val="auto"/>
          <w:szCs w:val="24"/>
          <w:lang w:val="en-GB"/>
        </w:rPr>
        <w:t xml:space="preserve">(10), 1092-1097. </w:t>
      </w:r>
      <w:r w:rsidRPr="0061355E">
        <w:rPr>
          <w:rFonts w:eastAsia="宋体"/>
          <w:noProof w:val="0"/>
          <w:color w:val="auto"/>
          <w:szCs w:val="24"/>
          <w:lang w:val="en-GB"/>
        </w:rPr>
        <w:t>https://doi.org/10.1001/archinte.166.10.1092</w:t>
      </w:r>
      <w:r w:rsidRPr="0061355E">
        <w:rPr>
          <w:noProof w:val="0"/>
          <w:color w:val="auto"/>
          <w:szCs w:val="24"/>
          <w:lang w:val="en-GB"/>
        </w:rPr>
        <w:t xml:space="preserve"> </w:t>
      </w:r>
    </w:p>
    <w:p w14:paraId="24E3A736" w14:textId="645BCE9B" w:rsidR="001F05F2" w:rsidRPr="0061355E" w:rsidRDefault="001F05F2" w:rsidP="0060536E">
      <w:pPr>
        <w:pStyle w:val="EndNoteBibliography"/>
        <w:spacing w:line="480" w:lineRule="auto"/>
        <w:ind w:left="720" w:hanging="720"/>
        <w:jc w:val="left"/>
        <w:rPr>
          <w:noProof w:val="0"/>
          <w:color w:val="auto"/>
          <w:szCs w:val="24"/>
          <w:lang w:val="en-GB"/>
        </w:rPr>
      </w:pPr>
      <w:proofErr w:type="spellStart"/>
      <w:r w:rsidRPr="0061355E">
        <w:rPr>
          <w:noProof w:val="0"/>
          <w:color w:val="auto"/>
          <w:szCs w:val="24"/>
          <w:lang w:val="en-GB"/>
        </w:rPr>
        <w:t>Tahtinen</w:t>
      </w:r>
      <w:proofErr w:type="spellEnd"/>
      <w:r w:rsidRPr="0061355E">
        <w:rPr>
          <w:noProof w:val="0"/>
          <w:color w:val="auto"/>
          <w:szCs w:val="24"/>
          <w:lang w:val="en-GB"/>
        </w:rPr>
        <w:t xml:space="preserve">, R. E., </w:t>
      </w:r>
      <w:proofErr w:type="spellStart"/>
      <w:r w:rsidRPr="0061355E">
        <w:rPr>
          <w:noProof w:val="0"/>
          <w:color w:val="auto"/>
          <w:szCs w:val="24"/>
          <w:lang w:val="en-GB"/>
        </w:rPr>
        <w:t>Kristjánsdóttir</w:t>
      </w:r>
      <w:proofErr w:type="spellEnd"/>
      <w:r w:rsidRPr="0061355E">
        <w:rPr>
          <w:noProof w:val="0"/>
          <w:color w:val="auto"/>
          <w:szCs w:val="24"/>
          <w:lang w:val="en-GB"/>
        </w:rPr>
        <w:t xml:space="preserve">, H., </w:t>
      </w:r>
      <w:proofErr w:type="spellStart"/>
      <w:r w:rsidRPr="0061355E">
        <w:rPr>
          <w:noProof w:val="0"/>
          <w:color w:val="auto"/>
          <w:szCs w:val="24"/>
          <w:lang w:val="en-GB"/>
        </w:rPr>
        <w:t>þorgeirsson</w:t>
      </w:r>
      <w:proofErr w:type="spellEnd"/>
      <w:r w:rsidRPr="0061355E">
        <w:rPr>
          <w:noProof w:val="0"/>
          <w:color w:val="auto"/>
          <w:szCs w:val="24"/>
          <w:lang w:val="en-GB"/>
        </w:rPr>
        <w:t xml:space="preserve">, S., </w:t>
      </w:r>
      <w:proofErr w:type="spellStart"/>
      <w:r w:rsidRPr="0061355E">
        <w:rPr>
          <w:noProof w:val="0"/>
          <w:color w:val="auto"/>
          <w:szCs w:val="24"/>
          <w:lang w:val="en-GB"/>
        </w:rPr>
        <w:t>Oddson</w:t>
      </w:r>
      <w:proofErr w:type="spellEnd"/>
      <w:r w:rsidRPr="0061355E">
        <w:rPr>
          <w:noProof w:val="0"/>
          <w:color w:val="auto"/>
          <w:szCs w:val="24"/>
          <w:lang w:val="en-GB"/>
        </w:rPr>
        <w:t xml:space="preserve">, H. R., Saavedra, J. M., &amp; Morris, R. (2021). Depressive symptoms in Icelandic elite athletes: A prospective examination through the lens of the response styles theory. </w:t>
      </w:r>
      <w:r w:rsidRPr="0061355E">
        <w:rPr>
          <w:i/>
          <w:noProof w:val="0"/>
          <w:color w:val="auto"/>
          <w:szCs w:val="24"/>
          <w:lang w:val="en-GB"/>
        </w:rPr>
        <w:t>Psychology of Sport and Exercise</w:t>
      </w:r>
      <w:r w:rsidRPr="0061355E">
        <w:rPr>
          <w:noProof w:val="0"/>
          <w:color w:val="auto"/>
          <w:szCs w:val="24"/>
          <w:lang w:val="en-GB"/>
        </w:rPr>
        <w:t>,</w:t>
      </w:r>
      <w:r w:rsidRPr="0061355E">
        <w:rPr>
          <w:i/>
          <w:noProof w:val="0"/>
          <w:color w:val="auto"/>
          <w:szCs w:val="24"/>
          <w:lang w:val="en-GB"/>
        </w:rPr>
        <w:t xml:space="preserve"> 56</w:t>
      </w:r>
      <w:r w:rsidRPr="0061355E">
        <w:rPr>
          <w:noProof w:val="0"/>
          <w:color w:val="auto"/>
          <w:szCs w:val="24"/>
          <w:lang w:val="en-GB"/>
        </w:rPr>
        <w:t xml:space="preserve">. </w:t>
      </w:r>
      <w:r w:rsidRPr="0061355E">
        <w:rPr>
          <w:rFonts w:eastAsia="宋体"/>
          <w:noProof w:val="0"/>
          <w:color w:val="auto"/>
          <w:szCs w:val="24"/>
          <w:lang w:val="en-GB"/>
        </w:rPr>
        <w:t>https://doi.org/10.1016/j.psychsport.2021.101964</w:t>
      </w:r>
      <w:r w:rsidRPr="0061355E">
        <w:rPr>
          <w:noProof w:val="0"/>
          <w:color w:val="auto"/>
          <w:szCs w:val="24"/>
          <w:lang w:val="en-GB"/>
        </w:rPr>
        <w:t xml:space="preserve"> </w:t>
      </w:r>
    </w:p>
    <w:p w14:paraId="4C929629" w14:textId="77777777" w:rsidR="001F05F2" w:rsidRPr="0061355E" w:rsidRDefault="001F05F2" w:rsidP="0060536E">
      <w:pPr>
        <w:pStyle w:val="EndNoteBibliography"/>
        <w:spacing w:line="480" w:lineRule="auto"/>
        <w:ind w:left="720" w:hanging="720"/>
        <w:jc w:val="left"/>
        <w:rPr>
          <w:noProof w:val="0"/>
          <w:color w:val="auto"/>
          <w:szCs w:val="24"/>
          <w:lang w:val="en-GB"/>
        </w:rPr>
      </w:pPr>
      <w:r w:rsidRPr="0061355E">
        <w:rPr>
          <w:noProof w:val="0"/>
          <w:color w:val="auto"/>
          <w:szCs w:val="24"/>
          <w:lang w:val="en-GB"/>
        </w:rPr>
        <w:lastRenderedPageBreak/>
        <w:t xml:space="preserve">Thomas, C. E., </w:t>
      </w:r>
      <w:proofErr w:type="spellStart"/>
      <w:r w:rsidRPr="0061355E">
        <w:rPr>
          <w:noProof w:val="0"/>
          <w:color w:val="auto"/>
          <w:szCs w:val="24"/>
          <w:lang w:val="en-GB"/>
        </w:rPr>
        <w:t>Gastin</w:t>
      </w:r>
      <w:proofErr w:type="spellEnd"/>
      <w:r w:rsidRPr="0061355E">
        <w:rPr>
          <w:noProof w:val="0"/>
          <w:color w:val="auto"/>
          <w:szCs w:val="24"/>
          <w:lang w:val="en-GB"/>
        </w:rPr>
        <w:t xml:space="preserve">, P. B., Abbott, G., &amp; Main, L. C. (2021). Impact of the talent development environment on the wellbeing and burnout of Caribbean youth track and field athletes. </w:t>
      </w:r>
      <w:r w:rsidR="005E092F" w:rsidRPr="0061355E">
        <w:rPr>
          <w:i/>
          <w:noProof w:val="0"/>
          <w:color w:val="auto"/>
          <w:szCs w:val="24"/>
          <w:lang w:val="en-GB"/>
        </w:rPr>
        <w:t>European Journal of Sport S</w:t>
      </w:r>
      <w:r w:rsidRPr="0061355E">
        <w:rPr>
          <w:i/>
          <w:noProof w:val="0"/>
          <w:color w:val="auto"/>
          <w:szCs w:val="24"/>
          <w:lang w:val="en-GB"/>
        </w:rPr>
        <w:t>cience</w:t>
      </w:r>
      <w:r w:rsidRPr="0061355E">
        <w:rPr>
          <w:noProof w:val="0"/>
          <w:color w:val="auto"/>
          <w:szCs w:val="24"/>
          <w:lang w:val="en-GB"/>
        </w:rPr>
        <w:t>,</w:t>
      </w:r>
      <w:r w:rsidRPr="0061355E">
        <w:rPr>
          <w:i/>
          <w:noProof w:val="0"/>
          <w:color w:val="auto"/>
          <w:szCs w:val="24"/>
          <w:lang w:val="en-GB"/>
        </w:rPr>
        <w:t xml:space="preserve"> 21</w:t>
      </w:r>
      <w:r w:rsidRPr="0061355E">
        <w:rPr>
          <w:noProof w:val="0"/>
          <w:color w:val="auto"/>
          <w:szCs w:val="24"/>
          <w:lang w:val="en-GB"/>
        </w:rPr>
        <w:t xml:space="preserve">(4), 590-603. </w:t>
      </w:r>
      <w:r w:rsidRPr="0061355E">
        <w:rPr>
          <w:rFonts w:eastAsia="宋体"/>
          <w:noProof w:val="0"/>
          <w:color w:val="auto"/>
          <w:szCs w:val="24"/>
          <w:lang w:val="en-GB"/>
        </w:rPr>
        <w:t>https://doi.org/10.1080/17461391.2020.1775894</w:t>
      </w:r>
      <w:r w:rsidRPr="0061355E">
        <w:rPr>
          <w:noProof w:val="0"/>
          <w:color w:val="auto"/>
          <w:szCs w:val="24"/>
          <w:lang w:val="en-GB"/>
        </w:rPr>
        <w:t xml:space="preserve"> </w:t>
      </w:r>
    </w:p>
    <w:p w14:paraId="60AE6E5C" w14:textId="77777777" w:rsidR="00523182" w:rsidRPr="0061355E" w:rsidRDefault="001F05F2" w:rsidP="002E7D96">
      <w:pPr>
        <w:pStyle w:val="EndNoteBibliography"/>
        <w:spacing w:line="480" w:lineRule="auto"/>
        <w:ind w:left="720" w:hanging="720"/>
        <w:jc w:val="left"/>
        <w:rPr>
          <w:noProof w:val="0"/>
          <w:color w:val="auto"/>
          <w:szCs w:val="24"/>
          <w:lang w:val="en-GB"/>
        </w:rPr>
      </w:pPr>
      <w:r w:rsidRPr="0061355E">
        <w:rPr>
          <w:noProof w:val="0"/>
          <w:color w:val="auto"/>
          <w:szCs w:val="24"/>
          <w:lang w:val="en-GB"/>
        </w:rPr>
        <w:t xml:space="preserve">Thompson, R. A., &amp; Sherman, R. (2014). Reflections on athletes and eating disorders. </w:t>
      </w:r>
      <w:r w:rsidRPr="0061355E">
        <w:rPr>
          <w:i/>
          <w:noProof w:val="0"/>
          <w:color w:val="auto"/>
          <w:szCs w:val="24"/>
          <w:lang w:val="en-GB"/>
        </w:rPr>
        <w:t>Psychology of Sport and Exercise</w:t>
      </w:r>
      <w:r w:rsidRPr="0061355E">
        <w:rPr>
          <w:noProof w:val="0"/>
          <w:color w:val="auto"/>
          <w:szCs w:val="24"/>
          <w:lang w:val="en-GB"/>
        </w:rPr>
        <w:t>,</w:t>
      </w:r>
      <w:r w:rsidRPr="0061355E">
        <w:rPr>
          <w:i/>
          <w:noProof w:val="0"/>
          <w:color w:val="auto"/>
          <w:szCs w:val="24"/>
          <w:lang w:val="en-GB"/>
        </w:rPr>
        <w:t xml:space="preserve"> 15</w:t>
      </w:r>
      <w:r w:rsidRPr="0061355E">
        <w:rPr>
          <w:noProof w:val="0"/>
          <w:color w:val="auto"/>
          <w:szCs w:val="24"/>
          <w:lang w:val="en-GB"/>
        </w:rPr>
        <w:t xml:space="preserve">(6), 729-734. </w:t>
      </w:r>
      <w:r w:rsidRPr="0061355E">
        <w:rPr>
          <w:rFonts w:eastAsia="宋体"/>
          <w:noProof w:val="0"/>
          <w:color w:val="auto"/>
          <w:szCs w:val="24"/>
          <w:lang w:val="en-GB"/>
        </w:rPr>
        <w:t>https://doi.org/10.1016/j.psychsport.2014.06.005</w:t>
      </w:r>
      <w:r w:rsidRPr="0061355E">
        <w:rPr>
          <w:noProof w:val="0"/>
          <w:color w:val="auto"/>
          <w:szCs w:val="24"/>
          <w:lang w:val="en-GB"/>
        </w:rPr>
        <w:t xml:space="preserve"> </w:t>
      </w:r>
    </w:p>
    <w:p w14:paraId="379C276F" w14:textId="77777777" w:rsidR="00523182" w:rsidRPr="0061355E" w:rsidRDefault="00523182" w:rsidP="00523182">
      <w:pPr>
        <w:pStyle w:val="EndNoteBibliography"/>
        <w:spacing w:line="480" w:lineRule="auto"/>
        <w:jc w:val="left"/>
        <w:rPr>
          <w:color w:val="auto"/>
          <w:shd w:val="clear" w:color="auto" w:fill="FFFFFF"/>
          <w:lang w:val="en-GB"/>
        </w:rPr>
      </w:pPr>
      <w:r w:rsidRPr="0061355E">
        <w:rPr>
          <w:color w:val="auto"/>
          <w:shd w:val="clear" w:color="auto" w:fill="FFFFFF"/>
          <w:lang w:val="en-GB"/>
        </w:rPr>
        <w:t xml:space="preserve">Zhu, X., Haegele, J. A., Liu, H., &amp; Yu, F. (2021). Academic stress, physical activity, sleep, and </w:t>
      </w:r>
    </w:p>
    <w:p w14:paraId="73C81853" w14:textId="77777777" w:rsidR="00523182" w:rsidRPr="0061355E" w:rsidRDefault="00523182" w:rsidP="00523182">
      <w:pPr>
        <w:pStyle w:val="EndNoteBibliography"/>
        <w:spacing w:line="480" w:lineRule="auto"/>
        <w:ind w:firstLine="720"/>
        <w:jc w:val="left"/>
        <w:rPr>
          <w:i/>
          <w:iCs/>
          <w:color w:val="auto"/>
          <w:shd w:val="clear" w:color="auto" w:fill="FFFFFF"/>
          <w:lang w:val="en-GB"/>
        </w:rPr>
      </w:pPr>
      <w:r w:rsidRPr="0061355E">
        <w:rPr>
          <w:color w:val="auto"/>
          <w:shd w:val="clear" w:color="auto" w:fill="FFFFFF"/>
          <w:lang w:val="en-GB"/>
        </w:rPr>
        <w:t>mental health among Chinese adolescents. </w:t>
      </w:r>
      <w:r w:rsidRPr="0061355E">
        <w:rPr>
          <w:i/>
          <w:iCs/>
          <w:color w:val="auto"/>
          <w:shd w:val="clear" w:color="auto" w:fill="FFFFFF"/>
          <w:lang w:val="en-GB"/>
        </w:rPr>
        <w:t xml:space="preserve">International Journal of Environmental </w:t>
      </w:r>
    </w:p>
    <w:p w14:paraId="2E97910A" w14:textId="4F4562D9" w:rsidR="001F05F2" w:rsidRPr="0061355E" w:rsidRDefault="00523182" w:rsidP="00523182">
      <w:pPr>
        <w:pStyle w:val="EndNoteBibliography"/>
        <w:spacing w:line="480" w:lineRule="auto"/>
        <w:ind w:firstLine="720"/>
        <w:jc w:val="left"/>
        <w:rPr>
          <w:noProof w:val="0"/>
          <w:color w:val="auto"/>
          <w:sz w:val="32"/>
          <w:szCs w:val="24"/>
          <w:lang w:val="en-GB"/>
        </w:rPr>
      </w:pPr>
      <w:r w:rsidRPr="0061355E">
        <w:rPr>
          <w:i/>
          <w:iCs/>
          <w:color w:val="auto"/>
          <w:shd w:val="clear" w:color="auto" w:fill="FFFFFF"/>
          <w:lang w:val="en-GB"/>
        </w:rPr>
        <w:t>Research and Public Health</w:t>
      </w:r>
      <w:r w:rsidRPr="0061355E">
        <w:rPr>
          <w:color w:val="auto"/>
          <w:shd w:val="clear" w:color="auto" w:fill="FFFFFF"/>
          <w:lang w:val="en-GB"/>
        </w:rPr>
        <w:t>, </w:t>
      </w:r>
      <w:r w:rsidRPr="0061355E">
        <w:rPr>
          <w:i/>
          <w:iCs/>
          <w:color w:val="auto"/>
          <w:shd w:val="clear" w:color="auto" w:fill="FFFFFF"/>
          <w:lang w:val="en-GB"/>
        </w:rPr>
        <w:t>18</w:t>
      </w:r>
      <w:r w:rsidRPr="0061355E">
        <w:rPr>
          <w:color w:val="auto"/>
          <w:shd w:val="clear" w:color="auto" w:fill="FFFFFF"/>
          <w:lang w:val="en-GB"/>
        </w:rPr>
        <w:t>(14), 7257</w:t>
      </w:r>
      <w:r w:rsidRPr="0061355E">
        <w:rPr>
          <w:color w:val="auto"/>
          <w:szCs w:val="24"/>
          <w:shd w:val="clear" w:color="auto" w:fill="FFFFFF"/>
          <w:lang w:val="en-GB"/>
        </w:rPr>
        <w:t xml:space="preserve">. </w:t>
      </w:r>
      <w:r w:rsidRPr="0061355E">
        <w:rPr>
          <w:rFonts w:eastAsia="Cambria"/>
          <w:bCs/>
          <w:color w:val="auto"/>
          <w:szCs w:val="24"/>
          <w:shd w:val="clear" w:color="auto" w:fill="FFFFFF"/>
          <w:lang w:val="en-GB"/>
        </w:rPr>
        <w:t>https://doi.org/10.3390/ijerph18147257</w:t>
      </w:r>
      <w:r w:rsidR="001F05F2" w:rsidRPr="0061355E">
        <w:rPr>
          <w:rFonts w:eastAsia="STIX-Regular"/>
          <w:noProof w:val="0"/>
          <w:color w:val="auto"/>
          <w:sz w:val="32"/>
          <w:szCs w:val="24"/>
          <w:lang w:val="en-GB" w:eastAsia="zh-CN"/>
        </w:rPr>
        <w:br w:type="page"/>
      </w:r>
    </w:p>
    <w:p w14:paraId="07A406ED" w14:textId="77777777" w:rsidR="001F05F2" w:rsidRPr="0061355E" w:rsidRDefault="001F05F2" w:rsidP="00B701A3">
      <w:pPr>
        <w:autoSpaceDE w:val="0"/>
        <w:autoSpaceDN w:val="0"/>
        <w:adjustRightInd w:val="0"/>
        <w:spacing w:after="100" w:afterAutospacing="1" w:line="240" w:lineRule="auto"/>
        <w:contextualSpacing/>
        <w:rPr>
          <w:szCs w:val="24"/>
          <w:lang w:val="en-GB" w:bidi="en-US"/>
        </w:rPr>
      </w:pPr>
      <w:r w:rsidRPr="0061355E">
        <w:rPr>
          <w:szCs w:val="24"/>
          <w:lang w:val="en-GB" w:bidi="en-US"/>
        </w:rPr>
        <w:lastRenderedPageBreak/>
        <w:t>Table 1</w:t>
      </w:r>
    </w:p>
    <w:p w14:paraId="3AAA60DB" w14:textId="77777777" w:rsidR="001F05F2" w:rsidRPr="0061355E" w:rsidRDefault="001F05F2" w:rsidP="00B701A3">
      <w:pPr>
        <w:spacing w:after="100" w:afterAutospacing="1" w:line="240" w:lineRule="auto"/>
        <w:contextualSpacing/>
        <w:rPr>
          <w:i/>
          <w:szCs w:val="24"/>
          <w:lang w:val="en-GB" w:bidi="en-US"/>
        </w:rPr>
      </w:pPr>
      <w:r w:rsidRPr="0061355E">
        <w:rPr>
          <w:i/>
          <w:szCs w:val="24"/>
          <w:lang w:val="en-GB" w:bidi="en-US"/>
        </w:rPr>
        <w:t>P</w:t>
      </w:r>
      <w:r w:rsidRPr="0061355E">
        <w:rPr>
          <w:i/>
          <w:szCs w:val="24"/>
          <w:lang w:val="en-GB" w:eastAsia="zh-CN" w:bidi="en-US"/>
        </w:rPr>
        <w:t>ar</w:t>
      </w:r>
      <w:r w:rsidRPr="0061355E">
        <w:rPr>
          <w:i/>
          <w:szCs w:val="24"/>
          <w:lang w:val="en-GB" w:bidi="en-US"/>
        </w:rPr>
        <w:t>ticipant Characteristics (n = 248)</w:t>
      </w: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1656"/>
      </w:tblGrid>
      <w:tr w:rsidR="0004303A" w:rsidRPr="0061355E" w14:paraId="673D52B2" w14:textId="77777777" w:rsidTr="00211C6A">
        <w:tc>
          <w:tcPr>
            <w:tcW w:w="0" w:type="auto"/>
            <w:tcBorders>
              <w:top w:val="single" w:sz="4" w:space="0" w:color="auto"/>
              <w:bottom w:val="single" w:sz="4" w:space="0" w:color="auto"/>
            </w:tcBorders>
          </w:tcPr>
          <w:p w14:paraId="35527239"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Variable</w:t>
            </w:r>
          </w:p>
        </w:tc>
        <w:tc>
          <w:tcPr>
            <w:tcW w:w="0" w:type="auto"/>
            <w:tcBorders>
              <w:top w:val="single" w:sz="4" w:space="0" w:color="auto"/>
              <w:bottom w:val="single" w:sz="4" w:space="0" w:color="auto"/>
            </w:tcBorders>
          </w:tcPr>
          <w:p w14:paraId="36F4C52E" w14:textId="77777777" w:rsidR="001F05F2" w:rsidRPr="0061355E" w:rsidRDefault="001F05F2" w:rsidP="00B701A3">
            <w:pPr>
              <w:spacing w:after="100" w:afterAutospacing="1" w:line="240" w:lineRule="auto"/>
              <w:contextualSpacing/>
              <w:rPr>
                <w:szCs w:val="24"/>
                <w:lang w:val="en-GB" w:eastAsia="zh-CN"/>
              </w:rPr>
            </w:pPr>
            <w:r w:rsidRPr="0061355E">
              <w:rPr>
                <w:i/>
                <w:szCs w:val="24"/>
                <w:lang w:val="en-GB" w:eastAsia="zh-CN"/>
              </w:rPr>
              <w:t>M</w:t>
            </w:r>
            <w:r w:rsidRPr="0061355E">
              <w:rPr>
                <w:szCs w:val="24"/>
                <w:lang w:val="en-GB" w:eastAsia="zh-CN"/>
              </w:rPr>
              <w:t xml:space="preserve"> (</w:t>
            </w:r>
            <w:r w:rsidRPr="0061355E">
              <w:rPr>
                <w:i/>
                <w:szCs w:val="24"/>
                <w:lang w:val="en-GB" w:eastAsia="zh-CN"/>
              </w:rPr>
              <w:t>SD</w:t>
            </w:r>
            <w:r w:rsidRPr="0061355E">
              <w:rPr>
                <w:szCs w:val="24"/>
                <w:lang w:val="en-GB" w:eastAsia="zh-CN"/>
              </w:rPr>
              <w:t xml:space="preserve">) / </w:t>
            </w:r>
            <w:r w:rsidRPr="0061355E">
              <w:rPr>
                <w:i/>
                <w:szCs w:val="24"/>
                <w:lang w:val="en-GB" w:eastAsia="zh-CN"/>
              </w:rPr>
              <w:t>n</w:t>
            </w:r>
            <w:r w:rsidRPr="0061355E">
              <w:rPr>
                <w:szCs w:val="24"/>
                <w:lang w:val="en-GB" w:eastAsia="zh-CN"/>
              </w:rPr>
              <w:t xml:space="preserve"> (%)</w:t>
            </w:r>
          </w:p>
        </w:tc>
      </w:tr>
      <w:tr w:rsidR="0004303A" w:rsidRPr="0061355E" w14:paraId="784219DE" w14:textId="77777777" w:rsidTr="00211C6A">
        <w:tc>
          <w:tcPr>
            <w:tcW w:w="0" w:type="auto"/>
            <w:tcBorders>
              <w:top w:val="single" w:sz="4" w:space="0" w:color="auto"/>
            </w:tcBorders>
          </w:tcPr>
          <w:p w14:paraId="369A6077"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Age (year)</w:t>
            </w:r>
          </w:p>
        </w:tc>
        <w:tc>
          <w:tcPr>
            <w:tcW w:w="0" w:type="auto"/>
            <w:tcBorders>
              <w:top w:val="single" w:sz="4" w:space="0" w:color="auto"/>
            </w:tcBorders>
          </w:tcPr>
          <w:p w14:paraId="5B737AFD"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18.34 (3.11)</w:t>
            </w:r>
          </w:p>
        </w:tc>
      </w:tr>
      <w:tr w:rsidR="0004303A" w:rsidRPr="0061355E" w14:paraId="131D09BA" w14:textId="77777777" w:rsidTr="00211C6A">
        <w:tc>
          <w:tcPr>
            <w:tcW w:w="0" w:type="auto"/>
          </w:tcPr>
          <w:p w14:paraId="1AE75150"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Gender</w:t>
            </w:r>
          </w:p>
          <w:p w14:paraId="372720B0"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 xml:space="preserve">  Male</w:t>
            </w:r>
          </w:p>
          <w:p w14:paraId="731DC35F"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 xml:space="preserve">  Female</w:t>
            </w:r>
          </w:p>
        </w:tc>
        <w:tc>
          <w:tcPr>
            <w:tcW w:w="0" w:type="auto"/>
          </w:tcPr>
          <w:p w14:paraId="57DCFFA2" w14:textId="77777777" w:rsidR="001F05F2" w:rsidRPr="0061355E" w:rsidRDefault="001F05F2" w:rsidP="00B701A3">
            <w:pPr>
              <w:spacing w:after="100" w:afterAutospacing="1" w:line="240" w:lineRule="auto"/>
              <w:contextualSpacing/>
              <w:rPr>
                <w:szCs w:val="24"/>
                <w:lang w:val="en-GB" w:eastAsia="zh-CN"/>
              </w:rPr>
            </w:pPr>
          </w:p>
          <w:p w14:paraId="5447C7E3"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167 (67.3%)</w:t>
            </w:r>
          </w:p>
          <w:p w14:paraId="60CC27BB"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81 (32.7%)</w:t>
            </w:r>
          </w:p>
        </w:tc>
      </w:tr>
      <w:tr w:rsidR="0004303A" w:rsidRPr="0061355E" w14:paraId="09167B34" w14:textId="77777777" w:rsidTr="00211C6A">
        <w:tc>
          <w:tcPr>
            <w:tcW w:w="0" w:type="auto"/>
          </w:tcPr>
          <w:p w14:paraId="5C0AE169"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 xml:space="preserve">Sport </w:t>
            </w:r>
          </w:p>
          <w:p w14:paraId="287665DE"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 xml:space="preserve">  Table tennis</w:t>
            </w:r>
          </w:p>
          <w:p w14:paraId="612EBEA0" w14:textId="77777777" w:rsidR="001F05F2" w:rsidRPr="0061355E" w:rsidRDefault="001F05F2" w:rsidP="00B701A3">
            <w:pPr>
              <w:spacing w:after="100" w:afterAutospacing="1" w:line="240" w:lineRule="auto"/>
              <w:ind w:firstLineChars="50" w:firstLine="120"/>
              <w:contextualSpacing/>
              <w:rPr>
                <w:szCs w:val="24"/>
                <w:lang w:val="en-GB" w:eastAsia="zh-CN"/>
              </w:rPr>
            </w:pPr>
            <w:r w:rsidRPr="0061355E">
              <w:rPr>
                <w:szCs w:val="24"/>
                <w:lang w:val="en-GB" w:eastAsia="zh-CN"/>
              </w:rPr>
              <w:t>Fencing</w:t>
            </w:r>
          </w:p>
          <w:p w14:paraId="5953FD2E" w14:textId="77777777" w:rsidR="001F05F2" w:rsidRPr="0061355E" w:rsidRDefault="001F05F2" w:rsidP="00B701A3">
            <w:pPr>
              <w:spacing w:after="100" w:afterAutospacing="1" w:line="240" w:lineRule="auto"/>
              <w:ind w:firstLineChars="50" w:firstLine="120"/>
              <w:contextualSpacing/>
              <w:rPr>
                <w:szCs w:val="24"/>
                <w:lang w:val="en-GB" w:eastAsia="zh-CN"/>
              </w:rPr>
            </w:pPr>
            <w:r w:rsidRPr="0061355E">
              <w:rPr>
                <w:szCs w:val="24"/>
                <w:lang w:val="en-GB" w:eastAsia="zh-CN"/>
              </w:rPr>
              <w:t>Wrestling</w:t>
            </w:r>
          </w:p>
          <w:p w14:paraId="0624AD9F" w14:textId="77777777" w:rsidR="001F05F2" w:rsidRPr="0061355E" w:rsidRDefault="001F05F2" w:rsidP="00B701A3">
            <w:pPr>
              <w:spacing w:after="100" w:afterAutospacing="1" w:line="240" w:lineRule="auto"/>
              <w:ind w:firstLineChars="50" w:firstLine="120"/>
              <w:contextualSpacing/>
              <w:rPr>
                <w:szCs w:val="24"/>
                <w:lang w:val="en-GB" w:eastAsia="zh-CN"/>
              </w:rPr>
            </w:pPr>
            <w:r w:rsidRPr="0061355E">
              <w:rPr>
                <w:szCs w:val="24"/>
                <w:lang w:val="en-GB" w:eastAsia="zh-CN"/>
              </w:rPr>
              <w:t>Cycling</w:t>
            </w:r>
          </w:p>
          <w:p w14:paraId="4825736B" w14:textId="77777777" w:rsidR="001F05F2" w:rsidRPr="0061355E" w:rsidRDefault="001F05F2" w:rsidP="00B701A3">
            <w:pPr>
              <w:spacing w:after="100" w:afterAutospacing="1" w:line="240" w:lineRule="auto"/>
              <w:ind w:firstLineChars="50" w:firstLine="120"/>
              <w:contextualSpacing/>
              <w:rPr>
                <w:szCs w:val="24"/>
                <w:lang w:val="en-GB" w:eastAsia="zh-CN"/>
              </w:rPr>
            </w:pPr>
            <w:r w:rsidRPr="0061355E">
              <w:rPr>
                <w:szCs w:val="24"/>
                <w:lang w:val="en-GB" w:eastAsia="zh-CN"/>
              </w:rPr>
              <w:t>Synchronized swimming</w:t>
            </w:r>
          </w:p>
          <w:p w14:paraId="5FC9B4B9" w14:textId="77777777" w:rsidR="001F05F2" w:rsidRPr="0061355E" w:rsidRDefault="001F05F2" w:rsidP="00B701A3">
            <w:pPr>
              <w:spacing w:after="100" w:afterAutospacing="1" w:line="240" w:lineRule="auto"/>
              <w:ind w:firstLineChars="50" w:firstLine="120"/>
              <w:contextualSpacing/>
              <w:rPr>
                <w:szCs w:val="24"/>
                <w:lang w:val="en-GB" w:eastAsia="zh-CN"/>
              </w:rPr>
            </w:pPr>
            <w:r w:rsidRPr="0061355E">
              <w:rPr>
                <w:szCs w:val="24"/>
                <w:lang w:val="en-GB" w:eastAsia="zh-CN"/>
              </w:rPr>
              <w:t>Martial arts</w:t>
            </w:r>
          </w:p>
          <w:p w14:paraId="582709C7" w14:textId="77777777" w:rsidR="001F05F2" w:rsidRPr="0061355E" w:rsidRDefault="001F05F2" w:rsidP="00B701A3">
            <w:pPr>
              <w:spacing w:after="100" w:afterAutospacing="1" w:line="240" w:lineRule="auto"/>
              <w:ind w:firstLineChars="50" w:firstLine="120"/>
              <w:contextualSpacing/>
              <w:rPr>
                <w:szCs w:val="24"/>
                <w:lang w:val="en-GB" w:eastAsia="zh-CN"/>
              </w:rPr>
            </w:pPr>
            <w:r w:rsidRPr="0061355E">
              <w:rPr>
                <w:szCs w:val="24"/>
                <w:lang w:val="en-GB" w:eastAsia="zh-CN"/>
              </w:rPr>
              <w:t>Diving</w:t>
            </w:r>
          </w:p>
          <w:p w14:paraId="6CAEF8B3" w14:textId="77777777" w:rsidR="001F05F2" w:rsidRPr="0061355E" w:rsidRDefault="001F05F2" w:rsidP="00B701A3">
            <w:pPr>
              <w:spacing w:after="100" w:afterAutospacing="1" w:line="240" w:lineRule="auto"/>
              <w:ind w:firstLineChars="50" w:firstLine="120"/>
              <w:contextualSpacing/>
              <w:rPr>
                <w:szCs w:val="24"/>
                <w:lang w:val="en-GB" w:eastAsia="zh-CN"/>
              </w:rPr>
            </w:pPr>
            <w:r w:rsidRPr="0061355E">
              <w:rPr>
                <w:szCs w:val="24"/>
                <w:lang w:val="en-GB" w:eastAsia="zh-CN"/>
              </w:rPr>
              <w:t>Others</w:t>
            </w:r>
            <w:r w:rsidRPr="0061355E">
              <w:rPr>
                <w:szCs w:val="24"/>
                <w:vertAlign w:val="superscript"/>
                <w:lang w:val="en-GB" w:eastAsia="zh-CN"/>
              </w:rPr>
              <w:t xml:space="preserve"> a</w:t>
            </w:r>
          </w:p>
        </w:tc>
        <w:tc>
          <w:tcPr>
            <w:tcW w:w="0" w:type="auto"/>
          </w:tcPr>
          <w:p w14:paraId="0F87C9F7" w14:textId="77777777" w:rsidR="001F05F2" w:rsidRPr="0061355E" w:rsidRDefault="001F05F2" w:rsidP="00B701A3">
            <w:pPr>
              <w:spacing w:after="100" w:afterAutospacing="1" w:line="240" w:lineRule="auto"/>
              <w:contextualSpacing/>
              <w:rPr>
                <w:szCs w:val="24"/>
                <w:lang w:val="en-GB" w:eastAsia="zh-CN"/>
              </w:rPr>
            </w:pPr>
          </w:p>
          <w:p w14:paraId="675BC199"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134 (54.0%)</w:t>
            </w:r>
          </w:p>
          <w:p w14:paraId="461F059D"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15 (6.0%)</w:t>
            </w:r>
          </w:p>
          <w:p w14:paraId="2F273B9E"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15 (6.0%)</w:t>
            </w:r>
          </w:p>
          <w:p w14:paraId="0F26DF3D"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14 (5.6%)</w:t>
            </w:r>
          </w:p>
          <w:p w14:paraId="614EDB89"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12 (4.8%)</w:t>
            </w:r>
          </w:p>
          <w:p w14:paraId="2948EF56"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12 (4.8%)</w:t>
            </w:r>
          </w:p>
          <w:p w14:paraId="6E12848A"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11 (4.4%)</w:t>
            </w:r>
          </w:p>
          <w:p w14:paraId="57739B37"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35 (14.1%)</w:t>
            </w:r>
          </w:p>
        </w:tc>
      </w:tr>
      <w:tr w:rsidR="0004303A" w:rsidRPr="0061355E" w14:paraId="1C1C84DB" w14:textId="77777777" w:rsidTr="00211C6A">
        <w:tc>
          <w:tcPr>
            <w:tcW w:w="0" w:type="auto"/>
          </w:tcPr>
          <w:p w14:paraId="3E8134C9"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Training hours/week</w:t>
            </w:r>
          </w:p>
        </w:tc>
        <w:tc>
          <w:tcPr>
            <w:tcW w:w="0" w:type="auto"/>
          </w:tcPr>
          <w:p w14:paraId="7DD2D403"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35.14 (15.26)</w:t>
            </w:r>
          </w:p>
        </w:tc>
      </w:tr>
      <w:tr w:rsidR="0004303A" w:rsidRPr="0061355E" w14:paraId="3833F71C" w14:textId="77777777" w:rsidTr="00211C6A">
        <w:trPr>
          <w:trHeight w:val="1666"/>
        </w:trPr>
        <w:tc>
          <w:tcPr>
            <w:tcW w:w="0" w:type="auto"/>
          </w:tcPr>
          <w:p w14:paraId="0D219283"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Talent development environments</w:t>
            </w:r>
          </w:p>
          <w:p w14:paraId="5BFE73F8"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 xml:space="preserve">  Long-term development focus (1-6) </w:t>
            </w:r>
            <w:r w:rsidRPr="0061355E">
              <w:rPr>
                <w:szCs w:val="24"/>
                <w:vertAlign w:val="superscript"/>
                <w:lang w:val="en-GB" w:eastAsia="zh-CN"/>
              </w:rPr>
              <w:t>b</w:t>
            </w:r>
          </w:p>
          <w:p w14:paraId="4BB3DCC4"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 xml:space="preserve">  Alignment of expectations (1-6) </w:t>
            </w:r>
            <w:r w:rsidRPr="0061355E">
              <w:rPr>
                <w:szCs w:val="24"/>
                <w:vertAlign w:val="superscript"/>
                <w:lang w:val="en-GB" w:eastAsia="zh-CN"/>
              </w:rPr>
              <w:t>b</w:t>
            </w:r>
          </w:p>
          <w:p w14:paraId="4E2925B7"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 xml:space="preserve">  Communication (1-6) </w:t>
            </w:r>
            <w:r w:rsidRPr="0061355E">
              <w:rPr>
                <w:szCs w:val="24"/>
                <w:vertAlign w:val="superscript"/>
                <w:lang w:val="en-GB" w:eastAsia="zh-CN"/>
              </w:rPr>
              <w:t>b</w:t>
            </w:r>
          </w:p>
          <w:p w14:paraId="1B98C782"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 xml:space="preserve">  Holistic quality preparation (1-6) </w:t>
            </w:r>
            <w:r w:rsidRPr="0061355E">
              <w:rPr>
                <w:szCs w:val="24"/>
                <w:vertAlign w:val="superscript"/>
                <w:lang w:val="en-GB" w:eastAsia="zh-CN"/>
              </w:rPr>
              <w:t>b</w:t>
            </w:r>
          </w:p>
          <w:p w14:paraId="4F2A7A87"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 xml:space="preserve">  Support network (1-6) </w:t>
            </w:r>
            <w:r w:rsidRPr="0061355E">
              <w:rPr>
                <w:szCs w:val="24"/>
                <w:vertAlign w:val="superscript"/>
                <w:lang w:val="en-GB" w:eastAsia="zh-CN"/>
              </w:rPr>
              <w:t>b</w:t>
            </w:r>
          </w:p>
        </w:tc>
        <w:tc>
          <w:tcPr>
            <w:tcW w:w="0" w:type="auto"/>
          </w:tcPr>
          <w:p w14:paraId="2BAB5EA4" w14:textId="77777777" w:rsidR="001F05F2" w:rsidRPr="0061355E" w:rsidRDefault="001F05F2" w:rsidP="00B701A3">
            <w:pPr>
              <w:spacing w:after="100" w:afterAutospacing="1" w:line="240" w:lineRule="auto"/>
              <w:contextualSpacing/>
              <w:rPr>
                <w:szCs w:val="24"/>
                <w:lang w:val="en-GB" w:eastAsia="zh-CN"/>
              </w:rPr>
            </w:pPr>
          </w:p>
          <w:p w14:paraId="685A8BFF"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4.65 (0.77)</w:t>
            </w:r>
          </w:p>
          <w:p w14:paraId="74B9AE58"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4.38 (0.94)</w:t>
            </w:r>
          </w:p>
          <w:p w14:paraId="126257B7"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4.81 (0.89)</w:t>
            </w:r>
          </w:p>
          <w:p w14:paraId="61CBB0C4"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4.27 (0.87)</w:t>
            </w:r>
          </w:p>
          <w:p w14:paraId="5E492C43"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4.44 (0.92)</w:t>
            </w:r>
          </w:p>
        </w:tc>
      </w:tr>
      <w:tr w:rsidR="0004303A" w:rsidRPr="0061355E" w14:paraId="55766A8B" w14:textId="77777777" w:rsidTr="00211C6A">
        <w:tc>
          <w:tcPr>
            <w:tcW w:w="0" w:type="auto"/>
          </w:tcPr>
          <w:p w14:paraId="3C9BAECF" w14:textId="10837320" w:rsidR="001F05F2" w:rsidRPr="0061355E" w:rsidRDefault="001F05F2" w:rsidP="00E84188">
            <w:pPr>
              <w:spacing w:after="100" w:afterAutospacing="1" w:line="240" w:lineRule="auto"/>
              <w:contextualSpacing/>
              <w:rPr>
                <w:szCs w:val="24"/>
                <w:lang w:val="en-GB" w:eastAsia="zh-CN"/>
              </w:rPr>
            </w:pPr>
            <w:r w:rsidRPr="0061355E">
              <w:rPr>
                <w:szCs w:val="24"/>
                <w:lang w:val="en-GB" w:eastAsia="zh-CN"/>
              </w:rPr>
              <w:t>Generali</w:t>
            </w:r>
            <w:r w:rsidR="00E84188" w:rsidRPr="0061355E">
              <w:rPr>
                <w:szCs w:val="24"/>
                <w:lang w:val="en-GB" w:eastAsia="zh-CN"/>
              </w:rPr>
              <w:t>s</w:t>
            </w:r>
            <w:r w:rsidRPr="0061355E">
              <w:rPr>
                <w:szCs w:val="24"/>
                <w:lang w:val="en-GB" w:eastAsia="zh-CN"/>
              </w:rPr>
              <w:t>ed anxiety disorder (0-21)</w:t>
            </w:r>
            <w:r w:rsidRPr="0061355E">
              <w:rPr>
                <w:szCs w:val="24"/>
                <w:vertAlign w:val="superscript"/>
                <w:lang w:val="en-GB" w:eastAsia="zh-CN"/>
              </w:rPr>
              <w:t xml:space="preserve"> b</w:t>
            </w:r>
          </w:p>
        </w:tc>
        <w:tc>
          <w:tcPr>
            <w:tcW w:w="0" w:type="auto"/>
          </w:tcPr>
          <w:p w14:paraId="3B8E1989"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rPr>
              <w:t>5.46 (5.06)</w:t>
            </w:r>
          </w:p>
        </w:tc>
      </w:tr>
      <w:tr w:rsidR="0004303A" w:rsidRPr="0061355E" w14:paraId="2CDA3F7E" w14:textId="77777777" w:rsidTr="00211C6A">
        <w:tc>
          <w:tcPr>
            <w:tcW w:w="0" w:type="auto"/>
          </w:tcPr>
          <w:p w14:paraId="3AE2452A" w14:textId="77777777" w:rsidR="001F05F2" w:rsidRPr="0061355E" w:rsidRDefault="001F05F2" w:rsidP="00B701A3">
            <w:pPr>
              <w:spacing w:after="100" w:afterAutospacing="1" w:line="240" w:lineRule="auto"/>
              <w:ind w:firstLineChars="50" w:firstLine="120"/>
              <w:contextualSpacing/>
              <w:rPr>
                <w:szCs w:val="24"/>
                <w:lang w:val="en-GB" w:eastAsia="zh-CN"/>
              </w:rPr>
            </w:pPr>
            <w:r w:rsidRPr="0061355E">
              <w:rPr>
                <w:szCs w:val="24"/>
                <w:lang w:val="en-GB" w:eastAsia="zh-CN"/>
              </w:rPr>
              <w:t>No</w:t>
            </w:r>
          </w:p>
          <w:p w14:paraId="158440F7"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 xml:space="preserve">  Yes</w:t>
            </w:r>
          </w:p>
        </w:tc>
        <w:tc>
          <w:tcPr>
            <w:tcW w:w="0" w:type="auto"/>
          </w:tcPr>
          <w:p w14:paraId="0DBCFC01"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201 (81.0%)</w:t>
            </w:r>
          </w:p>
          <w:p w14:paraId="261C75A7"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47 (19.0%)</w:t>
            </w:r>
          </w:p>
        </w:tc>
      </w:tr>
      <w:tr w:rsidR="0004303A" w:rsidRPr="0061355E" w14:paraId="6F6E7715" w14:textId="77777777" w:rsidTr="00211C6A">
        <w:tc>
          <w:tcPr>
            <w:tcW w:w="0" w:type="auto"/>
          </w:tcPr>
          <w:p w14:paraId="4BC2849D"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 xml:space="preserve">Depression (0-6) </w:t>
            </w:r>
            <w:r w:rsidRPr="0061355E">
              <w:rPr>
                <w:szCs w:val="24"/>
                <w:vertAlign w:val="superscript"/>
                <w:lang w:val="en-GB" w:eastAsia="zh-CN"/>
              </w:rPr>
              <w:t>b</w:t>
            </w:r>
          </w:p>
        </w:tc>
        <w:tc>
          <w:tcPr>
            <w:tcW w:w="0" w:type="auto"/>
          </w:tcPr>
          <w:p w14:paraId="00664B96" w14:textId="77777777" w:rsidR="001F05F2" w:rsidRPr="0061355E" w:rsidRDefault="001F05F2" w:rsidP="00B701A3">
            <w:pPr>
              <w:spacing w:after="100" w:afterAutospacing="1" w:line="240" w:lineRule="auto"/>
              <w:contextualSpacing/>
              <w:rPr>
                <w:szCs w:val="24"/>
                <w:lang w:val="en-GB"/>
              </w:rPr>
            </w:pPr>
            <w:r w:rsidRPr="0061355E">
              <w:rPr>
                <w:szCs w:val="24"/>
                <w:lang w:val="en-GB"/>
              </w:rPr>
              <w:t>1.36 (1.68)</w:t>
            </w:r>
          </w:p>
        </w:tc>
      </w:tr>
      <w:tr w:rsidR="0004303A" w:rsidRPr="0061355E" w14:paraId="3FE91FFE" w14:textId="77777777" w:rsidTr="00211C6A">
        <w:tc>
          <w:tcPr>
            <w:tcW w:w="0" w:type="auto"/>
          </w:tcPr>
          <w:p w14:paraId="7BDB464E" w14:textId="77777777" w:rsidR="001F05F2" w:rsidRPr="0061355E" w:rsidRDefault="001F05F2" w:rsidP="00B701A3">
            <w:pPr>
              <w:spacing w:after="100" w:afterAutospacing="1" w:line="240" w:lineRule="auto"/>
              <w:ind w:firstLineChars="50" w:firstLine="120"/>
              <w:contextualSpacing/>
              <w:rPr>
                <w:szCs w:val="24"/>
                <w:lang w:val="en-GB" w:eastAsia="zh-CN"/>
              </w:rPr>
            </w:pPr>
            <w:r w:rsidRPr="0061355E">
              <w:rPr>
                <w:szCs w:val="24"/>
                <w:lang w:val="en-GB" w:eastAsia="zh-CN"/>
              </w:rPr>
              <w:t>No</w:t>
            </w:r>
          </w:p>
          <w:p w14:paraId="2625194C"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 xml:space="preserve">  Yes</w:t>
            </w:r>
          </w:p>
        </w:tc>
        <w:tc>
          <w:tcPr>
            <w:tcW w:w="0" w:type="auto"/>
          </w:tcPr>
          <w:p w14:paraId="78482EEE"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200 (80.6%)</w:t>
            </w:r>
          </w:p>
          <w:p w14:paraId="043D54C1"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48 (19.4%)</w:t>
            </w:r>
          </w:p>
        </w:tc>
      </w:tr>
      <w:tr w:rsidR="0004303A" w:rsidRPr="0061355E" w14:paraId="04AEDBE5" w14:textId="77777777" w:rsidTr="00211C6A">
        <w:tc>
          <w:tcPr>
            <w:tcW w:w="0" w:type="auto"/>
          </w:tcPr>
          <w:p w14:paraId="6D7D2FBC" w14:textId="77777777" w:rsidR="001F05F2" w:rsidRPr="0061355E" w:rsidRDefault="001F05F2" w:rsidP="00B701A3">
            <w:pPr>
              <w:spacing w:after="100" w:afterAutospacing="1" w:line="240" w:lineRule="auto"/>
              <w:contextualSpacing/>
              <w:rPr>
                <w:szCs w:val="24"/>
                <w:lang w:val="en-GB" w:eastAsia="zh-CN"/>
              </w:rPr>
            </w:pPr>
            <w:r w:rsidRPr="0061355E">
              <w:rPr>
                <w:szCs w:val="24"/>
                <w:lang w:val="en-GB" w:eastAsia="zh-CN"/>
              </w:rPr>
              <w:t xml:space="preserve">Athlete burnout (1-5) </w:t>
            </w:r>
            <w:r w:rsidRPr="0061355E">
              <w:rPr>
                <w:szCs w:val="24"/>
                <w:vertAlign w:val="superscript"/>
                <w:lang w:val="en-GB" w:eastAsia="zh-CN"/>
              </w:rPr>
              <w:t>b</w:t>
            </w:r>
          </w:p>
        </w:tc>
        <w:tc>
          <w:tcPr>
            <w:tcW w:w="0" w:type="auto"/>
          </w:tcPr>
          <w:p w14:paraId="769D1EAD" w14:textId="77777777" w:rsidR="001F05F2" w:rsidRPr="0061355E" w:rsidRDefault="001F05F2" w:rsidP="00B701A3">
            <w:pPr>
              <w:spacing w:after="100" w:afterAutospacing="1" w:line="240" w:lineRule="auto"/>
              <w:contextualSpacing/>
              <w:rPr>
                <w:szCs w:val="24"/>
                <w:lang w:val="en-GB"/>
              </w:rPr>
            </w:pPr>
            <w:r w:rsidRPr="0061355E">
              <w:rPr>
                <w:szCs w:val="24"/>
                <w:lang w:val="en-GB"/>
              </w:rPr>
              <w:t>2.56 (0.95)</w:t>
            </w:r>
          </w:p>
        </w:tc>
      </w:tr>
    </w:tbl>
    <w:p w14:paraId="43369C36" w14:textId="77777777" w:rsidR="001F05F2" w:rsidRPr="0061355E" w:rsidRDefault="001F05F2" w:rsidP="00B701A3">
      <w:pPr>
        <w:spacing w:after="100" w:afterAutospacing="1" w:line="240" w:lineRule="auto"/>
        <w:contextualSpacing/>
        <w:rPr>
          <w:szCs w:val="24"/>
          <w:lang w:val="en-GB"/>
        </w:rPr>
        <w:sectPr w:rsidR="001F05F2" w:rsidRPr="0061355E" w:rsidSect="00282F91">
          <w:headerReference w:type="even" r:id="rId9"/>
          <w:headerReference w:type="default" r:id="rId10"/>
          <w:footerReference w:type="even" r:id="rId11"/>
          <w:footerReference w:type="first" r:id="rId12"/>
          <w:pgSz w:w="12240" w:h="15840"/>
          <w:pgMar w:top="1440" w:right="1440" w:bottom="1440" w:left="1440" w:header="708" w:footer="708" w:gutter="0"/>
          <w:lnNumType w:countBy="1" w:restart="continuous"/>
          <w:cols w:space="708"/>
          <w:docGrid w:linePitch="360"/>
        </w:sectPr>
      </w:pPr>
      <w:r w:rsidRPr="0061355E">
        <w:rPr>
          <w:szCs w:val="24"/>
          <w:lang w:val="en-GB" w:eastAsia="zh-CN"/>
        </w:rPr>
        <w:t>Note.</w:t>
      </w:r>
      <w:r w:rsidRPr="0061355E">
        <w:rPr>
          <w:szCs w:val="24"/>
          <w:vertAlign w:val="superscript"/>
          <w:lang w:val="en-GB" w:eastAsia="zh-CN"/>
        </w:rPr>
        <w:t xml:space="preserve"> </w:t>
      </w:r>
      <w:proofErr w:type="spellStart"/>
      <w:r w:rsidRPr="0061355E">
        <w:rPr>
          <w:szCs w:val="24"/>
          <w:vertAlign w:val="superscript"/>
          <w:lang w:val="en-GB" w:eastAsia="zh-CN"/>
        </w:rPr>
        <w:t>a</w:t>
      </w:r>
      <w:proofErr w:type="spellEnd"/>
      <w:r w:rsidRPr="0061355E">
        <w:rPr>
          <w:szCs w:val="24"/>
          <w:lang w:val="en-GB" w:eastAsia="zh-CN"/>
        </w:rPr>
        <w:t xml:space="preserve"> Others are those sports each represented by less than 10 athletes, including athletics, badminton, gymnastics, rhythmic gymnastics, shooting, tennis, volleyball, water polo, and weight lifting. </w:t>
      </w:r>
      <w:r w:rsidRPr="0061355E">
        <w:rPr>
          <w:szCs w:val="24"/>
          <w:vertAlign w:val="superscript"/>
          <w:lang w:val="en-GB" w:eastAsia="zh-CN"/>
        </w:rPr>
        <w:t>b</w:t>
      </w:r>
      <w:r w:rsidRPr="0061355E">
        <w:rPr>
          <w:szCs w:val="24"/>
          <w:lang w:val="en-GB" w:eastAsia="zh-CN"/>
        </w:rPr>
        <w:t xml:space="preserve"> possible range. </w:t>
      </w:r>
    </w:p>
    <w:p w14:paraId="21138A0D" w14:textId="77777777" w:rsidR="001F05F2" w:rsidRPr="0061355E" w:rsidRDefault="001F05F2" w:rsidP="002E7D96">
      <w:pPr>
        <w:spacing w:after="100" w:afterAutospacing="1" w:line="240" w:lineRule="auto"/>
        <w:contextualSpacing/>
        <w:rPr>
          <w:szCs w:val="24"/>
          <w:lang w:val="en-GB" w:bidi="en-US"/>
        </w:rPr>
      </w:pPr>
      <w:r w:rsidRPr="0061355E">
        <w:rPr>
          <w:szCs w:val="24"/>
          <w:lang w:val="en-GB" w:bidi="en-US"/>
        </w:rPr>
        <w:lastRenderedPageBreak/>
        <w:t>Table 2</w:t>
      </w:r>
    </w:p>
    <w:p w14:paraId="05A3E4AD" w14:textId="77777777" w:rsidR="001F05F2" w:rsidRPr="0061355E" w:rsidRDefault="001F05F2" w:rsidP="00B701A3">
      <w:pPr>
        <w:spacing w:after="100" w:afterAutospacing="1" w:line="240" w:lineRule="auto"/>
        <w:contextualSpacing/>
        <w:rPr>
          <w:i/>
          <w:szCs w:val="24"/>
          <w:lang w:val="en-GB" w:bidi="en-US"/>
        </w:rPr>
      </w:pPr>
      <w:r w:rsidRPr="0061355E">
        <w:rPr>
          <w:i/>
          <w:szCs w:val="24"/>
          <w:lang w:val="en-GB" w:bidi="en-US"/>
        </w:rPr>
        <w:t>Zero-order Correlations among Study Variables (n = 248)</w:t>
      </w:r>
    </w:p>
    <w:tbl>
      <w:tblPr>
        <w:tblW w:w="0" w:type="auto"/>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266"/>
        <w:gridCol w:w="760"/>
        <w:gridCol w:w="760"/>
        <w:gridCol w:w="780"/>
        <w:gridCol w:w="780"/>
        <w:gridCol w:w="780"/>
        <w:gridCol w:w="780"/>
        <w:gridCol w:w="780"/>
        <w:gridCol w:w="780"/>
        <w:gridCol w:w="760"/>
        <w:gridCol w:w="760"/>
      </w:tblGrid>
      <w:tr w:rsidR="0004303A" w:rsidRPr="0061355E" w14:paraId="5B3418DD" w14:textId="77777777" w:rsidTr="00B701A3">
        <w:trPr>
          <w:cantSplit/>
        </w:trPr>
        <w:tc>
          <w:tcPr>
            <w:tcW w:w="0" w:type="auto"/>
            <w:tcBorders>
              <w:top w:val="single" w:sz="4" w:space="0" w:color="auto"/>
              <w:bottom w:val="single" w:sz="4" w:space="0" w:color="auto"/>
            </w:tcBorders>
            <w:shd w:val="clear" w:color="auto" w:fill="FFFFFF"/>
            <w:vAlign w:val="bottom"/>
          </w:tcPr>
          <w:p w14:paraId="7B886D0D" w14:textId="77777777" w:rsidR="001F05F2" w:rsidRPr="0061355E" w:rsidRDefault="001F05F2" w:rsidP="00B701A3">
            <w:pPr>
              <w:autoSpaceDE w:val="0"/>
              <w:autoSpaceDN w:val="0"/>
              <w:adjustRightInd w:val="0"/>
              <w:spacing w:after="100" w:afterAutospacing="1" w:line="240" w:lineRule="auto"/>
              <w:contextualSpacing/>
              <w:rPr>
                <w:szCs w:val="24"/>
                <w:lang w:val="en-GB"/>
              </w:rPr>
            </w:pPr>
          </w:p>
        </w:tc>
        <w:tc>
          <w:tcPr>
            <w:tcW w:w="0" w:type="auto"/>
            <w:tcBorders>
              <w:top w:val="single" w:sz="4" w:space="0" w:color="auto"/>
              <w:bottom w:val="single" w:sz="4" w:space="0" w:color="auto"/>
            </w:tcBorders>
            <w:shd w:val="clear" w:color="auto" w:fill="FFFFFF"/>
            <w:vAlign w:val="bottom"/>
          </w:tcPr>
          <w:p w14:paraId="3BCC925F" w14:textId="77777777" w:rsidR="001F05F2" w:rsidRPr="0061355E" w:rsidRDefault="001F05F2" w:rsidP="00B701A3">
            <w:pPr>
              <w:autoSpaceDE w:val="0"/>
              <w:autoSpaceDN w:val="0"/>
              <w:adjustRightInd w:val="0"/>
              <w:spacing w:after="100" w:afterAutospacing="1" w:line="240" w:lineRule="auto"/>
              <w:ind w:left="60" w:right="60"/>
              <w:contextualSpacing/>
              <w:jc w:val="center"/>
              <w:rPr>
                <w:szCs w:val="24"/>
                <w:lang w:val="en-GB"/>
              </w:rPr>
            </w:pPr>
            <w:r w:rsidRPr="0061355E">
              <w:rPr>
                <w:szCs w:val="24"/>
                <w:lang w:val="en-GB"/>
              </w:rPr>
              <w:t>1.</w:t>
            </w:r>
          </w:p>
        </w:tc>
        <w:tc>
          <w:tcPr>
            <w:tcW w:w="0" w:type="auto"/>
            <w:tcBorders>
              <w:top w:val="single" w:sz="4" w:space="0" w:color="auto"/>
              <w:bottom w:val="single" w:sz="4" w:space="0" w:color="auto"/>
            </w:tcBorders>
            <w:shd w:val="clear" w:color="auto" w:fill="FFFFFF"/>
            <w:vAlign w:val="bottom"/>
          </w:tcPr>
          <w:p w14:paraId="321809B9" w14:textId="77777777" w:rsidR="001F05F2" w:rsidRPr="0061355E" w:rsidRDefault="001F05F2" w:rsidP="00B701A3">
            <w:pPr>
              <w:autoSpaceDE w:val="0"/>
              <w:autoSpaceDN w:val="0"/>
              <w:adjustRightInd w:val="0"/>
              <w:spacing w:after="100" w:afterAutospacing="1" w:line="240" w:lineRule="auto"/>
              <w:ind w:left="60" w:right="60"/>
              <w:contextualSpacing/>
              <w:jc w:val="center"/>
              <w:rPr>
                <w:szCs w:val="24"/>
                <w:lang w:val="en-GB"/>
              </w:rPr>
            </w:pPr>
            <w:r w:rsidRPr="0061355E">
              <w:rPr>
                <w:szCs w:val="24"/>
                <w:lang w:val="en-GB"/>
              </w:rPr>
              <w:t>2.</w:t>
            </w:r>
          </w:p>
        </w:tc>
        <w:tc>
          <w:tcPr>
            <w:tcW w:w="0" w:type="auto"/>
            <w:tcBorders>
              <w:top w:val="single" w:sz="4" w:space="0" w:color="auto"/>
              <w:bottom w:val="single" w:sz="4" w:space="0" w:color="auto"/>
            </w:tcBorders>
            <w:shd w:val="clear" w:color="auto" w:fill="FFFFFF"/>
            <w:vAlign w:val="bottom"/>
          </w:tcPr>
          <w:p w14:paraId="5F39D56C" w14:textId="77777777" w:rsidR="001F05F2" w:rsidRPr="0061355E" w:rsidRDefault="001F05F2" w:rsidP="00B701A3">
            <w:pPr>
              <w:autoSpaceDE w:val="0"/>
              <w:autoSpaceDN w:val="0"/>
              <w:adjustRightInd w:val="0"/>
              <w:spacing w:after="100" w:afterAutospacing="1" w:line="240" w:lineRule="auto"/>
              <w:ind w:left="60" w:right="60"/>
              <w:contextualSpacing/>
              <w:jc w:val="center"/>
              <w:rPr>
                <w:szCs w:val="24"/>
                <w:lang w:val="en-GB"/>
              </w:rPr>
            </w:pPr>
            <w:r w:rsidRPr="0061355E">
              <w:rPr>
                <w:szCs w:val="24"/>
                <w:lang w:val="en-GB"/>
              </w:rPr>
              <w:t>3.</w:t>
            </w:r>
          </w:p>
        </w:tc>
        <w:tc>
          <w:tcPr>
            <w:tcW w:w="0" w:type="auto"/>
            <w:tcBorders>
              <w:top w:val="single" w:sz="4" w:space="0" w:color="auto"/>
              <w:bottom w:val="single" w:sz="4" w:space="0" w:color="auto"/>
            </w:tcBorders>
            <w:shd w:val="clear" w:color="auto" w:fill="FFFFFF"/>
            <w:vAlign w:val="bottom"/>
          </w:tcPr>
          <w:p w14:paraId="48BD7A8F" w14:textId="77777777" w:rsidR="001F05F2" w:rsidRPr="0061355E" w:rsidRDefault="001F05F2" w:rsidP="00B701A3">
            <w:pPr>
              <w:autoSpaceDE w:val="0"/>
              <w:autoSpaceDN w:val="0"/>
              <w:adjustRightInd w:val="0"/>
              <w:spacing w:after="100" w:afterAutospacing="1" w:line="240" w:lineRule="auto"/>
              <w:ind w:left="60" w:right="60"/>
              <w:contextualSpacing/>
              <w:jc w:val="center"/>
              <w:rPr>
                <w:szCs w:val="24"/>
                <w:lang w:val="en-GB"/>
              </w:rPr>
            </w:pPr>
            <w:r w:rsidRPr="0061355E">
              <w:rPr>
                <w:szCs w:val="24"/>
                <w:lang w:val="en-GB"/>
              </w:rPr>
              <w:t>4.</w:t>
            </w:r>
          </w:p>
        </w:tc>
        <w:tc>
          <w:tcPr>
            <w:tcW w:w="0" w:type="auto"/>
            <w:tcBorders>
              <w:top w:val="single" w:sz="4" w:space="0" w:color="auto"/>
              <w:bottom w:val="single" w:sz="4" w:space="0" w:color="auto"/>
            </w:tcBorders>
            <w:shd w:val="clear" w:color="auto" w:fill="FFFFFF"/>
            <w:vAlign w:val="bottom"/>
          </w:tcPr>
          <w:p w14:paraId="28139020" w14:textId="77777777" w:rsidR="001F05F2" w:rsidRPr="0061355E" w:rsidRDefault="001F05F2" w:rsidP="00B701A3">
            <w:pPr>
              <w:autoSpaceDE w:val="0"/>
              <w:autoSpaceDN w:val="0"/>
              <w:adjustRightInd w:val="0"/>
              <w:spacing w:after="100" w:afterAutospacing="1" w:line="240" w:lineRule="auto"/>
              <w:ind w:left="60" w:right="60"/>
              <w:contextualSpacing/>
              <w:jc w:val="center"/>
              <w:rPr>
                <w:szCs w:val="24"/>
                <w:lang w:val="en-GB"/>
              </w:rPr>
            </w:pPr>
            <w:r w:rsidRPr="0061355E">
              <w:rPr>
                <w:szCs w:val="24"/>
                <w:lang w:val="en-GB"/>
              </w:rPr>
              <w:t>5.</w:t>
            </w:r>
          </w:p>
        </w:tc>
        <w:tc>
          <w:tcPr>
            <w:tcW w:w="0" w:type="auto"/>
            <w:tcBorders>
              <w:top w:val="single" w:sz="4" w:space="0" w:color="auto"/>
              <w:bottom w:val="single" w:sz="4" w:space="0" w:color="auto"/>
            </w:tcBorders>
            <w:shd w:val="clear" w:color="auto" w:fill="FFFFFF"/>
            <w:vAlign w:val="bottom"/>
          </w:tcPr>
          <w:p w14:paraId="118CDCBE" w14:textId="77777777" w:rsidR="001F05F2" w:rsidRPr="0061355E" w:rsidRDefault="001F05F2" w:rsidP="00B701A3">
            <w:pPr>
              <w:autoSpaceDE w:val="0"/>
              <w:autoSpaceDN w:val="0"/>
              <w:adjustRightInd w:val="0"/>
              <w:spacing w:after="100" w:afterAutospacing="1" w:line="240" w:lineRule="auto"/>
              <w:ind w:left="60" w:right="60"/>
              <w:contextualSpacing/>
              <w:jc w:val="center"/>
              <w:rPr>
                <w:szCs w:val="24"/>
                <w:lang w:val="en-GB"/>
              </w:rPr>
            </w:pPr>
            <w:r w:rsidRPr="0061355E">
              <w:rPr>
                <w:szCs w:val="24"/>
                <w:lang w:val="en-GB"/>
              </w:rPr>
              <w:t>6.</w:t>
            </w:r>
          </w:p>
        </w:tc>
        <w:tc>
          <w:tcPr>
            <w:tcW w:w="0" w:type="auto"/>
            <w:tcBorders>
              <w:top w:val="single" w:sz="4" w:space="0" w:color="auto"/>
              <w:bottom w:val="single" w:sz="4" w:space="0" w:color="auto"/>
            </w:tcBorders>
            <w:shd w:val="clear" w:color="auto" w:fill="FFFFFF"/>
            <w:vAlign w:val="bottom"/>
          </w:tcPr>
          <w:p w14:paraId="63FD1294" w14:textId="77777777" w:rsidR="001F05F2" w:rsidRPr="0061355E" w:rsidRDefault="001F05F2" w:rsidP="00B701A3">
            <w:pPr>
              <w:autoSpaceDE w:val="0"/>
              <w:autoSpaceDN w:val="0"/>
              <w:adjustRightInd w:val="0"/>
              <w:spacing w:after="100" w:afterAutospacing="1" w:line="240" w:lineRule="auto"/>
              <w:ind w:left="60" w:right="60"/>
              <w:contextualSpacing/>
              <w:jc w:val="center"/>
              <w:rPr>
                <w:szCs w:val="24"/>
                <w:lang w:val="en-GB"/>
              </w:rPr>
            </w:pPr>
            <w:r w:rsidRPr="0061355E">
              <w:rPr>
                <w:szCs w:val="24"/>
                <w:lang w:val="en-GB"/>
              </w:rPr>
              <w:t>7.</w:t>
            </w:r>
          </w:p>
        </w:tc>
        <w:tc>
          <w:tcPr>
            <w:tcW w:w="0" w:type="auto"/>
            <w:tcBorders>
              <w:top w:val="single" w:sz="4" w:space="0" w:color="auto"/>
              <w:bottom w:val="single" w:sz="4" w:space="0" w:color="auto"/>
            </w:tcBorders>
            <w:shd w:val="clear" w:color="auto" w:fill="FFFFFF"/>
            <w:vAlign w:val="bottom"/>
          </w:tcPr>
          <w:p w14:paraId="7EBEA263" w14:textId="77777777" w:rsidR="001F05F2" w:rsidRPr="0061355E" w:rsidRDefault="001F05F2" w:rsidP="00B701A3">
            <w:pPr>
              <w:autoSpaceDE w:val="0"/>
              <w:autoSpaceDN w:val="0"/>
              <w:adjustRightInd w:val="0"/>
              <w:spacing w:after="100" w:afterAutospacing="1" w:line="240" w:lineRule="auto"/>
              <w:ind w:left="60" w:right="60"/>
              <w:contextualSpacing/>
              <w:jc w:val="center"/>
              <w:rPr>
                <w:szCs w:val="24"/>
                <w:lang w:val="en-GB"/>
              </w:rPr>
            </w:pPr>
            <w:r w:rsidRPr="0061355E">
              <w:rPr>
                <w:szCs w:val="24"/>
                <w:lang w:val="en-GB"/>
              </w:rPr>
              <w:t>8.</w:t>
            </w:r>
          </w:p>
        </w:tc>
        <w:tc>
          <w:tcPr>
            <w:tcW w:w="0" w:type="auto"/>
            <w:tcBorders>
              <w:top w:val="single" w:sz="4" w:space="0" w:color="auto"/>
              <w:bottom w:val="single" w:sz="4" w:space="0" w:color="auto"/>
            </w:tcBorders>
            <w:shd w:val="clear" w:color="auto" w:fill="FFFFFF"/>
            <w:vAlign w:val="bottom"/>
          </w:tcPr>
          <w:p w14:paraId="72689C02" w14:textId="77777777" w:rsidR="001F05F2" w:rsidRPr="0061355E" w:rsidRDefault="001F05F2" w:rsidP="00B701A3">
            <w:pPr>
              <w:autoSpaceDE w:val="0"/>
              <w:autoSpaceDN w:val="0"/>
              <w:adjustRightInd w:val="0"/>
              <w:spacing w:after="100" w:afterAutospacing="1" w:line="240" w:lineRule="auto"/>
              <w:ind w:left="60" w:right="60"/>
              <w:contextualSpacing/>
              <w:jc w:val="center"/>
              <w:rPr>
                <w:szCs w:val="24"/>
                <w:lang w:val="en-GB"/>
              </w:rPr>
            </w:pPr>
            <w:r w:rsidRPr="0061355E">
              <w:rPr>
                <w:szCs w:val="24"/>
                <w:lang w:val="en-GB"/>
              </w:rPr>
              <w:t>9.</w:t>
            </w:r>
          </w:p>
        </w:tc>
        <w:tc>
          <w:tcPr>
            <w:tcW w:w="0" w:type="auto"/>
            <w:tcBorders>
              <w:top w:val="single" w:sz="4" w:space="0" w:color="auto"/>
              <w:bottom w:val="single" w:sz="4" w:space="0" w:color="auto"/>
            </w:tcBorders>
            <w:shd w:val="clear" w:color="auto" w:fill="FFFFFF"/>
            <w:vAlign w:val="bottom"/>
          </w:tcPr>
          <w:p w14:paraId="3235F63C" w14:textId="77777777" w:rsidR="001F05F2" w:rsidRPr="0061355E" w:rsidRDefault="001F05F2" w:rsidP="00B701A3">
            <w:pPr>
              <w:autoSpaceDE w:val="0"/>
              <w:autoSpaceDN w:val="0"/>
              <w:adjustRightInd w:val="0"/>
              <w:spacing w:after="100" w:afterAutospacing="1" w:line="240" w:lineRule="auto"/>
              <w:ind w:left="60" w:right="60"/>
              <w:contextualSpacing/>
              <w:jc w:val="center"/>
              <w:rPr>
                <w:szCs w:val="24"/>
                <w:lang w:val="en-GB"/>
              </w:rPr>
            </w:pPr>
            <w:r w:rsidRPr="0061355E">
              <w:rPr>
                <w:szCs w:val="24"/>
                <w:lang w:val="en-GB"/>
              </w:rPr>
              <w:t>10.</w:t>
            </w:r>
          </w:p>
        </w:tc>
      </w:tr>
      <w:tr w:rsidR="0004303A" w:rsidRPr="0061355E" w14:paraId="29D8FDA3" w14:textId="77777777" w:rsidTr="00B701A3">
        <w:trPr>
          <w:cantSplit/>
        </w:trPr>
        <w:tc>
          <w:tcPr>
            <w:tcW w:w="0" w:type="auto"/>
            <w:tcBorders>
              <w:top w:val="single" w:sz="4" w:space="0" w:color="auto"/>
            </w:tcBorders>
            <w:shd w:val="clear" w:color="auto" w:fill="FFFFFF"/>
          </w:tcPr>
          <w:p w14:paraId="78AAB18B"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1. Age</w:t>
            </w:r>
          </w:p>
        </w:tc>
        <w:tc>
          <w:tcPr>
            <w:tcW w:w="0" w:type="auto"/>
            <w:tcBorders>
              <w:top w:val="single" w:sz="4" w:space="0" w:color="auto"/>
            </w:tcBorders>
            <w:shd w:val="clear" w:color="auto" w:fill="FFFFFF"/>
          </w:tcPr>
          <w:p w14:paraId="476A2AD7"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w:t>
            </w:r>
          </w:p>
        </w:tc>
        <w:tc>
          <w:tcPr>
            <w:tcW w:w="0" w:type="auto"/>
            <w:tcBorders>
              <w:top w:val="single" w:sz="4" w:space="0" w:color="auto"/>
            </w:tcBorders>
            <w:shd w:val="clear" w:color="auto" w:fill="FFFFFF"/>
          </w:tcPr>
          <w:p w14:paraId="4EFA51FF"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tcBorders>
              <w:top w:val="single" w:sz="4" w:space="0" w:color="auto"/>
            </w:tcBorders>
            <w:shd w:val="clear" w:color="auto" w:fill="FFFFFF"/>
          </w:tcPr>
          <w:p w14:paraId="74287FF2"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tcBorders>
              <w:top w:val="single" w:sz="4" w:space="0" w:color="auto"/>
            </w:tcBorders>
            <w:shd w:val="clear" w:color="auto" w:fill="FFFFFF"/>
          </w:tcPr>
          <w:p w14:paraId="50C15EB9"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tcBorders>
              <w:top w:val="single" w:sz="4" w:space="0" w:color="auto"/>
            </w:tcBorders>
            <w:shd w:val="clear" w:color="auto" w:fill="FFFFFF"/>
          </w:tcPr>
          <w:p w14:paraId="255BCA22"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tcBorders>
              <w:top w:val="single" w:sz="4" w:space="0" w:color="auto"/>
            </w:tcBorders>
            <w:shd w:val="clear" w:color="auto" w:fill="FFFFFF"/>
          </w:tcPr>
          <w:p w14:paraId="4D66358B"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tcBorders>
              <w:top w:val="single" w:sz="4" w:space="0" w:color="auto"/>
            </w:tcBorders>
            <w:shd w:val="clear" w:color="auto" w:fill="FFFFFF"/>
          </w:tcPr>
          <w:p w14:paraId="6521025D"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tcBorders>
              <w:top w:val="single" w:sz="4" w:space="0" w:color="auto"/>
            </w:tcBorders>
            <w:shd w:val="clear" w:color="auto" w:fill="FFFFFF"/>
          </w:tcPr>
          <w:p w14:paraId="3E64A711"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tcBorders>
              <w:top w:val="single" w:sz="4" w:space="0" w:color="auto"/>
            </w:tcBorders>
            <w:shd w:val="clear" w:color="auto" w:fill="FFFFFF"/>
          </w:tcPr>
          <w:p w14:paraId="366A05A0"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tcBorders>
              <w:top w:val="single" w:sz="4" w:space="0" w:color="auto"/>
            </w:tcBorders>
            <w:shd w:val="clear" w:color="auto" w:fill="FFFFFF"/>
          </w:tcPr>
          <w:p w14:paraId="1C66ABC9"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r>
      <w:tr w:rsidR="0004303A" w:rsidRPr="0061355E" w14:paraId="09852CAB" w14:textId="77777777" w:rsidTr="00B701A3">
        <w:trPr>
          <w:cantSplit/>
        </w:trPr>
        <w:tc>
          <w:tcPr>
            <w:tcW w:w="0" w:type="auto"/>
            <w:shd w:val="clear" w:color="auto" w:fill="FFFFFF"/>
          </w:tcPr>
          <w:p w14:paraId="048711DD"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2. Gender</w:t>
            </w:r>
          </w:p>
        </w:tc>
        <w:tc>
          <w:tcPr>
            <w:tcW w:w="0" w:type="auto"/>
            <w:shd w:val="clear" w:color="auto" w:fill="FFFFFF"/>
          </w:tcPr>
          <w:p w14:paraId="4CC4EEE0"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-0.02</w:t>
            </w:r>
          </w:p>
        </w:tc>
        <w:tc>
          <w:tcPr>
            <w:tcW w:w="0" w:type="auto"/>
            <w:shd w:val="clear" w:color="auto" w:fill="FFFFFF"/>
          </w:tcPr>
          <w:p w14:paraId="3A0CEBEE"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w:t>
            </w:r>
          </w:p>
        </w:tc>
        <w:tc>
          <w:tcPr>
            <w:tcW w:w="0" w:type="auto"/>
            <w:shd w:val="clear" w:color="auto" w:fill="FFFFFF"/>
          </w:tcPr>
          <w:p w14:paraId="1CC3DA29"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2095226D"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145666AC"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51AD9B5E"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0C2E388C"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643C0CB4"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6EC037EB"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5F2E2D1A"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r>
      <w:tr w:rsidR="0004303A" w:rsidRPr="0061355E" w14:paraId="4E633B13" w14:textId="77777777" w:rsidTr="00B701A3">
        <w:trPr>
          <w:cantSplit/>
        </w:trPr>
        <w:tc>
          <w:tcPr>
            <w:tcW w:w="0" w:type="auto"/>
            <w:shd w:val="clear" w:color="auto" w:fill="FFFFFF"/>
          </w:tcPr>
          <w:p w14:paraId="550F5704"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3. Training hours/week</w:t>
            </w:r>
          </w:p>
        </w:tc>
        <w:tc>
          <w:tcPr>
            <w:tcW w:w="0" w:type="auto"/>
            <w:shd w:val="clear" w:color="auto" w:fill="FFFFFF"/>
          </w:tcPr>
          <w:p w14:paraId="488A0573"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0.04</w:t>
            </w:r>
          </w:p>
        </w:tc>
        <w:tc>
          <w:tcPr>
            <w:tcW w:w="0" w:type="auto"/>
            <w:shd w:val="clear" w:color="auto" w:fill="FFFFFF"/>
          </w:tcPr>
          <w:p w14:paraId="71FFF42D"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0.20</w:t>
            </w:r>
            <w:r w:rsidRPr="0061355E">
              <w:rPr>
                <w:szCs w:val="24"/>
                <w:vertAlign w:val="superscript"/>
                <w:lang w:val="en-GB"/>
              </w:rPr>
              <w:t>**</w:t>
            </w:r>
          </w:p>
        </w:tc>
        <w:tc>
          <w:tcPr>
            <w:tcW w:w="0" w:type="auto"/>
            <w:shd w:val="clear" w:color="auto" w:fill="FFFFFF"/>
          </w:tcPr>
          <w:p w14:paraId="034755AB"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w:t>
            </w:r>
          </w:p>
        </w:tc>
        <w:tc>
          <w:tcPr>
            <w:tcW w:w="0" w:type="auto"/>
            <w:shd w:val="clear" w:color="auto" w:fill="FFFFFF"/>
          </w:tcPr>
          <w:p w14:paraId="62AE2336"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4D89C142"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38C7EE5F"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691093D7"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3C049D6F"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18188E9B"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01239DA4"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r>
      <w:tr w:rsidR="0004303A" w:rsidRPr="0061355E" w14:paraId="3F0788E8" w14:textId="77777777" w:rsidTr="00B701A3">
        <w:trPr>
          <w:cantSplit/>
        </w:trPr>
        <w:tc>
          <w:tcPr>
            <w:tcW w:w="0" w:type="auto"/>
            <w:shd w:val="clear" w:color="auto" w:fill="FFFFFF"/>
          </w:tcPr>
          <w:p w14:paraId="4FDE1EF8"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4. Long-term development focus</w:t>
            </w:r>
          </w:p>
        </w:tc>
        <w:tc>
          <w:tcPr>
            <w:tcW w:w="0" w:type="auto"/>
            <w:shd w:val="clear" w:color="auto" w:fill="FFFFFF"/>
          </w:tcPr>
          <w:p w14:paraId="1756F7F2"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-0.13</w:t>
            </w:r>
            <w:r w:rsidRPr="0061355E">
              <w:rPr>
                <w:szCs w:val="24"/>
                <w:vertAlign w:val="superscript"/>
                <w:lang w:val="en-GB"/>
              </w:rPr>
              <w:t>*</w:t>
            </w:r>
          </w:p>
        </w:tc>
        <w:tc>
          <w:tcPr>
            <w:tcW w:w="0" w:type="auto"/>
            <w:shd w:val="clear" w:color="auto" w:fill="FFFFFF"/>
          </w:tcPr>
          <w:p w14:paraId="7E72CF4F"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-0.12</w:t>
            </w:r>
          </w:p>
        </w:tc>
        <w:tc>
          <w:tcPr>
            <w:tcW w:w="0" w:type="auto"/>
            <w:shd w:val="clear" w:color="auto" w:fill="FFFFFF"/>
          </w:tcPr>
          <w:p w14:paraId="15880615"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-0.07</w:t>
            </w:r>
          </w:p>
        </w:tc>
        <w:tc>
          <w:tcPr>
            <w:tcW w:w="0" w:type="auto"/>
            <w:shd w:val="clear" w:color="auto" w:fill="FFFFFF"/>
          </w:tcPr>
          <w:p w14:paraId="1E5E1B30"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w:t>
            </w:r>
          </w:p>
        </w:tc>
        <w:tc>
          <w:tcPr>
            <w:tcW w:w="0" w:type="auto"/>
            <w:shd w:val="clear" w:color="auto" w:fill="FFFFFF"/>
          </w:tcPr>
          <w:p w14:paraId="1B45C5D3"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5EC2EAC5"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76B56D77"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29356FA2"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02086802"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178AB326"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r>
      <w:tr w:rsidR="0004303A" w:rsidRPr="0061355E" w14:paraId="6065F157" w14:textId="77777777" w:rsidTr="00B701A3">
        <w:trPr>
          <w:cantSplit/>
        </w:trPr>
        <w:tc>
          <w:tcPr>
            <w:tcW w:w="0" w:type="auto"/>
            <w:shd w:val="clear" w:color="auto" w:fill="FFFFFF"/>
          </w:tcPr>
          <w:p w14:paraId="1F1BFD6E"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5. Alignment of expectations</w:t>
            </w:r>
          </w:p>
        </w:tc>
        <w:tc>
          <w:tcPr>
            <w:tcW w:w="0" w:type="auto"/>
            <w:shd w:val="clear" w:color="auto" w:fill="FFFFFF"/>
          </w:tcPr>
          <w:p w14:paraId="0FD633F0"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-0.13</w:t>
            </w:r>
            <w:r w:rsidRPr="0061355E">
              <w:rPr>
                <w:szCs w:val="24"/>
                <w:vertAlign w:val="superscript"/>
                <w:lang w:val="en-GB"/>
              </w:rPr>
              <w:t>*</w:t>
            </w:r>
          </w:p>
        </w:tc>
        <w:tc>
          <w:tcPr>
            <w:tcW w:w="0" w:type="auto"/>
            <w:shd w:val="clear" w:color="auto" w:fill="FFFFFF"/>
          </w:tcPr>
          <w:p w14:paraId="279342E6"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-0.15</w:t>
            </w:r>
            <w:r w:rsidRPr="0061355E">
              <w:rPr>
                <w:szCs w:val="24"/>
                <w:vertAlign w:val="superscript"/>
                <w:lang w:val="en-GB"/>
              </w:rPr>
              <w:t>*</w:t>
            </w:r>
          </w:p>
        </w:tc>
        <w:tc>
          <w:tcPr>
            <w:tcW w:w="0" w:type="auto"/>
            <w:shd w:val="clear" w:color="auto" w:fill="FFFFFF"/>
          </w:tcPr>
          <w:p w14:paraId="577A3AAF"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-0.14</w:t>
            </w:r>
            <w:r w:rsidRPr="0061355E">
              <w:rPr>
                <w:szCs w:val="24"/>
                <w:vertAlign w:val="superscript"/>
                <w:lang w:val="en-GB"/>
              </w:rPr>
              <w:t>*</w:t>
            </w:r>
          </w:p>
        </w:tc>
        <w:tc>
          <w:tcPr>
            <w:tcW w:w="0" w:type="auto"/>
            <w:shd w:val="clear" w:color="auto" w:fill="FFFFFF"/>
          </w:tcPr>
          <w:p w14:paraId="072A3035"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0.74</w:t>
            </w:r>
            <w:r w:rsidRPr="0061355E">
              <w:rPr>
                <w:szCs w:val="24"/>
                <w:vertAlign w:val="superscript"/>
                <w:lang w:val="en-GB"/>
              </w:rPr>
              <w:t>**</w:t>
            </w:r>
          </w:p>
        </w:tc>
        <w:tc>
          <w:tcPr>
            <w:tcW w:w="0" w:type="auto"/>
            <w:shd w:val="clear" w:color="auto" w:fill="FFFFFF"/>
          </w:tcPr>
          <w:p w14:paraId="7888128E"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w:t>
            </w:r>
          </w:p>
        </w:tc>
        <w:tc>
          <w:tcPr>
            <w:tcW w:w="0" w:type="auto"/>
            <w:shd w:val="clear" w:color="auto" w:fill="FFFFFF"/>
          </w:tcPr>
          <w:p w14:paraId="173CBF5C"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1085E3F2"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7B86853D"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72B27C8E"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4461361E"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r>
      <w:tr w:rsidR="0004303A" w:rsidRPr="0061355E" w14:paraId="08D857DF" w14:textId="77777777" w:rsidTr="00B701A3">
        <w:trPr>
          <w:cantSplit/>
        </w:trPr>
        <w:tc>
          <w:tcPr>
            <w:tcW w:w="0" w:type="auto"/>
            <w:shd w:val="clear" w:color="auto" w:fill="FFFFFF"/>
          </w:tcPr>
          <w:p w14:paraId="41E88BA5"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6. Communication</w:t>
            </w:r>
          </w:p>
        </w:tc>
        <w:tc>
          <w:tcPr>
            <w:tcW w:w="0" w:type="auto"/>
            <w:shd w:val="clear" w:color="auto" w:fill="FFFFFF"/>
          </w:tcPr>
          <w:p w14:paraId="11420825"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-0.07</w:t>
            </w:r>
          </w:p>
        </w:tc>
        <w:tc>
          <w:tcPr>
            <w:tcW w:w="0" w:type="auto"/>
            <w:shd w:val="clear" w:color="auto" w:fill="FFFFFF"/>
          </w:tcPr>
          <w:p w14:paraId="2D3F26B2"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-0.13</w:t>
            </w:r>
            <w:r w:rsidRPr="0061355E">
              <w:rPr>
                <w:szCs w:val="24"/>
                <w:vertAlign w:val="superscript"/>
                <w:lang w:val="en-GB"/>
              </w:rPr>
              <w:t>*</w:t>
            </w:r>
          </w:p>
        </w:tc>
        <w:tc>
          <w:tcPr>
            <w:tcW w:w="0" w:type="auto"/>
            <w:shd w:val="clear" w:color="auto" w:fill="FFFFFF"/>
          </w:tcPr>
          <w:p w14:paraId="6ABC376E"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-0.17</w:t>
            </w:r>
            <w:r w:rsidRPr="0061355E">
              <w:rPr>
                <w:szCs w:val="24"/>
                <w:vertAlign w:val="superscript"/>
                <w:lang w:val="en-GB"/>
              </w:rPr>
              <w:t>**</w:t>
            </w:r>
          </w:p>
        </w:tc>
        <w:tc>
          <w:tcPr>
            <w:tcW w:w="0" w:type="auto"/>
            <w:shd w:val="clear" w:color="auto" w:fill="FFFFFF"/>
          </w:tcPr>
          <w:p w14:paraId="51A75CB6"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0.68</w:t>
            </w:r>
            <w:r w:rsidRPr="0061355E">
              <w:rPr>
                <w:szCs w:val="24"/>
                <w:vertAlign w:val="superscript"/>
                <w:lang w:val="en-GB"/>
              </w:rPr>
              <w:t>**</w:t>
            </w:r>
          </w:p>
        </w:tc>
        <w:tc>
          <w:tcPr>
            <w:tcW w:w="0" w:type="auto"/>
            <w:shd w:val="clear" w:color="auto" w:fill="FFFFFF"/>
          </w:tcPr>
          <w:p w14:paraId="1C9CA596"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0.78</w:t>
            </w:r>
            <w:r w:rsidRPr="0061355E">
              <w:rPr>
                <w:szCs w:val="24"/>
                <w:vertAlign w:val="superscript"/>
                <w:lang w:val="en-GB"/>
              </w:rPr>
              <w:t>**</w:t>
            </w:r>
          </w:p>
        </w:tc>
        <w:tc>
          <w:tcPr>
            <w:tcW w:w="0" w:type="auto"/>
            <w:shd w:val="clear" w:color="auto" w:fill="FFFFFF"/>
          </w:tcPr>
          <w:p w14:paraId="40891B72"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w:t>
            </w:r>
          </w:p>
        </w:tc>
        <w:tc>
          <w:tcPr>
            <w:tcW w:w="0" w:type="auto"/>
            <w:shd w:val="clear" w:color="auto" w:fill="FFFFFF"/>
          </w:tcPr>
          <w:p w14:paraId="66EEC7D8"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717584BB"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4471DCEA"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5F34D4E6"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r>
      <w:tr w:rsidR="0004303A" w:rsidRPr="0061355E" w14:paraId="0257BF3E" w14:textId="77777777" w:rsidTr="00B701A3">
        <w:trPr>
          <w:cantSplit/>
        </w:trPr>
        <w:tc>
          <w:tcPr>
            <w:tcW w:w="0" w:type="auto"/>
            <w:shd w:val="clear" w:color="auto" w:fill="FFFFFF"/>
          </w:tcPr>
          <w:p w14:paraId="6EAFB118"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7. Holistic quality preparation</w:t>
            </w:r>
          </w:p>
        </w:tc>
        <w:tc>
          <w:tcPr>
            <w:tcW w:w="0" w:type="auto"/>
            <w:shd w:val="clear" w:color="auto" w:fill="FFFFFF"/>
          </w:tcPr>
          <w:p w14:paraId="6529D091"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-0.03</w:t>
            </w:r>
          </w:p>
        </w:tc>
        <w:tc>
          <w:tcPr>
            <w:tcW w:w="0" w:type="auto"/>
            <w:shd w:val="clear" w:color="auto" w:fill="FFFFFF"/>
          </w:tcPr>
          <w:p w14:paraId="1033256B"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-0.15</w:t>
            </w:r>
            <w:r w:rsidRPr="0061355E">
              <w:rPr>
                <w:szCs w:val="24"/>
                <w:vertAlign w:val="superscript"/>
                <w:lang w:val="en-GB"/>
              </w:rPr>
              <w:t>*</w:t>
            </w:r>
          </w:p>
        </w:tc>
        <w:tc>
          <w:tcPr>
            <w:tcW w:w="0" w:type="auto"/>
            <w:shd w:val="clear" w:color="auto" w:fill="FFFFFF"/>
          </w:tcPr>
          <w:p w14:paraId="152F2C13"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-0.19</w:t>
            </w:r>
            <w:r w:rsidRPr="0061355E">
              <w:rPr>
                <w:szCs w:val="24"/>
                <w:vertAlign w:val="superscript"/>
                <w:lang w:val="en-GB"/>
              </w:rPr>
              <w:t>**</w:t>
            </w:r>
          </w:p>
        </w:tc>
        <w:tc>
          <w:tcPr>
            <w:tcW w:w="0" w:type="auto"/>
            <w:shd w:val="clear" w:color="auto" w:fill="FFFFFF"/>
          </w:tcPr>
          <w:p w14:paraId="4DBAA334"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0.67</w:t>
            </w:r>
            <w:r w:rsidRPr="0061355E">
              <w:rPr>
                <w:szCs w:val="24"/>
                <w:vertAlign w:val="superscript"/>
                <w:lang w:val="en-GB"/>
              </w:rPr>
              <w:t>**</w:t>
            </w:r>
          </w:p>
        </w:tc>
        <w:tc>
          <w:tcPr>
            <w:tcW w:w="0" w:type="auto"/>
            <w:shd w:val="clear" w:color="auto" w:fill="FFFFFF"/>
          </w:tcPr>
          <w:p w14:paraId="0C13D49D"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0.75</w:t>
            </w:r>
            <w:r w:rsidRPr="0061355E">
              <w:rPr>
                <w:szCs w:val="24"/>
                <w:vertAlign w:val="superscript"/>
                <w:lang w:val="en-GB"/>
              </w:rPr>
              <w:t>**</w:t>
            </w:r>
          </w:p>
        </w:tc>
        <w:tc>
          <w:tcPr>
            <w:tcW w:w="0" w:type="auto"/>
            <w:shd w:val="clear" w:color="auto" w:fill="FFFFFF"/>
          </w:tcPr>
          <w:p w14:paraId="6FD052E4"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0.73</w:t>
            </w:r>
            <w:r w:rsidRPr="0061355E">
              <w:rPr>
                <w:szCs w:val="24"/>
                <w:vertAlign w:val="superscript"/>
                <w:lang w:val="en-GB"/>
              </w:rPr>
              <w:t>**</w:t>
            </w:r>
          </w:p>
        </w:tc>
        <w:tc>
          <w:tcPr>
            <w:tcW w:w="0" w:type="auto"/>
            <w:shd w:val="clear" w:color="auto" w:fill="FFFFFF"/>
          </w:tcPr>
          <w:p w14:paraId="2608D616"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w:t>
            </w:r>
          </w:p>
        </w:tc>
        <w:tc>
          <w:tcPr>
            <w:tcW w:w="0" w:type="auto"/>
            <w:shd w:val="clear" w:color="auto" w:fill="FFFFFF"/>
          </w:tcPr>
          <w:p w14:paraId="3C09DB24"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6128C30D"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73CFB4CB"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r>
      <w:tr w:rsidR="0004303A" w:rsidRPr="0061355E" w14:paraId="164F9877" w14:textId="77777777" w:rsidTr="00B701A3">
        <w:trPr>
          <w:cantSplit/>
        </w:trPr>
        <w:tc>
          <w:tcPr>
            <w:tcW w:w="0" w:type="auto"/>
            <w:shd w:val="clear" w:color="auto" w:fill="FFFFFF"/>
          </w:tcPr>
          <w:p w14:paraId="7B506BC9"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8. Support network</w:t>
            </w:r>
          </w:p>
        </w:tc>
        <w:tc>
          <w:tcPr>
            <w:tcW w:w="0" w:type="auto"/>
            <w:shd w:val="clear" w:color="auto" w:fill="FFFFFF"/>
          </w:tcPr>
          <w:p w14:paraId="5743FC0D"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-0.05</w:t>
            </w:r>
          </w:p>
        </w:tc>
        <w:tc>
          <w:tcPr>
            <w:tcW w:w="0" w:type="auto"/>
            <w:shd w:val="clear" w:color="auto" w:fill="FFFFFF"/>
          </w:tcPr>
          <w:p w14:paraId="66295D35"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-0.09</w:t>
            </w:r>
          </w:p>
        </w:tc>
        <w:tc>
          <w:tcPr>
            <w:tcW w:w="0" w:type="auto"/>
            <w:shd w:val="clear" w:color="auto" w:fill="FFFFFF"/>
          </w:tcPr>
          <w:p w14:paraId="5BE995F7"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-0.14</w:t>
            </w:r>
            <w:r w:rsidRPr="0061355E">
              <w:rPr>
                <w:szCs w:val="24"/>
                <w:vertAlign w:val="superscript"/>
                <w:lang w:val="en-GB"/>
              </w:rPr>
              <w:t>*</w:t>
            </w:r>
          </w:p>
        </w:tc>
        <w:tc>
          <w:tcPr>
            <w:tcW w:w="0" w:type="auto"/>
            <w:shd w:val="clear" w:color="auto" w:fill="FFFFFF"/>
          </w:tcPr>
          <w:p w14:paraId="2B2B0B29"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0.58</w:t>
            </w:r>
            <w:r w:rsidRPr="0061355E">
              <w:rPr>
                <w:szCs w:val="24"/>
                <w:vertAlign w:val="superscript"/>
                <w:lang w:val="en-GB"/>
              </w:rPr>
              <w:t>**</w:t>
            </w:r>
          </w:p>
        </w:tc>
        <w:tc>
          <w:tcPr>
            <w:tcW w:w="0" w:type="auto"/>
            <w:shd w:val="clear" w:color="auto" w:fill="FFFFFF"/>
          </w:tcPr>
          <w:p w14:paraId="2D57E2FC"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0.61</w:t>
            </w:r>
            <w:r w:rsidRPr="0061355E">
              <w:rPr>
                <w:szCs w:val="24"/>
                <w:vertAlign w:val="superscript"/>
                <w:lang w:val="en-GB"/>
              </w:rPr>
              <w:t>**</w:t>
            </w:r>
          </w:p>
        </w:tc>
        <w:tc>
          <w:tcPr>
            <w:tcW w:w="0" w:type="auto"/>
            <w:shd w:val="clear" w:color="auto" w:fill="FFFFFF"/>
          </w:tcPr>
          <w:p w14:paraId="1FABB524"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0.61</w:t>
            </w:r>
            <w:r w:rsidRPr="0061355E">
              <w:rPr>
                <w:szCs w:val="24"/>
                <w:vertAlign w:val="superscript"/>
                <w:lang w:val="en-GB"/>
              </w:rPr>
              <w:t>**</w:t>
            </w:r>
          </w:p>
        </w:tc>
        <w:tc>
          <w:tcPr>
            <w:tcW w:w="0" w:type="auto"/>
            <w:shd w:val="clear" w:color="auto" w:fill="FFFFFF"/>
          </w:tcPr>
          <w:p w14:paraId="1950E685"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0.77</w:t>
            </w:r>
            <w:r w:rsidRPr="0061355E">
              <w:rPr>
                <w:szCs w:val="24"/>
                <w:vertAlign w:val="superscript"/>
                <w:lang w:val="en-GB"/>
              </w:rPr>
              <w:t>**</w:t>
            </w:r>
          </w:p>
        </w:tc>
        <w:tc>
          <w:tcPr>
            <w:tcW w:w="0" w:type="auto"/>
            <w:shd w:val="clear" w:color="auto" w:fill="FFFFFF"/>
          </w:tcPr>
          <w:p w14:paraId="4FA837E2"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w:t>
            </w:r>
          </w:p>
        </w:tc>
        <w:tc>
          <w:tcPr>
            <w:tcW w:w="0" w:type="auto"/>
            <w:shd w:val="clear" w:color="auto" w:fill="FFFFFF"/>
          </w:tcPr>
          <w:p w14:paraId="0374C274"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c>
          <w:tcPr>
            <w:tcW w:w="0" w:type="auto"/>
            <w:shd w:val="clear" w:color="auto" w:fill="FFFFFF"/>
          </w:tcPr>
          <w:p w14:paraId="31549E74"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r>
      <w:tr w:rsidR="0004303A" w:rsidRPr="0061355E" w14:paraId="582BB144" w14:textId="77777777" w:rsidTr="00B701A3">
        <w:trPr>
          <w:cantSplit/>
        </w:trPr>
        <w:tc>
          <w:tcPr>
            <w:tcW w:w="0" w:type="auto"/>
            <w:shd w:val="clear" w:color="auto" w:fill="FFFFFF"/>
          </w:tcPr>
          <w:p w14:paraId="0698DC49" w14:textId="1AA86C70" w:rsidR="001F05F2" w:rsidRPr="0061355E" w:rsidRDefault="00E84188"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9. Generalis</w:t>
            </w:r>
            <w:r w:rsidR="001F05F2" w:rsidRPr="0061355E">
              <w:rPr>
                <w:szCs w:val="24"/>
                <w:lang w:val="en-GB"/>
              </w:rPr>
              <w:t>ed anxiety disorder</w:t>
            </w:r>
          </w:p>
        </w:tc>
        <w:tc>
          <w:tcPr>
            <w:tcW w:w="0" w:type="auto"/>
            <w:shd w:val="clear" w:color="auto" w:fill="FFFFFF"/>
          </w:tcPr>
          <w:p w14:paraId="314781D6"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0.09</w:t>
            </w:r>
          </w:p>
        </w:tc>
        <w:tc>
          <w:tcPr>
            <w:tcW w:w="0" w:type="auto"/>
            <w:shd w:val="clear" w:color="auto" w:fill="FFFFFF"/>
          </w:tcPr>
          <w:p w14:paraId="1F4CB3C1"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0.08</w:t>
            </w:r>
          </w:p>
        </w:tc>
        <w:tc>
          <w:tcPr>
            <w:tcW w:w="0" w:type="auto"/>
            <w:shd w:val="clear" w:color="auto" w:fill="FFFFFF"/>
          </w:tcPr>
          <w:p w14:paraId="5C98B1C0"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0.10</w:t>
            </w:r>
          </w:p>
        </w:tc>
        <w:tc>
          <w:tcPr>
            <w:tcW w:w="0" w:type="auto"/>
            <w:shd w:val="clear" w:color="auto" w:fill="FFFFFF"/>
          </w:tcPr>
          <w:p w14:paraId="68E80D41"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-0.21</w:t>
            </w:r>
            <w:r w:rsidRPr="0061355E">
              <w:rPr>
                <w:szCs w:val="24"/>
                <w:vertAlign w:val="superscript"/>
                <w:lang w:val="en-GB"/>
              </w:rPr>
              <w:t>**</w:t>
            </w:r>
          </w:p>
        </w:tc>
        <w:tc>
          <w:tcPr>
            <w:tcW w:w="0" w:type="auto"/>
            <w:shd w:val="clear" w:color="auto" w:fill="FFFFFF"/>
          </w:tcPr>
          <w:p w14:paraId="29517625"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-0.27</w:t>
            </w:r>
            <w:r w:rsidRPr="0061355E">
              <w:rPr>
                <w:szCs w:val="24"/>
                <w:vertAlign w:val="superscript"/>
                <w:lang w:val="en-GB"/>
              </w:rPr>
              <w:t>**</w:t>
            </w:r>
          </w:p>
        </w:tc>
        <w:tc>
          <w:tcPr>
            <w:tcW w:w="0" w:type="auto"/>
            <w:shd w:val="clear" w:color="auto" w:fill="FFFFFF"/>
          </w:tcPr>
          <w:p w14:paraId="352E22C3"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-0.17</w:t>
            </w:r>
            <w:r w:rsidRPr="0061355E">
              <w:rPr>
                <w:szCs w:val="24"/>
                <w:vertAlign w:val="superscript"/>
                <w:lang w:val="en-GB"/>
              </w:rPr>
              <w:t>**</w:t>
            </w:r>
          </w:p>
        </w:tc>
        <w:tc>
          <w:tcPr>
            <w:tcW w:w="0" w:type="auto"/>
            <w:shd w:val="clear" w:color="auto" w:fill="FFFFFF"/>
          </w:tcPr>
          <w:p w14:paraId="45F86AF5"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-0.26</w:t>
            </w:r>
            <w:r w:rsidRPr="0061355E">
              <w:rPr>
                <w:szCs w:val="24"/>
                <w:vertAlign w:val="superscript"/>
                <w:lang w:val="en-GB"/>
              </w:rPr>
              <w:t>**</w:t>
            </w:r>
          </w:p>
        </w:tc>
        <w:tc>
          <w:tcPr>
            <w:tcW w:w="0" w:type="auto"/>
            <w:shd w:val="clear" w:color="auto" w:fill="FFFFFF"/>
          </w:tcPr>
          <w:p w14:paraId="662C03DB"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-0.27</w:t>
            </w:r>
            <w:r w:rsidRPr="0061355E">
              <w:rPr>
                <w:szCs w:val="24"/>
                <w:vertAlign w:val="superscript"/>
                <w:lang w:val="en-GB"/>
              </w:rPr>
              <w:t>**</w:t>
            </w:r>
          </w:p>
        </w:tc>
        <w:tc>
          <w:tcPr>
            <w:tcW w:w="0" w:type="auto"/>
            <w:shd w:val="clear" w:color="auto" w:fill="FFFFFF"/>
          </w:tcPr>
          <w:p w14:paraId="419CD402"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w:t>
            </w:r>
          </w:p>
        </w:tc>
        <w:tc>
          <w:tcPr>
            <w:tcW w:w="0" w:type="auto"/>
            <w:shd w:val="clear" w:color="auto" w:fill="FFFFFF"/>
          </w:tcPr>
          <w:p w14:paraId="387E1656"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p>
        </w:tc>
      </w:tr>
      <w:tr w:rsidR="0004303A" w:rsidRPr="0061355E" w14:paraId="0569D62D" w14:textId="77777777" w:rsidTr="00B701A3">
        <w:trPr>
          <w:cantSplit/>
        </w:trPr>
        <w:tc>
          <w:tcPr>
            <w:tcW w:w="0" w:type="auto"/>
            <w:shd w:val="clear" w:color="auto" w:fill="FFFFFF"/>
          </w:tcPr>
          <w:p w14:paraId="1F3C573F"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10. Depression</w:t>
            </w:r>
          </w:p>
        </w:tc>
        <w:tc>
          <w:tcPr>
            <w:tcW w:w="0" w:type="auto"/>
            <w:shd w:val="clear" w:color="auto" w:fill="FFFFFF"/>
          </w:tcPr>
          <w:p w14:paraId="68EBC1AF"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0.05</w:t>
            </w:r>
          </w:p>
        </w:tc>
        <w:tc>
          <w:tcPr>
            <w:tcW w:w="0" w:type="auto"/>
            <w:shd w:val="clear" w:color="auto" w:fill="FFFFFF"/>
          </w:tcPr>
          <w:p w14:paraId="37724073"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-0.01</w:t>
            </w:r>
          </w:p>
        </w:tc>
        <w:tc>
          <w:tcPr>
            <w:tcW w:w="0" w:type="auto"/>
            <w:shd w:val="clear" w:color="auto" w:fill="FFFFFF"/>
          </w:tcPr>
          <w:p w14:paraId="351F4881"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0.10</w:t>
            </w:r>
          </w:p>
        </w:tc>
        <w:tc>
          <w:tcPr>
            <w:tcW w:w="0" w:type="auto"/>
            <w:shd w:val="clear" w:color="auto" w:fill="FFFFFF"/>
          </w:tcPr>
          <w:p w14:paraId="0C2D56B5"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-0.21</w:t>
            </w:r>
            <w:r w:rsidRPr="0061355E">
              <w:rPr>
                <w:szCs w:val="24"/>
                <w:vertAlign w:val="superscript"/>
                <w:lang w:val="en-GB"/>
              </w:rPr>
              <w:t>**</w:t>
            </w:r>
          </w:p>
        </w:tc>
        <w:tc>
          <w:tcPr>
            <w:tcW w:w="0" w:type="auto"/>
            <w:shd w:val="clear" w:color="auto" w:fill="FFFFFF"/>
          </w:tcPr>
          <w:p w14:paraId="42640910"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-0.28</w:t>
            </w:r>
            <w:r w:rsidRPr="0061355E">
              <w:rPr>
                <w:szCs w:val="24"/>
                <w:vertAlign w:val="superscript"/>
                <w:lang w:val="en-GB"/>
              </w:rPr>
              <w:t>**</w:t>
            </w:r>
          </w:p>
        </w:tc>
        <w:tc>
          <w:tcPr>
            <w:tcW w:w="0" w:type="auto"/>
            <w:shd w:val="clear" w:color="auto" w:fill="FFFFFF"/>
          </w:tcPr>
          <w:p w14:paraId="12BC8434"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-0.19</w:t>
            </w:r>
            <w:r w:rsidRPr="0061355E">
              <w:rPr>
                <w:szCs w:val="24"/>
                <w:vertAlign w:val="superscript"/>
                <w:lang w:val="en-GB"/>
              </w:rPr>
              <w:t>**</w:t>
            </w:r>
          </w:p>
        </w:tc>
        <w:tc>
          <w:tcPr>
            <w:tcW w:w="0" w:type="auto"/>
            <w:shd w:val="clear" w:color="auto" w:fill="FFFFFF"/>
          </w:tcPr>
          <w:p w14:paraId="65288D1D"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-0.25</w:t>
            </w:r>
            <w:r w:rsidRPr="0061355E">
              <w:rPr>
                <w:szCs w:val="24"/>
                <w:vertAlign w:val="superscript"/>
                <w:lang w:val="en-GB"/>
              </w:rPr>
              <w:t>**</w:t>
            </w:r>
          </w:p>
        </w:tc>
        <w:tc>
          <w:tcPr>
            <w:tcW w:w="0" w:type="auto"/>
            <w:shd w:val="clear" w:color="auto" w:fill="FFFFFF"/>
          </w:tcPr>
          <w:p w14:paraId="5FBA83A6"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-0.23</w:t>
            </w:r>
            <w:r w:rsidRPr="0061355E">
              <w:rPr>
                <w:szCs w:val="24"/>
                <w:vertAlign w:val="superscript"/>
                <w:lang w:val="en-GB"/>
              </w:rPr>
              <w:t>**</w:t>
            </w:r>
          </w:p>
        </w:tc>
        <w:tc>
          <w:tcPr>
            <w:tcW w:w="0" w:type="auto"/>
            <w:shd w:val="clear" w:color="auto" w:fill="FFFFFF"/>
          </w:tcPr>
          <w:p w14:paraId="115969A6"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0.74</w:t>
            </w:r>
            <w:r w:rsidRPr="0061355E">
              <w:rPr>
                <w:szCs w:val="24"/>
                <w:vertAlign w:val="superscript"/>
                <w:lang w:val="en-GB"/>
              </w:rPr>
              <w:t>**</w:t>
            </w:r>
          </w:p>
        </w:tc>
        <w:tc>
          <w:tcPr>
            <w:tcW w:w="0" w:type="auto"/>
            <w:shd w:val="clear" w:color="auto" w:fill="FFFFFF"/>
          </w:tcPr>
          <w:p w14:paraId="2E36BFD3"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w:t>
            </w:r>
          </w:p>
        </w:tc>
      </w:tr>
      <w:tr w:rsidR="0004303A" w:rsidRPr="0061355E" w14:paraId="24126E1D" w14:textId="77777777" w:rsidTr="00B701A3">
        <w:trPr>
          <w:cantSplit/>
        </w:trPr>
        <w:tc>
          <w:tcPr>
            <w:tcW w:w="0" w:type="auto"/>
            <w:shd w:val="clear" w:color="auto" w:fill="FFFFFF"/>
          </w:tcPr>
          <w:p w14:paraId="484A2BA1"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11. Athlete burnout </w:t>
            </w:r>
          </w:p>
        </w:tc>
        <w:tc>
          <w:tcPr>
            <w:tcW w:w="0" w:type="auto"/>
            <w:shd w:val="clear" w:color="auto" w:fill="FFFFFF"/>
          </w:tcPr>
          <w:p w14:paraId="60788A91"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0.24</w:t>
            </w:r>
            <w:r w:rsidRPr="0061355E">
              <w:rPr>
                <w:szCs w:val="24"/>
                <w:vertAlign w:val="superscript"/>
                <w:lang w:val="en-GB"/>
              </w:rPr>
              <w:t>**</w:t>
            </w:r>
          </w:p>
        </w:tc>
        <w:tc>
          <w:tcPr>
            <w:tcW w:w="0" w:type="auto"/>
            <w:shd w:val="clear" w:color="auto" w:fill="FFFFFF"/>
          </w:tcPr>
          <w:p w14:paraId="0B68B6AB"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0.01</w:t>
            </w:r>
          </w:p>
        </w:tc>
        <w:tc>
          <w:tcPr>
            <w:tcW w:w="0" w:type="auto"/>
            <w:shd w:val="clear" w:color="auto" w:fill="FFFFFF"/>
          </w:tcPr>
          <w:p w14:paraId="4B34775E"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0.12</w:t>
            </w:r>
          </w:p>
        </w:tc>
        <w:tc>
          <w:tcPr>
            <w:tcW w:w="0" w:type="auto"/>
            <w:shd w:val="clear" w:color="auto" w:fill="FFFFFF"/>
          </w:tcPr>
          <w:p w14:paraId="36D4224C"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-0.27</w:t>
            </w:r>
            <w:r w:rsidRPr="0061355E">
              <w:rPr>
                <w:szCs w:val="24"/>
                <w:vertAlign w:val="superscript"/>
                <w:lang w:val="en-GB"/>
              </w:rPr>
              <w:t>**</w:t>
            </w:r>
          </w:p>
        </w:tc>
        <w:tc>
          <w:tcPr>
            <w:tcW w:w="0" w:type="auto"/>
            <w:shd w:val="clear" w:color="auto" w:fill="FFFFFF"/>
          </w:tcPr>
          <w:p w14:paraId="03348C96"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-0.30</w:t>
            </w:r>
            <w:r w:rsidRPr="0061355E">
              <w:rPr>
                <w:szCs w:val="24"/>
                <w:vertAlign w:val="superscript"/>
                <w:lang w:val="en-GB"/>
              </w:rPr>
              <w:t>**</w:t>
            </w:r>
          </w:p>
        </w:tc>
        <w:tc>
          <w:tcPr>
            <w:tcW w:w="0" w:type="auto"/>
            <w:shd w:val="clear" w:color="auto" w:fill="FFFFFF"/>
          </w:tcPr>
          <w:p w14:paraId="12021B34"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-0.23</w:t>
            </w:r>
            <w:r w:rsidRPr="0061355E">
              <w:rPr>
                <w:szCs w:val="24"/>
                <w:vertAlign w:val="superscript"/>
                <w:lang w:val="en-GB"/>
              </w:rPr>
              <w:t>**</w:t>
            </w:r>
          </w:p>
        </w:tc>
        <w:tc>
          <w:tcPr>
            <w:tcW w:w="0" w:type="auto"/>
            <w:shd w:val="clear" w:color="auto" w:fill="FFFFFF"/>
          </w:tcPr>
          <w:p w14:paraId="75DA6305"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-0.32</w:t>
            </w:r>
            <w:r w:rsidRPr="0061355E">
              <w:rPr>
                <w:szCs w:val="24"/>
                <w:vertAlign w:val="superscript"/>
                <w:lang w:val="en-GB"/>
              </w:rPr>
              <w:t>**</w:t>
            </w:r>
          </w:p>
        </w:tc>
        <w:tc>
          <w:tcPr>
            <w:tcW w:w="0" w:type="auto"/>
            <w:shd w:val="clear" w:color="auto" w:fill="FFFFFF"/>
          </w:tcPr>
          <w:p w14:paraId="5615B272"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-0.26</w:t>
            </w:r>
            <w:r w:rsidRPr="0061355E">
              <w:rPr>
                <w:szCs w:val="24"/>
                <w:vertAlign w:val="superscript"/>
                <w:lang w:val="en-GB"/>
              </w:rPr>
              <w:t>**</w:t>
            </w:r>
          </w:p>
        </w:tc>
        <w:tc>
          <w:tcPr>
            <w:tcW w:w="0" w:type="auto"/>
            <w:shd w:val="clear" w:color="auto" w:fill="FFFFFF"/>
          </w:tcPr>
          <w:p w14:paraId="196BB488"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0.55</w:t>
            </w:r>
            <w:r w:rsidRPr="0061355E">
              <w:rPr>
                <w:szCs w:val="24"/>
                <w:vertAlign w:val="superscript"/>
                <w:lang w:val="en-GB"/>
              </w:rPr>
              <w:t>**</w:t>
            </w:r>
          </w:p>
        </w:tc>
        <w:tc>
          <w:tcPr>
            <w:tcW w:w="0" w:type="auto"/>
            <w:shd w:val="clear" w:color="auto" w:fill="FFFFFF"/>
          </w:tcPr>
          <w:p w14:paraId="53F97536"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0.54</w:t>
            </w:r>
            <w:r w:rsidRPr="0061355E">
              <w:rPr>
                <w:szCs w:val="24"/>
                <w:vertAlign w:val="superscript"/>
                <w:lang w:val="en-GB"/>
              </w:rPr>
              <w:t>**</w:t>
            </w:r>
          </w:p>
        </w:tc>
      </w:tr>
    </w:tbl>
    <w:p w14:paraId="72170BAD" w14:textId="77777777" w:rsidR="001F05F2" w:rsidRPr="0061355E" w:rsidRDefault="001F05F2" w:rsidP="00B701A3">
      <w:pPr>
        <w:spacing w:after="100" w:afterAutospacing="1" w:line="240" w:lineRule="auto"/>
        <w:contextualSpacing/>
        <w:rPr>
          <w:szCs w:val="24"/>
          <w:lang w:val="en-GB"/>
        </w:rPr>
        <w:sectPr w:rsidR="001F05F2" w:rsidRPr="0061355E" w:rsidSect="002E7D96">
          <w:headerReference w:type="even" r:id="rId13"/>
          <w:headerReference w:type="default" r:id="rId14"/>
          <w:footerReference w:type="even" r:id="rId15"/>
          <w:headerReference w:type="first" r:id="rId16"/>
          <w:footerReference w:type="first" r:id="rId17"/>
          <w:pgSz w:w="15840" w:h="12240" w:orient="landscape"/>
          <w:pgMar w:top="1440" w:right="1440" w:bottom="1440" w:left="1440" w:header="283" w:footer="510" w:gutter="0"/>
          <w:lnNumType w:countBy="1" w:restart="continuous"/>
          <w:cols w:space="720"/>
          <w:titlePg/>
          <w:docGrid w:linePitch="360"/>
        </w:sectPr>
      </w:pPr>
      <w:r w:rsidRPr="0061355E">
        <w:rPr>
          <w:szCs w:val="24"/>
          <w:lang w:val="en-GB"/>
        </w:rPr>
        <w:t xml:space="preserve">Note. Gender </w:t>
      </w:r>
      <w:r w:rsidRPr="0061355E">
        <w:rPr>
          <w:szCs w:val="24"/>
          <w:lang w:val="en-GB" w:eastAsia="zh-CN"/>
        </w:rPr>
        <w:t xml:space="preserve">(0 = male, 1 = female). </w:t>
      </w:r>
      <w:r w:rsidRPr="0061355E">
        <w:rPr>
          <w:szCs w:val="24"/>
          <w:lang w:val="en-GB"/>
        </w:rPr>
        <w:t xml:space="preserve">** </w:t>
      </w:r>
      <w:r w:rsidRPr="0061355E">
        <w:rPr>
          <w:i/>
          <w:szCs w:val="24"/>
          <w:lang w:val="en-GB"/>
        </w:rPr>
        <w:t>p</w:t>
      </w:r>
      <w:r w:rsidRPr="0061355E">
        <w:rPr>
          <w:szCs w:val="24"/>
          <w:lang w:val="en-GB"/>
        </w:rPr>
        <w:t xml:space="preserve"> &lt; 0.01 (2-tailed). * </w:t>
      </w:r>
      <w:r w:rsidRPr="0061355E">
        <w:rPr>
          <w:i/>
          <w:szCs w:val="24"/>
          <w:lang w:val="en-GB"/>
        </w:rPr>
        <w:t>p</w:t>
      </w:r>
      <w:r w:rsidRPr="0061355E">
        <w:rPr>
          <w:szCs w:val="24"/>
          <w:lang w:val="en-GB"/>
        </w:rPr>
        <w:t xml:space="preserve"> &lt; 0.05 (2-tailed). </w:t>
      </w:r>
    </w:p>
    <w:p w14:paraId="7927CE13"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lastRenderedPageBreak/>
        <w:t xml:space="preserve">Table 3 </w:t>
      </w:r>
    </w:p>
    <w:p w14:paraId="0719B434" w14:textId="77777777" w:rsidR="001F05F2" w:rsidRPr="0061355E" w:rsidRDefault="001F05F2" w:rsidP="00B701A3">
      <w:pPr>
        <w:autoSpaceDE w:val="0"/>
        <w:autoSpaceDN w:val="0"/>
        <w:adjustRightInd w:val="0"/>
        <w:spacing w:after="100" w:afterAutospacing="1" w:line="240" w:lineRule="auto"/>
        <w:contextualSpacing/>
        <w:rPr>
          <w:bCs/>
          <w:i/>
          <w:szCs w:val="24"/>
          <w:lang w:val="en-GB"/>
        </w:rPr>
      </w:pPr>
      <w:r w:rsidRPr="0061355E">
        <w:rPr>
          <w:rFonts w:eastAsiaTheme="minorEastAsia"/>
          <w:i/>
          <w:szCs w:val="24"/>
          <w:lang w:val="en-GB" w:eastAsia="zh-CN"/>
        </w:rPr>
        <w:t xml:space="preserve">Regression Analyses of Mental Health Predictors </w:t>
      </w:r>
      <w:r w:rsidRPr="0061355E">
        <w:rPr>
          <w:bCs/>
          <w:i/>
          <w:szCs w:val="24"/>
          <w:lang w:val="en-GB"/>
        </w:rPr>
        <w:t>(n = 248)</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2208"/>
        <w:gridCol w:w="767"/>
        <w:gridCol w:w="222"/>
        <w:gridCol w:w="2116"/>
        <w:gridCol w:w="756"/>
        <w:gridCol w:w="222"/>
        <w:gridCol w:w="2176"/>
        <w:gridCol w:w="756"/>
      </w:tblGrid>
      <w:tr w:rsidR="0004303A" w:rsidRPr="0061355E" w14:paraId="210FC105" w14:textId="77777777" w:rsidTr="00B701A3">
        <w:tc>
          <w:tcPr>
            <w:tcW w:w="0" w:type="auto"/>
            <w:vMerge w:val="restart"/>
            <w:tcBorders>
              <w:top w:val="single" w:sz="4" w:space="0" w:color="auto"/>
            </w:tcBorders>
          </w:tcPr>
          <w:p w14:paraId="0022E7C4"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gridSpan w:val="2"/>
            <w:tcBorders>
              <w:top w:val="single" w:sz="4" w:space="0" w:color="auto"/>
              <w:bottom w:val="single" w:sz="4" w:space="0" w:color="auto"/>
            </w:tcBorders>
          </w:tcPr>
          <w:p w14:paraId="5621F882" w14:textId="512CE8CD" w:rsidR="001F05F2" w:rsidRPr="0061355E" w:rsidRDefault="001F05F2" w:rsidP="00E84188">
            <w:pPr>
              <w:autoSpaceDE w:val="0"/>
              <w:autoSpaceDN w:val="0"/>
              <w:adjustRightInd w:val="0"/>
              <w:spacing w:after="100" w:afterAutospacing="1" w:line="240" w:lineRule="auto"/>
              <w:contextualSpacing/>
              <w:jc w:val="center"/>
              <w:rPr>
                <w:rFonts w:eastAsiaTheme="minorEastAsia"/>
                <w:szCs w:val="24"/>
                <w:lang w:val="en-GB" w:eastAsia="zh-CN"/>
              </w:rPr>
            </w:pPr>
            <w:r w:rsidRPr="0061355E">
              <w:rPr>
                <w:rFonts w:eastAsiaTheme="minorEastAsia"/>
                <w:szCs w:val="24"/>
                <w:lang w:val="en-GB" w:eastAsia="zh-CN"/>
              </w:rPr>
              <w:t>Generali</w:t>
            </w:r>
            <w:r w:rsidR="00E84188" w:rsidRPr="0061355E">
              <w:rPr>
                <w:rFonts w:eastAsiaTheme="minorEastAsia"/>
                <w:szCs w:val="24"/>
                <w:lang w:val="en-GB" w:eastAsia="zh-CN"/>
              </w:rPr>
              <w:t>s</w:t>
            </w:r>
            <w:r w:rsidRPr="0061355E">
              <w:rPr>
                <w:rFonts w:eastAsiaTheme="minorEastAsia"/>
                <w:szCs w:val="24"/>
                <w:lang w:val="en-GB" w:eastAsia="zh-CN"/>
              </w:rPr>
              <w:t>ed anxiety disorder</w:t>
            </w:r>
          </w:p>
        </w:tc>
        <w:tc>
          <w:tcPr>
            <w:tcW w:w="0" w:type="auto"/>
            <w:tcBorders>
              <w:top w:val="single" w:sz="4" w:space="0" w:color="auto"/>
            </w:tcBorders>
          </w:tcPr>
          <w:p w14:paraId="704776CE"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gridSpan w:val="2"/>
            <w:tcBorders>
              <w:top w:val="single" w:sz="4" w:space="0" w:color="auto"/>
              <w:bottom w:val="single" w:sz="4" w:space="0" w:color="auto"/>
            </w:tcBorders>
          </w:tcPr>
          <w:p w14:paraId="00A5B46D" w14:textId="77777777" w:rsidR="001F05F2" w:rsidRPr="0061355E" w:rsidRDefault="001F05F2" w:rsidP="00B701A3">
            <w:pPr>
              <w:autoSpaceDE w:val="0"/>
              <w:autoSpaceDN w:val="0"/>
              <w:adjustRightInd w:val="0"/>
              <w:spacing w:after="100" w:afterAutospacing="1" w:line="240" w:lineRule="auto"/>
              <w:contextualSpacing/>
              <w:jc w:val="center"/>
              <w:rPr>
                <w:rFonts w:eastAsiaTheme="minorEastAsia"/>
                <w:szCs w:val="24"/>
                <w:lang w:val="en-GB" w:eastAsia="zh-CN"/>
              </w:rPr>
            </w:pPr>
            <w:r w:rsidRPr="0061355E">
              <w:rPr>
                <w:rFonts w:eastAsiaTheme="minorEastAsia"/>
                <w:szCs w:val="24"/>
                <w:lang w:val="en-GB" w:eastAsia="zh-CN"/>
              </w:rPr>
              <w:t>Depression</w:t>
            </w:r>
          </w:p>
        </w:tc>
        <w:tc>
          <w:tcPr>
            <w:tcW w:w="0" w:type="auto"/>
            <w:tcBorders>
              <w:top w:val="single" w:sz="4" w:space="0" w:color="auto"/>
            </w:tcBorders>
          </w:tcPr>
          <w:p w14:paraId="7007692D" w14:textId="77777777" w:rsidR="001F05F2" w:rsidRPr="0061355E" w:rsidRDefault="001F05F2" w:rsidP="00B701A3">
            <w:pPr>
              <w:autoSpaceDE w:val="0"/>
              <w:autoSpaceDN w:val="0"/>
              <w:adjustRightInd w:val="0"/>
              <w:spacing w:after="100" w:afterAutospacing="1" w:line="240" w:lineRule="auto"/>
              <w:contextualSpacing/>
              <w:jc w:val="center"/>
              <w:rPr>
                <w:rFonts w:eastAsiaTheme="minorEastAsia"/>
                <w:szCs w:val="24"/>
                <w:lang w:val="en-GB" w:eastAsia="zh-CN"/>
              </w:rPr>
            </w:pPr>
          </w:p>
        </w:tc>
        <w:tc>
          <w:tcPr>
            <w:tcW w:w="0" w:type="auto"/>
            <w:gridSpan w:val="2"/>
            <w:tcBorders>
              <w:top w:val="single" w:sz="4" w:space="0" w:color="auto"/>
              <w:bottom w:val="single" w:sz="4" w:space="0" w:color="auto"/>
            </w:tcBorders>
          </w:tcPr>
          <w:p w14:paraId="675ACA4C" w14:textId="77777777" w:rsidR="001F05F2" w:rsidRPr="0061355E" w:rsidRDefault="001F05F2" w:rsidP="00B701A3">
            <w:pPr>
              <w:autoSpaceDE w:val="0"/>
              <w:autoSpaceDN w:val="0"/>
              <w:adjustRightInd w:val="0"/>
              <w:spacing w:after="100" w:afterAutospacing="1" w:line="240" w:lineRule="auto"/>
              <w:contextualSpacing/>
              <w:jc w:val="center"/>
              <w:rPr>
                <w:rFonts w:eastAsiaTheme="minorEastAsia"/>
                <w:szCs w:val="24"/>
                <w:lang w:val="en-GB" w:eastAsia="zh-CN"/>
              </w:rPr>
            </w:pPr>
            <w:r w:rsidRPr="0061355E">
              <w:rPr>
                <w:rFonts w:eastAsiaTheme="minorEastAsia"/>
                <w:szCs w:val="24"/>
                <w:lang w:val="en-GB" w:eastAsia="zh-CN"/>
              </w:rPr>
              <w:t>Athlete burnout</w:t>
            </w:r>
            <w:r w:rsidRPr="0061355E">
              <w:rPr>
                <w:szCs w:val="24"/>
                <w:vertAlign w:val="superscript"/>
                <w:lang w:val="en-GB" w:eastAsia="zh-CN"/>
              </w:rPr>
              <w:t xml:space="preserve"> a</w:t>
            </w:r>
          </w:p>
        </w:tc>
      </w:tr>
      <w:tr w:rsidR="0004303A" w:rsidRPr="0061355E" w14:paraId="69C6F4D4" w14:textId="77777777" w:rsidTr="00B701A3">
        <w:tc>
          <w:tcPr>
            <w:tcW w:w="0" w:type="auto"/>
            <w:vMerge/>
            <w:tcBorders>
              <w:bottom w:val="single" w:sz="4" w:space="0" w:color="auto"/>
            </w:tcBorders>
          </w:tcPr>
          <w:p w14:paraId="746C9682"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Borders>
              <w:top w:val="single" w:sz="4" w:space="0" w:color="auto"/>
              <w:bottom w:val="single" w:sz="4" w:space="0" w:color="auto"/>
            </w:tcBorders>
          </w:tcPr>
          <w:p w14:paraId="04D6F430" w14:textId="77777777" w:rsidR="001F05F2" w:rsidRPr="0061355E" w:rsidRDefault="001F05F2" w:rsidP="00B701A3">
            <w:pPr>
              <w:autoSpaceDE w:val="0"/>
              <w:autoSpaceDN w:val="0"/>
              <w:adjustRightInd w:val="0"/>
              <w:spacing w:after="100" w:afterAutospacing="1" w:line="240" w:lineRule="auto"/>
              <w:contextualSpacing/>
              <w:jc w:val="center"/>
              <w:rPr>
                <w:rFonts w:eastAsiaTheme="minorEastAsia"/>
                <w:szCs w:val="24"/>
                <w:lang w:val="en-GB" w:eastAsia="zh-CN"/>
              </w:rPr>
            </w:pPr>
            <w:r w:rsidRPr="0061355E">
              <w:rPr>
                <w:rFonts w:eastAsiaTheme="minorEastAsia"/>
                <w:szCs w:val="24"/>
                <w:lang w:val="en-GB" w:eastAsia="zh-CN"/>
              </w:rPr>
              <w:t xml:space="preserve">β (95% CI) </w:t>
            </w:r>
          </w:p>
        </w:tc>
        <w:tc>
          <w:tcPr>
            <w:tcW w:w="0" w:type="auto"/>
            <w:tcBorders>
              <w:top w:val="single" w:sz="4" w:space="0" w:color="auto"/>
              <w:bottom w:val="single" w:sz="4" w:space="0" w:color="auto"/>
            </w:tcBorders>
          </w:tcPr>
          <w:p w14:paraId="45628BC3" w14:textId="77777777" w:rsidR="001F05F2" w:rsidRPr="0061355E" w:rsidRDefault="001F05F2" w:rsidP="00B701A3">
            <w:pPr>
              <w:autoSpaceDE w:val="0"/>
              <w:autoSpaceDN w:val="0"/>
              <w:adjustRightInd w:val="0"/>
              <w:spacing w:after="100" w:afterAutospacing="1" w:line="240" w:lineRule="auto"/>
              <w:contextualSpacing/>
              <w:jc w:val="center"/>
              <w:rPr>
                <w:rFonts w:eastAsiaTheme="minorEastAsia"/>
                <w:i/>
                <w:szCs w:val="24"/>
                <w:lang w:val="en-GB" w:eastAsia="zh-CN"/>
              </w:rPr>
            </w:pPr>
            <w:r w:rsidRPr="0061355E">
              <w:rPr>
                <w:rFonts w:eastAsiaTheme="minorEastAsia"/>
                <w:i/>
                <w:szCs w:val="24"/>
                <w:lang w:val="en-GB" w:eastAsia="zh-CN"/>
              </w:rPr>
              <w:t>p</w:t>
            </w:r>
          </w:p>
        </w:tc>
        <w:tc>
          <w:tcPr>
            <w:tcW w:w="0" w:type="auto"/>
            <w:tcBorders>
              <w:bottom w:val="single" w:sz="4" w:space="0" w:color="auto"/>
            </w:tcBorders>
          </w:tcPr>
          <w:p w14:paraId="709885C3" w14:textId="77777777" w:rsidR="001F05F2" w:rsidRPr="0061355E" w:rsidRDefault="001F05F2" w:rsidP="00B701A3">
            <w:pPr>
              <w:autoSpaceDE w:val="0"/>
              <w:autoSpaceDN w:val="0"/>
              <w:adjustRightInd w:val="0"/>
              <w:spacing w:after="100" w:afterAutospacing="1" w:line="240" w:lineRule="auto"/>
              <w:contextualSpacing/>
              <w:jc w:val="center"/>
              <w:rPr>
                <w:rFonts w:eastAsiaTheme="minorEastAsia"/>
                <w:szCs w:val="24"/>
                <w:lang w:val="en-GB" w:eastAsia="zh-CN"/>
              </w:rPr>
            </w:pPr>
          </w:p>
        </w:tc>
        <w:tc>
          <w:tcPr>
            <w:tcW w:w="0" w:type="auto"/>
            <w:tcBorders>
              <w:top w:val="single" w:sz="4" w:space="0" w:color="auto"/>
              <w:bottom w:val="single" w:sz="4" w:space="0" w:color="auto"/>
            </w:tcBorders>
          </w:tcPr>
          <w:p w14:paraId="26508673" w14:textId="77777777" w:rsidR="001F05F2" w:rsidRPr="0061355E" w:rsidRDefault="001F05F2" w:rsidP="00B701A3">
            <w:pPr>
              <w:autoSpaceDE w:val="0"/>
              <w:autoSpaceDN w:val="0"/>
              <w:adjustRightInd w:val="0"/>
              <w:spacing w:after="100" w:afterAutospacing="1" w:line="240" w:lineRule="auto"/>
              <w:contextualSpacing/>
              <w:jc w:val="center"/>
              <w:rPr>
                <w:rFonts w:eastAsiaTheme="minorEastAsia"/>
                <w:szCs w:val="24"/>
                <w:lang w:val="en-GB" w:eastAsia="zh-CN"/>
              </w:rPr>
            </w:pPr>
            <w:r w:rsidRPr="0061355E">
              <w:rPr>
                <w:rFonts w:eastAsiaTheme="minorEastAsia"/>
                <w:szCs w:val="24"/>
                <w:lang w:val="en-GB" w:eastAsia="zh-CN"/>
              </w:rPr>
              <w:t>β (95% CI)</w:t>
            </w:r>
          </w:p>
        </w:tc>
        <w:tc>
          <w:tcPr>
            <w:tcW w:w="0" w:type="auto"/>
            <w:tcBorders>
              <w:top w:val="single" w:sz="4" w:space="0" w:color="auto"/>
              <w:bottom w:val="single" w:sz="4" w:space="0" w:color="auto"/>
            </w:tcBorders>
          </w:tcPr>
          <w:p w14:paraId="7A429FF3" w14:textId="77777777" w:rsidR="001F05F2" w:rsidRPr="0061355E" w:rsidRDefault="001F05F2" w:rsidP="00B701A3">
            <w:pPr>
              <w:autoSpaceDE w:val="0"/>
              <w:autoSpaceDN w:val="0"/>
              <w:adjustRightInd w:val="0"/>
              <w:spacing w:after="100" w:afterAutospacing="1" w:line="240" w:lineRule="auto"/>
              <w:contextualSpacing/>
              <w:jc w:val="center"/>
              <w:rPr>
                <w:rFonts w:eastAsiaTheme="minorEastAsia"/>
                <w:i/>
                <w:szCs w:val="24"/>
                <w:lang w:val="en-GB" w:eastAsia="zh-CN"/>
              </w:rPr>
            </w:pPr>
            <w:r w:rsidRPr="0061355E">
              <w:rPr>
                <w:rFonts w:eastAsiaTheme="minorEastAsia"/>
                <w:i/>
                <w:szCs w:val="24"/>
                <w:lang w:val="en-GB" w:eastAsia="zh-CN"/>
              </w:rPr>
              <w:t>p</w:t>
            </w:r>
          </w:p>
        </w:tc>
        <w:tc>
          <w:tcPr>
            <w:tcW w:w="0" w:type="auto"/>
            <w:tcBorders>
              <w:bottom w:val="single" w:sz="4" w:space="0" w:color="auto"/>
            </w:tcBorders>
          </w:tcPr>
          <w:p w14:paraId="68FF13A1" w14:textId="77777777" w:rsidR="001F05F2" w:rsidRPr="0061355E" w:rsidRDefault="001F05F2" w:rsidP="00B701A3">
            <w:pPr>
              <w:autoSpaceDE w:val="0"/>
              <w:autoSpaceDN w:val="0"/>
              <w:adjustRightInd w:val="0"/>
              <w:spacing w:after="100" w:afterAutospacing="1" w:line="240" w:lineRule="auto"/>
              <w:contextualSpacing/>
              <w:jc w:val="center"/>
              <w:rPr>
                <w:rFonts w:eastAsiaTheme="minorEastAsia"/>
                <w:szCs w:val="24"/>
                <w:lang w:val="en-GB" w:eastAsia="zh-CN"/>
              </w:rPr>
            </w:pPr>
          </w:p>
        </w:tc>
        <w:tc>
          <w:tcPr>
            <w:tcW w:w="0" w:type="auto"/>
            <w:tcBorders>
              <w:top w:val="single" w:sz="4" w:space="0" w:color="auto"/>
              <w:bottom w:val="single" w:sz="4" w:space="0" w:color="auto"/>
            </w:tcBorders>
          </w:tcPr>
          <w:p w14:paraId="1CA0E620" w14:textId="77777777" w:rsidR="001F05F2" w:rsidRPr="0061355E" w:rsidRDefault="001F05F2" w:rsidP="00B701A3">
            <w:pPr>
              <w:autoSpaceDE w:val="0"/>
              <w:autoSpaceDN w:val="0"/>
              <w:adjustRightInd w:val="0"/>
              <w:spacing w:after="100" w:afterAutospacing="1" w:line="240" w:lineRule="auto"/>
              <w:contextualSpacing/>
              <w:jc w:val="center"/>
              <w:rPr>
                <w:rFonts w:eastAsiaTheme="minorEastAsia"/>
                <w:szCs w:val="24"/>
                <w:lang w:val="en-GB" w:eastAsia="zh-CN"/>
              </w:rPr>
            </w:pPr>
            <w:r w:rsidRPr="0061355E">
              <w:rPr>
                <w:rFonts w:eastAsiaTheme="minorEastAsia"/>
                <w:szCs w:val="24"/>
                <w:lang w:val="en-GB" w:eastAsia="zh-CN"/>
              </w:rPr>
              <w:t>β (95% CI)</w:t>
            </w:r>
          </w:p>
        </w:tc>
        <w:tc>
          <w:tcPr>
            <w:tcW w:w="0" w:type="auto"/>
            <w:tcBorders>
              <w:top w:val="single" w:sz="4" w:space="0" w:color="auto"/>
              <w:bottom w:val="single" w:sz="4" w:space="0" w:color="auto"/>
            </w:tcBorders>
          </w:tcPr>
          <w:p w14:paraId="63A91CE9" w14:textId="77777777" w:rsidR="001F05F2" w:rsidRPr="0061355E" w:rsidRDefault="001F05F2" w:rsidP="00B701A3">
            <w:pPr>
              <w:autoSpaceDE w:val="0"/>
              <w:autoSpaceDN w:val="0"/>
              <w:adjustRightInd w:val="0"/>
              <w:spacing w:after="100" w:afterAutospacing="1" w:line="240" w:lineRule="auto"/>
              <w:contextualSpacing/>
              <w:jc w:val="center"/>
              <w:rPr>
                <w:rFonts w:eastAsiaTheme="minorEastAsia"/>
                <w:i/>
                <w:szCs w:val="24"/>
                <w:lang w:val="en-GB" w:eastAsia="zh-CN"/>
              </w:rPr>
            </w:pPr>
            <w:r w:rsidRPr="0061355E">
              <w:rPr>
                <w:rFonts w:eastAsiaTheme="minorEastAsia"/>
                <w:i/>
                <w:szCs w:val="24"/>
                <w:lang w:val="en-GB" w:eastAsia="zh-CN"/>
              </w:rPr>
              <w:t>p</w:t>
            </w:r>
          </w:p>
        </w:tc>
      </w:tr>
      <w:tr w:rsidR="0004303A" w:rsidRPr="0061355E" w14:paraId="64C3CC0D" w14:textId="77777777" w:rsidTr="00B701A3">
        <w:tc>
          <w:tcPr>
            <w:tcW w:w="0" w:type="auto"/>
          </w:tcPr>
          <w:p w14:paraId="10AB4F39"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Long-term development focus</w:t>
            </w:r>
          </w:p>
        </w:tc>
        <w:tc>
          <w:tcPr>
            <w:tcW w:w="0" w:type="auto"/>
          </w:tcPr>
          <w:p w14:paraId="170AE7E5"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-0.01 (-0.20, 0.18)</w:t>
            </w:r>
          </w:p>
        </w:tc>
        <w:tc>
          <w:tcPr>
            <w:tcW w:w="0" w:type="auto"/>
          </w:tcPr>
          <w:p w14:paraId="186EF9C9" w14:textId="77777777" w:rsidR="001F05F2" w:rsidRPr="0061355E" w:rsidRDefault="001F05F2" w:rsidP="00B701A3">
            <w:pPr>
              <w:autoSpaceDE w:val="0"/>
              <w:autoSpaceDN w:val="0"/>
              <w:adjustRightInd w:val="0"/>
              <w:spacing w:after="100" w:afterAutospacing="1" w:line="240" w:lineRule="auto"/>
              <w:ind w:left="60" w:right="60"/>
              <w:contextualSpacing/>
              <w:jc w:val="right"/>
              <w:rPr>
                <w:szCs w:val="24"/>
                <w:lang w:val="en-GB"/>
              </w:rPr>
            </w:pPr>
            <w:r w:rsidRPr="0061355E">
              <w:rPr>
                <w:szCs w:val="24"/>
                <w:lang w:val="en-GB"/>
              </w:rPr>
              <w:t>0.92</w:t>
            </w:r>
          </w:p>
        </w:tc>
        <w:tc>
          <w:tcPr>
            <w:tcW w:w="0" w:type="auto"/>
          </w:tcPr>
          <w:p w14:paraId="74715355"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3A96D060"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0.00 (-0.19, 0.19)</w:t>
            </w:r>
          </w:p>
        </w:tc>
        <w:tc>
          <w:tcPr>
            <w:tcW w:w="0" w:type="auto"/>
          </w:tcPr>
          <w:p w14:paraId="46C4CD50" w14:textId="77777777" w:rsidR="001F05F2" w:rsidRPr="0061355E" w:rsidRDefault="001F05F2" w:rsidP="00B701A3">
            <w:pPr>
              <w:autoSpaceDE w:val="0"/>
              <w:autoSpaceDN w:val="0"/>
              <w:adjustRightInd w:val="0"/>
              <w:spacing w:after="100" w:afterAutospacing="1" w:line="240" w:lineRule="auto"/>
              <w:ind w:left="60" w:right="60"/>
              <w:contextualSpacing/>
              <w:jc w:val="right"/>
              <w:rPr>
                <w:szCs w:val="24"/>
                <w:lang w:val="en-GB"/>
              </w:rPr>
            </w:pPr>
            <w:r w:rsidRPr="0061355E">
              <w:rPr>
                <w:szCs w:val="24"/>
                <w:lang w:val="en-GB"/>
              </w:rPr>
              <w:t>0.98</w:t>
            </w:r>
          </w:p>
        </w:tc>
        <w:tc>
          <w:tcPr>
            <w:tcW w:w="0" w:type="auto"/>
          </w:tcPr>
          <w:p w14:paraId="0705591F"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7338B2AE"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-0.05 (-0.23, 0.14)</w:t>
            </w:r>
          </w:p>
        </w:tc>
        <w:tc>
          <w:tcPr>
            <w:tcW w:w="0" w:type="auto"/>
          </w:tcPr>
          <w:p w14:paraId="612BB4CB" w14:textId="77777777" w:rsidR="001F05F2" w:rsidRPr="0061355E" w:rsidRDefault="001F05F2" w:rsidP="00B701A3">
            <w:pPr>
              <w:autoSpaceDE w:val="0"/>
              <w:autoSpaceDN w:val="0"/>
              <w:adjustRightInd w:val="0"/>
              <w:spacing w:after="100" w:afterAutospacing="1" w:line="240" w:lineRule="auto"/>
              <w:ind w:left="60" w:right="60"/>
              <w:contextualSpacing/>
              <w:jc w:val="right"/>
              <w:rPr>
                <w:szCs w:val="24"/>
                <w:lang w:val="en-GB"/>
              </w:rPr>
            </w:pPr>
            <w:r w:rsidRPr="0061355E">
              <w:rPr>
                <w:szCs w:val="24"/>
                <w:lang w:val="en-GB"/>
              </w:rPr>
              <w:t>0.60</w:t>
            </w:r>
          </w:p>
        </w:tc>
      </w:tr>
      <w:tr w:rsidR="0004303A" w:rsidRPr="0061355E" w14:paraId="18D92635" w14:textId="77777777" w:rsidTr="00B701A3">
        <w:tc>
          <w:tcPr>
            <w:tcW w:w="0" w:type="auto"/>
          </w:tcPr>
          <w:p w14:paraId="4677F5AD"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Alignment of expectations</w:t>
            </w:r>
          </w:p>
        </w:tc>
        <w:tc>
          <w:tcPr>
            <w:tcW w:w="0" w:type="auto"/>
          </w:tcPr>
          <w:p w14:paraId="0318B75B" w14:textId="77777777" w:rsidR="001F05F2" w:rsidRPr="0061355E" w:rsidRDefault="001F05F2" w:rsidP="00B701A3">
            <w:pPr>
              <w:autoSpaceDE w:val="0"/>
              <w:autoSpaceDN w:val="0"/>
              <w:adjustRightInd w:val="0"/>
              <w:spacing w:after="100" w:afterAutospacing="1" w:line="240" w:lineRule="auto"/>
              <w:ind w:left="60" w:right="60"/>
              <w:contextualSpacing/>
              <w:rPr>
                <w:b/>
                <w:szCs w:val="24"/>
                <w:lang w:val="en-GB"/>
              </w:rPr>
            </w:pPr>
            <w:r w:rsidRPr="0061355E">
              <w:rPr>
                <w:b/>
                <w:szCs w:val="24"/>
                <w:lang w:val="en-GB"/>
              </w:rPr>
              <w:t>-0.24 (-0.47, -0.02)</w:t>
            </w:r>
          </w:p>
        </w:tc>
        <w:tc>
          <w:tcPr>
            <w:tcW w:w="0" w:type="auto"/>
          </w:tcPr>
          <w:p w14:paraId="663ED8CD" w14:textId="77777777" w:rsidR="001F05F2" w:rsidRPr="0061355E" w:rsidRDefault="001F05F2" w:rsidP="00B701A3">
            <w:pPr>
              <w:autoSpaceDE w:val="0"/>
              <w:autoSpaceDN w:val="0"/>
              <w:adjustRightInd w:val="0"/>
              <w:spacing w:after="100" w:afterAutospacing="1" w:line="240" w:lineRule="auto"/>
              <w:ind w:left="60" w:right="60"/>
              <w:contextualSpacing/>
              <w:jc w:val="right"/>
              <w:rPr>
                <w:b/>
                <w:szCs w:val="24"/>
                <w:lang w:val="en-GB"/>
              </w:rPr>
            </w:pPr>
            <w:r w:rsidRPr="0061355E">
              <w:rPr>
                <w:b/>
                <w:szCs w:val="24"/>
                <w:lang w:val="en-GB"/>
              </w:rPr>
              <w:t>0.04</w:t>
            </w:r>
          </w:p>
        </w:tc>
        <w:tc>
          <w:tcPr>
            <w:tcW w:w="0" w:type="auto"/>
          </w:tcPr>
          <w:p w14:paraId="141019E7"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48BE6CD6" w14:textId="77777777" w:rsidR="001F05F2" w:rsidRPr="0061355E" w:rsidRDefault="001F05F2" w:rsidP="00B701A3">
            <w:pPr>
              <w:autoSpaceDE w:val="0"/>
              <w:autoSpaceDN w:val="0"/>
              <w:adjustRightInd w:val="0"/>
              <w:spacing w:after="100" w:afterAutospacing="1" w:line="240" w:lineRule="auto"/>
              <w:ind w:right="60"/>
              <w:contextualSpacing/>
              <w:rPr>
                <w:b/>
                <w:szCs w:val="24"/>
                <w:lang w:val="en-GB"/>
              </w:rPr>
            </w:pPr>
            <w:r w:rsidRPr="0061355E">
              <w:rPr>
                <w:b/>
                <w:szCs w:val="24"/>
                <w:lang w:val="en-GB"/>
              </w:rPr>
              <w:t>-0.26 (-0.49, -0.04)</w:t>
            </w:r>
          </w:p>
        </w:tc>
        <w:tc>
          <w:tcPr>
            <w:tcW w:w="0" w:type="auto"/>
          </w:tcPr>
          <w:p w14:paraId="4C62373E" w14:textId="77777777" w:rsidR="001F05F2" w:rsidRPr="0061355E" w:rsidRDefault="001F05F2" w:rsidP="00B701A3">
            <w:pPr>
              <w:autoSpaceDE w:val="0"/>
              <w:autoSpaceDN w:val="0"/>
              <w:adjustRightInd w:val="0"/>
              <w:spacing w:after="100" w:afterAutospacing="1" w:line="240" w:lineRule="auto"/>
              <w:ind w:left="60" w:right="60"/>
              <w:contextualSpacing/>
              <w:jc w:val="right"/>
              <w:rPr>
                <w:b/>
                <w:szCs w:val="24"/>
                <w:lang w:val="en-GB"/>
              </w:rPr>
            </w:pPr>
            <w:r w:rsidRPr="0061355E">
              <w:rPr>
                <w:b/>
                <w:szCs w:val="24"/>
                <w:lang w:val="en-GB"/>
              </w:rPr>
              <w:t>0.02</w:t>
            </w:r>
          </w:p>
        </w:tc>
        <w:tc>
          <w:tcPr>
            <w:tcW w:w="0" w:type="auto"/>
          </w:tcPr>
          <w:p w14:paraId="6EEE15C5"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3EC61503"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-0.12 (-0.34, 0.10 )</w:t>
            </w:r>
          </w:p>
        </w:tc>
        <w:tc>
          <w:tcPr>
            <w:tcW w:w="0" w:type="auto"/>
          </w:tcPr>
          <w:p w14:paraId="5020E40A" w14:textId="77777777" w:rsidR="001F05F2" w:rsidRPr="0061355E" w:rsidRDefault="001F05F2" w:rsidP="00B701A3">
            <w:pPr>
              <w:autoSpaceDE w:val="0"/>
              <w:autoSpaceDN w:val="0"/>
              <w:adjustRightInd w:val="0"/>
              <w:spacing w:after="100" w:afterAutospacing="1" w:line="240" w:lineRule="auto"/>
              <w:ind w:left="60" w:right="60"/>
              <w:contextualSpacing/>
              <w:jc w:val="right"/>
              <w:rPr>
                <w:szCs w:val="24"/>
                <w:lang w:val="en-GB"/>
              </w:rPr>
            </w:pPr>
            <w:r w:rsidRPr="0061355E">
              <w:rPr>
                <w:szCs w:val="24"/>
                <w:lang w:val="en-GB"/>
              </w:rPr>
              <w:t>0.30</w:t>
            </w:r>
          </w:p>
        </w:tc>
      </w:tr>
      <w:tr w:rsidR="0004303A" w:rsidRPr="0061355E" w14:paraId="468A7CC3" w14:textId="77777777" w:rsidTr="00B701A3">
        <w:tc>
          <w:tcPr>
            <w:tcW w:w="0" w:type="auto"/>
          </w:tcPr>
          <w:p w14:paraId="5D9B792C"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Communication</w:t>
            </w:r>
          </w:p>
        </w:tc>
        <w:tc>
          <w:tcPr>
            <w:tcW w:w="0" w:type="auto"/>
          </w:tcPr>
          <w:p w14:paraId="3084767C"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0.19 (-0.02, 0.40)</w:t>
            </w:r>
          </w:p>
        </w:tc>
        <w:tc>
          <w:tcPr>
            <w:tcW w:w="0" w:type="auto"/>
          </w:tcPr>
          <w:p w14:paraId="64C2434B" w14:textId="77777777" w:rsidR="001F05F2" w:rsidRPr="0061355E" w:rsidRDefault="001F05F2" w:rsidP="00B701A3">
            <w:pPr>
              <w:autoSpaceDE w:val="0"/>
              <w:autoSpaceDN w:val="0"/>
              <w:adjustRightInd w:val="0"/>
              <w:spacing w:after="100" w:afterAutospacing="1" w:line="240" w:lineRule="auto"/>
              <w:ind w:left="60" w:right="60"/>
              <w:contextualSpacing/>
              <w:jc w:val="right"/>
              <w:rPr>
                <w:szCs w:val="24"/>
                <w:lang w:val="en-GB"/>
              </w:rPr>
            </w:pPr>
            <w:r w:rsidRPr="0061355E">
              <w:rPr>
                <w:szCs w:val="24"/>
                <w:lang w:val="en-GB"/>
              </w:rPr>
              <w:t>0.07</w:t>
            </w:r>
          </w:p>
        </w:tc>
        <w:tc>
          <w:tcPr>
            <w:tcW w:w="0" w:type="auto"/>
          </w:tcPr>
          <w:p w14:paraId="0B9C82B2"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0E4E901A"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0.12 (-0.09, 0.33)</w:t>
            </w:r>
          </w:p>
        </w:tc>
        <w:tc>
          <w:tcPr>
            <w:tcW w:w="0" w:type="auto"/>
          </w:tcPr>
          <w:p w14:paraId="76FAFA14" w14:textId="77777777" w:rsidR="001F05F2" w:rsidRPr="0061355E" w:rsidRDefault="001F05F2" w:rsidP="00B701A3">
            <w:pPr>
              <w:autoSpaceDE w:val="0"/>
              <w:autoSpaceDN w:val="0"/>
              <w:adjustRightInd w:val="0"/>
              <w:spacing w:after="100" w:afterAutospacing="1" w:line="240" w:lineRule="auto"/>
              <w:ind w:left="60" w:right="60"/>
              <w:contextualSpacing/>
              <w:jc w:val="right"/>
              <w:rPr>
                <w:szCs w:val="24"/>
                <w:lang w:val="en-GB"/>
              </w:rPr>
            </w:pPr>
            <w:r w:rsidRPr="0061355E">
              <w:rPr>
                <w:szCs w:val="24"/>
                <w:lang w:val="en-GB"/>
              </w:rPr>
              <w:t>0.25</w:t>
            </w:r>
          </w:p>
        </w:tc>
        <w:tc>
          <w:tcPr>
            <w:tcW w:w="0" w:type="auto"/>
          </w:tcPr>
          <w:p w14:paraId="1558B9CB"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07DC6336"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 xml:space="preserve"> 0.11 (-0.09, 0.31)</w:t>
            </w:r>
          </w:p>
        </w:tc>
        <w:tc>
          <w:tcPr>
            <w:tcW w:w="0" w:type="auto"/>
          </w:tcPr>
          <w:p w14:paraId="2CD6C684" w14:textId="77777777" w:rsidR="001F05F2" w:rsidRPr="0061355E" w:rsidRDefault="001F05F2" w:rsidP="00B701A3">
            <w:pPr>
              <w:autoSpaceDE w:val="0"/>
              <w:autoSpaceDN w:val="0"/>
              <w:adjustRightInd w:val="0"/>
              <w:spacing w:after="100" w:afterAutospacing="1" w:line="240" w:lineRule="auto"/>
              <w:ind w:left="60" w:right="60"/>
              <w:contextualSpacing/>
              <w:jc w:val="right"/>
              <w:rPr>
                <w:szCs w:val="24"/>
                <w:lang w:val="en-GB"/>
              </w:rPr>
            </w:pPr>
            <w:r w:rsidRPr="0061355E">
              <w:rPr>
                <w:szCs w:val="24"/>
                <w:lang w:val="en-GB"/>
              </w:rPr>
              <w:t>0.29</w:t>
            </w:r>
          </w:p>
        </w:tc>
      </w:tr>
      <w:tr w:rsidR="0004303A" w:rsidRPr="0061355E" w14:paraId="47187A52" w14:textId="77777777" w:rsidTr="00B701A3">
        <w:tc>
          <w:tcPr>
            <w:tcW w:w="0" w:type="auto"/>
          </w:tcPr>
          <w:p w14:paraId="49E11144"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Holistic quality preparation</w:t>
            </w:r>
          </w:p>
        </w:tc>
        <w:tc>
          <w:tcPr>
            <w:tcW w:w="0" w:type="auto"/>
          </w:tcPr>
          <w:p w14:paraId="5A604208"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-0.08 (-0.32, 0.16)</w:t>
            </w:r>
          </w:p>
        </w:tc>
        <w:tc>
          <w:tcPr>
            <w:tcW w:w="0" w:type="auto"/>
          </w:tcPr>
          <w:p w14:paraId="39D20F10" w14:textId="77777777" w:rsidR="001F05F2" w:rsidRPr="0061355E" w:rsidRDefault="001F05F2" w:rsidP="00B701A3">
            <w:pPr>
              <w:autoSpaceDE w:val="0"/>
              <w:autoSpaceDN w:val="0"/>
              <w:adjustRightInd w:val="0"/>
              <w:spacing w:after="100" w:afterAutospacing="1" w:line="240" w:lineRule="auto"/>
              <w:ind w:left="60" w:right="60"/>
              <w:contextualSpacing/>
              <w:jc w:val="right"/>
              <w:rPr>
                <w:szCs w:val="24"/>
                <w:lang w:val="en-GB"/>
              </w:rPr>
            </w:pPr>
            <w:r w:rsidRPr="0061355E">
              <w:rPr>
                <w:szCs w:val="24"/>
                <w:lang w:val="en-GB"/>
              </w:rPr>
              <w:t>0.50</w:t>
            </w:r>
          </w:p>
        </w:tc>
        <w:tc>
          <w:tcPr>
            <w:tcW w:w="0" w:type="auto"/>
          </w:tcPr>
          <w:p w14:paraId="4A98B0B4"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5EBFC5B3" w14:textId="77777777" w:rsidR="001F05F2" w:rsidRPr="0061355E" w:rsidRDefault="001F05F2" w:rsidP="00B701A3">
            <w:pPr>
              <w:autoSpaceDE w:val="0"/>
              <w:autoSpaceDN w:val="0"/>
              <w:adjustRightInd w:val="0"/>
              <w:spacing w:after="100" w:afterAutospacing="1" w:line="240" w:lineRule="auto"/>
              <w:ind w:right="60"/>
              <w:contextualSpacing/>
              <w:rPr>
                <w:szCs w:val="24"/>
                <w:lang w:val="en-GB"/>
              </w:rPr>
            </w:pPr>
            <w:r w:rsidRPr="0061355E">
              <w:rPr>
                <w:szCs w:val="24"/>
                <w:lang w:val="en-GB"/>
              </w:rPr>
              <w:t>-0.09 (-0.33, 0.15)</w:t>
            </w:r>
          </w:p>
        </w:tc>
        <w:tc>
          <w:tcPr>
            <w:tcW w:w="0" w:type="auto"/>
          </w:tcPr>
          <w:p w14:paraId="7E105BD6" w14:textId="77777777" w:rsidR="001F05F2" w:rsidRPr="0061355E" w:rsidRDefault="001F05F2" w:rsidP="00B701A3">
            <w:pPr>
              <w:autoSpaceDE w:val="0"/>
              <w:autoSpaceDN w:val="0"/>
              <w:adjustRightInd w:val="0"/>
              <w:spacing w:after="100" w:afterAutospacing="1" w:line="240" w:lineRule="auto"/>
              <w:ind w:left="60" w:right="60"/>
              <w:contextualSpacing/>
              <w:jc w:val="right"/>
              <w:rPr>
                <w:szCs w:val="24"/>
                <w:lang w:val="en-GB"/>
              </w:rPr>
            </w:pPr>
            <w:r w:rsidRPr="0061355E">
              <w:rPr>
                <w:szCs w:val="24"/>
                <w:lang w:val="en-GB"/>
              </w:rPr>
              <w:t>0.46</w:t>
            </w:r>
          </w:p>
        </w:tc>
        <w:tc>
          <w:tcPr>
            <w:tcW w:w="0" w:type="auto"/>
          </w:tcPr>
          <w:p w14:paraId="54A00B97"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1AE97A99" w14:textId="77777777" w:rsidR="001F05F2" w:rsidRPr="0061355E" w:rsidRDefault="001F05F2" w:rsidP="00B701A3">
            <w:pPr>
              <w:autoSpaceDE w:val="0"/>
              <w:autoSpaceDN w:val="0"/>
              <w:adjustRightInd w:val="0"/>
              <w:spacing w:after="100" w:afterAutospacing="1" w:line="240" w:lineRule="auto"/>
              <w:ind w:left="60" w:right="60"/>
              <w:contextualSpacing/>
              <w:rPr>
                <w:b/>
                <w:szCs w:val="24"/>
                <w:lang w:val="en-GB"/>
              </w:rPr>
            </w:pPr>
            <w:r w:rsidRPr="0061355E">
              <w:rPr>
                <w:b/>
                <w:szCs w:val="24"/>
                <w:lang w:val="en-GB"/>
              </w:rPr>
              <w:t>-0.26 (-0.49, -0.03)</w:t>
            </w:r>
          </w:p>
        </w:tc>
        <w:tc>
          <w:tcPr>
            <w:tcW w:w="0" w:type="auto"/>
          </w:tcPr>
          <w:p w14:paraId="0A10F1CA" w14:textId="77777777" w:rsidR="001F05F2" w:rsidRPr="0061355E" w:rsidRDefault="001F05F2" w:rsidP="00B701A3">
            <w:pPr>
              <w:autoSpaceDE w:val="0"/>
              <w:autoSpaceDN w:val="0"/>
              <w:adjustRightInd w:val="0"/>
              <w:spacing w:after="100" w:afterAutospacing="1" w:line="240" w:lineRule="auto"/>
              <w:ind w:left="60" w:right="60"/>
              <w:contextualSpacing/>
              <w:jc w:val="right"/>
              <w:rPr>
                <w:b/>
                <w:szCs w:val="24"/>
                <w:lang w:val="en-GB"/>
              </w:rPr>
            </w:pPr>
            <w:r w:rsidRPr="0061355E">
              <w:rPr>
                <w:b/>
                <w:szCs w:val="24"/>
                <w:lang w:val="en-GB"/>
              </w:rPr>
              <w:t>0.03</w:t>
            </w:r>
          </w:p>
        </w:tc>
      </w:tr>
      <w:tr w:rsidR="0004303A" w:rsidRPr="0061355E" w14:paraId="79CACB53" w14:textId="77777777" w:rsidTr="00B701A3">
        <w:tc>
          <w:tcPr>
            <w:tcW w:w="0" w:type="auto"/>
          </w:tcPr>
          <w:p w14:paraId="11196E83"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Support network</w:t>
            </w:r>
          </w:p>
        </w:tc>
        <w:tc>
          <w:tcPr>
            <w:tcW w:w="0" w:type="auto"/>
          </w:tcPr>
          <w:p w14:paraId="17B15F73"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-0.17 (-0.36, 0.02)</w:t>
            </w:r>
          </w:p>
        </w:tc>
        <w:tc>
          <w:tcPr>
            <w:tcW w:w="0" w:type="auto"/>
          </w:tcPr>
          <w:p w14:paraId="0AA779AD" w14:textId="77777777" w:rsidR="001F05F2" w:rsidRPr="0061355E" w:rsidRDefault="001F05F2" w:rsidP="00B701A3">
            <w:pPr>
              <w:autoSpaceDE w:val="0"/>
              <w:autoSpaceDN w:val="0"/>
              <w:adjustRightInd w:val="0"/>
              <w:spacing w:after="100" w:afterAutospacing="1" w:line="240" w:lineRule="auto"/>
              <w:ind w:left="60" w:right="60"/>
              <w:contextualSpacing/>
              <w:jc w:val="right"/>
              <w:rPr>
                <w:szCs w:val="24"/>
                <w:lang w:val="en-GB"/>
              </w:rPr>
            </w:pPr>
            <w:r w:rsidRPr="0061355E">
              <w:rPr>
                <w:szCs w:val="24"/>
                <w:lang w:val="en-GB"/>
              </w:rPr>
              <w:t>0.09</w:t>
            </w:r>
          </w:p>
        </w:tc>
        <w:tc>
          <w:tcPr>
            <w:tcW w:w="0" w:type="auto"/>
          </w:tcPr>
          <w:p w14:paraId="55F38C7B"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7B613215" w14:textId="77777777" w:rsidR="001F05F2" w:rsidRPr="0061355E" w:rsidRDefault="001F05F2" w:rsidP="00B701A3">
            <w:pPr>
              <w:autoSpaceDE w:val="0"/>
              <w:autoSpaceDN w:val="0"/>
              <w:adjustRightInd w:val="0"/>
              <w:spacing w:after="100" w:afterAutospacing="1" w:line="240" w:lineRule="auto"/>
              <w:ind w:right="60"/>
              <w:contextualSpacing/>
              <w:rPr>
                <w:szCs w:val="24"/>
                <w:lang w:val="en-GB"/>
              </w:rPr>
            </w:pPr>
            <w:r w:rsidRPr="0061355E">
              <w:rPr>
                <w:szCs w:val="24"/>
                <w:lang w:val="en-GB"/>
              </w:rPr>
              <w:t>-0.07 (-0.26, 0.12)</w:t>
            </w:r>
          </w:p>
        </w:tc>
        <w:tc>
          <w:tcPr>
            <w:tcW w:w="0" w:type="auto"/>
          </w:tcPr>
          <w:p w14:paraId="5ACB42F1" w14:textId="77777777" w:rsidR="001F05F2" w:rsidRPr="0061355E" w:rsidRDefault="001F05F2" w:rsidP="00B701A3">
            <w:pPr>
              <w:autoSpaceDE w:val="0"/>
              <w:autoSpaceDN w:val="0"/>
              <w:adjustRightInd w:val="0"/>
              <w:spacing w:after="100" w:afterAutospacing="1" w:line="240" w:lineRule="auto"/>
              <w:ind w:left="60" w:right="60"/>
              <w:contextualSpacing/>
              <w:jc w:val="right"/>
              <w:rPr>
                <w:szCs w:val="24"/>
                <w:lang w:val="en-GB"/>
              </w:rPr>
            </w:pPr>
            <w:r w:rsidRPr="0061355E">
              <w:rPr>
                <w:szCs w:val="24"/>
                <w:lang w:val="en-GB"/>
              </w:rPr>
              <w:t>0.48</w:t>
            </w:r>
          </w:p>
        </w:tc>
        <w:tc>
          <w:tcPr>
            <w:tcW w:w="0" w:type="auto"/>
          </w:tcPr>
          <w:p w14:paraId="42D4065F"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5B0536CA" w14:textId="77777777" w:rsidR="001F05F2" w:rsidRPr="0061355E" w:rsidRDefault="001F05F2" w:rsidP="00B701A3">
            <w:pPr>
              <w:autoSpaceDE w:val="0"/>
              <w:autoSpaceDN w:val="0"/>
              <w:adjustRightInd w:val="0"/>
              <w:spacing w:after="100" w:afterAutospacing="1" w:line="240" w:lineRule="auto"/>
              <w:ind w:left="60" w:right="60"/>
              <w:contextualSpacing/>
              <w:rPr>
                <w:szCs w:val="24"/>
                <w:lang w:val="en-GB"/>
              </w:rPr>
            </w:pPr>
            <w:r w:rsidRPr="0061355E">
              <w:rPr>
                <w:szCs w:val="24"/>
                <w:lang w:val="en-GB"/>
              </w:rPr>
              <w:t>-0.01 (-0.19, 0.18)</w:t>
            </w:r>
          </w:p>
        </w:tc>
        <w:tc>
          <w:tcPr>
            <w:tcW w:w="0" w:type="auto"/>
          </w:tcPr>
          <w:p w14:paraId="7213B9C6" w14:textId="77777777" w:rsidR="001F05F2" w:rsidRPr="0061355E" w:rsidRDefault="001F05F2" w:rsidP="00B701A3">
            <w:pPr>
              <w:autoSpaceDE w:val="0"/>
              <w:autoSpaceDN w:val="0"/>
              <w:adjustRightInd w:val="0"/>
              <w:spacing w:after="100" w:afterAutospacing="1" w:line="240" w:lineRule="auto"/>
              <w:ind w:left="60" w:right="60"/>
              <w:contextualSpacing/>
              <w:jc w:val="right"/>
              <w:rPr>
                <w:szCs w:val="24"/>
                <w:lang w:val="en-GB"/>
              </w:rPr>
            </w:pPr>
            <w:r w:rsidRPr="0061355E">
              <w:rPr>
                <w:szCs w:val="24"/>
                <w:lang w:val="en-GB"/>
              </w:rPr>
              <w:t>0.95</w:t>
            </w:r>
          </w:p>
        </w:tc>
      </w:tr>
      <w:tr w:rsidR="0004303A" w:rsidRPr="0061355E" w14:paraId="72468CB7" w14:textId="77777777" w:rsidTr="00B701A3">
        <w:tc>
          <w:tcPr>
            <w:tcW w:w="0" w:type="auto"/>
            <w:tcBorders>
              <w:bottom w:val="single" w:sz="4" w:space="0" w:color="auto"/>
            </w:tcBorders>
          </w:tcPr>
          <w:p w14:paraId="73E72CA8" w14:textId="77777777" w:rsidR="001F05F2" w:rsidRPr="0061355E" w:rsidRDefault="001F05F2" w:rsidP="00B701A3">
            <w:pPr>
              <w:autoSpaceDE w:val="0"/>
              <w:autoSpaceDN w:val="0"/>
              <w:adjustRightInd w:val="0"/>
              <w:spacing w:after="100" w:afterAutospacing="1" w:line="240" w:lineRule="auto"/>
              <w:contextualSpacing/>
              <w:rPr>
                <w:rFonts w:eastAsiaTheme="minorEastAsia"/>
                <w:i/>
                <w:szCs w:val="24"/>
                <w:lang w:val="en-GB" w:eastAsia="zh-CN"/>
              </w:rPr>
            </w:pPr>
            <w:r w:rsidRPr="0061355E">
              <w:rPr>
                <w:rFonts w:eastAsiaTheme="minorEastAsia"/>
                <w:i/>
                <w:szCs w:val="24"/>
                <w:lang w:val="en-GB" w:eastAsia="zh-CN"/>
              </w:rPr>
              <w:t>R</w:t>
            </w:r>
            <w:r w:rsidRPr="0061355E">
              <w:rPr>
                <w:rFonts w:eastAsiaTheme="minorEastAsia"/>
                <w:i/>
                <w:szCs w:val="24"/>
                <w:vertAlign w:val="superscript"/>
                <w:lang w:val="en-GB" w:eastAsia="zh-CN"/>
              </w:rPr>
              <w:t>2</w:t>
            </w:r>
          </w:p>
        </w:tc>
        <w:tc>
          <w:tcPr>
            <w:tcW w:w="0" w:type="auto"/>
            <w:gridSpan w:val="2"/>
            <w:tcBorders>
              <w:bottom w:val="single" w:sz="4" w:space="0" w:color="auto"/>
            </w:tcBorders>
          </w:tcPr>
          <w:p w14:paraId="06A90C77"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 xml:space="preserve">  10.2%</w:t>
            </w:r>
          </w:p>
        </w:tc>
        <w:tc>
          <w:tcPr>
            <w:tcW w:w="0" w:type="auto"/>
            <w:tcBorders>
              <w:bottom w:val="single" w:sz="4" w:space="0" w:color="auto"/>
            </w:tcBorders>
          </w:tcPr>
          <w:p w14:paraId="1E4FE635"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gridSpan w:val="2"/>
            <w:tcBorders>
              <w:bottom w:val="single" w:sz="4" w:space="0" w:color="auto"/>
            </w:tcBorders>
          </w:tcPr>
          <w:p w14:paraId="7A3F42D6"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 xml:space="preserve"> 8.7%</w:t>
            </w:r>
          </w:p>
        </w:tc>
        <w:tc>
          <w:tcPr>
            <w:tcW w:w="0" w:type="auto"/>
            <w:tcBorders>
              <w:bottom w:val="single" w:sz="4" w:space="0" w:color="auto"/>
            </w:tcBorders>
          </w:tcPr>
          <w:p w14:paraId="67F405CC"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gridSpan w:val="2"/>
            <w:tcBorders>
              <w:bottom w:val="single" w:sz="4" w:space="0" w:color="auto"/>
            </w:tcBorders>
          </w:tcPr>
          <w:p w14:paraId="178F5F45"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 xml:space="preserve">  15.9%</w:t>
            </w:r>
          </w:p>
        </w:tc>
      </w:tr>
    </w:tbl>
    <w:p w14:paraId="17914098" w14:textId="23362A10" w:rsidR="001F05F2" w:rsidRPr="0061355E" w:rsidRDefault="001F05F2" w:rsidP="002E7D96">
      <w:pPr>
        <w:autoSpaceDE w:val="0"/>
        <w:autoSpaceDN w:val="0"/>
        <w:adjustRightInd w:val="0"/>
        <w:spacing w:after="100" w:afterAutospacing="1" w:line="240" w:lineRule="auto"/>
        <w:contextualSpacing/>
        <w:rPr>
          <w:szCs w:val="24"/>
          <w:lang w:val="en-GB"/>
        </w:rPr>
      </w:pPr>
      <w:r w:rsidRPr="0061355E">
        <w:rPr>
          <w:rFonts w:eastAsiaTheme="minorEastAsia"/>
          <w:szCs w:val="24"/>
          <w:lang w:val="en-GB" w:eastAsia="zh-CN"/>
        </w:rPr>
        <w:t xml:space="preserve">Note. </w:t>
      </w:r>
      <w:r w:rsidRPr="0061355E">
        <w:rPr>
          <w:szCs w:val="24"/>
          <w:vertAlign w:val="superscript"/>
          <w:lang w:val="en-GB" w:eastAsia="zh-CN"/>
        </w:rPr>
        <w:t>a</w:t>
      </w:r>
      <w:r w:rsidRPr="0061355E">
        <w:rPr>
          <w:rFonts w:eastAsiaTheme="minorEastAsia"/>
          <w:szCs w:val="24"/>
          <w:lang w:val="en-GB" w:eastAsia="zh-CN"/>
        </w:rPr>
        <w:t xml:space="preserve"> Model adjusted for age (β</w:t>
      </w:r>
      <w:r w:rsidRPr="0061355E">
        <w:rPr>
          <w:rFonts w:eastAsiaTheme="minorEastAsia"/>
          <w:szCs w:val="24"/>
          <w:vertAlign w:val="subscript"/>
          <w:lang w:val="en-GB" w:eastAsia="zh-CN"/>
        </w:rPr>
        <w:t>age</w:t>
      </w:r>
      <w:r w:rsidRPr="0061355E">
        <w:rPr>
          <w:rFonts w:eastAsiaTheme="minorEastAsia"/>
          <w:szCs w:val="24"/>
          <w:lang w:val="en-GB" w:eastAsia="zh-CN"/>
        </w:rPr>
        <w:t xml:space="preserve"> = 0.21, </w:t>
      </w:r>
      <w:r w:rsidRPr="0061355E">
        <w:rPr>
          <w:rFonts w:eastAsiaTheme="minorEastAsia"/>
          <w:i/>
          <w:szCs w:val="24"/>
          <w:lang w:val="en-GB" w:eastAsia="zh-CN"/>
        </w:rPr>
        <w:t>p</w:t>
      </w:r>
      <w:r w:rsidRPr="0061355E">
        <w:rPr>
          <w:rFonts w:eastAsiaTheme="minorEastAsia"/>
          <w:szCs w:val="24"/>
          <w:lang w:val="en-GB" w:eastAsia="zh-CN"/>
        </w:rPr>
        <w:t xml:space="preserve"> &lt; 0.001). </w:t>
      </w:r>
      <w:r w:rsidRPr="0061355E">
        <w:rPr>
          <w:szCs w:val="24"/>
          <w:lang w:val="en-GB"/>
        </w:rPr>
        <w:t>Significant standardi</w:t>
      </w:r>
      <w:r w:rsidR="00E84188" w:rsidRPr="0061355E">
        <w:rPr>
          <w:szCs w:val="24"/>
          <w:lang w:val="en-GB"/>
        </w:rPr>
        <w:t>s</w:t>
      </w:r>
      <w:r w:rsidRPr="0061355E">
        <w:rPr>
          <w:szCs w:val="24"/>
          <w:lang w:val="en-GB"/>
        </w:rPr>
        <w:t>ed regression coefficients (</w:t>
      </w:r>
      <w:r w:rsidRPr="0061355E">
        <w:rPr>
          <w:i/>
          <w:szCs w:val="24"/>
          <w:lang w:val="en-GB"/>
        </w:rPr>
        <w:t>p</w:t>
      </w:r>
      <w:r w:rsidRPr="0061355E">
        <w:rPr>
          <w:szCs w:val="24"/>
          <w:lang w:val="en-GB"/>
        </w:rPr>
        <w:t xml:space="preserve"> &lt; 0.05) are in boldface.</w:t>
      </w:r>
      <w:r w:rsidR="00FD701B" w:rsidRPr="0061355E">
        <w:rPr>
          <w:szCs w:val="24"/>
          <w:lang w:val="en-GB"/>
        </w:rPr>
        <w:t xml:space="preserve"> Two-tailed tests are used.</w:t>
      </w:r>
      <w:r w:rsidRPr="0061355E">
        <w:rPr>
          <w:szCs w:val="24"/>
          <w:lang w:val="en-GB"/>
        </w:rPr>
        <w:t xml:space="preserve"> </w:t>
      </w:r>
      <w:r w:rsidRPr="0061355E">
        <w:rPr>
          <w:rFonts w:eastAsiaTheme="minorEastAsia"/>
          <w:szCs w:val="24"/>
          <w:lang w:val="en-GB" w:eastAsia="zh-CN"/>
        </w:rPr>
        <w:br w:type="page"/>
      </w:r>
    </w:p>
    <w:p w14:paraId="3A67C14A"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lastRenderedPageBreak/>
        <w:t>Table 4</w:t>
      </w:r>
    </w:p>
    <w:p w14:paraId="396F04F5" w14:textId="77777777" w:rsidR="001F05F2" w:rsidRPr="0061355E" w:rsidRDefault="001F05F2" w:rsidP="00B701A3">
      <w:pPr>
        <w:autoSpaceDE w:val="0"/>
        <w:autoSpaceDN w:val="0"/>
        <w:adjustRightInd w:val="0"/>
        <w:spacing w:after="100" w:afterAutospacing="1" w:line="240" w:lineRule="auto"/>
        <w:contextualSpacing/>
        <w:rPr>
          <w:b/>
          <w:i/>
          <w:szCs w:val="24"/>
          <w:lang w:val="en-GB"/>
        </w:rPr>
      </w:pPr>
      <w:r w:rsidRPr="0061355E">
        <w:rPr>
          <w:i/>
          <w:szCs w:val="24"/>
          <w:lang w:val="en-GB"/>
        </w:rPr>
        <w:t>Descriptive Statistics for the Three-Cluster Solution and O</w:t>
      </w:r>
      <w:r w:rsidRPr="0061355E">
        <w:rPr>
          <w:i/>
          <w:szCs w:val="24"/>
          <w:lang w:val="en-GB" w:eastAsia="zh-CN"/>
        </w:rPr>
        <w:t>ut</w:t>
      </w:r>
      <w:r w:rsidRPr="0061355E">
        <w:rPr>
          <w:i/>
          <w:szCs w:val="24"/>
          <w:lang w:val="en-GB"/>
        </w:rPr>
        <w:t>comes (n = 248)</w:t>
      </w: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222"/>
        <w:gridCol w:w="1738"/>
        <w:gridCol w:w="885"/>
        <w:gridCol w:w="222"/>
        <w:gridCol w:w="1531"/>
        <w:gridCol w:w="785"/>
        <w:gridCol w:w="222"/>
        <w:gridCol w:w="1387"/>
        <w:gridCol w:w="716"/>
        <w:gridCol w:w="222"/>
        <w:gridCol w:w="1116"/>
        <w:gridCol w:w="636"/>
      </w:tblGrid>
      <w:tr w:rsidR="0004303A" w:rsidRPr="0061355E" w14:paraId="04778A43" w14:textId="77777777" w:rsidTr="00B701A3">
        <w:tc>
          <w:tcPr>
            <w:tcW w:w="0" w:type="auto"/>
            <w:vMerge w:val="restart"/>
            <w:tcBorders>
              <w:top w:val="single" w:sz="4" w:space="0" w:color="auto"/>
            </w:tcBorders>
          </w:tcPr>
          <w:p w14:paraId="731DF302"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Variables</w:t>
            </w:r>
          </w:p>
        </w:tc>
        <w:tc>
          <w:tcPr>
            <w:tcW w:w="0" w:type="auto"/>
            <w:tcBorders>
              <w:top w:val="single" w:sz="4" w:space="0" w:color="auto"/>
              <w:bottom w:val="nil"/>
            </w:tcBorders>
          </w:tcPr>
          <w:p w14:paraId="5F0082EB" w14:textId="77777777" w:rsidR="001F05F2" w:rsidRPr="0061355E" w:rsidRDefault="001F05F2" w:rsidP="00B701A3">
            <w:pPr>
              <w:spacing w:after="100" w:afterAutospacing="1" w:line="240" w:lineRule="auto"/>
              <w:contextualSpacing/>
              <w:rPr>
                <w:szCs w:val="24"/>
                <w:lang w:val="en-GB"/>
              </w:rPr>
            </w:pPr>
          </w:p>
        </w:tc>
        <w:tc>
          <w:tcPr>
            <w:tcW w:w="0" w:type="auto"/>
            <w:gridSpan w:val="2"/>
            <w:tcBorders>
              <w:top w:val="single" w:sz="4" w:space="0" w:color="auto"/>
              <w:bottom w:val="single" w:sz="4" w:space="0" w:color="auto"/>
            </w:tcBorders>
          </w:tcPr>
          <w:p w14:paraId="31AB607E" w14:textId="56523FF0" w:rsidR="001F05F2" w:rsidRPr="0061355E" w:rsidRDefault="001F05F2" w:rsidP="00B701A3">
            <w:pPr>
              <w:autoSpaceDE w:val="0"/>
              <w:autoSpaceDN w:val="0"/>
              <w:adjustRightInd w:val="0"/>
              <w:spacing w:after="100" w:afterAutospacing="1" w:line="240" w:lineRule="auto"/>
              <w:contextualSpacing/>
              <w:jc w:val="center"/>
              <w:rPr>
                <w:rFonts w:eastAsiaTheme="minorEastAsia"/>
                <w:szCs w:val="24"/>
                <w:lang w:val="en-GB" w:eastAsia="zh-CN"/>
              </w:rPr>
            </w:pPr>
            <w:r w:rsidRPr="0061355E">
              <w:rPr>
                <w:rFonts w:eastAsiaTheme="minorEastAsia"/>
                <w:szCs w:val="24"/>
                <w:lang w:val="en-GB" w:eastAsia="zh-CN"/>
              </w:rPr>
              <w:t>Cluster 1 “</w:t>
            </w:r>
            <w:r w:rsidR="00646437" w:rsidRPr="0061355E">
              <w:rPr>
                <w:rFonts w:eastAsiaTheme="minorEastAsia"/>
                <w:szCs w:val="24"/>
                <w:lang w:val="en-GB" w:eastAsia="zh-CN"/>
              </w:rPr>
              <w:t>s</w:t>
            </w:r>
            <w:r w:rsidRPr="0061355E">
              <w:rPr>
                <w:rFonts w:eastAsiaTheme="minorEastAsia"/>
                <w:szCs w:val="24"/>
                <w:lang w:val="en-GB" w:eastAsia="zh-CN"/>
              </w:rPr>
              <w:t xml:space="preserve">lightly </w:t>
            </w:r>
            <w:r w:rsidR="00646437" w:rsidRPr="0061355E">
              <w:rPr>
                <w:rFonts w:eastAsiaTheme="minorEastAsia"/>
                <w:szCs w:val="24"/>
                <w:lang w:val="en-GB" w:eastAsia="zh-CN"/>
              </w:rPr>
              <w:t>b</w:t>
            </w:r>
            <w:r w:rsidRPr="0061355E">
              <w:rPr>
                <w:rFonts w:eastAsiaTheme="minorEastAsia"/>
                <w:szCs w:val="24"/>
                <w:lang w:val="en-GB" w:eastAsia="zh-CN"/>
              </w:rPr>
              <w:t xml:space="preserve">elow </w:t>
            </w:r>
          </w:p>
          <w:p w14:paraId="16A18390" w14:textId="2CA9FE1D" w:rsidR="001F05F2" w:rsidRPr="0061355E" w:rsidRDefault="00646437" w:rsidP="00B701A3">
            <w:pPr>
              <w:autoSpaceDE w:val="0"/>
              <w:autoSpaceDN w:val="0"/>
              <w:adjustRightInd w:val="0"/>
              <w:spacing w:after="100" w:afterAutospacing="1" w:line="240" w:lineRule="auto"/>
              <w:contextualSpacing/>
              <w:jc w:val="center"/>
              <w:rPr>
                <w:rFonts w:eastAsiaTheme="minorEastAsia"/>
                <w:szCs w:val="24"/>
                <w:lang w:val="en-GB" w:eastAsia="zh-CN"/>
              </w:rPr>
            </w:pPr>
            <w:r w:rsidRPr="0061355E">
              <w:rPr>
                <w:rFonts w:eastAsiaTheme="minorEastAsia"/>
                <w:szCs w:val="24"/>
                <w:lang w:val="en-GB" w:eastAsia="zh-CN"/>
              </w:rPr>
              <w:t>a</w:t>
            </w:r>
            <w:r w:rsidR="001F05F2" w:rsidRPr="0061355E">
              <w:rPr>
                <w:rFonts w:eastAsiaTheme="minorEastAsia"/>
                <w:szCs w:val="24"/>
                <w:lang w:val="en-GB" w:eastAsia="zh-CN"/>
              </w:rPr>
              <w:t>verage TDE” (</w:t>
            </w:r>
            <w:r w:rsidR="001F05F2" w:rsidRPr="0061355E">
              <w:rPr>
                <w:rFonts w:eastAsiaTheme="minorEastAsia"/>
                <w:i/>
                <w:szCs w:val="24"/>
                <w:lang w:val="en-GB" w:eastAsia="zh-CN"/>
              </w:rPr>
              <w:t xml:space="preserve">n </w:t>
            </w:r>
            <w:r w:rsidR="001F05F2" w:rsidRPr="0061355E">
              <w:rPr>
                <w:rFonts w:eastAsiaTheme="minorEastAsia"/>
                <w:szCs w:val="24"/>
                <w:lang w:val="en-GB" w:eastAsia="zh-CN"/>
              </w:rPr>
              <w:t>= 123)</w:t>
            </w:r>
          </w:p>
        </w:tc>
        <w:tc>
          <w:tcPr>
            <w:tcW w:w="0" w:type="auto"/>
            <w:tcBorders>
              <w:top w:val="single" w:sz="4" w:space="0" w:color="auto"/>
              <w:bottom w:val="nil"/>
            </w:tcBorders>
          </w:tcPr>
          <w:p w14:paraId="4D40F138" w14:textId="77777777" w:rsidR="001F05F2" w:rsidRPr="0061355E" w:rsidRDefault="001F05F2" w:rsidP="00B701A3">
            <w:pPr>
              <w:autoSpaceDE w:val="0"/>
              <w:autoSpaceDN w:val="0"/>
              <w:adjustRightInd w:val="0"/>
              <w:spacing w:after="100" w:afterAutospacing="1" w:line="240" w:lineRule="auto"/>
              <w:contextualSpacing/>
              <w:jc w:val="center"/>
              <w:rPr>
                <w:rFonts w:eastAsiaTheme="minorEastAsia"/>
                <w:szCs w:val="24"/>
                <w:lang w:val="en-GB" w:eastAsia="zh-CN"/>
              </w:rPr>
            </w:pPr>
          </w:p>
        </w:tc>
        <w:tc>
          <w:tcPr>
            <w:tcW w:w="0" w:type="auto"/>
            <w:gridSpan w:val="2"/>
            <w:tcBorders>
              <w:top w:val="single" w:sz="4" w:space="0" w:color="auto"/>
              <w:bottom w:val="single" w:sz="4" w:space="0" w:color="auto"/>
            </w:tcBorders>
          </w:tcPr>
          <w:p w14:paraId="4F72DD3D" w14:textId="303B38BA" w:rsidR="001F05F2" w:rsidRPr="0061355E" w:rsidRDefault="001F05F2" w:rsidP="00B701A3">
            <w:pPr>
              <w:autoSpaceDE w:val="0"/>
              <w:autoSpaceDN w:val="0"/>
              <w:adjustRightInd w:val="0"/>
              <w:spacing w:after="100" w:afterAutospacing="1" w:line="240" w:lineRule="auto"/>
              <w:contextualSpacing/>
              <w:jc w:val="center"/>
              <w:rPr>
                <w:rFonts w:eastAsiaTheme="minorEastAsia"/>
                <w:szCs w:val="24"/>
                <w:lang w:val="en-GB" w:eastAsia="zh-CN"/>
              </w:rPr>
            </w:pPr>
            <w:r w:rsidRPr="0061355E">
              <w:rPr>
                <w:rFonts w:eastAsiaTheme="minorEastAsia"/>
                <w:szCs w:val="24"/>
                <w:lang w:val="en-GB" w:eastAsia="zh-CN"/>
              </w:rPr>
              <w:t>Cluster 2 “</w:t>
            </w:r>
            <w:r w:rsidR="00646437" w:rsidRPr="0061355E">
              <w:rPr>
                <w:rFonts w:eastAsiaTheme="minorEastAsia"/>
                <w:szCs w:val="24"/>
                <w:lang w:val="en-GB" w:eastAsia="zh-CN"/>
              </w:rPr>
              <w:t>h</w:t>
            </w:r>
            <w:r w:rsidRPr="0061355E">
              <w:rPr>
                <w:rFonts w:eastAsiaTheme="minorEastAsia"/>
                <w:szCs w:val="24"/>
                <w:lang w:val="en-GB" w:eastAsia="zh-CN"/>
              </w:rPr>
              <w:t>igh TDE”</w:t>
            </w:r>
          </w:p>
          <w:p w14:paraId="049E5C95" w14:textId="77777777" w:rsidR="001F05F2" w:rsidRPr="0061355E" w:rsidRDefault="001F05F2" w:rsidP="00B701A3">
            <w:pPr>
              <w:autoSpaceDE w:val="0"/>
              <w:autoSpaceDN w:val="0"/>
              <w:adjustRightInd w:val="0"/>
              <w:spacing w:after="100" w:afterAutospacing="1" w:line="240" w:lineRule="auto"/>
              <w:contextualSpacing/>
              <w:jc w:val="center"/>
              <w:rPr>
                <w:rFonts w:eastAsiaTheme="minorEastAsia"/>
                <w:szCs w:val="24"/>
                <w:lang w:val="en-GB" w:eastAsia="zh-CN"/>
              </w:rPr>
            </w:pPr>
            <w:r w:rsidRPr="0061355E">
              <w:rPr>
                <w:rFonts w:eastAsiaTheme="minorEastAsia"/>
                <w:szCs w:val="24"/>
                <w:lang w:val="en-GB" w:eastAsia="zh-CN"/>
              </w:rPr>
              <w:t>(</w:t>
            </w:r>
            <w:r w:rsidRPr="0061355E">
              <w:rPr>
                <w:rFonts w:eastAsiaTheme="minorEastAsia"/>
                <w:i/>
                <w:szCs w:val="24"/>
                <w:lang w:val="en-GB" w:eastAsia="zh-CN"/>
              </w:rPr>
              <w:t>n</w:t>
            </w:r>
            <w:r w:rsidRPr="0061355E">
              <w:rPr>
                <w:rFonts w:eastAsiaTheme="minorEastAsia"/>
                <w:szCs w:val="24"/>
                <w:lang w:val="en-GB" w:eastAsia="zh-CN"/>
              </w:rPr>
              <w:t xml:space="preserve"> = 85)</w:t>
            </w:r>
          </w:p>
        </w:tc>
        <w:tc>
          <w:tcPr>
            <w:tcW w:w="0" w:type="auto"/>
            <w:tcBorders>
              <w:top w:val="single" w:sz="4" w:space="0" w:color="auto"/>
              <w:bottom w:val="nil"/>
            </w:tcBorders>
          </w:tcPr>
          <w:p w14:paraId="4A52776D" w14:textId="77777777" w:rsidR="001F05F2" w:rsidRPr="0061355E" w:rsidRDefault="001F05F2" w:rsidP="00B701A3">
            <w:pPr>
              <w:autoSpaceDE w:val="0"/>
              <w:autoSpaceDN w:val="0"/>
              <w:adjustRightInd w:val="0"/>
              <w:spacing w:after="100" w:afterAutospacing="1" w:line="240" w:lineRule="auto"/>
              <w:contextualSpacing/>
              <w:jc w:val="center"/>
              <w:rPr>
                <w:rFonts w:eastAsiaTheme="minorEastAsia"/>
                <w:szCs w:val="24"/>
                <w:lang w:val="en-GB" w:eastAsia="zh-CN"/>
              </w:rPr>
            </w:pPr>
          </w:p>
        </w:tc>
        <w:tc>
          <w:tcPr>
            <w:tcW w:w="0" w:type="auto"/>
            <w:gridSpan w:val="2"/>
            <w:tcBorders>
              <w:top w:val="single" w:sz="4" w:space="0" w:color="auto"/>
              <w:bottom w:val="single" w:sz="4" w:space="0" w:color="auto"/>
            </w:tcBorders>
          </w:tcPr>
          <w:p w14:paraId="58BC6C62" w14:textId="2B8BF592" w:rsidR="001F05F2" w:rsidRPr="0061355E" w:rsidRDefault="001F05F2" w:rsidP="00B701A3">
            <w:pPr>
              <w:autoSpaceDE w:val="0"/>
              <w:autoSpaceDN w:val="0"/>
              <w:adjustRightInd w:val="0"/>
              <w:spacing w:after="100" w:afterAutospacing="1" w:line="240" w:lineRule="auto"/>
              <w:contextualSpacing/>
              <w:jc w:val="center"/>
              <w:rPr>
                <w:rFonts w:eastAsiaTheme="minorEastAsia"/>
                <w:szCs w:val="24"/>
                <w:lang w:val="en-GB" w:eastAsia="zh-CN"/>
              </w:rPr>
            </w:pPr>
            <w:r w:rsidRPr="0061355E">
              <w:rPr>
                <w:rFonts w:eastAsiaTheme="minorEastAsia"/>
                <w:szCs w:val="24"/>
                <w:lang w:val="en-GB" w:eastAsia="zh-CN"/>
              </w:rPr>
              <w:t>Cluster 3 “</w:t>
            </w:r>
            <w:r w:rsidR="00646437" w:rsidRPr="0061355E">
              <w:rPr>
                <w:rFonts w:eastAsiaTheme="minorEastAsia"/>
                <w:szCs w:val="24"/>
                <w:lang w:val="en-GB" w:eastAsia="zh-CN"/>
              </w:rPr>
              <w:t>v</w:t>
            </w:r>
            <w:r w:rsidRPr="0061355E">
              <w:rPr>
                <w:rFonts w:eastAsiaTheme="minorEastAsia"/>
                <w:szCs w:val="24"/>
                <w:lang w:val="en-GB" w:eastAsia="zh-CN"/>
              </w:rPr>
              <w:t xml:space="preserve">ery </w:t>
            </w:r>
            <w:r w:rsidR="00646437" w:rsidRPr="0061355E">
              <w:rPr>
                <w:rFonts w:eastAsiaTheme="minorEastAsia"/>
                <w:szCs w:val="24"/>
                <w:lang w:val="en-GB" w:eastAsia="zh-CN"/>
              </w:rPr>
              <w:t>l</w:t>
            </w:r>
            <w:r w:rsidRPr="0061355E">
              <w:rPr>
                <w:rFonts w:eastAsiaTheme="minorEastAsia"/>
                <w:szCs w:val="24"/>
                <w:lang w:val="en-GB" w:eastAsia="zh-CN"/>
              </w:rPr>
              <w:t xml:space="preserve">ow </w:t>
            </w:r>
          </w:p>
          <w:p w14:paraId="4F96D8FF" w14:textId="77777777" w:rsidR="001F05F2" w:rsidRPr="0061355E" w:rsidRDefault="001F05F2" w:rsidP="00B701A3">
            <w:pPr>
              <w:autoSpaceDE w:val="0"/>
              <w:autoSpaceDN w:val="0"/>
              <w:adjustRightInd w:val="0"/>
              <w:spacing w:after="100" w:afterAutospacing="1" w:line="240" w:lineRule="auto"/>
              <w:contextualSpacing/>
              <w:jc w:val="center"/>
              <w:rPr>
                <w:rFonts w:eastAsiaTheme="minorEastAsia"/>
                <w:szCs w:val="24"/>
                <w:lang w:val="en-GB" w:eastAsia="zh-CN"/>
              </w:rPr>
            </w:pPr>
            <w:r w:rsidRPr="0061355E">
              <w:rPr>
                <w:rFonts w:eastAsiaTheme="minorEastAsia"/>
                <w:szCs w:val="24"/>
                <w:lang w:val="en-GB" w:eastAsia="zh-CN"/>
              </w:rPr>
              <w:t>TDE” (</w:t>
            </w:r>
            <w:r w:rsidRPr="0061355E">
              <w:rPr>
                <w:rFonts w:eastAsiaTheme="minorEastAsia"/>
                <w:i/>
                <w:szCs w:val="24"/>
                <w:lang w:val="en-GB" w:eastAsia="zh-CN"/>
              </w:rPr>
              <w:t>n</w:t>
            </w:r>
            <w:r w:rsidRPr="0061355E">
              <w:rPr>
                <w:rFonts w:eastAsiaTheme="minorEastAsia"/>
                <w:szCs w:val="24"/>
                <w:lang w:val="en-GB" w:eastAsia="zh-CN"/>
              </w:rPr>
              <w:t xml:space="preserve"> = 40)</w:t>
            </w:r>
          </w:p>
        </w:tc>
        <w:tc>
          <w:tcPr>
            <w:tcW w:w="0" w:type="auto"/>
            <w:tcBorders>
              <w:top w:val="single" w:sz="4" w:space="0" w:color="auto"/>
            </w:tcBorders>
          </w:tcPr>
          <w:p w14:paraId="690F8FF7" w14:textId="77777777" w:rsidR="001F05F2" w:rsidRPr="0061355E" w:rsidRDefault="001F05F2" w:rsidP="00B701A3">
            <w:pPr>
              <w:spacing w:after="100" w:afterAutospacing="1" w:line="240" w:lineRule="auto"/>
              <w:contextualSpacing/>
              <w:rPr>
                <w:szCs w:val="24"/>
                <w:lang w:val="en-GB"/>
              </w:rPr>
            </w:pPr>
          </w:p>
        </w:tc>
        <w:tc>
          <w:tcPr>
            <w:tcW w:w="0" w:type="auto"/>
            <w:vMerge w:val="restart"/>
            <w:tcBorders>
              <w:top w:val="single" w:sz="4" w:space="0" w:color="auto"/>
            </w:tcBorders>
          </w:tcPr>
          <w:p w14:paraId="1512F510" w14:textId="77777777" w:rsidR="001F05F2" w:rsidRPr="0061355E" w:rsidRDefault="001F05F2" w:rsidP="00B701A3">
            <w:pPr>
              <w:spacing w:after="100" w:afterAutospacing="1" w:line="240" w:lineRule="auto"/>
              <w:contextualSpacing/>
              <w:jc w:val="center"/>
              <w:rPr>
                <w:i/>
                <w:szCs w:val="24"/>
                <w:lang w:val="en-GB"/>
              </w:rPr>
            </w:pPr>
            <w:r w:rsidRPr="0061355E">
              <w:rPr>
                <w:i/>
                <w:szCs w:val="24"/>
                <w:lang w:val="en-GB"/>
              </w:rPr>
              <w:t>F</w:t>
            </w:r>
          </w:p>
        </w:tc>
        <w:tc>
          <w:tcPr>
            <w:tcW w:w="0" w:type="auto"/>
            <w:vMerge w:val="restart"/>
            <w:tcBorders>
              <w:top w:val="single" w:sz="4" w:space="0" w:color="auto"/>
            </w:tcBorders>
          </w:tcPr>
          <w:p w14:paraId="135023BB" w14:textId="77777777" w:rsidR="001F05F2" w:rsidRPr="0061355E" w:rsidRDefault="001F05F2" w:rsidP="00B701A3">
            <w:pPr>
              <w:spacing w:after="100" w:afterAutospacing="1" w:line="240" w:lineRule="auto"/>
              <w:contextualSpacing/>
              <w:jc w:val="center"/>
              <w:rPr>
                <w:szCs w:val="24"/>
                <w:lang w:val="en-GB"/>
              </w:rPr>
            </w:pPr>
            <w:r w:rsidRPr="0061355E">
              <w:rPr>
                <w:rFonts w:eastAsia="STIX-Regular"/>
                <w:szCs w:val="24"/>
                <w:lang w:val="en-GB" w:eastAsia="zh-CN"/>
              </w:rPr>
              <w:t>η</w:t>
            </w:r>
            <w:r w:rsidRPr="0061355E">
              <w:rPr>
                <w:rFonts w:eastAsia="STIX-Regular"/>
                <w:i/>
                <w:szCs w:val="24"/>
                <w:vertAlign w:val="subscript"/>
                <w:lang w:val="en-GB" w:eastAsia="zh-CN"/>
              </w:rPr>
              <w:t>p</w:t>
            </w:r>
            <w:r w:rsidRPr="0061355E">
              <w:rPr>
                <w:rFonts w:eastAsia="STIX-Regular"/>
                <w:szCs w:val="24"/>
                <w:vertAlign w:val="superscript"/>
                <w:lang w:val="en-GB" w:eastAsia="zh-CN"/>
              </w:rPr>
              <w:t>2</w:t>
            </w:r>
          </w:p>
        </w:tc>
      </w:tr>
      <w:tr w:rsidR="0004303A" w:rsidRPr="0061355E" w14:paraId="56333EF0" w14:textId="77777777" w:rsidTr="00B701A3">
        <w:tc>
          <w:tcPr>
            <w:tcW w:w="0" w:type="auto"/>
            <w:vMerge/>
            <w:tcBorders>
              <w:bottom w:val="single" w:sz="4" w:space="0" w:color="auto"/>
            </w:tcBorders>
          </w:tcPr>
          <w:p w14:paraId="78FFF132" w14:textId="77777777" w:rsidR="001F05F2" w:rsidRPr="0061355E" w:rsidRDefault="001F05F2" w:rsidP="00B701A3">
            <w:pPr>
              <w:spacing w:after="100" w:afterAutospacing="1" w:line="240" w:lineRule="auto"/>
              <w:contextualSpacing/>
              <w:rPr>
                <w:i/>
                <w:szCs w:val="24"/>
                <w:lang w:val="en-GB"/>
              </w:rPr>
            </w:pPr>
          </w:p>
        </w:tc>
        <w:tc>
          <w:tcPr>
            <w:tcW w:w="0" w:type="auto"/>
            <w:tcBorders>
              <w:top w:val="nil"/>
              <w:bottom w:val="single" w:sz="4" w:space="0" w:color="auto"/>
            </w:tcBorders>
          </w:tcPr>
          <w:p w14:paraId="0DD50899" w14:textId="77777777" w:rsidR="001F05F2" w:rsidRPr="0061355E" w:rsidRDefault="001F05F2" w:rsidP="00B701A3">
            <w:pPr>
              <w:spacing w:after="100" w:afterAutospacing="1" w:line="240" w:lineRule="auto"/>
              <w:contextualSpacing/>
              <w:rPr>
                <w:i/>
                <w:szCs w:val="24"/>
                <w:lang w:val="en-GB"/>
              </w:rPr>
            </w:pPr>
          </w:p>
        </w:tc>
        <w:tc>
          <w:tcPr>
            <w:tcW w:w="0" w:type="auto"/>
            <w:tcBorders>
              <w:top w:val="single" w:sz="4" w:space="0" w:color="auto"/>
              <w:bottom w:val="single" w:sz="4" w:space="0" w:color="auto"/>
            </w:tcBorders>
          </w:tcPr>
          <w:p w14:paraId="40B78BC1" w14:textId="77777777" w:rsidR="001F05F2" w:rsidRPr="0061355E" w:rsidRDefault="001F05F2" w:rsidP="00B701A3">
            <w:pPr>
              <w:spacing w:after="100" w:afterAutospacing="1" w:line="240" w:lineRule="auto"/>
              <w:contextualSpacing/>
              <w:jc w:val="center"/>
              <w:rPr>
                <w:i/>
                <w:szCs w:val="24"/>
                <w:lang w:val="en-GB"/>
              </w:rPr>
            </w:pPr>
            <w:r w:rsidRPr="0061355E">
              <w:rPr>
                <w:i/>
                <w:szCs w:val="24"/>
                <w:lang w:val="en-GB"/>
              </w:rPr>
              <w:t>M (SD)</w:t>
            </w:r>
          </w:p>
        </w:tc>
        <w:tc>
          <w:tcPr>
            <w:tcW w:w="0" w:type="auto"/>
            <w:tcBorders>
              <w:top w:val="single" w:sz="4" w:space="0" w:color="auto"/>
              <w:bottom w:val="single" w:sz="4" w:space="0" w:color="auto"/>
            </w:tcBorders>
          </w:tcPr>
          <w:p w14:paraId="5C795177" w14:textId="77777777" w:rsidR="001F05F2" w:rsidRPr="0061355E" w:rsidRDefault="001F05F2" w:rsidP="00B701A3">
            <w:pPr>
              <w:spacing w:after="100" w:afterAutospacing="1" w:line="240" w:lineRule="auto"/>
              <w:contextualSpacing/>
              <w:jc w:val="center"/>
              <w:rPr>
                <w:i/>
                <w:szCs w:val="24"/>
                <w:lang w:val="en-GB"/>
              </w:rPr>
            </w:pPr>
            <w:r w:rsidRPr="0061355E">
              <w:rPr>
                <w:i/>
                <w:szCs w:val="24"/>
                <w:lang w:val="en-GB"/>
              </w:rPr>
              <w:t>Z</w:t>
            </w:r>
          </w:p>
        </w:tc>
        <w:tc>
          <w:tcPr>
            <w:tcW w:w="0" w:type="auto"/>
            <w:tcBorders>
              <w:top w:val="nil"/>
              <w:bottom w:val="single" w:sz="4" w:space="0" w:color="auto"/>
            </w:tcBorders>
          </w:tcPr>
          <w:p w14:paraId="353720B7" w14:textId="77777777" w:rsidR="001F05F2" w:rsidRPr="0061355E" w:rsidRDefault="001F05F2" w:rsidP="00B701A3">
            <w:pPr>
              <w:spacing w:after="100" w:afterAutospacing="1" w:line="240" w:lineRule="auto"/>
              <w:contextualSpacing/>
              <w:jc w:val="center"/>
              <w:rPr>
                <w:i/>
                <w:szCs w:val="24"/>
                <w:lang w:val="en-GB"/>
              </w:rPr>
            </w:pPr>
          </w:p>
        </w:tc>
        <w:tc>
          <w:tcPr>
            <w:tcW w:w="0" w:type="auto"/>
            <w:tcBorders>
              <w:top w:val="single" w:sz="4" w:space="0" w:color="auto"/>
              <w:bottom w:val="single" w:sz="4" w:space="0" w:color="auto"/>
            </w:tcBorders>
          </w:tcPr>
          <w:p w14:paraId="1EEEE832" w14:textId="77777777" w:rsidR="001F05F2" w:rsidRPr="0061355E" w:rsidRDefault="001F05F2" w:rsidP="00B701A3">
            <w:pPr>
              <w:spacing w:after="100" w:afterAutospacing="1" w:line="240" w:lineRule="auto"/>
              <w:contextualSpacing/>
              <w:jc w:val="center"/>
              <w:rPr>
                <w:i/>
                <w:szCs w:val="24"/>
                <w:lang w:val="en-GB"/>
              </w:rPr>
            </w:pPr>
            <w:r w:rsidRPr="0061355E">
              <w:rPr>
                <w:i/>
                <w:szCs w:val="24"/>
                <w:lang w:val="en-GB"/>
              </w:rPr>
              <w:t>M (SD)</w:t>
            </w:r>
          </w:p>
        </w:tc>
        <w:tc>
          <w:tcPr>
            <w:tcW w:w="0" w:type="auto"/>
            <w:tcBorders>
              <w:top w:val="single" w:sz="4" w:space="0" w:color="auto"/>
              <w:bottom w:val="single" w:sz="4" w:space="0" w:color="auto"/>
            </w:tcBorders>
          </w:tcPr>
          <w:p w14:paraId="4E4E863A" w14:textId="77777777" w:rsidR="001F05F2" w:rsidRPr="0061355E" w:rsidRDefault="001F05F2" w:rsidP="00B701A3">
            <w:pPr>
              <w:spacing w:after="100" w:afterAutospacing="1" w:line="240" w:lineRule="auto"/>
              <w:contextualSpacing/>
              <w:jc w:val="center"/>
              <w:rPr>
                <w:i/>
                <w:szCs w:val="24"/>
                <w:lang w:val="en-GB"/>
              </w:rPr>
            </w:pPr>
            <w:r w:rsidRPr="0061355E">
              <w:rPr>
                <w:i/>
                <w:szCs w:val="24"/>
                <w:lang w:val="en-GB"/>
              </w:rPr>
              <w:t>Z</w:t>
            </w:r>
          </w:p>
        </w:tc>
        <w:tc>
          <w:tcPr>
            <w:tcW w:w="0" w:type="auto"/>
            <w:tcBorders>
              <w:top w:val="nil"/>
              <w:bottom w:val="single" w:sz="4" w:space="0" w:color="auto"/>
            </w:tcBorders>
          </w:tcPr>
          <w:p w14:paraId="35804486" w14:textId="77777777" w:rsidR="001F05F2" w:rsidRPr="0061355E" w:rsidRDefault="001F05F2" w:rsidP="00B701A3">
            <w:pPr>
              <w:spacing w:after="100" w:afterAutospacing="1" w:line="240" w:lineRule="auto"/>
              <w:contextualSpacing/>
              <w:jc w:val="center"/>
              <w:rPr>
                <w:i/>
                <w:szCs w:val="24"/>
                <w:lang w:val="en-GB"/>
              </w:rPr>
            </w:pPr>
          </w:p>
        </w:tc>
        <w:tc>
          <w:tcPr>
            <w:tcW w:w="0" w:type="auto"/>
            <w:tcBorders>
              <w:top w:val="single" w:sz="4" w:space="0" w:color="auto"/>
              <w:bottom w:val="single" w:sz="4" w:space="0" w:color="auto"/>
            </w:tcBorders>
          </w:tcPr>
          <w:p w14:paraId="14D1A046" w14:textId="77777777" w:rsidR="001F05F2" w:rsidRPr="0061355E" w:rsidRDefault="001F05F2" w:rsidP="00B701A3">
            <w:pPr>
              <w:spacing w:after="100" w:afterAutospacing="1" w:line="240" w:lineRule="auto"/>
              <w:contextualSpacing/>
              <w:jc w:val="center"/>
              <w:rPr>
                <w:i/>
                <w:szCs w:val="24"/>
                <w:lang w:val="en-GB"/>
              </w:rPr>
            </w:pPr>
            <w:r w:rsidRPr="0061355E">
              <w:rPr>
                <w:i/>
                <w:szCs w:val="24"/>
                <w:lang w:val="en-GB"/>
              </w:rPr>
              <w:t>M (SD)</w:t>
            </w:r>
          </w:p>
        </w:tc>
        <w:tc>
          <w:tcPr>
            <w:tcW w:w="0" w:type="auto"/>
            <w:tcBorders>
              <w:top w:val="single" w:sz="4" w:space="0" w:color="auto"/>
              <w:bottom w:val="single" w:sz="4" w:space="0" w:color="auto"/>
            </w:tcBorders>
          </w:tcPr>
          <w:p w14:paraId="48FE5DDE" w14:textId="77777777" w:rsidR="001F05F2" w:rsidRPr="0061355E" w:rsidRDefault="001F05F2" w:rsidP="00B701A3">
            <w:pPr>
              <w:spacing w:after="100" w:afterAutospacing="1" w:line="240" w:lineRule="auto"/>
              <w:contextualSpacing/>
              <w:jc w:val="center"/>
              <w:rPr>
                <w:i/>
                <w:szCs w:val="24"/>
                <w:lang w:val="en-GB"/>
              </w:rPr>
            </w:pPr>
            <w:r w:rsidRPr="0061355E">
              <w:rPr>
                <w:i/>
                <w:szCs w:val="24"/>
                <w:lang w:val="en-GB"/>
              </w:rPr>
              <w:t>Z</w:t>
            </w:r>
          </w:p>
        </w:tc>
        <w:tc>
          <w:tcPr>
            <w:tcW w:w="0" w:type="auto"/>
            <w:tcBorders>
              <w:bottom w:val="single" w:sz="4" w:space="0" w:color="auto"/>
            </w:tcBorders>
          </w:tcPr>
          <w:p w14:paraId="6163EF94" w14:textId="77777777" w:rsidR="001F05F2" w:rsidRPr="0061355E" w:rsidRDefault="001F05F2" w:rsidP="00B701A3">
            <w:pPr>
              <w:spacing w:after="100" w:afterAutospacing="1" w:line="240" w:lineRule="auto"/>
              <w:contextualSpacing/>
              <w:jc w:val="center"/>
              <w:rPr>
                <w:i/>
                <w:szCs w:val="24"/>
                <w:lang w:val="en-GB"/>
              </w:rPr>
            </w:pPr>
          </w:p>
        </w:tc>
        <w:tc>
          <w:tcPr>
            <w:tcW w:w="0" w:type="auto"/>
            <w:vMerge/>
            <w:tcBorders>
              <w:bottom w:val="single" w:sz="4" w:space="0" w:color="auto"/>
            </w:tcBorders>
          </w:tcPr>
          <w:p w14:paraId="51EAEA1D" w14:textId="77777777" w:rsidR="001F05F2" w:rsidRPr="0061355E" w:rsidRDefault="001F05F2" w:rsidP="00B701A3">
            <w:pPr>
              <w:spacing w:after="100" w:afterAutospacing="1" w:line="240" w:lineRule="auto"/>
              <w:contextualSpacing/>
              <w:jc w:val="center"/>
              <w:rPr>
                <w:i/>
                <w:szCs w:val="24"/>
                <w:lang w:val="en-GB"/>
              </w:rPr>
            </w:pPr>
          </w:p>
        </w:tc>
        <w:tc>
          <w:tcPr>
            <w:tcW w:w="0" w:type="auto"/>
            <w:vMerge/>
            <w:tcBorders>
              <w:bottom w:val="single" w:sz="4" w:space="0" w:color="auto"/>
            </w:tcBorders>
          </w:tcPr>
          <w:p w14:paraId="3C244336" w14:textId="77777777" w:rsidR="001F05F2" w:rsidRPr="0061355E" w:rsidRDefault="001F05F2" w:rsidP="00B701A3">
            <w:pPr>
              <w:spacing w:after="100" w:afterAutospacing="1" w:line="240" w:lineRule="auto"/>
              <w:contextualSpacing/>
              <w:jc w:val="center"/>
              <w:rPr>
                <w:i/>
                <w:szCs w:val="24"/>
                <w:lang w:val="en-GB"/>
              </w:rPr>
            </w:pPr>
          </w:p>
        </w:tc>
      </w:tr>
      <w:tr w:rsidR="0004303A" w:rsidRPr="0061355E" w14:paraId="553B20DC" w14:textId="77777777" w:rsidTr="00B701A3">
        <w:tc>
          <w:tcPr>
            <w:tcW w:w="0" w:type="auto"/>
            <w:gridSpan w:val="3"/>
            <w:tcBorders>
              <w:top w:val="single" w:sz="4" w:space="0" w:color="auto"/>
              <w:bottom w:val="nil"/>
            </w:tcBorders>
          </w:tcPr>
          <w:p w14:paraId="0702729B" w14:textId="77777777" w:rsidR="001F05F2" w:rsidRPr="0061355E" w:rsidRDefault="001F05F2" w:rsidP="00B701A3">
            <w:pPr>
              <w:autoSpaceDE w:val="0"/>
              <w:autoSpaceDN w:val="0"/>
              <w:adjustRightInd w:val="0"/>
              <w:spacing w:after="100" w:afterAutospacing="1" w:line="240" w:lineRule="auto"/>
              <w:contextualSpacing/>
              <w:rPr>
                <w:rFonts w:eastAsiaTheme="minorEastAsia"/>
                <w:i/>
                <w:szCs w:val="24"/>
                <w:lang w:val="en-GB" w:eastAsia="zh-CN"/>
              </w:rPr>
            </w:pPr>
            <w:r w:rsidRPr="0061355E">
              <w:rPr>
                <w:rFonts w:eastAsiaTheme="minorEastAsia"/>
                <w:i/>
                <w:szCs w:val="24"/>
                <w:lang w:val="en-GB" w:eastAsia="zh-CN"/>
              </w:rPr>
              <w:t>Clustering variables</w:t>
            </w:r>
          </w:p>
        </w:tc>
        <w:tc>
          <w:tcPr>
            <w:tcW w:w="0" w:type="auto"/>
            <w:tcBorders>
              <w:top w:val="single" w:sz="4" w:space="0" w:color="auto"/>
              <w:bottom w:val="nil"/>
            </w:tcBorders>
          </w:tcPr>
          <w:p w14:paraId="03F349A0" w14:textId="77777777" w:rsidR="001F05F2" w:rsidRPr="0061355E" w:rsidRDefault="001F05F2" w:rsidP="00B701A3">
            <w:pPr>
              <w:spacing w:after="100" w:afterAutospacing="1" w:line="240" w:lineRule="auto"/>
              <w:contextualSpacing/>
              <w:jc w:val="center"/>
              <w:rPr>
                <w:szCs w:val="24"/>
                <w:lang w:val="en-GB"/>
              </w:rPr>
            </w:pPr>
          </w:p>
        </w:tc>
        <w:tc>
          <w:tcPr>
            <w:tcW w:w="0" w:type="auto"/>
            <w:tcBorders>
              <w:top w:val="single" w:sz="4" w:space="0" w:color="auto"/>
              <w:bottom w:val="nil"/>
            </w:tcBorders>
          </w:tcPr>
          <w:p w14:paraId="275C4423" w14:textId="77777777" w:rsidR="001F05F2" w:rsidRPr="0061355E" w:rsidRDefault="001F05F2" w:rsidP="00B701A3">
            <w:pPr>
              <w:spacing w:after="100" w:afterAutospacing="1" w:line="240" w:lineRule="auto"/>
              <w:contextualSpacing/>
              <w:rPr>
                <w:szCs w:val="24"/>
                <w:lang w:val="en-GB"/>
              </w:rPr>
            </w:pPr>
          </w:p>
        </w:tc>
        <w:tc>
          <w:tcPr>
            <w:tcW w:w="0" w:type="auto"/>
            <w:tcBorders>
              <w:top w:val="single" w:sz="4" w:space="0" w:color="auto"/>
              <w:bottom w:val="nil"/>
            </w:tcBorders>
          </w:tcPr>
          <w:p w14:paraId="19AEB15C" w14:textId="77777777" w:rsidR="001F05F2" w:rsidRPr="0061355E" w:rsidRDefault="001F05F2" w:rsidP="00B701A3">
            <w:pPr>
              <w:spacing w:after="100" w:afterAutospacing="1" w:line="240" w:lineRule="auto"/>
              <w:contextualSpacing/>
              <w:rPr>
                <w:szCs w:val="24"/>
                <w:lang w:val="en-GB"/>
              </w:rPr>
            </w:pPr>
          </w:p>
        </w:tc>
        <w:tc>
          <w:tcPr>
            <w:tcW w:w="0" w:type="auto"/>
            <w:tcBorders>
              <w:top w:val="single" w:sz="4" w:space="0" w:color="auto"/>
              <w:bottom w:val="nil"/>
            </w:tcBorders>
          </w:tcPr>
          <w:p w14:paraId="5DD6C434" w14:textId="77777777" w:rsidR="001F05F2" w:rsidRPr="0061355E" w:rsidRDefault="001F05F2" w:rsidP="00B701A3">
            <w:pPr>
              <w:spacing w:after="100" w:afterAutospacing="1" w:line="240" w:lineRule="auto"/>
              <w:contextualSpacing/>
              <w:jc w:val="center"/>
              <w:rPr>
                <w:szCs w:val="24"/>
                <w:lang w:val="en-GB"/>
              </w:rPr>
            </w:pPr>
          </w:p>
        </w:tc>
        <w:tc>
          <w:tcPr>
            <w:tcW w:w="0" w:type="auto"/>
            <w:tcBorders>
              <w:top w:val="single" w:sz="4" w:space="0" w:color="auto"/>
              <w:bottom w:val="nil"/>
            </w:tcBorders>
          </w:tcPr>
          <w:p w14:paraId="1331D80F" w14:textId="77777777" w:rsidR="001F05F2" w:rsidRPr="0061355E" w:rsidRDefault="001F05F2" w:rsidP="00B701A3">
            <w:pPr>
              <w:spacing w:after="100" w:afterAutospacing="1" w:line="240" w:lineRule="auto"/>
              <w:contextualSpacing/>
              <w:rPr>
                <w:szCs w:val="24"/>
                <w:lang w:val="en-GB"/>
              </w:rPr>
            </w:pPr>
          </w:p>
        </w:tc>
        <w:tc>
          <w:tcPr>
            <w:tcW w:w="0" w:type="auto"/>
            <w:tcBorders>
              <w:top w:val="single" w:sz="4" w:space="0" w:color="auto"/>
              <w:bottom w:val="nil"/>
            </w:tcBorders>
          </w:tcPr>
          <w:p w14:paraId="7A3A70C4" w14:textId="77777777" w:rsidR="001F05F2" w:rsidRPr="0061355E" w:rsidRDefault="001F05F2" w:rsidP="00B701A3">
            <w:pPr>
              <w:spacing w:after="100" w:afterAutospacing="1" w:line="240" w:lineRule="auto"/>
              <w:contextualSpacing/>
              <w:rPr>
                <w:szCs w:val="24"/>
                <w:lang w:val="en-GB"/>
              </w:rPr>
            </w:pPr>
          </w:p>
        </w:tc>
        <w:tc>
          <w:tcPr>
            <w:tcW w:w="0" w:type="auto"/>
            <w:tcBorders>
              <w:top w:val="single" w:sz="4" w:space="0" w:color="auto"/>
              <w:bottom w:val="nil"/>
            </w:tcBorders>
          </w:tcPr>
          <w:p w14:paraId="2F050DAF" w14:textId="77777777" w:rsidR="001F05F2" w:rsidRPr="0061355E" w:rsidRDefault="001F05F2" w:rsidP="00B701A3">
            <w:pPr>
              <w:spacing w:after="100" w:afterAutospacing="1" w:line="240" w:lineRule="auto"/>
              <w:contextualSpacing/>
              <w:jc w:val="center"/>
              <w:rPr>
                <w:szCs w:val="24"/>
                <w:lang w:val="en-GB"/>
              </w:rPr>
            </w:pPr>
          </w:p>
        </w:tc>
        <w:tc>
          <w:tcPr>
            <w:tcW w:w="0" w:type="auto"/>
            <w:tcBorders>
              <w:top w:val="single" w:sz="4" w:space="0" w:color="auto"/>
              <w:bottom w:val="nil"/>
            </w:tcBorders>
          </w:tcPr>
          <w:p w14:paraId="6FEABD6D"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Borders>
              <w:top w:val="single" w:sz="4" w:space="0" w:color="auto"/>
              <w:bottom w:val="nil"/>
            </w:tcBorders>
          </w:tcPr>
          <w:p w14:paraId="1B71EA0C"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Borders>
              <w:top w:val="single" w:sz="4" w:space="0" w:color="auto"/>
              <w:bottom w:val="nil"/>
            </w:tcBorders>
          </w:tcPr>
          <w:p w14:paraId="7C2C941D"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r>
      <w:tr w:rsidR="0004303A" w:rsidRPr="0061355E" w14:paraId="5632A528" w14:textId="77777777" w:rsidTr="00B701A3">
        <w:tc>
          <w:tcPr>
            <w:tcW w:w="0" w:type="auto"/>
            <w:tcBorders>
              <w:top w:val="nil"/>
            </w:tcBorders>
          </w:tcPr>
          <w:p w14:paraId="5868695E"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LTF</w:t>
            </w:r>
          </w:p>
        </w:tc>
        <w:tc>
          <w:tcPr>
            <w:tcW w:w="0" w:type="auto"/>
            <w:tcBorders>
              <w:top w:val="nil"/>
            </w:tcBorders>
          </w:tcPr>
          <w:p w14:paraId="389F25FF" w14:textId="77777777" w:rsidR="001F05F2" w:rsidRPr="0061355E" w:rsidRDefault="001F05F2" w:rsidP="00B701A3">
            <w:pPr>
              <w:spacing w:after="100" w:afterAutospacing="1" w:line="240" w:lineRule="auto"/>
              <w:contextualSpacing/>
              <w:rPr>
                <w:i/>
                <w:szCs w:val="24"/>
                <w:lang w:val="en-GB"/>
              </w:rPr>
            </w:pPr>
          </w:p>
        </w:tc>
        <w:tc>
          <w:tcPr>
            <w:tcW w:w="0" w:type="auto"/>
            <w:tcBorders>
              <w:top w:val="nil"/>
            </w:tcBorders>
          </w:tcPr>
          <w:p w14:paraId="4C818239" w14:textId="77777777" w:rsidR="001F05F2" w:rsidRPr="0061355E" w:rsidRDefault="001F05F2" w:rsidP="00B701A3">
            <w:pPr>
              <w:spacing w:after="100" w:afterAutospacing="1" w:line="240" w:lineRule="auto"/>
              <w:contextualSpacing/>
              <w:rPr>
                <w:szCs w:val="24"/>
                <w:lang w:val="en-GB"/>
              </w:rPr>
            </w:pPr>
            <w:r w:rsidRPr="0061355E">
              <w:rPr>
                <w:szCs w:val="24"/>
                <w:lang w:val="en-GB"/>
              </w:rPr>
              <w:t xml:space="preserve">4.46 (0.49) </w:t>
            </w:r>
            <w:r w:rsidRPr="0061355E">
              <w:rPr>
                <w:szCs w:val="24"/>
                <w:vertAlign w:val="superscript"/>
                <w:lang w:val="en-GB"/>
              </w:rPr>
              <w:t>a</w:t>
            </w:r>
          </w:p>
        </w:tc>
        <w:tc>
          <w:tcPr>
            <w:tcW w:w="0" w:type="auto"/>
            <w:tcBorders>
              <w:top w:val="nil"/>
            </w:tcBorders>
          </w:tcPr>
          <w:p w14:paraId="1F6DB5B4" w14:textId="77777777" w:rsidR="001F05F2" w:rsidRPr="0061355E" w:rsidRDefault="001F05F2" w:rsidP="00B701A3">
            <w:pPr>
              <w:spacing w:after="100" w:afterAutospacing="1" w:line="240" w:lineRule="auto"/>
              <w:contextualSpacing/>
              <w:rPr>
                <w:szCs w:val="24"/>
                <w:lang w:val="en-GB"/>
              </w:rPr>
            </w:pPr>
            <w:r w:rsidRPr="0061355E">
              <w:rPr>
                <w:szCs w:val="24"/>
                <w:lang w:val="en-GB"/>
              </w:rPr>
              <w:t>-0.24</w:t>
            </w:r>
          </w:p>
        </w:tc>
        <w:tc>
          <w:tcPr>
            <w:tcW w:w="0" w:type="auto"/>
            <w:tcBorders>
              <w:top w:val="nil"/>
            </w:tcBorders>
          </w:tcPr>
          <w:p w14:paraId="4EE06A92" w14:textId="77777777" w:rsidR="001F05F2" w:rsidRPr="0061355E" w:rsidRDefault="001F05F2" w:rsidP="00B701A3">
            <w:pPr>
              <w:spacing w:after="100" w:afterAutospacing="1" w:line="240" w:lineRule="auto"/>
              <w:contextualSpacing/>
              <w:rPr>
                <w:szCs w:val="24"/>
                <w:lang w:val="en-GB"/>
              </w:rPr>
            </w:pPr>
          </w:p>
        </w:tc>
        <w:tc>
          <w:tcPr>
            <w:tcW w:w="0" w:type="auto"/>
            <w:tcBorders>
              <w:top w:val="nil"/>
            </w:tcBorders>
          </w:tcPr>
          <w:p w14:paraId="12653504" w14:textId="77777777" w:rsidR="001F05F2" w:rsidRPr="0061355E" w:rsidRDefault="001F05F2" w:rsidP="00B701A3">
            <w:pPr>
              <w:spacing w:after="100" w:afterAutospacing="1" w:line="240" w:lineRule="auto"/>
              <w:contextualSpacing/>
              <w:rPr>
                <w:szCs w:val="24"/>
                <w:lang w:val="en-GB"/>
              </w:rPr>
            </w:pPr>
            <w:r w:rsidRPr="0061355E">
              <w:rPr>
                <w:szCs w:val="24"/>
                <w:lang w:val="en-GB"/>
              </w:rPr>
              <w:t>5.36 (0.48)</w:t>
            </w:r>
            <w:r w:rsidRPr="0061355E">
              <w:rPr>
                <w:szCs w:val="24"/>
                <w:vertAlign w:val="superscript"/>
                <w:lang w:val="en-GB"/>
              </w:rPr>
              <w:t xml:space="preserve"> b</w:t>
            </w:r>
          </w:p>
        </w:tc>
        <w:tc>
          <w:tcPr>
            <w:tcW w:w="0" w:type="auto"/>
            <w:tcBorders>
              <w:top w:val="nil"/>
            </w:tcBorders>
          </w:tcPr>
          <w:p w14:paraId="4FAF82FD"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 xml:space="preserve"> 0.93</w:t>
            </w:r>
          </w:p>
        </w:tc>
        <w:tc>
          <w:tcPr>
            <w:tcW w:w="0" w:type="auto"/>
            <w:tcBorders>
              <w:top w:val="nil"/>
            </w:tcBorders>
          </w:tcPr>
          <w:p w14:paraId="1B410804" w14:textId="77777777" w:rsidR="001F05F2" w:rsidRPr="0061355E" w:rsidRDefault="001F05F2" w:rsidP="00B701A3">
            <w:pPr>
              <w:spacing w:after="100" w:afterAutospacing="1" w:line="240" w:lineRule="auto"/>
              <w:contextualSpacing/>
              <w:rPr>
                <w:szCs w:val="24"/>
                <w:lang w:val="en-GB"/>
              </w:rPr>
            </w:pPr>
          </w:p>
        </w:tc>
        <w:tc>
          <w:tcPr>
            <w:tcW w:w="0" w:type="auto"/>
            <w:tcBorders>
              <w:top w:val="nil"/>
            </w:tcBorders>
          </w:tcPr>
          <w:p w14:paraId="28DD4EB5" w14:textId="77777777" w:rsidR="001F05F2" w:rsidRPr="0061355E" w:rsidRDefault="001F05F2" w:rsidP="00B701A3">
            <w:pPr>
              <w:spacing w:after="100" w:afterAutospacing="1" w:line="240" w:lineRule="auto"/>
              <w:contextualSpacing/>
              <w:rPr>
                <w:szCs w:val="24"/>
                <w:lang w:val="en-GB"/>
              </w:rPr>
            </w:pPr>
            <w:r w:rsidRPr="0061355E">
              <w:rPr>
                <w:szCs w:val="24"/>
                <w:lang w:val="en-GB"/>
              </w:rPr>
              <w:t>3.70 (0.59)</w:t>
            </w:r>
            <w:r w:rsidRPr="0061355E">
              <w:rPr>
                <w:szCs w:val="24"/>
                <w:vertAlign w:val="superscript"/>
                <w:lang w:val="en-GB"/>
              </w:rPr>
              <w:t xml:space="preserve"> c</w:t>
            </w:r>
          </w:p>
        </w:tc>
        <w:tc>
          <w:tcPr>
            <w:tcW w:w="0" w:type="auto"/>
            <w:tcBorders>
              <w:top w:val="nil"/>
            </w:tcBorders>
          </w:tcPr>
          <w:p w14:paraId="4D2133A5" w14:textId="77777777" w:rsidR="001F05F2" w:rsidRPr="0061355E" w:rsidRDefault="001F05F2" w:rsidP="00B701A3">
            <w:pPr>
              <w:spacing w:after="100" w:afterAutospacing="1" w:line="240" w:lineRule="auto"/>
              <w:contextualSpacing/>
              <w:rPr>
                <w:szCs w:val="24"/>
                <w:lang w:val="en-GB"/>
              </w:rPr>
            </w:pPr>
            <w:r w:rsidRPr="0061355E">
              <w:rPr>
                <w:szCs w:val="24"/>
                <w:lang w:val="en-GB"/>
              </w:rPr>
              <w:t>-1.24</w:t>
            </w:r>
          </w:p>
        </w:tc>
        <w:tc>
          <w:tcPr>
            <w:tcW w:w="0" w:type="auto"/>
            <w:tcBorders>
              <w:top w:val="nil"/>
            </w:tcBorders>
          </w:tcPr>
          <w:p w14:paraId="0DC71C22"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Borders>
              <w:top w:val="nil"/>
            </w:tcBorders>
          </w:tcPr>
          <w:p w14:paraId="2A8EFA00"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166.76**</w:t>
            </w:r>
          </w:p>
        </w:tc>
        <w:tc>
          <w:tcPr>
            <w:tcW w:w="0" w:type="auto"/>
            <w:tcBorders>
              <w:top w:val="nil"/>
            </w:tcBorders>
          </w:tcPr>
          <w:p w14:paraId="4A19ADF0"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0.58</w:t>
            </w:r>
          </w:p>
        </w:tc>
      </w:tr>
      <w:tr w:rsidR="0004303A" w:rsidRPr="0061355E" w14:paraId="3D333C2C" w14:textId="77777777" w:rsidTr="00B701A3">
        <w:tc>
          <w:tcPr>
            <w:tcW w:w="0" w:type="auto"/>
          </w:tcPr>
          <w:p w14:paraId="6FF6C89E"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AOE</w:t>
            </w:r>
          </w:p>
        </w:tc>
        <w:tc>
          <w:tcPr>
            <w:tcW w:w="0" w:type="auto"/>
          </w:tcPr>
          <w:p w14:paraId="697B547A" w14:textId="77777777" w:rsidR="001F05F2" w:rsidRPr="0061355E" w:rsidRDefault="001F05F2" w:rsidP="00B701A3">
            <w:pPr>
              <w:spacing w:after="100" w:afterAutospacing="1" w:line="240" w:lineRule="auto"/>
              <w:contextualSpacing/>
              <w:rPr>
                <w:i/>
                <w:szCs w:val="24"/>
                <w:lang w:val="en-GB"/>
              </w:rPr>
            </w:pPr>
          </w:p>
        </w:tc>
        <w:tc>
          <w:tcPr>
            <w:tcW w:w="0" w:type="auto"/>
          </w:tcPr>
          <w:p w14:paraId="3B64A88F" w14:textId="77777777" w:rsidR="001F05F2" w:rsidRPr="0061355E" w:rsidRDefault="001F05F2" w:rsidP="00B701A3">
            <w:pPr>
              <w:spacing w:after="100" w:afterAutospacing="1" w:line="240" w:lineRule="auto"/>
              <w:contextualSpacing/>
              <w:rPr>
                <w:szCs w:val="24"/>
                <w:lang w:val="en-GB"/>
              </w:rPr>
            </w:pPr>
            <w:r w:rsidRPr="0061355E">
              <w:rPr>
                <w:szCs w:val="24"/>
                <w:lang w:val="en-GB"/>
              </w:rPr>
              <w:t>4.25 (0.52)</w:t>
            </w:r>
            <w:r w:rsidRPr="0061355E">
              <w:rPr>
                <w:szCs w:val="24"/>
                <w:vertAlign w:val="superscript"/>
                <w:lang w:val="en-GB"/>
              </w:rPr>
              <w:t xml:space="preserve"> a</w:t>
            </w:r>
          </w:p>
        </w:tc>
        <w:tc>
          <w:tcPr>
            <w:tcW w:w="0" w:type="auto"/>
          </w:tcPr>
          <w:p w14:paraId="1FA3406E" w14:textId="77777777" w:rsidR="001F05F2" w:rsidRPr="0061355E" w:rsidRDefault="001F05F2" w:rsidP="00B701A3">
            <w:pPr>
              <w:spacing w:after="100" w:afterAutospacing="1" w:line="240" w:lineRule="auto"/>
              <w:contextualSpacing/>
              <w:rPr>
                <w:szCs w:val="24"/>
                <w:lang w:val="en-GB"/>
              </w:rPr>
            </w:pPr>
            <w:r w:rsidRPr="0061355E">
              <w:rPr>
                <w:szCs w:val="24"/>
                <w:lang w:val="en-GB"/>
              </w:rPr>
              <w:t>-0.13</w:t>
            </w:r>
          </w:p>
        </w:tc>
        <w:tc>
          <w:tcPr>
            <w:tcW w:w="0" w:type="auto"/>
          </w:tcPr>
          <w:p w14:paraId="54EB8491" w14:textId="77777777" w:rsidR="001F05F2" w:rsidRPr="0061355E" w:rsidRDefault="001F05F2" w:rsidP="00B701A3">
            <w:pPr>
              <w:spacing w:after="100" w:afterAutospacing="1" w:line="240" w:lineRule="auto"/>
              <w:contextualSpacing/>
              <w:rPr>
                <w:szCs w:val="24"/>
                <w:lang w:val="en-GB"/>
              </w:rPr>
            </w:pPr>
          </w:p>
        </w:tc>
        <w:tc>
          <w:tcPr>
            <w:tcW w:w="0" w:type="auto"/>
          </w:tcPr>
          <w:p w14:paraId="6A4988E3" w14:textId="77777777" w:rsidR="001F05F2" w:rsidRPr="0061355E" w:rsidRDefault="001F05F2" w:rsidP="00B701A3">
            <w:pPr>
              <w:spacing w:after="100" w:afterAutospacing="1" w:line="240" w:lineRule="auto"/>
              <w:contextualSpacing/>
              <w:rPr>
                <w:szCs w:val="24"/>
                <w:lang w:val="en-GB"/>
              </w:rPr>
            </w:pPr>
            <w:r w:rsidRPr="0061355E">
              <w:rPr>
                <w:szCs w:val="24"/>
                <w:lang w:val="en-GB"/>
              </w:rPr>
              <w:t>5.25 (0.51)</w:t>
            </w:r>
            <w:r w:rsidRPr="0061355E">
              <w:rPr>
                <w:szCs w:val="24"/>
                <w:vertAlign w:val="superscript"/>
                <w:lang w:val="en-GB"/>
              </w:rPr>
              <w:t xml:space="preserve"> b</w:t>
            </w:r>
          </w:p>
        </w:tc>
        <w:tc>
          <w:tcPr>
            <w:tcW w:w="0" w:type="auto"/>
          </w:tcPr>
          <w:p w14:paraId="221560FB"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 xml:space="preserve"> 0.92</w:t>
            </w:r>
          </w:p>
        </w:tc>
        <w:tc>
          <w:tcPr>
            <w:tcW w:w="0" w:type="auto"/>
          </w:tcPr>
          <w:p w14:paraId="293641F8" w14:textId="77777777" w:rsidR="001F05F2" w:rsidRPr="0061355E" w:rsidRDefault="001F05F2" w:rsidP="00B701A3">
            <w:pPr>
              <w:spacing w:after="100" w:afterAutospacing="1" w:line="240" w:lineRule="auto"/>
              <w:contextualSpacing/>
              <w:rPr>
                <w:szCs w:val="24"/>
                <w:lang w:val="en-GB"/>
              </w:rPr>
            </w:pPr>
          </w:p>
        </w:tc>
        <w:tc>
          <w:tcPr>
            <w:tcW w:w="0" w:type="auto"/>
          </w:tcPr>
          <w:p w14:paraId="218D9732" w14:textId="77777777" w:rsidR="001F05F2" w:rsidRPr="0061355E" w:rsidRDefault="001F05F2" w:rsidP="00B701A3">
            <w:pPr>
              <w:spacing w:after="100" w:afterAutospacing="1" w:line="240" w:lineRule="auto"/>
              <w:contextualSpacing/>
              <w:rPr>
                <w:szCs w:val="24"/>
                <w:lang w:val="en-GB"/>
              </w:rPr>
            </w:pPr>
            <w:r w:rsidRPr="0061355E">
              <w:rPr>
                <w:szCs w:val="24"/>
                <w:lang w:val="en-GB"/>
              </w:rPr>
              <w:t>2.92 (0.64)</w:t>
            </w:r>
            <w:r w:rsidRPr="0061355E">
              <w:rPr>
                <w:szCs w:val="24"/>
                <w:vertAlign w:val="superscript"/>
                <w:lang w:val="en-GB"/>
              </w:rPr>
              <w:t xml:space="preserve"> c</w:t>
            </w:r>
          </w:p>
        </w:tc>
        <w:tc>
          <w:tcPr>
            <w:tcW w:w="0" w:type="auto"/>
          </w:tcPr>
          <w:p w14:paraId="4FEE134F" w14:textId="77777777" w:rsidR="001F05F2" w:rsidRPr="0061355E" w:rsidRDefault="001F05F2" w:rsidP="00B701A3">
            <w:pPr>
              <w:spacing w:after="100" w:afterAutospacing="1" w:line="240" w:lineRule="auto"/>
              <w:contextualSpacing/>
              <w:rPr>
                <w:szCs w:val="24"/>
                <w:lang w:val="en-GB"/>
              </w:rPr>
            </w:pPr>
            <w:r w:rsidRPr="0061355E">
              <w:rPr>
                <w:szCs w:val="24"/>
                <w:lang w:val="en-GB"/>
              </w:rPr>
              <w:t>-1.53</w:t>
            </w:r>
          </w:p>
        </w:tc>
        <w:tc>
          <w:tcPr>
            <w:tcW w:w="0" w:type="auto"/>
          </w:tcPr>
          <w:p w14:paraId="7B6795BD"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4FE85DE8"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261.65**</w:t>
            </w:r>
          </w:p>
        </w:tc>
        <w:tc>
          <w:tcPr>
            <w:tcW w:w="0" w:type="auto"/>
          </w:tcPr>
          <w:p w14:paraId="20677D00"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0.68</w:t>
            </w:r>
          </w:p>
        </w:tc>
      </w:tr>
      <w:tr w:rsidR="0004303A" w:rsidRPr="0061355E" w14:paraId="26126894" w14:textId="77777777" w:rsidTr="00B701A3">
        <w:tc>
          <w:tcPr>
            <w:tcW w:w="0" w:type="auto"/>
          </w:tcPr>
          <w:p w14:paraId="71982F49"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COM</w:t>
            </w:r>
          </w:p>
        </w:tc>
        <w:tc>
          <w:tcPr>
            <w:tcW w:w="0" w:type="auto"/>
          </w:tcPr>
          <w:p w14:paraId="765AF269" w14:textId="77777777" w:rsidR="001F05F2" w:rsidRPr="0061355E" w:rsidRDefault="001F05F2" w:rsidP="00B701A3">
            <w:pPr>
              <w:spacing w:after="100" w:afterAutospacing="1" w:line="240" w:lineRule="auto"/>
              <w:contextualSpacing/>
              <w:rPr>
                <w:i/>
                <w:szCs w:val="24"/>
                <w:lang w:val="en-GB"/>
              </w:rPr>
            </w:pPr>
          </w:p>
        </w:tc>
        <w:tc>
          <w:tcPr>
            <w:tcW w:w="0" w:type="auto"/>
          </w:tcPr>
          <w:p w14:paraId="1A129FC1" w14:textId="77777777" w:rsidR="001F05F2" w:rsidRPr="0061355E" w:rsidRDefault="001F05F2" w:rsidP="00B701A3">
            <w:pPr>
              <w:spacing w:after="100" w:afterAutospacing="1" w:line="240" w:lineRule="auto"/>
              <w:contextualSpacing/>
              <w:rPr>
                <w:szCs w:val="24"/>
                <w:lang w:val="en-GB"/>
              </w:rPr>
            </w:pPr>
            <w:r w:rsidRPr="0061355E">
              <w:rPr>
                <w:szCs w:val="24"/>
                <w:lang w:val="en-GB"/>
              </w:rPr>
              <w:t>4.78 (0.53)</w:t>
            </w:r>
            <w:r w:rsidRPr="0061355E">
              <w:rPr>
                <w:szCs w:val="24"/>
                <w:vertAlign w:val="superscript"/>
                <w:lang w:val="en-GB"/>
              </w:rPr>
              <w:t xml:space="preserve"> a</w:t>
            </w:r>
          </w:p>
        </w:tc>
        <w:tc>
          <w:tcPr>
            <w:tcW w:w="0" w:type="auto"/>
          </w:tcPr>
          <w:p w14:paraId="57878175" w14:textId="77777777" w:rsidR="001F05F2" w:rsidRPr="0061355E" w:rsidRDefault="001F05F2" w:rsidP="00B701A3">
            <w:pPr>
              <w:spacing w:after="100" w:afterAutospacing="1" w:line="240" w:lineRule="auto"/>
              <w:contextualSpacing/>
              <w:rPr>
                <w:szCs w:val="24"/>
                <w:lang w:val="en-GB"/>
              </w:rPr>
            </w:pPr>
            <w:r w:rsidRPr="0061355E">
              <w:rPr>
                <w:szCs w:val="24"/>
                <w:lang w:val="en-GB"/>
              </w:rPr>
              <w:t>-0.03</w:t>
            </w:r>
          </w:p>
        </w:tc>
        <w:tc>
          <w:tcPr>
            <w:tcW w:w="0" w:type="auto"/>
          </w:tcPr>
          <w:p w14:paraId="047E5740" w14:textId="77777777" w:rsidR="001F05F2" w:rsidRPr="0061355E" w:rsidRDefault="001F05F2" w:rsidP="00B701A3">
            <w:pPr>
              <w:spacing w:after="100" w:afterAutospacing="1" w:line="240" w:lineRule="auto"/>
              <w:contextualSpacing/>
              <w:rPr>
                <w:szCs w:val="24"/>
                <w:lang w:val="en-GB"/>
              </w:rPr>
            </w:pPr>
          </w:p>
        </w:tc>
        <w:tc>
          <w:tcPr>
            <w:tcW w:w="0" w:type="auto"/>
          </w:tcPr>
          <w:p w14:paraId="7DE5DB62" w14:textId="77777777" w:rsidR="001F05F2" w:rsidRPr="0061355E" w:rsidRDefault="001F05F2" w:rsidP="00B701A3">
            <w:pPr>
              <w:spacing w:after="100" w:afterAutospacing="1" w:line="240" w:lineRule="auto"/>
              <w:contextualSpacing/>
              <w:rPr>
                <w:szCs w:val="24"/>
                <w:lang w:val="en-GB"/>
              </w:rPr>
            </w:pPr>
            <w:r w:rsidRPr="0061355E">
              <w:rPr>
                <w:szCs w:val="24"/>
                <w:lang w:val="en-GB"/>
              </w:rPr>
              <w:t>5.51 (0.43)</w:t>
            </w:r>
            <w:r w:rsidRPr="0061355E">
              <w:rPr>
                <w:szCs w:val="24"/>
                <w:vertAlign w:val="superscript"/>
                <w:lang w:val="en-GB"/>
              </w:rPr>
              <w:t xml:space="preserve"> b</w:t>
            </w:r>
          </w:p>
        </w:tc>
        <w:tc>
          <w:tcPr>
            <w:tcW w:w="0" w:type="auto"/>
          </w:tcPr>
          <w:p w14:paraId="761E3416"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 xml:space="preserve"> 0.80</w:t>
            </w:r>
          </w:p>
        </w:tc>
        <w:tc>
          <w:tcPr>
            <w:tcW w:w="0" w:type="auto"/>
          </w:tcPr>
          <w:p w14:paraId="7FC128FF" w14:textId="77777777" w:rsidR="001F05F2" w:rsidRPr="0061355E" w:rsidRDefault="001F05F2" w:rsidP="00B701A3">
            <w:pPr>
              <w:spacing w:after="100" w:afterAutospacing="1" w:line="240" w:lineRule="auto"/>
              <w:contextualSpacing/>
              <w:rPr>
                <w:szCs w:val="24"/>
                <w:lang w:val="en-GB"/>
              </w:rPr>
            </w:pPr>
          </w:p>
        </w:tc>
        <w:tc>
          <w:tcPr>
            <w:tcW w:w="0" w:type="auto"/>
          </w:tcPr>
          <w:p w14:paraId="304ECC54" w14:textId="77777777" w:rsidR="001F05F2" w:rsidRPr="0061355E" w:rsidRDefault="001F05F2" w:rsidP="00B701A3">
            <w:pPr>
              <w:spacing w:after="100" w:afterAutospacing="1" w:line="240" w:lineRule="auto"/>
              <w:contextualSpacing/>
              <w:rPr>
                <w:szCs w:val="24"/>
                <w:lang w:val="en-GB"/>
              </w:rPr>
            </w:pPr>
            <w:r w:rsidRPr="0061355E">
              <w:rPr>
                <w:szCs w:val="24"/>
                <w:lang w:val="en-GB"/>
              </w:rPr>
              <w:t>3.37 (0.70)</w:t>
            </w:r>
            <w:r w:rsidRPr="0061355E">
              <w:rPr>
                <w:szCs w:val="24"/>
                <w:vertAlign w:val="superscript"/>
                <w:lang w:val="en-GB"/>
              </w:rPr>
              <w:t xml:space="preserve"> c</w:t>
            </w:r>
          </w:p>
        </w:tc>
        <w:tc>
          <w:tcPr>
            <w:tcW w:w="0" w:type="auto"/>
          </w:tcPr>
          <w:p w14:paraId="5A017893" w14:textId="77777777" w:rsidR="001F05F2" w:rsidRPr="0061355E" w:rsidRDefault="001F05F2" w:rsidP="00B701A3">
            <w:pPr>
              <w:spacing w:after="100" w:afterAutospacing="1" w:line="240" w:lineRule="auto"/>
              <w:contextualSpacing/>
              <w:rPr>
                <w:szCs w:val="24"/>
                <w:lang w:val="en-GB"/>
              </w:rPr>
            </w:pPr>
            <w:r w:rsidRPr="0061355E">
              <w:rPr>
                <w:szCs w:val="24"/>
                <w:lang w:val="en-GB"/>
              </w:rPr>
              <w:t>-1.62</w:t>
            </w:r>
          </w:p>
        </w:tc>
        <w:tc>
          <w:tcPr>
            <w:tcW w:w="0" w:type="auto"/>
          </w:tcPr>
          <w:p w14:paraId="057B72E0"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6BF2BC30"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223.70**</w:t>
            </w:r>
          </w:p>
        </w:tc>
        <w:tc>
          <w:tcPr>
            <w:tcW w:w="0" w:type="auto"/>
          </w:tcPr>
          <w:p w14:paraId="5A2A5BD9"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0.65</w:t>
            </w:r>
          </w:p>
        </w:tc>
      </w:tr>
      <w:tr w:rsidR="0004303A" w:rsidRPr="0061355E" w14:paraId="151ACD31" w14:textId="77777777" w:rsidTr="00B701A3">
        <w:tc>
          <w:tcPr>
            <w:tcW w:w="0" w:type="auto"/>
          </w:tcPr>
          <w:p w14:paraId="2B42B9F4"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HQP</w:t>
            </w:r>
          </w:p>
        </w:tc>
        <w:tc>
          <w:tcPr>
            <w:tcW w:w="0" w:type="auto"/>
          </w:tcPr>
          <w:p w14:paraId="39E4845B" w14:textId="77777777" w:rsidR="001F05F2" w:rsidRPr="0061355E" w:rsidRDefault="001F05F2" w:rsidP="00B701A3">
            <w:pPr>
              <w:spacing w:after="100" w:afterAutospacing="1" w:line="240" w:lineRule="auto"/>
              <w:contextualSpacing/>
              <w:rPr>
                <w:i/>
                <w:szCs w:val="24"/>
                <w:lang w:val="en-GB"/>
              </w:rPr>
            </w:pPr>
          </w:p>
        </w:tc>
        <w:tc>
          <w:tcPr>
            <w:tcW w:w="0" w:type="auto"/>
          </w:tcPr>
          <w:p w14:paraId="0EB6722D" w14:textId="77777777" w:rsidR="001F05F2" w:rsidRPr="0061355E" w:rsidRDefault="001F05F2" w:rsidP="00B701A3">
            <w:pPr>
              <w:spacing w:after="100" w:afterAutospacing="1" w:line="240" w:lineRule="auto"/>
              <w:contextualSpacing/>
              <w:rPr>
                <w:szCs w:val="24"/>
                <w:lang w:val="en-GB"/>
              </w:rPr>
            </w:pPr>
            <w:r w:rsidRPr="0061355E">
              <w:rPr>
                <w:szCs w:val="24"/>
                <w:lang w:val="en-GB"/>
              </w:rPr>
              <w:t>4.10 (0.47)</w:t>
            </w:r>
            <w:r w:rsidRPr="0061355E">
              <w:rPr>
                <w:szCs w:val="24"/>
                <w:vertAlign w:val="superscript"/>
                <w:lang w:val="en-GB"/>
              </w:rPr>
              <w:t xml:space="preserve"> a</w:t>
            </w:r>
          </w:p>
        </w:tc>
        <w:tc>
          <w:tcPr>
            <w:tcW w:w="0" w:type="auto"/>
          </w:tcPr>
          <w:p w14:paraId="0846D708" w14:textId="77777777" w:rsidR="001F05F2" w:rsidRPr="0061355E" w:rsidRDefault="001F05F2" w:rsidP="00B701A3">
            <w:pPr>
              <w:spacing w:after="100" w:afterAutospacing="1" w:line="240" w:lineRule="auto"/>
              <w:contextualSpacing/>
              <w:rPr>
                <w:szCs w:val="24"/>
                <w:lang w:val="en-GB"/>
              </w:rPr>
            </w:pPr>
            <w:r w:rsidRPr="0061355E">
              <w:rPr>
                <w:szCs w:val="24"/>
                <w:lang w:val="en-GB"/>
              </w:rPr>
              <w:t>-0.20</w:t>
            </w:r>
          </w:p>
        </w:tc>
        <w:tc>
          <w:tcPr>
            <w:tcW w:w="0" w:type="auto"/>
          </w:tcPr>
          <w:p w14:paraId="20B4079A" w14:textId="77777777" w:rsidR="001F05F2" w:rsidRPr="0061355E" w:rsidRDefault="001F05F2" w:rsidP="00B701A3">
            <w:pPr>
              <w:spacing w:after="100" w:afterAutospacing="1" w:line="240" w:lineRule="auto"/>
              <w:contextualSpacing/>
              <w:rPr>
                <w:szCs w:val="24"/>
                <w:lang w:val="en-GB"/>
              </w:rPr>
            </w:pPr>
          </w:p>
        </w:tc>
        <w:tc>
          <w:tcPr>
            <w:tcW w:w="0" w:type="auto"/>
          </w:tcPr>
          <w:p w14:paraId="3594738A" w14:textId="77777777" w:rsidR="001F05F2" w:rsidRPr="0061355E" w:rsidRDefault="001F05F2" w:rsidP="00B701A3">
            <w:pPr>
              <w:spacing w:after="100" w:afterAutospacing="1" w:line="240" w:lineRule="auto"/>
              <w:contextualSpacing/>
              <w:rPr>
                <w:szCs w:val="24"/>
                <w:lang w:val="en-GB"/>
              </w:rPr>
            </w:pPr>
            <w:r w:rsidRPr="0061355E">
              <w:rPr>
                <w:szCs w:val="24"/>
                <w:lang w:val="en-GB"/>
              </w:rPr>
              <w:t>5.10 (0.54)</w:t>
            </w:r>
            <w:r w:rsidRPr="0061355E">
              <w:rPr>
                <w:szCs w:val="24"/>
                <w:vertAlign w:val="superscript"/>
                <w:lang w:val="en-GB"/>
              </w:rPr>
              <w:t xml:space="preserve"> b</w:t>
            </w:r>
          </w:p>
        </w:tc>
        <w:tc>
          <w:tcPr>
            <w:tcW w:w="0" w:type="auto"/>
          </w:tcPr>
          <w:p w14:paraId="1B2151BF"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 xml:space="preserve"> 0.95</w:t>
            </w:r>
          </w:p>
        </w:tc>
        <w:tc>
          <w:tcPr>
            <w:tcW w:w="0" w:type="auto"/>
          </w:tcPr>
          <w:p w14:paraId="6849D357" w14:textId="77777777" w:rsidR="001F05F2" w:rsidRPr="0061355E" w:rsidRDefault="001F05F2" w:rsidP="00B701A3">
            <w:pPr>
              <w:spacing w:after="100" w:afterAutospacing="1" w:line="240" w:lineRule="auto"/>
              <w:contextualSpacing/>
              <w:rPr>
                <w:szCs w:val="24"/>
                <w:lang w:val="en-GB"/>
              </w:rPr>
            </w:pPr>
          </w:p>
        </w:tc>
        <w:tc>
          <w:tcPr>
            <w:tcW w:w="0" w:type="auto"/>
          </w:tcPr>
          <w:p w14:paraId="733DB154" w14:textId="77777777" w:rsidR="001F05F2" w:rsidRPr="0061355E" w:rsidRDefault="001F05F2" w:rsidP="00B701A3">
            <w:pPr>
              <w:spacing w:after="100" w:afterAutospacing="1" w:line="240" w:lineRule="auto"/>
              <w:contextualSpacing/>
              <w:rPr>
                <w:szCs w:val="24"/>
                <w:lang w:val="en-GB"/>
              </w:rPr>
            </w:pPr>
            <w:r w:rsidRPr="0061355E">
              <w:rPr>
                <w:szCs w:val="24"/>
                <w:lang w:val="en-GB"/>
              </w:rPr>
              <w:t>3.04 (0.59)</w:t>
            </w:r>
            <w:r w:rsidRPr="0061355E">
              <w:rPr>
                <w:szCs w:val="24"/>
                <w:vertAlign w:val="superscript"/>
                <w:lang w:val="en-GB"/>
              </w:rPr>
              <w:t xml:space="preserve"> c</w:t>
            </w:r>
          </w:p>
        </w:tc>
        <w:tc>
          <w:tcPr>
            <w:tcW w:w="0" w:type="auto"/>
          </w:tcPr>
          <w:p w14:paraId="20C8E5F8" w14:textId="77777777" w:rsidR="001F05F2" w:rsidRPr="0061355E" w:rsidRDefault="001F05F2" w:rsidP="00B701A3">
            <w:pPr>
              <w:spacing w:after="100" w:afterAutospacing="1" w:line="240" w:lineRule="auto"/>
              <w:contextualSpacing/>
              <w:rPr>
                <w:szCs w:val="24"/>
                <w:lang w:val="en-GB"/>
              </w:rPr>
            </w:pPr>
            <w:r w:rsidRPr="0061355E">
              <w:rPr>
                <w:szCs w:val="24"/>
                <w:lang w:val="en-GB"/>
              </w:rPr>
              <w:t>-1.41</w:t>
            </w:r>
          </w:p>
        </w:tc>
        <w:tc>
          <w:tcPr>
            <w:tcW w:w="0" w:type="auto"/>
          </w:tcPr>
          <w:p w14:paraId="562B17B6"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4E3978EF"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231.74**</w:t>
            </w:r>
          </w:p>
        </w:tc>
        <w:tc>
          <w:tcPr>
            <w:tcW w:w="0" w:type="auto"/>
          </w:tcPr>
          <w:p w14:paraId="0DE13E2C"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0.65</w:t>
            </w:r>
          </w:p>
        </w:tc>
      </w:tr>
      <w:tr w:rsidR="0004303A" w:rsidRPr="0061355E" w14:paraId="64ECB69D" w14:textId="77777777" w:rsidTr="00B701A3">
        <w:tc>
          <w:tcPr>
            <w:tcW w:w="0" w:type="auto"/>
          </w:tcPr>
          <w:p w14:paraId="403E94E9"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SN</w:t>
            </w:r>
          </w:p>
        </w:tc>
        <w:tc>
          <w:tcPr>
            <w:tcW w:w="0" w:type="auto"/>
          </w:tcPr>
          <w:p w14:paraId="3BE38CC1" w14:textId="77777777" w:rsidR="001F05F2" w:rsidRPr="0061355E" w:rsidRDefault="001F05F2" w:rsidP="00B701A3">
            <w:pPr>
              <w:spacing w:after="100" w:afterAutospacing="1" w:line="240" w:lineRule="auto"/>
              <w:contextualSpacing/>
              <w:rPr>
                <w:i/>
                <w:szCs w:val="24"/>
                <w:lang w:val="en-GB"/>
              </w:rPr>
            </w:pPr>
          </w:p>
        </w:tc>
        <w:tc>
          <w:tcPr>
            <w:tcW w:w="0" w:type="auto"/>
          </w:tcPr>
          <w:p w14:paraId="239BA759" w14:textId="77777777" w:rsidR="001F05F2" w:rsidRPr="0061355E" w:rsidRDefault="001F05F2" w:rsidP="00B701A3">
            <w:pPr>
              <w:spacing w:after="100" w:afterAutospacing="1" w:line="240" w:lineRule="auto"/>
              <w:contextualSpacing/>
              <w:rPr>
                <w:szCs w:val="24"/>
                <w:lang w:val="en-GB"/>
              </w:rPr>
            </w:pPr>
            <w:r w:rsidRPr="0061355E">
              <w:rPr>
                <w:szCs w:val="24"/>
                <w:lang w:val="en-GB"/>
              </w:rPr>
              <w:t>4.23 (0.69)</w:t>
            </w:r>
            <w:r w:rsidRPr="0061355E">
              <w:rPr>
                <w:szCs w:val="24"/>
                <w:vertAlign w:val="superscript"/>
                <w:lang w:val="en-GB"/>
              </w:rPr>
              <w:t xml:space="preserve"> a</w:t>
            </w:r>
          </w:p>
        </w:tc>
        <w:tc>
          <w:tcPr>
            <w:tcW w:w="0" w:type="auto"/>
          </w:tcPr>
          <w:p w14:paraId="256FD601" w14:textId="77777777" w:rsidR="001F05F2" w:rsidRPr="0061355E" w:rsidRDefault="001F05F2" w:rsidP="00B701A3">
            <w:pPr>
              <w:spacing w:after="100" w:afterAutospacing="1" w:line="240" w:lineRule="auto"/>
              <w:contextualSpacing/>
              <w:rPr>
                <w:szCs w:val="24"/>
                <w:lang w:val="en-GB"/>
              </w:rPr>
            </w:pPr>
            <w:r w:rsidRPr="0061355E">
              <w:rPr>
                <w:szCs w:val="24"/>
                <w:lang w:val="en-GB"/>
              </w:rPr>
              <w:t>-0.23</w:t>
            </w:r>
          </w:p>
        </w:tc>
        <w:tc>
          <w:tcPr>
            <w:tcW w:w="0" w:type="auto"/>
          </w:tcPr>
          <w:p w14:paraId="4E71A194" w14:textId="77777777" w:rsidR="001F05F2" w:rsidRPr="0061355E" w:rsidRDefault="001F05F2" w:rsidP="00B701A3">
            <w:pPr>
              <w:spacing w:after="100" w:afterAutospacing="1" w:line="240" w:lineRule="auto"/>
              <w:contextualSpacing/>
              <w:rPr>
                <w:szCs w:val="24"/>
                <w:lang w:val="en-GB"/>
              </w:rPr>
            </w:pPr>
          </w:p>
        </w:tc>
        <w:tc>
          <w:tcPr>
            <w:tcW w:w="0" w:type="auto"/>
          </w:tcPr>
          <w:p w14:paraId="785093F6" w14:textId="77777777" w:rsidR="001F05F2" w:rsidRPr="0061355E" w:rsidRDefault="001F05F2" w:rsidP="00B701A3">
            <w:pPr>
              <w:spacing w:after="100" w:afterAutospacing="1" w:line="240" w:lineRule="auto"/>
              <w:contextualSpacing/>
              <w:rPr>
                <w:szCs w:val="24"/>
                <w:lang w:val="en-GB"/>
              </w:rPr>
            </w:pPr>
            <w:r w:rsidRPr="0061355E">
              <w:rPr>
                <w:szCs w:val="24"/>
                <w:lang w:val="en-GB"/>
              </w:rPr>
              <w:t>5.26 (0.55)</w:t>
            </w:r>
            <w:r w:rsidRPr="0061355E">
              <w:rPr>
                <w:szCs w:val="24"/>
                <w:vertAlign w:val="superscript"/>
                <w:lang w:val="en-GB"/>
              </w:rPr>
              <w:t xml:space="preserve"> b</w:t>
            </w:r>
          </w:p>
        </w:tc>
        <w:tc>
          <w:tcPr>
            <w:tcW w:w="0" w:type="auto"/>
          </w:tcPr>
          <w:p w14:paraId="46494578"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 xml:space="preserve"> 0.89</w:t>
            </w:r>
          </w:p>
        </w:tc>
        <w:tc>
          <w:tcPr>
            <w:tcW w:w="0" w:type="auto"/>
          </w:tcPr>
          <w:p w14:paraId="03FAE53D" w14:textId="77777777" w:rsidR="001F05F2" w:rsidRPr="0061355E" w:rsidRDefault="001F05F2" w:rsidP="00B701A3">
            <w:pPr>
              <w:spacing w:after="100" w:afterAutospacing="1" w:line="240" w:lineRule="auto"/>
              <w:contextualSpacing/>
              <w:rPr>
                <w:szCs w:val="24"/>
                <w:lang w:val="en-GB"/>
              </w:rPr>
            </w:pPr>
          </w:p>
        </w:tc>
        <w:tc>
          <w:tcPr>
            <w:tcW w:w="0" w:type="auto"/>
          </w:tcPr>
          <w:p w14:paraId="4B390411" w14:textId="77777777" w:rsidR="001F05F2" w:rsidRPr="0061355E" w:rsidRDefault="001F05F2" w:rsidP="00B701A3">
            <w:pPr>
              <w:spacing w:after="100" w:afterAutospacing="1" w:line="240" w:lineRule="auto"/>
              <w:contextualSpacing/>
              <w:rPr>
                <w:szCs w:val="24"/>
                <w:lang w:val="en-GB"/>
              </w:rPr>
            </w:pPr>
            <w:r w:rsidRPr="0061355E">
              <w:rPr>
                <w:szCs w:val="24"/>
                <w:lang w:val="en-GB"/>
              </w:rPr>
              <w:t>3.35 (0.64)</w:t>
            </w:r>
            <w:r w:rsidRPr="0061355E">
              <w:rPr>
                <w:szCs w:val="24"/>
                <w:vertAlign w:val="superscript"/>
                <w:lang w:val="en-GB"/>
              </w:rPr>
              <w:t xml:space="preserve"> c</w:t>
            </w:r>
          </w:p>
        </w:tc>
        <w:tc>
          <w:tcPr>
            <w:tcW w:w="0" w:type="auto"/>
          </w:tcPr>
          <w:p w14:paraId="655DCEC6" w14:textId="77777777" w:rsidR="001F05F2" w:rsidRPr="0061355E" w:rsidRDefault="001F05F2" w:rsidP="00B701A3">
            <w:pPr>
              <w:spacing w:after="100" w:afterAutospacing="1" w:line="240" w:lineRule="auto"/>
              <w:contextualSpacing/>
              <w:rPr>
                <w:szCs w:val="24"/>
                <w:lang w:val="en-GB"/>
              </w:rPr>
            </w:pPr>
            <w:r w:rsidRPr="0061355E">
              <w:rPr>
                <w:szCs w:val="24"/>
                <w:lang w:val="en-GB"/>
              </w:rPr>
              <w:t>-1.18</w:t>
            </w:r>
          </w:p>
        </w:tc>
        <w:tc>
          <w:tcPr>
            <w:tcW w:w="0" w:type="auto"/>
          </w:tcPr>
          <w:p w14:paraId="5AD27086"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5633A26A"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135.10**</w:t>
            </w:r>
          </w:p>
        </w:tc>
        <w:tc>
          <w:tcPr>
            <w:tcW w:w="0" w:type="auto"/>
          </w:tcPr>
          <w:p w14:paraId="15EA9F44"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0.52</w:t>
            </w:r>
          </w:p>
        </w:tc>
      </w:tr>
      <w:tr w:rsidR="0004303A" w:rsidRPr="0061355E" w14:paraId="64C8301E" w14:textId="77777777" w:rsidTr="00B701A3">
        <w:tc>
          <w:tcPr>
            <w:tcW w:w="0" w:type="auto"/>
          </w:tcPr>
          <w:p w14:paraId="682686BD" w14:textId="77777777" w:rsidR="001F05F2" w:rsidRPr="0061355E" w:rsidRDefault="001F05F2" w:rsidP="00B701A3">
            <w:pPr>
              <w:autoSpaceDE w:val="0"/>
              <w:autoSpaceDN w:val="0"/>
              <w:adjustRightInd w:val="0"/>
              <w:spacing w:after="100" w:afterAutospacing="1" w:line="240" w:lineRule="auto"/>
              <w:contextualSpacing/>
              <w:rPr>
                <w:rFonts w:eastAsiaTheme="minorEastAsia"/>
                <w:i/>
                <w:szCs w:val="24"/>
                <w:lang w:val="en-GB" w:eastAsia="zh-CN"/>
              </w:rPr>
            </w:pPr>
            <w:r w:rsidRPr="0061355E">
              <w:rPr>
                <w:rFonts w:eastAsiaTheme="minorEastAsia"/>
                <w:i/>
                <w:szCs w:val="24"/>
                <w:lang w:val="en-GB" w:eastAsia="zh-CN"/>
              </w:rPr>
              <w:t>Outcomes</w:t>
            </w:r>
          </w:p>
        </w:tc>
        <w:tc>
          <w:tcPr>
            <w:tcW w:w="0" w:type="auto"/>
          </w:tcPr>
          <w:p w14:paraId="290BFB78" w14:textId="77777777" w:rsidR="001F05F2" w:rsidRPr="0061355E" w:rsidRDefault="001F05F2" w:rsidP="00B701A3">
            <w:pPr>
              <w:spacing w:after="100" w:afterAutospacing="1" w:line="240" w:lineRule="auto"/>
              <w:contextualSpacing/>
              <w:rPr>
                <w:i/>
                <w:szCs w:val="24"/>
                <w:lang w:val="en-GB"/>
              </w:rPr>
            </w:pPr>
          </w:p>
        </w:tc>
        <w:tc>
          <w:tcPr>
            <w:tcW w:w="0" w:type="auto"/>
          </w:tcPr>
          <w:p w14:paraId="4BBAF945" w14:textId="77777777" w:rsidR="001F05F2" w:rsidRPr="0061355E" w:rsidRDefault="001F05F2" w:rsidP="00B701A3">
            <w:pPr>
              <w:spacing w:after="100" w:afterAutospacing="1" w:line="240" w:lineRule="auto"/>
              <w:contextualSpacing/>
              <w:rPr>
                <w:szCs w:val="24"/>
                <w:lang w:val="en-GB"/>
              </w:rPr>
            </w:pPr>
          </w:p>
        </w:tc>
        <w:tc>
          <w:tcPr>
            <w:tcW w:w="0" w:type="auto"/>
          </w:tcPr>
          <w:p w14:paraId="5EF99B44" w14:textId="77777777" w:rsidR="001F05F2" w:rsidRPr="0061355E" w:rsidRDefault="001F05F2" w:rsidP="00B701A3">
            <w:pPr>
              <w:spacing w:after="100" w:afterAutospacing="1" w:line="240" w:lineRule="auto"/>
              <w:contextualSpacing/>
              <w:rPr>
                <w:szCs w:val="24"/>
                <w:lang w:val="en-GB"/>
              </w:rPr>
            </w:pPr>
          </w:p>
        </w:tc>
        <w:tc>
          <w:tcPr>
            <w:tcW w:w="0" w:type="auto"/>
          </w:tcPr>
          <w:p w14:paraId="28C65952" w14:textId="77777777" w:rsidR="001F05F2" w:rsidRPr="0061355E" w:rsidRDefault="001F05F2" w:rsidP="00B701A3">
            <w:pPr>
              <w:spacing w:after="100" w:afterAutospacing="1" w:line="240" w:lineRule="auto"/>
              <w:contextualSpacing/>
              <w:rPr>
                <w:szCs w:val="24"/>
                <w:lang w:val="en-GB"/>
              </w:rPr>
            </w:pPr>
          </w:p>
        </w:tc>
        <w:tc>
          <w:tcPr>
            <w:tcW w:w="0" w:type="auto"/>
          </w:tcPr>
          <w:p w14:paraId="5C5D5B8E" w14:textId="77777777" w:rsidR="001F05F2" w:rsidRPr="0061355E" w:rsidRDefault="001F05F2" w:rsidP="00B701A3">
            <w:pPr>
              <w:spacing w:after="100" w:afterAutospacing="1" w:line="240" w:lineRule="auto"/>
              <w:contextualSpacing/>
              <w:jc w:val="center"/>
              <w:rPr>
                <w:szCs w:val="24"/>
                <w:lang w:val="en-GB"/>
              </w:rPr>
            </w:pPr>
          </w:p>
        </w:tc>
        <w:tc>
          <w:tcPr>
            <w:tcW w:w="0" w:type="auto"/>
          </w:tcPr>
          <w:p w14:paraId="048E3C58" w14:textId="77777777" w:rsidR="001F05F2" w:rsidRPr="0061355E" w:rsidRDefault="001F05F2" w:rsidP="00B701A3">
            <w:pPr>
              <w:spacing w:after="100" w:afterAutospacing="1" w:line="240" w:lineRule="auto"/>
              <w:contextualSpacing/>
              <w:jc w:val="center"/>
              <w:rPr>
                <w:szCs w:val="24"/>
                <w:lang w:val="en-GB"/>
              </w:rPr>
            </w:pPr>
          </w:p>
        </w:tc>
        <w:tc>
          <w:tcPr>
            <w:tcW w:w="0" w:type="auto"/>
          </w:tcPr>
          <w:p w14:paraId="5FADA2B4" w14:textId="77777777" w:rsidR="001F05F2" w:rsidRPr="0061355E" w:rsidRDefault="001F05F2" w:rsidP="00B701A3">
            <w:pPr>
              <w:spacing w:after="100" w:afterAutospacing="1" w:line="240" w:lineRule="auto"/>
              <w:contextualSpacing/>
              <w:rPr>
                <w:szCs w:val="24"/>
                <w:lang w:val="en-GB"/>
              </w:rPr>
            </w:pPr>
          </w:p>
        </w:tc>
        <w:tc>
          <w:tcPr>
            <w:tcW w:w="0" w:type="auto"/>
          </w:tcPr>
          <w:p w14:paraId="2347D013" w14:textId="77777777" w:rsidR="001F05F2" w:rsidRPr="0061355E" w:rsidRDefault="001F05F2" w:rsidP="00B701A3">
            <w:pPr>
              <w:spacing w:after="100" w:afterAutospacing="1" w:line="240" w:lineRule="auto"/>
              <w:contextualSpacing/>
              <w:rPr>
                <w:szCs w:val="24"/>
                <w:lang w:val="en-GB"/>
              </w:rPr>
            </w:pPr>
          </w:p>
        </w:tc>
        <w:tc>
          <w:tcPr>
            <w:tcW w:w="0" w:type="auto"/>
          </w:tcPr>
          <w:p w14:paraId="150625F9" w14:textId="77777777" w:rsidR="001F05F2" w:rsidRPr="0061355E" w:rsidRDefault="001F05F2" w:rsidP="00B701A3">
            <w:pPr>
              <w:spacing w:after="100" w:afterAutospacing="1" w:line="240" w:lineRule="auto"/>
              <w:contextualSpacing/>
              <w:rPr>
                <w:szCs w:val="24"/>
                <w:lang w:val="en-GB"/>
              </w:rPr>
            </w:pPr>
          </w:p>
        </w:tc>
        <w:tc>
          <w:tcPr>
            <w:tcW w:w="0" w:type="auto"/>
          </w:tcPr>
          <w:p w14:paraId="27EB765C"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0F28640B"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1B92AB74"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r>
      <w:tr w:rsidR="0004303A" w:rsidRPr="0061355E" w14:paraId="7B9D3300" w14:textId="77777777" w:rsidTr="00B701A3">
        <w:tc>
          <w:tcPr>
            <w:tcW w:w="0" w:type="auto"/>
          </w:tcPr>
          <w:p w14:paraId="6EEAEAD4"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GAD</w:t>
            </w:r>
          </w:p>
        </w:tc>
        <w:tc>
          <w:tcPr>
            <w:tcW w:w="0" w:type="auto"/>
          </w:tcPr>
          <w:p w14:paraId="453FB17D" w14:textId="77777777" w:rsidR="001F05F2" w:rsidRPr="0061355E" w:rsidRDefault="001F05F2" w:rsidP="00B701A3">
            <w:pPr>
              <w:spacing w:after="100" w:afterAutospacing="1" w:line="240" w:lineRule="auto"/>
              <w:contextualSpacing/>
              <w:rPr>
                <w:i/>
                <w:szCs w:val="24"/>
                <w:lang w:val="en-GB"/>
              </w:rPr>
            </w:pPr>
          </w:p>
        </w:tc>
        <w:tc>
          <w:tcPr>
            <w:tcW w:w="0" w:type="auto"/>
          </w:tcPr>
          <w:p w14:paraId="3788E699" w14:textId="77777777" w:rsidR="001F05F2" w:rsidRPr="0061355E" w:rsidRDefault="001F05F2" w:rsidP="00B701A3">
            <w:pPr>
              <w:spacing w:after="100" w:afterAutospacing="1" w:line="240" w:lineRule="auto"/>
              <w:contextualSpacing/>
              <w:rPr>
                <w:szCs w:val="24"/>
                <w:lang w:val="en-GB"/>
              </w:rPr>
            </w:pPr>
            <w:r w:rsidRPr="0061355E">
              <w:rPr>
                <w:szCs w:val="24"/>
                <w:lang w:val="en-GB"/>
              </w:rPr>
              <w:t>6.07 (4.56)</w:t>
            </w:r>
            <w:r w:rsidRPr="0061355E">
              <w:rPr>
                <w:szCs w:val="24"/>
                <w:vertAlign w:val="superscript"/>
                <w:lang w:val="en-GB"/>
              </w:rPr>
              <w:t xml:space="preserve"> a</w:t>
            </w:r>
          </w:p>
        </w:tc>
        <w:tc>
          <w:tcPr>
            <w:tcW w:w="0" w:type="auto"/>
          </w:tcPr>
          <w:p w14:paraId="1A033B6C" w14:textId="77777777" w:rsidR="001F05F2" w:rsidRPr="0061355E" w:rsidRDefault="001F05F2" w:rsidP="00B701A3">
            <w:pPr>
              <w:spacing w:after="100" w:afterAutospacing="1" w:line="240" w:lineRule="auto"/>
              <w:contextualSpacing/>
              <w:rPr>
                <w:szCs w:val="24"/>
                <w:lang w:val="en-GB"/>
              </w:rPr>
            </w:pPr>
            <w:r w:rsidRPr="0061355E">
              <w:rPr>
                <w:szCs w:val="24"/>
                <w:lang w:val="en-GB"/>
              </w:rPr>
              <w:t xml:space="preserve"> 0.12</w:t>
            </w:r>
          </w:p>
        </w:tc>
        <w:tc>
          <w:tcPr>
            <w:tcW w:w="0" w:type="auto"/>
          </w:tcPr>
          <w:p w14:paraId="090B6EC9" w14:textId="77777777" w:rsidR="001F05F2" w:rsidRPr="0061355E" w:rsidRDefault="001F05F2" w:rsidP="00B701A3">
            <w:pPr>
              <w:spacing w:after="100" w:afterAutospacing="1" w:line="240" w:lineRule="auto"/>
              <w:contextualSpacing/>
              <w:rPr>
                <w:szCs w:val="24"/>
                <w:lang w:val="en-GB"/>
              </w:rPr>
            </w:pPr>
          </w:p>
        </w:tc>
        <w:tc>
          <w:tcPr>
            <w:tcW w:w="0" w:type="auto"/>
          </w:tcPr>
          <w:p w14:paraId="16A5D29D" w14:textId="77777777" w:rsidR="001F05F2" w:rsidRPr="0061355E" w:rsidRDefault="001F05F2" w:rsidP="00B701A3">
            <w:pPr>
              <w:spacing w:after="100" w:afterAutospacing="1" w:line="240" w:lineRule="auto"/>
              <w:contextualSpacing/>
              <w:rPr>
                <w:szCs w:val="24"/>
                <w:lang w:val="en-GB"/>
              </w:rPr>
            </w:pPr>
            <w:r w:rsidRPr="0061355E">
              <w:rPr>
                <w:szCs w:val="24"/>
                <w:lang w:val="en-GB"/>
              </w:rPr>
              <w:t>3.76 (5.39)</w:t>
            </w:r>
            <w:r w:rsidRPr="0061355E">
              <w:rPr>
                <w:szCs w:val="24"/>
                <w:vertAlign w:val="superscript"/>
                <w:lang w:val="en-GB"/>
              </w:rPr>
              <w:t xml:space="preserve"> b</w:t>
            </w:r>
          </w:p>
        </w:tc>
        <w:tc>
          <w:tcPr>
            <w:tcW w:w="0" w:type="auto"/>
          </w:tcPr>
          <w:p w14:paraId="728D9059" w14:textId="77777777" w:rsidR="001F05F2" w:rsidRPr="0061355E" w:rsidRDefault="001F05F2" w:rsidP="00B701A3">
            <w:pPr>
              <w:spacing w:after="100" w:afterAutospacing="1" w:line="240" w:lineRule="auto"/>
              <w:contextualSpacing/>
              <w:rPr>
                <w:szCs w:val="24"/>
                <w:lang w:val="en-GB"/>
              </w:rPr>
            </w:pPr>
            <w:r w:rsidRPr="0061355E">
              <w:rPr>
                <w:szCs w:val="24"/>
                <w:lang w:val="en-GB"/>
              </w:rPr>
              <w:t>-0.33</w:t>
            </w:r>
          </w:p>
        </w:tc>
        <w:tc>
          <w:tcPr>
            <w:tcW w:w="0" w:type="auto"/>
          </w:tcPr>
          <w:p w14:paraId="3BE792D4" w14:textId="77777777" w:rsidR="001F05F2" w:rsidRPr="0061355E" w:rsidRDefault="001F05F2" w:rsidP="00B701A3">
            <w:pPr>
              <w:spacing w:after="100" w:afterAutospacing="1" w:line="240" w:lineRule="auto"/>
              <w:contextualSpacing/>
              <w:rPr>
                <w:szCs w:val="24"/>
                <w:lang w:val="en-GB"/>
              </w:rPr>
            </w:pPr>
          </w:p>
        </w:tc>
        <w:tc>
          <w:tcPr>
            <w:tcW w:w="0" w:type="auto"/>
          </w:tcPr>
          <w:p w14:paraId="3DF8A974" w14:textId="77777777" w:rsidR="001F05F2" w:rsidRPr="0061355E" w:rsidRDefault="001F05F2" w:rsidP="00B701A3">
            <w:pPr>
              <w:spacing w:after="100" w:afterAutospacing="1" w:line="240" w:lineRule="auto"/>
              <w:contextualSpacing/>
              <w:rPr>
                <w:szCs w:val="24"/>
                <w:lang w:val="en-GB"/>
              </w:rPr>
            </w:pPr>
            <w:r w:rsidRPr="0061355E">
              <w:rPr>
                <w:szCs w:val="24"/>
                <w:lang w:val="en-GB"/>
              </w:rPr>
              <w:t>7.20 (4.88)</w:t>
            </w:r>
            <w:r w:rsidRPr="0061355E">
              <w:rPr>
                <w:szCs w:val="24"/>
                <w:vertAlign w:val="superscript"/>
                <w:lang w:val="en-GB"/>
              </w:rPr>
              <w:t xml:space="preserve"> a</w:t>
            </w:r>
          </w:p>
        </w:tc>
        <w:tc>
          <w:tcPr>
            <w:tcW w:w="0" w:type="auto"/>
          </w:tcPr>
          <w:p w14:paraId="0789AA33" w14:textId="77777777" w:rsidR="001F05F2" w:rsidRPr="0061355E" w:rsidRDefault="001F05F2" w:rsidP="00B701A3">
            <w:pPr>
              <w:spacing w:after="100" w:afterAutospacing="1" w:line="240" w:lineRule="auto"/>
              <w:contextualSpacing/>
              <w:rPr>
                <w:szCs w:val="24"/>
                <w:lang w:val="en-GB"/>
              </w:rPr>
            </w:pPr>
            <w:r w:rsidRPr="0061355E">
              <w:rPr>
                <w:szCs w:val="24"/>
                <w:lang w:val="en-GB"/>
              </w:rPr>
              <w:t xml:space="preserve"> 0.34</w:t>
            </w:r>
          </w:p>
        </w:tc>
        <w:tc>
          <w:tcPr>
            <w:tcW w:w="0" w:type="auto"/>
          </w:tcPr>
          <w:p w14:paraId="47531EF3"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5AD72180"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8.51**</w:t>
            </w:r>
          </w:p>
        </w:tc>
        <w:tc>
          <w:tcPr>
            <w:tcW w:w="0" w:type="auto"/>
          </w:tcPr>
          <w:p w14:paraId="0A2D0172"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0.07</w:t>
            </w:r>
          </w:p>
        </w:tc>
      </w:tr>
      <w:tr w:rsidR="0004303A" w:rsidRPr="0061355E" w14:paraId="77C6D9B3" w14:textId="77777777" w:rsidTr="00B701A3">
        <w:tc>
          <w:tcPr>
            <w:tcW w:w="0" w:type="auto"/>
          </w:tcPr>
          <w:p w14:paraId="58BA76DE"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Depression</w:t>
            </w:r>
          </w:p>
        </w:tc>
        <w:tc>
          <w:tcPr>
            <w:tcW w:w="0" w:type="auto"/>
          </w:tcPr>
          <w:p w14:paraId="046F03D6" w14:textId="77777777" w:rsidR="001F05F2" w:rsidRPr="0061355E" w:rsidRDefault="001F05F2" w:rsidP="00B701A3">
            <w:pPr>
              <w:spacing w:after="100" w:afterAutospacing="1" w:line="240" w:lineRule="auto"/>
              <w:contextualSpacing/>
              <w:rPr>
                <w:i/>
                <w:szCs w:val="24"/>
                <w:lang w:val="en-GB"/>
              </w:rPr>
            </w:pPr>
          </w:p>
        </w:tc>
        <w:tc>
          <w:tcPr>
            <w:tcW w:w="0" w:type="auto"/>
          </w:tcPr>
          <w:p w14:paraId="31F2CC69" w14:textId="77777777" w:rsidR="001F05F2" w:rsidRPr="0061355E" w:rsidRDefault="001F05F2" w:rsidP="00B701A3">
            <w:pPr>
              <w:spacing w:after="100" w:afterAutospacing="1" w:line="240" w:lineRule="auto"/>
              <w:contextualSpacing/>
              <w:rPr>
                <w:szCs w:val="24"/>
                <w:lang w:val="en-GB"/>
              </w:rPr>
            </w:pPr>
            <w:r w:rsidRPr="0061355E">
              <w:rPr>
                <w:szCs w:val="24"/>
                <w:lang w:val="en-GB"/>
              </w:rPr>
              <w:t>1.52 (1.71)</w:t>
            </w:r>
            <w:r w:rsidRPr="0061355E">
              <w:rPr>
                <w:szCs w:val="24"/>
                <w:vertAlign w:val="superscript"/>
                <w:lang w:val="en-GB"/>
              </w:rPr>
              <w:t xml:space="preserve"> a</w:t>
            </w:r>
          </w:p>
        </w:tc>
        <w:tc>
          <w:tcPr>
            <w:tcW w:w="0" w:type="auto"/>
          </w:tcPr>
          <w:p w14:paraId="4A989D4E" w14:textId="77777777" w:rsidR="001F05F2" w:rsidRPr="0061355E" w:rsidRDefault="001F05F2" w:rsidP="00B701A3">
            <w:pPr>
              <w:spacing w:after="100" w:afterAutospacing="1" w:line="240" w:lineRule="auto"/>
              <w:contextualSpacing/>
              <w:rPr>
                <w:szCs w:val="24"/>
                <w:lang w:val="en-GB"/>
              </w:rPr>
            </w:pPr>
            <w:r w:rsidRPr="0061355E">
              <w:rPr>
                <w:szCs w:val="24"/>
                <w:lang w:val="en-GB"/>
              </w:rPr>
              <w:t xml:space="preserve"> 0.10</w:t>
            </w:r>
          </w:p>
        </w:tc>
        <w:tc>
          <w:tcPr>
            <w:tcW w:w="0" w:type="auto"/>
          </w:tcPr>
          <w:p w14:paraId="5BD785E9" w14:textId="77777777" w:rsidR="001F05F2" w:rsidRPr="0061355E" w:rsidRDefault="001F05F2" w:rsidP="00B701A3">
            <w:pPr>
              <w:spacing w:after="100" w:afterAutospacing="1" w:line="240" w:lineRule="auto"/>
              <w:contextualSpacing/>
              <w:rPr>
                <w:szCs w:val="24"/>
                <w:lang w:val="en-GB"/>
              </w:rPr>
            </w:pPr>
          </w:p>
        </w:tc>
        <w:tc>
          <w:tcPr>
            <w:tcW w:w="0" w:type="auto"/>
          </w:tcPr>
          <w:p w14:paraId="76392DE8" w14:textId="77777777" w:rsidR="001F05F2" w:rsidRPr="0061355E" w:rsidRDefault="001F05F2" w:rsidP="00B701A3">
            <w:pPr>
              <w:spacing w:after="100" w:afterAutospacing="1" w:line="240" w:lineRule="auto"/>
              <w:contextualSpacing/>
              <w:rPr>
                <w:szCs w:val="24"/>
                <w:lang w:val="en-GB"/>
              </w:rPr>
            </w:pPr>
            <w:r w:rsidRPr="0061355E">
              <w:rPr>
                <w:szCs w:val="24"/>
                <w:lang w:val="en-GB"/>
              </w:rPr>
              <w:t>0.79 (1.48)</w:t>
            </w:r>
            <w:r w:rsidRPr="0061355E">
              <w:rPr>
                <w:szCs w:val="24"/>
                <w:vertAlign w:val="superscript"/>
                <w:lang w:val="en-GB"/>
              </w:rPr>
              <w:t xml:space="preserve"> b</w:t>
            </w:r>
          </w:p>
        </w:tc>
        <w:tc>
          <w:tcPr>
            <w:tcW w:w="0" w:type="auto"/>
          </w:tcPr>
          <w:p w14:paraId="0AA31D90" w14:textId="77777777" w:rsidR="001F05F2" w:rsidRPr="0061355E" w:rsidRDefault="001F05F2" w:rsidP="00B701A3">
            <w:pPr>
              <w:spacing w:after="100" w:afterAutospacing="1" w:line="240" w:lineRule="auto"/>
              <w:contextualSpacing/>
              <w:rPr>
                <w:szCs w:val="24"/>
                <w:lang w:val="en-GB"/>
              </w:rPr>
            </w:pPr>
            <w:r w:rsidRPr="0061355E">
              <w:rPr>
                <w:szCs w:val="24"/>
                <w:lang w:val="en-GB"/>
              </w:rPr>
              <w:t>-0.34</w:t>
            </w:r>
          </w:p>
        </w:tc>
        <w:tc>
          <w:tcPr>
            <w:tcW w:w="0" w:type="auto"/>
          </w:tcPr>
          <w:p w14:paraId="2EB1CF97" w14:textId="77777777" w:rsidR="001F05F2" w:rsidRPr="0061355E" w:rsidRDefault="001F05F2" w:rsidP="00B701A3">
            <w:pPr>
              <w:spacing w:after="100" w:afterAutospacing="1" w:line="240" w:lineRule="auto"/>
              <w:contextualSpacing/>
              <w:rPr>
                <w:szCs w:val="24"/>
                <w:lang w:val="en-GB"/>
              </w:rPr>
            </w:pPr>
          </w:p>
        </w:tc>
        <w:tc>
          <w:tcPr>
            <w:tcW w:w="0" w:type="auto"/>
          </w:tcPr>
          <w:p w14:paraId="7675A91F" w14:textId="77777777" w:rsidR="001F05F2" w:rsidRPr="0061355E" w:rsidRDefault="001F05F2" w:rsidP="00B701A3">
            <w:pPr>
              <w:spacing w:after="100" w:afterAutospacing="1" w:line="240" w:lineRule="auto"/>
              <w:contextualSpacing/>
              <w:rPr>
                <w:szCs w:val="24"/>
                <w:lang w:val="en-GB"/>
              </w:rPr>
            </w:pPr>
            <w:r w:rsidRPr="0061355E">
              <w:rPr>
                <w:szCs w:val="24"/>
                <w:lang w:val="en-GB"/>
              </w:rPr>
              <w:t>2.08 (1.62)</w:t>
            </w:r>
            <w:r w:rsidRPr="0061355E">
              <w:rPr>
                <w:szCs w:val="24"/>
                <w:vertAlign w:val="superscript"/>
                <w:lang w:val="en-GB"/>
              </w:rPr>
              <w:t xml:space="preserve"> a</w:t>
            </w:r>
          </w:p>
        </w:tc>
        <w:tc>
          <w:tcPr>
            <w:tcW w:w="0" w:type="auto"/>
          </w:tcPr>
          <w:p w14:paraId="1AE5FF3A" w14:textId="77777777" w:rsidR="001F05F2" w:rsidRPr="0061355E" w:rsidRDefault="001F05F2" w:rsidP="00B701A3">
            <w:pPr>
              <w:spacing w:after="100" w:afterAutospacing="1" w:line="240" w:lineRule="auto"/>
              <w:contextualSpacing/>
              <w:rPr>
                <w:szCs w:val="24"/>
                <w:lang w:val="en-GB"/>
              </w:rPr>
            </w:pPr>
            <w:r w:rsidRPr="0061355E">
              <w:rPr>
                <w:szCs w:val="24"/>
                <w:lang w:val="en-GB"/>
              </w:rPr>
              <w:t xml:space="preserve"> 0.42</w:t>
            </w:r>
          </w:p>
        </w:tc>
        <w:tc>
          <w:tcPr>
            <w:tcW w:w="0" w:type="auto"/>
          </w:tcPr>
          <w:p w14:paraId="047D1C61"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4EB67394"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9.81**</w:t>
            </w:r>
          </w:p>
        </w:tc>
        <w:tc>
          <w:tcPr>
            <w:tcW w:w="0" w:type="auto"/>
          </w:tcPr>
          <w:p w14:paraId="487CD366"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0.07</w:t>
            </w:r>
          </w:p>
        </w:tc>
      </w:tr>
      <w:tr w:rsidR="0004303A" w:rsidRPr="0061355E" w14:paraId="011CE012" w14:textId="77777777" w:rsidTr="00B701A3">
        <w:tc>
          <w:tcPr>
            <w:tcW w:w="0" w:type="auto"/>
          </w:tcPr>
          <w:p w14:paraId="229AAC94"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Athlete burnout</w:t>
            </w:r>
          </w:p>
        </w:tc>
        <w:tc>
          <w:tcPr>
            <w:tcW w:w="0" w:type="auto"/>
          </w:tcPr>
          <w:p w14:paraId="22DB69AE" w14:textId="77777777" w:rsidR="001F05F2" w:rsidRPr="0061355E" w:rsidRDefault="001F05F2" w:rsidP="00B701A3">
            <w:pPr>
              <w:spacing w:after="100" w:afterAutospacing="1" w:line="240" w:lineRule="auto"/>
              <w:contextualSpacing/>
              <w:rPr>
                <w:i/>
                <w:szCs w:val="24"/>
                <w:lang w:val="en-GB"/>
              </w:rPr>
            </w:pPr>
          </w:p>
        </w:tc>
        <w:tc>
          <w:tcPr>
            <w:tcW w:w="0" w:type="auto"/>
          </w:tcPr>
          <w:p w14:paraId="56720FBA" w14:textId="77777777" w:rsidR="001F05F2" w:rsidRPr="0061355E" w:rsidRDefault="001F05F2" w:rsidP="00B701A3">
            <w:pPr>
              <w:spacing w:after="100" w:afterAutospacing="1" w:line="240" w:lineRule="auto"/>
              <w:contextualSpacing/>
              <w:rPr>
                <w:szCs w:val="24"/>
                <w:lang w:val="en-GB"/>
              </w:rPr>
            </w:pPr>
            <w:r w:rsidRPr="0061355E">
              <w:rPr>
                <w:szCs w:val="24"/>
                <w:lang w:val="en-GB"/>
              </w:rPr>
              <w:t>2.61 (0.88)</w:t>
            </w:r>
            <w:r w:rsidRPr="0061355E">
              <w:rPr>
                <w:szCs w:val="24"/>
                <w:vertAlign w:val="superscript"/>
                <w:lang w:val="en-GB"/>
              </w:rPr>
              <w:t xml:space="preserve"> a</w:t>
            </w:r>
          </w:p>
        </w:tc>
        <w:tc>
          <w:tcPr>
            <w:tcW w:w="0" w:type="auto"/>
          </w:tcPr>
          <w:p w14:paraId="70D23267" w14:textId="77777777" w:rsidR="001F05F2" w:rsidRPr="0061355E" w:rsidRDefault="001F05F2" w:rsidP="00B701A3">
            <w:pPr>
              <w:spacing w:after="100" w:afterAutospacing="1" w:line="240" w:lineRule="auto"/>
              <w:contextualSpacing/>
              <w:rPr>
                <w:szCs w:val="24"/>
                <w:lang w:val="en-GB"/>
              </w:rPr>
            </w:pPr>
            <w:r w:rsidRPr="0061355E">
              <w:rPr>
                <w:szCs w:val="24"/>
                <w:lang w:val="en-GB"/>
              </w:rPr>
              <w:t xml:space="preserve"> 0.06</w:t>
            </w:r>
          </w:p>
        </w:tc>
        <w:tc>
          <w:tcPr>
            <w:tcW w:w="0" w:type="auto"/>
          </w:tcPr>
          <w:p w14:paraId="4AE47F78" w14:textId="77777777" w:rsidR="001F05F2" w:rsidRPr="0061355E" w:rsidRDefault="001F05F2" w:rsidP="00B701A3">
            <w:pPr>
              <w:spacing w:after="100" w:afterAutospacing="1" w:line="240" w:lineRule="auto"/>
              <w:contextualSpacing/>
              <w:rPr>
                <w:szCs w:val="24"/>
                <w:lang w:val="en-GB"/>
              </w:rPr>
            </w:pPr>
          </w:p>
        </w:tc>
        <w:tc>
          <w:tcPr>
            <w:tcW w:w="0" w:type="auto"/>
          </w:tcPr>
          <w:p w14:paraId="3AFB07B8" w14:textId="77777777" w:rsidR="001F05F2" w:rsidRPr="0061355E" w:rsidRDefault="001F05F2" w:rsidP="00B701A3">
            <w:pPr>
              <w:spacing w:after="100" w:afterAutospacing="1" w:line="240" w:lineRule="auto"/>
              <w:contextualSpacing/>
              <w:rPr>
                <w:szCs w:val="24"/>
                <w:lang w:val="en-GB"/>
              </w:rPr>
            </w:pPr>
            <w:r w:rsidRPr="0061355E">
              <w:rPr>
                <w:szCs w:val="24"/>
                <w:lang w:val="en-GB"/>
              </w:rPr>
              <w:t>2.23 (0.92)</w:t>
            </w:r>
            <w:r w:rsidRPr="0061355E">
              <w:rPr>
                <w:szCs w:val="24"/>
                <w:vertAlign w:val="superscript"/>
                <w:lang w:val="en-GB"/>
              </w:rPr>
              <w:t xml:space="preserve"> b</w:t>
            </w:r>
          </w:p>
        </w:tc>
        <w:tc>
          <w:tcPr>
            <w:tcW w:w="0" w:type="auto"/>
          </w:tcPr>
          <w:p w14:paraId="4B63F19D" w14:textId="77777777" w:rsidR="001F05F2" w:rsidRPr="0061355E" w:rsidRDefault="001F05F2" w:rsidP="00B701A3">
            <w:pPr>
              <w:spacing w:after="100" w:afterAutospacing="1" w:line="240" w:lineRule="auto"/>
              <w:contextualSpacing/>
              <w:rPr>
                <w:szCs w:val="24"/>
                <w:lang w:val="en-GB"/>
              </w:rPr>
            </w:pPr>
            <w:r w:rsidRPr="0061355E">
              <w:rPr>
                <w:szCs w:val="24"/>
                <w:lang w:val="en-GB"/>
              </w:rPr>
              <w:t>-0.35</w:t>
            </w:r>
          </w:p>
        </w:tc>
        <w:tc>
          <w:tcPr>
            <w:tcW w:w="0" w:type="auto"/>
          </w:tcPr>
          <w:p w14:paraId="5438F0B8" w14:textId="77777777" w:rsidR="001F05F2" w:rsidRPr="0061355E" w:rsidRDefault="001F05F2" w:rsidP="00B701A3">
            <w:pPr>
              <w:spacing w:after="100" w:afterAutospacing="1" w:line="240" w:lineRule="auto"/>
              <w:contextualSpacing/>
              <w:rPr>
                <w:szCs w:val="24"/>
                <w:lang w:val="en-GB"/>
              </w:rPr>
            </w:pPr>
          </w:p>
        </w:tc>
        <w:tc>
          <w:tcPr>
            <w:tcW w:w="0" w:type="auto"/>
          </w:tcPr>
          <w:p w14:paraId="2777B722" w14:textId="77777777" w:rsidR="001F05F2" w:rsidRPr="0061355E" w:rsidRDefault="001F05F2" w:rsidP="00B701A3">
            <w:pPr>
              <w:spacing w:after="100" w:afterAutospacing="1" w:line="240" w:lineRule="auto"/>
              <w:contextualSpacing/>
              <w:rPr>
                <w:szCs w:val="24"/>
                <w:lang w:val="en-GB"/>
              </w:rPr>
            </w:pPr>
            <w:r w:rsidRPr="0061355E">
              <w:rPr>
                <w:szCs w:val="24"/>
                <w:lang w:val="en-GB"/>
              </w:rPr>
              <w:t>3.09 (0.98)</w:t>
            </w:r>
            <w:r w:rsidRPr="0061355E">
              <w:rPr>
                <w:szCs w:val="24"/>
                <w:vertAlign w:val="superscript"/>
                <w:lang w:val="en-GB"/>
              </w:rPr>
              <w:t xml:space="preserve"> c</w:t>
            </w:r>
          </w:p>
        </w:tc>
        <w:tc>
          <w:tcPr>
            <w:tcW w:w="0" w:type="auto"/>
          </w:tcPr>
          <w:p w14:paraId="36B96998" w14:textId="77777777" w:rsidR="001F05F2" w:rsidRPr="0061355E" w:rsidRDefault="001F05F2" w:rsidP="00B701A3">
            <w:pPr>
              <w:spacing w:after="100" w:afterAutospacing="1" w:line="240" w:lineRule="auto"/>
              <w:contextualSpacing/>
              <w:rPr>
                <w:szCs w:val="24"/>
                <w:lang w:val="en-GB"/>
              </w:rPr>
            </w:pPr>
            <w:r w:rsidRPr="0061355E">
              <w:rPr>
                <w:szCs w:val="24"/>
                <w:lang w:val="en-GB"/>
              </w:rPr>
              <w:t xml:space="preserve"> 0.55</w:t>
            </w:r>
          </w:p>
        </w:tc>
        <w:tc>
          <w:tcPr>
            <w:tcW w:w="0" w:type="auto"/>
          </w:tcPr>
          <w:p w14:paraId="0214C8AF"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p>
        </w:tc>
        <w:tc>
          <w:tcPr>
            <w:tcW w:w="0" w:type="auto"/>
          </w:tcPr>
          <w:p w14:paraId="72639A98"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12.54**</w:t>
            </w:r>
          </w:p>
        </w:tc>
        <w:tc>
          <w:tcPr>
            <w:tcW w:w="0" w:type="auto"/>
          </w:tcPr>
          <w:p w14:paraId="722E9BD3" w14:textId="77777777" w:rsidR="001F05F2" w:rsidRPr="0061355E" w:rsidRDefault="001F05F2" w:rsidP="00B701A3">
            <w:pPr>
              <w:autoSpaceDE w:val="0"/>
              <w:autoSpaceDN w:val="0"/>
              <w:adjustRightInd w:val="0"/>
              <w:spacing w:after="100" w:afterAutospacing="1" w:line="240" w:lineRule="auto"/>
              <w:contextualSpacing/>
              <w:rPr>
                <w:rFonts w:eastAsiaTheme="minorEastAsia"/>
                <w:szCs w:val="24"/>
                <w:lang w:val="en-GB" w:eastAsia="zh-CN"/>
              </w:rPr>
            </w:pPr>
            <w:r w:rsidRPr="0061355E">
              <w:rPr>
                <w:rFonts w:eastAsiaTheme="minorEastAsia"/>
                <w:szCs w:val="24"/>
                <w:lang w:val="en-GB" w:eastAsia="zh-CN"/>
              </w:rPr>
              <w:t>0.09</w:t>
            </w:r>
          </w:p>
        </w:tc>
      </w:tr>
    </w:tbl>
    <w:p w14:paraId="4BCCD41A" w14:textId="66B2677D" w:rsidR="00CB67B0" w:rsidRPr="0004303A" w:rsidRDefault="001F05F2" w:rsidP="002E7D96">
      <w:pPr>
        <w:autoSpaceDE w:val="0"/>
        <w:autoSpaceDN w:val="0"/>
        <w:adjustRightInd w:val="0"/>
        <w:spacing w:after="100" w:afterAutospacing="1" w:line="240" w:lineRule="auto"/>
        <w:contextualSpacing/>
        <w:rPr>
          <w:rFonts w:eastAsia="STIX-Regular"/>
          <w:szCs w:val="24"/>
          <w:lang w:val="en-GB" w:eastAsia="zh-CN"/>
        </w:rPr>
      </w:pPr>
      <w:r w:rsidRPr="0061355E">
        <w:rPr>
          <w:rFonts w:eastAsiaTheme="minorEastAsia"/>
          <w:szCs w:val="24"/>
          <w:lang w:val="en-GB" w:eastAsia="zh-CN"/>
        </w:rPr>
        <w:t xml:space="preserve">Note. TDE = talent development environment, </w:t>
      </w:r>
      <w:r w:rsidRPr="0061355E">
        <w:rPr>
          <w:szCs w:val="24"/>
          <w:lang w:val="en-GB"/>
        </w:rPr>
        <w:t>LTF = long-term development focus, AOE = alignment of expectations, COM = communication, HQP = holistic quality preparation, SN = support network, GAD = generali</w:t>
      </w:r>
      <w:r w:rsidR="00E84188" w:rsidRPr="0061355E">
        <w:rPr>
          <w:szCs w:val="24"/>
          <w:lang w:val="en-GB"/>
        </w:rPr>
        <w:t>s</w:t>
      </w:r>
      <w:r w:rsidRPr="0061355E">
        <w:rPr>
          <w:szCs w:val="24"/>
          <w:lang w:val="en-GB"/>
        </w:rPr>
        <w:t xml:space="preserve">ed anxiety disorder. </w:t>
      </w:r>
      <w:r w:rsidRPr="0061355E">
        <w:rPr>
          <w:rFonts w:eastAsia="STIX-Regular"/>
          <w:szCs w:val="24"/>
          <w:lang w:val="en-GB" w:eastAsia="zh-CN"/>
        </w:rPr>
        <w:t xml:space="preserve">Means in the same row that do not share subscripts differed at </w:t>
      </w:r>
      <w:r w:rsidRPr="0061355E">
        <w:rPr>
          <w:rFonts w:eastAsia="STIX-Italic"/>
          <w:i/>
          <w:iCs/>
          <w:szCs w:val="24"/>
          <w:lang w:val="en-GB" w:eastAsia="zh-CN"/>
        </w:rPr>
        <w:t xml:space="preserve">p </w:t>
      </w:r>
      <w:r w:rsidRPr="0061355E">
        <w:rPr>
          <w:rFonts w:eastAsia="STIX-Regular"/>
          <w:szCs w:val="24"/>
          <w:lang w:val="en-GB" w:eastAsia="zh-CN"/>
        </w:rPr>
        <w:t>&lt; 0.05 using Tukey’s honest significance difference (HSD) test. Partial eta-squared (η</w:t>
      </w:r>
      <w:r w:rsidRPr="0061355E">
        <w:rPr>
          <w:rFonts w:eastAsia="STIX-Regular"/>
          <w:i/>
          <w:szCs w:val="24"/>
          <w:vertAlign w:val="subscript"/>
          <w:lang w:val="en-GB" w:eastAsia="zh-CN"/>
        </w:rPr>
        <w:t>p</w:t>
      </w:r>
      <w:r w:rsidRPr="0061355E">
        <w:rPr>
          <w:rFonts w:eastAsia="STIX-Regular"/>
          <w:szCs w:val="24"/>
          <w:vertAlign w:val="superscript"/>
          <w:lang w:val="en-GB" w:eastAsia="zh-CN"/>
        </w:rPr>
        <w:t>2</w:t>
      </w:r>
      <w:r w:rsidRPr="0061355E">
        <w:rPr>
          <w:rFonts w:eastAsia="STIX-Regular"/>
          <w:szCs w:val="24"/>
          <w:lang w:val="en-GB" w:eastAsia="zh-CN"/>
        </w:rPr>
        <w:t>) effect sizes for between-cluster differences are interpreted as small (0.01), medium (0.06), and large (0.14), respectively (Cohen, 1992). *</w:t>
      </w:r>
      <w:r w:rsidRPr="0061355E">
        <w:rPr>
          <w:rFonts w:eastAsia="STIX-Italic"/>
          <w:i/>
          <w:iCs/>
          <w:szCs w:val="24"/>
          <w:lang w:val="en-GB" w:eastAsia="zh-CN"/>
        </w:rPr>
        <w:t xml:space="preserve">p </w:t>
      </w:r>
      <w:r w:rsidRPr="0061355E">
        <w:rPr>
          <w:rFonts w:eastAsia="STIX-Regular"/>
          <w:szCs w:val="24"/>
          <w:lang w:val="en-GB" w:eastAsia="zh-CN"/>
        </w:rPr>
        <w:t>&lt; 0.05</w:t>
      </w:r>
      <w:r w:rsidR="00CA2C91" w:rsidRPr="0061355E">
        <w:rPr>
          <w:szCs w:val="24"/>
          <w:lang w:val="en-GB"/>
        </w:rPr>
        <w:t xml:space="preserve"> (two-tailed)</w:t>
      </w:r>
      <w:r w:rsidRPr="0061355E">
        <w:rPr>
          <w:rFonts w:eastAsia="STIX-Regular"/>
          <w:szCs w:val="24"/>
          <w:lang w:val="en-GB" w:eastAsia="zh-CN"/>
        </w:rPr>
        <w:t>, **</w:t>
      </w:r>
      <w:r w:rsidRPr="0061355E">
        <w:rPr>
          <w:rFonts w:eastAsia="STIX-Italic"/>
          <w:i/>
          <w:iCs/>
          <w:szCs w:val="24"/>
          <w:lang w:val="en-GB" w:eastAsia="zh-CN"/>
        </w:rPr>
        <w:t xml:space="preserve">p </w:t>
      </w:r>
      <w:r w:rsidRPr="0061355E">
        <w:rPr>
          <w:rFonts w:eastAsia="STIX-Regular"/>
          <w:szCs w:val="24"/>
          <w:lang w:val="en-GB" w:eastAsia="zh-CN"/>
        </w:rPr>
        <w:t>&lt; 0.01</w:t>
      </w:r>
      <w:r w:rsidR="00FA50D6" w:rsidRPr="0061355E">
        <w:rPr>
          <w:rFonts w:eastAsia="STIX-Regular"/>
          <w:szCs w:val="24"/>
          <w:lang w:val="en-GB" w:eastAsia="zh-CN"/>
        </w:rPr>
        <w:t xml:space="preserve"> </w:t>
      </w:r>
      <w:r w:rsidR="00FA50D6" w:rsidRPr="0061355E">
        <w:rPr>
          <w:szCs w:val="24"/>
          <w:lang w:val="en-GB"/>
        </w:rPr>
        <w:t>(two-tailed)</w:t>
      </w:r>
      <w:r w:rsidRPr="0061355E">
        <w:rPr>
          <w:rFonts w:eastAsia="STIX-Regular"/>
          <w:szCs w:val="24"/>
          <w:lang w:val="en-GB" w:eastAsia="zh-CN"/>
        </w:rPr>
        <w:t>.</w:t>
      </w:r>
      <w:bookmarkStart w:id="4" w:name="_GoBack"/>
      <w:bookmarkEnd w:id="4"/>
    </w:p>
    <w:sectPr w:rsidR="00CB67B0" w:rsidRPr="0004303A" w:rsidSect="002E7D96">
      <w:headerReference w:type="default" r:id="rId18"/>
      <w:headerReference w:type="first" r:id="rId19"/>
      <w:pgSz w:w="15840" w:h="12240" w:orient="landscape"/>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AD0E6" w14:textId="77777777" w:rsidR="00E300E5" w:rsidRDefault="00E300E5">
      <w:pPr>
        <w:spacing w:line="240" w:lineRule="auto"/>
      </w:pPr>
      <w:r>
        <w:separator/>
      </w:r>
    </w:p>
  </w:endnote>
  <w:endnote w:type="continuationSeparator" w:id="0">
    <w:p w14:paraId="5E5FC811" w14:textId="77777777" w:rsidR="00E300E5" w:rsidRDefault="00E30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haris SIL">
    <w:altName w:val="Malgun Gothic Semilight"/>
    <w:panose1 w:val="00000000000000000000"/>
    <w:charset w:val="86"/>
    <w:family w:val="swiss"/>
    <w:notTrueType/>
    <w:pitch w:val="default"/>
    <w:sig w:usb0="00000001" w:usb1="080E0000" w:usb2="00000010" w:usb3="00000000" w:csb0="00040000" w:csb1="00000000"/>
  </w:font>
  <w:font w:name="AmeriGarmndPL-Roman">
    <w:altName w:val="MS Mincho"/>
    <w:panose1 w:val="00000000000000000000"/>
    <w:charset w:val="80"/>
    <w:family w:val="auto"/>
    <w:notTrueType/>
    <w:pitch w:val="default"/>
    <w:sig w:usb0="00000001" w:usb1="08070000" w:usb2="00000010" w:usb3="00000000" w:csb0="00020000" w:csb1="00000000"/>
  </w:font>
  <w:font w:name="STIX-Regular">
    <w:altName w:val="宋体"/>
    <w:panose1 w:val="00000000000000000000"/>
    <w:charset w:val="86"/>
    <w:family w:val="roman"/>
    <w:notTrueType/>
    <w:pitch w:val="default"/>
    <w:sig w:usb0="00000001" w:usb1="080E0000" w:usb2="00000010" w:usb3="00000000" w:csb0="00040000" w:csb1="00000000"/>
  </w:font>
  <w:font w:name="STIX-Italic">
    <w:altName w:val="宋体"/>
    <w:panose1 w:val="00000000000000000000"/>
    <w:charset w:val="86"/>
    <w:family w:val="roman"/>
    <w:notTrueType/>
    <w:pitch w:val="default"/>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517076"/>
      <w:docPartObj>
        <w:docPartGallery w:val="Page Numbers (Bottom of Page)"/>
        <w:docPartUnique/>
      </w:docPartObj>
    </w:sdtPr>
    <w:sdtEndPr/>
    <w:sdtContent>
      <w:p w14:paraId="53F1A44F" w14:textId="77777777" w:rsidR="00EE6931" w:rsidRDefault="00EE6931">
        <w:pPr>
          <w:pStyle w:val="a5"/>
          <w:jc w:val="right"/>
        </w:pPr>
        <w:r>
          <w:fldChar w:fldCharType="begin"/>
        </w:r>
        <w:r>
          <w:instrText>PAGE   \* MERGEFORMAT</w:instrText>
        </w:r>
        <w:r>
          <w:fldChar w:fldCharType="separate"/>
        </w:r>
        <w:r w:rsidRPr="00F000A7">
          <w:rPr>
            <w:noProof/>
            <w:lang w:val="zh-CN" w:eastAsia="zh-CN"/>
          </w:rPr>
          <w:t>10</w:t>
        </w:r>
        <w:r>
          <w:fldChar w:fldCharType="end"/>
        </w:r>
      </w:p>
    </w:sdtContent>
  </w:sdt>
  <w:p w14:paraId="78394150" w14:textId="77777777" w:rsidR="00EE6931" w:rsidRPr="00577C4C" w:rsidRDefault="00EE6931">
    <w:pPr>
      <w:pStyle w:val="a5"/>
      <w:rPr>
        <w:color w:val="C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77600" w14:textId="77777777" w:rsidR="00EE6931" w:rsidRDefault="00EE6931">
    <w:pPr>
      <w:pStyle w:val="a5"/>
      <w:jc w:val="right"/>
    </w:pPr>
  </w:p>
  <w:p w14:paraId="54C6C972" w14:textId="77777777" w:rsidR="00EE6931" w:rsidRDefault="00EE69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0871"/>
      <w:docPartObj>
        <w:docPartGallery w:val="Page Numbers (Bottom of Page)"/>
        <w:docPartUnique/>
      </w:docPartObj>
    </w:sdtPr>
    <w:sdtEndPr/>
    <w:sdtContent>
      <w:p w14:paraId="3B59109D" w14:textId="77777777" w:rsidR="00EE6931" w:rsidRDefault="00EE6931">
        <w:pPr>
          <w:pStyle w:val="a5"/>
          <w:jc w:val="right"/>
        </w:pPr>
        <w:r>
          <w:fldChar w:fldCharType="begin"/>
        </w:r>
        <w:r>
          <w:instrText>PAGE   \* MERGEFORMAT</w:instrText>
        </w:r>
        <w:r>
          <w:fldChar w:fldCharType="separate"/>
        </w:r>
        <w:r w:rsidRPr="00F000A7">
          <w:rPr>
            <w:noProof/>
            <w:lang w:val="zh-CN" w:eastAsia="zh-CN"/>
          </w:rPr>
          <w:t>10</w:t>
        </w:r>
        <w:r>
          <w:fldChar w:fldCharType="end"/>
        </w:r>
      </w:p>
    </w:sdtContent>
  </w:sdt>
  <w:p w14:paraId="62DF37D7" w14:textId="77777777" w:rsidR="00EE6931" w:rsidRPr="00577C4C" w:rsidRDefault="00EE6931">
    <w:pPr>
      <w:pStyle w:val="a5"/>
      <w:rPr>
        <w:color w:val="C00000"/>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392E4" w14:textId="77777777" w:rsidR="00EE6931" w:rsidRDefault="00EE6931">
    <w:pPr>
      <w:pStyle w:val="a5"/>
      <w:jc w:val="right"/>
    </w:pPr>
  </w:p>
  <w:p w14:paraId="334702AE" w14:textId="77777777" w:rsidR="00EE6931" w:rsidRDefault="00EE69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CA353" w14:textId="77777777" w:rsidR="00E300E5" w:rsidRDefault="00E300E5">
      <w:pPr>
        <w:spacing w:line="240" w:lineRule="auto"/>
      </w:pPr>
      <w:r>
        <w:separator/>
      </w:r>
    </w:p>
  </w:footnote>
  <w:footnote w:type="continuationSeparator" w:id="0">
    <w:p w14:paraId="067F970F" w14:textId="77777777" w:rsidR="00E300E5" w:rsidRDefault="00E300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AA60" w14:textId="77777777" w:rsidR="00EE6931" w:rsidRPr="007E3148" w:rsidRDefault="00EE6931" w:rsidP="00B701A3">
    <w:pPr>
      <w:pStyle w:val="a3"/>
    </w:pPr>
    <w:r w:rsidRPr="007E3148">
      <w:ptab w:relativeTo="margin" w:alignment="center" w:leader="none"/>
    </w:r>
    <w:r w:rsidRPr="007E3148">
      <w:ptab w:relativeTo="margin" w:alignment="right" w:leader="none"/>
    </w:r>
    <w:r>
      <w:t>Predictors of GAD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325825"/>
      <w:docPartObj>
        <w:docPartGallery w:val="Page Numbers (Top of Page)"/>
        <w:docPartUnique/>
      </w:docPartObj>
    </w:sdtPr>
    <w:sdtEndPr/>
    <w:sdtContent>
      <w:p w14:paraId="432E4B31" w14:textId="28F9D433" w:rsidR="00EE6931" w:rsidRDefault="00EE6931" w:rsidP="00B701A3">
        <w:pPr>
          <w:pStyle w:val="a3"/>
          <w:jc w:val="right"/>
        </w:pPr>
        <w:r>
          <w:fldChar w:fldCharType="begin"/>
        </w:r>
        <w:r>
          <w:instrText>PAGE   \* MERGEFORMAT</w:instrText>
        </w:r>
        <w:r>
          <w:fldChar w:fldCharType="separate"/>
        </w:r>
        <w:r w:rsidR="0061355E" w:rsidRPr="0061355E">
          <w:rPr>
            <w:noProof/>
            <w:lang w:val="zh-CN" w:eastAsia="zh-CN"/>
          </w:rPr>
          <w:t>22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0D3FD" w14:textId="77777777" w:rsidR="00EE6931" w:rsidRPr="007E3148" w:rsidRDefault="00EE6931" w:rsidP="00B701A3">
    <w:pPr>
      <w:pStyle w:val="a3"/>
    </w:pPr>
    <w:r w:rsidRPr="007E3148">
      <w:ptab w:relativeTo="margin" w:alignment="center" w:leader="none"/>
    </w:r>
    <w:r w:rsidRPr="007E3148">
      <w:ptab w:relativeTo="margin" w:alignment="right" w:leader="none"/>
    </w:r>
    <w:r>
      <w:t>Predictors of GAD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900332"/>
      <w:docPartObj>
        <w:docPartGallery w:val="Page Numbers (Top of Page)"/>
        <w:docPartUnique/>
      </w:docPartObj>
    </w:sdtPr>
    <w:sdtEndPr/>
    <w:sdtContent>
      <w:p w14:paraId="6E8D99F0" w14:textId="77777777" w:rsidR="00EE6931" w:rsidRDefault="00EE6931" w:rsidP="00B701A3">
        <w:pPr>
          <w:pStyle w:val="a3"/>
          <w:jc w:val="right"/>
        </w:pPr>
        <w:r>
          <w:fldChar w:fldCharType="begin"/>
        </w:r>
        <w:r>
          <w:instrText>PAGE   \* MERGEFORMAT</w:instrText>
        </w:r>
        <w:r>
          <w:fldChar w:fldCharType="separate"/>
        </w:r>
        <w:r w:rsidRPr="00386D3D">
          <w:rPr>
            <w:noProof/>
            <w:lang w:val="zh-CN" w:eastAsia="zh-CN"/>
          </w:rPr>
          <w:t>9</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711787"/>
      <w:docPartObj>
        <w:docPartGallery w:val="Page Numbers (Top of Page)"/>
        <w:docPartUnique/>
      </w:docPartObj>
    </w:sdtPr>
    <w:sdtEndPr/>
    <w:sdtContent>
      <w:p w14:paraId="24DBC495" w14:textId="36568F7C" w:rsidR="00EE6931" w:rsidRDefault="00EE6931" w:rsidP="00B701A3">
        <w:pPr>
          <w:pStyle w:val="a3"/>
          <w:jc w:val="right"/>
        </w:pPr>
        <w:r>
          <w:fldChar w:fldCharType="begin"/>
        </w:r>
        <w:r>
          <w:instrText>PAGE   \* MERGEFORMAT</w:instrText>
        </w:r>
        <w:r>
          <w:fldChar w:fldCharType="separate"/>
        </w:r>
        <w:r w:rsidR="0061355E" w:rsidRPr="0061355E">
          <w:rPr>
            <w:noProof/>
            <w:lang w:val="zh-CN" w:eastAsia="zh-CN"/>
          </w:rPr>
          <w:t>28</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555638"/>
      <w:docPartObj>
        <w:docPartGallery w:val="Page Numbers (Top of Page)"/>
        <w:docPartUnique/>
      </w:docPartObj>
    </w:sdtPr>
    <w:sdtEndPr>
      <w:rPr>
        <w:noProof/>
      </w:rPr>
    </w:sdtEndPr>
    <w:sdtContent>
      <w:p w14:paraId="6B0621A1" w14:textId="5FBADDB5" w:rsidR="00EE6931" w:rsidRDefault="00EE6931">
        <w:pPr>
          <w:pStyle w:val="a3"/>
          <w:jc w:val="right"/>
        </w:pPr>
        <w:r>
          <w:fldChar w:fldCharType="begin"/>
        </w:r>
        <w:r>
          <w:instrText xml:space="preserve"> PAGE   \* MERGEFORMAT </w:instrText>
        </w:r>
        <w:r>
          <w:fldChar w:fldCharType="separate"/>
        </w:r>
        <w:r w:rsidR="0061355E">
          <w:rPr>
            <w:noProof/>
          </w:rPr>
          <w:t>29</w:t>
        </w:r>
        <w:r>
          <w:rPr>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77A44" w14:textId="77777777" w:rsidR="00EE6931" w:rsidRDefault="00EE6931">
    <w:pPr>
      <w:pStyle w:val="a3"/>
    </w:pP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6DF0"/>
    <w:multiLevelType w:val="hybridMultilevel"/>
    <w:tmpl w:val="18CCB3AA"/>
    <w:lvl w:ilvl="0" w:tplc="13B0A2F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 w15:restartNumberingAfterBreak="0">
    <w:nsid w:val="2D4B3F07"/>
    <w:multiLevelType w:val="multilevel"/>
    <w:tmpl w:val="4D78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92643C"/>
    <w:multiLevelType w:val="multilevel"/>
    <w:tmpl w:val="42DE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85C7B"/>
    <w:multiLevelType w:val="multilevel"/>
    <w:tmpl w:val="6332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5A7072"/>
    <w:multiLevelType w:val="hybridMultilevel"/>
    <w:tmpl w:val="1ECA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lvlOverride w:ilvl="2">
      <w:lvl w:ilvl="2">
        <w:start w:val="1"/>
        <w:numFmt w:val="decimal"/>
        <w:lvlText w:val="%1.%2.%3"/>
        <w:lvlJc w:val="left"/>
        <w:pPr>
          <w:tabs>
            <w:tab w:val="num" w:pos="567"/>
          </w:tabs>
          <w:ind w:left="567" w:hanging="567"/>
        </w:pPr>
        <w:rPr>
          <w:rFonts w:hint="default"/>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
    <w:abstractNumId w:val="1"/>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F05F2"/>
    <w:rsid w:val="00013D22"/>
    <w:rsid w:val="00037463"/>
    <w:rsid w:val="0004303A"/>
    <w:rsid w:val="00056799"/>
    <w:rsid w:val="00092CBF"/>
    <w:rsid w:val="000A4B93"/>
    <w:rsid w:val="000B5F53"/>
    <w:rsid w:val="000B6DBC"/>
    <w:rsid w:val="000F7E3C"/>
    <w:rsid w:val="00102A45"/>
    <w:rsid w:val="00112655"/>
    <w:rsid w:val="00124573"/>
    <w:rsid w:val="00155062"/>
    <w:rsid w:val="00160B30"/>
    <w:rsid w:val="001809E9"/>
    <w:rsid w:val="00191953"/>
    <w:rsid w:val="001E1F32"/>
    <w:rsid w:val="001F05F2"/>
    <w:rsid w:val="00211C6A"/>
    <w:rsid w:val="00265F28"/>
    <w:rsid w:val="00276FC4"/>
    <w:rsid w:val="00277827"/>
    <w:rsid w:val="00282F91"/>
    <w:rsid w:val="002D27CD"/>
    <w:rsid w:val="002E7D96"/>
    <w:rsid w:val="002F6672"/>
    <w:rsid w:val="002F7A54"/>
    <w:rsid w:val="0030680B"/>
    <w:rsid w:val="00323EA5"/>
    <w:rsid w:val="00331537"/>
    <w:rsid w:val="003358CD"/>
    <w:rsid w:val="003373DE"/>
    <w:rsid w:val="00345C3D"/>
    <w:rsid w:val="00363061"/>
    <w:rsid w:val="00373564"/>
    <w:rsid w:val="00377885"/>
    <w:rsid w:val="003B28F4"/>
    <w:rsid w:val="003C1C6B"/>
    <w:rsid w:val="003C3ACF"/>
    <w:rsid w:val="003C54E9"/>
    <w:rsid w:val="003D40B0"/>
    <w:rsid w:val="003E2B7E"/>
    <w:rsid w:val="003E7DFB"/>
    <w:rsid w:val="003F4803"/>
    <w:rsid w:val="003F5864"/>
    <w:rsid w:val="00423139"/>
    <w:rsid w:val="00440638"/>
    <w:rsid w:val="00456155"/>
    <w:rsid w:val="0045781A"/>
    <w:rsid w:val="00481D69"/>
    <w:rsid w:val="00481FC0"/>
    <w:rsid w:val="004825F8"/>
    <w:rsid w:val="004B0BA6"/>
    <w:rsid w:val="004C334B"/>
    <w:rsid w:val="00523182"/>
    <w:rsid w:val="00525CC3"/>
    <w:rsid w:val="00543130"/>
    <w:rsid w:val="005657B9"/>
    <w:rsid w:val="005A0C37"/>
    <w:rsid w:val="005D57CD"/>
    <w:rsid w:val="005E092F"/>
    <w:rsid w:val="005E0F59"/>
    <w:rsid w:val="005E1618"/>
    <w:rsid w:val="005F440D"/>
    <w:rsid w:val="006012D9"/>
    <w:rsid w:val="0060536E"/>
    <w:rsid w:val="0061355E"/>
    <w:rsid w:val="00627333"/>
    <w:rsid w:val="006425B5"/>
    <w:rsid w:val="00646437"/>
    <w:rsid w:val="006753CE"/>
    <w:rsid w:val="00695AEB"/>
    <w:rsid w:val="006B4A9D"/>
    <w:rsid w:val="006C2A7B"/>
    <w:rsid w:val="006E1263"/>
    <w:rsid w:val="006E2542"/>
    <w:rsid w:val="006F295D"/>
    <w:rsid w:val="006F6235"/>
    <w:rsid w:val="007206C0"/>
    <w:rsid w:val="007251F1"/>
    <w:rsid w:val="007367D0"/>
    <w:rsid w:val="0074191D"/>
    <w:rsid w:val="007468E0"/>
    <w:rsid w:val="007620D6"/>
    <w:rsid w:val="0077336B"/>
    <w:rsid w:val="00780CC1"/>
    <w:rsid w:val="00795727"/>
    <w:rsid w:val="007A29D4"/>
    <w:rsid w:val="007B5CF8"/>
    <w:rsid w:val="007C4307"/>
    <w:rsid w:val="008041D7"/>
    <w:rsid w:val="00842069"/>
    <w:rsid w:val="00885792"/>
    <w:rsid w:val="00887682"/>
    <w:rsid w:val="008B20F6"/>
    <w:rsid w:val="008C2B2E"/>
    <w:rsid w:val="008D3653"/>
    <w:rsid w:val="008E1AE4"/>
    <w:rsid w:val="008F62DF"/>
    <w:rsid w:val="00931796"/>
    <w:rsid w:val="00936B58"/>
    <w:rsid w:val="009406D6"/>
    <w:rsid w:val="009516A3"/>
    <w:rsid w:val="00960265"/>
    <w:rsid w:val="00961159"/>
    <w:rsid w:val="00974651"/>
    <w:rsid w:val="00977B7A"/>
    <w:rsid w:val="009809F5"/>
    <w:rsid w:val="0098195A"/>
    <w:rsid w:val="009E3306"/>
    <w:rsid w:val="00A0068F"/>
    <w:rsid w:val="00A06730"/>
    <w:rsid w:val="00A175E5"/>
    <w:rsid w:val="00A203A8"/>
    <w:rsid w:val="00A25F4A"/>
    <w:rsid w:val="00A41E88"/>
    <w:rsid w:val="00A51263"/>
    <w:rsid w:val="00A7048C"/>
    <w:rsid w:val="00AC227A"/>
    <w:rsid w:val="00AC7660"/>
    <w:rsid w:val="00AD1713"/>
    <w:rsid w:val="00B2259D"/>
    <w:rsid w:val="00B3695A"/>
    <w:rsid w:val="00B701A3"/>
    <w:rsid w:val="00B77277"/>
    <w:rsid w:val="00B965E0"/>
    <w:rsid w:val="00BA2601"/>
    <w:rsid w:val="00BE509C"/>
    <w:rsid w:val="00BE5C87"/>
    <w:rsid w:val="00BF7804"/>
    <w:rsid w:val="00C0730F"/>
    <w:rsid w:val="00C07EE6"/>
    <w:rsid w:val="00C349B1"/>
    <w:rsid w:val="00C40BAE"/>
    <w:rsid w:val="00C55826"/>
    <w:rsid w:val="00C65388"/>
    <w:rsid w:val="00C75C55"/>
    <w:rsid w:val="00C91C4E"/>
    <w:rsid w:val="00CA2C91"/>
    <w:rsid w:val="00CB0606"/>
    <w:rsid w:val="00CB67B0"/>
    <w:rsid w:val="00D2050E"/>
    <w:rsid w:val="00D64AED"/>
    <w:rsid w:val="00D77035"/>
    <w:rsid w:val="00D8376B"/>
    <w:rsid w:val="00DB018E"/>
    <w:rsid w:val="00DB1C7C"/>
    <w:rsid w:val="00DC1936"/>
    <w:rsid w:val="00DF6837"/>
    <w:rsid w:val="00DF76AF"/>
    <w:rsid w:val="00E300E5"/>
    <w:rsid w:val="00E35A61"/>
    <w:rsid w:val="00E738FE"/>
    <w:rsid w:val="00E75F5F"/>
    <w:rsid w:val="00E829CE"/>
    <w:rsid w:val="00E839C5"/>
    <w:rsid w:val="00E84188"/>
    <w:rsid w:val="00EB52C2"/>
    <w:rsid w:val="00EE6931"/>
    <w:rsid w:val="00F15477"/>
    <w:rsid w:val="00F37BEC"/>
    <w:rsid w:val="00F40E29"/>
    <w:rsid w:val="00F42DDF"/>
    <w:rsid w:val="00F4687C"/>
    <w:rsid w:val="00F53929"/>
    <w:rsid w:val="00F641A3"/>
    <w:rsid w:val="00F803A7"/>
    <w:rsid w:val="00F84353"/>
    <w:rsid w:val="00F967F4"/>
    <w:rsid w:val="00FA194E"/>
    <w:rsid w:val="00FA50D6"/>
    <w:rsid w:val="00FD701B"/>
    <w:rsid w:val="00FE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EA651"/>
  <w15:chartTrackingRefBased/>
  <w15:docId w15:val="{BDEA4C02-8502-4F2B-AED6-6BE27355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5F2"/>
    <w:pPr>
      <w:spacing w:after="0" w:line="480" w:lineRule="auto"/>
    </w:pPr>
    <w:rPr>
      <w:rFonts w:ascii="Times New Roman" w:eastAsia="宋体" w:hAnsi="Times New Roman" w:cs="Times New Roman"/>
      <w:sz w:val="24"/>
      <w:lang w:eastAsia="en-US"/>
    </w:rPr>
  </w:style>
  <w:style w:type="paragraph" w:styleId="1">
    <w:name w:val="heading 1"/>
    <w:basedOn w:val="a"/>
    <w:next w:val="a"/>
    <w:link w:val="10"/>
    <w:uiPriority w:val="2"/>
    <w:qFormat/>
    <w:rsid w:val="001F05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uiPriority w:val="2"/>
    <w:qFormat/>
    <w:rsid w:val="001F05F2"/>
    <w:pPr>
      <w:keepNext w:val="0"/>
      <w:keepLines w:val="0"/>
      <w:tabs>
        <w:tab w:val="num" w:pos="567"/>
      </w:tabs>
      <w:spacing w:after="200" w:line="240" w:lineRule="auto"/>
      <w:ind w:left="567" w:hanging="567"/>
      <w:outlineLvl w:val="1"/>
    </w:pPr>
    <w:rPr>
      <w:rFonts w:ascii="Times New Roman" w:eastAsia="Cambria" w:hAnsi="Times New Roman" w:cs="Times New Roman"/>
      <w:b/>
      <w:color w:val="auto"/>
      <w:sz w:val="24"/>
      <w:szCs w:val="24"/>
    </w:rPr>
  </w:style>
  <w:style w:type="paragraph" w:styleId="3">
    <w:name w:val="heading 3"/>
    <w:basedOn w:val="a"/>
    <w:link w:val="30"/>
    <w:uiPriority w:val="2"/>
    <w:qFormat/>
    <w:rsid w:val="001F05F2"/>
    <w:pPr>
      <w:spacing w:before="100" w:beforeAutospacing="1" w:after="100" w:afterAutospacing="1" w:line="240" w:lineRule="auto"/>
      <w:outlineLvl w:val="2"/>
    </w:pPr>
    <w:rPr>
      <w:rFonts w:eastAsia="Times New Roman"/>
      <w:b/>
      <w:bCs/>
      <w:sz w:val="27"/>
      <w:szCs w:val="27"/>
      <w:lang w:eastAsia="zh-CN"/>
    </w:rPr>
  </w:style>
  <w:style w:type="paragraph" w:styleId="4">
    <w:name w:val="heading 4"/>
    <w:basedOn w:val="3"/>
    <w:next w:val="a"/>
    <w:link w:val="40"/>
    <w:uiPriority w:val="2"/>
    <w:qFormat/>
    <w:rsid w:val="001F05F2"/>
    <w:pPr>
      <w:keepNext/>
      <w:keepLines/>
      <w:tabs>
        <w:tab w:val="num" w:pos="567"/>
      </w:tabs>
      <w:spacing w:before="40" w:beforeAutospacing="0" w:after="120" w:afterAutospacing="0"/>
      <w:ind w:left="567" w:hanging="567"/>
      <w:outlineLvl w:val="3"/>
    </w:pPr>
    <w:rPr>
      <w:rFonts w:eastAsiaTheme="majorEastAsia" w:cstheme="majorBidi"/>
      <w:bCs w:val="0"/>
      <w:iCs/>
      <w:sz w:val="24"/>
      <w:szCs w:val="24"/>
      <w:lang w:eastAsia="en-US"/>
    </w:rPr>
  </w:style>
  <w:style w:type="paragraph" w:styleId="5">
    <w:name w:val="heading 5"/>
    <w:basedOn w:val="4"/>
    <w:next w:val="a"/>
    <w:link w:val="50"/>
    <w:uiPriority w:val="2"/>
    <w:qFormat/>
    <w:rsid w:val="001F05F2"/>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5F2"/>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2"/>
    <w:rsid w:val="001F05F2"/>
    <w:rPr>
      <w:rFonts w:ascii="Times New Roman" w:eastAsia="Cambria" w:hAnsi="Times New Roman" w:cs="Times New Roman"/>
      <w:b/>
      <w:sz w:val="24"/>
      <w:szCs w:val="24"/>
      <w:lang w:eastAsia="en-US"/>
    </w:rPr>
  </w:style>
  <w:style w:type="character" w:customStyle="1" w:styleId="30">
    <w:name w:val="标题 3 字符"/>
    <w:basedOn w:val="a0"/>
    <w:link w:val="3"/>
    <w:uiPriority w:val="9"/>
    <w:rsid w:val="001F05F2"/>
    <w:rPr>
      <w:rFonts w:ascii="Times New Roman" w:eastAsia="Times New Roman" w:hAnsi="Times New Roman" w:cs="Times New Roman"/>
      <w:b/>
      <w:bCs/>
      <w:sz w:val="27"/>
      <w:szCs w:val="27"/>
    </w:rPr>
  </w:style>
  <w:style w:type="character" w:customStyle="1" w:styleId="40">
    <w:name w:val="标题 4 字符"/>
    <w:basedOn w:val="a0"/>
    <w:link w:val="4"/>
    <w:uiPriority w:val="2"/>
    <w:rsid w:val="001F05F2"/>
    <w:rPr>
      <w:rFonts w:ascii="Times New Roman" w:eastAsiaTheme="majorEastAsia" w:hAnsi="Times New Roman" w:cstheme="majorBidi"/>
      <w:b/>
      <w:iCs/>
      <w:sz w:val="24"/>
      <w:szCs w:val="24"/>
      <w:lang w:eastAsia="en-US"/>
    </w:rPr>
  </w:style>
  <w:style w:type="character" w:customStyle="1" w:styleId="50">
    <w:name w:val="标题 5 字符"/>
    <w:basedOn w:val="a0"/>
    <w:link w:val="5"/>
    <w:uiPriority w:val="2"/>
    <w:rsid w:val="001F05F2"/>
    <w:rPr>
      <w:rFonts w:ascii="Times New Roman" w:eastAsiaTheme="majorEastAsia" w:hAnsi="Times New Roman" w:cstheme="majorBidi"/>
      <w:b/>
      <w:iCs/>
      <w:sz w:val="24"/>
      <w:szCs w:val="24"/>
      <w:lang w:eastAsia="en-US"/>
    </w:rPr>
  </w:style>
  <w:style w:type="paragraph" w:styleId="a3">
    <w:name w:val="header"/>
    <w:basedOn w:val="a"/>
    <w:link w:val="a4"/>
    <w:uiPriority w:val="99"/>
    <w:unhideWhenUsed/>
    <w:rsid w:val="001F05F2"/>
    <w:pPr>
      <w:tabs>
        <w:tab w:val="center" w:pos="4680"/>
        <w:tab w:val="right" w:pos="9360"/>
      </w:tabs>
      <w:spacing w:line="240" w:lineRule="auto"/>
    </w:pPr>
  </w:style>
  <w:style w:type="character" w:customStyle="1" w:styleId="a4">
    <w:name w:val="页眉 字符"/>
    <w:basedOn w:val="a0"/>
    <w:link w:val="a3"/>
    <w:uiPriority w:val="99"/>
    <w:rsid w:val="001F05F2"/>
    <w:rPr>
      <w:rFonts w:ascii="Times New Roman" w:eastAsia="宋体" w:hAnsi="Times New Roman" w:cs="Times New Roman"/>
      <w:sz w:val="24"/>
      <w:lang w:eastAsia="en-US"/>
    </w:rPr>
  </w:style>
  <w:style w:type="paragraph" w:styleId="a5">
    <w:name w:val="footer"/>
    <w:basedOn w:val="a"/>
    <w:link w:val="a6"/>
    <w:uiPriority w:val="99"/>
    <w:unhideWhenUsed/>
    <w:rsid w:val="001F05F2"/>
    <w:pPr>
      <w:tabs>
        <w:tab w:val="center" w:pos="4680"/>
        <w:tab w:val="right" w:pos="9360"/>
      </w:tabs>
      <w:spacing w:line="240" w:lineRule="auto"/>
    </w:pPr>
  </w:style>
  <w:style w:type="character" w:customStyle="1" w:styleId="a6">
    <w:name w:val="页脚 字符"/>
    <w:basedOn w:val="a0"/>
    <w:link w:val="a5"/>
    <w:uiPriority w:val="99"/>
    <w:rsid w:val="001F05F2"/>
    <w:rPr>
      <w:rFonts w:ascii="Times New Roman" w:eastAsia="宋体" w:hAnsi="Times New Roman" w:cs="Times New Roman"/>
      <w:sz w:val="24"/>
      <w:lang w:eastAsia="en-US"/>
    </w:rPr>
  </w:style>
  <w:style w:type="paragraph" w:styleId="a7">
    <w:name w:val="Balloon Text"/>
    <w:basedOn w:val="a"/>
    <w:link w:val="a8"/>
    <w:uiPriority w:val="99"/>
    <w:semiHidden/>
    <w:unhideWhenUsed/>
    <w:rsid w:val="001F05F2"/>
    <w:pPr>
      <w:spacing w:line="240" w:lineRule="auto"/>
    </w:pPr>
    <w:rPr>
      <w:rFonts w:ascii="Tahoma" w:hAnsi="Tahoma" w:cs="Tahoma"/>
      <w:sz w:val="16"/>
      <w:szCs w:val="16"/>
    </w:rPr>
  </w:style>
  <w:style w:type="character" w:customStyle="1" w:styleId="a8">
    <w:name w:val="批注框文本 字符"/>
    <w:link w:val="a7"/>
    <w:uiPriority w:val="99"/>
    <w:semiHidden/>
    <w:rsid w:val="001F05F2"/>
    <w:rPr>
      <w:rFonts w:ascii="Tahoma" w:eastAsia="宋体" w:hAnsi="Tahoma" w:cs="Tahoma"/>
      <w:sz w:val="16"/>
      <w:szCs w:val="16"/>
      <w:lang w:eastAsia="en-US"/>
    </w:rPr>
  </w:style>
  <w:style w:type="character" w:styleId="a9">
    <w:name w:val="Hyperlink"/>
    <w:uiPriority w:val="99"/>
    <w:unhideWhenUsed/>
    <w:rsid w:val="001F05F2"/>
    <w:rPr>
      <w:color w:val="0000FF"/>
      <w:u w:val="single"/>
    </w:rPr>
  </w:style>
  <w:style w:type="character" w:styleId="aa">
    <w:name w:val="FollowedHyperlink"/>
    <w:uiPriority w:val="99"/>
    <w:semiHidden/>
    <w:unhideWhenUsed/>
    <w:rsid w:val="001F05F2"/>
    <w:rPr>
      <w:color w:val="800080"/>
      <w:u w:val="single"/>
    </w:rPr>
  </w:style>
  <w:style w:type="character" w:styleId="ab">
    <w:name w:val="page number"/>
    <w:basedOn w:val="a0"/>
    <w:uiPriority w:val="99"/>
    <w:semiHidden/>
    <w:unhideWhenUsed/>
    <w:rsid w:val="001F05F2"/>
  </w:style>
  <w:style w:type="character" w:styleId="ac">
    <w:name w:val="Placeholder Text"/>
    <w:basedOn w:val="a0"/>
    <w:uiPriority w:val="99"/>
    <w:semiHidden/>
    <w:rsid w:val="001F05F2"/>
    <w:rPr>
      <w:color w:val="808080"/>
    </w:rPr>
  </w:style>
  <w:style w:type="table" w:styleId="ad">
    <w:name w:val="Table Grid"/>
    <w:basedOn w:val="a1"/>
    <w:uiPriority w:val="59"/>
    <w:rsid w:val="001F05F2"/>
    <w:pPr>
      <w:spacing w:after="0" w:line="240" w:lineRule="auto"/>
    </w:pPr>
    <w:rPr>
      <w:rFonts w:asciiTheme="majorHAnsi" w:eastAsia="宋体" w:hAnsiTheme="maj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uiPriority w:val="99"/>
    <w:semiHidden/>
    <w:unhideWhenUsed/>
    <w:rsid w:val="001F05F2"/>
  </w:style>
  <w:style w:type="character" w:styleId="af">
    <w:name w:val="Emphasis"/>
    <w:basedOn w:val="a0"/>
    <w:uiPriority w:val="20"/>
    <w:qFormat/>
    <w:rsid w:val="001F05F2"/>
    <w:rPr>
      <w:i/>
      <w:iCs/>
    </w:rPr>
  </w:style>
  <w:style w:type="paragraph" w:customStyle="1" w:styleId="AuthorList">
    <w:name w:val="Author List"/>
    <w:aliases w:val="Keywords,Abstract"/>
    <w:basedOn w:val="af0"/>
    <w:next w:val="a"/>
    <w:uiPriority w:val="1"/>
    <w:qFormat/>
    <w:rsid w:val="001F05F2"/>
    <w:pPr>
      <w:numPr>
        <w:ilvl w:val="0"/>
      </w:numPr>
      <w:spacing w:before="240" w:after="240" w:line="240" w:lineRule="auto"/>
    </w:pPr>
    <w:rPr>
      <w:rFonts w:ascii="Times New Roman" w:eastAsia="宋体" w:hAnsi="Times New Roman" w:cs="Times New Roman"/>
      <w:b/>
      <w:color w:val="auto"/>
      <w:spacing w:val="0"/>
      <w:sz w:val="24"/>
      <w:szCs w:val="24"/>
    </w:rPr>
  </w:style>
  <w:style w:type="paragraph" w:customStyle="1" w:styleId="MDPI31text">
    <w:name w:val="MDPI_3.1_text"/>
    <w:link w:val="MDPI31text0"/>
    <w:qFormat/>
    <w:rsid w:val="001F05F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MDPI31text0">
    <w:name w:val="MDPI_3.1_text 字符"/>
    <w:link w:val="MDPI31text"/>
    <w:rsid w:val="001F05F2"/>
    <w:rPr>
      <w:rFonts w:ascii="Palatino Linotype" w:eastAsia="Times New Roman" w:hAnsi="Palatino Linotype" w:cs="Times New Roman"/>
      <w:snapToGrid w:val="0"/>
      <w:color w:val="000000"/>
      <w:sz w:val="20"/>
      <w:lang w:eastAsia="de-DE" w:bidi="en-US"/>
    </w:rPr>
  </w:style>
  <w:style w:type="paragraph" w:styleId="af0">
    <w:name w:val="Subtitle"/>
    <w:basedOn w:val="a"/>
    <w:next w:val="a"/>
    <w:link w:val="af1"/>
    <w:uiPriority w:val="11"/>
    <w:qFormat/>
    <w:rsid w:val="001F05F2"/>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f1">
    <w:name w:val="副标题 字符"/>
    <w:basedOn w:val="a0"/>
    <w:link w:val="af0"/>
    <w:uiPriority w:val="11"/>
    <w:rsid w:val="001F05F2"/>
    <w:rPr>
      <w:color w:val="5A5A5A" w:themeColor="text1" w:themeTint="A5"/>
      <w:spacing w:val="15"/>
      <w:lang w:eastAsia="en-US"/>
    </w:rPr>
  </w:style>
  <w:style w:type="numbering" w:customStyle="1" w:styleId="Headings">
    <w:name w:val="Headings"/>
    <w:uiPriority w:val="99"/>
    <w:rsid w:val="001F05F2"/>
    <w:pPr>
      <w:numPr>
        <w:numId w:val="2"/>
      </w:numPr>
    </w:pPr>
  </w:style>
  <w:style w:type="paragraph" w:customStyle="1" w:styleId="EndNoteBibliography">
    <w:name w:val="EndNote Bibliography"/>
    <w:basedOn w:val="a"/>
    <w:link w:val="EndNoteBibliography0"/>
    <w:rsid w:val="001F05F2"/>
    <w:pPr>
      <w:spacing w:line="240" w:lineRule="atLeast"/>
      <w:jc w:val="both"/>
    </w:pPr>
    <w:rPr>
      <w:rFonts w:eastAsia="Times New Roman"/>
      <w:noProof/>
      <w:color w:val="000000"/>
      <w:szCs w:val="20"/>
      <w:lang w:val="de-DE" w:eastAsia="de-DE"/>
    </w:rPr>
  </w:style>
  <w:style w:type="character" w:customStyle="1" w:styleId="EndNoteBibliography0">
    <w:name w:val="EndNote Bibliography 字符"/>
    <w:link w:val="EndNoteBibliography"/>
    <w:rsid w:val="001F05F2"/>
    <w:rPr>
      <w:rFonts w:ascii="Times New Roman" w:eastAsia="Times New Roman" w:hAnsi="Times New Roman" w:cs="Times New Roman"/>
      <w:noProof/>
      <w:color w:val="000000"/>
      <w:sz w:val="24"/>
      <w:szCs w:val="20"/>
      <w:lang w:val="de-DE" w:eastAsia="de-DE"/>
    </w:rPr>
  </w:style>
  <w:style w:type="paragraph" w:styleId="af2">
    <w:name w:val="annotation text"/>
    <w:basedOn w:val="a"/>
    <w:link w:val="af3"/>
    <w:uiPriority w:val="99"/>
    <w:unhideWhenUsed/>
    <w:rsid w:val="001F05F2"/>
    <w:pPr>
      <w:spacing w:after="200" w:line="240" w:lineRule="auto"/>
    </w:pPr>
    <w:rPr>
      <w:rFonts w:asciiTheme="minorHAnsi" w:eastAsiaTheme="minorEastAsia" w:hAnsiTheme="minorHAnsi" w:cstheme="minorBidi"/>
      <w:sz w:val="20"/>
      <w:szCs w:val="20"/>
      <w:lang w:val="en-GB" w:eastAsia="zh-CN"/>
    </w:rPr>
  </w:style>
  <w:style w:type="character" w:customStyle="1" w:styleId="af3">
    <w:name w:val="批注文字 字符"/>
    <w:basedOn w:val="a0"/>
    <w:link w:val="af2"/>
    <w:uiPriority w:val="99"/>
    <w:rsid w:val="001F05F2"/>
    <w:rPr>
      <w:sz w:val="20"/>
      <w:szCs w:val="20"/>
      <w:lang w:val="en-GB"/>
    </w:rPr>
  </w:style>
  <w:style w:type="paragraph" w:styleId="af4">
    <w:name w:val="List Paragraph"/>
    <w:basedOn w:val="a"/>
    <w:uiPriority w:val="34"/>
    <w:qFormat/>
    <w:rsid w:val="001F05F2"/>
    <w:pPr>
      <w:bidi/>
      <w:spacing w:after="200" w:line="276" w:lineRule="auto"/>
      <w:ind w:left="720"/>
      <w:contextualSpacing/>
    </w:pPr>
    <w:rPr>
      <w:rFonts w:asciiTheme="minorHAnsi" w:eastAsiaTheme="minorHAnsi" w:hAnsiTheme="minorHAnsi" w:cstheme="minorBidi"/>
      <w:sz w:val="22"/>
      <w:lang w:bidi="fa-IR"/>
    </w:rPr>
  </w:style>
  <w:style w:type="paragraph" w:customStyle="1" w:styleId="EndNoteBibliographyTitle">
    <w:name w:val="EndNote Bibliography Title"/>
    <w:basedOn w:val="a"/>
    <w:link w:val="EndNoteBibliographyTitle0"/>
    <w:rsid w:val="001F05F2"/>
    <w:pPr>
      <w:jc w:val="center"/>
    </w:pPr>
    <w:rPr>
      <w:noProof/>
    </w:rPr>
  </w:style>
  <w:style w:type="character" w:customStyle="1" w:styleId="EndNoteBibliographyTitle0">
    <w:name w:val="EndNote Bibliography Title 字符"/>
    <w:basedOn w:val="a0"/>
    <w:link w:val="EndNoteBibliographyTitle"/>
    <w:rsid w:val="001F05F2"/>
    <w:rPr>
      <w:rFonts w:ascii="Times New Roman" w:eastAsia="宋体" w:hAnsi="Times New Roman" w:cs="Times New Roman"/>
      <w:noProof/>
      <w:sz w:val="24"/>
      <w:lang w:eastAsia="en-US"/>
    </w:rPr>
  </w:style>
  <w:style w:type="paragraph" w:customStyle="1" w:styleId="Default">
    <w:name w:val="Default"/>
    <w:rsid w:val="001F05F2"/>
    <w:pPr>
      <w:autoSpaceDE w:val="0"/>
      <w:autoSpaceDN w:val="0"/>
      <w:adjustRightInd w:val="0"/>
      <w:spacing w:after="0" w:line="240" w:lineRule="auto"/>
    </w:pPr>
    <w:rPr>
      <w:rFonts w:ascii="Charis SIL" w:eastAsia="Charis SIL" w:hAnsi="Times New Roman" w:cs="Charis SIL"/>
      <w:color w:val="000000"/>
      <w:sz w:val="24"/>
      <w:szCs w:val="24"/>
      <w:lang w:eastAsia="en-US"/>
    </w:rPr>
  </w:style>
  <w:style w:type="character" w:styleId="af5">
    <w:name w:val="annotation reference"/>
    <w:basedOn w:val="a0"/>
    <w:uiPriority w:val="99"/>
    <w:semiHidden/>
    <w:unhideWhenUsed/>
    <w:rsid w:val="001F05F2"/>
    <w:rPr>
      <w:sz w:val="16"/>
      <w:szCs w:val="16"/>
    </w:rPr>
  </w:style>
  <w:style w:type="paragraph" w:styleId="af6">
    <w:name w:val="annotation subject"/>
    <w:basedOn w:val="af2"/>
    <w:next w:val="af2"/>
    <w:link w:val="af7"/>
    <w:uiPriority w:val="99"/>
    <w:semiHidden/>
    <w:unhideWhenUsed/>
    <w:rsid w:val="001F05F2"/>
    <w:pPr>
      <w:spacing w:after="0"/>
    </w:pPr>
    <w:rPr>
      <w:rFonts w:ascii="Times New Roman" w:eastAsia="宋体" w:hAnsi="Times New Roman" w:cs="Times New Roman"/>
      <w:b/>
      <w:bCs/>
      <w:lang w:eastAsia="en-US"/>
    </w:rPr>
  </w:style>
  <w:style w:type="character" w:customStyle="1" w:styleId="af7">
    <w:name w:val="批注主题 字符"/>
    <w:basedOn w:val="af3"/>
    <w:link w:val="af6"/>
    <w:uiPriority w:val="99"/>
    <w:semiHidden/>
    <w:rsid w:val="001F05F2"/>
    <w:rPr>
      <w:rFonts w:ascii="Times New Roman" w:eastAsia="宋体" w:hAnsi="Times New Roman" w:cs="Times New Roman"/>
      <w:b/>
      <w:bCs/>
      <w:sz w:val="20"/>
      <w:szCs w:val="20"/>
      <w:lang w:val="en-GB" w:eastAsia="en-US"/>
    </w:rPr>
  </w:style>
  <w:style w:type="paragraph" w:styleId="af8">
    <w:name w:val="Revision"/>
    <w:hidden/>
    <w:uiPriority w:val="99"/>
    <w:semiHidden/>
    <w:rsid w:val="001F05F2"/>
    <w:pPr>
      <w:spacing w:after="0" w:line="240" w:lineRule="auto"/>
    </w:pPr>
    <w:rPr>
      <w:rFonts w:ascii="Times New Roman" w:eastAsia="宋体"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xlilee@gmail.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hunxiao.li@m.scnu.edu.cn"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30</Pages>
  <Words>7591</Words>
  <Characters>43275</Characters>
  <Application>Microsoft Office Word</Application>
  <DocSecurity>0</DocSecurity>
  <Lines>360</Lines>
  <Paragraphs>101</Paragraphs>
  <ScaleCrop>false</ScaleCrop>
  <Company/>
  <LinksUpToDate>false</LinksUpToDate>
  <CharactersWithSpaces>50765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Chunxiao Li</dc:creator>
  <cp:keywords/>
  <dc:description/>
  <cp:lastModifiedBy>LI, Chunxiao</cp:lastModifiedBy>
  <cp:revision>113</cp:revision>
  <cp:lastPrinted>2023-05-05T00:56:00Z</cp:lastPrinted>
  <dcterms:created xsi:type="dcterms:W3CDTF">2022-09-17T07:16:00Z</dcterms:created>
  <dcterms:modified xsi:type="dcterms:W3CDTF">2023-07-04T14:57:00Z</dcterms:modified>
</cp:coreProperties>
</file>