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F3A3" w14:textId="77777777" w:rsidR="000530BE" w:rsidRPr="00396E0D" w:rsidRDefault="000530BE" w:rsidP="000530BE">
      <w:pPr>
        <w:spacing w:after="0" w:line="480" w:lineRule="auto"/>
        <w:jc w:val="center"/>
        <w:rPr>
          <w:rFonts w:ascii="Times New Roman" w:hAnsi="Times New Roman" w:cs="Times New Roman"/>
          <w:color w:val="000000"/>
          <w:sz w:val="24"/>
          <w:szCs w:val="24"/>
          <w:shd w:val="clear" w:color="auto" w:fill="FFFFFF"/>
        </w:rPr>
      </w:pPr>
      <w:bookmarkStart w:id="0" w:name="_Hlk65501677"/>
      <w:r>
        <w:rPr>
          <w:rFonts w:ascii="Times New Roman" w:hAnsi="Times New Roman" w:cs="Times New Roman"/>
          <w:sz w:val="24"/>
          <w:szCs w:val="24"/>
        </w:rPr>
        <w:t xml:space="preserve">Design, content, and fieldwork procedures of the </w:t>
      </w:r>
      <w:r w:rsidRPr="00396E0D">
        <w:rPr>
          <w:rFonts w:ascii="Times New Roman" w:hAnsi="Times New Roman" w:cs="Times New Roman"/>
          <w:color w:val="000000"/>
          <w:sz w:val="24"/>
          <w:szCs w:val="24"/>
          <w:shd w:val="clear" w:color="auto" w:fill="FFFFFF"/>
        </w:rPr>
        <w:t>COVID-19 Psychological Research Consortium (C19PRC)</w:t>
      </w:r>
      <w:r w:rsidRPr="00396E0D">
        <w:rPr>
          <w:rFonts w:ascii="Times New Roman" w:hAnsi="Times New Roman" w:cs="Times New Roman"/>
          <w:b/>
          <w:bCs/>
          <w:color w:val="000000"/>
          <w:sz w:val="24"/>
          <w:szCs w:val="24"/>
          <w:shd w:val="clear" w:color="auto" w:fill="FFFFFF"/>
        </w:rPr>
        <w:t xml:space="preserve"> </w:t>
      </w:r>
      <w:r w:rsidRPr="00396E0D">
        <w:rPr>
          <w:rFonts w:ascii="Times New Roman" w:hAnsi="Times New Roman" w:cs="Times New Roman"/>
          <w:color w:val="000000"/>
          <w:sz w:val="24"/>
          <w:szCs w:val="24"/>
          <w:shd w:val="clear" w:color="auto" w:fill="FFFFFF"/>
        </w:rPr>
        <w:t>Study – Wave 4</w:t>
      </w:r>
    </w:p>
    <w:bookmarkEnd w:id="0"/>
    <w:p w14:paraId="2A1C8DAE" w14:textId="77777777" w:rsidR="000530BE" w:rsidRPr="00396E0D" w:rsidRDefault="000530BE" w:rsidP="000530BE">
      <w:pPr>
        <w:pStyle w:val="Header"/>
        <w:rPr>
          <w:rFonts w:ascii="Times New Roman" w:hAnsi="Times New Roman" w:cs="Times New Roman"/>
          <w:sz w:val="24"/>
          <w:szCs w:val="24"/>
        </w:rPr>
      </w:pPr>
    </w:p>
    <w:p w14:paraId="24742168" w14:textId="77777777" w:rsidR="000530BE" w:rsidRPr="00396E0D" w:rsidRDefault="000530BE" w:rsidP="000530BE">
      <w:pPr>
        <w:pStyle w:val="Header"/>
        <w:rPr>
          <w:rFonts w:ascii="Times New Roman" w:hAnsi="Times New Roman" w:cs="Times New Roman"/>
          <w:sz w:val="24"/>
          <w:szCs w:val="24"/>
        </w:rPr>
      </w:pPr>
    </w:p>
    <w:p w14:paraId="16325A6A" w14:textId="1578CC7D" w:rsidR="000530BE" w:rsidRDefault="000530BE" w:rsidP="000530BE">
      <w:pPr>
        <w:spacing w:after="0" w:line="480" w:lineRule="auto"/>
        <w:jc w:val="center"/>
        <w:rPr>
          <w:rFonts w:ascii="Times New Roman" w:hAnsi="Times New Roman" w:cs="Times New Roman"/>
          <w:color w:val="000000"/>
          <w:sz w:val="24"/>
          <w:szCs w:val="24"/>
          <w:shd w:val="clear" w:color="auto" w:fill="FFFFFF"/>
          <w:vertAlign w:val="superscript"/>
        </w:rPr>
      </w:pPr>
      <w:r w:rsidRPr="003C6669">
        <w:rPr>
          <w:rFonts w:ascii="Times New Roman" w:hAnsi="Times New Roman" w:cs="Times New Roman"/>
          <w:color w:val="000000"/>
          <w:sz w:val="24"/>
          <w:szCs w:val="24"/>
          <w:shd w:val="clear" w:color="auto" w:fill="FFFFFF"/>
        </w:rPr>
        <w:t>Orla McBride</w:t>
      </w:r>
      <w:r w:rsidRPr="003C6669">
        <w:rPr>
          <w:rFonts w:ascii="Times New Roman" w:hAnsi="Times New Roman" w:cs="Times New Roman"/>
          <w:color w:val="000000"/>
          <w:sz w:val="24"/>
          <w:szCs w:val="24"/>
          <w:shd w:val="clear" w:color="auto" w:fill="FFFFFF"/>
          <w:vertAlign w:val="superscript"/>
        </w:rPr>
        <w:t>1*</w:t>
      </w:r>
      <w:r w:rsidRPr="003C6669">
        <w:rPr>
          <w:rFonts w:ascii="Times New Roman" w:hAnsi="Times New Roman" w:cs="Times New Roman"/>
          <w:color w:val="000000"/>
          <w:sz w:val="24"/>
          <w:szCs w:val="24"/>
          <w:shd w:val="clear" w:color="auto" w:fill="FFFFFF"/>
        </w:rPr>
        <w:t>, Sarah Butter</w:t>
      </w:r>
      <w:r w:rsidRPr="003C6669">
        <w:rPr>
          <w:rFonts w:ascii="Times New Roman" w:hAnsi="Times New Roman" w:cs="Times New Roman"/>
          <w:color w:val="000000"/>
          <w:sz w:val="24"/>
          <w:szCs w:val="24"/>
          <w:shd w:val="clear" w:color="auto" w:fill="FFFFFF"/>
          <w:vertAlign w:val="superscript"/>
        </w:rPr>
        <w:t>2</w:t>
      </w:r>
      <w:r w:rsidRPr="003C6669">
        <w:rPr>
          <w:rFonts w:ascii="Times New Roman" w:hAnsi="Times New Roman" w:cs="Times New Roman"/>
          <w:color w:val="000000"/>
          <w:sz w:val="24"/>
          <w:szCs w:val="24"/>
          <w:shd w:val="clear" w:color="auto" w:fill="FFFFFF"/>
        </w:rPr>
        <w:t>, Jamie Murphy</w:t>
      </w:r>
      <w:r w:rsidRPr="003C6669">
        <w:rPr>
          <w:rFonts w:ascii="Times New Roman" w:hAnsi="Times New Roman" w:cs="Times New Roman"/>
          <w:color w:val="000000"/>
          <w:sz w:val="24"/>
          <w:szCs w:val="24"/>
          <w:shd w:val="clear" w:color="auto" w:fill="FFFFFF"/>
          <w:vertAlign w:val="superscript"/>
        </w:rPr>
        <w:t>1</w:t>
      </w:r>
      <w:r w:rsidRPr="003C6669">
        <w:rPr>
          <w:rFonts w:ascii="Times New Roman" w:hAnsi="Times New Roman" w:cs="Times New Roman"/>
          <w:color w:val="000000"/>
          <w:sz w:val="24"/>
          <w:szCs w:val="24"/>
          <w:shd w:val="clear" w:color="auto" w:fill="FFFFFF"/>
        </w:rPr>
        <w:t>, Mark Shevlin</w:t>
      </w:r>
      <w:r w:rsidRPr="003C6669">
        <w:rPr>
          <w:rFonts w:ascii="Times New Roman" w:hAnsi="Times New Roman" w:cs="Times New Roman"/>
          <w:color w:val="000000"/>
          <w:sz w:val="24"/>
          <w:szCs w:val="24"/>
          <w:shd w:val="clear" w:color="auto" w:fill="FFFFFF"/>
          <w:vertAlign w:val="superscript"/>
        </w:rPr>
        <w:t>1</w:t>
      </w:r>
      <w:r w:rsidRPr="003C6669">
        <w:rPr>
          <w:rFonts w:ascii="Times New Roman" w:hAnsi="Times New Roman" w:cs="Times New Roman"/>
          <w:color w:val="000000"/>
          <w:sz w:val="24"/>
          <w:szCs w:val="24"/>
          <w:shd w:val="clear" w:color="auto" w:fill="FFFFFF"/>
        </w:rPr>
        <w:t>, Todd K. Hartman</w:t>
      </w:r>
      <w:r w:rsidRPr="003C6669">
        <w:rPr>
          <w:rFonts w:ascii="Times New Roman" w:hAnsi="Times New Roman" w:cs="Times New Roman"/>
          <w:color w:val="000000"/>
          <w:sz w:val="24"/>
          <w:szCs w:val="24"/>
          <w:shd w:val="clear" w:color="auto" w:fill="FFFFFF"/>
          <w:vertAlign w:val="superscript"/>
        </w:rPr>
        <w:t>2</w:t>
      </w:r>
      <w:r w:rsidRPr="003C6669">
        <w:rPr>
          <w:rFonts w:ascii="Times New Roman" w:hAnsi="Times New Roman" w:cs="Times New Roman"/>
          <w:color w:val="000000"/>
          <w:sz w:val="24"/>
          <w:szCs w:val="24"/>
          <w:shd w:val="clear" w:color="auto" w:fill="FFFFFF"/>
        </w:rPr>
        <w:t>, Kate M. Bennett</w:t>
      </w:r>
      <w:r w:rsidRPr="003C6669">
        <w:rPr>
          <w:rFonts w:ascii="Times New Roman" w:hAnsi="Times New Roman" w:cs="Times New Roman"/>
          <w:color w:val="000000"/>
          <w:sz w:val="24"/>
          <w:szCs w:val="24"/>
          <w:shd w:val="clear" w:color="auto" w:fill="FFFFFF"/>
          <w:vertAlign w:val="superscript"/>
        </w:rPr>
        <w:t>3</w:t>
      </w:r>
      <w:r w:rsidRPr="003C6669">
        <w:rPr>
          <w:rFonts w:ascii="Times New Roman" w:hAnsi="Times New Roman" w:cs="Times New Roman"/>
          <w:color w:val="000000"/>
          <w:sz w:val="24"/>
          <w:szCs w:val="24"/>
          <w:shd w:val="clear" w:color="auto" w:fill="FFFFFF"/>
        </w:rPr>
        <w:t>,</w:t>
      </w:r>
      <w:r w:rsidRPr="003C6669">
        <w:rPr>
          <w:rFonts w:ascii="Times New Roman" w:hAnsi="Times New Roman" w:cs="Times New Roman"/>
          <w:color w:val="000000"/>
          <w:sz w:val="24"/>
          <w:szCs w:val="24"/>
          <w:shd w:val="clear" w:color="auto" w:fill="FFFFFF"/>
          <w:vertAlign w:val="superscript"/>
        </w:rPr>
        <w:t xml:space="preserve"> </w:t>
      </w:r>
      <w:r w:rsidRPr="003C6669">
        <w:rPr>
          <w:rFonts w:ascii="Times New Roman" w:hAnsi="Times New Roman" w:cs="Times New Roman"/>
          <w:color w:val="000000"/>
          <w:sz w:val="24"/>
          <w:szCs w:val="24"/>
          <w:shd w:val="clear" w:color="auto" w:fill="FFFFFF"/>
        </w:rPr>
        <w:t>Thomas VA Stocks</w:t>
      </w:r>
      <w:r w:rsidRPr="003C6669">
        <w:rPr>
          <w:rFonts w:ascii="Times New Roman" w:hAnsi="Times New Roman" w:cs="Times New Roman"/>
          <w:color w:val="000000"/>
          <w:sz w:val="24"/>
          <w:szCs w:val="24"/>
          <w:shd w:val="clear" w:color="auto" w:fill="FFFFFF"/>
          <w:vertAlign w:val="superscript"/>
        </w:rPr>
        <w:t>2</w:t>
      </w:r>
      <w:r w:rsidRPr="00B150E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vertAlign w:val="superscript"/>
        </w:rPr>
        <w:t xml:space="preserve"> </w:t>
      </w:r>
      <w:r>
        <w:rPr>
          <w:rFonts w:ascii="Times New Roman" w:hAnsi="Times New Roman" w:cs="Times New Roman"/>
          <w:color w:val="000000"/>
          <w:sz w:val="24"/>
          <w:szCs w:val="24"/>
          <w:shd w:val="clear" w:color="auto" w:fill="FFFFFF"/>
        </w:rPr>
        <w:t>Alex Lloyd</w:t>
      </w:r>
      <w:r w:rsidRPr="003C6669">
        <w:rPr>
          <w:rFonts w:ascii="Times New Roman" w:hAnsi="Times New Roman" w:cs="Times New Roman"/>
          <w:color w:val="000000"/>
          <w:sz w:val="24"/>
          <w:szCs w:val="24"/>
          <w:shd w:val="clear" w:color="auto" w:fill="FFFFFF"/>
          <w:vertAlign w:val="superscript"/>
        </w:rPr>
        <w:t>4</w:t>
      </w:r>
      <w:r>
        <w:rPr>
          <w:rFonts w:ascii="Times New Roman" w:hAnsi="Times New Roman" w:cs="Times New Roman"/>
          <w:color w:val="000000"/>
          <w:sz w:val="24"/>
          <w:szCs w:val="24"/>
          <w:shd w:val="clear" w:color="auto" w:fill="FFFFFF"/>
        </w:rPr>
        <w:t xml:space="preserve">, </w:t>
      </w:r>
      <w:r w:rsidRPr="003C6669">
        <w:rPr>
          <w:rFonts w:ascii="Times New Roman" w:hAnsi="Times New Roman" w:cs="Times New Roman"/>
          <w:color w:val="000000"/>
          <w:sz w:val="24"/>
          <w:szCs w:val="24"/>
          <w:shd w:val="clear" w:color="auto" w:fill="FFFFFF"/>
        </w:rPr>
        <w:t>Ryan McKay</w:t>
      </w:r>
      <w:r w:rsidRPr="003C6669">
        <w:rPr>
          <w:rFonts w:ascii="Times New Roman" w:hAnsi="Times New Roman" w:cs="Times New Roman"/>
          <w:color w:val="000000"/>
          <w:sz w:val="24"/>
          <w:szCs w:val="24"/>
          <w:shd w:val="clear" w:color="auto" w:fill="FFFFFF"/>
          <w:vertAlign w:val="superscript"/>
        </w:rPr>
        <w:t>4</w:t>
      </w:r>
      <w:r w:rsidRPr="003C6669">
        <w:rPr>
          <w:rFonts w:ascii="Times New Roman" w:hAnsi="Times New Roman" w:cs="Times New Roman"/>
          <w:color w:val="000000"/>
          <w:sz w:val="24"/>
          <w:szCs w:val="24"/>
          <w:shd w:val="clear" w:color="auto" w:fill="FFFFFF"/>
        </w:rPr>
        <w:t>, Jilly Gibson</w:t>
      </w:r>
      <w:r>
        <w:rPr>
          <w:rFonts w:ascii="Times New Roman" w:hAnsi="Times New Roman" w:cs="Times New Roman"/>
          <w:color w:val="000000"/>
          <w:sz w:val="24"/>
          <w:szCs w:val="24"/>
          <w:shd w:val="clear" w:color="auto" w:fill="FFFFFF"/>
        </w:rPr>
        <w:t>-</w:t>
      </w:r>
      <w:r w:rsidRPr="003C6669">
        <w:rPr>
          <w:rFonts w:ascii="Times New Roman" w:hAnsi="Times New Roman" w:cs="Times New Roman"/>
          <w:color w:val="000000"/>
          <w:sz w:val="24"/>
          <w:szCs w:val="24"/>
          <w:shd w:val="clear" w:color="auto" w:fill="FFFFFF"/>
        </w:rPr>
        <w:t>Miller</w:t>
      </w:r>
      <w:bookmarkStart w:id="1" w:name="_Hlk37343012"/>
      <w:r w:rsidRPr="003C6669">
        <w:rPr>
          <w:rFonts w:ascii="Times New Roman" w:hAnsi="Times New Roman" w:cs="Times New Roman"/>
          <w:color w:val="000000"/>
          <w:sz w:val="24"/>
          <w:szCs w:val="24"/>
          <w:shd w:val="clear" w:color="auto" w:fill="FFFFFF"/>
          <w:vertAlign w:val="superscript"/>
        </w:rPr>
        <w:t>2</w:t>
      </w:r>
      <w:bookmarkEnd w:id="1"/>
      <w:r w:rsidRPr="003C6669">
        <w:rPr>
          <w:rFonts w:ascii="Times New Roman" w:hAnsi="Times New Roman" w:cs="Times New Roman"/>
          <w:color w:val="000000"/>
          <w:sz w:val="24"/>
          <w:szCs w:val="24"/>
          <w:shd w:val="clear" w:color="auto" w:fill="FFFFFF"/>
        </w:rPr>
        <w:t xml:space="preserve">, </w:t>
      </w:r>
      <w:proofErr w:type="spellStart"/>
      <w:r w:rsidRPr="003C6669">
        <w:rPr>
          <w:rFonts w:ascii="Times New Roman" w:hAnsi="Times New Roman" w:cs="Times New Roman"/>
          <w:color w:val="000000"/>
          <w:sz w:val="24"/>
          <w:szCs w:val="24"/>
          <w:shd w:val="clear" w:color="auto" w:fill="FFFFFF"/>
        </w:rPr>
        <w:t>Liat</w:t>
      </w:r>
      <w:proofErr w:type="spellEnd"/>
      <w:r w:rsidRPr="003C6669">
        <w:rPr>
          <w:rFonts w:ascii="Times New Roman" w:hAnsi="Times New Roman" w:cs="Times New Roman"/>
          <w:color w:val="000000"/>
          <w:sz w:val="24"/>
          <w:szCs w:val="24"/>
          <w:shd w:val="clear" w:color="auto" w:fill="FFFFFF"/>
        </w:rPr>
        <w:t xml:space="preserve"> Levita</w:t>
      </w:r>
      <w:r w:rsidRPr="003C6669">
        <w:rPr>
          <w:rFonts w:ascii="Times New Roman" w:hAnsi="Times New Roman" w:cs="Times New Roman"/>
          <w:color w:val="000000"/>
          <w:sz w:val="24"/>
          <w:szCs w:val="24"/>
          <w:shd w:val="clear" w:color="auto" w:fill="FFFFFF"/>
          <w:vertAlign w:val="superscript"/>
        </w:rPr>
        <w:t>2</w:t>
      </w:r>
      <w:r w:rsidRPr="003C6669">
        <w:rPr>
          <w:rFonts w:ascii="Times New Roman" w:hAnsi="Times New Roman" w:cs="Times New Roman"/>
          <w:color w:val="000000"/>
          <w:sz w:val="24"/>
          <w:szCs w:val="24"/>
          <w:shd w:val="clear" w:color="auto" w:fill="FFFFFF"/>
        </w:rPr>
        <w:t>, Liam Mason</w:t>
      </w:r>
      <w:r>
        <w:rPr>
          <w:rFonts w:ascii="Times New Roman" w:hAnsi="Times New Roman" w:cs="Times New Roman"/>
          <w:color w:val="000000"/>
          <w:sz w:val="24"/>
          <w:szCs w:val="24"/>
          <w:shd w:val="clear" w:color="auto" w:fill="FFFFFF"/>
          <w:vertAlign w:val="superscript"/>
        </w:rPr>
        <w:t>5</w:t>
      </w:r>
      <w:r w:rsidRPr="003C6669">
        <w:rPr>
          <w:rFonts w:ascii="Times New Roman" w:hAnsi="Times New Roman" w:cs="Times New Roman"/>
          <w:color w:val="000000"/>
          <w:sz w:val="24"/>
          <w:szCs w:val="24"/>
          <w:shd w:val="clear" w:color="auto" w:fill="FFFFFF"/>
        </w:rPr>
        <w:t>, Anton P. Martinez</w:t>
      </w:r>
      <w:r w:rsidRPr="003C6669">
        <w:rPr>
          <w:rFonts w:ascii="Times New Roman" w:hAnsi="Times New Roman" w:cs="Times New Roman"/>
          <w:color w:val="000000"/>
          <w:sz w:val="24"/>
          <w:szCs w:val="24"/>
          <w:shd w:val="clear" w:color="auto" w:fill="FFFFFF"/>
          <w:vertAlign w:val="superscript"/>
        </w:rPr>
        <w:t>2</w:t>
      </w:r>
      <w:r w:rsidRPr="003C666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C6669">
        <w:rPr>
          <w:rFonts w:ascii="Times New Roman" w:hAnsi="Times New Roman" w:cs="Times New Roman"/>
          <w:color w:val="000000"/>
          <w:sz w:val="24"/>
          <w:szCs w:val="24"/>
          <w:shd w:val="clear" w:color="auto" w:fill="FFFFFF"/>
        </w:rPr>
        <w:t>Philip Hyland</w:t>
      </w:r>
      <w:r>
        <w:rPr>
          <w:rFonts w:ascii="Times New Roman" w:hAnsi="Times New Roman" w:cs="Times New Roman"/>
          <w:color w:val="000000"/>
          <w:sz w:val="24"/>
          <w:szCs w:val="24"/>
          <w:shd w:val="clear" w:color="auto" w:fill="FFFFFF"/>
          <w:vertAlign w:val="superscript"/>
        </w:rPr>
        <w:t>6</w:t>
      </w:r>
      <w:r w:rsidRPr="00B150E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vertAlign w:val="superscript"/>
        </w:rPr>
        <w:t xml:space="preserve"> </w:t>
      </w:r>
      <w:proofErr w:type="spellStart"/>
      <w:r w:rsidRPr="003C6669">
        <w:rPr>
          <w:rFonts w:ascii="Times New Roman" w:hAnsi="Times New Roman" w:cs="Times New Roman"/>
          <w:sz w:val="24"/>
          <w:szCs w:val="24"/>
        </w:rPr>
        <w:t>Frédérique</w:t>
      </w:r>
      <w:proofErr w:type="spellEnd"/>
      <w:r w:rsidRPr="003C6669">
        <w:rPr>
          <w:rFonts w:ascii="Times New Roman" w:hAnsi="Times New Roman" w:cs="Times New Roman"/>
          <w:sz w:val="24"/>
          <w:szCs w:val="24"/>
        </w:rPr>
        <w:t xml:space="preserve"> Vallières</w:t>
      </w:r>
      <w:r w:rsidRPr="003C6669">
        <w:rPr>
          <w:rFonts w:ascii="Times New Roman" w:hAnsi="Times New Roman" w:cs="Times New Roman"/>
          <w:bCs/>
          <w:sz w:val="24"/>
          <w:szCs w:val="24"/>
          <w:vertAlign w:val="superscript"/>
        </w:rPr>
        <w:t>7</w:t>
      </w:r>
      <w:r w:rsidRPr="003C6669">
        <w:rPr>
          <w:rFonts w:ascii="Times New Roman" w:hAnsi="Times New Roman" w:cs="Times New Roman"/>
          <w:color w:val="000000"/>
          <w:sz w:val="24"/>
          <w:szCs w:val="24"/>
          <w:shd w:val="clear" w:color="auto" w:fill="FFFFFF"/>
        </w:rPr>
        <w:t xml:space="preserve">, </w:t>
      </w:r>
      <w:r w:rsidRPr="003C6669">
        <w:rPr>
          <w:rFonts w:ascii="Times New Roman" w:hAnsi="Times New Roman" w:cs="Times New Roman"/>
          <w:sz w:val="24"/>
          <w:szCs w:val="24"/>
        </w:rPr>
        <w:t>Thanos Karatzias</w:t>
      </w:r>
      <w:r w:rsidRPr="003C6669">
        <w:rPr>
          <w:rFonts w:ascii="Times New Roman" w:hAnsi="Times New Roman" w:cs="Times New Roman"/>
          <w:bCs/>
          <w:sz w:val="24"/>
          <w:szCs w:val="24"/>
          <w:vertAlign w:val="superscript"/>
        </w:rPr>
        <w:t>8</w:t>
      </w:r>
      <w:r w:rsidRPr="00DF40DC">
        <w:rPr>
          <w:rFonts w:ascii="Times New Roman" w:hAnsi="Times New Roman" w:cs="Times New Roman"/>
          <w:bCs/>
          <w:sz w:val="24"/>
          <w:szCs w:val="24"/>
        </w:rPr>
        <w:t>,</w:t>
      </w:r>
      <w:r w:rsidRPr="003C6669">
        <w:rPr>
          <w:rFonts w:ascii="Times New Roman" w:hAnsi="Times New Roman" w:cs="Times New Roman"/>
          <w:sz w:val="24"/>
          <w:szCs w:val="24"/>
        </w:rPr>
        <w:t xml:space="preserve"> </w:t>
      </w:r>
      <w:r w:rsidRPr="00CD3FA0">
        <w:rPr>
          <w:rFonts w:ascii="Times New Roman" w:hAnsi="Times New Roman" w:cs="Times New Roman"/>
          <w:color w:val="000000"/>
          <w:sz w:val="24"/>
          <w:szCs w:val="24"/>
          <w:shd w:val="clear" w:color="auto" w:fill="FFFFFF"/>
        </w:rPr>
        <w:t>Carmen Valiente</w:t>
      </w:r>
      <w:r w:rsidRPr="00CD3FA0">
        <w:rPr>
          <w:rFonts w:ascii="Times New Roman" w:hAnsi="Times New Roman" w:cs="Times New Roman"/>
          <w:color w:val="000000"/>
          <w:sz w:val="24"/>
          <w:szCs w:val="24"/>
          <w:shd w:val="clear" w:color="auto" w:fill="FFFFFF"/>
          <w:vertAlign w:val="superscript"/>
        </w:rPr>
        <w:t>9</w:t>
      </w:r>
      <w:r>
        <w:rPr>
          <w:rFonts w:ascii="Times New Roman" w:hAnsi="Times New Roman" w:cs="Times New Roman"/>
          <w:color w:val="000000"/>
          <w:sz w:val="24"/>
          <w:szCs w:val="24"/>
          <w:shd w:val="clear" w:color="auto" w:fill="FFFFFF"/>
        </w:rPr>
        <w:t xml:space="preserve">, </w:t>
      </w:r>
      <w:r w:rsidRPr="00CD3FA0">
        <w:rPr>
          <w:rFonts w:ascii="Times New Roman" w:hAnsi="Times New Roman" w:cs="Times New Roman"/>
          <w:color w:val="000000"/>
          <w:sz w:val="24"/>
          <w:szCs w:val="24"/>
          <w:shd w:val="clear" w:color="auto" w:fill="FFFFFF"/>
        </w:rPr>
        <w:t>Carmelo Vazquez</w:t>
      </w:r>
      <w:r w:rsidRPr="00CD3FA0">
        <w:rPr>
          <w:rFonts w:ascii="Times New Roman" w:hAnsi="Times New Roman" w:cs="Times New Roman"/>
          <w:color w:val="000000"/>
          <w:sz w:val="24"/>
          <w:szCs w:val="24"/>
          <w:shd w:val="clear" w:color="auto" w:fill="FFFFFF"/>
          <w:vertAlign w:val="superscript"/>
        </w:rPr>
        <w:t>9</w:t>
      </w:r>
      <w:r>
        <w:rPr>
          <w:rFonts w:ascii="Times New Roman" w:hAnsi="Times New Roman" w:cs="Times New Roman"/>
          <w:color w:val="000000"/>
          <w:sz w:val="24"/>
          <w:szCs w:val="24"/>
          <w:shd w:val="clear" w:color="auto" w:fill="FFFFFF"/>
        </w:rPr>
        <w:t>, &amp;</w:t>
      </w:r>
      <w:r w:rsidRPr="003C6669">
        <w:rPr>
          <w:rFonts w:ascii="Times New Roman" w:hAnsi="Times New Roman" w:cs="Times New Roman"/>
          <w:color w:val="000000"/>
          <w:sz w:val="24"/>
          <w:szCs w:val="24"/>
          <w:shd w:val="clear" w:color="auto" w:fill="FFFFFF"/>
        </w:rPr>
        <w:t xml:space="preserve"> Richard P. Bentall</w:t>
      </w:r>
      <w:r w:rsidRPr="003C6669">
        <w:rPr>
          <w:rFonts w:ascii="Times New Roman" w:hAnsi="Times New Roman" w:cs="Times New Roman"/>
          <w:color w:val="000000"/>
          <w:sz w:val="24"/>
          <w:szCs w:val="24"/>
          <w:shd w:val="clear" w:color="auto" w:fill="FFFFFF"/>
          <w:vertAlign w:val="superscript"/>
        </w:rPr>
        <w:t>2</w:t>
      </w:r>
    </w:p>
    <w:p w14:paraId="56499560" w14:textId="5FF46608" w:rsidR="000530BE" w:rsidRDefault="000530BE" w:rsidP="000530BE">
      <w:pPr>
        <w:spacing w:after="0" w:line="480" w:lineRule="auto"/>
        <w:jc w:val="center"/>
        <w:rPr>
          <w:rFonts w:ascii="Times New Roman" w:hAnsi="Times New Roman" w:cs="Times New Roman"/>
          <w:color w:val="000000"/>
          <w:sz w:val="24"/>
          <w:szCs w:val="24"/>
          <w:shd w:val="clear" w:color="auto" w:fill="FFFFFF"/>
          <w:vertAlign w:val="superscript"/>
        </w:rPr>
      </w:pPr>
    </w:p>
    <w:p w14:paraId="3DFB18CC" w14:textId="0797A0DF" w:rsidR="000530BE" w:rsidRPr="000530BE" w:rsidRDefault="000530BE" w:rsidP="000530BE">
      <w:pPr>
        <w:spacing w:after="0" w:line="480" w:lineRule="auto"/>
        <w:jc w:val="center"/>
        <w:rPr>
          <w:rFonts w:ascii="Times New Roman" w:hAnsi="Times New Roman" w:cs="Times New Roman"/>
          <w:b/>
          <w:bCs/>
          <w:color w:val="000000"/>
          <w:sz w:val="24"/>
          <w:szCs w:val="24"/>
          <w:shd w:val="clear" w:color="auto" w:fill="FFFFFF"/>
        </w:rPr>
      </w:pPr>
      <w:r w:rsidRPr="000530BE">
        <w:rPr>
          <w:rFonts w:ascii="Times New Roman" w:hAnsi="Times New Roman" w:cs="Times New Roman"/>
          <w:b/>
          <w:bCs/>
          <w:color w:val="000000"/>
          <w:sz w:val="24"/>
          <w:szCs w:val="24"/>
          <w:shd w:val="clear" w:color="auto" w:fill="FFFFFF"/>
        </w:rPr>
        <w:t>Supplementary Results and Tables</w:t>
      </w:r>
    </w:p>
    <w:p w14:paraId="24C360DD" w14:textId="77777777" w:rsidR="000530BE" w:rsidRPr="003C6669" w:rsidRDefault="000530BE" w:rsidP="000530BE">
      <w:pPr>
        <w:spacing w:after="0" w:line="480" w:lineRule="auto"/>
        <w:jc w:val="center"/>
        <w:rPr>
          <w:rFonts w:ascii="Times New Roman" w:hAnsi="Times New Roman" w:cs="Times New Roman"/>
          <w:color w:val="000000"/>
          <w:sz w:val="24"/>
          <w:szCs w:val="24"/>
          <w:shd w:val="clear" w:color="auto" w:fill="FFFFFF"/>
        </w:rPr>
      </w:pPr>
    </w:p>
    <w:p w14:paraId="7667B548" w14:textId="77777777" w:rsidR="000530BE" w:rsidRPr="003C6669" w:rsidRDefault="000530BE" w:rsidP="000530BE">
      <w:pPr>
        <w:spacing w:after="0" w:line="480" w:lineRule="auto"/>
        <w:jc w:val="center"/>
        <w:rPr>
          <w:rFonts w:ascii="Times New Roman" w:hAnsi="Times New Roman" w:cs="Times New Roman"/>
          <w:color w:val="000000"/>
          <w:sz w:val="24"/>
          <w:szCs w:val="24"/>
          <w:shd w:val="clear" w:color="auto" w:fill="FFFFFF"/>
        </w:rPr>
      </w:pPr>
      <w:r w:rsidRPr="003C6669">
        <w:rPr>
          <w:rFonts w:ascii="Times New Roman" w:hAnsi="Times New Roman" w:cs="Times New Roman"/>
          <w:color w:val="000000"/>
          <w:sz w:val="24"/>
          <w:szCs w:val="24"/>
          <w:shd w:val="clear" w:color="auto" w:fill="FFFFFF"/>
          <w:vertAlign w:val="superscript"/>
        </w:rPr>
        <w:t xml:space="preserve">1 </w:t>
      </w:r>
      <w:r w:rsidRPr="003C6669">
        <w:rPr>
          <w:rFonts w:ascii="Times New Roman" w:hAnsi="Times New Roman" w:cs="Times New Roman"/>
          <w:color w:val="000000"/>
          <w:sz w:val="24"/>
          <w:szCs w:val="24"/>
          <w:shd w:val="clear" w:color="auto" w:fill="FFFFFF"/>
        </w:rPr>
        <w:t>Ulster University, Northern Ireland</w:t>
      </w:r>
    </w:p>
    <w:p w14:paraId="03A27170" w14:textId="77777777" w:rsidR="000530BE" w:rsidRPr="003C6669" w:rsidRDefault="000530BE" w:rsidP="000530BE">
      <w:pPr>
        <w:spacing w:after="0" w:line="480" w:lineRule="auto"/>
        <w:jc w:val="center"/>
        <w:rPr>
          <w:rFonts w:ascii="Times New Roman" w:hAnsi="Times New Roman" w:cs="Times New Roman"/>
          <w:color w:val="000000"/>
          <w:sz w:val="24"/>
          <w:szCs w:val="24"/>
          <w:shd w:val="clear" w:color="auto" w:fill="FFFFFF"/>
        </w:rPr>
      </w:pPr>
      <w:r w:rsidRPr="003C6669">
        <w:rPr>
          <w:rFonts w:ascii="Times New Roman" w:hAnsi="Times New Roman" w:cs="Times New Roman"/>
          <w:color w:val="000000"/>
          <w:sz w:val="24"/>
          <w:szCs w:val="24"/>
          <w:shd w:val="clear" w:color="auto" w:fill="FFFFFF"/>
          <w:vertAlign w:val="superscript"/>
        </w:rPr>
        <w:t xml:space="preserve">2 </w:t>
      </w:r>
      <w:r w:rsidRPr="003C6669">
        <w:rPr>
          <w:rFonts w:ascii="Times New Roman" w:hAnsi="Times New Roman" w:cs="Times New Roman"/>
          <w:color w:val="000000"/>
          <w:sz w:val="24"/>
          <w:szCs w:val="24"/>
          <w:shd w:val="clear" w:color="auto" w:fill="FFFFFF"/>
        </w:rPr>
        <w:t>University of Sheffield, England</w:t>
      </w:r>
    </w:p>
    <w:p w14:paraId="09E686EB" w14:textId="77777777" w:rsidR="000530BE" w:rsidRDefault="000530BE" w:rsidP="000530BE">
      <w:pPr>
        <w:spacing w:after="0" w:line="480" w:lineRule="auto"/>
        <w:jc w:val="center"/>
        <w:rPr>
          <w:rFonts w:ascii="Times New Roman" w:hAnsi="Times New Roman" w:cs="Times New Roman"/>
          <w:color w:val="000000"/>
          <w:sz w:val="24"/>
          <w:szCs w:val="24"/>
          <w:shd w:val="clear" w:color="auto" w:fill="FFFFFF"/>
        </w:rPr>
      </w:pPr>
      <w:r w:rsidRPr="003C6669">
        <w:rPr>
          <w:rFonts w:ascii="Times New Roman" w:hAnsi="Times New Roman" w:cs="Times New Roman"/>
          <w:color w:val="000000"/>
          <w:sz w:val="24"/>
          <w:szCs w:val="24"/>
          <w:shd w:val="clear" w:color="auto" w:fill="FFFFFF"/>
          <w:vertAlign w:val="superscript"/>
        </w:rPr>
        <w:t xml:space="preserve">3 </w:t>
      </w:r>
      <w:r>
        <w:rPr>
          <w:rFonts w:ascii="Times New Roman" w:hAnsi="Times New Roman" w:cs="Times New Roman"/>
          <w:color w:val="000000"/>
          <w:sz w:val="24"/>
          <w:szCs w:val="24"/>
          <w:shd w:val="clear" w:color="auto" w:fill="FFFFFF"/>
        </w:rPr>
        <w:t xml:space="preserve">University of Liverpool, England </w:t>
      </w:r>
    </w:p>
    <w:p w14:paraId="6BD2A5CF" w14:textId="77777777" w:rsidR="000530BE" w:rsidRDefault="000530BE" w:rsidP="000530BE">
      <w:pPr>
        <w:spacing w:after="0" w:line="480" w:lineRule="auto"/>
        <w:jc w:val="center"/>
        <w:rPr>
          <w:rFonts w:ascii="Times New Roman" w:hAnsi="Times New Roman" w:cs="Times New Roman"/>
          <w:color w:val="000000"/>
          <w:sz w:val="24"/>
          <w:szCs w:val="24"/>
          <w:shd w:val="clear" w:color="auto" w:fill="FFFFFF"/>
        </w:rPr>
      </w:pPr>
      <w:r w:rsidRPr="003C6669">
        <w:rPr>
          <w:rFonts w:ascii="Times New Roman" w:hAnsi="Times New Roman" w:cs="Times New Roman"/>
          <w:color w:val="000000"/>
          <w:sz w:val="24"/>
          <w:szCs w:val="24"/>
          <w:shd w:val="clear" w:color="auto" w:fill="FFFFFF"/>
          <w:vertAlign w:val="superscript"/>
        </w:rPr>
        <w:t>4</w:t>
      </w:r>
      <w:r w:rsidRPr="003C6669">
        <w:rPr>
          <w:rFonts w:ascii="Times New Roman" w:hAnsi="Times New Roman" w:cs="Times New Roman"/>
          <w:color w:val="000000"/>
          <w:sz w:val="24"/>
          <w:szCs w:val="24"/>
          <w:shd w:val="clear" w:color="auto" w:fill="FFFFFF"/>
        </w:rPr>
        <w:t xml:space="preserve"> Royal Holloway, University of London, England </w:t>
      </w:r>
    </w:p>
    <w:p w14:paraId="0B2FD822" w14:textId="77777777" w:rsidR="000530BE" w:rsidRPr="003C6669" w:rsidRDefault="000530BE" w:rsidP="000530BE">
      <w:pPr>
        <w:spacing w:after="0"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5</w:t>
      </w:r>
      <w:r w:rsidRPr="003C6669">
        <w:rPr>
          <w:rFonts w:ascii="Times New Roman" w:hAnsi="Times New Roman" w:cs="Times New Roman"/>
          <w:color w:val="000000"/>
          <w:sz w:val="24"/>
          <w:szCs w:val="24"/>
          <w:shd w:val="clear" w:color="auto" w:fill="FFFFFF"/>
          <w:vertAlign w:val="superscript"/>
        </w:rPr>
        <w:t xml:space="preserve"> </w:t>
      </w:r>
      <w:r w:rsidRPr="003C6669">
        <w:rPr>
          <w:rFonts w:ascii="Times New Roman" w:hAnsi="Times New Roman" w:cs="Times New Roman"/>
          <w:color w:val="000000"/>
          <w:sz w:val="24"/>
          <w:szCs w:val="24"/>
          <w:shd w:val="clear" w:color="auto" w:fill="FFFFFF"/>
        </w:rPr>
        <w:t>University College London, England</w:t>
      </w:r>
    </w:p>
    <w:p w14:paraId="4583536A" w14:textId="77777777" w:rsidR="000530BE" w:rsidRPr="003C6669" w:rsidRDefault="000530BE" w:rsidP="000530BE">
      <w:pPr>
        <w:spacing w:after="0" w:line="48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 xml:space="preserve">6 </w:t>
      </w:r>
      <w:r>
        <w:rPr>
          <w:rFonts w:ascii="Times New Roman" w:hAnsi="Times New Roman" w:cs="Times New Roman"/>
          <w:color w:val="000000"/>
          <w:sz w:val="24"/>
          <w:szCs w:val="24"/>
          <w:shd w:val="clear" w:color="auto" w:fill="FFFFFF"/>
        </w:rPr>
        <w:t>Ma</w:t>
      </w:r>
      <w:r w:rsidRPr="003C6669">
        <w:rPr>
          <w:rFonts w:ascii="Times New Roman" w:hAnsi="Times New Roman" w:cs="Times New Roman"/>
          <w:color w:val="000000"/>
          <w:sz w:val="24"/>
          <w:szCs w:val="24"/>
          <w:shd w:val="clear" w:color="auto" w:fill="FFFFFF"/>
        </w:rPr>
        <w:t xml:space="preserve">ynooth University, Republic of Ireland </w:t>
      </w:r>
    </w:p>
    <w:p w14:paraId="5A23D2C9" w14:textId="77777777" w:rsidR="000530BE" w:rsidRPr="003C6669" w:rsidRDefault="000530BE" w:rsidP="000530BE">
      <w:pPr>
        <w:spacing w:after="0" w:line="480" w:lineRule="auto"/>
        <w:jc w:val="center"/>
        <w:rPr>
          <w:rFonts w:ascii="Times New Roman" w:hAnsi="Times New Roman" w:cs="Times New Roman"/>
          <w:bCs/>
          <w:sz w:val="24"/>
          <w:szCs w:val="24"/>
        </w:rPr>
      </w:pPr>
      <w:r w:rsidRPr="003C6669">
        <w:rPr>
          <w:rFonts w:ascii="Times New Roman" w:hAnsi="Times New Roman" w:cs="Times New Roman"/>
          <w:bCs/>
          <w:sz w:val="24"/>
          <w:szCs w:val="24"/>
          <w:vertAlign w:val="superscript"/>
        </w:rPr>
        <w:t>7</w:t>
      </w:r>
      <w:r w:rsidRPr="003C6669">
        <w:rPr>
          <w:rFonts w:ascii="Times New Roman" w:hAnsi="Times New Roman" w:cs="Times New Roman"/>
          <w:bCs/>
          <w:sz w:val="24"/>
          <w:szCs w:val="24"/>
        </w:rPr>
        <w:t>Trinity College Dublin, Republic of Ireland</w:t>
      </w:r>
    </w:p>
    <w:p w14:paraId="2B5A5B96" w14:textId="77777777" w:rsidR="000530BE" w:rsidRDefault="000530BE" w:rsidP="000530BE">
      <w:pPr>
        <w:spacing w:after="0" w:line="480" w:lineRule="auto"/>
        <w:jc w:val="center"/>
        <w:rPr>
          <w:rFonts w:ascii="Times New Roman" w:hAnsi="Times New Roman" w:cs="Times New Roman"/>
          <w:bCs/>
          <w:sz w:val="24"/>
          <w:szCs w:val="24"/>
        </w:rPr>
      </w:pPr>
      <w:r w:rsidRPr="003C6669">
        <w:rPr>
          <w:rFonts w:ascii="Times New Roman" w:hAnsi="Times New Roman" w:cs="Times New Roman"/>
          <w:bCs/>
          <w:sz w:val="24"/>
          <w:szCs w:val="24"/>
          <w:vertAlign w:val="superscript"/>
        </w:rPr>
        <w:t>8</w:t>
      </w:r>
      <w:r w:rsidRPr="003C6669">
        <w:rPr>
          <w:rFonts w:ascii="Times New Roman" w:hAnsi="Times New Roman" w:cs="Times New Roman"/>
          <w:bCs/>
          <w:sz w:val="24"/>
          <w:szCs w:val="24"/>
        </w:rPr>
        <w:t>Napier University, Scotland</w:t>
      </w:r>
    </w:p>
    <w:p w14:paraId="447858EB" w14:textId="77777777" w:rsidR="000530BE" w:rsidRDefault="000530BE" w:rsidP="000530BE">
      <w:pPr>
        <w:spacing w:after="0" w:line="480" w:lineRule="auto"/>
        <w:jc w:val="center"/>
        <w:rPr>
          <w:rFonts w:ascii="Times New Roman" w:hAnsi="Times New Roman" w:cs="Times New Roman"/>
          <w:color w:val="000000" w:themeColor="text1"/>
          <w:sz w:val="24"/>
          <w:szCs w:val="24"/>
          <w:shd w:val="clear" w:color="auto" w:fill="FFFFFF"/>
        </w:rPr>
      </w:pPr>
      <w:r w:rsidRPr="00CD3FA0">
        <w:rPr>
          <w:rFonts w:ascii="Times New Roman" w:hAnsi="Times New Roman" w:cs="Times New Roman"/>
          <w:color w:val="000000"/>
          <w:sz w:val="24"/>
          <w:szCs w:val="24"/>
          <w:shd w:val="clear" w:color="auto" w:fill="FFFFFF"/>
          <w:vertAlign w:val="superscript"/>
        </w:rPr>
        <w:t>9</w:t>
      </w:r>
      <w:r w:rsidRPr="00051CF7">
        <w:rPr>
          <w:rFonts w:ascii="Times New Roman" w:hAnsi="Times New Roman" w:cs="Times New Roman"/>
          <w:color w:val="000000"/>
          <w:sz w:val="24"/>
          <w:szCs w:val="24"/>
          <w:shd w:val="clear" w:color="auto" w:fill="FFFFFF"/>
        </w:rPr>
        <w:t>Complutense University of Madrid</w:t>
      </w:r>
    </w:p>
    <w:p w14:paraId="57F7F787" w14:textId="77777777" w:rsidR="000530BE" w:rsidRDefault="000530BE" w:rsidP="000530BE">
      <w:pPr>
        <w:spacing w:after="0" w:line="480" w:lineRule="auto"/>
        <w:rPr>
          <w:rFonts w:ascii="Times New Roman" w:hAnsi="Times New Roman" w:cs="Times New Roman"/>
          <w:color w:val="000000" w:themeColor="text1"/>
          <w:sz w:val="24"/>
          <w:szCs w:val="24"/>
          <w:shd w:val="clear" w:color="auto" w:fill="FFFFFF"/>
        </w:rPr>
      </w:pPr>
    </w:p>
    <w:p w14:paraId="730202B3" w14:textId="5014C41D" w:rsidR="000530BE" w:rsidRPr="00396E0D" w:rsidRDefault="000530BE" w:rsidP="000530BE">
      <w:pPr>
        <w:spacing w:after="0" w:line="480" w:lineRule="auto"/>
        <w:rPr>
          <w:rFonts w:ascii="Times New Roman" w:hAnsi="Times New Roman" w:cs="Times New Roman"/>
          <w:color w:val="000000"/>
          <w:sz w:val="24"/>
          <w:szCs w:val="24"/>
          <w:shd w:val="clear" w:color="auto" w:fill="FFFFFF"/>
        </w:rPr>
      </w:pPr>
      <w:r w:rsidRPr="00396E0D">
        <w:rPr>
          <w:rFonts w:ascii="Times New Roman" w:hAnsi="Times New Roman" w:cs="Times New Roman"/>
          <w:color w:val="000000" w:themeColor="text1"/>
          <w:sz w:val="24"/>
          <w:szCs w:val="24"/>
          <w:shd w:val="clear" w:color="auto" w:fill="FFFFFF"/>
        </w:rPr>
        <w:t xml:space="preserve">Short title: </w:t>
      </w:r>
      <w:r w:rsidRPr="00396E0D">
        <w:rPr>
          <w:rFonts w:ascii="Times New Roman" w:hAnsi="Times New Roman" w:cs="Times New Roman"/>
          <w:color w:val="000000" w:themeColor="text1"/>
          <w:sz w:val="24"/>
          <w:szCs w:val="24"/>
        </w:rPr>
        <w:t>C19PRC Study Wave 4 protocol</w:t>
      </w:r>
    </w:p>
    <w:p w14:paraId="2F2E7614" w14:textId="77777777" w:rsidR="000530BE" w:rsidRPr="00396E0D" w:rsidRDefault="000530BE" w:rsidP="000530BE">
      <w:pPr>
        <w:spacing w:after="0" w:line="480" w:lineRule="auto"/>
        <w:rPr>
          <w:rFonts w:ascii="Times New Roman" w:hAnsi="Times New Roman" w:cs="Times New Roman"/>
          <w:b/>
          <w:bCs/>
          <w:color w:val="000000"/>
          <w:sz w:val="24"/>
          <w:szCs w:val="24"/>
          <w:shd w:val="clear" w:color="auto" w:fill="FFFFFF"/>
        </w:rPr>
      </w:pPr>
    </w:p>
    <w:p w14:paraId="2474AA38" w14:textId="77777777" w:rsidR="000530BE" w:rsidRPr="00396E0D" w:rsidRDefault="000530BE" w:rsidP="000530BE">
      <w:pPr>
        <w:spacing w:after="0" w:line="480" w:lineRule="auto"/>
        <w:rPr>
          <w:rFonts w:ascii="Times New Roman" w:hAnsi="Times New Roman" w:cs="Times New Roman"/>
          <w:sz w:val="24"/>
          <w:szCs w:val="24"/>
        </w:rPr>
      </w:pPr>
      <w:r w:rsidRPr="00396E0D">
        <w:rPr>
          <w:rFonts w:ascii="Times New Roman" w:hAnsi="Times New Roman" w:cs="Times New Roman"/>
          <w:b/>
          <w:bCs/>
          <w:color w:val="000000"/>
          <w:sz w:val="24"/>
          <w:szCs w:val="24"/>
          <w:shd w:val="clear" w:color="auto" w:fill="FFFFFF"/>
        </w:rPr>
        <w:t>Corresponding author:</w:t>
      </w:r>
      <w:r w:rsidRPr="00396E0D">
        <w:rPr>
          <w:rFonts w:ascii="Times New Roman" w:hAnsi="Times New Roman" w:cs="Times New Roman"/>
          <w:color w:val="000000"/>
          <w:sz w:val="24"/>
          <w:szCs w:val="24"/>
          <w:shd w:val="clear" w:color="auto" w:fill="FFFFFF"/>
        </w:rPr>
        <w:t xml:space="preserve"> Dr Orla McBride, School of Psychology, Ulster University, </w:t>
      </w:r>
      <w:proofErr w:type="spellStart"/>
      <w:r w:rsidRPr="00396E0D">
        <w:rPr>
          <w:rFonts w:ascii="Times New Roman" w:hAnsi="Times New Roman" w:cs="Times New Roman"/>
          <w:color w:val="000000"/>
          <w:sz w:val="24"/>
          <w:szCs w:val="24"/>
          <w:shd w:val="clear" w:color="auto" w:fill="FFFFFF"/>
        </w:rPr>
        <w:t>Cromore</w:t>
      </w:r>
      <w:proofErr w:type="spellEnd"/>
      <w:r w:rsidRPr="00396E0D">
        <w:rPr>
          <w:rFonts w:ascii="Times New Roman" w:hAnsi="Times New Roman" w:cs="Times New Roman"/>
          <w:color w:val="000000"/>
          <w:sz w:val="24"/>
          <w:szCs w:val="24"/>
          <w:shd w:val="clear" w:color="auto" w:fill="FFFFFF"/>
        </w:rPr>
        <w:t xml:space="preserve"> Road, Coleraine, BT52 1SA, Northern Ireland. Email: </w:t>
      </w:r>
      <w:hyperlink r:id="rId6" w:history="1">
        <w:r w:rsidRPr="00396E0D">
          <w:rPr>
            <w:rStyle w:val="Hyperlink"/>
            <w:rFonts w:ascii="Times New Roman" w:hAnsi="Times New Roman" w:cs="Times New Roman"/>
            <w:sz w:val="24"/>
            <w:szCs w:val="24"/>
            <w:shd w:val="clear" w:color="auto" w:fill="FFFFFF"/>
          </w:rPr>
          <w:t>o.mcbride@ulster.ac.uk</w:t>
        </w:r>
      </w:hyperlink>
      <w:r w:rsidRPr="00396E0D">
        <w:rPr>
          <w:rFonts w:ascii="Times New Roman" w:hAnsi="Times New Roman" w:cs="Times New Roman"/>
          <w:color w:val="000000"/>
          <w:sz w:val="24"/>
          <w:szCs w:val="24"/>
          <w:shd w:val="clear" w:color="auto" w:fill="FFFFFF"/>
        </w:rPr>
        <w:t>; Tel: 0044(0)2870123987.</w:t>
      </w:r>
    </w:p>
    <w:p w14:paraId="14F0C50D" w14:textId="0F9BB4A5" w:rsidR="000530BE" w:rsidRPr="000530BE" w:rsidRDefault="000530BE" w:rsidP="0081287E">
      <w:pPr>
        <w:spacing w:after="0" w:line="480" w:lineRule="auto"/>
        <w:rPr>
          <w:rFonts w:ascii="Times New Roman" w:hAnsi="Times New Roman" w:cs="Times New Roman"/>
          <w:b/>
          <w:bCs/>
          <w:sz w:val="24"/>
          <w:szCs w:val="24"/>
        </w:rPr>
      </w:pPr>
      <w:r w:rsidRPr="000530BE">
        <w:rPr>
          <w:rFonts w:ascii="Times New Roman" w:hAnsi="Times New Roman" w:cs="Times New Roman"/>
          <w:b/>
          <w:bCs/>
          <w:sz w:val="24"/>
          <w:szCs w:val="24"/>
        </w:rPr>
        <w:lastRenderedPageBreak/>
        <w:t>3. Results</w:t>
      </w:r>
    </w:p>
    <w:p w14:paraId="4F98015A" w14:textId="207A8A3C" w:rsidR="000530BE" w:rsidRDefault="00E9650F" w:rsidP="0081287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Supplementary Table 1 displays the outcome of the raking weighting procedure for the C19PRC-UKW4 data. The counts and </w:t>
      </w:r>
      <w:r w:rsidR="0081287E">
        <w:rPr>
          <w:rFonts w:ascii="Times New Roman" w:hAnsi="Times New Roman" w:cs="Times New Roman"/>
          <w:sz w:val="24"/>
          <w:szCs w:val="24"/>
        </w:rPr>
        <w:t>percentages</w:t>
      </w:r>
      <w:r>
        <w:rPr>
          <w:rFonts w:ascii="Times New Roman" w:hAnsi="Times New Roman" w:cs="Times New Roman"/>
          <w:sz w:val="24"/>
          <w:szCs w:val="24"/>
        </w:rPr>
        <w:t xml:space="preserve"> for baseline sampling quotas </w:t>
      </w:r>
      <w:r w:rsidR="0081287E">
        <w:rPr>
          <w:rFonts w:ascii="Times New Roman" w:hAnsi="Times New Roman" w:cs="Times New Roman"/>
          <w:sz w:val="24"/>
          <w:szCs w:val="24"/>
        </w:rPr>
        <w:t>determined</w:t>
      </w:r>
      <w:r>
        <w:rPr>
          <w:rFonts w:ascii="Times New Roman" w:hAnsi="Times New Roman" w:cs="Times New Roman"/>
          <w:sz w:val="24"/>
          <w:szCs w:val="24"/>
        </w:rPr>
        <w:t xml:space="preserve"> for </w:t>
      </w:r>
      <w:r w:rsidR="0081287E">
        <w:rPr>
          <w:rFonts w:ascii="Times New Roman" w:hAnsi="Times New Roman" w:cs="Times New Roman"/>
          <w:sz w:val="24"/>
          <w:szCs w:val="24"/>
        </w:rPr>
        <w:t xml:space="preserve">gender, </w:t>
      </w:r>
      <w:r>
        <w:rPr>
          <w:rFonts w:ascii="Times New Roman" w:hAnsi="Times New Roman" w:cs="Times New Roman"/>
          <w:sz w:val="24"/>
          <w:szCs w:val="24"/>
        </w:rPr>
        <w:t>age,</w:t>
      </w:r>
      <w:r w:rsidR="0081287E">
        <w:rPr>
          <w:rFonts w:ascii="Times New Roman" w:hAnsi="Times New Roman" w:cs="Times New Roman"/>
          <w:sz w:val="24"/>
          <w:szCs w:val="24"/>
        </w:rPr>
        <w:t xml:space="preserve"> and household income, as well as the proportions of baseline respondents according to urbanicity, ethnicity, household composition and born/raised in the UK are presented in the first column. The counts and percentages </w:t>
      </w:r>
      <w:r w:rsidR="003745D7">
        <w:rPr>
          <w:rFonts w:ascii="Times New Roman" w:hAnsi="Times New Roman" w:cs="Times New Roman"/>
          <w:sz w:val="24"/>
          <w:szCs w:val="24"/>
        </w:rPr>
        <w:t xml:space="preserve">of baseline respondents recontacted </w:t>
      </w:r>
      <w:r w:rsidR="0081287E">
        <w:rPr>
          <w:rFonts w:ascii="Times New Roman" w:hAnsi="Times New Roman" w:cs="Times New Roman"/>
          <w:sz w:val="24"/>
          <w:szCs w:val="24"/>
        </w:rPr>
        <w:t xml:space="preserve">at C19PRC-UKW4 (fourth wave) are presented in the middle column. The weighted counts and frequencies having applied the weight variable generated from the raking procedure (see Main Text, section </w:t>
      </w:r>
      <w:r w:rsidR="0081287E" w:rsidRPr="0081287E">
        <w:rPr>
          <w:rFonts w:ascii="Times New Roman" w:hAnsi="Times New Roman" w:cs="Times New Roman"/>
          <w:b/>
          <w:bCs/>
          <w:sz w:val="24"/>
          <w:szCs w:val="24"/>
        </w:rPr>
        <w:t>2.4 Data analysis plan and weight procedures.</w:t>
      </w:r>
      <w:r w:rsidR="0081287E">
        <w:rPr>
          <w:rFonts w:ascii="Times New Roman" w:hAnsi="Times New Roman" w:cs="Times New Roman"/>
          <w:sz w:val="24"/>
          <w:szCs w:val="24"/>
        </w:rPr>
        <w:t xml:space="preserve">) is presented in the final column. Applying the weight variable for the longitudinal panel strand (N=1271) at C19PRC-UKW4 successful rebalances the sample to within 1% (see Main Text, section </w:t>
      </w:r>
      <w:r w:rsidR="0081287E" w:rsidRPr="0081287E">
        <w:rPr>
          <w:rFonts w:ascii="Times New Roman" w:hAnsi="Times New Roman" w:cs="Times New Roman"/>
          <w:b/>
          <w:bCs/>
          <w:sz w:val="24"/>
          <w:szCs w:val="24"/>
        </w:rPr>
        <w:t>3.2 Weight procedures Phase 1 longitudinal panel from baseline).</w:t>
      </w:r>
      <w:r w:rsidR="0081287E">
        <w:rPr>
          <w:rFonts w:ascii="Times New Roman" w:hAnsi="Times New Roman" w:cs="Times New Roman"/>
          <w:sz w:val="24"/>
          <w:szCs w:val="24"/>
        </w:rPr>
        <w:t xml:space="preserve"> </w:t>
      </w:r>
    </w:p>
    <w:p w14:paraId="49DCAD52" w14:textId="4CB07E26" w:rsidR="000530BE" w:rsidRDefault="000530BE" w:rsidP="00C62E4F">
      <w:pPr>
        <w:rPr>
          <w:rFonts w:ascii="Times New Roman" w:hAnsi="Times New Roman" w:cs="Times New Roman"/>
          <w:sz w:val="24"/>
          <w:szCs w:val="24"/>
        </w:rPr>
      </w:pPr>
    </w:p>
    <w:p w14:paraId="29E458D7" w14:textId="3830EC33" w:rsidR="0081287E" w:rsidRDefault="0081287E" w:rsidP="00C62E4F">
      <w:pPr>
        <w:rPr>
          <w:rFonts w:ascii="Times New Roman" w:hAnsi="Times New Roman" w:cs="Times New Roman"/>
          <w:sz w:val="24"/>
          <w:szCs w:val="24"/>
        </w:rPr>
      </w:pPr>
    </w:p>
    <w:p w14:paraId="47E22DEE" w14:textId="4B08CF4A" w:rsidR="0081287E" w:rsidRDefault="0081287E" w:rsidP="00C62E4F">
      <w:pPr>
        <w:rPr>
          <w:rFonts w:ascii="Times New Roman" w:hAnsi="Times New Roman" w:cs="Times New Roman"/>
          <w:sz w:val="24"/>
          <w:szCs w:val="24"/>
        </w:rPr>
      </w:pPr>
    </w:p>
    <w:p w14:paraId="2C051CD4" w14:textId="5B2FCDC7" w:rsidR="0081287E" w:rsidRDefault="0081287E" w:rsidP="00C62E4F">
      <w:pPr>
        <w:rPr>
          <w:rFonts w:ascii="Times New Roman" w:hAnsi="Times New Roman" w:cs="Times New Roman"/>
          <w:sz w:val="24"/>
          <w:szCs w:val="24"/>
        </w:rPr>
      </w:pPr>
    </w:p>
    <w:p w14:paraId="53F62030" w14:textId="243DA390" w:rsidR="0081287E" w:rsidRDefault="0081287E" w:rsidP="00C62E4F">
      <w:pPr>
        <w:rPr>
          <w:rFonts w:ascii="Times New Roman" w:hAnsi="Times New Roman" w:cs="Times New Roman"/>
          <w:sz w:val="24"/>
          <w:szCs w:val="24"/>
        </w:rPr>
      </w:pPr>
    </w:p>
    <w:p w14:paraId="6BB881C8" w14:textId="2057D7E2" w:rsidR="0081287E" w:rsidRDefault="0081287E" w:rsidP="00C62E4F">
      <w:pPr>
        <w:rPr>
          <w:rFonts w:ascii="Times New Roman" w:hAnsi="Times New Roman" w:cs="Times New Roman"/>
          <w:sz w:val="24"/>
          <w:szCs w:val="24"/>
        </w:rPr>
      </w:pPr>
    </w:p>
    <w:p w14:paraId="6501C740" w14:textId="1045CD67" w:rsidR="0081287E" w:rsidRDefault="0081287E" w:rsidP="00C62E4F">
      <w:pPr>
        <w:rPr>
          <w:rFonts w:ascii="Times New Roman" w:hAnsi="Times New Roman" w:cs="Times New Roman"/>
          <w:sz w:val="24"/>
          <w:szCs w:val="24"/>
        </w:rPr>
      </w:pPr>
    </w:p>
    <w:p w14:paraId="60E59227" w14:textId="6224C2AD" w:rsidR="0081287E" w:rsidRDefault="0081287E" w:rsidP="00C62E4F">
      <w:pPr>
        <w:rPr>
          <w:rFonts w:ascii="Times New Roman" w:hAnsi="Times New Roman" w:cs="Times New Roman"/>
          <w:sz w:val="24"/>
          <w:szCs w:val="24"/>
        </w:rPr>
      </w:pPr>
    </w:p>
    <w:p w14:paraId="374D3EE4" w14:textId="297274B7" w:rsidR="0081287E" w:rsidRDefault="0081287E" w:rsidP="00C62E4F">
      <w:pPr>
        <w:rPr>
          <w:rFonts w:ascii="Times New Roman" w:hAnsi="Times New Roman" w:cs="Times New Roman"/>
          <w:sz w:val="24"/>
          <w:szCs w:val="24"/>
        </w:rPr>
      </w:pPr>
    </w:p>
    <w:p w14:paraId="26F459B0" w14:textId="07217A2D" w:rsidR="0081287E" w:rsidRDefault="0081287E" w:rsidP="00C62E4F">
      <w:pPr>
        <w:rPr>
          <w:rFonts w:ascii="Times New Roman" w:hAnsi="Times New Roman" w:cs="Times New Roman"/>
          <w:sz w:val="24"/>
          <w:szCs w:val="24"/>
        </w:rPr>
      </w:pPr>
    </w:p>
    <w:p w14:paraId="2A58BD88" w14:textId="296BD230" w:rsidR="0081287E" w:rsidRDefault="0081287E" w:rsidP="00C62E4F">
      <w:pPr>
        <w:rPr>
          <w:rFonts w:ascii="Times New Roman" w:hAnsi="Times New Roman" w:cs="Times New Roman"/>
          <w:sz w:val="24"/>
          <w:szCs w:val="24"/>
        </w:rPr>
      </w:pPr>
    </w:p>
    <w:p w14:paraId="286B55BA" w14:textId="38C495B1" w:rsidR="0081287E" w:rsidRDefault="0081287E" w:rsidP="00C62E4F">
      <w:pPr>
        <w:rPr>
          <w:rFonts w:ascii="Times New Roman" w:hAnsi="Times New Roman" w:cs="Times New Roman"/>
          <w:sz w:val="24"/>
          <w:szCs w:val="24"/>
        </w:rPr>
      </w:pPr>
    </w:p>
    <w:p w14:paraId="68AF67F6" w14:textId="2C343F34" w:rsidR="0081287E" w:rsidRDefault="0081287E" w:rsidP="00C62E4F">
      <w:pPr>
        <w:rPr>
          <w:rFonts w:ascii="Times New Roman" w:hAnsi="Times New Roman" w:cs="Times New Roman"/>
          <w:sz w:val="24"/>
          <w:szCs w:val="24"/>
        </w:rPr>
      </w:pPr>
    </w:p>
    <w:p w14:paraId="6B698AE0" w14:textId="4B019D2C" w:rsidR="0081287E" w:rsidRDefault="0081287E" w:rsidP="00C62E4F">
      <w:pPr>
        <w:rPr>
          <w:rFonts w:ascii="Times New Roman" w:hAnsi="Times New Roman" w:cs="Times New Roman"/>
          <w:sz w:val="24"/>
          <w:szCs w:val="24"/>
        </w:rPr>
      </w:pPr>
    </w:p>
    <w:p w14:paraId="17F78D1C" w14:textId="0EED22C6" w:rsidR="0081287E" w:rsidRDefault="0081287E" w:rsidP="00C62E4F">
      <w:pPr>
        <w:rPr>
          <w:rFonts w:ascii="Times New Roman" w:hAnsi="Times New Roman" w:cs="Times New Roman"/>
          <w:sz w:val="24"/>
          <w:szCs w:val="24"/>
        </w:rPr>
      </w:pPr>
    </w:p>
    <w:p w14:paraId="3A5BB0DD" w14:textId="77777777" w:rsidR="0081287E" w:rsidRDefault="0081287E" w:rsidP="00C62E4F">
      <w:pPr>
        <w:rPr>
          <w:rFonts w:ascii="Times New Roman" w:hAnsi="Times New Roman" w:cs="Times New Roman"/>
          <w:sz w:val="24"/>
          <w:szCs w:val="24"/>
        </w:rPr>
      </w:pPr>
    </w:p>
    <w:p w14:paraId="69E5FFC5" w14:textId="71EF9159" w:rsidR="00C62E4F" w:rsidRDefault="00C62E4F" w:rsidP="00C62E4F">
      <w:pPr>
        <w:rPr>
          <w:rFonts w:ascii="Times New Roman" w:hAnsi="Times New Roman" w:cs="Times New Roman"/>
          <w:sz w:val="24"/>
          <w:szCs w:val="24"/>
        </w:rPr>
      </w:pPr>
      <w:r>
        <w:rPr>
          <w:rFonts w:ascii="Times New Roman" w:hAnsi="Times New Roman" w:cs="Times New Roman"/>
          <w:sz w:val="24"/>
          <w:szCs w:val="24"/>
        </w:rPr>
        <w:lastRenderedPageBreak/>
        <w:t xml:space="preserve">Supplementary Table 1. </w:t>
      </w:r>
      <w:r w:rsidRPr="007266AB">
        <w:rPr>
          <w:rFonts w:ascii="Times New Roman" w:hAnsi="Times New Roman" w:cs="Times New Roman"/>
          <w:sz w:val="24"/>
          <w:szCs w:val="24"/>
        </w:rPr>
        <w:t>Outcome of raking weighting procedure</w:t>
      </w:r>
      <w:r w:rsidR="0081287E">
        <w:rPr>
          <w:rFonts w:ascii="Times New Roman" w:hAnsi="Times New Roman" w:cs="Times New Roman"/>
          <w:sz w:val="24"/>
          <w:szCs w:val="24"/>
        </w:rPr>
        <w:t xml:space="preserve"> at C19PRC-UKW4</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1762"/>
        <w:gridCol w:w="2215"/>
        <w:gridCol w:w="2215"/>
      </w:tblGrid>
      <w:tr w:rsidR="00C62E4F" w:rsidRPr="001E619A" w14:paraId="4B661488" w14:textId="77777777" w:rsidTr="00E9650F">
        <w:tc>
          <w:tcPr>
            <w:tcW w:w="1570" w:type="pct"/>
            <w:tcBorders>
              <w:top w:val="single" w:sz="4" w:space="0" w:color="auto"/>
              <w:bottom w:val="single" w:sz="4" w:space="0" w:color="auto"/>
            </w:tcBorders>
          </w:tcPr>
          <w:p w14:paraId="3792191D" w14:textId="2575F35E" w:rsidR="00C62E4F" w:rsidRPr="00D90FCF" w:rsidRDefault="00D90FCF" w:rsidP="003745D7">
            <w:pPr>
              <w:rPr>
                <w:rFonts w:asciiTheme="majorBidi" w:hAnsiTheme="majorBidi" w:cstheme="majorBidi"/>
                <w:sz w:val="24"/>
                <w:szCs w:val="24"/>
              </w:rPr>
            </w:pPr>
            <w:r w:rsidRPr="00D90FCF">
              <w:rPr>
                <w:rFonts w:asciiTheme="majorBidi" w:hAnsiTheme="majorBidi" w:cstheme="majorBidi"/>
                <w:sz w:val="24"/>
                <w:szCs w:val="24"/>
              </w:rPr>
              <w:t>C19PRC-UKW1 (baseline) sociodemographic c</w:t>
            </w:r>
            <w:proofErr w:type="spellStart"/>
            <w:r>
              <w:rPr>
                <w:rFonts w:asciiTheme="majorBidi" w:hAnsiTheme="majorBidi" w:cstheme="majorBidi"/>
                <w:sz w:val="24"/>
                <w:szCs w:val="24"/>
                <w:lang w:val="fr-FR"/>
              </w:rPr>
              <w:t>haracteristics</w:t>
            </w:r>
            <w:proofErr w:type="spellEnd"/>
          </w:p>
        </w:tc>
        <w:tc>
          <w:tcPr>
            <w:tcW w:w="976" w:type="pct"/>
            <w:tcBorders>
              <w:top w:val="single" w:sz="4" w:space="0" w:color="auto"/>
              <w:bottom w:val="single" w:sz="4" w:space="0" w:color="auto"/>
            </w:tcBorders>
          </w:tcPr>
          <w:p w14:paraId="7ADA3144" w14:textId="1815E688" w:rsidR="00C62E4F" w:rsidRPr="001E619A" w:rsidRDefault="003745D7" w:rsidP="003745D7">
            <w:pPr>
              <w:jc w:val="center"/>
              <w:rPr>
                <w:rFonts w:asciiTheme="majorBidi" w:hAnsiTheme="majorBidi" w:cstheme="majorBidi"/>
                <w:sz w:val="24"/>
                <w:szCs w:val="24"/>
              </w:rPr>
            </w:pPr>
            <w:r>
              <w:rPr>
                <w:rFonts w:asciiTheme="majorBidi" w:hAnsiTheme="majorBidi" w:cstheme="majorBidi"/>
                <w:sz w:val="24"/>
                <w:szCs w:val="24"/>
              </w:rPr>
              <w:t>C19PRC-UKW1 (</w:t>
            </w:r>
            <w:r>
              <w:rPr>
                <w:rFonts w:asciiTheme="majorBidi" w:hAnsiTheme="majorBidi" w:cstheme="majorBidi"/>
                <w:i/>
                <w:iCs/>
                <w:sz w:val="24"/>
                <w:szCs w:val="24"/>
              </w:rPr>
              <w:t>N=</w:t>
            </w:r>
            <w:r>
              <w:rPr>
                <w:rFonts w:asciiTheme="majorBidi" w:hAnsiTheme="majorBidi" w:cstheme="majorBidi"/>
                <w:sz w:val="24"/>
                <w:szCs w:val="24"/>
              </w:rPr>
              <w:t>2025)</w:t>
            </w:r>
          </w:p>
        </w:tc>
        <w:tc>
          <w:tcPr>
            <w:tcW w:w="1227" w:type="pct"/>
            <w:tcBorders>
              <w:top w:val="single" w:sz="4" w:space="0" w:color="auto"/>
              <w:bottom w:val="single" w:sz="4" w:space="0" w:color="auto"/>
            </w:tcBorders>
          </w:tcPr>
          <w:p w14:paraId="1FA105B3" w14:textId="0FDC6ABD" w:rsidR="00C62E4F" w:rsidRPr="001E619A" w:rsidRDefault="00D90FCF" w:rsidP="003745D7">
            <w:pPr>
              <w:jc w:val="center"/>
              <w:rPr>
                <w:rFonts w:asciiTheme="majorBidi" w:hAnsiTheme="majorBidi" w:cstheme="majorBidi"/>
                <w:sz w:val="24"/>
                <w:szCs w:val="24"/>
              </w:rPr>
            </w:pPr>
            <w:r>
              <w:rPr>
                <w:rFonts w:asciiTheme="majorBidi" w:hAnsiTheme="majorBidi" w:cstheme="majorBidi"/>
                <w:sz w:val="24"/>
                <w:szCs w:val="24"/>
              </w:rPr>
              <w:t xml:space="preserve">C1PRC-UKW1 respondents recontacted at C19PRC-UKW4 </w:t>
            </w:r>
            <w:r w:rsidR="00C62E4F" w:rsidRPr="001E619A">
              <w:rPr>
                <w:rFonts w:asciiTheme="majorBidi" w:hAnsiTheme="majorBidi" w:cstheme="majorBidi"/>
                <w:sz w:val="24"/>
                <w:szCs w:val="24"/>
              </w:rPr>
              <w:t>(not weighted</w:t>
            </w:r>
            <w:r>
              <w:rPr>
                <w:rFonts w:asciiTheme="majorBidi" w:hAnsiTheme="majorBidi" w:cstheme="majorBidi"/>
                <w:sz w:val="24"/>
                <w:szCs w:val="24"/>
              </w:rPr>
              <w:t xml:space="preserve">; </w:t>
            </w:r>
            <w:r>
              <w:rPr>
                <w:rFonts w:asciiTheme="majorBidi" w:hAnsiTheme="majorBidi" w:cstheme="majorBidi"/>
                <w:i/>
                <w:iCs/>
                <w:sz w:val="24"/>
                <w:szCs w:val="24"/>
              </w:rPr>
              <w:t>N</w:t>
            </w:r>
            <w:r>
              <w:rPr>
                <w:rFonts w:asciiTheme="majorBidi" w:hAnsiTheme="majorBidi" w:cstheme="majorBidi"/>
                <w:sz w:val="24"/>
                <w:szCs w:val="24"/>
              </w:rPr>
              <w:t>=1271</w:t>
            </w:r>
          </w:p>
        </w:tc>
        <w:tc>
          <w:tcPr>
            <w:tcW w:w="1227" w:type="pct"/>
            <w:tcBorders>
              <w:top w:val="single" w:sz="4" w:space="0" w:color="auto"/>
              <w:bottom w:val="single" w:sz="4" w:space="0" w:color="auto"/>
            </w:tcBorders>
          </w:tcPr>
          <w:p w14:paraId="7F647193" w14:textId="15F79015" w:rsidR="00C62E4F" w:rsidRPr="001E619A" w:rsidRDefault="00D90FCF" w:rsidP="003745D7">
            <w:pPr>
              <w:jc w:val="center"/>
              <w:rPr>
                <w:rFonts w:asciiTheme="majorBidi" w:hAnsiTheme="majorBidi" w:cstheme="majorBidi"/>
                <w:sz w:val="24"/>
                <w:szCs w:val="24"/>
              </w:rPr>
            </w:pPr>
            <w:r>
              <w:rPr>
                <w:rFonts w:asciiTheme="majorBidi" w:hAnsiTheme="majorBidi" w:cstheme="majorBidi"/>
                <w:sz w:val="24"/>
                <w:szCs w:val="24"/>
              </w:rPr>
              <w:t xml:space="preserve">C1PRC-UKW1 respondents recontacted at C19PRC-UKW4 </w:t>
            </w:r>
            <w:r w:rsidR="00C62E4F" w:rsidRPr="001E619A">
              <w:rPr>
                <w:rFonts w:asciiTheme="majorBidi" w:hAnsiTheme="majorBidi" w:cstheme="majorBidi"/>
                <w:sz w:val="24"/>
                <w:szCs w:val="24"/>
              </w:rPr>
              <w:t xml:space="preserve">(weighted – 5% </w:t>
            </w:r>
            <w:proofErr w:type="gramStart"/>
            <w:r w:rsidR="00C62E4F" w:rsidRPr="001E619A">
              <w:rPr>
                <w:rFonts w:asciiTheme="majorBidi" w:hAnsiTheme="majorBidi" w:cstheme="majorBidi"/>
                <w:sz w:val="24"/>
                <w:szCs w:val="24"/>
              </w:rPr>
              <w:t>weight</w:t>
            </w:r>
            <w:r>
              <w:rPr>
                <w:rFonts w:asciiTheme="majorBidi" w:hAnsiTheme="majorBidi" w:cstheme="majorBidi"/>
                <w:sz w:val="24"/>
                <w:szCs w:val="24"/>
              </w:rPr>
              <w:t>;</w:t>
            </w:r>
            <w:proofErr w:type="gramEnd"/>
            <w:r>
              <w:rPr>
                <w:rFonts w:asciiTheme="majorBidi" w:hAnsiTheme="majorBidi" w:cstheme="majorBidi"/>
                <w:sz w:val="24"/>
                <w:szCs w:val="24"/>
              </w:rPr>
              <w:t xml:space="preserve"> </w:t>
            </w:r>
            <w:r>
              <w:rPr>
                <w:rFonts w:asciiTheme="majorBidi" w:hAnsiTheme="majorBidi" w:cstheme="majorBidi"/>
                <w:i/>
                <w:iCs/>
                <w:sz w:val="24"/>
                <w:szCs w:val="24"/>
              </w:rPr>
              <w:t>N</w:t>
            </w:r>
            <w:r>
              <w:rPr>
                <w:rFonts w:asciiTheme="majorBidi" w:hAnsiTheme="majorBidi" w:cstheme="majorBidi"/>
                <w:sz w:val="24"/>
                <w:szCs w:val="24"/>
              </w:rPr>
              <w:t>=1271</w:t>
            </w:r>
            <w:r w:rsidR="00C62E4F" w:rsidRPr="001E619A">
              <w:rPr>
                <w:rFonts w:asciiTheme="majorBidi" w:hAnsiTheme="majorBidi" w:cstheme="majorBidi"/>
                <w:sz w:val="24"/>
                <w:szCs w:val="24"/>
              </w:rPr>
              <w:t>)</w:t>
            </w:r>
          </w:p>
        </w:tc>
      </w:tr>
      <w:tr w:rsidR="00E9650F" w:rsidRPr="001E619A" w14:paraId="5CDE04E3" w14:textId="77777777" w:rsidTr="00E9650F">
        <w:tc>
          <w:tcPr>
            <w:tcW w:w="1570" w:type="pct"/>
            <w:tcBorders>
              <w:top w:val="single" w:sz="4" w:space="0" w:color="auto"/>
              <w:bottom w:val="nil"/>
            </w:tcBorders>
          </w:tcPr>
          <w:p w14:paraId="45038606" w14:textId="46681635" w:rsidR="00E9650F" w:rsidRPr="001E619A" w:rsidRDefault="00E9650F" w:rsidP="00E9650F">
            <w:pPr>
              <w:rPr>
                <w:rFonts w:asciiTheme="majorBidi" w:hAnsiTheme="majorBidi" w:cstheme="majorBidi"/>
                <w:b/>
                <w:bCs/>
                <w:sz w:val="24"/>
                <w:szCs w:val="24"/>
              </w:rPr>
            </w:pPr>
            <w:r w:rsidRPr="001E619A">
              <w:rPr>
                <w:rFonts w:asciiTheme="majorBidi" w:hAnsiTheme="majorBidi" w:cstheme="majorBidi"/>
                <w:b/>
                <w:bCs/>
                <w:sz w:val="24"/>
                <w:szCs w:val="24"/>
              </w:rPr>
              <w:t>Gender</w:t>
            </w:r>
          </w:p>
        </w:tc>
        <w:tc>
          <w:tcPr>
            <w:tcW w:w="976" w:type="pct"/>
            <w:tcBorders>
              <w:top w:val="single" w:sz="4" w:space="0" w:color="auto"/>
              <w:bottom w:val="nil"/>
            </w:tcBorders>
          </w:tcPr>
          <w:p w14:paraId="33397DFB" w14:textId="77777777" w:rsidR="00E9650F" w:rsidRPr="001E619A" w:rsidRDefault="00E9650F" w:rsidP="00E9650F">
            <w:pPr>
              <w:jc w:val="center"/>
              <w:rPr>
                <w:rFonts w:asciiTheme="majorBidi" w:hAnsiTheme="majorBidi" w:cstheme="majorBidi"/>
                <w:sz w:val="24"/>
                <w:szCs w:val="24"/>
              </w:rPr>
            </w:pPr>
          </w:p>
        </w:tc>
        <w:tc>
          <w:tcPr>
            <w:tcW w:w="1227" w:type="pct"/>
            <w:tcBorders>
              <w:top w:val="single" w:sz="4" w:space="0" w:color="auto"/>
              <w:bottom w:val="nil"/>
            </w:tcBorders>
          </w:tcPr>
          <w:p w14:paraId="3FA2CBF1" w14:textId="77777777" w:rsidR="00E9650F" w:rsidRPr="001E619A" w:rsidRDefault="00E9650F" w:rsidP="00E9650F">
            <w:pPr>
              <w:jc w:val="center"/>
              <w:rPr>
                <w:rFonts w:asciiTheme="majorBidi" w:hAnsiTheme="majorBidi" w:cstheme="majorBidi"/>
                <w:sz w:val="24"/>
                <w:szCs w:val="24"/>
              </w:rPr>
            </w:pPr>
          </w:p>
        </w:tc>
        <w:tc>
          <w:tcPr>
            <w:tcW w:w="1227" w:type="pct"/>
            <w:tcBorders>
              <w:top w:val="single" w:sz="4" w:space="0" w:color="auto"/>
              <w:bottom w:val="nil"/>
            </w:tcBorders>
          </w:tcPr>
          <w:p w14:paraId="6376BA82" w14:textId="77777777" w:rsidR="00E9650F" w:rsidRPr="001E619A" w:rsidRDefault="00E9650F" w:rsidP="00E9650F">
            <w:pPr>
              <w:jc w:val="center"/>
              <w:rPr>
                <w:rFonts w:asciiTheme="majorBidi" w:hAnsiTheme="majorBidi" w:cstheme="majorBidi"/>
                <w:sz w:val="24"/>
                <w:szCs w:val="24"/>
              </w:rPr>
            </w:pPr>
          </w:p>
        </w:tc>
      </w:tr>
      <w:tr w:rsidR="00E9650F" w:rsidRPr="001E619A" w14:paraId="65C7D13F" w14:textId="77777777" w:rsidTr="00E9650F">
        <w:tc>
          <w:tcPr>
            <w:tcW w:w="1570" w:type="pct"/>
            <w:tcBorders>
              <w:top w:val="nil"/>
              <w:bottom w:val="nil"/>
            </w:tcBorders>
          </w:tcPr>
          <w:p w14:paraId="10567B8F" w14:textId="2228B7F0" w:rsidR="00E9650F" w:rsidRPr="001E619A" w:rsidRDefault="00E9650F" w:rsidP="00E9650F">
            <w:pPr>
              <w:rPr>
                <w:rFonts w:asciiTheme="majorBidi" w:hAnsiTheme="majorBidi" w:cstheme="majorBidi"/>
                <w:b/>
                <w:bCs/>
                <w:sz w:val="24"/>
                <w:szCs w:val="24"/>
              </w:rPr>
            </w:pPr>
            <w:r w:rsidRPr="001E619A">
              <w:rPr>
                <w:rFonts w:asciiTheme="majorBidi" w:hAnsiTheme="majorBidi" w:cstheme="majorBidi"/>
                <w:sz w:val="24"/>
                <w:szCs w:val="24"/>
              </w:rPr>
              <w:t>Male</w:t>
            </w:r>
          </w:p>
        </w:tc>
        <w:tc>
          <w:tcPr>
            <w:tcW w:w="976" w:type="pct"/>
            <w:tcBorders>
              <w:top w:val="nil"/>
              <w:bottom w:val="nil"/>
            </w:tcBorders>
          </w:tcPr>
          <w:p w14:paraId="60CEC8DB" w14:textId="0F252D02"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972 (48.0%)</w:t>
            </w:r>
          </w:p>
        </w:tc>
        <w:tc>
          <w:tcPr>
            <w:tcW w:w="1227" w:type="pct"/>
            <w:tcBorders>
              <w:top w:val="nil"/>
              <w:bottom w:val="nil"/>
            </w:tcBorders>
          </w:tcPr>
          <w:p w14:paraId="77FC6454" w14:textId="203C6FC2"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635 (50.0%)</w:t>
            </w:r>
          </w:p>
        </w:tc>
        <w:tc>
          <w:tcPr>
            <w:tcW w:w="1227" w:type="pct"/>
            <w:tcBorders>
              <w:top w:val="nil"/>
              <w:bottom w:val="nil"/>
            </w:tcBorders>
          </w:tcPr>
          <w:p w14:paraId="28A1E480" w14:textId="49982AA3"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601 (47.3%)</w:t>
            </w:r>
          </w:p>
        </w:tc>
      </w:tr>
      <w:tr w:rsidR="00E9650F" w:rsidRPr="001E619A" w14:paraId="19ACFC4A" w14:textId="77777777" w:rsidTr="00E9650F">
        <w:tc>
          <w:tcPr>
            <w:tcW w:w="1570" w:type="pct"/>
            <w:tcBorders>
              <w:top w:val="nil"/>
              <w:bottom w:val="nil"/>
            </w:tcBorders>
          </w:tcPr>
          <w:p w14:paraId="131946DB" w14:textId="6DA87BCA" w:rsidR="00E9650F" w:rsidRPr="001E619A" w:rsidRDefault="00E9650F" w:rsidP="00E9650F">
            <w:pPr>
              <w:rPr>
                <w:rFonts w:asciiTheme="majorBidi" w:hAnsiTheme="majorBidi" w:cstheme="majorBidi"/>
                <w:b/>
                <w:bCs/>
                <w:sz w:val="24"/>
                <w:szCs w:val="24"/>
              </w:rPr>
            </w:pPr>
            <w:r w:rsidRPr="001E619A">
              <w:rPr>
                <w:rFonts w:asciiTheme="majorBidi" w:hAnsiTheme="majorBidi" w:cstheme="majorBidi"/>
                <w:sz w:val="24"/>
                <w:szCs w:val="24"/>
              </w:rPr>
              <w:t>Female</w:t>
            </w:r>
          </w:p>
        </w:tc>
        <w:tc>
          <w:tcPr>
            <w:tcW w:w="976" w:type="pct"/>
            <w:tcBorders>
              <w:top w:val="nil"/>
              <w:bottom w:val="nil"/>
            </w:tcBorders>
          </w:tcPr>
          <w:p w14:paraId="4BBFF0A3" w14:textId="73A1E6A5"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1047 (51.7%)</w:t>
            </w:r>
          </w:p>
        </w:tc>
        <w:tc>
          <w:tcPr>
            <w:tcW w:w="1227" w:type="pct"/>
            <w:tcBorders>
              <w:top w:val="nil"/>
              <w:bottom w:val="nil"/>
            </w:tcBorders>
          </w:tcPr>
          <w:p w14:paraId="1D7F7615" w14:textId="251A484C"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635 (50.0%)</w:t>
            </w:r>
          </w:p>
        </w:tc>
        <w:tc>
          <w:tcPr>
            <w:tcW w:w="1227" w:type="pct"/>
            <w:tcBorders>
              <w:top w:val="nil"/>
              <w:bottom w:val="nil"/>
            </w:tcBorders>
          </w:tcPr>
          <w:p w14:paraId="3DE1C771" w14:textId="7C5444ED"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670 (52.7%)</w:t>
            </w:r>
          </w:p>
        </w:tc>
      </w:tr>
      <w:tr w:rsidR="00E9650F" w:rsidRPr="001E619A" w14:paraId="1951C666" w14:textId="77777777" w:rsidTr="00E9650F">
        <w:tc>
          <w:tcPr>
            <w:tcW w:w="1570" w:type="pct"/>
            <w:tcBorders>
              <w:top w:val="nil"/>
              <w:bottom w:val="nil"/>
            </w:tcBorders>
          </w:tcPr>
          <w:p w14:paraId="5BB90C0C" w14:textId="47E53694" w:rsidR="00E9650F" w:rsidRPr="001E619A" w:rsidRDefault="00E9650F" w:rsidP="00E9650F">
            <w:pPr>
              <w:rPr>
                <w:rFonts w:asciiTheme="majorBidi" w:hAnsiTheme="majorBidi" w:cstheme="majorBidi"/>
                <w:b/>
                <w:bCs/>
                <w:sz w:val="24"/>
                <w:szCs w:val="24"/>
              </w:rPr>
            </w:pPr>
            <w:r w:rsidRPr="001E619A">
              <w:rPr>
                <w:rFonts w:asciiTheme="majorBidi" w:hAnsiTheme="majorBidi" w:cstheme="majorBidi"/>
                <w:sz w:val="24"/>
                <w:szCs w:val="24"/>
              </w:rPr>
              <w:t>Other</w:t>
            </w:r>
          </w:p>
        </w:tc>
        <w:tc>
          <w:tcPr>
            <w:tcW w:w="976" w:type="pct"/>
            <w:tcBorders>
              <w:top w:val="nil"/>
              <w:bottom w:val="nil"/>
            </w:tcBorders>
          </w:tcPr>
          <w:p w14:paraId="651022A4" w14:textId="3F6B969F"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6 (0.3%)</w:t>
            </w:r>
          </w:p>
        </w:tc>
        <w:tc>
          <w:tcPr>
            <w:tcW w:w="1227" w:type="pct"/>
            <w:tcBorders>
              <w:top w:val="nil"/>
              <w:bottom w:val="nil"/>
            </w:tcBorders>
          </w:tcPr>
          <w:p w14:paraId="370DD834" w14:textId="1D7E16D9"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 (0.1%)</w:t>
            </w:r>
          </w:p>
        </w:tc>
        <w:tc>
          <w:tcPr>
            <w:tcW w:w="1227" w:type="pct"/>
            <w:tcBorders>
              <w:top w:val="nil"/>
              <w:bottom w:val="nil"/>
            </w:tcBorders>
          </w:tcPr>
          <w:p w14:paraId="292C0893" w14:textId="093F4872"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w:t>
            </w:r>
          </w:p>
        </w:tc>
      </w:tr>
      <w:tr w:rsidR="00E9650F" w:rsidRPr="001E619A" w14:paraId="43344855" w14:textId="77777777" w:rsidTr="00E9650F">
        <w:tc>
          <w:tcPr>
            <w:tcW w:w="1570" w:type="pct"/>
            <w:tcBorders>
              <w:top w:val="nil"/>
              <w:bottom w:val="nil"/>
            </w:tcBorders>
          </w:tcPr>
          <w:p w14:paraId="262E7043" w14:textId="77777777" w:rsidR="00E9650F" w:rsidRPr="001E619A" w:rsidRDefault="00E9650F" w:rsidP="00E9650F">
            <w:pPr>
              <w:rPr>
                <w:rFonts w:asciiTheme="majorBidi" w:hAnsiTheme="majorBidi" w:cstheme="majorBidi"/>
                <w:b/>
                <w:bCs/>
                <w:sz w:val="24"/>
                <w:szCs w:val="24"/>
              </w:rPr>
            </w:pPr>
            <w:r w:rsidRPr="001E619A">
              <w:rPr>
                <w:rFonts w:asciiTheme="majorBidi" w:hAnsiTheme="majorBidi" w:cstheme="majorBidi"/>
                <w:b/>
                <w:bCs/>
                <w:sz w:val="24"/>
                <w:szCs w:val="24"/>
              </w:rPr>
              <w:t xml:space="preserve">Age </w:t>
            </w:r>
            <w:r>
              <w:rPr>
                <w:rFonts w:asciiTheme="majorBidi" w:hAnsiTheme="majorBidi" w:cstheme="majorBidi"/>
                <w:b/>
                <w:bCs/>
                <w:sz w:val="24"/>
                <w:szCs w:val="24"/>
              </w:rPr>
              <w:t>(years)</w:t>
            </w:r>
          </w:p>
        </w:tc>
        <w:tc>
          <w:tcPr>
            <w:tcW w:w="976" w:type="pct"/>
            <w:tcBorders>
              <w:top w:val="nil"/>
              <w:bottom w:val="nil"/>
            </w:tcBorders>
          </w:tcPr>
          <w:p w14:paraId="5E957F6C" w14:textId="77777777" w:rsidR="00E9650F" w:rsidRPr="001E619A" w:rsidRDefault="00E9650F" w:rsidP="00E9650F">
            <w:pPr>
              <w:jc w:val="center"/>
              <w:rPr>
                <w:rFonts w:asciiTheme="majorBidi" w:hAnsiTheme="majorBidi" w:cstheme="majorBidi"/>
                <w:sz w:val="24"/>
                <w:szCs w:val="24"/>
              </w:rPr>
            </w:pPr>
          </w:p>
        </w:tc>
        <w:tc>
          <w:tcPr>
            <w:tcW w:w="1227" w:type="pct"/>
            <w:tcBorders>
              <w:top w:val="nil"/>
              <w:bottom w:val="nil"/>
            </w:tcBorders>
          </w:tcPr>
          <w:p w14:paraId="28463E35" w14:textId="77777777" w:rsidR="00E9650F" w:rsidRPr="001E619A" w:rsidRDefault="00E9650F" w:rsidP="00E9650F">
            <w:pPr>
              <w:jc w:val="center"/>
              <w:rPr>
                <w:rFonts w:asciiTheme="majorBidi" w:hAnsiTheme="majorBidi" w:cstheme="majorBidi"/>
                <w:sz w:val="24"/>
                <w:szCs w:val="24"/>
              </w:rPr>
            </w:pPr>
          </w:p>
        </w:tc>
        <w:tc>
          <w:tcPr>
            <w:tcW w:w="1227" w:type="pct"/>
            <w:tcBorders>
              <w:top w:val="nil"/>
              <w:bottom w:val="nil"/>
            </w:tcBorders>
          </w:tcPr>
          <w:p w14:paraId="29CD4747" w14:textId="77777777" w:rsidR="00E9650F" w:rsidRPr="001E619A" w:rsidRDefault="00E9650F" w:rsidP="00E9650F">
            <w:pPr>
              <w:jc w:val="center"/>
              <w:rPr>
                <w:rFonts w:asciiTheme="majorBidi" w:hAnsiTheme="majorBidi" w:cstheme="majorBidi"/>
                <w:sz w:val="24"/>
                <w:szCs w:val="24"/>
              </w:rPr>
            </w:pPr>
          </w:p>
        </w:tc>
      </w:tr>
      <w:tr w:rsidR="00E9650F" w:rsidRPr="001E619A" w14:paraId="589D1F5B" w14:textId="77777777" w:rsidTr="00E9650F">
        <w:tc>
          <w:tcPr>
            <w:tcW w:w="1570" w:type="pct"/>
            <w:tcBorders>
              <w:top w:val="nil"/>
            </w:tcBorders>
          </w:tcPr>
          <w:p w14:paraId="47C7C10A"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18-24</w:t>
            </w:r>
          </w:p>
        </w:tc>
        <w:tc>
          <w:tcPr>
            <w:tcW w:w="976" w:type="pct"/>
            <w:tcBorders>
              <w:top w:val="nil"/>
            </w:tcBorders>
          </w:tcPr>
          <w:p w14:paraId="55458681"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246 (12.1%)</w:t>
            </w:r>
          </w:p>
        </w:tc>
        <w:tc>
          <w:tcPr>
            <w:tcW w:w="1227" w:type="pct"/>
            <w:tcBorders>
              <w:top w:val="nil"/>
            </w:tcBorders>
          </w:tcPr>
          <w:p w14:paraId="6745F5F3"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77 (6.1%)</w:t>
            </w:r>
          </w:p>
        </w:tc>
        <w:tc>
          <w:tcPr>
            <w:tcW w:w="1227" w:type="pct"/>
            <w:tcBorders>
              <w:top w:val="nil"/>
            </w:tcBorders>
          </w:tcPr>
          <w:p w14:paraId="01F96B7C"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154 (12.1%)</w:t>
            </w:r>
          </w:p>
        </w:tc>
      </w:tr>
      <w:tr w:rsidR="00E9650F" w:rsidRPr="001E619A" w14:paraId="53EDA581" w14:textId="77777777" w:rsidTr="003745D7">
        <w:tc>
          <w:tcPr>
            <w:tcW w:w="1570" w:type="pct"/>
          </w:tcPr>
          <w:p w14:paraId="1EC8BF74"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25-34</w:t>
            </w:r>
          </w:p>
        </w:tc>
        <w:tc>
          <w:tcPr>
            <w:tcW w:w="976" w:type="pct"/>
          </w:tcPr>
          <w:p w14:paraId="16658402"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380 (18.8%)</w:t>
            </w:r>
          </w:p>
        </w:tc>
        <w:tc>
          <w:tcPr>
            <w:tcW w:w="1227" w:type="pct"/>
          </w:tcPr>
          <w:p w14:paraId="4F86036A"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191 (15.0%)</w:t>
            </w:r>
          </w:p>
        </w:tc>
        <w:tc>
          <w:tcPr>
            <w:tcW w:w="1227" w:type="pct"/>
          </w:tcPr>
          <w:p w14:paraId="633DC64F"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239 (18.8%)</w:t>
            </w:r>
          </w:p>
        </w:tc>
      </w:tr>
      <w:tr w:rsidR="00E9650F" w:rsidRPr="001E619A" w14:paraId="29B76110" w14:textId="77777777" w:rsidTr="003745D7">
        <w:tc>
          <w:tcPr>
            <w:tcW w:w="1570" w:type="pct"/>
          </w:tcPr>
          <w:p w14:paraId="5EF339C7"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35-44</w:t>
            </w:r>
          </w:p>
        </w:tc>
        <w:tc>
          <w:tcPr>
            <w:tcW w:w="976" w:type="pct"/>
          </w:tcPr>
          <w:p w14:paraId="33FC610F"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353 (17.4%)</w:t>
            </w:r>
          </w:p>
        </w:tc>
        <w:tc>
          <w:tcPr>
            <w:tcW w:w="1227" w:type="pct"/>
          </w:tcPr>
          <w:p w14:paraId="74244726"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210 (16.5%)</w:t>
            </w:r>
          </w:p>
        </w:tc>
        <w:tc>
          <w:tcPr>
            <w:tcW w:w="1227" w:type="pct"/>
          </w:tcPr>
          <w:p w14:paraId="2ECA80AE"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222 (17.4%)</w:t>
            </w:r>
          </w:p>
        </w:tc>
      </w:tr>
      <w:tr w:rsidR="00E9650F" w:rsidRPr="001E619A" w14:paraId="4A740EE6" w14:textId="77777777" w:rsidTr="003745D7">
        <w:tc>
          <w:tcPr>
            <w:tcW w:w="1570" w:type="pct"/>
          </w:tcPr>
          <w:p w14:paraId="7B137215"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45-54</w:t>
            </w:r>
          </w:p>
        </w:tc>
        <w:tc>
          <w:tcPr>
            <w:tcW w:w="976" w:type="pct"/>
          </w:tcPr>
          <w:p w14:paraId="340C9693"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410 (20.2%)</w:t>
            </w:r>
          </w:p>
        </w:tc>
        <w:tc>
          <w:tcPr>
            <w:tcW w:w="1227" w:type="pct"/>
          </w:tcPr>
          <w:p w14:paraId="61F9647C"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294 (23.1%)</w:t>
            </w:r>
          </w:p>
        </w:tc>
        <w:tc>
          <w:tcPr>
            <w:tcW w:w="1227" w:type="pct"/>
          </w:tcPr>
          <w:p w14:paraId="3790D62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257 (20.2%)</w:t>
            </w:r>
          </w:p>
        </w:tc>
      </w:tr>
      <w:tr w:rsidR="00E9650F" w:rsidRPr="001E619A" w14:paraId="6B12682E" w14:textId="77777777" w:rsidTr="003745D7">
        <w:tc>
          <w:tcPr>
            <w:tcW w:w="1570" w:type="pct"/>
          </w:tcPr>
          <w:p w14:paraId="616C7601"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55-64</w:t>
            </w:r>
          </w:p>
        </w:tc>
        <w:tc>
          <w:tcPr>
            <w:tcW w:w="976" w:type="pct"/>
          </w:tcPr>
          <w:p w14:paraId="18F7E626"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349 (17.2%)</w:t>
            </w:r>
          </w:p>
        </w:tc>
        <w:tc>
          <w:tcPr>
            <w:tcW w:w="1227" w:type="pct"/>
          </w:tcPr>
          <w:p w14:paraId="7944F4DA"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268 (21.1%)</w:t>
            </w:r>
          </w:p>
        </w:tc>
        <w:tc>
          <w:tcPr>
            <w:tcW w:w="1227" w:type="pct"/>
          </w:tcPr>
          <w:p w14:paraId="6572401C"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219 (17.2%)</w:t>
            </w:r>
          </w:p>
        </w:tc>
      </w:tr>
      <w:tr w:rsidR="00E9650F" w:rsidRPr="001E619A" w14:paraId="36F36D03" w14:textId="77777777" w:rsidTr="003745D7">
        <w:tc>
          <w:tcPr>
            <w:tcW w:w="1570" w:type="pct"/>
          </w:tcPr>
          <w:p w14:paraId="3C33B023"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65+</w:t>
            </w:r>
          </w:p>
        </w:tc>
        <w:tc>
          <w:tcPr>
            <w:tcW w:w="976" w:type="pct"/>
          </w:tcPr>
          <w:p w14:paraId="25F8F94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287 (14.2%)</w:t>
            </w:r>
          </w:p>
        </w:tc>
        <w:tc>
          <w:tcPr>
            <w:tcW w:w="1227" w:type="pct"/>
          </w:tcPr>
          <w:p w14:paraId="5B7F9BA4"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231 (18.2%)</w:t>
            </w:r>
          </w:p>
        </w:tc>
        <w:tc>
          <w:tcPr>
            <w:tcW w:w="1227" w:type="pct"/>
          </w:tcPr>
          <w:p w14:paraId="4982B8AC"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180 (14.2%)</w:t>
            </w:r>
          </w:p>
        </w:tc>
      </w:tr>
      <w:tr w:rsidR="0081287E" w:rsidRPr="001E619A" w14:paraId="5704C7E0" w14:textId="77777777" w:rsidTr="003745D7">
        <w:tc>
          <w:tcPr>
            <w:tcW w:w="1570" w:type="pct"/>
          </w:tcPr>
          <w:p w14:paraId="3207FF50" w14:textId="72D7D34D" w:rsidR="0081287E" w:rsidRPr="0081287E" w:rsidRDefault="0081287E" w:rsidP="00E9650F">
            <w:pPr>
              <w:rPr>
                <w:rFonts w:asciiTheme="majorBidi" w:hAnsiTheme="majorBidi" w:cstheme="majorBidi"/>
                <w:b/>
                <w:bCs/>
                <w:sz w:val="24"/>
                <w:szCs w:val="24"/>
              </w:rPr>
            </w:pPr>
            <w:r w:rsidRPr="0081287E">
              <w:rPr>
                <w:rFonts w:asciiTheme="majorBidi" w:hAnsiTheme="majorBidi" w:cstheme="majorBidi"/>
                <w:b/>
                <w:bCs/>
                <w:sz w:val="24"/>
                <w:szCs w:val="24"/>
              </w:rPr>
              <w:t>2019 Annual income</w:t>
            </w:r>
          </w:p>
        </w:tc>
        <w:tc>
          <w:tcPr>
            <w:tcW w:w="976" w:type="pct"/>
          </w:tcPr>
          <w:p w14:paraId="77DA751A" w14:textId="77777777" w:rsidR="0081287E" w:rsidRPr="001E619A" w:rsidRDefault="0081287E" w:rsidP="00E9650F">
            <w:pPr>
              <w:jc w:val="center"/>
              <w:rPr>
                <w:rFonts w:asciiTheme="majorBidi" w:hAnsiTheme="majorBidi" w:cstheme="majorBidi"/>
                <w:sz w:val="24"/>
                <w:szCs w:val="24"/>
              </w:rPr>
            </w:pPr>
          </w:p>
        </w:tc>
        <w:tc>
          <w:tcPr>
            <w:tcW w:w="1227" w:type="pct"/>
          </w:tcPr>
          <w:p w14:paraId="12CB6CDF" w14:textId="77777777" w:rsidR="0081287E" w:rsidRPr="001E619A" w:rsidRDefault="0081287E" w:rsidP="00E9650F">
            <w:pPr>
              <w:jc w:val="center"/>
              <w:rPr>
                <w:rFonts w:asciiTheme="majorBidi" w:hAnsiTheme="majorBidi" w:cstheme="majorBidi"/>
                <w:sz w:val="24"/>
                <w:szCs w:val="24"/>
              </w:rPr>
            </w:pPr>
          </w:p>
        </w:tc>
        <w:tc>
          <w:tcPr>
            <w:tcW w:w="1227" w:type="pct"/>
          </w:tcPr>
          <w:p w14:paraId="211C5565" w14:textId="77777777" w:rsidR="0081287E" w:rsidRPr="001E619A" w:rsidRDefault="0081287E" w:rsidP="00E9650F">
            <w:pPr>
              <w:jc w:val="center"/>
              <w:rPr>
                <w:rFonts w:asciiTheme="majorBidi" w:hAnsiTheme="majorBidi" w:cstheme="majorBidi"/>
                <w:sz w:val="24"/>
                <w:szCs w:val="24"/>
              </w:rPr>
            </w:pPr>
          </w:p>
        </w:tc>
      </w:tr>
      <w:tr w:rsidR="0081287E" w:rsidRPr="001E619A" w14:paraId="050C0E40" w14:textId="77777777" w:rsidTr="003745D7">
        <w:tc>
          <w:tcPr>
            <w:tcW w:w="1570" w:type="pct"/>
            <w:vAlign w:val="bottom"/>
          </w:tcPr>
          <w:p w14:paraId="560C4F5A" w14:textId="7E864358" w:rsidR="0081287E" w:rsidRPr="001E619A" w:rsidRDefault="0081287E" w:rsidP="0081287E">
            <w:pPr>
              <w:rPr>
                <w:rFonts w:asciiTheme="majorBidi" w:hAnsiTheme="majorBidi" w:cstheme="majorBidi"/>
                <w:sz w:val="24"/>
                <w:szCs w:val="24"/>
              </w:rPr>
            </w:pPr>
            <w:r w:rsidRPr="00A63878">
              <w:rPr>
                <w:rFonts w:ascii="Times New Roman" w:eastAsia="Times New Roman" w:hAnsi="Times New Roman" w:cs="Times New Roman"/>
                <w:color w:val="000000"/>
                <w:sz w:val="24"/>
                <w:szCs w:val="24"/>
                <w:lang w:val="en-IE" w:eastAsia="en-IE"/>
              </w:rPr>
              <w:t>£0-£15490</w:t>
            </w:r>
          </w:p>
        </w:tc>
        <w:tc>
          <w:tcPr>
            <w:tcW w:w="976" w:type="pct"/>
          </w:tcPr>
          <w:p w14:paraId="314D252F"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410 (20.2%)</w:t>
            </w:r>
          </w:p>
        </w:tc>
        <w:tc>
          <w:tcPr>
            <w:tcW w:w="1227" w:type="pct"/>
          </w:tcPr>
          <w:p w14:paraId="77984EB8"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264 (20.8%)</w:t>
            </w:r>
          </w:p>
        </w:tc>
        <w:tc>
          <w:tcPr>
            <w:tcW w:w="1227" w:type="pct"/>
          </w:tcPr>
          <w:p w14:paraId="2910D019"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258 (20.3%)</w:t>
            </w:r>
          </w:p>
        </w:tc>
      </w:tr>
      <w:tr w:rsidR="0081287E" w:rsidRPr="001E619A" w14:paraId="05DE1CCD" w14:textId="77777777" w:rsidTr="003745D7">
        <w:tc>
          <w:tcPr>
            <w:tcW w:w="1570" w:type="pct"/>
            <w:vAlign w:val="bottom"/>
          </w:tcPr>
          <w:p w14:paraId="3A8B6572" w14:textId="4BFA04E6" w:rsidR="0081287E" w:rsidRPr="001E619A" w:rsidRDefault="0081287E" w:rsidP="0081287E">
            <w:pPr>
              <w:rPr>
                <w:rFonts w:asciiTheme="majorBidi" w:hAnsiTheme="majorBidi" w:cstheme="majorBidi"/>
                <w:sz w:val="24"/>
                <w:szCs w:val="24"/>
              </w:rPr>
            </w:pPr>
            <w:r w:rsidRPr="00A63878">
              <w:rPr>
                <w:rFonts w:ascii="Times New Roman" w:eastAsia="Times New Roman" w:hAnsi="Times New Roman" w:cs="Times New Roman"/>
                <w:color w:val="000000"/>
                <w:sz w:val="24"/>
                <w:szCs w:val="24"/>
                <w:lang w:eastAsia="en-IE"/>
              </w:rPr>
              <w:t>£15,491-£25,340</w:t>
            </w:r>
          </w:p>
        </w:tc>
        <w:tc>
          <w:tcPr>
            <w:tcW w:w="976" w:type="pct"/>
          </w:tcPr>
          <w:p w14:paraId="10BFA919"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410 (20.2%)</w:t>
            </w:r>
          </w:p>
        </w:tc>
        <w:tc>
          <w:tcPr>
            <w:tcW w:w="1227" w:type="pct"/>
          </w:tcPr>
          <w:p w14:paraId="23C6E007"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235 (18.5%)</w:t>
            </w:r>
          </w:p>
        </w:tc>
        <w:tc>
          <w:tcPr>
            <w:tcW w:w="1227" w:type="pct"/>
          </w:tcPr>
          <w:p w14:paraId="1F8D2C02"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257 (20.2%)</w:t>
            </w:r>
          </w:p>
        </w:tc>
      </w:tr>
      <w:tr w:rsidR="0081287E" w:rsidRPr="001E619A" w14:paraId="76305172" w14:textId="77777777" w:rsidTr="003745D7">
        <w:tc>
          <w:tcPr>
            <w:tcW w:w="1570" w:type="pct"/>
            <w:vAlign w:val="bottom"/>
          </w:tcPr>
          <w:p w14:paraId="3503904F" w14:textId="3A627C0D" w:rsidR="0081287E" w:rsidRPr="001E619A" w:rsidRDefault="0081287E" w:rsidP="0081287E">
            <w:pPr>
              <w:rPr>
                <w:rFonts w:asciiTheme="majorBidi" w:hAnsiTheme="majorBidi" w:cstheme="majorBidi"/>
                <w:sz w:val="24"/>
                <w:szCs w:val="24"/>
              </w:rPr>
            </w:pPr>
            <w:r w:rsidRPr="00A63878">
              <w:rPr>
                <w:rFonts w:ascii="Times New Roman" w:eastAsia="Times New Roman" w:hAnsi="Times New Roman" w:cs="Times New Roman"/>
                <w:color w:val="000000"/>
                <w:sz w:val="24"/>
                <w:szCs w:val="24"/>
                <w:lang w:eastAsia="en-IE"/>
              </w:rPr>
              <w:t>£25,341-£38,740</w:t>
            </w:r>
          </w:p>
        </w:tc>
        <w:tc>
          <w:tcPr>
            <w:tcW w:w="976" w:type="pct"/>
          </w:tcPr>
          <w:p w14:paraId="64C3E423"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385 (19.0%)</w:t>
            </w:r>
          </w:p>
        </w:tc>
        <w:tc>
          <w:tcPr>
            <w:tcW w:w="1227" w:type="pct"/>
          </w:tcPr>
          <w:p w14:paraId="4A1410D2"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237 (18.6%)</w:t>
            </w:r>
          </w:p>
        </w:tc>
        <w:tc>
          <w:tcPr>
            <w:tcW w:w="1227" w:type="pct"/>
          </w:tcPr>
          <w:p w14:paraId="7ED616A9"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241 (18.9%)</w:t>
            </w:r>
          </w:p>
        </w:tc>
      </w:tr>
      <w:tr w:rsidR="0081287E" w:rsidRPr="001E619A" w14:paraId="0C227D69" w14:textId="77777777" w:rsidTr="003745D7">
        <w:tc>
          <w:tcPr>
            <w:tcW w:w="1570" w:type="pct"/>
            <w:vAlign w:val="bottom"/>
          </w:tcPr>
          <w:p w14:paraId="36B16C97" w14:textId="341F8D2C" w:rsidR="0081287E" w:rsidRPr="001E619A" w:rsidRDefault="0081287E" w:rsidP="0081287E">
            <w:pPr>
              <w:rPr>
                <w:rFonts w:asciiTheme="majorBidi" w:hAnsiTheme="majorBidi" w:cstheme="majorBidi"/>
                <w:sz w:val="24"/>
                <w:szCs w:val="24"/>
              </w:rPr>
            </w:pPr>
            <w:r w:rsidRPr="00A63878">
              <w:rPr>
                <w:rFonts w:ascii="Times New Roman" w:eastAsia="Times New Roman" w:hAnsi="Times New Roman" w:cs="Times New Roman"/>
                <w:color w:val="000000"/>
                <w:sz w:val="24"/>
                <w:szCs w:val="24"/>
                <w:lang w:eastAsia="en-IE"/>
              </w:rPr>
              <w:t>£38,741-£57,930</w:t>
            </w:r>
          </w:p>
        </w:tc>
        <w:tc>
          <w:tcPr>
            <w:tcW w:w="976" w:type="pct"/>
          </w:tcPr>
          <w:p w14:paraId="4F9F9F2B"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410 (20.2%)</w:t>
            </w:r>
          </w:p>
        </w:tc>
        <w:tc>
          <w:tcPr>
            <w:tcW w:w="1227" w:type="pct"/>
          </w:tcPr>
          <w:p w14:paraId="39AA04F2"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271 (21.3%)</w:t>
            </w:r>
          </w:p>
        </w:tc>
        <w:tc>
          <w:tcPr>
            <w:tcW w:w="1227" w:type="pct"/>
          </w:tcPr>
          <w:p w14:paraId="4A8C86F7"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262 (20.6%)</w:t>
            </w:r>
          </w:p>
        </w:tc>
      </w:tr>
      <w:tr w:rsidR="0081287E" w:rsidRPr="001E619A" w14:paraId="7395DDB9" w14:textId="77777777" w:rsidTr="003745D7">
        <w:tc>
          <w:tcPr>
            <w:tcW w:w="1570" w:type="pct"/>
            <w:vAlign w:val="bottom"/>
          </w:tcPr>
          <w:p w14:paraId="2231EA28" w14:textId="3F03B0C6" w:rsidR="0081287E" w:rsidRPr="001E619A" w:rsidRDefault="0081287E" w:rsidP="0081287E">
            <w:pPr>
              <w:rPr>
                <w:rFonts w:asciiTheme="majorBidi" w:hAnsiTheme="majorBidi" w:cstheme="majorBidi"/>
                <w:sz w:val="24"/>
                <w:szCs w:val="24"/>
              </w:rPr>
            </w:pPr>
            <w:r w:rsidRPr="00A63878">
              <w:rPr>
                <w:rFonts w:ascii="Times New Roman" w:eastAsia="Times New Roman" w:hAnsi="Times New Roman" w:cs="Times New Roman"/>
                <w:color w:val="000000"/>
                <w:sz w:val="24"/>
                <w:szCs w:val="24"/>
                <w:lang w:val="en-IE" w:eastAsia="en-IE"/>
              </w:rPr>
              <w:t>£57,931+</w:t>
            </w:r>
          </w:p>
        </w:tc>
        <w:tc>
          <w:tcPr>
            <w:tcW w:w="976" w:type="pct"/>
          </w:tcPr>
          <w:p w14:paraId="6FF0BF2B"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410 (20.2%)</w:t>
            </w:r>
          </w:p>
        </w:tc>
        <w:tc>
          <w:tcPr>
            <w:tcW w:w="1227" w:type="pct"/>
          </w:tcPr>
          <w:p w14:paraId="01E2CF22"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264 (20.8%)</w:t>
            </w:r>
          </w:p>
        </w:tc>
        <w:tc>
          <w:tcPr>
            <w:tcW w:w="1227" w:type="pct"/>
          </w:tcPr>
          <w:p w14:paraId="7530FE3A" w14:textId="77777777" w:rsidR="0081287E" w:rsidRPr="001E619A" w:rsidRDefault="0081287E" w:rsidP="0081287E">
            <w:pPr>
              <w:jc w:val="center"/>
              <w:rPr>
                <w:rFonts w:asciiTheme="majorBidi" w:hAnsiTheme="majorBidi" w:cstheme="majorBidi"/>
                <w:sz w:val="24"/>
                <w:szCs w:val="24"/>
              </w:rPr>
            </w:pPr>
            <w:r w:rsidRPr="001E619A">
              <w:rPr>
                <w:rFonts w:asciiTheme="majorBidi" w:hAnsiTheme="majorBidi" w:cstheme="majorBidi"/>
                <w:sz w:val="24"/>
                <w:szCs w:val="24"/>
              </w:rPr>
              <w:t>254 (20.0%)</w:t>
            </w:r>
          </w:p>
        </w:tc>
      </w:tr>
      <w:tr w:rsidR="00E9650F" w:rsidRPr="001E619A" w14:paraId="64F59791" w14:textId="77777777" w:rsidTr="003745D7">
        <w:tc>
          <w:tcPr>
            <w:tcW w:w="1570" w:type="pct"/>
          </w:tcPr>
          <w:p w14:paraId="5767ED47" w14:textId="77777777" w:rsidR="00E9650F" w:rsidRPr="001E619A" w:rsidRDefault="00E9650F" w:rsidP="00E9650F">
            <w:pPr>
              <w:rPr>
                <w:rFonts w:asciiTheme="majorBidi" w:hAnsiTheme="majorBidi" w:cstheme="majorBidi"/>
                <w:b/>
                <w:bCs/>
                <w:sz w:val="24"/>
                <w:szCs w:val="24"/>
              </w:rPr>
            </w:pPr>
            <w:r w:rsidRPr="001E619A">
              <w:rPr>
                <w:rFonts w:asciiTheme="majorBidi" w:hAnsiTheme="majorBidi" w:cstheme="majorBidi"/>
                <w:b/>
                <w:bCs/>
                <w:sz w:val="24"/>
                <w:szCs w:val="24"/>
              </w:rPr>
              <w:t>Urbanicity</w:t>
            </w:r>
          </w:p>
        </w:tc>
        <w:tc>
          <w:tcPr>
            <w:tcW w:w="976" w:type="pct"/>
          </w:tcPr>
          <w:p w14:paraId="4906AC5C" w14:textId="77777777" w:rsidR="00E9650F" w:rsidRPr="001E619A" w:rsidRDefault="00E9650F" w:rsidP="00E9650F">
            <w:pPr>
              <w:jc w:val="center"/>
              <w:rPr>
                <w:rFonts w:asciiTheme="majorBidi" w:hAnsiTheme="majorBidi" w:cstheme="majorBidi"/>
                <w:sz w:val="24"/>
                <w:szCs w:val="24"/>
              </w:rPr>
            </w:pPr>
          </w:p>
        </w:tc>
        <w:tc>
          <w:tcPr>
            <w:tcW w:w="1227" w:type="pct"/>
          </w:tcPr>
          <w:p w14:paraId="200F3105" w14:textId="77777777" w:rsidR="00E9650F" w:rsidRPr="001E619A" w:rsidRDefault="00E9650F" w:rsidP="00E9650F">
            <w:pPr>
              <w:jc w:val="center"/>
              <w:rPr>
                <w:rFonts w:asciiTheme="majorBidi" w:hAnsiTheme="majorBidi" w:cstheme="majorBidi"/>
                <w:sz w:val="24"/>
                <w:szCs w:val="24"/>
              </w:rPr>
            </w:pPr>
          </w:p>
        </w:tc>
        <w:tc>
          <w:tcPr>
            <w:tcW w:w="1227" w:type="pct"/>
          </w:tcPr>
          <w:p w14:paraId="01D8605E" w14:textId="77777777" w:rsidR="00E9650F" w:rsidRPr="001E619A" w:rsidRDefault="00E9650F" w:rsidP="00E9650F">
            <w:pPr>
              <w:jc w:val="center"/>
              <w:rPr>
                <w:rFonts w:asciiTheme="majorBidi" w:hAnsiTheme="majorBidi" w:cstheme="majorBidi"/>
                <w:sz w:val="24"/>
                <w:szCs w:val="24"/>
              </w:rPr>
            </w:pPr>
          </w:p>
        </w:tc>
      </w:tr>
      <w:tr w:rsidR="00E9650F" w:rsidRPr="001E619A" w14:paraId="745AB000" w14:textId="77777777" w:rsidTr="003745D7">
        <w:tc>
          <w:tcPr>
            <w:tcW w:w="1570" w:type="pct"/>
          </w:tcPr>
          <w:p w14:paraId="3CC46FF8"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City</w:t>
            </w:r>
          </w:p>
        </w:tc>
        <w:tc>
          <w:tcPr>
            <w:tcW w:w="976" w:type="pct"/>
          </w:tcPr>
          <w:p w14:paraId="570842DA"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498 (24.6%)</w:t>
            </w:r>
          </w:p>
        </w:tc>
        <w:tc>
          <w:tcPr>
            <w:tcW w:w="1227" w:type="pct"/>
          </w:tcPr>
          <w:p w14:paraId="72F98327"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268 (21.1%)</w:t>
            </w:r>
          </w:p>
        </w:tc>
        <w:tc>
          <w:tcPr>
            <w:tcW w:w="1227" w:type="pct"/>
          </w:tcPr>
          <w:p w14:paraId="692966D4"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313 (24.6%)</w:t>
            </w:r>
          </w:p>
        </w:tc>
      </w:tr>
      <w:tr w:rsidR="00E9650F" w:rsidRPr="001E619A" w14:paraId="24E58991" w14:textId="77777777" w:rsidTr="003745D7">
        <w:tc>
          <w:tcPr>
            <w:tcW w:w="1570" w:type="pct"/>
          </w:tcPr>
          <w:p w14:paraId="561ED9CC"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Suburb/Town/Rural</w:t>
            </w:r>
          </w:p>
        </w:tc>
        <w:tc>
          <w:tcPr>
            <w:tcW w:w="976" w:type="pct"/>
          </w:tcPr>
          <w:p w14:paraId="7896533A"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1527 (75.4%)</w:t>
            </w:r>
          </w:p>
        </w:tc>
        <w:tc>
          <w:tcPr>
            <w:tcW w:w="1227" w:type="pct"/>
          </w:tcPr>
          <w:p w14:paraId="3A03DC6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1003 (78.9%)</w:t>
            </w:r>
          </w:p>
        </w:tc>
        <w:tc>
          <w:tcPr>
            <w:tcW w:w="1227" w:type="pct"/>
          </w:tcPr>
          <w:p w14:paraId="412AE024"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958 (75.4%)</w:t>
            </w:r>
          </w:p>
        </w:tc>
      </w:tr>
      <w:tr w:rsidR="00E9650F" w:rsidRPr="001E619A" w14:paraId="3B862C3A" w14:textId="77777777" w:rsidTr="003745D7">
        <w:tc>
          <w:tcPr>
            <w:tcW w:w="1570" w:type="pct"/>
          </w:tcPr>
          <w:p w14:paraId="14DB33E7" w14:textId="77777777" w:rsidR="00E9650F" w:rsidRPr="001E619A" w:rsidRDefault="00E9650F" w:rsidP="00E9650F">
            <w:pPr>
              <w:rPr>
                <w:rFonts w:asciiTheme="majorBidi" w:hAnsiTheme="majorBidi" w:cstheme="majorBidi"/>
                <w:b/>
                <w:bCs/>
                <w:sz w:val="24"/>
                <w:szCs w:val="24"/>
              </w:rPr>
            </w:pPr>
            <w:r w:rsidRPr="001E619A">
              <w:rPr>
                <w:rFonts w:asciiTheme="majorBidi" w:hAnsiTheme="majorBidi" w:cstheme="majorBidi"/>
                <w:b/>
                <w:bCs/>
                <w:sz w:val="24"/>
                <w:szCs w:val="24"/>
              </w:rPr>
              <w:t>Ethnicity</w:t>
            </w:r>
          </w:p>
        </w:tc>
        <w:tc>
          <w:tcPr>
            <w:tcW w:w="976" w:type="pct"/>
          </w:tcPr>
          <w:p w14:paraId="3862EF8C" w14:textId="77777777" w:rsidR="00E9650F" w:rsidRPr="001E619A" w:rsidRDefault="00E9650F" w:rsidP="00E9650F">
            <w:pPr>
              <w:jc w:val="center"/>
              <w:rPr>
                <w:rFonts w:asciiTheme="majorBidi" w:hAnsiTheme="majorBidi" w:cstheme="majorBidi"/>
                <w:sz w:val="24"/>
                <w:szCs w:val="24"/>
              </w:rPr>
            </w:pPr>
          </w:p>
        </w:tc>
        <w:tc>
          <w:tcPr>
            <w:tcW w:w="1227" w:type="pct"/>
          </w:tcPr>
          <w:p w14:paraId="468CA467" w14:textId="77777777" w:rsidR="00E9650F" w:rsidRPr="001E619A" w:rsidRDefault="00E9650F" w:rsidP="00E9650F">
            <w:pPr>
              <w:jc w:val="center"/>
              <w:rPr>
                <w:rFonts w:asciiTheme="majorBidi" w:hAnsiTheme="majorBidi" w:cstheme="majorBidi"/>
                <w:sz w:val="24"/>
                <w:szCs w:val="24"/>
              </w:rPr>
            </w:pPr>
          </w:p>
        </w:tc>
        <w:tc>
          <w:tcPr>
            <w:tcW w:w="1227" w:type="pct"/>
          </w:tcPr>
          <w:p w14:paraId="1C8BD564" w14:textId="77777777" w:rsidR="00E9650F" w:rsidRPr="001E619A" w:rsidRDefault="00E9650F" w:rsidP="00E9650F">
            <w:pPr>
              <w:jc w:val="center"/>
              <w:rPr>
                <w:rFonts w:asciiTheme="majorBidi" w:hAnsiTheme="majorBidi" w:cstheme="majorBidi"/>
                <w:sz w:val="24"/>
                <w:szCs w:val="24"/>
              </w:rPr>
            </w:pPr>
          </w:p>
        </w:tc>
      </w:tr>
      <w:tr w:rsidR="00E9650F" w:rsidRPr="001E619A" w14:paraId="2908738D" w14:textId="77777777" w:rsidTr="003745D7">
        <w:tc>
          <w:tcPr>
            <w:tcW w:w="1570" w:type="pct"/>
          </w:tcPr>
          <w:p w14:paraId="255B912D"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White</w:t>
            </w:r>
          </w:p>
        </w:tc>
        <w:tc>
          <w:tcPr>
            <w:tcW w:w="976" w:type="pct"/>
          </w:tcPr>
          <w:p w14:paraId="44DD3899"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1848 (91.2%)</w:t>
            </w:r>
          </w:p>
        </w:tc>
        <w:tc>
          <w:tcPr>
            <w:tcW w:w="1227" w:type="pct"/>
          </w:tcPr>
          <w:p w14:paraId="75D129D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1186 (93.3%)</w:t>
            </w:r>
          </w:p>
        </w:tc>
        <w:tc>
          <w:tcPr>
            <w:tcW w:w="1227" w:type="pct"/>
          </w:tcPr>
          <w:p w14:paraId="743ED1ED"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1170 (92.0%)</w:t>
            </w:r>
          </w:p>
        </w:tc>
      </w:tr>
      <w:tr w:rsidR="00E9650F" w:rsidRPr="001E619A" w14:paraId="1F5413DB" w14:textId="77777777" w:rsidTr="003745D7">
        <w:tc>
          <w:tcPr>
            <w:tcW w:w="1570" w:type="pct"/>
          </w:tcPr>
          <w:p w14:paraId="4445A4D7"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Non-white</w:t>
            </w:r>
          </w:p>
        </w:tc>
        <w:tc>
          <w:tcPr>
            <w:tcW w:w="976" w:type="pct"/>
          </w:tcPr>
          <w:p w14:paraId="3ED1A3EC"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177 (8.7%)</w:t>
            </w:r>
          </w:p>
        </w:tc>
        <w:tc>
          <w:tcPr>
            <w:tcW w:w="1227" w:type="pct"/>
          </w:tcPr>
          <w:p w14:paraId="0B8A6A1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85 (6.7%)</w:t>
            </w:r>
          </w:p>
        </w:tc>
        <w:tc>
          <w:tcPr>
            <w:tcW w:w="1227" w:type="pct"/>
          </w:tcPr>
          <w:p w14:paraId="581456D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101 (8.0%)</w:t>
            </w:r>
          </w:p>
        </w:tc>
      </w:tr>
      <w:tr w:rsidR="00E9650F" w:rsidRPr="001E619A" w14:paraId="2F847EF8" w14:textId="77777777" w:rsidTr="003745D7">
        <w:tc>
          <w:tcPr>
            <w:tcW w:w="1570" w:type="pct"/>
          </w:tcPr>
          <w:p w14:paraId="778A704D" w14:textId="77777777" w:rsidR="00E9650F" w:rsidRPr="001E619A" w:rsidRDefault="00E9650F" w:rsidP="00E9650F">
            <w:pPr>
              <w:rPr>
                <w:rFonts w:asciiTheme="majorBidi" w:hAnsiTheme="majorBidi" w:cstheme="majorBidi"/>
                <w:b/>
                <w:bCs/>
                <w:sz w:val="24"/>
                <w:szCs w:val="24"/>
              </w:rPr>
            </w:pPr>
            <w:r w:rsidRPr="001E619A">
              <w:rPr>
                <w:rFonts w:asciiTheme="majorBidi" w:hAnsiTheme="majorBidi" w:cstheme="majorBidi"/>
                <w:b/>
                <w:bCs/>
                <w:sz w:val="24"/>
                <w:szCs w:val="24"/>
              </w:rPr>
              <w:t>Household composition</w:t>
            </w:r>
          </w:p>
        </w:tc>
        <w:tc>
          <w:tcPr>
            <w:tcW w:w="976" w:type="pct"/>
          </w:tcPr>
          <w:p w14:paraId="15033F93" w14:textId="77777777" w:rsidR="00E9650F" w:rsidRPr="001E619A" w:rsidRDefault="00E9650F" w:rsidP="00E9650F">
            <w:pPr>
              <w:jc w:val="center"/>
              <w:rPr>
                <w:rFonts w:asciiTheme="majorBidi" w:hAnsiTheme="majorBidi" w:cstheme="majorBidi"/>
                <w:sz w:val="24"/>
                <w:szCs w:val="24"/>
              </w:rPr>
            </w:pPr>
          </w:p>
        </w:tc>
        <w:tc>
          <w:tcPr>
            <w:tcW w:w="1227" w:type="pct"/>
          </w:tcPr>
          <w:p w14:paraId="38AA98C9" w14:textId="77777777" w:rsidR="00E9650F" w:rsidRPr="001E619A" w:rsidRDefault="00E9650F" w:rsidP="00E9650F">
            <w:pPr>
              <w:jc w:val="center"/>
              <w:rPr>
                <w:rFonts w:asciiTheme="majorBidi" w:hAnsiTheme="majorBidi" w:cstheme="majorBidi"/>
                <w:sz w:val="24"/>
                <w:szCs w:val="24"/>
              </w:rPr>
            </w:pPr>
          </w:p>
        </w:tc>
        <w:tc>
          <w:tcPr>
            <w:tcW w:w="1227" w:type="pct"/>
          </w:tcPr>
          <w:p w14:paraId="03B41B35" w14:textId="77777777" w:rsidR="00E9650F" w:rsidRPr="001E619A" w:rsidRDefault="00E9650F" w:rsidP="00E9650F">
            <w:pPr>
              <w:jc w:val="center"/>
              <w:rPr>
                <w:rFonts w:asciiTheme="majorBidi" w:hAnsiTheme="majorBidi" w:cstheme="majorBidi"/>
                <w:sz w:val="24"/>
                <w:szCs w:val="24"/>
              </w:rPr>
            </w:pPr>
          </w:p>
        </w:tc>
      </w:tr>
      <w:tr w:rsidR="00E9650F" w:rsidRPr="001E619A" w14:paraId="2FFDA118" w14:textId="77777777" w:rsidTr="003745D7">
        <w:tc>
          <w:tcPr>
            <w:tcW w:w="1570" w:type="pct"/>
          </w:tcPr>
          <w:p w14:paraId="0907CB36"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Children in household</w:t>
            </w:r>
          </w:p>
        </w:tc>
        <w:tc>
          <w:tcPr>
            <w:tcW w:w="976" w:type="pct"/>
          </w:tcPr>
          <w:p w14:paraId="0B0B854D"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592 (29.2%)</w:t>
            </w:r>
          </w:p>
        </w:tc>
        <w:tc>
          <w:tcPr>
            <w:tcW w:w="1227" w:type="pct"/>
          </w:tcPr>
          <w:p w14:paraId="540594AB"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329 (25.9%)</w:t>
            </w:r>
          </w:p>
        </w:tc>
        <w:tc>
          <w:tcPr>
            <w:tcW w:w="1227" w:type="pct"/>
          </w:tcPr>
          <w:p w14:paraId="752538B6"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372 (29.2%)</w:t>
            </w:r>
          </w:p>
        </w:tc>
      </w:tr>
      <w:tr w:rsidR="00E9650F" w:rsidRPr="001E619A" w14:paraId="6FF24A53" w14:textId="77777777" w:rsidTr="003745D7">
        <w:tc>
          <w:tcPr>
            <w:tcW w:w="1570" w:type="pct"/>
          </w:tcPr>
          <w:p w14:paraId="3019DCAD"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 xml:space="preserve">No children in household </w:t>
            </w:r>
          </w:p>
        </w:tc>
        <w:tc>
          <w:tcPr>
            <w:tcW w:w="976" w:type="pct"/>
          </w:tcPr>
          <w:p w14:paraId="6B33B33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1433 (70.8%)</w:t>
            </w:r>
          </w:p>
        </w:tc>
        <w:tc>
          <w:tcPr>
            <w:tcW w:w="1227" w:type="pct"/>
          </w:tcPr>
          <w:p w14:paraId="396EFAB4"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942 (74.1%)</w:t>
            </w:r>
          </w:p>
        </w:tc>
        <w:tc>
          <w:tcPr>
            <w:tcW w:w="1227" w:type="pct"/>
          </w:tcPr>
          <w:p w14:paraId="7194AE5E"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899 (70.8%)</w:t>
            </w:r>
          </w:p>
        </w:tc>
      </w:tr>
      <w:tr w:rsidR="00E9650F" w:rsidRPr="001E619A" w14:paraId="106DFE0F" w14:textId="77777777" w:rsidTr="003745D7">
        <w:tc>
          <w:tcPr>
            <w:tcW w:w="1570" w:type="pct"/>
          </w:tcPr>
          <w:p w14:paraId="3D1A4DDC" w14:textId="77777777" w:rsidR="00E9650F" w:rsidRPr="001E619A" w:rsidRDefault="00E9650F" w:rsidP="00E9650F">
            <w:pPr>
              <w:rPr>
                <w:rFonts w:asciiTheme="majorBidi" w:hAnsiTheme="majorBidi" w:cstheme="majorBidi"/>
                <w:b/>
                <w:bCs/>
                <w:sz w:val="24"/>
                <w:szCs w:val="24"/>
              </w:rPr>
            </w:pPr>
            <w:r w:rsidRPr="001E619A">
              <w:rPr>
                <w:rFonts w:asciiTheme="majorBidi" w:hAnsiTheme="majorBidi" w:cstheme="majorBidi"/>
                <w:b/>
                <w:bCs/>
                <w:sz w:val="24"/>
                <w:szCs w:val="24"/>
              </w:rPr>
              <w:t>Born or raised in UK</w:t>
            </w:r>
          </w:p>
        </w:tc>
        <w:tc>
          <w:tcPr>
            <w:tcW w:w="976" w:type="pct"/>
          </w:tcPr>
          <w:p w14:paraId="3529C691" w14:textId="77777777" w:rsidR="00E9650F" w:rsidRPr="001E619A" w:rsidRDefault="00E9650F" w:rsidP="00E9650F">
            <w:pPr>
              <w:jc w:val="center"/>
              <w:rPr>
                <w:rFonts w:asciiTheme="majorBidi" w:hAnsiTheme="majorBidi" w:cstheme="majorBidi"/>
                <w:sz w:val="24"/>
                <w:szCs w:val="24"/>
              </w:rPr>
            </w:pPr>
          </w:p>
        </w:tc>
        <w:tc>
          <w:tcPr>
            <w:tcW w:w="1227" w:type="pct"/>
          </w:tcPr>
          <w:p w14:paraId="1EB373C2" w14:textId="77777777" w:rsidR="00E9650F" w:rsidRPr="001E619A" w:rsidRDefault="00E9650F" w:rsidP="00E9650F">
            <w:pPr>
              <w:jc w:val="center"/>
              <w:rPr>
                <w:rFonts w:asciiTheme="majorBidi" w:hAnsiTheme="majorBidi" w:cstheme="majorBidi"/>
                <w:sz w:val="24"/>
                <w:szCs w:val="24"/>
              </w:rPr>
            </w:pPr>
          </w:p>
        </w:tc>
        <w:tc>
          <w:tcPr>
            <w:tcW w:w="1227" w:type="pct"/>
          </w:tcPr>
          <w:p w14:paraId="656C8D1A" w14:textId="77777777" w:rsidR="00E9650F" w:rsidRPr="001E619A" w:rsidRDefault="00E9650F" w:rsidP="00E9650F">
            <w:pPr>
              <w:jc w:val="center"/>
              <w:rPr>
                <w:rFonts w:asciiTheme="majorBidi" w:hAnsiTheme="majorBidi" w:cstheme="majorBidi"/>
                <w:sz w:val="24"/>
                <w:szCs w:val="24"/>
              </w:rPr>
            </w:pPr>
          </w:p>
        </w:tc>
      </w:tr>
      <w:tr w:rsidR="00E9650F" w:rsidRPr="001E619A" w14:paraId="66E08C61" w14:textId="77777777" w:rsidTr="003745D7">
        <w:tc>
          <w:tcPr>
            <w:tcW w:w="1570" w:type="pct"/>
          </w:tcPr>
          <w:p w14:paraId="66B8303B"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Yes</w:t>
            </w:r>
          </w:p>
        </w:tc>
        <w:tc>
          <w:tcPr>
            <w:tcW w:w="976" w:type="pct"/>
          </w:tcPr>
          <w:p w14:paraId="431F3CC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1891 (93.4%)</w:t>
            </w:r>
          </w:p>
        </w:tc>
        <w:tc>
          <w:tcPr>
            <w:tcW w:w="1227" w:type="pct"/>
          </w:tcPr>
          <w:p w14:paraId="206B3CA4"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1201 (94.5%)</w:t>
            </w:r>
          </w:p>
        </w:tc>
        <w:tc>
          <w:tcPr>
            <w:tcW w:w="1227" w:type="pct"/>
          </w:tcPr>
          <w:p w14:paraId="4D0228B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1198 (94.2%)</w:t>
            </w:r>
          </w:p>
        </w:tc>
      </w:tr>
      <w:tr w:rsidR="00E9650F" w:rsidRPr="001E619A" w14:paraId="61353140" w14:textId="77777777" w:rsidTr="003745D7">
        <w:tc>
          <w:tcPr>
            <w:tcW w:w="1570" w:type="pct"/>
          </w:tcPr>
          <w:p w14:paraId="4F766344" w14:textId="77777777" w:rsidR="00E9650F" w:rsidRPr="001E619A" w:rsidRDefault="00E9650F" w:rsidP="00E9650F">
            <w:pPr>
              <w:rPr>
                <w:rFonts w:asciiTheme="majorBidi" w:hAnsiTheme="majorBidi" w:cstheme="majorBidi"/>
                <w:sz w:val="24"/>
                <w:szCs w:val="24"/>
              </w:rPr>
            </w:pPr>
            <w:r w:rsidRPr="001E619A">
              <w:rPr>
                <w:rFonts w:asciiTheme="majorBidi" w:hAnsiTheme="majorBidi" w:cstheme="majorBidi"/>
                <w:sz w:val="24"/>
                <w:szCs w:val="24"/>
              </w:rPr>
              <w:t>No</w:t>
            </w:r>
          </w:p>
        </w:tc>
        <w:tc>
          <w:tcPr>
            <w:tcW w:w="976" w:type="pct"/>
          </w:tcPr>
          <w:p w14:paraId="0BCB157A"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134 (6.6%)</w:t>
            </w:r>
          </w:p>
        </w:tc>
        <w:tc>
          <w:tcPr>
            <w:tcW w:w="1227" w:type="pct"/>
          </w:tcPr>
          <w:p w14:paraId="0903A0C5"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70 (5.5%)</w:t>
            </w:r>
          </w:p>
        </w:tc>
        <w:tc>
          <w:tcPr>
            <w:tcW w:w="1227" w:type="pct"/>
          </w:tcPr>
          <w:p w14:paraId="6B3B68ED" w14:textId="77777777" w:rsidR="00E9650F" w:rsidRPr="001E619A" w:rsidRDefault="00E9650F" w:rsidP="00E9650F">
            <w:pPr>
              <w:jc w:val="center"/>
              <w:rPr>
                <w:rFonts w:asciiTheme="majorBidi" w:hAnsiTheme="majorBidi" w:cstheme="majorBidi"/>
                <w:sz w:val="24"/>
                <w:szCs w:val="24"/>
              </w:rPr>
            </w:pPr>
            <w:r w:rsidRPr="001E619A">
              <w:rPr>
                <w:rFonts w:asciiTheme="majorBidi" w:hAnsiTheme="majorBidi" w:cstheme="majorBidi"/>
                <w:sz w:val="24"/>
                <w:szCs w:val="24"/>
              </w:rPr>
              <w:t>73 (5.8%)</w:t>
            </w:r>
          </w:p>
        </w:tc>
      </w:tr>
    </w:tbl>
    <w:p w14:paraId="50AF467B" w14:textId="555F2AAD" w:rsidR="00C62E4F" w:rsidRPr="001E619A" w:rsidRDefault="00C62E4F" w:rsidP="00C62E4F">
      <w:pPr>
        <w:rPr>
          <w:rFonts w:asciiTheme="majorBidi" w:hAnsiTheme="majorBidi" w:cstheme="majorBidi"/>
          <w:sz w:val="24"/>
          <w:szCs w:val="24"/>
        </w:rPr>
      </w:pPr>
    </w:p>
    <w:p w14:paraId="6F2FBB8A" w14:textId="77777777" w:rsidR="00C62E4F" w:rsidRDefault="00C62E4F" w:rsidP="00C62E4F">
      <w:pPr>
        <w:rPr>
          <w:rFonts w:ascii="Times New Roman" w:hAnsi="Times New Roman" w:cs="Times New Roman"/>
          <w:sz w:val="24"/>
          <w:szCs w:val="24"/>
        </w:rPr>
      </w:pPr>
    </w:p>
    <w:p w14:paraId="153A9BB1" w14:textId="77777777" w:rsidR="00C62E4F" w:rsidRDefault="00C62E4F" w:rsidP="00C62E4F">
      <w:pPr>
        <w:rPr>
          <w:rFonts w:ascii="Times New Roman" w:hAnsi="Times New Roman" w:cs="Times New Roman"/>
          <w:sz w:val="24"/>
          <w:szCs w:val="24"/>
        </w:rPr>
      </w:pPr>
    </w:p>
    <w:p w14:paraId="047380D7" w14:textId="77777777" w:rsidR="00C62E4F" w:rsidRDefault="00C62E4F" w:rsidP="00C62E4F">
      <w:pPr>
        <w:rPr>
          <w:rFonts w:ascii="Times New Roman" w:hAnsi="Times New Roman" w:cs="Times New Roman"/>
          <w:sz w:val="24"/>
          <w:szCs w:val="24"/>
        </w:rPr>
      </w:pPr>
    </w:p>
    <w:p w14:paraId="5E2259AC" w14:textId="77777777" w:rsidR="00C62E4F" w:rsidRDefault="00C62E4F" w:rsidP="00C62E4F">
      <w:pPr>
        <w:rPr>
          <w:rFonts w:ascii="Times New Roman" w:hAnsi="Times New Roman" w:cs="Times New Roman"/>
          <w:sz w:val="24"/>
          <w:szCs w:val="24"/>
        </w:rPr>
      </w:pPr>
    </w:p>
    <w:p w14:paraId="66D703B5" w14:textId="77777777" w:rsidR="00C62E4F" w:rsidRDefault="00C62E4F" w:rsidP="00C62E4F">
      <w:pPr>
        <w:rPr>
          <w:rFonts w:ascii="Times New Roman" w:hAnsi="Times New Roman" w:cs="Times New Roman"/>
          <w:sz w:val="24"/>
          <w:szCs w:val="24"/>
        </w:rPr>
      </w:pPr>
    </w:p>
    <w:p w14:paraId="61B629FE" w14:textId="77777777" w:rsidR="00C62E4F" w:rsidRDefault="00C62E4F" w:rsidP="00C62E4F">
      <w:pPr>
        <w:rPr>
          <w:rFonts w:ascii="Times New Roman" w:hAnsi="Times New Roman" w:cs="Times New Roman"/>
          <w:sz w:val="24"/>
          <w:szCs w:val="24"/>
        </w:rPr>
      </w:pPr>
    </w:p>
    <w:p w14:paraId="5EEA0D19" w14:textId="77777777" w:rsidR="0081287E" w:rsidRDefault="0081287E" w:rsidP="000530BE">
      <w:pPr>
        <w:spacing w:after="0" w:line="480" w:lineRule="auto"/>
        <w:ind w:firstLine="720"/>
        <w:rPr>
          <w:rFonts w:ascii="Times New Roman" w:hAnsi="Times New Roman" w:cs="Times New Roman"/>
          <w:sz w:val="24"/>
          <w:szCs w:val="24"/>
        </w:rPr>
      </w:pPr>
      <w:bookmarkStart w:id="2" w:name="_Hlk40988889"/>
    </w:p>
    <w:p w14:paraId="54ECC2E3" w14:textId="2B1A3C0F" w:rsidR="000530BE" w:rsidRDefault="0081287E" w:rsidP="000530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C19PRC-UKW4 </w:t>
      </w:r>
      <w:r w:rsidR="000530BE" w:rsidRPr="003C6669">
        <w:rPr>
          <w:rFonts w:ascii="Times New Roman" w:hAnsi="Times New Roman" w:cs="Times New Roman"/>
          <w:sz w:val="24"/>
          <w:szCs w:val="24"/>
        </w:rPr>
        <w:t>Phase 2 sampling quotas were set to target females, younger adults, and lower income earners</w:t>
      </w:r>
      <w:r w:rsidR="000530BE">
        <w:rPr>
          <w:rFonts w:ascii="Times New Roman" w:hAnsi="Times New Roman" w:cs="Times New Roman"/>
          <w:sz w:val="24"/>
          <w:szCs w:val="24"/>
        </w:rPr>
        <w:t xml:space="preserve"> for the ‘top-up’ sample</w:t>
      </w:r>
      <w:r w:rsidR="000530BE" w:rsidRPr="003C6669">
        <w:rPr>
          <w:rFonts w:ascii="Times New Roman" w:hAnsi="Times New Roman" w:cs="Times New Roman"/>
          <w:sz w:val="24"/>
          <w:szCs w:val="24"/>
        </w:rPr>
        <w:t xml:space="preserve">. </w:t>
      </w:r>
      <w:r w:rsidR="000530BE">
        <w:rPr>
          <w:rFonts w:ascii="Times New Roman" w:hAnsi="Times New Roman" w:cs="Times New Roman"/>
          <w:sz w:val="24"/>
          <w:szCs w:val="24"/>
        </w:rPr>
        <w:t xml:space="preserve">As presented in </w:t>
      </w:r>
      <w:r w:rsidR="00A83DB8">
        <w:rPr>
          <w:rFonts w:ascii="Times New Roman" w:hAnsi="Times New Roman" w:cs="Times New Roman"/>
          <w:sz w:val="24"/>
          <w:szCs w:val="24"/>
        </w:rPr>
        <w:t xml:space="preserve">Supplementary </w:t>
      </w:r>
      <w:r w:rsidR="000530BE">
        <w:rPr>
          <w:rFonts w:ascii="Times New Roman" w:hAnsi="Times New Roman" w:cs="Times New Roman"/>
          <w:sz w:val="24"/>
          <w:szCs w:val="24"/>
        </w:rPr>
        <w:t xml:space="preserve">Table 2, </w:t>
      </w:r>
      <w:r w:rsidR="000530BE" w:rsidRPr="003C6669">
        <w:rPr>
          <w:rFonts w:ascii="Times New Roman" w:hAnsi="Times New Roman" w:cs="Times New Roman"/>
          <w:sz w:val="24"/>
          <w:szCs w:val="24"/>
        </w:rPr>
        <w:t xml:space="preserve">this process was successful - combining the </w:t>
      </w:r>
      <w:r w:rsidR="000530BE">
        <w:rPr>
          <w:rFonts w:ascii="Times New Roman" w:hAnsi="Times New Roman" w:cs="Times New Roman"/>
          <w:sz w:val="24"/>
          <w:szCs w:val="24"/>
        </w:rPr>
        <w:t xml:space="preserve">Phase 1 </w:t>
      </w:r>
      <w:r w:rsidR="000530BE" w:rsidRPr="003C6669">
        <w:rPr>
          <w:rFonts w:ascii="Times New Roman" w:hAnsi="Times New Roman" w:cs="Times New Roman"/>
          <w:sz w:val="24"/>
          <w:szCs w:val="24"/>
        </w:rPr>
        <w:t>sample</w:t>
      </w:r>
      <w:r w:rsidR="000530BE">
        <w:rPr>
          <w:rFonts w:ascii="Times New Roman" w:hAnsi="Times New Roman" w:cs="Times New Roman"/>
          <w:sz w:val="24"/>
          <w:szCs w:val="24"/>
        </w:rPr>
        <w:t xml:space="preserve"> with ‘top-up’ respondents from Phase 2</w:t>
      </w:r>
      <w:r w:rsidR="000530BE" w:rsidRPr="003C6669">
        <w:rPr>
          <w:rFonts w:ascii="Times New Roman" w:hAnsi="Times New Roman" w:cs="Times New Roman"/>
          <w:sz w:val="24"/>
          <w:szCs w:val="24"/>
        </w:rPr>
        <w:t xml:space="preserve"> produced a cross-sectional sample which closely mirrored the distribution of the UK</w:t>
      </w:r>
      <w:r w:rsidR="000530BE" w:rsidRPr="00AC7D6F">
        <w:rPr>
          <w:rFonts w:ascii="Times New Roman" w:hAnsi="Times New Roman" w:cs="Times New Roman"/>
          <w:sz w:val="24"/>
          <w:szCs w:val="24"/>
        </w:rPr>
        <w:t xml:space="preserve"> </w:t>
      </w:r>
      <w:r w:rsidR="000530BE" w:rsidRPr="003C6669">
        <w:rPr>
          <w:rFonts w:ascii="Times New Roman" w:hAnsi="Times New Roman" w:cs="Times New Roman"/>
          <w:sz w:val="24"/>
          <w:szCs w:val="24"/>
        </w:rPr>
        <w:t>adult population in terms of gender (to within 0.</w:t>
      </w:r>
      <w:r w:rsidR="000530BE">
        <w:rPr>
          <w:rFonts w:ascii="Times New Roman" w:hAnsi="Times New Roman" w:cs="Times New Roman"/>
          <w:sz w:val="24"/>
          <w:szCs w:val="24"/>
        </w:rPr>
        <w:t>7</w:t>
      </w:r>
      <w:r w:rsidR="000530BE" w:rsidRPr="003C6669">
        <w:rPr>
          <w:rFonts w:ascii="Times New Roman" w:hAnsi="Times New Roman" w:cs="Times New Roman"/>
          <w:sz w:val="24"/>
          <w:szCs w:val="24"/>
        </w:rPr>
        <w:t>-0.</w:t>
      </w:r>
      <w:r w:rsidR="000530BE">
        <w:rPr>
          <w:rFonts w:ascii="Times New Roman" w:hAnsi="Times New Roman" w:cs="Times New Roman"/>
          <w:sz w:val="24"/>
          <w:szCs w:val="24"/>
        </w:rPr>
        <w:t>9</w:t>
      </w:r>
      <w:r w:rsidR="000530BE" w:rsidRPr="003C6669">
        <w:rPr>
          <w:rFonts w:ascii="Times New Roman" w:hAnsi="Times New Roman" w:cs="Times New Roman"/>
          <w:sz w:val="24"/>
          <w:szCs w:val="24"/>
        </w:rPr>
        <w:t xml:space="preserve">%, more </w:t>
      </w:r>
      <w:r w:rsidR="000530BE">
        <w:rPr>
          <w:rFonts w:ascii="Times New Roman" w:hAnsi="Times New Roman" w:cs="Times New Roman"/>
          <w:sz w:val="24"/>
          <w:szCs w:val="24"/>
        </w:rPr>
        <w:t>fe</w:t>
      </w:r>
      <w:r w:rsidR="000530BE" w:rsidRPr="003C6669">
        <w:rPr>
          <w:rFonts w:ascii="Times New Roman" w:hAnsi="Times New Roman" w:cs="Times New Roman"/>
          <w:sz w:val="24"/>
          <w:szCs w:val="24"/>
        </w:rPr>
        <w:t>males</w:t>
      </w:r>
      <w:r w:rsidR="000530BE">
        <w:rPr>
          <w:rFonts w:ascii="Times New Roman" w:hAnsi="Times New Roman" w:cs="Times New Roman"/>
          <w:sz w:val="24"/>
          <w:szCs w:val="24"/>
        </w:rPr>
        <w:t xml:space="preserve"> in the sample</w:t>
      </w:r>
      <w:r w:rsidR="000530BE" w:rsidRPr="003C6669">
        <w:rPr>
          <w:rFonts w:ascii="Times New Roman" w:hAnsi="Times New Roman" w:cs="Times New Roman"/>
          <w:sz w:val="24"/>
          <w:szCs w:val="24"/>
        </w:rPr>
        <w:t>), age (to within 0.</w:t>
      </w:r>
      <w:r w:rsidR="000530BE">
        <w:rPr>
          <w:rFonts w:ascii="Times New Roman" w:hAnsi="Times New Roman" w:cs="Times New Roman"/>
          <w:sz w:val="24"/>
          <w:szCs w:val="24"/>
        </w:rPr>
        <w:t>3</w:t>
      </w:r>
      <w:r w:rsidR="000530BE" w:rsidRPr="003C6669">
        <w:rPr>
          <w:rFonts w:ascii="Times New Roman" w:hAnsi="Times New Roman" w:cs="Times New Roman"/>
          <w:sz w:val="24"/>
          <w:szCs w:val="24"/>
        </w:rPr>
        <w:t>-</w:t>
      </w:r>
      <w:r w:rsidR="000530BE">
        <w:rPr>
          <w:rFonts w:ascii="Times New Roman" w:hAnsi="Times New Roman" w:cs="Times New Roman"/>
          <w:sz w:val="24"/>
          <w:szCs w:val="24"/>
        </w:rPr>
        <w:t>2.3</w:t>
      </w:r>
      <w:r w:rsidR="000530BE" w:rsidRPr="003C6669">
        <w:rPr>
          <w:rFonts w:ascii="Times New Roman" w:hAnsi="Times New Roman" w:cs="Times New Roman"/>
          <w:sz w:val="24"/>
          <w:szCs w:val="24"/>
        </w:rPr>
        <w:t xml:space="preserve">%, </w:t>
      </w:r>
      <w:r w:rsidR="000530BE">
        <w:rPr>
          <w:rFonts w:ascii="Times New Roman" w:hAnsi="Times New Roman" w:cs="Times New Roman"/>
          <w:sz w:val="24"/>
          <w:szCs w:val="24"/>
        </w:rPr>
        <w:t>fewer adults aged 18-24 years in the sample</w:t>
      </w:r>
      <w:r w:rsidR="000530BE" w:rsidRPr="003C6669">
        <w:rPr>
          <w:rFonts w:ascii="Times New Roman" w:hAnsi="Times New Roman" w:cs="Times New Roman"/>
          <w:sz w:val="24"/>
          <w:szCs w:val="24"/>
        </w:rPr>
        <w:t>), and household income (to within 0.2-</w:t>
      </w:r>
      <w:r w:rsidR="000530BE">
        <w:rPr>
          <w:rFonts w:ascii="Times New Roman" w:hAnsi="Times New Roman" w:cs="Times New Roman"/>
          <w:sz w:val="24"/>
          <w:szCs w:val="24"/>
        </w:rPr>
        <w:t>1.5</w:t>
      </w:r>
      <w:r w:rsidR="000530BE" w:rsidRPr="003C6669">
        <w:rPr>
          <w:rFonts w:ascii="Times New Roman" w:hAnsi="Times New Roman" w:cs="Times New Roman"/>
          <w:sz w:val="24"/>
          <w:szCs w:val="24"/>
        </w:rPr>
        <w:t xml:space="preserve">%, with more </w:t>
      </w:r>
      <w:r w:rsidR="000530BE">
        <w:rPr>
          <w:rFonts w:ascii="Times New Roman" w:hAnsi="Times New Roman" w:cs="Times New Roman"/>
          <w:sz w:val="24"/>
          <w:szCs w:val="24"/>
        </w:rPr>
        <w:t xml:space="preserve">lower </w:t>
      </w:r>
      <w:r w:rsidR="000530BE" w:rsidRPr="003C6669">
        <w:rPr>
          <w:rFonts w:ascii="Times New Roman" w:hAnsi="Times New Roman" w:cs="Times New Roman"/>
          <w:sz w:val="24"/>
          <w:szCs w:val="24"/>
        </w:rPr>
        <w:t>income earners</w:t>
      </w:r>
      <w:r w:rsidR="000530BE">
        <w:rPr>
          <w:rFonts w:ascii="Times New Roman" w:hAnsi="Times New Roman" w:cs="Times New Roman"/>
          <w:sz w:val="24"/>
          <w:szCs w:val="24"/>
        </w:rPr>
        <w:t xml:space="preserve"> in the sample</w:t>
      </w:r>
      <w:r w:rsidR="000530BE" w:rsidRPr="003C6669">
        <w:rPr>
          <w:rFonts w:ascii="Times New Roman" w:hAnsi="Times New Roman" w:cs="Times New Roman"/>
          <w:sz w:val="24"/>
          <w:szCs w:val="24"/>
        </w:rPr>
        <w:t>)</w:t>
      </w:r>
      <w:r w:rsidR="000530BE">
        <w:rPr>
          <w:rFonts w:ascii="Times New Roman" w:hAnsi="Times New Roman" w:cs="Times New Roman"/>
          <w:sz w:val="24"/>
          <w:szCs w:val="24"/>
        </w:rPr>
        <w:t>.</w:t>
      </w:r>
    </w:p>
    <w:p w14:paraId="0CA234E2" w14:textId="35DF80D1" w:rsidR="000530BE" w:rsidRDefault="000530BE" w:rsidP="00C62E4F">
      <w:pPr>
        <w:spacing w:after="0" w:line="240" w:lineRule="auto"/>
        <w:rPr>
          <w:rFonts w:ascii="Times New Roman" w:eastAsia="Times New Roman" w:hAnsi="Times New Roman" w:cs="Times New Roman"/>
          <w:color w:val="000000"/>
          <w:sz w:val="24"/>
          <w:szCs w:val="24"/>
          <w:lang w:val="en-IE" w:eastAsia="en-IE"/>
        </w:rPr>
        <w:sectPr w:rsidR="000530BE" w:rsidSect="003745D7">
          <w:footerReference w:type="default" r:id="rId7"/>
          <w:pgSz w:w="11906" w:h="16838"/>
          <w:pgMar w:top="1440" w:right="1440" w:bottom="1440" w:left="1440" w:header="709" w:footer="709" w:gutter="0"/>
          <w:cols w:space="708"/>
          <w:docGrid w:linePitch="360"/>
        </w:sectPr>
      </w:pPr>
    </w:p>
    <w:p w14:paraId="45D38B02" w14:textId="4C4DDD0C" w:rsidR="00C62E4F" w:rsidRPr="00364A7A" w:rsidRDefault="00C62E4F" w:rsidP="00C62E4F">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lastRenderedPageBreak/>
        <w:t>S</w:t>
      </w:r>
      <w:r w:rsidR="00A83DB8">
        <w:rPr>
          <w:rFonts w:ascii="Times New Roman" w:eastAsia="Times New Roman" w:hAnsi="Times New Roman" w:cs="Times New Roman"/>
          <w:color w:val="000000"/>
          <w:sz w:val="24"/>
          <w:szCs w:val="24"/>
          <w:lang w:val="en-IE" w:eastAsia="en-IE"/>
        </w:rPr>
        <w:t xml:space="preserve">upplementary </w:t>
      </w:r>
      <w:r>
        <w:rPr>
          <w:rFonts w:ascii="Times New Roman" w:eastAsia="Times New Roman" w:hAnsi="Times New Roman" w:cs="Times New Roman"/>
          <w:color w:val="000000"/>
          <w:sz w:val="24"/>
          <w:szCs w:val="24"/>
          <w:lang w:val="en-IE" w:eastAsia="en-IE"/>
        </w:rPr>
        <w:t xml:space="preserve">Table 2 </w:t>
      </w:r>
      <w:r w:rsidRPr="00790988">
        <w:rPr>
          <w:rFonts w:ascii="Times New Roman" w:eastAsia="Times New Roman" w:hAnsi="Times New Roman" w:cs="Times New Roman"/>
          <w:color w:val="000000"/>
          <w:sz w:val="24"/>
          <w:szCs w:val="24"/>
          <w:lang w:val="en-IE" w:eastAsia="en-IE"/>
        </w:rPr>
        <w:t xml:space="preserve">Outcome of quota sampling recruitment, </w:t>
      </w:r>
      <w:r w:rsidRPr="001959AF">
        <w:rPr>
          <w:rFonts w:ascii="Times New Roman" w:hAnsi="Times New Roman" w:cs="Times New Roman"/>
          <w:sz w:val="24"/>
          <w:szCs w:val="24"/>
        </w:rPr>
        <w:t xml:space="preserve">COVID-19 Psychological Research Consortium (C19PRC) </w:t>
      </w:r>
      <w:r>
        <w:rPr>
          <w:rFonts w:ascii="Times New Roman" w:hAnsi="Times New Roman" w:cs="Times New Roman"/>
          <w:sz w:val="24"/>
          <w:szCs w:val="24"/>
        </w:rPr>
        <w:t>S</w:t>
      </w:r>
      <w:r w:rsidRPr="001959AF">
        <w:rPr>
          <w:rFonts w:ascii="Times New Roman" w:hAnsi="Times New Roman" w:cs="Times New Roman"/>
          <w:sz w:val="24"/>
          <w:szCs w:val="24"/>
        </w:rPr>
        <w:t>tudy</w:t>
      </w:r>
      <w:r>
        <w:rPr>
          <w:rFonts w:ascii="Times New Roman" w:hAnsi="Times New Roman" w:cs="Times New Roman"/>
          <w:sz w:val="24"/>
          <w:szCs w:val="24"/>
        </w:rPr>
        <w:t xml:space="preserve"> UK Wave 4 (C19PRC-UKW4)</w:t>
      </w:r>
      <w:r w:rsidRPr="00790988">
        <w:rPr>
          <w:rFonts w:ascii="Times New Roman" w:eastAsia="Times New Roman" w:hAnsi="Times New Roman" w:cs="Times New Roman"/>
          <w:color w:val="000000"/>
          <w:sz w:val="24"/>
          <w:szCs w:val="24"/>
          <w:lang w:val="en-IE" w:eastAsia="en-IE"/>
        </w:rPr>
        <w:t xml:space="preserve">, </w:t>
      </w:r>
      <w:r>
        <w:rPr>
          <w:rFonts w:ascii="Times New Roman" w:eastAsia="Times New Roman" w:hAnsi="Times New Roman" w:cs="Times New Roman"/>
          <w:color w:val="000000"/>
          <w:sz w:val="24"/>
          <w:szCs w:val="24"/>
          <w:lang w:val="en-IE" w:eastAsia="en-IE"/>
        </w:rPr>
        <w:t>November – December 2020</w:t>
      </w:r>
      <w:r w:rsidRPr="00790988">
        <w:rPr>
          <w:rFonts w:ascii="Times New Roman" w:eastAsia="Times New Roman" w:hAnsi="Times New Roman" w:cs="Times New Roman"/>
          <w:color w:val="000000"/>
          <w:sz w:val="24"/>
          <w:szCs w:val="24"/>
          <w:lang w:val="en-IE" w:eastAsia="en-IE"/>
        </w:rPr>
        <w:t xml:space="preserve"> </w:t>
      </w:r>
    </w:p>
    <w:p w14:paraId="5F889B73" w14:textId="77777777" w:rsidR="00C62E4F" w:rsidRPr="00790988" w:rsidRDefault="00C62E4F" w:rsidP="00C62E4F">
      <w:pPr>
        <w:spacing w:after="0" w:line="240" w:lineRule="auto"/>
        <w:rPr>
          <w:rFonts w:ascii="Times New Roman" w:hAnsi="Times New Roman" w:cs="Times New Roman"/>
          <w:sz w:val="24"/>
          <w:szCs w:val="24"/>
        </w:rPr>
      </w:pPr>
    </w:p>
    <w:tbl>
      <w:tblPr>
        <w:tblW w:w="13887" w:type="dxa"/>
        <w:tblBorders>
          <w:top w:val="single" w:sz="4" w:space="0" w:color="auto"/>
          <w:bottom w:val="single" w:sz="4" w:space="0" w:color="auto"/>
        </w:tblBorders>
        <w:tblLook w:val="04A0" w:firstRow="1" w:lastRow="0" w:firstColumn="1" w:lastColumn="0" w:noHBand="0" w:noVBand="1"/>
      </w:tblPr>
      <w:tblGrid>
        <w:gridCol w:w="1744"/>
        <w:gridCol w:w="1938"/>
        <w:gridCol w:w="1983"/>
        <w:gridCol w:w="1134"/>
        <w:gridCol w:w="1134"/>
        <w:gridCol w:w="993"/>
        <w:gridCol w:w="992"/>
        <w:gridCol w:w="850"/>
        <w:gridCol w:w="993"/>
        <w:gridCol w:w="2126"/>
      </w:tblGrid>
      <w:tr w:rsidR="00C62E4F" w:rsidRPr="00790988" w14:paraId="1A5D4453" w14:textId="77777777" w:rsidTr="003745D7">
        <w:trPr>
          <w:trHeight w:val="300"/>
          <w:tblHeader/>
        </w:trPr>
        <w:tc>
          <w:tcPr>
            <w:tcW w:w="3682" w:type="dxa"/>
            <w:gridSpan w:val="2"/>
            <w:vMerge w:val="restart"/>
            <w:tcBorders>
              <w:top w:val="single" w:sz="4" w:space="0" w:color="auto"/>
              <w:bottom w:val="nil"/>
            </w:tcBorders>
            <w:shd w:val="clear" w:color="auto" w:fill="auto"/>
            <w:vAlign w:val="bottom"/>
            <w:hideMark/>
          </w:tcPr>
          <w:p w14:paraId="16C06ECF"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p>
          <w:p w14:paraId="6F67C17B"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Socio-demographic characteristics used for quota sampling</w:t>
            </w:r>
          </w:p>
        </w:tc>
        <w:tc>
          <w:tcPr>
            <w:tcW w:w="1983" w:type="dxa"/>
            <w:tcBorders>
              <w:top w:val="single" w:sz="4" w:space="0" w:color="auto"/>
              <w:bottom w:val="nil"/>
            </w:tcBorders>
          </w:tcPr>
          <w:p w14:paraId="7A76740E"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p>
          <w:p w14:paraId="2D4F3E57"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p>
          <w:p w14:paraId="54174FD1"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p>
          <w:p w14:paraId="1D5DF851"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Quotas</w:t>
            </w:r>
          </w:p>
          <w:p w14:paraId="390C0AC7"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C19PRC-UKW1</w:t>
            </w:r>
          </w:p>
        </w:tc>
        <w:tc>
          <w:tcPr>
            <w:tcW w:w="2268" w:type="dxa"/>
            <w:gridSpan w:val="2"/>
            <w:tcBorders>
              <w:top w:val="single" w:sz="4" w:space="0" w:color="auto"/>
              <w:bottom w:val="nil"/>
            </w:tcBorders>
            <w:shd w:val="clear" w:color="auto" w:fill="auto"/>
            <w:noWrap/>
            <w:vAlign w:val="bottom"/>
            <w:hideMark/>
          </w:tcPr>
          <w:p w14:paraId="1E06357C"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C19PRC-UKW4 Phase 1 (</w:t>
            </w:r>
            <w:r>
              <w:rPr>
                <w:rFonts w:ascii="Times New Roman" w:eastAsia="Times New Roman" w:hAnsi="Times New Roman" w:cs="Times New Roman"/>
                <w:i/>
                <w:iCs/>
                <w:color w:val="000000"/>
                <w:sz w:val="24"/>
                <w:szCs w:val="24"/>
                <w:lang w:val="en-IE" w:eastAsia="en-IE"/>
              </w:rPr>
              <w:t>N</w:t>
            </w:r>
            <w:r w:rsidRPr="00790988">
              <w:rPr>
                <w:rFonts w:ascii="Times New Roman" w:eastAsia="Times New Roman" w:hAnsi="Times New Roman" w:cs="Times New Roman"/>
                <w:color w:val="000000"/>
                <w:sz w:val="24"/>
                <w:szCs w:val="24"/>
                <w:lang w:val="en-IE" w:eastAsia="en-IE"/>
              </w:rPr>
              <w:t>=</w:t>
            </w:r>
            <w:r>
              <w:rPr>
                <w:rFonts w:ascii="Times New Roman" w:eastAsia="Times New Roman" w:hAnsi="Times New Roman" w:cs="Times New Roman"/>
                <w:color w:val="000000"/>
                <w:sz w:val="24"/>
                <w:szCs w:val="24"/>
                <w:lang w:val="en-IE" w:eastAsia="en-IE"/>
              </w:rPr>
              <w:t>1796</w:t>
            </w:r>
            <w:r w:rsidRPr="00790988">
              <w:rPr>
                <w:rFonts w:ascii="Times New Roman" w:eastAsia="Times New Roman" w:hAnsi="Times New Roman" w:cs="Times New Roman"/>
                <w:color w:val="000000"/>
                <w:sz w:val="24"/>
                <w:szCs w:val="24"/>
                <w:lang w:val="en-IE" w:eastAsia="en-IE"/>
              </w:rPr>
              <w:t>)</w:t>
            </w:r>
          </w:p>
        </w:tc>
        <w:tc>
          <w:tcPr>
            <w:tcW w:w="1985" w:type="dxa"/>
            <w:gridSpan w:val="2"/>
            <w:tcBorders>
              <w:top w:val="single" w:sz="4" w:space="0" w:color="auto"/>
              <w:bottom w:val="nil"/>
            </w:tcBorders>
            <w:shd w:val="clear" w:color="auto" w:fill="auto"/>
            <w:vAlign w:val="bottom"/>
          </w:tcPr>
          <w:p w14:paraId="6F3E8A92"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C19PRC-UKW4 Phase 2 ‘top-up’ (</w:t>
            </w:r>
            <w:r w:rsidRPr="004B513D">
              <w:rPr>
                <w:rFonts w:ascii="Times New Roman" w:eastAsia="Times New Roman" w:hAnsi="Times New Roman" w:cs="Times New Roman"/>
                <w:i/>
                <w:iCs/>
                <w:color w:val="000000"/>
                <w:sz w:val="24"/>
                <w:szCs w:val="24"/>
                <w:lang w:val="en-IE" w:eastAsia="en-IE"/>
              </w:rPr>
              <w:t>N</w:t>
            </w:r>
            <w:r>
              <w:rPr>
                <w:rFonts w:ascii="Times New Roman" w:eastAsia="Times New Roman" w:hAnsi="Times New Roman" w:cs="Times New Roman"/>
                <w:color w:val="000000"/>
                <w:sz w:val="24"/>
                <w:szCs w:val="24"/>
                <w:lang w:val="en-IE" w:eastAsia="en-IE"/>
              </w:rPr>
              <w:t>=292)</w:t>
            </w:r>
          </w:p>
        </w:tc>
        <w:tc>
          <w:tcPr>
            <w:tcW w:w="1843" w:type="dxa"/>
            <w:gridSpan w:val="2"/>
            <w:tcBorders>
              <w:top w:val="single" w:sz="4" w:space="0" w:color="auto"/>
              <w:bottom w:val="nil"/>
            </w:tcBorders>
          </w:tcPr>
          <w:p w14:paraId="4D56E98A"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p>
          <w:p w14:paraId="1A4A3F8F"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 xml:space="preserve">C19PRC-UKW4 </w:t>
            </w:r>
          </w:p>
          <w:p w14:paraId="2D74FE0F"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 xml:space="preserve">Sample </w:t>
            </w:r>
          </w:p>
          <w:p w14:paraId="7C434642"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(Phases 1 &amp; Phase 2 ‘top-up’)</w:t>
            </w:r>
          </w:p>
          <w:p w14:paraId="3BEB56C0"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w:t>
            </w:r>
            <w:r w:rsidRPr="004B513D">
              <w:rPr>
                <w:rFonts w:ascii="Times New Roman" w:eastAsia="Times New Roman" w:hAnsi="Times New Roman" w:cs="Times New Roman"/>
                <w:i/>
                <w:iCs/>
                <w:color w:val="000000"/>
                <w:sz w:val="24"/>
                <w:szCs w:val="24"/>
                <w:lang w:val="en-IE" w:eastAsia="en-IE"/>
              </w:rPr>
              <w:t>N</w:t>
            </w:r>
            <w:r>
              <w:rPr>
                <w:rFonts w:ascii="Times New Roman" w:eastAsia="Times New Roman" w:hAnsi="Times New Roman" w:cs="Times New Roman"/>
                <w:color w:val="000000"/>
                <w:sz w:val="24"/>
                <w:szCs w:val="24"/>
                <w:lang w:val="en-IE" w:eastAsia="en-IE"/>
              </w:rPr>
              <w:t>=2088)</w:t>
            </w:r>
          </w:p>
        </w:tc>
        <w:tc>
          <w:tcPr>
            <w:tcW w:w="2126" w:type="dxa"/>
            <w:tcBorders>
              <w:top w:val="single" w:sz="4" w:space="0" w:color="auto"/>
              <w:bottom w:val="nil"/>
            </w:tcBorders>
            <w:vAlign w:val="bottom"/>
          </w:tcPr>
          <w:p w14:paraId="4E6BD87E"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Percentage difference between quota target and quota obtained</w:t>
            </w:r>
            <w:r>
              <w:rPr>
                <w:rFonts w:ascii="Times New Roman" w:eastAsia="Times New Roman" w:hAnsi="Times New Roman" w:cs="Times New Roman"/>
                <w:color w:val="000000"/>
                <w:sz w:val="24"/>
                <w:szCs w:val="24"/>
                <w:lang w:val="en-IE" w:eastAsia="en-IE"/>
              </w:rPr>
              <w:t xml:space="preserve"> at C19PRC-UKW4</w:t>
            </w:r>
          </w:p>
        </w:tc>
      </w:tr>
      <w:tr w:rsidR="00C62E4F" w:rsidRPr="00790988" w14:paraId="6E4908A9" w14:textId="77777777" w:rsidTr="003745D7">
        <w:trPr>
          <w:trHeight w:val="300"/>
          <w:tblHeader/>
        </w:trPr>
        <w:tc>
          <w:tcPr>
            <w:tcW w:w="3682" w:type="dxa"/>
            <w:gridSpan w:val="2"/>
            <w:vMerge/>
            <w:tcBorders>
              <w:top w:val="nil"/>
              <w:bottom w:val="single" w:sz="4" w:space="0" w:color="auto"/>
            </w:tcBorders>
            <w:shd w:val="clear" w:color="auto" w:fill="auto"/>
            <w:vAlign w:val="bottom"/>
          </w:tcPr>
          <w:p w14:paraId="0712E2DF"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83" w:type="dxa"/>
            <w:tcBorders>
              <w:top w:val="nil"/>
              <w:bottom w:val="single" w:sz="4" w:space="0" w:color="auto"/>
            </w:tcBorders>
          </w:tcPr>
          <w:p w14:paraId="7A9639C2"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w:t>
            </w:r>
          </w:p>
        </w:tc>
        <w:tc>
          <w:tcPr>
            <w:tcW w:w="1134" w:type="dxa"/>
            <w:tcBorders>
              <w:top w:val="nil"/>
              <w:bottom w:val="single" w:sz="4" w:space="0" w:color="auto"/>
            </w:tcBorders>
            <w:shd w:val="clear" w:color="auto" w:fill="auto"/>
            <w:noWrap/>
            <w:vAlign w:val="bottom"/>
          </w:tcPr>
          <w:p w14:paraId="7032C2E1"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n</w:t>
            </w:r>
          </w:p>
        </w:tc>
        <w:tc>
          <w:tcPr>
            <w:tcW w:w="1134" w:type="dxa"/>
            <w:tcBorders>
              <w:top w:val="nil"/>
              <w:bottom w:val="single" w:sz="4" w:space="0" w:color="auto"/>
            </w:tcBorders>
            <w:shd w:val="clear" w:color="auto" w:fill="auto"/>
            <w:vAlign w:val="bottom"/>
          </w:tcPr>
          <w:p w14:paraId="666B383C"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w:t>
            </w:r>
          </w:p>
        </w:tc>
        <w:tc>
          <w:tcPr>
            <w:tcW w:w="993" w:type="dxa"/>
            <w:tcBorders>
              <w:top w:val="nil"/>
              <w:bottom w:val="single" w:sz="4" w:space="0" w:color="auto"/>
            </w:tcBorders>
          </w:tcPr>
          <w:p w14:paraId="3A59316F"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n</w:t>
            </w:r>
          </w:p>
        </w:tc>
        <w:tc>
          <w:tcPr>
            <w:tcW w:w="992" w:type="dxa"/>
            <w:tcBorders>
              <w:top w:val="nil"/>
              <w:bottom w:val="single" w:sz="4" w:space="0" w:color="auto"/>
            </w:tcBorders>
          </w:tcPr>
          <w:p w14:paraId="0ACA4EC9"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w:t>
            </w:r>
          </w:p>
        </w:tc>
        <w:tc>
          <w:tcPr>
            <w:tcW w:w="850" w:type="dxa"/>
            <w:tcBorders>
              <w:top w:val="nil"/>
              <w:bottom w:val="single" w:sz="4" w:space="0" w:color="auto"/>
            </w:tcBorders>
          </w:tcPr>
          <w:p w14:paraId="0E3D383C"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n</w:t>
            </w:r>
          </w:p>
        </w:tc>
        <w:tc>
          <w:tcPr>
            <w:tcW w:w="993" w:type="dxa"/>
            <w:tcBorders>
              <w:top w:val="nil"/>
              <w:bottom w:val="single" w:sz="4" w:space="0" w:color="auto"/>
            </w:tcBorders>
          </w:tcPr>
          <w:p w14:paraId="5DA306A6"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w:t>
            </w:r>
          </w:p>
        </w:tc>
        <w:tc>
          <w:tcPr>
            <w:tcW w:w="2126" w:type="dxa"/>
            <w:tcBorders>
              <w:top w:val="nil"/>
              <w:bottom w:val="single" w:sz="4" w:space="0" w:color="auto"/>
            </w:tcBorders>
          </w:tcPr>
          <w:p w14:paraId="5242F8A1"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p>
        </w:tc>
      </w:tr>
      <w:tr w:rsidR="00C62E4F" w:rsidRPr="00790988" w14:paraId="22DC0205" w14:textId="77777777" w:rsidTr="003745D7">
        <w:trPr>
          <w:trHeight w:val="300"/>
        </w:trPr>
        <w:tc>
          <w:tcPr>
            <w:tcW w:w="1744" w:type="dxa"/>
            <w:vMerge w:val="restart"/>
            <w:tcBorders>
              <w:top w:val="single" w:sz="4" w:space="0" w:color="auto"/>
            </w:tcBorders>
            <w:shd w:val="clear" w:color="auto" w:fill="auto"/>
            <w:hideMark/>
          </w:tcPr>
          <w:p w14:paraId="02DE22E0"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Sex</w:t>
            </w:r>
            <w:r>
              <w:rPr>
                <w:rFonts w:ascii="Arial" w:hAnsi="Arial" w:cs="Arial"/>
                <w:color w:val="1C1D1E"/>
                <w:sz w:val="21"/>
                <w:szCs w:val="21"/>
                <w:shd w:val="clear" w:color="auto" w:fill="FFFFFF"/>
              </w:rPr>
              <w:t>†</w:t>
            </w:r>
          </w:p>
        </w:tc>
        <w:tc>
          <w:tcPr>
            <w:tcW w:w="1938" w:type="dxa"/>
            <w:tcBorders>
              <w:top w:val="single" w:sz="4" w:space="0" w:color="auto"/>
            </w:tcBorders>
            <w:shd w:val="clear" w:color="auto" w:fill="auto"/>
            <w:noWrap/>
            <w:vAlign w:val="bottom"/>
            <w:hideMark/>
          </w:tcPr>
          <w:p w14:paraId="1EEC9902"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Men</w:t>
            </w:r>
          </w:p>
        </w:tc>
        <w:tc>
          <w:tcPr>
            <w:tcW w:w="1983" w:type="dxa"/>
            <w:tcBorders>
              <w:top w:val="single" w:sz="4" w:space="0" w:color="auto"/>
            </w:tcBorders>
          </w:tcPr>
          <w:p w14:paraId="75B6ACF4"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49</w:t>
            </w:r>
          </w:p>
        </w:tc>
        <w:tc>
          <w:tcPr>
            <w:tcW w:w="1134" w:type="dxa"/>
            <w:tcBorders>
              <w:top w:val="single" w:sz="4" w:space="0" w:color="auto"/>
            </w:tcBorders>
            <w:shd w:val="clear" w:color="auto" w:fill="auto"/>
            <w:noWrap/>
            <w:vAlign w:val="bottom"/>
          </w:tcPr>
          <w:p w14:paraId="7C160B91"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877</w:t>
            </w:r>
          </w:p>
        </w:tc>
        <w:tc>
          <w:tcPr>
            <w:tcW w:w="1134" w:type="dxa"/>
            <w:tcBorders>
              <w:top w:val="single" w:sz="4" w:space="0" w:color="auto"/>
            </w:tcBorders>
            <w:shd w:val="clear" w:color="auto" w:fill="auto"/>
            <w:vAlign w:val="bottom"/>
          </w:tcPr>
          <w:p w14:paraId="74C6AE7C"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48.8</w:t>
            </w:r>
          </w:p>
        </w:tc>
        <w:tc>
          <w:tcPr>
            <w:tcW w:w="993" w:type="dxa"/>
            <w:tcBorders>
              <w:top w:val="single" w:sz="4" w:space="0" w:color="auto"/>
            </w:tcBorders>
          </w:tcPr>
          <w:p w14:paraId="0520D226"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127</w:t>
            </w:r>
          </w:p>
        </w:tc>
        <w:tc>
          <w:tcPr>
            <w:tcW w:w="992" w:type="dxa"/>
            <w:tcBorders>
              <w:top w:val="single" w:sz="4" w:space="0" w:color="auto"/>
            </w:tcBorders>
          </w:tcPr>
          <w:p w14:paraId="572A9C19"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43.5</w:t>
            </w:r>
          </w:p>
        </w:tc>
        <w:tc>
          <w:tcPr>
            <w:tcW w:w="850" w:type="dxa"/>
            <w:tcBorders>
              <w:top w:val="single" w:sz="4" w:space="0" w:color="auto"/>
            </w:tcBorders>
          </w:tcPr>
          <w:p w14:paraId="18B34FF0"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1004</w:t>
            </w:r>
          </w:p>
        </w:tc>
        <w:tc>
          <w:tcPr>
            <w:tcW w:w="993" w:type="dxa"/>
            <w:tcBorders>
              <w:top w:val="single" w:sz="4" w:space="0" w:color="auto"/>
            </w:tcBorders>
          </w:tcPr>
          <w:p w14:paraId="320E7066"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48.1</w:t>
            </w:r>
          </w:p>
        </w:tc>
        <w:tc>
          <w:tcPr>
            <w:tcW w:w="2126" w:type="dxa"/>
            <w:tcBorders>
              <w:top w:val="single" w:sz="4" w:space="0" w:color="auto"/>
            </w:tcBorders>
          </w:tcPr>
          <w:p w14:paraId="6EFAB418"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-0.9</w:t>
            </w:r>
          </w:p>
        </w:tc>
      </w:tr>
      <w:tr w:rsidR="00C62E4F" w:rsidRPr="00790988" w14:paraId="041CE3A4" w14:textId="77777777" w:rsidTr="003745D7">
        <w:trPr>
          <w:trHeight w:val="300"/>
        </w:trPr>
        <w:tc>
          <w:tcPr>
            <w:tcW w:w="1744" w:type="dxa"/>
            <w:vMerge/>
            <w:vAlign w:val="center"/>
            <w:hideMark/>
          </w:tcPr>
          <w:p w14:paraId="6D4632AF"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shd w:val="clear" w:color="auto" w:fill="auto"/>
            <w:noWrap/>
            <w:vAlign w:val="bottom"/>
            <w:hideMark/>
          </w:tcPr>
          <w:p w14:paraId="39135E9B"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Women</w:t>
            </w:r>
          </w:p>
        </w:tc>
        <w:tc>
          <w:tcPr>
            <w:tcW w:w="1983" w:type="dxa"/>
          </w:tcPr>
          <w:p w14:paraId="3721440A"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51</w:t>
            </w:r>
          </w:p>
        </w:tc>
        <w:tc>
          <w:tcPr>
            <w:tcW w:w="1134" w:type="dxa"/>
            <w:shd w:val="clear" w:color="auto" w:fill="auto"/>
            <w:noWrap/>
            <w:vAlign w:val="bottom"/>
          </w:tcPr>
          <w:p w14:paraId="123C0469"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919</w:t>
            </w:r>
          </w:p>
        </w:tc>
        <w:tc>
          <w:tcPr>
            <w:tcW w:w="1134" w:type="dxa"/>
            <w:shd w:val="clear" w:color="auto" w:fill="auto"/>
            <w:vAlign w:val="bottom"/>
          </w:tcPr>
          <w:p w14:paraId="2381DC48"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51.2</w:t>
            </w:r>
          </w:p>
        </w:tc>
        <w:tc>
          <w:tcPr>
            <w:tcW w:w="993" w:type="dxa"/>
          </w:tcPr>
          <w:p w14:paraId="47EC691B"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160</w:t>
            </w:r>
          </w:p>
        </w:tc>
        <w:tc>
          <w:tcPr>
            <w:tcW w:w="992" w:type="dxa"/>
          </w:tcPr>
          <w:p w14:paraId="53891E6E"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54.8</w:t>
            </w:r>
          </w:p>
        </w:tc>
        <w:tc>
          <w:tcPr>
            <w:tcW w:w="850" w:type="dxa"/>
          </w:tcPr>
          <w:p w14:paraId="4E6131D5"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1079</w:t>
            </w:r>
          </w:p>
        </w:tc>
        <w:tc>
          <w:tcPr>
            <w:tcW w:w="993" w:type="dxa"/>
          </w:tcPr>
          <w:p w14:paraId="01C1AA59"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51.7</w:t>
            </w:r>
          </w:p>
        </w:tc>
        <w:tc>
          <w:tcPr>
            <w:tcW w:w="2126" w:type="dxa"/>
          </w:tcPr>
          <w:p w14:paraId="7DB0D65F"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+0.7</w:t>
            </w:r>
          </w:p>
        </w:tc>
      </w:tr>
      <w:tr w:rsidR="00C62E4F" w:rsidRPr="00790988" w14:paraId="4FB64EB4" w14:textId="77777777" w:rsidTr="003745D7">
        <w:trPr>
          <w:trHeight w:val="300"/>
        </w:trPr>
        <w:tc>
          <w:tcPr>
            <w:tcW w:w="1744" w:type="dxa"/>
            <w:vMerge/>
            <w:vAlign w:val="center"/>
            <w:hideMark/>
          </w:tcPr>
          <w:p w14:paraId="6355CEFC"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shd w:val="clear" w:color="auto" w:fill="auto"/>
            <w:noWrap/>
            <w:vAlign w:val="bottom"/>
            <w:hideMark/>
          </w:tcPr>
          <w:p w14:paraId="6DF29387"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Other</w:t>
            </w:r>
          </w:p>
        </w:tc>
        <w:tc>
          <w:tcPr>
            <w:tcW w:w="1983" w:type="dxa"/>
          </w:tcPr>
          <w:p w14:paraId="0E129729"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NA</w:t>
            </w:r>
          </w:p>
        </w:tc>
        <w:tc>
          <w:tcPr>
            <w:tcW w:w="1134" w:type="dxa"/>
            <w:shd w:val="clear" w:color="auto" w:fill="auto"/>
            <w:noWrap/>
            <w:vAlign w:val="bottom"/>
          </w:tcPr>
          <w:p w14:paraId="7A3DAFC5"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w:t>
            </w:r>
          </w:p>
        </w:tc>
        <w:tc>
          <w:tcPr>
            <w:tcW w:w="1134" w:type="dxa"/>
            <w:shd w:val="clear" w:color="auto" w:fill="auto"/>
            <w:vAlign w:val="bottom"/>
          </w:tcPr>
          <w:p w14:paraId="2B8D1B65"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0.0</w:t>
            </w:r>
          </w:p>
        </w:tc>
        <w:tc>
          <w:tcPr>
            <w:tcW w:w="993" w:type="dxa"/>
          </w:tcPr>
          <w:p w14:paraId="5F60AADC"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5</w:t>
            </w:r>
          </w:p>
        </w:tc>
        <w:tc>
          <w:tcPr>
            <w:tcW w:w="992" w:type="dxa"/>
          </w:tcPr>
          <w:p w14:paraId="1A87AA77"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1.7</w:t>
            </w:r>
          </w:p>
        </w:tc>
        <w:tc>
          <w:tcPr>
            <w:tcW w:w="850" w:type="dxa"/>
          </w:tcPr>
          <w:p w14:paraId="61A36A53"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5</w:t>
            </w:r>
          </w:p>
        </w:tc>
        <w:tc>
          <w:tcPr>
            <w:tcW w:w="993" w:type="dxa"/>
          </w:tcPr>
          <w:p w14:paraId="5532DCD9"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0.2</w:t>
            </w:r>
          </w:p>
        </w:tc>
        <w:tc>
          <w:tcPr>
            <w:tcW w:w="2126" w:type="dxa"/>
          </w:tcPr>
          <w:p w14:paraId="1B4F63D9"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NA</w:t>
            </w:r>
          </w:p>
        </w:tc>
      </w:tr>
      <w:tr w:rsidR="00C62E4F" w:rsidRPr="00790988" w14:paraId="083CBEE9" w14:textId="77777777" w:rsidTr="003745D7">
        <w:trPr>
          <w:trHeight w:val="300"/>
        </w:trPr>
        <w:tc>
          <w:tcPr>
            <w:tcW w:w="1744" w:type="dxa"/>
            <w:vMerge w:val="restart"/>
            <w:shd w:val="clear" w:color="auto" w:fill="auto"/>
            <w:hideMark/>
          </w:tcPr>
          <w:p w14:paraId="1FF62530"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Age group (years)</w:t>
            </w:r>
            <w:r w:rsidRPr="00790988">
              <w:rPr>
                <w:rFonts w:ascii="Times New Roman" w:eastAsia="Times New Roman" w:hAnsi="Times New Roman" w:cs="Times New Roman"/>
                <w:color w:val="000000"/>
                <w:sz w:val="24"/>
                <w:szCs w:val="24"/>
                <w:vertAlign w:val="superscript"/>
                <w:lang w:val="en-IE" w:eastAsia="en-IE"/>
              </w:rPr>
              <w:t xml:space="preserve"> </w:t>
            </w:r>
            <w:r>
              <w:rPr>
                <w:rFonts w:ascii="Arial" w:hAnsi="Arial" w:cs="Arial"/>
                <w:color w:val="1C1D1E"/>
                <w:sz w:val="21"/>
                <w:szCs w:val="21"/>
                <w:shd w:val="clear" w:color="auto" w:fill="FFFFFF"/>
              </w:rPr>
              <w:t>†</w:t>
            </w:r>
          </w:p>
        </w:tc>
        <w:tc>
          <w:tcPr>
            <w:tcW w:w="1938" w:type="dxa"/>
            <w:shd w:val="clear" w:color="auto" w:fill="auto"/>
            <w:noWrap/>
            <w:vAlign w:val="bottom"/>
            <w:hideMark/>
          </w:tcPr>
          <w:p w14:paraId="40FD5517"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18-24</w:t>
            </w:r>
          </w:p>
        </w:tc>
        <w:tc>
          <w:tcPr>
            <w:tcW w:w="1983" w:type="dxa"/>
          </w:tcPr>
          <w:p w14:paraId="51B6251A"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12</w:t>
            </w:r>
          </w:p>
        </w:tc>
        <w:tc>
          <w:tcPr>
            <w:tcW w:w="1134" w:type="dxa"/>
            <w:shd w:val="clear" w:color="auto" w:fill="auto"/>
            <w:noWrap/>
            <w:vAlign w:val="bottom"/>
          </w:tcPr>
          <w:p w14:paraId="53BA36CD"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114</w:t>
            </w:r>
          </w:p>
        </w:tc>
        <w:tc>
          <w:tcPr>
            <w:tcW w:w="1134" w:type="dxa"/>
            <w:shd w:val="clear" w:color="auto" w:fill="auto"/>
            <w:vAlign w:val="bottom"/>
          </w:tcPr>
          <w:p w14:paraId="29D546F1"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6.3</w:t>
            </w:r>
          </w:p>
        </w:tc>
        <w:tc>
          <w:tcPr>
            <w:tcW w:w="993" w:type="dxa"/>
          </w:tcPr>
          <w:p w14:paraId="760F57AD"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88</w:t>
            </w:r>
          </w:p>
        </w:tc>
        <w:tc>
          <w:tcPr>
            <w:tcW w:w="992" w:type="dxa"/>
          </w:tcPr>
          <w:p w14:paraId="45A376AB"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30.1</w:t>
            </w:r>
          </w:p>
        </w:tc>
        <w:tc>
          <w:tcPr>
            <w:tcW w:w="850" w:type="dxa"/>
          </w:tcPr>
          <w:p w14:paraId="2B0C4A7A"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202</w:t>
            </w:r>
          </w:p>
        </w:tc>
        <w:tc>
          <w:tcPr>
            <w:tcW w:w="993" w:type="dxa"/>
          </w:tcPr>
          <w:p w14:paraId="1191E152"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9.7</w:t>
            </w:r>
          </w:p>
        </w:tc>
        <w:tc>
          <w:tcPr>
            <w:tcW w:w="2126" w:type="dxa"/>
          </w:tcPr>
          <w:p w14:paraId="247DC6B4"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-2.3</w:t>
            </w:r>
          </w:p>
        </w:tc>
      </w:tr>
      <w:tr w:rsidR="00C62E4F" w:rsidRPr="00790988" w14:paraId="04B7D90C" w14:textId="77777777" w:rsidTr="003745D7">
        <w:trPr>
          <w:trHeight w:val="300"/>
        </w:trPr>
        <w:tc>
          <w:tcPr>
            <w:tcW w:w="1744" w:type="dxa"/>
            <w:vMerge/>
            <w:vAlign w:val="center"/>
            <w:hideMark/>
          </w:tcPr>
          <w:p w14:paraId="1D74AA1E"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shd w:val="clear" w:color="auto" w:fill="auto"/>
            <w:noWrap/>
            <w:vAlign w:val="bottom"/>
            <w:hideMark/>
          </w:tcPr>
          <w:p w14:paraId="1FAF0097"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25-34</w:t>
            </w:r>
          </w:p>
        </w:tc>
        <w:tc>
          <w:tcPr>
            <w:tcW w:w="1983" w:type="dxa"/>
          </w:tcPr>
          <w:p w14:paraId="17B66378"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19</w:t>
            </w:r>
          </w:p>
        </w:tc>
        <w:tc>
          <w:tcPr>
            <w:tcW w:w="1134" w:type="dxa"/>
            <w:shd w:val="clear" w:color="auto" w:fill="auto"/>
            <w:noWrap/>
            <w:vAlign w:val="bottom"/>
          </w:tcPr>
          <w:p w14:paraId="4B12B86D"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314</w:t>
            </w:r>
          </w:p>
        </w:tc>
        <w:tc>
          <w:tcPr>
            <w:tcW w:w="1134" w:type="dxa"/>
            <w:shd w:val="clear" w:color="auto" w:fill="auto"/>
            <w:vAlign w:val="bottom"/>
          </w:tcPr>
          <w:p w14:paraId="283A1287"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17.5</w:t>
            </w:r>
          </w:p>
        </w:tc>
        <w:tc>
          <w:tcPr>
            <w:tcW w:w="993" w:type="dxa"/>
          </w:tcPr>
          <w:p w14:paraId="56E59238"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98</w:t>
            </w:r>
          </w:p>
        </w:tc>
        <w:tc>
          <w:tcPr>
            <w:tcW w:w="992" w:type="dxa"/>
          </w:tcPr>
          <w:p w14:paraId="40274BA1"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33.6</w:t>
            </w:r>
          </w:p>
        </w:tc>
        <w:tc>
          <w:tcPr>
            <w:tcW w:w="850" w:type="dxa"/>
          </w:tcPr>
          <w:p w14:paraId="3E8D3ECC"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412</w:t>
            </w:r>
          </w:p>
        </w:tc>
        <w:tc>
          <w:tcPr>
            <w:tcW w:w="993" w:type="dxa"/>
          </w:tcPr>
          <w:p w14:paraId="4BAEF3BF"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19.7</w:t>
            </w:r>
          </w:p>
        </w:tc>
        <w:tc>
          <w:tcPr>
            <w:tcW w:w="2126" w:type="dxa"/>
          </w:tcPr>
          <w:p w14:paraId="11C9C5D9"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+0.7</w:t>
            </w:r>
          </w:p>
        </w:tc>
      </w:tr>
      <w:tr w:rsidR="00C62E4F" w:rsidRPr="00790988" w14:paraId="12D63E9D" w14:textId="77777777" w:rsidTr="003745D7">
        <w:trPr>
          <w:trHeight w:val="300"/>
        </w:trPr>
        <w:tc>
          <w:tcPr>
            <w:tcW w:w="1744" w:type="dxa"/>
            <w:vMerge/>
            <w:vAlign w:val="center"/>
            <w:hideMark/>
          </w:tcPr>
          <w:p w14:paraId="1C0E5237"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shd w:val="clear" w:color="auto" w:fill="auto"/>
            <w:noWrap/>
            <w:vAlign w:val="bottom"/>
            <w:hideMark/>
          </w:tcPr>
          <w:p w14:paraId="6C74CBF0"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35-44</w:t>
            </w:r>
          </w:p>
        </w:tc>
        <w:tc>
          <w:tcPr>
            <w:tcW w:w="1983" w:type="dxa"/>
          </w:tcPr>
          <w:p w14:paraId="57C0ACB9"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18</w:t>
            </w:r>
          </w:p>
        </w:tc>
        <w:tc>
          <w:tcPr>
            <w:tcW w:w="1134" w:type="dxa"/>
            <w:shd w:val="clear" w:color="auto" w:fill="auto"/>
            <w:noWrap/>
            <w:vAlign w:val="bottom"/>
          </w:tcPr>
          <w:p w14:paraId="15AF1CD6"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339</w:t>
            </w:r>
          </w:p>
        </w:tc>
        <w:tc>
          <w:tcPr>
            <w:tcW w:w="1134" w:type="dxa"/>
            <w:shd w:val="clear" w:color="auto" w:fill="auto"/>
            <w:vAlign w:val="bottom"/>
          </w:tcPr>
          <w:p w14:paraId="79F1F93B"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18.9</w:t>
            </w:r>
          </w:p>
        </w:tc>
        <w:tc>
          <w:tcPr>
            <w:tcW w:w="993" w:type="dxa"/>
          </w:tcPr>
          <w:p w14:paraId="52F3552D"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30</w:t>
            </w:r>
          </w:p>
        </w:tc>
        <w:tc>
          <w:tcPr>
            <w:tcW w:w="992" w:type="dxa"/>
          </w:tcPr>
          <w:p w14:paraId="5C178C38"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10.3</w:t>
            </w:r>
          </w:p>
        </w:tc>
        <w:tc>
          <w:tcPr>
            <w:tcW w:w="850" w:type="dxa"/>
          </w:tcPr>
          <w:p w14:paraId="0E6B1744"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369</w:t>
            </w:r>
          </w:p>
        </w:tc>
        <w:tc>
          <w:tcPr>
            <w:tcW w:w="993" w:type="dxa"/>
          </w:tcPr>
          <w:p w14:paraId="3D6833CA"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17.7</w:t>
            </w:r>
          </w:p>
        </w:tc>
        <w:tc>
          <w:tcPr>
            <w:tcW w:w="2126" w:type="dxa"/>
          </w:tcPr>
          <w:p w14:paraId="6197AD0A"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-0.3</w:t>
            </w:r>
          </w:p>
        </w:tc>
      </w:tr>
      <w:tr w:rsidR="00C62E4F" w:rsidRPr="00790988" w14:paraId="5400569B" w14:textId="77777777" w:rsidTr="003745D7">
        <w:trPr>
          <w:trHeight w:val="300"/>
        </w:trPr>
        <w:tc>
          <w:tcPr>
            <w:tcW w:w="1744" w:type="dxa"/>
            <w:vMerge/>
            <w:vAlign w:val="center"/>
            <w:hideMark/>
          </w:tcPr>
          <w:p w14:paraId="402CC8AE"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shd w:val="clear" w:color="auto" w:fill="auto"/>
            <w:noWrap/>
            <w:vAlign w:val="bottom"/>
            <w:hideMark/>
          </w:tcPr>
          <w:p w14:paraId="111B852B"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45-54</w:t>
            </w:r>
          </w:p>
        </w:tc>
        <w:tc>
          <w:tcPr>
            <w:tcW w:w="1983" w:type="dxa"/>
          </w:tcPr>
          <w:p w14:paraId="67D080CF"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w:t>
            </w:r>
          </w:p>
        </w:tc>
        <w:tc>
          <w:tcPr>
            <w:tcW w:w="1134" w:type="dxa"/>
            <w:shd w:val="clear" w:color="auto" w:fill="auto"/>
            <w:noWrap/>
            <w:vAlign w:val="bottom"/>
          </w:tcPr>
          <w:p w14:paraId="44EA7C43"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394</w:t>
            </w:r>
          </w:p>
        </w:tc>
        <w:tc>
          <w:tcPr>
            <w:tcW w:w="1134" w:type="dxa"/>
            <w:shd w:val="clear" w:color="auto" w:fill="auto"/>
            <w:vAlign w:val="bottom"/>
          </w:tcPr>
          <w:p w14:paraId="72ADE1DD"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21.9</w:t>
            </w:r>
          </w:p>
        </w:tc>
        <w:tc>
          <w:tcPr>
            <w:tcW w:w="993" w:type="dxa"/>
          </w:tcPr>
          <w:p w14:paraId="13BEDF16"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30</w:t>
            </w:r>
          </w:p>
        </w:tc>
        <w:tc>
          <w:tcPr>
            <w:tcW w:w="992" w:type="dxa"/>
          </w:tcPr>
          <w:p w14:paraId="1C8115F4"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10.3</w:t>
            </w:r>
          </w:p>
        </w:tc>
        <w:tc>
          <w:tcPr>
            <w:tcW w:w="850" w:type="dxa"/>
          </w:tcPr>
          <w:p w14:paraId="1F33E5A5"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424</w:t>
            </w:r>
          </w:p>
        </w:tc>
        <w:tc>
          <w:tcPr>
            <w:tcW w:w="993" w:type="dxa"/>
          </w:tcPr>
          <w:p w14:paraId="24FDA0AB"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20.3</w:t>
            </w:r>
          </w:p>
        </w:tc>
        <w:tc>
          <w:tcPr>
            <w:tcW w:w="2126" w:type="dxa"/>
          </w:tcPr>
          <w:p w14:paraId="31097CAA"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+0.3</w:t>
            </w:r>
          </w:p>
        </w:tc>
      </w:tr>
      <w:tr w:rsidR="00C62E4F" w:rsidRPr="00790988" w14:paraId="7973BB6E" w14:textId="77777777" w:rsidTr="003745D7">
        <w:trPr>
          <w:trHeight w:val="300"/>
        </w:trPr>
        <w:tc>
          <w:tcPr>
            <w:tcW w:w="1744" w:type="dxa"/>
            <w:vMerge/>
            <w:vAlign w:val="center"/>
            <w:hideMark/>
          </w:tcPr>
          <w:p w14:paraId="2C0751C6"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shd w:val="clear" w:color="auto" w:fill="auto"/>
            <w:noWrap/>
            <w:vAlign w:val="bottom"/>
            <w:hideMark/>
          </w:tcPr>
          <w:p w14:paraId="2FD8EE20"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55-64</w:t>
            </w:r>
          </w:p>
        </w:tc>
        <w:tc>
          <w:tcPr>
            <w:tcW w:w="1983" w:type="dxa"/>
          </w:tcPr>
          <w:p w14:paraId="30340942"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17</w:t>
            </w:r>
          </w:p>
        </w:tc>
        <w:tc>
          <w:tcPr>
            <w:tcW w:w="1134" w:type="dxa"/>
            <w:shd w:val="clear" w:color="auto" w:fill="auto"/>
            <w:noWrap/>
            <w:vAlign w:val="bottom"/>
          </w:tcPr>
          <w:p w14:paraId="5753F554"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347</w:t>
            </w:r>
          </w:p>
        </w:tc>
        <w:tc>
          <w:tcPr>
            <w:tcW w:w="1134" w:type="dxa"/>
            <w:shd w:val="clear" w:color="auto" w:fill="auto"/>
            <w:vAlign w:val="bottom"/>
          </w:tcPr>
          <w:p w14:paraId="4AF774E0"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19.3</w:t>
            </w:r>
          </w:p>
        </w:tc>
        <w:tc>
          <w:tcPr>
            <w:tcW w:w="993" w:type="dxa"/>
          </w:tcPr>
          <w:p w14:paraId="124B9BA8"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28</w:t>
            </w:r>
          </w:p>
        </w:tc>
        <w:tc>
          <w:tcPr>
            <w:tcW w:w="992" w:type="dxa"/>
          </w:tcPr>
          <w:p w14:paraId="799F2D2E"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9.6</w:t>
            </w:r>
          </w:p>
        </w:tc>
        <w:tc>
          <w:tcPr>
            <w:tcW w:w="850" w:type="dxa"/>
          </w:tcPr>
          <w:p w14:paraId="6A9543E8"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375</w:t>
            </w:r>
          </w:p>
        </w:tc>
        <w:tc>
          <w:tcPr>
            <w:tcW w:w="993" w:type="dxa"/>
          </w:tcPr>
          <w:p w14:paraId="7B5B0168"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18.0</w:t>
            </w:r>
          </w:p>
        </w:tc>
        <w:tc>
          <w:tcPr>
            <w:tcW w:w="2126" w:type="dxa"/>
          </w:tcPr>
          <w:p w14:paraId="6D51E2B9"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+1.0</w:t>
            </w:r>
          </w:p>
        </w:tc>
      </w:tr>
      <w:tr w:rsidR="00C62E4F" w:rsidRPr="00790988" w14:paraId="73CE1C7B" w14:textId="77777777" w:rsidTr="003745D7">
        <w:trPr>
          <w:trHeight w:val="300"/>
        </w:trPr>
        <w:tc>
          <w:tcPr>
            <w:tcW w:w="1744" w:type="dxa"/>
            <w:vMerge/>
            <w:tcBorders>
              <w:bottom w:val="nil"/>
            </w:tcBorders>
            <w:vAlign w:val="center"/>
            <w:hideMark/>
          </w:tcPr>
          <w:p w14:paraId="67EA5E46"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tcBorders>
              <w:bottom w:val="nil"/>
            </w:tcBorders>
            <w:shd w:val="clear" w:color="auto" w:fill="auto"/>
            <w:noWrap/>
            <w:vAlign w:val="bottom"/>
            <w:hideMark/>
          </w:tcPr>
          <w:p w14:paraId="252F9240"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65+</w:t>
            </w:r>
          </w:p>
        </w:tc>
        <w:tc>
          <w:tcPr>
            <w:tcW w:w="1983" w:type="dxa"/>
            <w:tcBorders>
              <w:bottom w:val="nil"/>
            </w:tcBorders>
          </w:tcPr>
          <w:p w14:paraId="2D0A6D87"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14</w:t>
            </w:r>
          </w:p>
        </w:tc>
        <w:tc>
          <w:tcPr>
            <w:tcW w:w="1134" w:type="dxa"/>
            <w:tcBorders>
              <w:bottom w:val="nil"/>
            </w:tcBorders>
            <w:shd w:val="clear" w:color="auto" w:fill="auto"/>
            <w:noWrap/>
            <w:vAlign w:val="bottom"/>
          </w:tcPr>
          <w:p w14:paraId="0418AA70"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288</w:t>
            </w:r>
          </w:p>
        </w:tc>
        <w:tc>
          <w:tcPr>
            <w:tcW w:w="1134" w:type="dxa"/>
            <w:tcBorders>
              <w:bottom w:val="nil"/>
            </w:tcBorders>
            <w:shd w:val="clear" w:color="auto" w:fill="auto"/>
            <w:vAlign w:val="bottom"/>
          </w:tcPr>
          <w:p w14:paraId="414F4EB9"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16.0</w:t>
            </w:r>
          </w:p>
        </w:tc>
        <w:tc>
          <w:tcPr>
            <w:tcW w:w="993" w:type="dxa"/>
            <w:tcBorders>
              <w:bottom w:val="nil"/>
            </w:tcBorders>
          </w:tcPr>
          <w:p w14:paraId="1A8BE65A"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18</w:t>
            </w:r>
          </w:p>
        </w:tc>
        <w:tc>
          <w:tcPr>
            <w:tcW w:w="992" w:type="dxa"/>
            <w:tcBorders>
              <w:bottom w:val="nil"/>
            </w:tcBorders>
          </w:tcPr>
          <w:p w14:paraId="0410C7B1"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6.2</w:t>
            </w:r>
          </w:p>
        </w:tc>
        <w:tc>
          <w:tcPr>
            <w:tcW w:w="850" w:type="dxa"/>
            <w:tcBorders>
              <w:bottom w:val="nil"/>
            </w:tcBorders>
          </w:tcPr>
          <w:p w14:paraId="12C97F3C"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306</w:t>
            </w:r>
          </w:p>
        </w:tc>
        <w:tc>
          <w:tcPr>
            <w:tcW w:w="993" w:type="dxa"/>
            <w:tcBorders>
              <w:bottom w:val="nil"/>
            </w:tcBorders>
          </w:tcPr>
          <w:p w14:paraId="5722E189"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14.7</w:t>
            </w:r>
          </w:p>
        </w:tc>
        <w:tc>
          <w:tcPr>
            <w:tcW w:w="2126" w:type="dxa"/>
            <w:tcBorders>
              <w:bottom w:val="nil"/>
            </w:tcBorders>
          </w:tcPr>
          <w:p w14:paraId="70331C35"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+0.7</w:t>
            </w:r>
          </w:p>
        </w:tc>
      </w:tr>
      <w:tr w:rsidR="00C62E4F" w:rsidRPr="00790988" w14:paraId="7AF9919F" w14:textId="77777777" w:rsidTr="003745D7">
        <w:trPr>
          <w:trHeight w:val="300"/>
        </w:trPr>
        <w:tc>
          <w:tcPr>
            <w:tcW w:w="1744" w:type="dxa"/>
            <w:vMerge w:val="restart"/>
            <w:tcBorders>
              <w:top w:val="nil"/>
              <w:left w:val="nil"/>
              <w:bottom w:val="nil"/>
              <w:right w:val="nil"/>
            </w:tcBorders>
          </w:tcPr>
          <w:p w14:paraId="45278502"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Gross annual household income</w:t>
            </w:r>
            <w:r>
              <w:rPr>
                <w:rFonts w:ascii="Arial" w:hAnsi="Arial" w:cs="Arial"/>
                <w:color w:val="1C1D1E"/>
                <w:sz w:val="21"/>
                <w:szCs w:val="21"/>
                <w:shd w:val="clear" w:color="auto" w:fill="FFFFFF"/>
              </w:rPr>
              <w:t xml:space="preserve"> ‡</w:t>
            </w:r>
            <w:r w:rsidRPr="00790988">
              <w:rPr>
                <w:rFonts w:ascii="Times New Roman" w:eastAsia="Times New Roman" w:hAnsi="Times New Roman" w:cs="Times New Roman"/>
                <w:color w:val="000000"/>
                <w:sz w:val="24"/>
                <w:szCs w:val="24"/>
                <w:vertAlign w:val="superscript"/>
                <w:lang w:val="en-IE" w:eastAsia="en-IE"/>
              </w:rPr>
              <w:t xml:space="preserve"> </w:t>
            </w:r>
          </w:p>
        </w:tc>
        <w:tc>
          <w:tcPr>
            <w:tcW w:w="1938" w:type="dxa"/>
            <w:tcBorders>
              <w:top w:val="nil"/>
              <w:left w:val="nil"/>
              <w:bottom w:val="nil"/>
              <w:right w:val="nil"/>
            </w:tcBorders>
            <w:shd w:val="clear" w:color="auto" w:fill="auto"/>
            <w:noWrap/>
            <w:vAlign w:val="bottom"/>
          </w:tcPr>
          <w:p w14:paraId="18266DFA"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£0-£15490</w:t>
            </w:r>
          </w:p>
        </w:tc>
        <w:tc>
          <w:tcPr>
            <w:tcW w:w="1983" w:type="dxa"/>
            <w:tcBorders>
              <w:top w:val="nil"/>
              <w:left w:val="nil"/>
              <w:bottom w:val="nil"/>
              <w:right w:val="nil"/>
            </w:tcBorders>
          </w:tcPr>
          <w:p w14:paraId="1555D7E7"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w:t>
            </w:r>
          </w:p>
        </w:tc>
        <w:tc>
          <w:tcPr>
            <w:tcW w:w="1134" w:type="dxa"/>
            <w:tcBorders>
              <w:top w:val="nil"/>
              <w:left w:val="nil"/>
              <w:bottom w:val="nil"/>
              <w:right w:val="nil"/>
            </w:tcBorders>
            <w:shd w:val="clear" w:color="auto" w:fill="auto"/>
            <w:noWrap/>
            <w:vAlign w:val="bottom"/>
          </w:tcPr>
          <w:p w14:paraId="194888B8"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388</w:t>
            </w:r>
          </w:p>
        </w:tc>
        <w:tc>
          <w:tcPr>
            <w:tcW w:w="1134" w:type="dxa"/>
            <w:tcBorders>
              <w:top w:val="nil"/>
              <w:left w:val="nil"/>
              <w:bottom w:val="nil"/>
              <w:right w:val="nil"/>
            </w:tcBorders>
            <w:shd w:val="clear" w:color="auto" w:fill="auto"/>
            <w:vAlign w:val="bottom"/>
          </w:tcPr>
          <w:p w14:paraId="0EB1BF7B"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21.6</w:t>
            </w:r>
          </w:p>
        </w:tc>
        <w:tc>
          <w:tcPr>
            <w:tcW w:w="993" w:type="dxa"/>
            <w:tcBorders>
              <w:top w:val="nil"/>
              <w:left w:val="nil"/>
              <w:bottom w:val="nil"/>
              <w:right w:val="nil"/>
            </w:tcBorders>
          </w:tcPr>
          <w:p w14:paraId="540B93D8"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56</w:t>
            </w:r>
          </w:p>
        </w:tc>
        <w:tc>
          <w:tcPr>
            <w:tcW w:w="992" w:type="dxa"/>
            <w:tcBorders>
              <w:top w:val="nil"/>
              <w:left w:val="nil"/>
              <w:bottom w:val="nil"/>
              <w:right w:val="nil"/>
            </w:tcBorders>
          </w:tcPr>
          <w:p w14:paraId="5B33AE38"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19.2</w:t>
            </w:r>
          </w:p>
        </w:tc>
        <w:tc>
          <w:tcPr>
            <w:tcW w:w="850" w:type="dxa"/>
            <w:tcBorders>
              <w:top w:val="nil"/>
              <w:left w:val="nil"/>
              <w:bottom w:val="nil"/>
              <w:right w:val="nil"/>
            </w:tcBorders>
          </w:tcPr>
          <w:p w14:paraId="68AF71A2"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444</w:t>
            </w:r>
          </w:p>
        </w:tc>
        <w:tc>
          <w:tcPr>
            <w:tcW w:w="993" w:type="dxa"/>
            <w:tcBorders>
              <w:top w:val="nil"/>
              <w:left w:val="nil"/>
              <w:bottom w:val="nil"/>
              <w:right w:val="nil"/>
            </w:tcBorders>
          </w:tcPr>
          <w:p w14:paraId="2DA74525"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21.3</w:t>
            </w:r>
          </w:p>
        </w:tc>
        <w:tc>
          <w:tcPr>
            <w:tcW w:w="2126" w:type="dxa"/>
            <w:tcBorders>
              <w:top w:val="nil"/>
              <w:left w:val="nil"/>
              <w:bottom w:val="nil"/>
              <w:right w:val="nil"/>
            </w:tcBorders>
          </w:tcPr>
          <w:p w14:paraId="0514687F"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+1.3</w:t>
            </w:r>
          </w:p>
        </w:tc>
      </w:tr>
      <w:tr w:rsidR="00C62E4F" w:rsidRPr="00790988" w14:paraId="38096301" w14:textId="77777777" w:rsidTr="003745D7">
        <w:trPr>
          <w:trHeight w:val="300"/>
        </w:trPr>
        <w:tc>
          <w:tcPr>
            <w:tcW w:w="1744" w:type="dxa"/>
            <w:vMerge/>
            <w:tcBorders>
              <w:top w:val="nil"/>
              <w:left w:val="nil"/>
              <w:bottom w:val="nil"/>
              <w:right w:val="nil"/>
            </w:tcBorders>
            <w:vAlign w:val="center"/>
          </w:tcPr>
          <w:p w14:paraId="53547786"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tcBorders>
              <w:top w:val="nil"/>
              <w:left w:val="nil"/>
              <w:bottom w:val="nil"/>
              <w:right w:val="nil"/>
            </w:tcBorders>
            <w:shd w:val="clear" w:color="auto" w:fill="auto"/>
            <w:noWrap/>
            <w:vAlign w:val="bottom"/>
          </w:tcPr>
          <w:p w14:paraId="6A7A25C5"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£15,491-£25,340</w:t>
            </w:r>
          </w:p>
        </w:tc>
        <w:tc>
          <w:tcPr>
            <w:tcW w:w="1983" w:type="dxa"/>
            <w:tcBorders>
              <w:top w:val="nil"/>
              <w:left w:val="nil"/>
              <w:bottom w:val="nil"/>
              <w:right w:val="nil"/>
            </w:tcBorders>
          </w:tcPr>
          <w:p w14:paraId="6B07EB74"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w:t>
            </w:r>
          </w:p>
        </w:tc>
        <w:tc>
          <w:tcPr>
            <w:tcW w:w="1134" w:type="dxa"/>
            <w:tcBorders>
              <w:top w:val="nil"/>
              <w:left w:val="nil"/>
              <w:bottom w:val="nil"/>
              <w:right w:val="nil"/>
            </w:tcBorders>
            <w:shd w:val="clear" w:color="auto" w:fill="auto"/>
            <w:noWrap/>
            <w:vAlign w:val="bottom"/>
          </w:tcPr>
          <w:p w14:paraId="29E0A8C5"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323</w:t>
            </w:r>
          </w:p>
        </w:tc>
        <w:tc>
          <w:tcPr>
            <w:tcW w:w="1134" w:type="dxa"/>
            <w:tcBorders>
              <w:top w:val="nil"/>
              <w:left w:val="nil"/>
              <w:bottom w:val="nil"/>
              <w:right w:val="nil"/>
            </w:tcBorders>
            <w:shd w:val="clear" w:color="auto" w:fill="auto"/>
            <w:vAlign w:val="bottom"/>
          </w:tcPr>
          <w:p w14:paraId="2AB74923"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18.0</w:t>
            </w:r>
          </w:p>
        </w:tc>
        <w:tc>
          <w:tcPr>
            <w:tcW w:w="993" w:type="dxa"/>
            <w:tcBorders>
              <w:top w:val="nil"/>
              <w:left w:val="nil"/>
              <w:bottom w:val="nil"/>
              <w:right w:val="nil"/>
            </w:tcBorders>
          </w:tcPr>
          <w:p w14:paraId="547D86B3"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80</w:t>
            </w:r>
          </w:p>
        </w:tc>
        <w:tc>
          <w:tcPr>
            <w:tcW w:w="992" w:type="dxa"/>
            <w:tcBorders>
              <w:top w:val="nil"/>
              <w:left w:val="nil"/>
              <w:bottom w:val="nil"/>
              <w:right w:val="nil"/>
            </w:tcBorders>
          </w:tcPr>
          <w:p w14:paraId="6EA569B3"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27.4</w:t>
            </w:r>
          </w:p>
        </w:tc>
        <w:tc>
          <w:tcPr>
            <w:tcW w:w="850" w:type="dxa"/>
            <w:tcBorders>
              <w:top w:val="nil"/>
              <w:left w:val="nil"/>
              <w:bottom w:val="nil"/>
              <w:right w:val="nil"/>
            </w:tcBorders>
          </w:tcPr>
          <w:p w14:paraId="5AD4EEB6"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403</w:t>
            </w:r>
          </w:p>
        </w:tc>
        <w:tc>
          <w:tcPr>
            <w:tcW w:w="993" w:type="dxa"/>
            <w:tcBorders>
              <w:top w:val="nil"/>
              <w:left w:val="nil"/>
              <w:bottom w:val="nil"/>
              <w:right w:val="nil"/>
            </w:tcBorders>
          </w:tcPr>
          <w:p w14:paraId="35D6B188"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19.3</w:t>
            </w:r>
          </w:p>
        </w:tc>
        <w:tc>
          <w:tcPr>
            <w:tcW w:w="2126" w:type="dxa"/>
            <w:tcBorders>
              <w:top w:val="nil"/>
              <w:left w:val="nil"/>
              <w:bottom w:val="nil"/>
              <w:right w:val="nil"/>
            </w:tcBorders>
          </w:tcPr>
          <w:p w14:paraId="08657A16"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-0.7</w:t>
            </w:r>
          </w:p>
        </w:tc>
      </w:tr>
      <w:tr w:rsidR="00C62E4F" w:rsidRPr="00790988" w14:paraId="07D39618" w14:textId="77777777" w:rsidTr="003745D7">
        <w:trPr>
          <w:trHeight w:val="300"/>
        </w:trPr>
        <w:tc>
          <w:tcPr>
            <w:tcW w:w="1744" w:type="dxa"/>
            <w:vMerge/>
            <w:tcBorders>
              <w:top w:val="nil"/>
              <w:left w:val="nil"/>
              <w:bottom w:val="nil"/>
              <w:right w:val="nil"/>
            </w:tcBorders>
            <w:vAlign w:val="center"/>
          </w:tcPr>
          <w:p w14:paraId="5B27DC01"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tcBorders>
              <w:top w:val="nil"/>
              <w:left w:val="nil"/>
              <w:bottom w:val="nil"/>
              <w:right w:val="nil"/>
            </w:tcBorders>
            <w:shd w:val="clear" w:color="auto" w:fill="auto"/>
            <w:noWrap/>
            <w:vAlign w:val="bottom"/>
          </w:tcPr>
          <w:p w14:paraId="232FE683"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£25,341-£38,740</w:t>
            </w:r>
          </w:p>
        </w:tc>
        <w:tc>
          <w:tcPr>
            <w:tcW w:w="1983" w:type="dxa"/>
            <w:tcBorders>
              <w:top w:val="nil"/>
              <w:left w:val="nil"/>
              <w:bottom w:val="nil"/>
              <w:right w:val="nil"/>
            </w:tcBorders>
          </w:tcPr>
          <w:p w14:paraId="7FAAE263"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w:t>
            </w:r>
          </w:p>
        </w:tc>
        <w:tc>
          <w:tcPr>
            <w:tcW w:w="1134" w:type="dxa"/>
            <w:tcBorders>
              <w:top w:val="nil"/>
              <w:left w:val="nil"/>
              <w:bottom w:val="nil"/>
              <w:right w:val="nil"/>
            </w:tcBorders>
            <w:shd w:val="clear" w:color="auto" w:fill="auto"/>
            <w:noWrap/>
            <w:vAlign w:val="bottom"/>
          </w:tcPr>
          <w:p w14:paraId="59BBF603"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343</w:t>
            </w:r>
          </w:p>
        </w:tc>
        <w:tc>
          <w:tcPr>
            <w:tcW w:w="1134" w:type="dxa"/>
            <w:tcBorders>
              <w:top w:val="nil"/>
              <w:left w:val="nil"/>
              <w:bottom w:val="nil"/>
              <w:right w:val="nil"/>
            </w:tcBorders>
            <w:shd w:val="clear" w:color="auto" w:fill="auto"/>
            <w:vAlign w:val="bottom"/>
          </w:tcPr>
          <w:p w14:paraId="1AD9A948"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19.1</w:t>
            </w:r>
          </w:p>
        </w:tc>
        <w:tc>
          <w:tcPr>
            <w:tcW w:w="993" w:type="dxa"/>
            <w:tcBorders>
              <w:top w:val="nil"/>
              <w:left w:val="nil"/>
              <w:bottom w:val="nil"/>
              <w:right w:val="nil"/>
            </w:tcBorders>
          </w:tcPr>
          <w:p w14:paraId="2B4000FB"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79</w:t>
            </w:r>
          </w:p>
        </w:tc>
        <w:tc>
          <w:tcPr>
            <w:tcW w:w="992" w:type="dxa"/>
            <w:tcBorders>
              <w:top w:val="nil"/>
              <w:left w:val="nil"/>
              <w:bottom w:val="nil"/>
              <w:right w:val="nil"/>
            </w:tcBorders>
          </w:tcPr>
          <w:p w14:paraId="51725E25"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27.1</w:t>
            </w:r>
          </w:p>
        </w:tc>
        <w:tc>
          <w:tcPr>
            <w:tcW w:w="850" w:type="dxa"/>
            <w:tcBorders>
              <w:top w:val="nil"/>
              <w:left w:val="nil"/>
              <w:bottom w:val="nil"/>
              <w:right w:val="nil"/>
            </w:tcBorders>
          </w:tcPr>
          <w:p w14:paraId="2B929DCA"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422</w:t>
            </w:r>
          </w:p>
        </w:tc>
        <w:tc>
          <w:tcPr>
            <w:tcW w:w="993" w:type="dxa"/>
            <w:tcBorders>
              <w:top w:val="nil"/>
              <w:left w:val="nil"/>
              <w:bottom w:val="nil"/>
              <w:right w:val="nil"/>
            </w:tcBorders>
          </w:tcPr>
          <w:p w14:paraId="32BC1AE3"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20.2</w:t>
            </w:r>
          </w:p>
        </w:tc>
        <w:tc>
          <w:tcPr>
            <w:tcW w:w="2126" w:type="dxa"/>
            <w:tcBorders>
              <w:top w:val="nil"/>
              <w:left w:val="nil"/>
              <w:bottom w:val="nil"/>
              <w:right w:val="nil"/>
            </w:tcBorders>
          </w:tcPr>
          <w:p w14:paraId="75603B65"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+0.2</w:t>
            </w:r>
          </w:p>
        </w:tc>
      </w:tr>
      <w:tr w:rsidR="00C62E4F" w:rsidRPr="00790988" w14:paraId="42AC9B18" w14:textId="77777777" w:rsidTr="003745D7">
        <w:trPr>
          <w:trHeight w:val="300"/>
        </w:trPr>
        <w:tc>
          <w:tcPr>
            <w:tcW w:w="1744" w:type="dxa"/>
            <w:vMerge/>
            <w:tcBorders>
              <w:top w:val="nil"/>
              <w:left w:val="nil"/>
              <w:bottom w:val="nil"/>
              <w:right w:val="nil"/>
            </w:tcBorders>
            <w:vAlign w:val="center"/>
          </w:tcPr>
          <w:p w14:paraId="5B31C8B2"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tcBorders>
              <w:top w:val="nil"/>
              <w:left w:val="nil"/>
              <w:bottom w:val="nil"/>
              <w:right w:val="nil"/>
            </w:tcBorders>
            <w:shd w:val="clear" w:color="auto" w:fill="auto"/>
            <w:noWrap/>
            <w:vAlign w:val="bottom"/>
          </w:tcPr>
          <w:p w14:paraId="1FED346D"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£38,741-£57,930</w:t>
            </w:r>
          </w:p>
        </w:tc>
        <w:tc>
          <w:tcPr>
            <w:tcW w:w="1983" w:type="dxa"/>
            <w:tcBorders>
              <w:top w:val="nil"/>
              <w:left w:val="nil"/>
              <w:bottom w:val="nil"/>
              <w:right w:val="nil"/>
            </w:tcBorders>
          </w:tcPr>
          <w:p w14:paraId="6A00F251"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w:t>
            </w:r>
          </w:p>
        </w:tc>
        <w:tc>
          <w:tcPr>
            <w:tcW w:w="1134" w:type="dxa"/>
            <w:tcBorders>
              <w:top w:val="nil"/>
              <w:left w:val="nil"/>
              <w:bottom w:val="nil"/>
              <w:right w:val="nil"/>
            </w:tcBorders>
            <w:shd w:val="clear" w:color="auto" w:fill="auto"/>
            <w:noWrap/>
            <w:vAlign w:val="bottom"/>
          </w:tcPr>
          <w:p w14:paraId="415CFA86"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394</w:t>
            </w:r>
          </w:p>
        </w:tc>
        <w:tc>
          <w:tcPr>
            <w:tcW w:w="1134" w:type="dxa"/>
            <w:tcBorders>
              <w:top w:val="nil"/>
              <w:left w:val="nil"/>
              <w:bottom w:val="nil"/>
              <w:right w:val="nil"/>
            </w:tcBorders>
            <w:shd w:val="clear" w:color="auto" w:fill="auto"/>
            <w:vAlign w:val="bottom"/>
          </w:tcPr>
          <w:p w14:paraId="2703AC24"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21.9</w:t>
            </w:r>
          </w:p>
        </w:tc>
        <w:tc>
          <w:tcPr>
            <w:tcW w:w="993" w:type="dxa"/>
            <w:tcBorders>
              <w:top w:val="nil"/>
              <w:left w:val="nil"/>
              <w:bottom w:val="nil"/>
              <w:right w:val="nil"/>
            </w:tcBorders>
          </w:tcPr>
          <w:p w14:paraId="52EFA32A"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39</w:t>
            </w:r>
          </w:p>
        </w:tc>
        <w:tc>
          <w:tcPr>
            <w:tcW w:w="992" w:type="dxa"/>
            <w:tcBorders>
              <w:top w:val="nil"/>
              <w:left w:val="nil"/>
              <w:bottom w:val="nil"/>
              <w:right w:val="nil"/>
            </w:tcBorders>
          </w:tcPr>
          <w:p w14:paraId="4E53640A"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13.4</w:t>
            </w:r>
          </w:p>
        </w:tc>
        <w:tc>
          <w:tcPr>
            <w:tcW w:w="850" w:type="dxa"/>
            <w:tcBorders>
              <w:top w:val="nil"/>
              <w:left w:val="nil"/>
              <w:bottom w:val="nil"/>
              <w:right w:val="nil"/>
            </w:tcBorders>
          </w:tcPr>
          <w:p w14:paraId="7031AF0B"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433</w:t>
            </w:r>
          </w:p>
        </w:tc>
        <w:tc>
          <w:tcPr>
            <w:tcW w:w="993" w:type="dxa"/>
            <w:tcBorders>
              <w:top w:val="nil"/>
              <w:left w:val="nil"/>
              <w:bottom w:val="nil"/>
              <w:right w:val="nil"/>
            </w:tcBorders>
          </w:tcPr>
          <w:p w14:paraId="3D1529EA"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20.7</w:t>
            </w:r>
          </w:p>
        </w:tc>
        <w:tc>
          <w:tcPr>
            <w:tcW w:w="2126" w:type="dxa"/>
            <w:tcBorders>
              <w:top w:val="nil"/>
              <w:left w:val="nil"/>
              <w:bottom w:val="nil"/>
              <w:right w:val="nil"/>
            </w:tcBorders>
          </w:tcPr>
          <w:p w14:paraId="6FF5C5A7"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+0.7</w:t>
            </w:r>
          </w:p>
        </w:tc>
      </w:tr>
      <w:tr w:rsidR="00C62E4F" w:rsidRPr="00790988" w14:paraId="7C064C8D" w14:textId="77777777" w:rsidTr="003745D7">
        <w:trPr>
          <w:trHeight w:val="300"/>
        </w:trPr>
        <w:tc>
          <w:tcPr>
            <w:tcW w:w="1744" w:type="dxa"/>
            <w:vMerge/>
            <w:tcBorders>
              <w:top w:val="nil"/>
              <w:left w:val="nil"/>
              <w:bottom w:val="single" w:sz="4" w:space="0" w:color="auto"/>
              <w:right w:val="nil"/>
            </w:tcBorders>
            <w:vAlign w:val="center"/>
          </w:tcPr>
          <w:p w14:paraId="72C6B245"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p>
        </w:tc>
        <w:tc>
          <w:tcPr>
            <w:tcW w:w="1938" w:type="dxa"/>
            <w:tcBorders>
              <w:top w:val="nil"/>
              <w:left w:val="nil"/>
              <w:bottom w:val="single" w:sz="4" w:space="0" w:color="auto"/>
              <w:right w:val="nil"/>
            </w:tcBorders>
            <w:shd w:val="clear" w:color="auto" w:fill="auto"/>
            <w:noWrap/>
            <w:vAlign w:val="bottom"/>
          </w:tcPr>
          <w:p w14:paraId="4BB1F701"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sidRPr="00790988">
              <w:rPr>
                <w:rFonts w:ascii="Times New Roman" w:eastAsia="Times New Roman" w:hAnsi="Times New Roman" w:cs="Times New Roman"/>
                <w:color w:val="000000"/>
                <w:sz w:val="24"/>
                <w:szCs w:val="24"/>
                <w:lang w:val="en-IE" w:eastAsia="en-IE"/>
              </w:rPr>
              <w:t>£57,931+</w:t>
            </w:r>
          </w:p>
        </w:tc>
        <w:tc>
          <w:tcPr>
            <w:tcW w:w="1983" w:type="dxa"/>
            <w:tcBorders>
              <w:top w:val="nil"/>
              <w:left w:val="nil"/>
              <w:bottom w:val="single" w:sz="4" w:space="0" w:color="auto"/>
              <w:right w:val="nil"/>
            </w:tcBorders>
          </w:tcPr>
          <w:p w14:paraId="055DB79C"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20</w:t>
            </w:r>
          </w:p>
        </w:tc>
        <w:tc>
          <w:tcPr>
            <w:tcW w:w="1134" w:type="dxa"/>
            <w:tcBorders>
              <w:top w:val="nil"/>
              <w:left w:val="nil"/>
              <w:bottom w:val="single" w:sz="4" w:space="0" w:color="auto"/>
              <w:right w:val="nil"/>
            </w:tcBorders>
            <w:shd w:val="clear" w:color="auto" w:fill="auto"/>
            <w:noWrap/>
            <w:vAlign w:val="bottom"/>
          </w:tcPr>
          <w:p w14:paraId="775991C4"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348</w:t>
            </w:r>
          </w:p>
        </w:tc>
        <w:tc>
          <w:tcPr>
            <w:tcW w:w="1134" w:type="dxa"/>
            <w:tcBorders>
              <w:top w:val="nil"/>
              <w:left w:val="nil"/>
              <w:bottom w:val="single" w:sz="4" w:space="0" w:color="auto"/>
              <w:right w:val="nil"/>
            </w:tcBorders>
            <w:shd w:val="clear" w:color="auto" w:fill="auto"/>
            <w:vAlign w:val="bottom"/>
          </w:tcPr>
          <w:p w14:paraId="423A11F3"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19.4</w:t>
            </w:r>
          </w:p>
        </w:tc>
        <w:tc>
          <w:tcPr>
            <w:tcW w:w="993" w:type="dxa"/>
            <w:tcBorders>
              <w:top w:val="nil"/>
              <w:left w:val="nil"/>
              <w:bottom w:val="single" w:sz="4" w:space="0" w:color="auto"/>
              <w:right w:val="nil"/>
            </w:tcBorders>
          </w:tcPr>
          <w:p w14:paraId="48CF79F5"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38</w:t>
            </w:r>
          </w:p>
        </w:tc>
        <w:tc>
          <w:tcPr>
            <w:tcW w:w="992" w:type="dxa"/>
            <w:tcBorders>
              <w:top w:val="nil"/>
              <w:left w:val="nil"/>
              <w:bottom w:val="single" w:sz="4" w:space="0" w:color="auto"/>
              <w:right w:val="nil"/>
            </w:tcBorders>
          </w:tcPr>
          <w:p w14:paraId="5A868E4F" w14:textId="77777777" w:rsidR="00C62E4F" w:rsidRPr="00790988"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13.0</w:t>
            </w:r>
          </w:p>
        </w:tc>
        <w:tc>
          <w:tcPr>
            <w:tcW w:w="850" w:type="dxa"/>
            <w:tcBorders>
              <w:top w:val="nil"/>
              <w:left w:val="nil"/>
              <w:bottom w:val="single" w:sz="4" w:space="0" w:color="auto"/>
              <w:right w:val="nil"/>
            </w:tcBorders>
          </w:tcPr>
          <w:p w14:paraId="770E5286"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386</w:t>
            </w:r>
          </w:p>
        </w:tc>
        <w:tc>
          <w:tcPr>
            <w:tcW w:w="993" w:type="dxa"/>
            <w:tcBorders>
              <w:top w:val="nil"/>
              <w:left w:val="nil"/>
              <w:bottom w:val="single" w:sz="4" w:space="0" w:color="auto"/>
              <w:right w:val="nil"/>
            </w:tcBorders>
          </w:tcPr>
          <w:p w14:paraId="7B80D91C"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18.5</w:t>
            </w:r>
          </w:p>
        </w:tc>
        <w:tc>
          <w:tcPr>
            <w:tcW w:w="2126" w:type="dxa"/>
            <w:tcBorders>
              <w:top w:val="nil"/>
              <w:left w:val="nil"/>
              <w:bottom w:val="single" w:sz="4" w:space="0" w:color="auto"/>
              <w:right w:val="nil"/>
            </w:tcBorders>
          </w:tcPr>
          <w:p w14:paraId="1915FFE2" w14:textId="77777777" w:rsidR="00C62E4F" w:rsidRDefault="00C62E4F" w:rsidP="003745D7">
            <w:pPr>
              <w:spacing w:after="0" w:line="240" w:lineRule="auto"/>
              <w:rPr>
                <w:rFonts w:ascii="Times New Roman" w:eastAsia="Times New Roman" w:hAnsi="Times New Roman" w:cs="Times New Roman"/>
                <w:color w:val="000000"/>
                <w:sz w:val="24"/>
                <w:szCs w:val="24"/>
                <w:lang w:val="en-IE" w:eastAsia="en-IE"/>
              </w:rPr>
            </w:pPr>
            <w:r>
              <w:rPr>
                <w:rFonts w:ascii="Times New Roman" w:eastAsia="Times New Roman" w:hAnsi="Times New Roman" w:cs="Times New Roman"/>
                <w:color w:val="000000"/>
                <w:sz w:val="24"/>
                <w:szCs w:val="24"/>
                <w:lang w:val="en-IE" w:eastAsia="en-IE"/>
              </w:rPr>
              <w:t>-1.5</w:t>
            </w:r>
          </w:p>
        </w:tc>
      </w:tr>
      <w:bookmarkEnd w:id="2"/>
    </w:tbl>
    <w:p w14:paraId="18B3BA0E" w14:textId="77777777" w:rsidR="00C62E4F" w:rsidRDefault="00C62E4F" w:rsidP="00C62E4F">
      <w:pPr>
        <w:spacing w:after="0" w:line="480" w:lineRule="auto"/>
        <w:rPr>
          <w:rFonts w:ascii="Arial" w:hAnsi="Arial" w:cs="Arial"/>
          <w:color w:val="1C1D1E"/>
          <w:sz w:val="21"/>
          <w:szCs w:val="21"/>
          <w:shd w:val="clear" w:color="auto" w:fill="FFFFFF"/>
        </w:rPr>
      </w:pPr>
    </w:p>
    <w:p w14:paraId="41F5763D" w14:textId="77777777" w:rsidR="00C62E4F" w:rsidRPr="00790988" w:rsidRDefault="00C62E4F" w:rsidP="00C62E4F">
      <w:pPr>
        <w:spacing w:after="0" w:line="480" w:lineRule="auto"/>
        <w:rPr>
          <w:rFonts w:ascii="Times New Roman" w:eastAsia="Times New Roman" w:hAnsi="Times New Roman" w:cs="Times New Roman"/>
          <w:color w:val="000000"/>
          <w:sz w:val="24"/>
          <w:szCs w:val="24"/>
          <w:lang w:val="en-IE" w:eastAsia="en-IE"/>
        </w:rPr>
      </w:pPr>
      <w:r>
        <w:rPr>
          <w:rFonts w:ascii="Arial" w:hAnsi="Arial" w:cs="Arial"/>
          <w:color w:val="1C1D1E"/>
          <w:sz w:val="21"/>
          <w:szCs w:val="21"/>
          <w:shd w:val="clear" w:color="auto" w:fill="FFFFFF"/>
        </w:rPr>
        <w:t>†</w:t>
      </w:r>
      <w:r w:rsidRPr="00790988">
        <w:rPr>
          <w:rFonts w:ascii="Times New Roman" w:eastAsia="Times New Roman" w:hAnsi="Times New Roman" w:cs="Times New Roman"/>
          <w:color w:val="000000"/>
          <w:sz w:val="24"/>
          <w:szCs w:val="24"/>
          <w:lang w:val="en-IE" w:eastAsia="en-IE"/>
        </w:rPr>
        <w:t>Quotas for age and sex were derived from EUROSTAT 2016 population estimates</w:t>
      </w:r>
      <w:r>
        <w:rPr>
          <w:rFonts w:ascii="Times New Roman" w:eastAsia="Times New Roman" w:hAnsi="Times New Roman" w:cs="Times New Roman"/>
          <w:color w:val="000000"/>
          <w:sz w:val="24"/>
          <w:szCs w:val="24"/>
          <w:lang w:val="en-IE" w:eastAsia="en-IE"/>
        </w:rPr>
        <w:t xml:space="preserve"> </w:t>
      </w:r>
      <w:r>
        <w:rPr>
          <w:rFonts w:ascii="Times New Roman" w:eastAsia="Times New Roman" w:hAnsi="Times New Roman" w:cs="Times New Roman"/>
          <w:color w:val="000000"/>
          <w:sz w:val="24"/>
          <w:szCs w:val="24"/>
          <w:lang w:val="en-IE" w:eastAsia="en-IE"/>
        </w:rPr>
        <w:fldChar w:fldCharType="begin"/>
      </w:r>
      <w:r>
        <w:rPr>
          <w:rFonts w:ascii="Times New Roman" w:eastAsia="Times New Roman" w:hAnsi="Times New Roman" w:cs="Times New Roman"/>
          <w:color w:val="000000"/>
          <w:sz w:val="24"/>
          <w:szCs w:val="24"/>
          <w:lang w:val="en-IE" w:eastAsia="en-IE"/>
        </w:rPr>
        <w:instrText xml:space="preserve"> ADDIN EN.CITE &lt;EndNote&gt;&lt;Cite&gt;&lt;Author&gt;Eurostat&lt;/Author&gt;&lt;Year&gt;2020&lt;/Year&gt;&lt;RecNum&gt;73&lt;/RecNum&gt;&lt;DisplayText&gt;(Eurostat, 2020)&lt;/DisplayText&gt;&lt;record&gt;&lt;rec-number&gt;73&lt;/rec-number&gt;&lt;foreign-keys&gt;&lt;key app="EN" db-id="wsxrwrewuz0adqevwr5va2tkzweartat0prt" timestamp="1585997609"&gt;73&lt;/key&gt;&lt;/foreign-keys&gt;&lt;ref-type name="Web Page"&gt;12&lt;/ref-type&gt;&lt;contributors&gt;&lt;authors&gt;&lt;author&gt;Eurostat&lt;/author&gt;&lt;/authors&gt;&lt;/contributors&gt;&lt;titles&gt;&lt;title&gt;Population on 1 January by age and sex&lt;/title&gt;&lt;/titles&gt;&lt;volume&gt;2020&lt;/volume&gt;&lt;number&gt;14th March&lt;/number&gt;&lt;dates&gt;&lt;year&gt;2020&lt;/year&gt;&lt;/dates&gt;&lt;urls&gt;&lt;related-urls&gt;&lt;url&gt;https://appsso.eurostat.ec.europa.eu/nui/show.do?dataset=demo_pjan&amp;amp;lang=en&lt;/url&gt;&lt;/related-urls&gt;&lt;/urls&gt;&lt;/record&gt;&lt;/Cite&gt;&lt;/EndNote&gt;</w:instrText>
      </w:r>
      <w:r>
        <w:rPr>
          <w:rFonts w:ascii="Times New Roman" w:eastAsia="Times New Roman" w:hAnsi="Times New Roman" w:cs="Times New Roman"/>
          <w:color w:val="000000"/>
          <w:sz w:val="24"/>
          <w:szCs w:val="24"/>
          <w:lang w:val="en-IE" w:eastAsia="en-IE"/>
        </w:rPr>
        <w:fldChar w:fldCharType="separate"/>
      </w:r>
      <w:r>
        <w:rPr>
          <w:rFonts w:ascii="Times New Roman" w:eastAsia="Times New Roman" w:hAnsi="Times New Roman" w:cs="Times New Roman"/>
          <w:noProof/>
          <w:color w:val="000000"/>
          <w:sz w:val="24"/>
          <w:szCs w:val="24"/>
          <w:lang w:val="en-IE" w:eastAsia="en-IE"/>
        </w:rPr>
        <w:t>(Eurostat, 2020)</w:t>
      </w:r>
      <w:r>
        <w:rPr>
          <w:rFonts w:ascii="Times New Roman" w:eastAsia="Times New Roman" w:hAnsi="Times New Roman" w:cs="Times New Roman"/>
          <w:color w:val="000000"/>
          <w:sz w:val="24"/>
          <w:szCs w:val="24"/>
          <w:lang w:val="en-IE" w:eastAsia="en-IE"/>
        </w:rPr>
        <w:fldChar w:fldCharType="end"/>
      </w:r>
    </w:p>
    <w:p w14:paraId="00C5E31F" w14:textId="77777777" w:rsidR="00C62E4F" w:rsidRDefault="00C62E4F" w:rsidP="00C62E4F">
      <w:pPr>
        <w:spacing w:after="0" w:line="480" w:lineRule="auto"/>
        <w:rPr>
          <w:rFonts w:ascii="Times New Roman" w:eastAsia="Times New Roman" w:hAnsi="Times New Roman" w:cs="Times New Roman"/>
          <w:color w:val="000000"/>
          <w:sz w:val="24"/>
          <w:szCs w:val="24"/>
          <w:lang w:val="en-IE" w:eastAsia="en-IE"/>
        </w:rPr>
      </w:pPr>
      <w:r>
        <w:rPr>
          <w:rFonts w:ascii="Arial" w:hAnsi="Arial" w:cs="Arial"/>
          <w:color w:val="1C1D1E"/>
          <w:sz w:val="21"/>
          <w:szCs w:val="21"/>
          <w:shd w:val="clear" w:color="auto" w:fill="FFFFFF"/>
        </w:rPr>
        <w:t>‡</w:t>
      </w:r>
      <w:r w:rsidRPr="00790988">
        <w:rPr>
          <w:rFonts w:ascii="Times New Roman" w:eastAsia="Times New Roman" w:hAnsi="Times New Roman" w:cs="Times New Roman"/>
          <w:color w:val="000000"/>
          <w:sz w:val="24"/>
          <w:szCs w:val="24"/>
          <w:lang w:val="en-IE" w:eastAsia="en-IE"/>
        </w:rPr>
        <w:t xml:space="preserve">Quotas for gross household income bands were on 2016 Office for National Statistics data </w:t>
      </w:r>
      <w:r>
        <w:rPr>
          <w:rFonts w:ascii="Times New Roman" w:eastAsia="Times New Roman" w:hAnsi="Times New Roman" w:cs="Times New Roman"/>
          <w:color w:val="000000"/>
          <w:sz w:val="24"/>
          <w:szCs w:val="24"/>
          <w:lang w:val="en-IE" w:eastAsia="en-IE"/>
        </w:rPr>
        <w:fldChar w:fldCharType="begin"/>
      </w:r>
      <w:r>
        <w:rPr>
          <w:rFonts w:ascii="Times New Roman" w:eastAsia="Times New Roman" w:hAnsi="Times New Roman" w:cs="Times New Roman"/>
          <w:color w:val="000000"/>
          <w:sz w:val="24"/>
          <w:szCs w:val="24"/>
          <w:lang w:val="en-IE" w:eastAsia="en-IE"/>
        </w:rPr>
        <w:instrText xml:space="preserve"> ADDIN EN.CITE &lt;EndNote&gt;&lt;Cite&gt;&lt;Author&gt;Office for National Statistics&lt;/Author&gt;&lt;Year&gt;2017&lt;/Year&gt;&lt;RecNum&gt;75&lt;/RecNum&gt;&lt;DisplayText&gt;(Office for National Statistics, 2017)&lt;/DisplayText&gt;&lt;record&gt;&lt;rec-number&gt;75&lt;/rec-number&gt;&lt;foreign-keys&gt;&lt;key app="EN" db-id="wsxrwrewuz0adqevwr5va2tkzweartat0prt" timestamp="1585997959"&gt;75&lt;/key&gt;&lt;/foreign-keys&gt;&lt;ref-type name="Web Page"&gt;12&lt;/ref-type&gt;&lt;contributors&gt;&lt;authors&gt;&lt;author&gt;Office for National Statistics,&lt;/author&gt;&lt;/authors&gt;&lt;/contributors&gt;&lt;titles&gt;&lt;title&gt;Household disposable income and inequality in the UK: financial year ending 2016&lt;/title&gt;&lt;/titles&gt;&lt;dates&gt;&lt;year&gt;2017&lt;/year&gt;&lt;/dates&gt;&lt;urls&gt;&lt;related-urls&gt;&lt;url&gt;https://www.ons.gov.uk/peoplepopulationandcommunity/personalandhouseholdfinances/incomeandwealth/bulletins/householddisposableincomeandinequality/financialyearending2016&lt;/url&gt;&lt;/related-urls&gt;&lt;/urls&gt;&lt;custom1&gt;2020&lt;/custom1&gt;&lt;custom2&gt;14th March&lt;/custom2&gt;&lt;/record&gt;&lt;/Cite&gt;&lt;/EndNote&gt;</w:instrText>
      </w:r>
      <w:r>
        <w:rPr>
          <w:rFonts w:ascii="Times New Roman" w:eastAsia="Times New Roman" w:hAnsi="Times New Roman" w:cs="Times New Roman"/>
          <w:color w:val="000000"/>
          <w:sz w:val="24"/>
          <w:szCs w:val="24"/>
          <w:lang w:val="en-IE" w:eastAsia="en-IE"/>
        </w:rPr>
        <w:fldChar w:fldCharType="separate"/>
      </w:r>
      <w:r>
        <w:rPr>
          <w:rFonts w:ascii="Times New Roman" w:eastAsia="Times New Roman" w:hAnsi="Times New Roman" w:cs="Times New Roman"/>
          <w:noProof/>
          <w:color w:val="000000"/>
          <w:sz w:val="24"/>
          <w:szCs w:val="24"/>
          <w:lang w:val="en-IE" w:eastAsia="en-IE"/>
        </w:rPr>
        <w:t>(Office for National Statistics, 2017)</w:t>
      </w:r>
      <w:r>
        <w:rPr>
          <w:rFonts w:ascii="Times New Roman" w:eastAsia="Times New Roman" w:hAnsi="Times New Roman" w:cs="Times New Roman"/>
          <w:color w:val="000000"/>
          <w:sz w:val="24"/>
          <w:szCs w:val="24"/>
          <w:lang w:val="en-IE" w:eastAsia="en-IE"/>
        </w:rPr>
        <w:fldChar w:fldCharType="end"/>
      </w:r>
    </w:p>
    <w:p w14:paraId="42A6D163" w14:textId="77777777" w:rsidR="00C62E4F" w:rsidRDefault="00C62E4F" w:rsidP="00C62E4F">
      <w:pPr>
        <w:spacing w:after="0" w:line="480" w:lineRule="auto"/>
        <w:rPr>
          <w:rFonts w:ascii="Times New Roman" w:eastAsia="Times New Roman" w:hAnsi="Times New Roman" w:cs="Times New Roman"/>
          <w:color w:val="000000"/>
          <w:sz w:val="24"/>
          <w:szCs w:val="24"/>
          <w:lang w:val="en-IE" w:eastAsia="en-IE"/>
        </w:rPr>
        <w:sectPr w:rsidR="00C62E4F" w:rsidSect="003745D7">
          <w:pgSz w:w="16838" w:h="11906" w:orient="landscape"/>
          <w:pgMar w:top="1440" w:right="1440" w:bottom="1440" w:left="1440" w:header="709" w:footer="709" w:gutter="0"/>
          <w:cols w:space="708"/>
          <w:docGrid w:linePitch="360"/>
        </w:sectPr>
      </w:pPr>
    </w:p>
    <w:p w14:paraId="0692FB5B" w14:textId="244C5ACB" w:rsidR="000530BE" w:rsidRDefault="000530BE" w:rsidP="000530BE">
      <w:pPr>
        <w:spacing w:after="0" w:line="480" w:lineRule="auto"/>
        <w:rPr>
          <w:rFonts w:ascii="Times New Roman" w:hAnsi="Times New Roman" w:cs="Times New Roman"/>
          <w:sz w:val="24"/>
          <w:szCs w:val="24"/>
        </w:rPr>
      </w:pPr>
      <w:r w:rsidRPr="00901ED8">
        <w:rPr>
          <w:rFonts w:ascii="Times New Roman" w:hAnsi="Times New Roman" w:cs="Times New Roman"/>
          <w:sz w:val="24"/>
          <w:szCs w:val="24"/>
        </w:rPr>
        <w:lastRenderedPageBreak/>
        <w:t xml:space="preserve">The socio-demographic characteristics and voting behaviours of new respondents recruited as part of the Phase 2 oversample are presented in Supplementary Table </w:t>
      </w:r>
      <w:r w:rsidR="0081287E">
        <w:rPr>
          <w:rFonts w:ascii="Times New Roman" w:hAnsi="Times New Roman" w:cs="Times New Roman"/>
          <w:sz w:val="24"/>
          <w:szCs w:val="24"/>
        </w:rPr>
        <w:t>3</w:t>
      </w:r>
      <w:r w:rsidRPr="00901ED8">
        <w:rPr>
          <w:rFonts w:ascii="Times New Roman" w:hAnsi="Times New Roman" w:cs="Times New Roman"/>
          <w:sz w:val="24"/>
          <w:szCs w:val="24"/>
        </w:rPr>
        <w:t xml:space="preserve">. This process successfully recruited a diverse sample of adults from across the three smaller UK nations to facilitate meaningful between-country socio-political analyses. To demonstrate the comparability of the sample composition to population estimates, we use Scotland as an example because England and Wales population estimates are typically combined in national data sources, and comparable data for some indicators are not publicly available for Northern Ireland. When we compared the Scotland strand of the Phase 2 oversample to most recently available population estimates, the sample closely matched the corresponding population characteristics in terms of: gender (female: 51.5% sample vs. 51.8% of adult population), age (65+ years; 27.1% in sample vs. 23% of adult population), nationality (born outside UK: 7.3% sample vs. 8% in population), and household composition (single adult household: 25.3% in sample vs. 33.1% in population) </w:t>
      </w:r>
      <w:r w:rsidRPr="00901ED8">
        <w:rPr>
          <w:rFonts w:ascii="Times New Roman" w:hAnsi="Times New Roman" w:cs="Times New Roman"/>
          <w:sz w:val="24"/>
          <w:szCs w:val="24"/>
        </w:rPr>
        <w:fldChar w:fldCharType="begin">
          <w:fldData xml:space="preserve">PEVuZE5vdGU+PENpdGU+PEF1dGhvcj5OYXRpb25hbCBSZWNvcmRzIFNjb3RsYW5kPC9BdXRob3I+
PFllYXI+MjAxNzwvWWVhcj48UmVjTnVtPjQ3MjwvUmVjTnVtPjxEaXNwbGF5VGV4dD4oTmF0aW9u
YWwgUmVjb3JkcyBTY290bGFuZCwgMjAxNywgMjAyMCwgMjAyMSk8L0Rpc3BsYXlUZXh0PjxyZWNv
cmQ+PHJlYy1udW1iZXI+NDcyPC9yZWMtbnVtYmVyPjxmb3JlaWduLWtleXM+PGtleSBhcHA9IkVO
IiBkYi1pZD0id3N4cndyZXd1ejBhZHFldndyNXZhMnRrendlYXJ0YXQwcHJ0IiB0aW1lc3RhbXA9
IjE2MTQxMTQ3NDQiPjQ3Mjwva2V5PjwvZm9yZWlnbi1rZXlzPjxyZWYtdHlwZSBuYW1lPSJXZWIg
UGFnZSI+MTI8L3JlZi10eXBlPjxjb250cmlidXRvcnM+PGF1dGhvcnM+PGF1dGhvcj5OYXRpb25h
bCBSZWNvcmRzIFNjb3RsYW5kLDwvYXV0aG9yPjwvYXV0aG9ycz48L2NvbnRyaWJ1dG9ycz48dGl0
bGVzPjx0aXRsZT5TY290bGFuZOKAmXMgUG9wdWxhdGlvbi4gVGhlIFJlZ2lzdHJhciBHZW5lcmFs
4oCZcyBBbm51YWwgUmV2aWV3IG9mIERlbW9ncmFwaGljIFRyZW5kczwvdGl0bGU+PC90aXRsZXM+
PGRhdGVzPjx5ZWFyPjIwMTc8L3llYXI+PC9kYXRlcz48cHViLWxvY2F0aW9uPkVkaW5idXJnaCwg
U2NvdGxhbmQuPC9wdWItbG9jYXRpb24+PHB1Ymxpc2hlcj5OYXRpb25hbCBSZWNvcmRzIFNjb3Rs
YW5kLjwvcHVibGlzaGVyPjx1cmxzPjxyZWxhdGVkLXVybHM+PHVybD5odHRwczovL3d3dy5ucnNj
b3RsYW5kLmdvdi51ay9maWxlcy9zdGF0aXN0aWNzL3JnYXIvMTYvMTZyZ2FyLnBkZjwvdXJsPjwv
cmVsYXRlZC11cmxzPjwvdXJscz48L3JlY29yZD48L0NpdGU+PENpdGU+PEF1dGhvcj5OYXRpb25h
bCBSZWNvcmRzIFNjb3RsYW5kPC9BdXRob3I+PFllYXI+MjAyMTwvWWVhcj48UmVjTnVtPjQ3Mzwv
UmVjTnVtPjxyZWNvcmQ+PHJlYy1udW1iZXI+NDczPC9yZWMtbnVtYmVyPjxmb3JlaWduLWtleXM+
PGtleSBhcHA9IkVOIiBkYi1pZD0id3N4cndyZXd1ejBhZHFldndyNXZhMnRrendlYXJ0YXQwcHJ0
IiB0aW1lc3RhbXA9IjE2MTQxMTQ4NDMiPjQ3Mzwva2V5PjwvZm9yZWlnbi1rZXlzPjxyZWYtdHlw
ZSBuYW1lPSJSZXBvcnQiPjI3PC9yZWYtdHlwZT48Y29udHJpYnV0b3JzPjxhdXRob3JzPjxhdXRo
b3I+TmF0aW9uYWwgUmVjb3JkcyBTY290bGFuZCw8L2F1dGhvcj48L2F1dGhvcnM+PC9jb250cmli
dXRvcnM+PHRpdGxlcz48dGl0bGU+UG9wdWxhdGlvbiBieSBDb3VudHJ5IG9mIEJpcnRoIGFuZCBO
YXRpb25hbGl0eSwgU2NvdGxhbmQsIEp1bHkgMjAxOSB0byBKdW5lIDIwMjAgPC90aXRsZT48L3Rp
dGxlcz48ZGF0ZXM+PHllYXI+MjAyMTwveWVhcj48L2RhdGVzPjxwdWItbG9jYXRpb24+RWRpbmJ1
cmdoLCBTY290bGFuZC48L3B1Yi1sb2NhdGlvbj48cHVibGlzaGVyPk5hdGlvbmFsIFJlY29yZHMg
U2NvdGxhbmQuPC9wdWJsaXNoZXI+PHVybHM+PHJlbGF0ZWQtdXJscz48dXJsPmh0dHBzOi8vd3d3
Lm5yc2NvdGxhbmQuZ292LnVrL2ZpbGVzLy9zdGF0aXN0aWNzL3BvcHVsYXRpb24tZXN0aW1hdGVz
L3BvcC1jb2ItbmF0LTE5LTIwL3BvcC1jb2ItbmF0LTE5LTIwLXJlcG9ydC5wZGY8L3VybD48L3Jl
bGF0ZWQtdXJscz48L3VybHM+PC9yZWNvcmQ+PC9DaXRlPjxDaXRlPjxBdXRob3I+TmF0aW9uYWwg
UmVjb3JkcyBTY290bGFuZDwvQXV0aG9yPjxZZWFyPjIwMjA8L1llYXI+PFJlY051bT40Nzc8L1Jl
Y051bT48cmVjb3JkPjxyZWMtbnVtYmVyPjQ3NzwvcmVjLW51bWJlcj48Zm9yZWlnbi1rZXlzPjxr
ZXkgYXBwPSJFTiIgZGItaWQ9IndzeHJ3cmV3dXowYWRxZXZ3cjV2YTJ0a3p3ZWFydGF0MHBydCIg
dGltZXN0YW1wPSIxNjE0NjAxNzM5Ij40Nzc8L2tleT48L2ZvcmVpZ24ta2V5cz48cmVmLXR5cGUg
bmFtZT0iV2ViIFBhZ2UiPjEyPC9yZWYtdHlwZT48Y29udHJpYnV0b3JzPjxhdXRob3JzPjxhdXRo
b3I+TmF0aW9uYWwgUmVjb3JkcyBTY290bGFuZCw8L2F1dGhvcj48L2F1dGhvcnM+PC9jb250cmli
dXRvcnM+PHRpdGxlcz48dGl0bGU+TWlkLXBvcHVsYXRpb24gZXN0aW1hdGVzIFNjb3RsYW5kPC90
aXRsZT48L3RpdGxlcz48ZGF0ZXM+PHllYXI+MjAyMDwveWVhcj48L2RhdGVzPjx1cmxzPjxyZWxh
dGVkLXVybHM+PHVybD5odHRwczovL3d3dy5ucnNjb3RsYW5kLmdvdi51ay9zdGF0aXN0aWNzLWFu
ZC1kYXRhL3N0YXRpc3RpY3Mvc3RhdGlzdGljcy1ieS10aGVtZS9wb3B1bGF0aW9uL3BvcHVsYXRp
b24tZXN0aW1hdGVzL21pZC15ZWFyLXBvcHVsYXRpb24tZXN0aW1hdGVzL21pZC0yMDE5PC91cmw+
PC9yZWxhdGVkLXVybHM+PC91cmxzPjwvcmVjb3JkPjwvQ2l0ZT48L0VuZE5vdGU+
</w:fldData>
        </w:fldChar>
      </w:r>
      <w:r w:rsidRPr="00901ED8">
        <w:rPr>
          <w:rFonts w:ascii="Times New Roman" w:hAnsi="Times New Roman" w:cs="Times New Roman"/>
          <w:sz w:val="24"/>
          <w:szCs w:val="24"/>
        </w:rPr>
        <w:instrText xml:space="preserve"> ADDIN EN.CITE </w:instrText>
      </w:r>
      <w:r w:rsidRPr="00901ED8">
        <w:rPr>
          <w:rFonts w:ascii="Times New Roman" w:hAnsi="Times New Roman" w:cs="Times New Roman"/>
          <w:sz w:val="24"/>
          <w:szCs w:val="24"/>
        </w:rPr>
        <w:fldChar w:fldCharType="begin">
          <w:fldData xml:space="preserve">PEVuZE5vdGU+PENpdGU+PEF1dGhvcj5OYXRpb25hbCBSZWNvcmRzIFNjb3RsYW5kPC9BdXRob3I+
PFllYXI+MjAxNzwvWWVhcj48UmVjTnVtPjQ3MjwvUmVjTnVtPjxEaXNwbGF5VGV4dD4oTmF0aW9u
YWwgUmVjb3JkcyBTY290bGFuZCwgMjAxNywgMjAyMCwgMjAyMSk8L0Rpc3BsYXlUZXh0PjxyZWNv
cmQ+PHJlYy1udW1iZXI+NDcyPC9yZWMtbnVtYmVyPjxmb3JlaWduLWtleXM+PGtleSBhcHA9IkVO
IiBkYi1pZD0id3N4cndyZXd1ejBhZHFldndyNXZhMnRrendlYXJ0YXQwcHJ0IiB0aW1lc3RhbXA9
IjE2MTQxMTQ3NDQiPjQ3Mjwva2V5PjwvZm9yZWlnbi1rZXlzPjxyZWYtdHlwZSBuYW1lPSJXZWIg
UGFnZSI+MTI8L3JlZi10eXBlPjxjb250cmlidXRvcnM+PGF1dGhvcnM+PGF1dGhvcj5OYXRpb25h
bCBSZWNvcmRzIFNjb3RsYW5kLDwvYXV0aG9yPjwvYXV0aG9ycz48L2NvbnRyaWJ1dG9ycz48dGl0
bGVzPjx0aXRsZT5TY290bGFuZOKAmXMgUG9wdWxhdGlvbi4gVGhlIFJlZ2lzdHJhciBHZW5lcmFs
4oCZcyBBbm51YWwgUmV2aWV3IG9mIERlbW9ncmFwaGljIFRyZW5kczwvdGl0bGU+PC90aXRsZXM+
PGRhdGVzPjx5ZWFyPjIwMTc8L3llYXI+PC9kYXRlcz48cHViLWxvY2F0aW9uPkVkaW5idXJnaCwg
U2NvdGxhbmQuPC9wdWItbG9jYXRpb24+PHB1Ymxpc2hlcj5OYXRpb25hbCBSZWNvcmRzIFNjb3Rs
YW5kLjwvcHVibGlzaGVyPjx1cmxzPjxyZWxhdGVkLXVybHM+PHVybD5odHRwczovL3d3dy5ucnNj
b3RsYW5kLmdvdi51ay9maWxlcy9zdGF0aXN0aWNzL3JnYXIvMTYvMTZyZ2FyLnBkZjwvdXJsPjwv
cmVsYXRlZC11cmxzPjwvdXJscz48L3JlY29yZD48L0NpdGU+PENpdGU+PEF1dGhvcj5OYXRpb25h
bCBSZWNvcmRzIFNjb3RsYW5kPC9BdXRob3I+PFllYXI+MjAyMTwvWWVhcj48UmVjTnVtPjQ3Mzwv
UmVjTnVtPjxyZWNvcmQ+PHJlYy1udW1iZXI+NDczPC9yZWMtbnVtYmVyPjxmb3JlaWduLWtleXM+
PGtleSBhcHA9IkVOIiBkYi1pZD0id3N4cndyZXd1ejBhZHFldndyNXZhMnRrendlYXJ0YXQwcHJ0
IiB0aW1lc3RhbXA9IjE2MTQxMTQ4NDMiPjQ3Mzwva2V5PjwvZm9yZWlnbi1rZXlzPjxyZWYtdHlw
ZSBuYW1lPSJSZXBvcnQiPjI3PC9yZWYtdHlwZT48Y29udHJpYnV0b3JzPjxhdXRob3JzPjxhdXRo
b3I+TmF0aW9uYWwgUmVjb3JkcyBTY290bGFuZCw8L2F1dGhvcj48L2F1dGhvcnM+PC9jb250cmli
dXRvcnM+PHRpdGxlcz48dGl0bGU+UG9wdWxhdGlvbiBieSBDb3VudHJ5IG9mIEJpcnRoIGFuZCBO
YXRpb25hbGl0eSwgU2NvdGxhbmQsIEp1bHkgMjAxOSB0byBKdW5lIDIwMjAgPC90aXRsZT48L3Rp
dGxlcz48ZGF0ZXM+PHllYXI+MjAyMTwveWVhcj48L2RhdGVzPjxwdWItbG9jYXRpb24+RWRpbmJ1
cmdoLCBTY290bGFuZC48L3B1Yi1sb2NhdGlvbj48cHVibGlzaGVyPk5hdGlvbmFsIFJlY29yZHMg
U2NvdGxhbmQuPC9wdWJsaXNoZXI+PHVybHM+PHJlbGF0ZWQtdXJscz48dXJsPmh0dHBzOi8vd3d3
Lm5yc2NvdGxhbmQuZ292LnVrL2ZpbGVzLy9zdGF0aXN0aWNzL3BvcHVsYXRpb24tZXN0aW1hdGVz
L3BvcC1jb2ItbmF0LTE5LTIwL3BvcC1jb2ItbmF0LTE5LTIwLXJlcG9ydC5wZGY8L3VybD48L3Jl
bGF0ZWQtdXJscz48L3VybHM+PC9yZWNvcmQ+PC9DaXRlPjxDaXRlPjxBdXRob3I+TmF0aW9uYWwg
UmVjb3JkcyBTY290bGFuZDwvQXV0aG9yPjxZZWFyPjIwMjA8L1llYXI+PFJlY051bT40Nzc8L1Jl
Y051bT48cmVjb3JkPjxyZWMtbnVtYmVyPjQ3NzwvcmVjLW51bWJlcj48Zm9yZWlnbi1rZXlzPjxr
ZXkgYXBwPSJFTiIgZGItaWQ9IndzeHJ3cmV3dXowYWRxZXZ3cjV2YTJ0a3p3ZWFydGF0MHBydCIg
dGltZXN0YW1wPSIxNjE0NjAxNzM5Ij40Nzc8L2tleT48L2ZvcmVpZ24ta2V5cz48cmVmLXR5cGUg
bmFtZT0iV2ViIFBhZ2UiPjEyPC9yZWYtdHlwZT48Y29udHJpYnV0b3JzPjxhdXRob3JzPjxhdXRo
b3I+TmF0aW9uYWwgUmVjb3JkcyBTY290bGFuZCw8L2F1dGhvcj48L2F1dGhvcnM+PC9jb250cmli
dXRvcnM+PHRpdGxlcz48dGl0bGU+TWlkLXBvcHVsYXRpb24gZXN0aW1hdGVzIFNjb3RsYW5kPC90
aXRsZT48L3RpdGxlcz48ZGF0ZXM+PHllYXI+MjAyMDwveWVhcj48L2RhdGVzPjx1cmxzPjxyZWxh
dGVkLXVybHM+PHVybD5odHRwczovL3d3dy5ucnNjb3RsYW5kLmdvdi51ay9zdGF0aXN0aWNzLWFu
ZC1kYXRhL3N0YXRpc3RpY3Mvc3RhdGlzdGljcy1ieS10aGVtZS9wb3B1bGF0aW9uL3BvcHVsYXRp
b24tZXN0aW1hdGVzL21pZC15ZWFyLXBvcHVsYXRpb24tZXN0aW1hdGVzL21pZC0yMDE5PC91cmw+
PC9yZWxhdGVkLXVybHM+PC91cmxzPjwvcmVjb3JkPjwvQ2l0ZT48L0VuZE5vdGU+
</w:fldData>
        </w:fldChar>
      </w:r>
      <w:r w:rsidRPr="00901ED8">
        <w:rPr>
          <w:rFonts w:ascii="Times New Roman" w:hAnsi="Times New Roman" w:cs="Times New Roman"/>
          <w:sz w:val="24"/>
          <w:szCs w:val="24"/>
        </w:rPr>
        <w:instrText xml:space="preserve"> ADDIN EN.CITE.DATA </w:instrText>
      </w:r>
      <w:r w:rsidRPr="00901ED8">
        <w:rPr>
          <w:rFonts w:ascii="Times New Roman" w:hAnsi="Times New Roman" w:cs="Times New Roman"/>
          <w:sz w:val="24"/>
          <w:szCs w:val="24"/>
        </w:rPr>
      </w:r>
      <w:r w:rsidRPr="00901ED8">
        <w:rPr>
          <w:rFonts w:ascii="Times New Roman" w:hAnsi="Times New Roman" w:cs="Times New Roman"/>
          <w:sz w:val="24"/>
          <w:szCs w:val="24"/>
        </w:rPr>
        <w:fldChar w:fldCharType="end"/>
      </w:r>
      <w:r w:rsidRPr="00901ED8">
        <w:rPr>
          <w:rFonts w:ascii="Times New Roman" w:hAnsi="Times New Roman" w:cs="Times New Roman"/>
          <w:sz w:val="24"/>
          <w:szCs w:val="24"/>
        </w:rPr>
      </w:r>
      <w:r w:rsidRPr="00901ED8">
        <w:rPr>
          <w:rFonts w:ascii="Times New Roman" w:hAnsi="Times New Roman" w:cs="Times New Roman"/>
          <w:sz w:val="24"/>
          <w:szCs w:val="24"/>
        </w:rPr>
        <w:fldChar w:fldCharType="separate"/>
      </w:r>
      <w:r w:rsidRPr="00901ED8">
        <w:rPr>
          <w:rFonts w:ascii="Times New Roman" w:hAnsi="Times New Roman" w:cs="Times New Roman"/>
          <w:noProof/>
          <w:sz w:val="24"/>
          <w:szCs w:val="24"/>
        </w:rPr>
        <w:t>(National Records Scotland, 2017, 2020, 2021)</w:t>
      </w:r>
      <w:r w:rsidRPr="00901ED8">
        <w:rPr>
          <w:rFonts w:ascii="Times New Roman" w:hAnsi="Times New Roman" w:cs="Times New Roman"/>
          <w:sz w:val="24"/>
          <w:szCs w:val="24"/>
        </w:rPr>
        <w:fldChar w:fldCharType="end"/>
      </w:r>
      <w:r w:rsidRPr="00901ED8">
        <w:rPr>
          <w:rFonts w:ascii="Times New Roman" w:hAnsi="Times New Roman" w:cs="Times New Roman"/>
          <w:sz w:val="24"/>
          <w:szCs w:val="24"/>
        </w:rPr>
        <w:t xml:space="preserve">. In addition, for all three nations (Scotland, Wales, and Northern Ireland), we identified the political party which obtained the highest proportion of respondents’ first preference votes in the 2019 General Election, by country, in the Phase 2 oversample and compared this data to the final election result. The results closely mirrored the final election result in that, in the oversample, the Conservative Party in Wales, the Scottish National Party in Scotland, and the Democratic Unionist Party in Northern Ireland, had the highest proportion of first preference votes </w:t>
      </w:r>
      <w:r w:rsidRPr="00901ED8">
        <w:rPr>
          <w:rFonts w:ascii="Times New Roman" w:hAnsi="Times New Roman" w:cs="Times New Roman"/>
          <w:sz w:val="24"/>
          <w:szCs w:val="24"/>
        </w:rPr>
        <w:fldChar w:fldCharType="begin"/>
      </w:r>
      <w:r w:rsidRPr="00901ED8">
        <w:rPr>
          <w:rFonts w:ascii="Times New Roman" w:hAnsi="Times New Roman" w:cs="Times New Roman"/>
          <w:sz w:val="24"/>
          <w:szCs w:val="24"/>
        </w:rPr>
        <w:instrText xml:space="preserve"> ADDIN EN.CITE &lt;EndNote&gt;&lt;Cite&gt;&lt;Author&gt;UK Parliament House of Commons Library&lt;/Author&gt;&lt;Year&gt;2019&lt;/Year&gt;&lt;RecNum&gt;466&lt;/RecNum&gt;&lt;DisplayText&gt;(UK Parliament House of Commons Library, 2019)&lt;/DisplayText&gt;&lt;record&gt;&lt;rec-number&gt;466&lt;/rec-number&gt;&lt;foreign-keys&gt;&lt;key app="EN" db-id="wsxrwrewuz0adqevwr5va2tkzweartat0prt" timestamp="1614096098"&gt;466&lt;/key&gt;&lt;/foreign-keys&gt;&lt;ref-type name="Journal Article"&gt;17&lt;/ref-type&gt;&lt;contributors&gt;&lt;authors&gt;&lt;author&gt;UK Parliament House of Commons Library,&lt;/author&gt;&lt;/authors&gt;&lt;/contributors&gt;&lt;titles&gt;&lt;title&gt;Insight: General Election 2019: The results&lt;/title&gt;&lt;/titles&gt;&lt;dates&gt;&lt;year&gt;2019&lt;/year&gt;&lt;/dates&gt;&lt;urls&gt;&lt;related-urls&gt;&lt;url&gt;https://commonslibrary.parliament.uk/general-election-2019-the-results-so-far/&lt;/url&gt;&lt;/related-urls&gt;&lt;/urls&gt;&lt;/record&gt;&lt;/Cite&gt;&lt;/EndNote&gt;</w:instrText>
      </w:r>
      <w:r w:rsidRPr="00901ED8">
        <w:rPr>
          <w:rFonts w:ascii="Times New Roman" w:hAnsi="Times New Roman" w:cs="Times New Roman"/>
          <w:sz w:val="24"/>
          <w:szCs w:val="24"/>
        </w:rPr>
        <w:fldChar w:fldCharType="separate"/>
      </w:r>
      <w:r w:rsidRPr="00901ED8">
        <w:rPr>
          <w:rFonts w:ascii="Times New Roman" w:hAnsi="Times New Roman" w:cs="Times New Roman"/>
          <w:noProof/>
          <w:sz w:val="24"/>
          <w:szCs w:val="24"/>
        </w:rPr>
        <w:t>(UK Parliament House of Commons Library, 2019)</w:t>
      </w:r>
      <w:r w:rsidRPr="00901ED8">
        <w:rPr>
          <w:rFonts w:ascii="Times New Roman" w:hAnsi="Times New Roman" w:cs="Times New Roman"/>
          <w:sz w:val="24"/>
          <w:szCs w:val="24"/>
        </w:rPr>
        <w:fldChar w:fldCharType="end"/>
      </w:r>
      <w:r w:rsidRPr="00901ED8">
        <w:rPr>
          <w:rFonts w:ascii="Times New Roman" w:hAnsi="Times New Roman" w:cs="Times New Roman"/>
          <w:sz w:val="24"/>
          <w:szCs w:val="24"/>
        </w:rPr>
        <w:t xml:space="preserve">. Finally, we compared the 2016 EU Referendum results by country and found that, by and large, data obtained from the Phase 2 oversample closely mirrored the final EU Referendum outcome </w:t>
      </w:r>
      <w:r w:rsidRPr="00901ED8">
        <w:rPr>
          <w:rFonts w:ascii="Times New Roman" w:hAnsi="Times New Roman" w:cs="Times New Roman"/>
          <w:sz w:val="24"/>
          <w:szCs w:val="24"/>
        </w:rPr>
        <w:fldChar w:fldCharType="begin"/>
      </w:r>
      <w:r w:rsidRPr="00901ED8">
        <w:rPr>
          <w:rFonts w:ascii="Times New Roman" w:hAnsi="Times New Roman" w:cs="Times New Roman"/>
          <w:sz w:val="24"/>
          <w:szCs w:val="24"/>
        </w:rPr>
        <w:instrText xml:space="preserve"> ADDIN EN.CITE &lt;EndNote&gt;&lt;Cite&gt;&lt;Author&gt;BBC&lt;/Author&gt;&lt;Year&gt;2016&lt;/Year&gt;&lt;RecNum&gt;471&lt;/RecNum&gt;&lt;DisplayText&gt;(BBC, 2016)&lt;/DisplayText&gt;&lt;record&gt;&lt;rec-number&gt;471&lt;/rec-number&gt;&lt;foreign-keys&gt;&lt;key app="EN" db-id="wsxrwrewuz0adqevwr5va2tkzweartat0prt" timestamp="1614114599"&gt;471&lt;/key&gt;&lt;/foreign-keys&gt;&lt;ref-type name="Web Page"&gt;12&lt;/ref-type&gt;&lt;contributors&gt;&lt;authors&gt;&lt;author&gt;BBC&lt;/author&gt;&lt;/authors&gt;&lt;/contributors&gt;&lt;titles&gt;&lt;title&gt;EU Referendum Results&lt;/title&gt;&lt;/titles&gt;&lt;dates&gt;&lt;year&gt;2016&lt;/year&gt;&lt;/dates&gt;&lt;urls&gt;&lt;related-urls&gt;&lt;url&gt;https://www.bbc.co.uk/news/politics/eu_referendum/results&lt;/url&gt;&lt;/related-urls&gt;&lt;/urls&gt;&lt;/record&gt;&lt;/Cite&gt;&lt;/EndNote&gt;</w:instrText>
      </w:r>
      <w:r w:rsidRPr="00901ED8">
        <w:rPr>
          <w:rFonts w:ascii="Times New Roman" w:hAnsi="Times New Roman" w:cs="Times New Roman"/>
          <w:sz w:val="24"/>
          <w:szCs w:val="24"/>
        </w:rPr>
        <w:fldChar w:fldCharType="separate"/>
      </w:r>
      <w:r w:rsidRPr="00901ED8">
        <w:rPr>
          <w:rFonts w:ascii="Times New Roman" w:hAnsi="Times New Roman" w:cs="Times New Roman"/>
          <w:noProof/>
          <w:sz w:val="24"/>
          <w:szCs w:val="24"/>
        </w:rPr>
        <w:t>(BBC, 2016)</w:t>
      </w:r>
      <w:r w:rsidRPr="00901ED8">
        <w:rPr>
          <w:rFonts w:ascii="Times New Roman" w:hAnsi="Times New Roman" w:cs="Times New Roman"/>
          <w:sz w:val="24"/>
          <w:szCs w:val="24"/>
        </w:rPr>
        <w:fldChar w:fldCharType="end"/>
      </w:r>
      <w:r w:rsidRPr="00901ED8">
        <w:rPr>
          <w:rFonts w:ascii="Times New Roman" w:hAnsi="Times New Roman" w:cs="Times New Roman"/>
          <w:sz w:val="24"/>
          <w:szCs w:val="24"/>
        </w:rPr>
        <w:t xml:space="preserve">: the large majority vote to remain in the EU compared to leave the EU following the 2016 EU Referendum was evident for Northern Ireland (45.1% remain vs. 33.7% leave) and Scotland </w:t>
      </w:r>
      <w:r w:rsidRPr="00901ED8">
        <w:rPr>
          <w:rFonts w:ascii="Times New Roman" w:hAnsi="Times New Roman" w:cs="Times New Roman"/>
          <w:sz w:val="24"/>
          <w:szCs w:val="24"/>
        </w:rPr>
        <w:lastRenderedPageBreak/>
        <w:t>(55.6% remain vs 30.2% leave), whereas for Wales, although there was a majority vote to remain, this only exceeded the vote to leave by 0.5% (44.2% leave vs. 43.7% remain).</w:t>
      </w:r>
    </w:p>
    <w:p w14:paraId="537D8AC0" w14:textId="4FC1798C" w:rsidR="000530BE" w:rsidRDefault="000530BE" w:rsidP="000530BE">
      <w:pPr>
        <w:spacing w:after="0" w:line="480" w:lineRule="auto"/>
        <w:rPr>
          <w:rFonts w:ascii="Times New Roman" w:hAnsi="Times New Roman" w:cs="Times New Roman"/>
          <w:sz w:val="24"/>
          <w:szCs w:val="24"/>
        </w:rPr>
      </w:pPr>
    </w:p>
    <w:p w14:paraId="7E9B514C"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13097248"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69D597C1"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2006B417"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3AAC76AC"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1FBBE69B"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0CEBFAF7"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42EAA81D"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1B886385"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7A63320D" w14:textId="77777777" w:rsidR="000530BE" w:rsidRDefault="000530BE" w:rsidP="00C62E4F">
      <w:pPr>
        <w:spacing w:after="0" w:line="480" w:lineRule="auto"/>
        <w:rPr>
          <w:rFonts w:ascii="Times New Roman" w:eastAsia="Times New Roman" w:hAnsi="Times New Roman" w:cs="Times New Roman"/>
          <w:color w:val="000000"/>
          <w:lang w:val="en-IE" w:eastAsia="en-IE"/>
        </w:rPr>
      </w:pPr>
    </w:p>
    <w:p w14:paraId="6433CAC0"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473FFD2A"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3902B858"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5BA72E41"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01667348"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7AA3B4BA"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79C9946F"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36973084"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1A4F7C11"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0E5CF313"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747A646C"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32B892CD"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75A3E25D"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691F2D25" w14:textId="77777777" w:rsidR="00A83DB8" w:rsidRDefault="00A83DB8" w:rsidP="00C62E4F">
      <w:pPr>
        <w:spacing w:after="0" w:line="480" w:lineRule="auto"/>
        <w:rPr>
          <w:rFonts w:ascii="Times New Roman" w:eastAsia="Times New Roman" w:hAnsi="Times New Roman" w:cs="Times New Roman"/>
          <w:color w:val="000000"/>
          <w:lang w:val="en-IE" w:eastAsia="en-IE"/>
        </w:rPr>
      </w:pPr>
    </w:p>
    <w:p w14:paraId="4D2CB9AE" w14:textId="77777777" w:rsidR="00A83DB8" w:rsidRDefault="00A83DB8" w:rsidP="00C62E4F">
      <w:pPr>
        <w:spacing w:after="0" w:line="480" w:lineRule="auto"/>
        <w:rPr>
          <w:rFonts w:ascii="Times New Roman" w:eastAsia="Times New Roman" w:hAnsi="Times New Roman" w:cs="Times New Roman"/>
          <w:color w:val="000000"/>
          <w:lang w:val="en-IE" w:eastAsia="en-IE"/>
        </w:rPr>
        <w:sectPr w:rsidR="00A83DB8">
          <w:pgSz w:w="11906" w:h="16838"/>
          <w:pgMar w:top="1440" w:right="1440" w:bottom="1440" w:left="1440" w:header="708" w:footer="708" w:gutter="0"/>
          <w:cols w:space="708"/>
          <w:docGrid w:linePitch="360"/>
        </w:sectPr>
      </w:pPr>
    </w:p>
    <w:p w14:paraId="14BB947E" w14:textId="2080051A" w:rsidR="00C62E4F" w:rsidRDefault="00C62E4F" w:rsidP="00901ED8">
      <w:pPr>
        <w:spacing w:after="0" w:line="240" w:lineRule="auto"/>
        <w:rPr>
          <w:rFonts w:ascii="Times New Roman" w:eastAsia="Times New Roman" w:hAnsi="Times New Roman" w:cs="Times New Roman"/>
          <w:color w:val="000000"/>
          <w:sz w:val="24"/>
          <w:szCs w:val="24"/>
          <w:lang w:val="en-IE" w:eastAsia="en-IE"/>
        </w:rPr>
      </w:pPr>
      <w:r w:rsidRPr="00901ED8">
        <w:rPr>
          <w:rFonts w:ascii="Times New Roman" w:eastAsia="Times New Roman" w:hAnsi="Times New Roman" w:cs="Times New Roman"/>
          <w:color w:val="000000"/>
          <w:sz w:val="24"/>
          <w:szCs w:val="24"/>
          <w:lang w:val="en-IE" w:eastAsia="en-IE"/>
        </w:rPr>
        <w:lastRenderedPageBreak/>
        <w:t>S</w:t>
      </w:r>
      <w:r w:rsidR="00A83DB8" w:rsidRPr="00901ED8">
        <w:rPr>
          <w:rFonts w:ascii="Times New Roman" w:eastAsia="Times New Roman" w:hAnsi="Times New Roman" w:cs="Times New Roman"/>
          <w:color w:val="000000"/>
          <w:sz w:val="24"/>
          <w:szCs w:val="24"/>
          <w:lang w:val="en-IE" w:eastAsia="en-IE"/>
        </w:rPr>
        <w:t>upplementary</w:t>
      </w:r>
      <w:r w:rsidRPr="00901ED8">
        <w:rPr>
          <w:rFonts w:ascii="Times New Roman" w:eastAsia="Times New Roman" w:hAnsi="Times New Roman" w:cs="Times New Roman"/>
          <w:color w:val="000000"/>
          <w:sz w:val="24"/>
          <w:szCs w:val="24"/>
          <w:lang w:val="en-IE" w:eastAsia="en-IE"/>
        </w:rPr>
        <w:t xml:space="preserve"> Table 3 Socio-demographic and political voting characteristics of respondents recruited in Phase 2 ‘</w:t>
      </w:r>
      <w:r w:rsidR="00A83DB8" w:rsidRPr="00901ED8">
        <w:rPr>
          <w:rFonts w:ascii="Times New Roman" w:eastAsia="Times New Roman" w:hAnsi="Times New Roman" w:cs="Times New Roman"/>
          <w:color w:val="000000"/>
          <w:sz w:val="24"/>
          <w:szCs w:val="24"/>
          <w:lang w:val="en-IE" w:eastAsia="en-IE"/>
        </w:rPr>
        <w:t>booster</w:t>
      </w:r>
      <w:r w:rsidRPr="00901ED8">
        <w:rPr>
          <w:rFonts w:ascii="Times New Roman" w:eastAsia="Times New Roman" w:hAnsi="Times New Roman" w:cs="Times New Roman"/>
          <w:color w:val="000000"/>
          <w:sz w:val="24"/>
          <w:szCs w:val="24"/>
          <w:lang w:val="en-IE" w:eastAsia="en-IE"/>
        </w:rPr>
        <w:t>’ strand in C19PRC-UKW4 (</w:t>
      </w:r>
      <w:r w:rsidR="00901ED8">
        <w:rPr>
          <w:rFonts w:ascii="Times New Roman" w:eastAsia="Times New Roman" w:hAnsi="Times New Roman" w:cs="Times New Roman"/>
          <w:color w:val="000000"/>
          <w:sz w:val="24"/>
          <w:szCs w:val="24"/>
          <w:lang w:val="en-IE" w:eastAsia="en-IE"/>
        </w:rPr>
        <w:t>N</w:t>
      </w:r>
      <w:r w:rsidRPr="00901ED8">
        <w:rPr>
          <w:rFonts w:ascii="Times New Roman" w:eastAsia="Times New Roman" w:hAnsi="Times New Roman" w:cs="Times New Roman"/>
          <w:color w:val="000000"/>
          <w:sz w:val="24"/>
          <w:szCs w:val="24"/>
          <w:lang w:val="en-IE" w:eastAsia="en-IE"/>
        </w:rPr>
        <w:t>=1779)</w:t>
      </w:r>
    </w:p>
    <w:p w14:paraId="3611352D" w14:textId="77777777" w:rsidR="00901ED8" w:rsidRPr="00901ED8" w:rsidRDefault="00901ED8" w:rsidP="00901ED8">
      <w:pPr>
        <w:spacing w:after="0" w:line="240" w:lineRule="auto"/>
        <w:rPr>
          <w:rFonts w:ascii="Times New Roman" w:eastAsia="Times New Roman" w:hAnsi="Times New Roman" w:cs="Times New Roman"/>
          <w:color w:val="000000"/>
          <w:sz w:val="24"/>
          <w:szCs w:val="24"/>
          <w:lang w:val="en-IE" w:eastAsia="en-IE"/>
        </w:rPr>
      </w:pPr>
    </w:p>
    <w:tbl>
      <w:tblPr>
        <w:tblStyle w:val="TableGrid"/>
        <w:tblW w:w="5080" w:type="pct"/>
        <w:tblBorders>
          <w:left w:val="none" w:sz="0" w:space="0" w:color="auto"/>
          <w:right w:val="none" w:sz="0" w:space="0" w:color="auto"/>
          <w:insideV w:val="none" w:sz="0" w:space="0" w:color="auto"/>
        </w:tblBorders>
        <w:tblLook w:val="04A0" w:firstRow="1" w:lastRow="0" w:firstColumn="1" w:lastColumn="0" w:noHBand="0" w:noVBand="1"/>
      </w:tblPr>
      <w:tblGrid>
        <w:gridCol w:w="2124"/>
        <w:gridCol w:w="3976"/>
        <w:gridCol w:w="2550"/>
        <w:gridCol w:w="2553"/>
        <w:gridCol w:w="2978"/>
      </w:tblGrid>
      <w:tr w:rsidR="00901ED8" w:rsidRPr="00901ED8" w14:paraId="29BAEBD6" w14:textId="77777777" w:rsidTr="00901ED8">
        <w:trPr>
          <w:tblHeader/>
        </w:trPr>
        <w:tc>
          <w:tcPr>
            <w:tcW w:w="2151" w:type="pct"/>
            <w:gridSpan w:val="2"/>
            <w:vMerge w:val="restart"/>
          </w:tcPr>
          <w:p w14:paraId="1605C9B9" w14:textId="386D55A5" w:rsidR="00901ED8" w:rsidRPr="00901ED8" w:rsidRDefault="00901ED8" w:rsidP="00901ED8">
            <w:pPr>
              <w:rPr>
                <w:rFonts w:ascii="Times New Roman" w:hAnsi="Times New Roman" w:cs="Times New Roman"/>
                <w:sz w:val="24"/>
                <w:szCs w:val="24"/>
              </w:rPr>
            </w:pPr>
            <w:r w:rsidRPr="00901ED8">
              <w:rPr>
                <w:rFonts w:ascii="Times New Roman" w:hAnsi="Times New Roman" w:cs="Times New Roman"/>
                <w:sz w:val="24"/>
                <w:szCs w:val="24"/>
              </w:rPr>
              <w:t>Respondent characteristic</w:t>
            </w:r>
            <w:r>
              <w:rPr>
                <w:rFonts w:ascii="Times New Roman" w:hAnsi="Times New Roman" w:cs="Times New Roman"/>
                <w:sz w:val="24"/>
                <w:szCs w:val="24"/>
              </w:rPr>
              <w:t>s</w:t>
            </w:r>
          </w:p>
        </w:tc>
        <w:tc>
          <w:tcPr>
            <w:tcW w:w="2849" w:type="pct"/>
            <w:gridSpan w:val="3"/>
          </w:tcPr>
          <w:p w14:paraId="2085026E" w14:textId="2CC53456" w:rsidR="00901ED8" w:rsidRPr="00901ED8" w:rsidRDefault="00901ED8" w:rsidP="00901ED8">
            <w:pPr>
              <w:jc w:val="center"/>
              <w:rPr>
                <w:rFonts w:ascii="Times New Roman" w:hAnsi="Times New Roman" w:cs="Times New Roman"/>
                <w:b/>
                <w:bCs/>
                <w:sz w:val="24"/>
                <w:szCs w:val="24"/>
              </w:rPr>
            </w:pPr>
            <w:r>
              <w:rPr>
                <w:rFonts w:ascii="Times New Roman" w:hAnsi="Times New Roman" w:cs="Times New Roman"/>
                <w:b/>
                <w:bCs/>
                <w:sz w:val="24"/>
                <w:szCs w:val="24"/>
              </w:rPr>
              <w:t>C19PRC-UKW4 Booster Strand (N=1779)</w:t>
            </w:r>
          </w:p>
        </w:tc>
      </w:tr>
      <w:tr w:rsidR="00901ED8" w:rsidRPr="00901ED8" w14:paraId="38478673" w14:textId="77777777" w:rsidTr="00901ED8">
        <w:trPr>
          <w:tblHeader/>
        </w:trPr>
        <w:tc>
          <w:tcPr>
            <w:tcW w:w="2151" w:type="pct"/>
            <w:gridSpan w:val="2"/>
            <w:vMerge/>
          </w:tcPr>
          <w:p w14:paraId="7B3C5653" w14:textId="3610AA98" w:rsidR="00901ED8" w:rsidRPr="00901ED8" w:rsidRDefault="00901ED8" w:rsidP="00901ED8">
            <w:pPr>
              <w:rPr>
                <w:rFonts w:ascii="Times New Roman" w:hAnsi="Times New Roman" w:cs="Times New Roman"/>
                <w:sz w:val="24"/>
                <w:szCs w:val="24"/>
              </w:rPr>
            </w:pPr>
          </w:p>
        </w:tc>
        <w:tc>
          <w:tcPr>
            <w:tcW w:w="899" w:type="pct"/>
            <w:hideMark/>
          </w:tcPr>
          <w:p w14:paraId="54C8A2F7" w14:textId="77777777" w:rsidR="00901ED8" w:rsidRPr="00901ED8" w:rsidRDefault="00901ED8" w:rsidP="00901ED8">
            <w:pPr>
              <w:jc w:val="center"/>
              <w:rPr>
                <w:rFonts w:ascii="Times New Roman" w:hAnsi="Times New Roman" w:cs="Times New Roman"/>
                <w:b/>
                <w:bCs/>
                <w:sz w:val="24"/>
                <w:szCs w:val="24"/>
              </w:rPr>
            </w:pPr>
            <w:r w:rsidRPr="00901ED8">
              <w:rPr>
                <w:rFonts w:ascii="Times New Roman" w:hAnsi="Times New Roman" w:cs="Times New Roman"/>
                <w:b/>
                <w:bCs/>
                <w:sz w:val="24"/>
                <w:szCs w:val="24"/>
              </w:rPr>
              <w:t>Wales (N=588)</w:t>
            </w:r>
          </w:p>
        </w:tc>
        <w:tc>
          <w:tcPr>
            <w:tcW w:w="900" w:type="pct"/>
            <w:hideMark/>
          </w:tcPr>
          <w:p w14:paraId="3020BE77" w14:textId="77777777" w:rsidR="00901ED8" w:rsidRPr="00901ED8" w:rsidRDefault="00901ED8" w:rsidP="00901ED8">
            <w:pPr>
              <w:jc w:val="center"/>
              <w:rPr>
                <w:rFonts w:ascii="Times New Roman" w:hAnsi="Times New Roman" w:cs="Times New Roman"/>
                <w:b/>
                <w:bCs/>
                <w:sz w:val="24"/>
                <w:szCs w:val="24"/>
              </w:rPr>
            </w:pPr>
            <w:r w:rsidRPr="00901ED8">
              <w:rPr>
                <w:rFonts w:ascii="Times New Roman" w:hAnsi="Times New Roman" w:cs="Times New Roman"/>
                <w:b/>
                <w:bCs/>
                <w:sz w:val="24"/>
                <w:szCs w:val="24"/>
              </w:rPr>
              <w:t>Scotland (N=586)</w:t>
            </w:r>
          </w:p>
        </w:tc>
        <w:tc>
          <w:tcPr>
            <w:tcW w:w="1050" w:type="pct"/>
            <w:hideMark/>
          </w:tcPr>
          <w:p w14:paraId="7337A1CF" w14:textId="77777777" w:rsidR="00901ED8" w:rsidRPr="00901ED8" w:rsidRDefault="00901ED8" w:rsidP="00901ED8">
            <w:pPr>
              <w:jc w:val="center"/>
              <w:rPr>
                <w:rFonts w:ascii="Times New Roman" w:hAnsi="Times New Roman" w:cs="Times New Roman"/>
                <w:b/>
                <w:bCs/>
                <w:sz w:val="24"/>
                <w:szCs w:val="24"/>
              </w:rPr>
            </w:pPr>
            <w:r w:rsidRPr="00901ED8">
              <w:rPr>
                <w:rFonts w:ascii="Times New Roman" w:hAnsi="Times New Roman" w:cs="Times New Roman"/>
                <w:b/>
                <w:bCs/>
                <w:sz w:val="24"/>
                <w:szCs w:val="24"/>
              </w:rPr>
              <w:t>Northern Ireland (N=605)</w:t>
            </w:r>
          </w:p>
        </w:tc>
      </w:tr>
      <w:tr w:rsidR="00901ED8" w:rsidRPr="00901ED8" w14:paraId="3B03F007" w14:textId="77777777" w:rsidTr="00901ED8">
        <w:trPr>
          <w:tblHeader/>
        </w:trPr>
        <w:tc>
          <w:tcPr>
            <w:tcW w:w="2151" w:type="pct"/>
            <w:gridSpan w:val="2"/>
            <w:vMerge/>
          </w:tcPr>
          <w:p w14:paraId="588FD2D3" w14:textId="77777777" w:rsidR="00901ED8" w:rsidRPr="00901ED8" w:rsidRDefault="00901ED8" w:rsidP="00901ED8">
            <w:pPr>
              <w:rPr>
                <w:rFonts w:ascii="Times New Roman" w:hAnsi="Times New Roman" w:cs="Times New Roman"/>
                <w:sz w:val="24"/>
                <w:szCs w:val="24"/>
              </w:rPr>
            </w:pPr>
          </w:p>
        </w:tc>
        <w:tc>
          <w:tcPr>
            <w:tcW w:w="899" w:type="pct"/>
          </w:tcPr>
          <w:p w14:paraId="2097BF7F" w14:textId="1495D631" w:rsidR="00901ED8" w:rsidRPr="00901ED8" w:rsidRDefault="00901ED8" w:rsidP="00901ED8">
            <w:pPr>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900" w:type="pct"/>
          </w:tcPr>
          <w:p w14:paraId="789A329D" w14:textId="5C59E956" w:rsidR="00901ED8" w:rsidRPr="00901ED8" w:rsidRDefault="00901ED8" w:rsidP="00901ED8">
            <w:pPr>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1050" w:type="pct"/>
          </w:tcPr>
          <w:p w14:paraId="4E94BC2D" w14:textId="00596F33" w:rsidR="00901ED8" w:rsidRPr="00901ED8" w:rsidRDefault="00901ED8" w:rsidP="00901ED8">
            <w:pPr>
              <w:jc w:val="center"/>
              <w:rPr>
                <w:rFonts w:ascii="Times New Roman" w:hAnsi="Times New Roman" w:cs="Times New Roman"/>
                <w:b/>
                <w:bCs/>
                <w:sz w:val="24"/>
                <w:szCs w:val="24"/>
              </w:rPr>
            </w:pPr>
            <w:r>
              <w:rPr>
                <w:rFonts w:ascii="Times New Roman" w:hAnsi="Times New Roman" w:cs="Times New Roman"/>
                <w:b/>
                <w:bCs/>
                <w:sz w:val="24"/>
                <w:szCs w:val="24"/>
              </w:rPr>
              <w:t>N(%)</w:t>
            </w:r>
          </w:p>
        </w:tc>
      </w:tr>
      <w:tr w:rsidR="00901ED8" w:rsidRPr="00901ED8" w14:paraId="156C83E3" w14:textId="77777777" w:rsidTr="00901ED8">
        <w:tc>
          <w:tcPr>
            <w:tcW w:w="749" w:type="pct"/>
            <w:vMerge w:val="restart"/>
          </w:tcPr>
          <w:p w14:paraId="6596C01F" w14:textId="47700088" w:rsidR="00901ED8" w:rsidRPr="00901ED8" w:rsidRDefault="00901ED8" w:rsidP="00901ED8">
            <w:pPr>
              <w:rPr>
                <w:rFonts w:ascii="Times New Roman" w:hAnsi="Times New Roman" w:cs="Times New Roman"/>
                <w:sz w:val="24"/>
                <w:szCs w:val="24"/>
              </w:rPr>
            </w:pPr>
            <w:r w:rsidRPr="00901ED8">
              <w:rPr>
                <w:rFonts w:ascii="Times New Roman" w:hAnsi="Times New Roman" w:cs="Times New Roman"/>
                <w:sz w:val="24"/>
                <w:szCs w:val="24"/>
              </w:rPr>
              <w:t>Gender</w:t>
            </w:r>
          </w:p>
        </w:tc>
        <w:tc>
          <w:tcPr>
            <w:tcW w:w="1402" w:type="pct"/>
          </w:tcPr>
          <w:p w14:paraId="635563D0" w14:textId="2ED13BB2" w:rsidR="00901ED8" w:rsidRPr="00901ED8" w:rsidRDefault="00901ED8" w:rsidP="00901ED8">
            <w:pPr>
              <w:rPr>
                <w:rFonts w:ascii="Times New Roman" w:hAnsi="Times New Roman" w:cs="Times New Roman"/>
                <w:sz w:val="24"/>
                <w:szCs w:val="24"/>
              </w:rPr>
            </w:pPr>
            <w:r w:rsidRPr="00901ED8">
              <w:rPr>
                <w:rFonts w:ascii="Times New Roman" w:hAnsi="Times New Roman" w:cs="Times New Roman"/>
                <w:sz w:val="24"/>
                <w:szCs w:val="24"/>
              </w:rPr>
              <w:t>Male</w:t>
            </w:r>
          </w:p>
        </w:tc>
        <w:tc>
          <w:tcPr>
            <w:tcW w:w="899" w:type="pct"/>
          </w:tcPr>
          <w:p w14:paraId="5DE31ABF" w14:textId="2BEBF0C9"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286 (48.6%)</w:t>
            </w:r>
          </w:p>
        </w:tc>
        <w:tc>
          <w:tcPr>
            <w:tcW w:w="900" w:type="pct"/>
          </w:tcPr>
          <w:p w14:paraId="6C85F8B6" w14:textId="15810FB0"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279 (47.6%)</w:t>
            </w:r>
          </w:p>
        </w:tc>
        <w:tc>
          <w:tcPr>
            <w:tcW w:w="1050" w:type="pct"/>
          </w:tcPr>
          <w:p w14:paraId="6AA34A76" w14:textId="13437D0D"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291 (48.1%)</w:t>
            </w:r>
          </w:p>
        </w:tc>
      </w:tr>
      <w:tr w:rsidR="00901ED8" w:rsidRPr="00901ED8" w14:paraId="3A875FE1" w14:textId="77777777" w:rsidTr="00901ED8">
        <w:tc>
          <w:tcPr>
            <w:tcW w:w="749" w:type="pct"/>
            <w:vMerge/>
          </w:tcPr>
          <w:p w14:paraId="6DCA7CC8" w14:textId="77777777" w:rsidR="00901ED8" w:rsidRPr="00901ED8" w:rsidRDefault="00901ED8" w:rsidP="00901ED8">
            <w:pPr>
              <w:rPr>
                <w:rFonts w:ascii="Times New Roman" w:hAnsi="Times New Roman" w:cs="Times New Roman"/>
                <w:sz w:val="24"/>
                <w:szCs w:val="24"/>
              </w:rPr>
            </w:pPr>
          </w:p>
        </w:tc>
        <w:tc>
          <w:tcPr>
            <w:tcW w:w="1402" w:type="pct"/>
          </w:tcPr>
          <w:p w14:paraId="0C21F5F4" w14:textId="1F211259" w:rsidR="00901ED8" w:rsidRPr="00901ED8" w:rsidRDefault="00901ED8" w:rsidP="00901ED8">
            <w:pPr>
              <w:rPr>
                <w:rFonts w:ascii="Times New Roman" w:hAnsi="Times New Roman" w:cs="Times New Roman"/>
                <w:sz w:val="24"/>
                <w:szCs w:val="24"/>
              </w:rPr>
            </w:pPr>
            <w:r w:rsidRPr="00901ED8">
              <w:rPr>
                <w:rFonts w:ascii="Times New Roman" w:hAnsi="Times New Roman" w:cs="Times New Roman"/>
                <w:sz w:val="24"/>
                <w:szCs w:val="24"/>
              </w:rPr>
              <w:t>Female</w:t>
            </w:r>
          </w:p>
        </w:tc>
        <w:tc>
          <w:tcPr>
            <w:tcW w:w="899" w:type="pct"/>
          </w:tcPr>
          <w:p w14:paraId="0DE53755" w14:textId="52C9A3C4"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300 (51.0%)</w:t>
            </w:r>
          </w:p>
        </w:tc>
        <w:tc>
          <w:tcPr>
            <w:tcW w:w="900" w:type="pct"/>
          </w:tcPr>
          <w:p w14:paraId="2D88795E" w14:textId="1C9C8254"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302 (51.5%)</w:t>
            </w:r>
          </w:p>
        </w:tc>
        <w:tc>
          <w:tcPr>
            <w:tcW w:w="1050" w:type="pct"/>
          </w:tcPr>
          <w:p w14:paraId="67A4DB8B" w14:textId="3B40881D"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310 (51.2%)</w:t>
            </w:r>
          </w:p>
        </w:tc>
      </w:tr>
      <w:tr w:rsidR="00901ED8" w:rsidRPr="00901ED8" w14:paraId="286BFF10" w14:textId="77777777" w:rsidTr="00901ED8">
        <w:tc>
          <w:tcPr>
            <w:tcW w:w="749" w:type="pct"/>
            <w:vMerge/>
          </w:tcPr>
          <w:p w14:paraId="14AE0806" w14:textId="77777777" w:rsidR="00901ED8" w:rsidRPr="00901ED8" w:rsidRDefault="00901ED8" w:rsidP="00901ED8">
            <w:pPr>
              <w:rPr>
                <w:rFonts w:ascii="Times New Roman" w:hAnsi="Times New Roman" w:cs="Times New Roman"/>
                <w:sz w:val="24"/>
                <w:szCs w:val="24"/>
              </w:rPr>
            </w:pPr>
          </w:p>
        </w:tc>
        <w:tc>
          <w:tcPr>
            <w:tcW w:w="1402" w:type="pct"/>
          </w:tcPr>
          <w:p w14:paraId="737696C8" w14:textId="35B291D5" w:rsidR="00901ED8" w:rsidRPr="00901ED8" w:rsidRDefault="00901ED8" w:rsidP="00901ED8">
            <w:pPr>
              <w:rPr>
                <w:rFonts w:ascii="Times New Roman" w:hAnsi="Times New Roman" w:cs="Times New Roman"/>
                <w:sz w:val="24"/>
                <w:szCs w:val="24"/>
              </w:rPr>
            </w:pPr>
            <w:r w:rsidRPr="00901ED8">
              <w:rPr>
                <w:rFonts w:ascii="Times New Roman" w:hAnsi="Times New Roman" w:cs="Times New Roman"/>
                <w:sz w:val="24"/>
                <w:szCs w:val="24"/>
              </w:rPr>
              <w:t>Other</w:t>
            </w:r>
          </w:p>
        </w:tc>
        <w:tc>
          <w:tcPr>
            <w:tcW w:w="899" w:type="pct"/>
          </w:tcPr>
          <w:p w14:paraId="2783773C" w14:textId="1E91754B"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2 (0.4%)</w:t>
            </w:r>
          </w:p>
        </w:tc>
        <w:tc>
          <w:tcPr>
            <w:tcW w:w="900" w:type="pct"/>
          </w:tcPr>
          <w:p w14:paraId="798206F2" w14:textId="4D4D7AB6"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5 (0.9%)</w:t>
            </w:r>
          </w:p>
        </w:tc>
        <w:tc>
          <w:tcPr>
            <w:tcW w:w="1050" w:type="pct"/>
          </w:tcPr>
          <w:p w14:paraId="0C515D11" w14:textId="3069885C"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4 (0.7%)</w:t>
            </w:r>
          </w:p>
        </w:tc>
      </w:tr>
      <w:tr w:rsidR="00901ED8" w:rsidRPr="00901ED8" w14:paraId="570C3F8D" w14:textId="77777777" w:rsidTr="00901ED8">
        <w:tc>
          <w:tcPr>
            <w:tcW w:w="749" w:type="pct"/>
            <w:vMerge w:val="restart"/>
          </w:tcPr>
          <w:p w14:paraId="2AFDB42F"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Age (years)</w:t>
            </w:r>
          </w:p>
        </w:tc>
        <w:tc>
          <w:tcPr>
            <w:tcW w:w="1402" w:type="pct"/>
            <w:hideMark/>
          </w:tcPr>
          <w:p w14:paraId="61F630B6"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18-24</w:t>
            </w:r>
          </w:p>
        </w:tc>
        <w:tc>
          <w:tcPr>
            <w:tcW w:w="899" w:type="pct"/>
            <w:hideMark/>
          </w:tcPr>
          <w:p w14:paraId="3CB79474"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27 (4.6%)</w:t>
            </w:r>
          </w:p>
        </w:tc>
        <w:tc>
          <w:tcPr>
            <w:tcW w:w="900" w:type="pct"/>
            <w:hideMark/>
          </w:tcPr>
          <w:p w14:paraId="69C6F3E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38 (6.5%)</w:t>
            </w:r>
          </w:p>
        </w:tc>
        <w:tc>
          <w:tcPr>
            <w:tcW w:w="1050" w:type="pct"/>
            <w:hideMark/>
          </w:tcPr>
          <w:p w14:paraId="108846AE"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63 (10.4%)</w:t>
            </w:r>
          </w:p>
        </w:tc>
      </w:tr>
      <w:tr w:rsidR="00901ED8" w:rsidRPr="00901ED8" w14:paraId="6D0403D4" w14:textId="77777777" w:rsidTr="00901ED8">
        <w:tc>
          <w:tcPr>
            <w:tcW w:w="749" w:type="pct"/>
            <w:vMerge/>
          </w:tcPr>
          <w:p w14:paraId="0BEEE2DC" w14:textId="77777777" w:rsidR="00C62E4F" w:rsidRPr="00901ED8" w:rsidRDefault="00C62E4F" w:rsidP="00901ED8">
            <w:pPr>
              <w:rPr>
                <w:rFonts w:ascii="Times New Roman" w:hAnsi="Times New Roman" w:cs="Times New Roman"/>
                <w:sz w:val="24"/>
                <w:szCs w:val="24"/>
              </w:rPr>
            </w:pPr>
          </w:p>
        </w:tc>
        <w:tc>
          <w:tcPr>
            <w:tcW w:w="1402" w:type="pct"/>
            <w:hideMark/>
          </w:tcPr>
          <w:p w14:paraId="6681D535"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25-34</w:t>
            </w:r>
          </w:p>
        </w:tc>
        <w:tc>
          <w:tcPr>
            <w:tcW w:w="899" w:type="pct"/>
            <w:hideMark/>
          </w:tcPr>
          <w:p w14:paraId="1DDD3071"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56 (9.5%)</w:t>
            </w:r>
          </w:p>
        </w:tc>
        <w:tc>
          <w:tcPr>
            <w:tcW w:w="900" w:type="pct"/>
            <w:hideMark/>
          </w:tcPr>
          <w:p w14:paraId="49981EE4"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73 (12.5%)</w:t>
            </w:r>
          </w:p>
        </w:tc>
        <w:tc>
          <w:tcPr>
            <w:tcW w:w="1050" w:type="pct"/>
            <w:hideMark/>
          </w:tcPr>
          <w:p w14:paraId="6BE5E16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93 (15.4%)</w:t>
            </w:r>
          </w:p>
        </w:tc>
      </w:tr>
      <w:tr w:rsidR="00901ED8" w:rsidRPr="00901ED8" w14:paraId="1B8CCD27" w14:textId="77777777" w:rsidTr="00901ED8">
        <w:tc>
          <w:tcPr>
            <w:tcW w:w="749" w:type="pct"/>
            <w:vMerge/>
          </w:tcPr>
          <w:p w14:paraId="4E13C1D8" w14:textId="77777777" w:rsidR="00C62E4F" w:rsidRPr="00901ED8" w:rsidRDefault="00C62E4F" w:rsidP="00901ED8">
            <w:pPr>
              <w:rPr>
                <w:rFonts w:ascii="Times New Roman" w:hAnsi="Times New Roman" w:cs="Times New Roman"/>
                <w:sz w:val="24"/>
                <w:szCs w:val="24"/>
              </w:rPr>
            </w:pPr>
          </w:p>
        </w:tc>
        <w:tc>
          <w:tcPr>
            <w:tcW w:w="1402" w:type="pct"/>
            <w:hideMark/>
          </w:tcPr>
          <w:p w14:paraId="67004F9C"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35-44</w:t>
            </w:r>
          </w:p>
        </w:tc>
        <w:tc>
          <w:tcPr>
            <w:tcW w:w="899" w:type="pct"/>
            <w:hideMark/>
          </w:tcPr>
          <w:p w14:paraId="11FB1334"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86 (14.6%)</w:t>
            </w:r>
          </w:p>
        </w:tc>
        <w:tc>
          <w:tcPr>
            <w:tcW w:w="900" w:type="pct"/>
            <w:hideMark/>
          </w:tcPr>
          <w:p w14:paraId="681C6B35"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97 (16.6%)</w:t>
            </w:r>
          </w:p>
        </w:tc>
        <w:tc>
          <w:tcPr>
            <w:tcW w:w="1050" w:type="pct"/>
            <w:hideMark/>
          </w:tcPr>
          <w:p w14:paraId="2549CEB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100 (16.5%)</w:t>
            </w:r>
          </w:p>
        </w:tc>
      </w:tr>
      <w:tr w:rsidR="00901ED8" w:rsidRPr="00901ED8" w14:paraId="696CB8B7" w14:textId="77777777" w:rsidTr="00901ED8">
        <w:tc>
          <w:tcPr>
            <w:tcW w:w="749" w:type="pct"/>
            <w:vMerge/>
          </w:tcPr>
          <w:p w14:paraId="03A71642" w14:textId="77777777" w:rsidR="00C62E4F" w:rsidRPr="00901ED8" w:rsidRDefault="00C62E4F" w:rsidP="00901ED8">
            <w:pPr>
              <w:rPr>
                <w:rFonts w:ascii="Times New Roman" w:hAnsi="Times New Roman" w:cs="Times New Roman"/>
                <w:sz w:val="24"/>
                <w:szCs w:val="24"/>
              </w:rPr>
            </w:pPr>
          </w:p>
        </w:tc>
        <w:tc>
          <w:tcPr>
            <w:tcW w:w="1402" w:type="pct"/>
            <w:hideMark/>
          </w:tcPr>
          <w:p w14:paraId="3C0D8139"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45-54</w:t>
            </w:r>
          </w:p>
        </w:tc>
        <w:tc>
          <w:tcPr>
            <w:tcW w:w="899" w:type="pct"/>
            <w:hideMark/>
          </w:tcPr>
          <w:p w14:paraId="6D2337B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105 (17.9%)</w:t>
            </w:r>
          </w:p>
        </w:tc>
        <w:tc>
          <w:tcPr>
            <w:tcW w:w="900" w:type="pct"/>
            <w:hideMark/>
          </w:tcPr>
          <w:p w14:paraId="7B1DDA78"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94 (16.0%)</w:t>
            </w:r>
          </w:p>
        </w:tc>
        <w:tc>
          <w:tcPr>
            <w:tcW w:w="1050" w:type="pct"/>
            <w:hideMark/>
          </w:tcPr>
          <w:p w14:paraId="4353303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97 (16.0%)</w:t>
            </w:r>
          </w:p>
        </w:tc>
      </w:tr>
      <w:tr w:rsidR="00901ED8" w:rsidRPr="00901ED8" w14:paraId="79EF40D5" w14:textId="77777777" w:rsidTr="00901ED8">
        <w:tc>
          <w:tcPr>
            <w:tcW w:w="749" w:type="pct"/>
            <w:vMerge/>
          </w:tcPr>
          <w:p w14:paraId="0AF73A6C" w14:textId="77777777" w:rsidR="00C62E4F" w:rsidRPr="00901ED8" w:rsidRDefault="00C62E4F" w:rsidP="00901ED8">
            <w:pPr>
              <w:rPr>
                <w:rFonts w:ascii="Times New Roman" w:hAnsi="Times New Roman" w:cs="Times New Roman"/>
                <w:sz w:val="24"/>
                <w:szCs w:val="24"/>
              </w:rPr>
            </w:pPr>
          </w:p>
        </w:tc>
        <w:tc>
          <w:tcPr>
            <w:tcW w:w="1402" w:type="pct"/>
            <w:hideMark/>
          </w:tcPr>
          <w:p w14:paraId="4988F0F7"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55-64</w:t>
            </w:r>
          </w:p>
        </w:tc>
        <w:tc>
          <w:tcPr>
            <w:tcW w:w="899" w:type="pct"/>
            <w:hideMark/>
          </w:tcPr>
          <w:p w14:paraId="2591024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157 (26.7%)</w:t>
            </w:r>
          </w:p>
        </w:tc>
        <w:tc>
          <w:tcPr>
            <w:tcW w:w="900" w:type="pct"/>
            <w:hideMark/>
          </w:tcPr>
          <w:p w14:paraId="47105F3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125 (21.3%)</w:t>
            </w:r>
          </w:p>
        </w:tc>
        <w:tc>
          <w:tcPr>
            <w:tcW w:w="1050" w:type="pct"/>
            <w:hideMark/>
          </w:tcPr>
          <w:p w14:paraId="5A228904"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154 (25.5%)</w:t>
            </w:r>
          </w:p>
        </w:tc>
      </w:tr>
      <w:tr w:rsidR="00901ED8" w:rsidRPr="00901ED8" w14:paraId="4423E90C" w14:textId="77777777" w:rsidTr="00901ED8">
        <w:tc>
          <w:tcPr>
            <w:tcW w:w="749" w:type="pct"/>
            <w:vMerge/>
          </w:tcPr>
          <w:p w14:paraId="6A97182C" w14:textId="77777777" w:rsidR="00C62E4F" w:rsidRPr="00901ED8" w:rsidRDefault="00C62E4F" w:rsidP="00901ED8">
            <w:pPr>
              <w:rPr>
                <w:rFonts w:ascii="Times New Roman" w:hAnsi="Times New Roman" w:cs="Times New Roman"/>
                <w:sz w:val="24"/>
                <w:szCs w:val="24"/>
              </w:rPr>
            </w:pPr>
          </w:p>
        </w:tc>
        <w:tc>
          <w:tcPr>
            <w:tcW w:w="1402" w:type="pct"/>
            <w:hideMark/>
          </w:tcPr>
          <w:p w14:paraId="4187464C"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65+</w:t>
            </w:r>
          </w:p>
        </w:tc>
        <w:tc>
          <w:tcPr>
            <w:tcW w:w="899" w:type="pct"/>
            <w:hideMark/>
          </w:tcPr>
          <w:p w14:paraId="7DA0A42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157 (26.7%)</w:t>
            </w:r>
          </w:p>
        </w:tc>
        <w:tc>
          <w:tcPr>
            <w:tcW w:w="900" w:type="pct"/>
            <w:hideMark/>
          </w:tcPr>
          <w:p w14:paraId="16C758F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159 (27.1%)</w:t>
            </w:r>
          </w:p>
        </w:tc>
        <w:tc>
          <w:tcPr>
            <w:tcW w:w="1050" w:type="pct"/>
            <w:hideMark/>
          </w:tcPr>
          <w:p w14:paraId="78ADF1D8"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98 (16.2%)</w:t>
            </w:r>
          </w:p>
        </w:tc>
      </w:tr>
      <w:tr w:rsidR="00901ED8" w:rsidRPr="00901ED8" w14:paraId="0D09CE58" w14:textId="77777777" w:rsidTr="00901ED8">
        <w:tc>
          <w:tcPr>
            <w:tcW w:w="749" w:type="pct"/>
            <w:vMerge w:val="restart"/>
          </w:tcPr>
          <w:p w14:paraId="6944A5AB" w14:textId="724277FD" w:rsidR="00901ED8" w:rsidRDefault="00901ED8" w:rsidP="00901ED8">
            <w:pPr>
              <w:rPr>
                <w:rFonts w:ascii="Times New Roman" w:hAnsi="Times New Roman" w:cs="Times New Roman"/>
                <w:sz w:val="24"/>
                <w:szCs w:val="24"/>
              </w:rPr>
            </w:pPr>
            <w:r>
              <w:rPr>
                <w:rFonts w:ascii="Times New Roman" w:hAnsi="Times New Roman" w:cs="Times New Roman"/>
                <w:sz w:val="24"/>
                <w:szCs w:val="24"/>
              </w:rPr>
              <w:t xml:space="preserve">2019 annual </w:t>
            </w:r>
          </w:p>
          <w:p w14:paraId="723D6B24" w14:textId="4F062B56" w:rsidR="00901ED8" w:rsidRPr="00901ED8" w:rsidRDefault="00901ED8" w:rsidP="00901ED8">
            <w:pPr>
              <w:rPr>
                <w:rFonts w:ascii="Times New Roman" w:hAnsi="Times New Roman" w:cs="Times New Roman"/>
                <w:sz w:val="24"/>
                <w:szCs w:val="24"/>
              </w:rPr>
            </w:pPr>
            <w:r>
              <w:rPr>
                <w:rFonts w:ascii="Times New Roman" w:hAnsi="Times New Roman" w:cs="Times New Roman"/>
                <w:sz w:val="24"/>
                <w:szCs w:val="24"/>
              </w:rPr>
              <w:t>h</w:t>
            </w:r>
            <w:r w:rsidRPr="00901ED8">
              <w:rPr>
                <w:rFonts w:ascii="Times New Roman" w:hAnsi="Times New Roman" w:cs="Times New Roman"/>
                <w:sz w:val="24"/>
                <w:szCs w:val="24"/>
              </w:rPr>
              <w:t xml:space="preserve">ousehold income </w:t>
            </w:r>
          </w:p>
        </w:tc>
        <w:tc>
          <w:tcPr>
            <w:tcW w:w="1402" w:type="pct"/>
            <w:hideMark/>
          </w:tcPr>
          <w:p w14:paraId="39442C74" w14:textId="07A7B821" w:rsidR="00901ED8" w:rsidRPr="00901ED8" w:rsidRDefault="00901ED8" w:rsidP="00901ED8">
            <w:pPr>
              <w:rPr>
                <w:rFonts w:ascii="Times New Roman" w:hAnsi="Times New Roman" w:cs="Times New Roman"/>
                <w:sz w:val="24"/>
                <w:szCs w:val="24"/>
              </w:rPr>
            </w:pPr>
            <w:r>
              <w:rPr>
                <w:rFonts w:ascii="Times New Roman" w:hAnsi="Times New Roman" w:cs="Times New Roman"/>
                <w:sz w:val="24"/>
                <w:szCs w:val="24"/>
              </w:rPr>
              <w:t xml:space="preserve">≤£15.490 </w:t>
            </w:r>
          </w:p>
        </w:tc>
        <w:tc>
          <w:tcPr>
            <w:tcW w:w="899" w:type="pct"/>
            <w:hideMark/>
          </w:tcPr>
          <w:p w14:paraId="076A3908"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132 (22.4%)</w:t>
            </w:r>
          </w:p>
        </w:tc>
        <w:tc>
          <w:tcPr>
            <w:tcW w:w="900" w:type="pct"/>
            <w:hideMark/>
          </w:tcPr>
          <w:p w14:paraId="111AA80C"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132 (22.4%)</w:t>
            </w:r>
          </w:p>
        </w:tc>
        <w:tc>
          <w:tcPr>
            <w:tcW w:w="1050" w:type="pct"/>
            <w:hideMark/>
          </w:tcPr>
          <w:p w14:paraId="46AD9A6B"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135 (22.3%)</w:t>
            </w:r>
          </w:p>
        </w:tc>
      </w:tr>
      <w:tr w:rsidR="00901ED8" w:rsidRPr="00901ED8" w14:paraId="098D4AC9" w14:textId="77777777" w:rsidTr="00901ED8">
        <w:tc>
          <w:tcPr>
            <w:tcW w:w="749" w:type="pct"/>
            <w:vMerge/>
          </w:tcPr>
          <w:p w14:paraId="4C3DC6C8" w14:textId="77777777" w:rsidR="00901ED8" w:rsidRPr="00901ED8" w:rsidRDefault="00901ED8" w:rsidP="00901ED8">
            <w:pPr>
              <w:rPr>
                <w:rFonts w:ascii="Times New Roman" w:hAnsi="Times New Roman" w:cs="Times New Roman"/>
                <w:sz w:val="24"/>
                <w:szCs w:val="24"/>
              </w:rPr>
            </w:pPr>
          </w:p>
        </w:tc>
        <w:tc>
          <w:tcPr>
            <w:tcW w:w="1402" w:type="pct"/>
            <w:hideMark/>
          </w:tcPr>
          <w:p w14:paraId="78FFC510" w14:textId="2DEE9FFF" w:rsidR="00901ED8" w:rsidRPr="00901ED8" w:rsidRDefault="00901ED8" w:rsidP="00901ED8">
            <w:pPr>
              <w:rPr>
                <w:rFonts w:ascii="Times New Roman" w:hAnsi="Times New Roman" w:cs="Times New Roman"/>
                <w:sz w:val="24"/>
                <w:szCs w:val="24"/>
              </w:rPr>
            </w:pPr>
            <w:r>
              <w:rPr>
                <w:rFonts w:ascii="Times New Roman" w:hAnsi="Times New Roman" w:cs="Times New Roman"/>
                <w:sz w:val="24"/>
                <w:szCs w:val="24"/>
              </w:rPr>
              <w:t xml:space="preserve">£15,491-£25,340 </w:t>
            </w:r>
          </w:p>
        </w:tc>
        <w:tc>
          <w:tcPr>
            <w:tcW w:w="899" w:type="pct"/>
            <w:hideMark/>
          </w:tcPr>
          <w:p w14:paraId="0737F1EC"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149 (25.3%)</w:t>
            </w:r>
          </w:p>
        </w:tc>
        <w:tc>
          <w:tcPr>
            <w:tcW w:w="900" w:type="pct"/>
            <w:hideMark/>
          </w:tcPr>
          <w:p w14:paraId="0848AEFF"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110 (18.8%)</w:t>
            </w:r>
          </w:p>
        </w:tc>
        <w:tc>
          <w:tcPr>
            <w:tcW w:w="1050" w:type="pct"/>
            <w:hideMark/>
          </w:tcPr>
          <w:p w14:paraId="676E3251"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161 (26.6%)</w:t>
            </w:r>
          </w:p>
        </w:tc>
      </w:tr>
      <w:tr w:rsidR="00901ED8" w:rsidRPr="00901ED8" w14:paraId="4545C6F8" w14:textId="77777777" w:rsidTr="00901ED8">
        <w:tc>
          <w:tcPr>
            <w:tcW w:w="749" w:type="pct"/>
            <w:vMerge/>
          </w:tcPr>
          <w:p w14:paraId="0C7AB014" w14:textId="77777777" w:rsidR="00901ED8" w:rsidRPr="00901ED8" w:rsidRDefault="00901ED8" w:rsidP="00901ED8">
            <w:pPr>
              <w:rPr>
                <w:rFonts w:ascii="Times New Roman" w:hAnsi="Times New Roman" w:cs="Times New Roman"/>
                <w:sz w:val="24"/>
                <w:szCs w:val="24"/>
              </w:rPr>
            </w:pPr>
          </w:p>
        </w:tc>
        <w:tc>
          <w:tcPr>
            <w:tcW w:w="1402" w:type="pct"/>
            <w:hideMark/>
          </w:tcPr>
          <w:p w14:paraId="59C1A570" w14:textId="6C7F2FDD" w:rsidR="00901ED8" w:rsidRPr="00901ED8" w:rsidRDefault="00901ED8" w:rsidP="00901ED8">
            <w:pPr>
              <w:rPr>
                <w:rFonts w:ascii="Times New Roman" w:hAnsi="Times New Roman" w:cs="Times New Roman"/>
                <w:sz w:val="24"/>
                <w:szCs w:val="24"/>
              </w:rPr>
            </w:pPr>
            <w:r>
              <w:rPr>
                <w:rFonts w:ascii="Times New Roman" w:hAnsi="Times New Roman" w:cs="Times New Roman"/>
                <w:sz w:val="24"/>
                <w:szCs w:val="24"/>
              </w:rPr>
              <w:t xml:space="preserve">£25,341-£38,740 </w:t>
            </w:r>
          </w:p>
        </w:tc>
        <w:tc>
          <w:tcPr>
            <w:tcW w:w="899" w:type="pct"/>
            <w:hideMark/>
          </w:tcPr>
          <w:p w14:paraId="74F4A009"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131 (22.3%)</w:t>
            </w:r>
          </w:p>
        </w:tc>
        <w:tc>
          <w:tcPr>
            <w:tcW w:w="900" w:type="pct"/>
            <w:hideMark/>
          </w:tcPr>
          <w:p w14:paraId="67AC7E1E"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172 (29.4%)</w:t>
            </w:r>
          </w:p>
        </w:tc>
        <w:tc>
          <w:tcPr>
            <w:tcW w:w="1050" w:type="pct"/>
            <w:hideMark/>
          </w:tcPr>
          <w:p w14:paraId="5F6F20AF"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147 (24.3%)</w:t>
            </w:r>
          </w:p>
        </w:tc>
      </w:tr>
      <w:tr w:rsidR="00901ED8" w:rsidRPr="00901ED8" w14:paraId="3BA195E9" w14:textId="77777777" w:rsidTr="00901ED8">
        <w:tc>
          <w:tcPr>
            <w:tcW w:w="749" w:type="pct"/>
            <w:vMerge/>
          </w:tcPr>
          <w:p w14:paraId="20EEF96E" w14:textId="77777777" w:rsidR="00901ED8" w:rsidRPr="00901ED8" w:rsidRDefault="00901ED8" w:rsidP="00901ED8">
            <w:pPr>
              <w:rPr>
                <w:rFonts w:ascii="Times New Roman" w:hAnsi="Times New Roman" w:cs="Times New Roman"/>
                <w:sz w:val="24"/>
                <w:szCs w:val="24"/>
              </w:rPr>
            </w:pPr>
          </w:p>
        </w:tc>
        <w:tc>
          <w:tcPr>
            <w:tcW w:w="1402" w:type="pct"/>
            <w:hideMark/>
          </w:tcPr>
          <w:p w14:paraId="0AE3A291" w14:textId="761AA5D0" w:rsidR="00901ED8" w:rsidRPr="00901ED8" w:rsidRDefault="00901ED8" w:rsidP="00901ED8">
            <w:pPr>
              <w:rPr>
                <w:rFonts w:ascii="Times New Roman" w:hAnsi="Times New Roman" w:cs="Times New Roman"/>
                <w:sz w:val="24"/>
                <w:szCs w:val="24"/>
              </w:rPr>
            </w:pPr>
            <w:r>
              <w:rPr>
                <w:rFonts w:ascii="Times New Roman" w:hAnsi="Times New Roman" w:cs="Times New Roman"/>
                <w:sz w:val="24"/>
                <w:szCs w:val="24"/>
              </w:rPr>
              <w:t xml:space="preserve">£38,741-£57,903 </w:t>
            </w:r>
          </w:p>
        </w:tc>
        <w:tc>
          <w:tcPr>
            <w:tcW w:w="899" w:type="pct"/>
            <w:hideMark/>
          </w:tcPr>
          <w:p w14:paraId="59E05197"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114 (19.4%)</w:t>
            </w:r>
          </w:p>
        </w:tc>
        <w:tc>
          <w:tcPr>
            <w:tcW w:w="900" w:type="pct"/>
            <w:hideMark/>
          </w:tcPr>
          <w:p w14:paraId="0DA7018C"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115 (19.6%)</w:t>
            </w:r>
          </w:p>
        </w:tc>
        <w:tc>
          <w:tcPr>
            <w:tcW w:w="1050" w:type="pct"/>
            <w:hideMark/>
          </w:tcPr>
          <w:p w14:paraId="5AF31CB8"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111 (18.3%)</w:t>
            </w:r>
          </w:p>
        </w:tc>
      </w:tr>
      <w:tr w:rsidR="00901ED8" w:rsidRPr="00901ED8" w14:paraId="47945B9F" w14:textId="77777777" w:rsidTr="00901ED8">
        <w:tc>
          <w:tcPr>
            <w:tcW w:w="749" w:type="pct"/>
            <w:vMerge/>
          </w:tcPr>
          <w:p w14:paraId="4100E808" w14:textId="77777777" w:rsidR="00901ED8" w:rsidRPr="00901ED8" w:rsidRDefault="00901ED8" w:rsidP="00901ED8">
            <w:pPr>
              <w:rPr>
                <w:rFonts w:ascii="Times New Roman" w:hAnsi="Times New Roman" w:cs="Times New Roman"/>
                <w:sz w:val="24"/>
                <w:szCs w:val="24"/>
              </w:rPr>
            </w:pPr>
          </w:p>
        </w:tc>
        <w:tc>
          <w:tcPr>
            <w:tcW w:w="1402" w:type="pct"/>
            <w:hideMark/>
          </w:tcPr>
          <w:p w14:paraId="5AD25352" w14:textId="07C21AA5" w:rsidR="00901ED8" w:rsidRPr="00901ED8" w:rsidRDefault="00901ED8" w:rsidP="00901ED8">
            <w:pPr>
              <w:rPr>
                <w:rFonts w:ascii="Times New Roman" w:hAnsi="Times New Roman" w:cs="Times New Roman"/>
                <w:sz w:val="24"/>
                <w:szCs w:val="24"/>
              </w:rPr>
            </w:pPr>
            <w:r>
              <w:rPr>
                <w:rFonts w:ascii="Times New Roman" w:hAnsi="Times New Roman" w:cs="Times New Roman"/>
                <w:sz w:val="24"/>
                <w:szCs w:val="24"/>
              </w:rPr>
              <w:t xml:space="preserve">≥£57,931 </w:t>
            </w:r>
          </w:p>
        </w:tc>
        <w:tc>
          <w:tcPr>
            <w:tcW w:w="899" w:type="pct"/>
            <w:hideMark/>
          </w:tcPr>
          <w:p w14:paraId="51D35784"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62 (10.5%)</w:t>
            </w:r>
          </w:p>
        </w:tc>
        <w:tc>
          <w:tcPr>
            <w:tcW w:w="900" w:type="pct"/>
            <w:hideMark/>
          </w:tcPr>
          <w:p w14:paraId="33D13DEB"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57 (9.7%)</w:t>
            </w:r>
          </w:p>
        </w:tc>
        <w:tc>
          <w:tcPr>
            <w:tcW w:w="1050" w:type="pct"/>
            <w:hideMark/>
          </w:tcPr>
          <w:p w14:paraId="7D41277A" w14:textId="77777777" w:rsidR="00901ED8" w:rsidRPr="00901ED8" w:rsidRDefault="00901ED8" w:rsidP="00901ED8">
            <w:pPr>
              <w:jc w:val="center"/>
              <w:rPr>
                <w:rFonts w:ascii="Times New Roman" w:hAnsi="Times New Roman" w:cs="Times New Roman"/>
                <w:sz w:val="24"/>
                <w:szCs w:val="24"/>
              </w:rPr>
            </w:pPr>
            <w:r w:rsidRPr="00901ED8">
              <w:rPr>
                <w:rFonts w:ascii="Times New Roman" w:hAnsi="Times New Roman" w:cs="Times New Roman"/>
                <w:sz w:val="24"/>
                <w:szCs w:val="24"/>
              </w:rPr>
              <w:t>51 (8.4%)</w:t>
            </w:r>
          </w:p>
        </w:tc>
      </w:tr>
      <w:tr w:rsidR="00901ED8" w:rsidRPr="00901ED8" w14:paraId="34F1BF10" w14:textId="77777777" w:rsidTr="00901ED8">
        <w:tc>
          <w:tcPr>
            <w:tcW w:w="749" w:type="pct"/>
            <w:vMerge w:val="restart"/>
          </w:tcPr>
          <w:p w14:paraId="218BB69C"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Ethnicity</w:t>
            </w:r>
          </w:p>
        </w:tc>
        <w:tc>
          <w:tcPr>
            <w:tcW w:w="1402" w:type="pct"/>
            <w:hideMark/>
          </w:tcPr>
          <w:p w14:paraId="07E93BF8"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White</w:t>
            </w:r>
          </w:p>
        </w:tc>
        <w:tc>
          <w:tcPr>
            <w:tcW w:w="899" w:type="pct"/>
            <w:hideMark/>
          </w:tcPr>
          <w:p w14:paraId="19AE3C8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575 (97.8%)</w:t>
            </w:r>
          </w:p>
        </w:tc>
        <w:tc>
          <w:tcPr>
            <w:tcW w:w="900" w:type="pct"/>
            <w:hideMark/>
          </w:tcPr>
          <w:p w14:paraId="4C552A6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567 (96.8%)</w:t>
            </w:r>
          </w:p>
        </w:tc>
        <w:tc>
          <w:tcPr>
            <w:tcW w:w="1050" w:type="pct"/>
            <w:hideMark/>
          </w:tcPr>
          <w:p w14:paraId="7A47F0E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587 (97.0%)</w:t>
            </w:r>
          </w:p>
        </w:tc>
      </w:tr>
      <w:tr w:rsidR="00901ED8" w:rsidRPr="00901ED8" w14:paraId="0686000B" w14:textId="77777777" w:rsidTr="00901ED8">
        <w:tc>
          <w:tcPr>
            <w:tcW w:w="749" w:type="pct"/>
            <w:vMerge/>
          </w:tcPr>
          <w:p w14:paraId="393B8714" w14:textId="77777777" w:rsidR="00C62E4F" w:rsidRPr="00901ED8" w:rsidRDefault="00C62E4F" w:rsidP="00901ED8">
            <w:pPr>
              <w:rPr>
                <w:rFonts w:ascii="Times New Roman" w:hAnsi="Times New Roman" w:cs="Times New Roman"/>
                <w:sz w:val="24"/>
                <w:szCs w:val="24"/>
              </w:rPr>
            </w:pPr>
          </w:p>
        </w:tc>
        <w:tc>
          <w:tcPr>
            <w:tcW w:w="1402" w:type="pct"/>
            <w:hideMark/>
          </w:tcPr>
          <w:p w14:paraId="3BB9E1EF"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Non-white</w:t>
            </w:r>
          </w:p>
        </w:tc>
        <w:tc>
          <w:tcPr>
            <w:tcW w:w="899" w:type="pct"/>
            <w:hideMark/>
          </w:tcPr>
          <w:p w14:paraId="651D553B"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13 (2.2%)</w:t>
            </w:r>
          </w:p>
        </w:tc>
        <w:tc>
          <w:tcPr>
            <w:tcW w:w="900" w:type="pct"/>
            <w:hideMark/>
          </w:tcPr>
          <w:p w14:paraId="315B963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19 (3.2%)</w:t>
            </w:r>
          </w:p>
        </w:tc>
        <w:tc>
          <w:tcPr>
            <w:tcW w:w="1050" w:type="pct"/>
            <w:hideMark/>
          </w:tcPr>
          <w:p w14:paraId="219FB24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18 (3.0%)</w:t>
            </w:r>
          </w:p>
        </w:tc>
      </w:tr>
      <w:tr w:rsidR="00901ED8" w:rsidRPr="00901ED8" w14:paraId="1BA4257A" w14:textId="77777777" w:rsidTr="00901ED8">
        <w:tc>
          <w:tcPr>
            <w:tcW w:w="749" w:type="pct"/>
            <w:vMerge w:val="restart"/>
          </w:tcPr>
          <w:p w14:paraId="5DBC61B6"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Born in UK</w:t>
            </w:r>
          </w:p>
        </w:tc>
        <w:tc>
          <w:tcPr>
            <w:tcW w:w="1402" w:type="pct"/>
            <w:hideMark/>
          </w:tcPr>
          <w:p w14:paraId="1EFD7A68"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Yes</w:t>
            </w:r>
          </w:p>
        </w:tc>
        <w:tc>
          <w:tcPr>
            <w:tcW w:w="899" w:type="pct"/>
            <w:hideMark/>
          </w:tcPr>
          <w:p w14:paraId="7D4DA1D9"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570 (96.9%)</w:t>
            </w:r>
          </w:p>
        </w:tc>
        <w:tc>
          <w:tcPr>
            <w:tcW w:w="900" w:type="pct"/>
            <w:hideMark/>
          </w:tcPr>
          <w:p w14:paraId="2646F945"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543 (92.7%)</w:t>
            </w:r>
          </w:p>
        </w:tc>
        <w:tc>
          <w:tcPr>
            <w:tcW w:w="1050" w:type="pct"/>
            <w:hideMark/>
          </w:tcPr>
          <w:p w14:paraId="0BD5943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570 (94.2%)</w:t>
            </w:r>
          </w:p>
        </w:tc>
      </w:tr>
      <w:tr w:rsidR="00901ED8" w:rsidRPr="00901ED8" w14:paraId="68A6F404" w14:textId="77777777" w:rsidTr="00901ED8">
        <w:tc>
          <w:tcPr>
            <w:tcW w:w="749" w:type="pct"/>
            <w:vMerge/>
          </w:tcPr>
          <w:p w14:paraId="033E79D6" w14:textId="77777777" w:rsidR="00C62E4F" w:rsidRPr="00901ED8" w:rsidRDefault="00C62E4F" w:rsidP="00901ED8">
            <w:pPr>
              <w:rPr>
                <w:rFonts w:ascii="Times New Roman" w:hAnsi="Times New Roman" w:cs="Times New Roman"/>
                <w:sz w:val="24"/>
                <w:szCs w:val="24"/>
              </w:rPr>
            </w:pPr>
          </w:p>
        </w:tc>
        <w:tc>
          <w:tcPr>
            <w:tcW w:w="1402" w:type="pct"/>
            <w:hideMark/>
          </w:tcPr>
          <w:p w14:paraId="0ED4C948"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No</w:t>
            </w:r>
          </w:p>
        </w:tc>
        <w:tc>
          <w:tcPr>
            <w:tcW w:w="899" w:type="pct"/>
            <w:hideMark/>
          </w:tcPr>
          <w:p w14:paraId="143A8E0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18 (3.1%)</w:t>
            </w:r>
          </w:p>
        </w:tc>
        <w:tc>
          <w:tcPr>
            <w:tcW w:w="900" w:type="pct"/>
            <w:hideMark/>
          </w:tcPr>
          <w:p w14:paraId="256755D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43 (7.3%)</w:t>
            </w:r>
          </w:p>
        </w:tc>
        <w:tc>
          <w:tcPr>
            <w:tcW w:w="1050" w:type="pct"/>
            <w:hideMark/>
          </w:tcPr>
          <w:p w14:paraId="08560FC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35 (5.8%)</w:t>
            </w:r>
          </w:p>
        </w:tc>
      </w:tr>
      <w:tr w:rsidR="00901ED8" w:rsidRPr="00901ED8" w14:paraId="769F4A1F" w14:textId="77777777" w:rsidTr="00901ED8">
        <w:tc>
          <w:tcPr>
            <w:tcW w:w="749" w:type="pct"/>
            <w:vMerge w:val="restart"/>
          </w:tcPr>
          <w:p w14:paraId="67EC314A"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Household composition</w:t>
            </w:r>
          </w:p>
        </w:tc>
        <w:tc>
          <w:tcPr>
            <w:tcW w:w="1402" w:type="pct"/>
            <w:hideMark/>
          </w:tcPr>
          <w:p w14:paraId="6B2BDD0A"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Living alone</w:t>
            </w:r>
          </w:p>
        </w:tc>
        <w:tc>
          <w:tcPr>
            <w:tcW w:w="899" w:type="pct"/>
            <w:hideMark/>
          </w:tcPr>
          <w:p w14:paraId="0CCBBDD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130 (22.1%)</w:t>
            </w:r>
          </w:p>
        </w:tc>
        <w:tc>
          <w:tcPr>
            <w:tcW w:w="900" w:type="pct"/>
            <w:hideMark/>
          </w:tcPr>
          <w:p w14:paraId="7F3DFE6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148 (25.3%)</w:t>
            </w:r>
          </w:p>
        </w:tc>
        <w:tc>
          <w:tcPr>
            <w:tcW w:w="1050" w:type="pct"/>
            <w:hideMark/>
          </w:tcPr>
          <w:p w14:paraId="08566CF9"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144 (23.8%)</w:t>
            </w:r>
          </w:p>
        </w:tc>
      </w:tr>
      <w:tr w:rsidR="00901ED8" w:rsidRPr="00901ED8" w14:paraId="1D520E1D" w14:textId="77777777" w:rsidTr="00901ED8">
        <w:tc>
          <w:tcPr>
            <w:tcW w:w="749" w:type="pct"/>
            <w:vMerge/>
          </w:tcPr>
          <w:p w14:paraId="57EB73E8" w14:textId="77777777" w:rsidR="00C62E4F" w:rsidRPr="00901ED8" w:rsidRDefault="00C62E4F" w:rsidP="00901ED8">
            <w:pPr>
              <w:rPr>
                <w:rFonts w:ascii="Times New Roman" w:hAnsi="Times New Roman" w:cs="Times New Roman"/>
                <w:sz w:val="24"/>
                <w:szCs w:val="24"/>
              </w:rPr>
            </w:pPr>
          </w:p>
        </w:tc>
        <w:tc>
          <w:tcPr>
            <w:tcW w:w="1402" w:type="pct"/>
            <w:hideMark/>
          </w:tcPr>
          <w:p w14:paraId="7ECA73CD"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Not living alone</w:t>
            </w:r>
          </w:p>
        </w:tc>
        <w:tc>
          <w:tcPr>
            <w:tcW w:w="899" w:type="pct"/>
            <w:hideMark/>
          </w:tcPr>
          <w:p w14:paraId="37C98E96"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458 (77.9%)</w:t>
            </w:r>
          </w:p>
        </w:tc>
        <w:tc>
          <w:tcPr>
            <w:tcW w:w="900" w:type="pct"/>
            <w:hideMark/>
          </w:tcPr>
          <w:p w14:paraId="4A6FE7E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438 (74.7%)</w:t>
            </w:r>
          </w:p>
        </w:tc>
        <w:tc>
          <w:tcPr>
            <w:tcW w:w="1050" w:type="pct"/>
            <w:hideMark/>
          </w:tcPr>
          <w:p w14:paraId="422194B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461 (76.2%)</w:t>
            </w:r>
          </w:p>
        </w:tc>
      </w:tr>
      <w:tr w:rsidR="00901ED8" w:rsidRPr="00901ED8" w14:paraId="666172A0" w14:textId="77777777" w:rsidTr="00901ED8">
        <w:tc>
          <w:tcPr>
            <w:tcW w:w="749" w:type="pct"/>
            <w:vMerge w:val="restart"/>
          </w:tcPr>
          <w:p w14:paraId="6FF430C5"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2016 EU referendum vote</w:t>
            </w:r>
          </w:p>
        </w:tc>
        <w:tc>
          <w:tcPr>
            <w:tcW w:w="1402" w:type="pct"/>
            <w:hideMark/>
          </w:tcPr>
          <w:p w14:paraId="05FFE54A"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Voted to leave the EU</w:t>
            </w:r>
          </w:p>
        </w:tc>
        <w:tc>
          <w:tcPr>
            <w:tcW w:w="899" w:type="pct"/>
            <w:hideMark/>
          </w:tcPr>
          <w:p w14:paraId="450BF4C4"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257 (43.7%)</w:t>
            </w:r>
          </w:p>
        </w:tc>
        <w:tc>
          <w:tcPr>
            <w:tcW w:w="900" w:type="pct"/>
            <w:hideMark/>
          </w:tcPr>
          <w:p w14:paraId="76B9D579"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177 (30.2%)</w:t>
            </w:r>
          </w:p>
        </w:tc>
        <w:tc>
          <w:tcPr>
            <w:tcW w:w="1050" w:type="pct"/>
            <w:hideMark/>
          </w:tcPr>
          <w:p w14:paraId="523F6DBB"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204 (33.7%)</w:t>
            </w:r>
          </w:p>
        </w:tc>
      </w:tr>
      <w:tr w:rsidR="00901ED8" w:rsidRPr="00901ED8" w14:paraId="77B126EA" w14:textId="77777777" w:rsidTr="00901ED8">
        <w:tc>
          <w:tcPr>
            <w:tcW w:w="749" w:type="pct"/>
            <w:vMerge/>
          </w:tcPr>
          <w:p w14:paraId="43776035" w14:textId="77777777" w:rsidR="00C62E4F" w:rsidRPr="00901ED8" w:rsidRDefault="00C62E4F" w:rsidP="00901ED8">
            <w:pPr>
              <w:rPr>
                <w:rFonts w:ascii="Times New Roman" w:hAnsi="Times New Roman" w:cs="Times New Roman"/>
                <w:sz w:val="24"/>
                <w:szCs w:val="24"/>
              </w:rPr>
            </w:pPr>
          </w:p>
        </w:tc>
        <w:tc>
          <w:tcPr>
            <w:tcW w:w="1402" w:type="pct"/>
            <w:hideMark/>
          </w:tcPr>
          <w:p w14:paraId="55B2A34D"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Voted to stay in the EU</w:t>
            </w:r>
          </w:p>
        </w:tc>
        <w:tc>
          <w:tcPr>
            <w:tcW w:w="899" w:type="pct"/>
            <w:hideMark/>
          </w:tcPr>
          <w:p w14:paraId="412F96D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260 (44.2%)</w:t>
            </w:r>
          </w:p>
        </w:tc>
        <w:tc>
          <w:tcPr>
            <w:tcW w:w="900" w:type="pct"/>
            <w:hideMark/>
          </w:tcPr>
          <w:p w14:paraId="59BA9616"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326 (55.6%)</w:t>
            </w:r>
          </w:p>
        </w:tc>
        <w:tc>
          <w:tcPr>
            <w:tcW w:w="1050" w:type="pct"/>
            <w:hideMark/>
          </w:tcPr>
          <w:p w14:paraId="661CBDFB"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273 (45.1%)</w:t>
            </w:r>
          </w:p>
        </w:tc>
      </w:tr>
      <w:tr w:rsidR="00901ED8" w:rsidRPr="00901ED8" w14:paraId="79F8C5C7" w14:textId="77777777" w:rsidTr="00901ED8">
        <w:tc>
          <w:tcPr>
            <w:tcW w:w="749" w:type="pct"/>
            <w:vMerge/>
          </w:tcPr>
          <w:p w14:paraId="622ECBF4" w14:textId="77777777" w:rsidR="00C62E4F" w:rsidRPr="00901ED8" w:rsidRDefault="00C62E4F" w:rsidP="00901ED8">
            <w:pPr>
              <w:rPr>
                <w:rFonts w:ascii="Times New Roman" w:hAnsi="Times New Roman" w:cs="Times New Roman"/>
                <w:sz w:val="24"/>
                <w:szCs w:val="24"/>
              </w:rPr>
            </w:pPr>
          </w:p>
        </w:tc>
        <w:tc>
          <w:tcPr>
            <w:tcW w:w="1402" w:type="pct"/>
            <w:hideMark/>
          </w:tcPr>
          <w:p w14:paraId="38532DAD"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Did not vote</w:t>
            </w:r>
          </w:p>
        </w:tc>
        <w:tc>
          <w:tcPr>
            <w:tcW w:w="899" w:type="pct"/>
            <w:hideMark/>
          </w:tcPr>
          <w:p w14:paraId="6A0C1E1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57 (9.7%)</w:t>
            </w:r>
          </w:p>
        </w:tc>
        <w:tc>
          <w:tcPr>
            <w:tcW w:w="900" w:type="pct"/>
            <w:hideMark/>
          </w:tcPr>
          <w:p w14:paraId="6DEC175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49 (8.4%)</w:t>
            </w:r>
          </w:p>
        </w:tc>
        <w:tc>
          <w:tcPr>
            <w:tcW w:w="1050" w:type="pct"/>
            <w:hideMark/>
          </w:tcPr>
          <w:p w14:paraId="1547AE5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103 (17.0%)</w:t>
            </w:r>
          </w:p>
        </w:tc>
      </w:tr>
      <w:tr w:rsidR="00901ED8" w:rsidRPr="00901ED8" w14:paraId="15A7163E" w14:textId="77777777" w:rsidTr="00901ED8">
        <w:tc>
          <w:tcPr>
            <w:tcW w:w="749" w:type="pct"/>
            <w:vMerge/>
          </w:tcPr>
          <w:p w14:paraId="57C852A3" w14:textId="77777777" w:rsidR="00C62E4F" w:rsidRPr="00901ED8" w:rsidRDefault="00C62E4F" w:rsidP="00901ED8">
            <w:pPr>
              <w:rPr>
                <w:rFonts w:ascii="Times New Roman" w:hAnsi="Times New Roman" w:cs="Times New Roman"/>
                <w:sz w:val="24"/>
                <w:szCs w:val="24"/>
              </w:rPr>
            </w:pPr>
          </w:p>
        </w:tc>
        <w:tc>
          <w:tcPr>
            <w:tcW w:w="1402" w:type="pct"/>
            <w:hideMark/>
          </w:tcPr>
          <w:p w14:paraId="3B170E0F" w14:textId="57A085FF"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Ineligible (too young)</w:t>
            </w:r>
          </w:p>
        </w:tc>
        <w:tc>
          <w:tcPr>
            <w:tcW w:w="899" w:type="pct"/>
            <w:hideMark/>
          </w:tcPr>
          <w:p w14:paraId="7E831CE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8 (1.4%)</w:t>
            </w:r>
          </w:p>
        </w:tc>
        <w:tc>
          <w:tcPr>
            <w:tcW w:w="900" w:type="pct"/>
            <w:hideMark/>
          </w:tcPr>
          <w:p w14:paraId="06F9BB3E"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18 (3.1%)</w:t>
            </w:r>
          </w:p>
        </w:tc>
        <w:tc>
          <w:tcPr>
            <w:tcW w:w="1050" w:type="pct"/>
            <w:hideMark/>
          </w:tcPr>
          <w:p w14:paraId="3590F8D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16 (2.6%)</w:t>
            </w:r>
          </w:p>
        </w:tc>
      </w:tr>
      <w:tr w:rsidR="00901ED8" w:rsidRPr="00901ED8" w14:paraId="39E9C226" w14:textId="77777777" w:rsidTr="00901ED8">
        <w:tc>
          <w:tcPr>
            <w:tcW w:w="749" w:type="pct"/>
            <w:vMerge/>
          </w:tcPr>
          <w:p w14:paraId="460CFC99" w14:textId="77777777" w:rsidR="00C62E4F" w:rsidRPr="00901ED8" w:rsidRDefault="00C62E4F" w:rsidP="00901ED8">
            <w:pPr>
              <w:rPr>
                <w:rFonts w:ascii="Times New Roman" w:hAnsi="Times New Roman" w:cs="Times New Roman"/>
                <w:sz w:val="24"/>
                <w:szCs w:val="24"/>
              </w:rPr>
            </w:pPr>
          </w:p>
        </w:tc>
        <w:tc>
          <w:tcPr>
            <w:tcW w:w="1402" w:type="pct"/>
            <w:hideMark/>
          </w:tcPr>
          <w:p w14:paraId="7B435CA2" w14:textId="44416719"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Ineligible (not UK citizen/resident)</w:t>
            </w:r>
          </w:p>
        </w:tc>
        <w:tc>
          <w:tcPr>
            <w:tcW w:w="899" w:type="pct"/>
            <w:hideMark/>
          </w:tcPr>
          <w:p w14:paraId="6245B7F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 91.0%)</w:t>
            </w:r>
          </w:p>
        </w:tc>
        <w:tc>
          <w:tcPr>
            <w:tcW w:w="900" w:type="pct"/>
            <w:hideMark/>
          </w:tcPr>
          <w:p w14:paraId="27B0A94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16 (2.7%)</w:t>
            </w:r>
          </w:p>
        </w:tc>
        <w:tc>
          <w:tcPr>
            <w:tcW w:w="1050" w:type="pct"/>
            <w:hideMark/>
          </w:tcPr>
          <w:p w14:paraId="3F5BA585"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9 (1.5%)</w:t>
            </w:r>
          </w:p>
        </w:tc>
      </w:tr>
      <w:tr w:rsidR="00901ED8" w:rsidRPr="00901ED8" w14:paraId="7D98AFAF" w14:textId="77777777" w:rsidTr="00901ED8">
        <w:tc>
          <w:tcPr>
            <w:tcW w:w="749" w:type="pct"/>
            <w:vMerge w:val="restart"/>
          </w:tcPr>
          <w:p w14:paraId="57C9F5AF"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lastRenderedPageBreak/>
              <w:t>Brexit hindsight vote</w:t>
            </w:r>
          </w:p>
        </w:tc>
        <w:tc>
          <w:tcPr>
            <w:tcW w:w="1402" w:type="pct"/>
            <w:hideMark/>
          </w:tcPr>
          <w:p w14:paraId="79E31828"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Very/somewhat/slightly wrong</w:t>
            </w:r>
          </w:p>
        </w:tc>
        <w:tc>
          <w:tcPr>
            <w:tcW w:w="899" w:type="pct"/>
            <w:hideMark/>
          </w:tcPr>
          <w:p w14:paraId="1822B1B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281 (47.8%)</w:t>
            </w:r>
          </w:p>
        </w:tc>
        <w:tc>
          <w:tcPr>
            <w:tcW w:w="900" w:type="pct"/>
            <w:hideMark/>
          </w:tcPr>
          <w:p w14:paraId="060884A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345 (58.9%)</w:t>
            </w:r>
          </w:p>
        </w:tc>
        <w:tc>
          <w:tcPr>
            <w:tcW w:w="1050" w:type="pct"/>
            <w:hideMark/>
          </w:tcPr>
          <w:p w14:paraId="0FD51BD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339 (56.0%)</w:t>
            </w:r>
          </w:p>
        </w:tc>
      </w:tr>
      <w:tr w:rsidR="00901ED8" w:rsidRPr="00901ED8" w14:paraId="741EAA9E" w14:textId="77777777" w:rsidTr="00901ED8">
        <w:tc>
          <w:tcPr>
            <w:tcW w:w="749" w:type="pct"/>
            <w:vMerge/>
          </w:tcPr>
          <w:p w14:paraId="6598C475" w14:textId="77777777" w:rsidR="00C62E4F" w:rsidRPr="00901ED8" w:rsidRDefault="00C62E4F" w:rsidP="00901ED8">
            <w:pPr>
              <w:rPr>
                <w:rFonts w:ascii="Times New Roman" w:hAnsi="Times New Roman" w:cs="Times New Roman"/>
                <w:sz w:val="24"/>
                <w:szCs w:val="24"/>
              </w:rPr>
            </w:pPr>
          </w:p>
        </w:tc>
        <w:tc>
          <w:tcPr>
            <w:tcW w:w="1402" w:type="pct"/>
            <w:hideMark/>
          </w:tcPr>
          <w:p w14:paraId="30B5AE52"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Neither right nor wrong</w:t>
            </w:r>
          </w:p>
        </w:tc>
        <w:tc>
          <w:tcPr>
            <w:tcW w:w="899" w:type="pct"/>
            <w:hideMark/>
          </w:tcPr>
          <w:p w14:paraId="44ED564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71 (12.1%)</w:t>
            </w:r>
          </w:p>
        </w:tc>
        <w:tc>
          <w:tcPr>
            <w:tcW w:w="900" w:type="pct"/>
            <w:hideMark/>
          </w:tcPr>
          <w:p w14:paraId="6012ECF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61 (10.4%)</w:t>
            </w:r>
          </w:p>
        </w:tc>
        <w:tc>
          <w:tcPr>
            <w:tcW w:w="1050" w:type="pct"/>
            <w:hideMark/>
          </w:tcPr>
          <w:p w14:paraId="511A2C34"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67 (11.1%)</w:t>
            </w:r>
          </w:p>
        </w:tc>
      </w:tr>
      <w:tr w:rsidR="00901ED8" w:rsidRPr="00901ED8" w14:paraId="57B52B4C" w14:textId="77777777" w:rsidTr="00901ED8">
        <w:tc>
          <w:tcPr>
            <w:tcW w:w="749" w:type="pct"/>
            <w:vMerge/>
          </w:tcPr>
          <w:p w14:paraId="57846689" w14:textId="77777777" w:rsidR="00C62E4F" w:rsidRPr="00901ED8" w:rsidRDefault="00C62E4F" w:rsidP="00901ED8">
            <w:pPr>
              <w:rPr>
                <w:rFonts w:ascii="Times New Roman" w:hAnsi="Times New Roman" w:cs="Times New Roman"/>
                <w:sz w:val="24"/>
                <w:szCs w:val="24"/>
              </w:rPr>
            </w:pPr>
          </w:p>
        </w:tc>
        <w:tc>
          <w:tcPr>
            <w:tcW w:w="1402" w:type="pct"/>
            <w:hideMark/>
          </w:tcPr>
          <w:p w14:paraId="0D5E686B"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Very/somewhat/slightly right</w:t>
            </w:r>
          </w:p>
        </w:tc>
        <w:tc>
          <w:tcPr>
            <w:tcW w:w="899" w:type="pct"/>
            <w:hideMark/>
          </w:tcPr>
          <w:p w14:paraId="79D891C1"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236 (40.1%)</w:t>
            </w:r>
          </w:p>
        </w:tc>
        <w:tc>
          <w:tcPr>
            <w:tcW w:w="900" w:type="pct"/>
            <w:hideMark/>
          </w:tcPr>
          <w:p w14:paraId="045CA4D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180 (30.7%)</w:t>
            </w:r>
          </w:p>
        </w:tc>
        <w:tc>
          <w:tcPr>
            <w:tcW w:w="1050" w:type="pct"/>
            <w:hideMark/>
          </w:tcPr>
          <w:p w14:paraId="6E874D80" w14:textId="1C1D044C"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199 (32.9%)</w:t>
            </w:r>
          </w:p>
        </w:tc>
      </w:tr>
      <w:tr w:rsidR="00901ED8" w:rsidRPr="00901ED8" w14:paraId="59947325" w14:textId="77777777" w:rsidTr="00901ED8">
        <w:tc>
          <w:tcPr>
            <w:tcW w:w="749" w:type="pct"/>
            <w:vMerge w:val="restart"/>
          </w:tcPr>
          <w:p w14:paraId="5C4AEFEE"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General election 2019 vote</w:t>
            </w:r>
          </w:p>
        </w:tc>
        <w:tc>
          <w:tcPr>
            <w:tcW w:w="1402" w:type="pct"/>
            <w:hideMark/>
          </w:tcPr>
          <w:p w14:paraId="41E357D3" w14:textId="25AFA0CE"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I</w:t>
            </w:r>
            <w:r w:rsidR="00901ED8">
              <w:rPr>
                <w:rFonts w:ascii="Times New Roman" w:hAnsi="Times New Roman" w:cs="Times New Roman"/>
                <w:sz w:val="24"/>
                <w:szCs w:val="24"/>
              </w:rPr>
              <w:t>nel</w:t>
            </w:r>
            <w:r w:rsidRPr="00901ED8">
              <w:rPr>
                <w:rFonts w:ascii="Times New Roman" w:hAnsi="Times New Roman" w:cs="Times New Roman"/>
                <w:sz w:val="24"/>
                <w:szCs w:val="24"/>
              </w:rPr>
              <w:t>igible to vote</w:t>
            </w:r>
          </w:p>
        </w:tc>
        <w:tc>
          <w:tcPr>
            <w:tcW w:w="899" w:type="pct"/>
            <w:hideMark/>
          </w:tcPr>
          <w:p w14:paraId="49AD15B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12 (2.0%)</w:t>
            </w:r>
          </w:p>
        </w:tc>
        <w:tc>
          <w:tcPr>
            <w:tcW w:w="900" w:type="pct"/>
            <w:hideMark/>
          </w:tcPr>
          <w:p w14:paraId="1027D69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29 (4.9%)</w:t>
            </w:r>
          </w:p>
        </w:tc>
        <w:tc>
          <w:tcPr>
            <w:tcW w:w="1050" w:type="pct"/>
            <w:hideMark/>
          </w:tcPr>
          <w:p w14:paraId="635F4986"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24 (4.0%)</w:t>
            </w:r>
          </w:p>
        </w:tc>
      </w:tr>
      <w:tr w:rsidR="00901ED8" w:rsidRPr="00901ED8" w14:paraId="21E55F34" w14:textId="77777777" w:rsidTr="00901ED8">
        <w:tc>
          <w:tcPr>
            <w:tcW w:w="749" w:type="pct"/>
            <w:vMerge/>
          </w:tcPr>
          <w:p w14:paraId="2F1227A3" w14:textId="77777777" w:rsidR="00C62E4F" w:rsidRPr="00901ED8" w:rsidRDefault="00C62E4F" w:rsidP="00901ED8">
            <w:pPr>
              <w:rPr>
                <w:rFonts w:ascii="Times New Roman" w:hAnsi="Times New Roman" w:cs="Times New Roman"/>
                <w:sz w:val="24"/>
                <w:szCs w:val="24"/>
              </w:rPr>
            </w:pPr>
          </w:p>
        </w:tc>
        <w:tc>
          <w:tcPr>
            <w:tcW w:w="1402" w:type="pct"/>
            <w:hideMark/>
          </w:tcPr>
          <w:p w14:paraId="66875FD8" w14:textId="39EEC2E6" w:rsidR="00C62E4F" w:rsidRPr="00901ED8" w:rsidRDefault="00901ED8" w:rsidP="00901ED8">
            <w:pPr>
              <w:rPr>
                <w:rFonts w:ascii="Times New Roman" w:hAnsi="Times New Roman" w:cs="Times New Roman"/>
                <w:b/>
                <w:bCs/>
                <w:sz w:val="24"/>
                <w:szCs w:val="24"/>
              </w:rPr>
            </w:pPr>
            <w:r>
              <w:rPr>
                <w:rFonts w:ascii="Times New Roman" w:hAnsi="Times New Roman" w:cs="Times New Roman"/>
                <w:sz w:val="24"/>
                <w:szCs w:val="24"/>
              </w:rPr>
              <w:t>E</w:t>
            </w:r>
            <w:r w:rsidR="00C62E4F" w:rsidRPr="00901ED8">
              <w:rPr>
                <w:rFonts w:ascii="Times New Roman" w:hAnsi="Times New Roman" w:cs="Times New Roman"/>
                <w:sz w:val="24"/>
                <w:szCs w:val="24"/>
              </w:rPr>
              <w:t>ligible to vote but did not vote</w:t>
            </w:r>
          </w:p>
        </w:tc>
        <w:tc>
          <w:tcPr>
            <w:tcW w:w="899" w:type="pct"/>
            <w:hideMark/>
          </w:tcPr>
          <w:p w14:paraId="7274D42E"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57 (9.7%)</w:t>
            </w:r>
          </w:p>
        </w:tc>
        <w:tc>
          <w:tcPr>
            <w:tcW w:w="900" w:type="pct"/>
            <w:hideMark/>
          </w:tcPr>
          <w:p w14:paraId="06FCEC7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48 (8.2%)</w:t>
            </w:r>
          </w:p>
        </w:tc>
        <w:tc>
          <w:tcPr>
            <w:tcW w:w="1050" w:type="pct"/>
            <w:hideMark/>
          </w:tcPr>
          <w:p w14:paraId="300744C1"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88 (14.5%)</w:t>
            </w:r>
          </w:p>
        </w:tc>
      </w:tr>
      <w:tr w:rsidR="00901ED8" w:rsidRPr="00901ED8" w14:paraId="16263A03" w14:textId="77777777" w:rsidTr="00901ED8">
        <w:tc>
          <w:tcPr>
            <w:tcW w:w="749" w:type="pct"/>
            <w:vMerge/>
          </w:tcPr>
          <w:p w14:paraId="7782257B" w14:textId="77777777" w:rsidR="00C62E4F" w:rsidRPr="00901ED8" w:rsidRDefault="00C62E4F" w:rsidP="00901ED8">
            <w:pPr>
              <w:rPr>
                <w:rFonts w:ascii="Times New Roman" w:hAnsi="Times New Roman" w:cs="Times New Roman"/>
                <w:sz w:val="24"/>
                <w:szCs w:val="24"/>
              </w:rPr>
            </w:pPr>
          </w:p>
        </w:tc>
        <w:tc>
          <w:tcPr>
            <w:tcW w:w="1402" w:type="pct"/>
            <w:hideMark/>
          </w:tcPr>
          <w:p w14:paraId="56E4C67C"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Alliance Party of Northern Ireland</w:t>
            </w:r>
          </w:p>
        </w:tc>
        <w:tc>
          <w:tcPr>
            <w:tcW w:w="899" w:type="pct"/>
            <w:hideMark/>
          </w:tcPr>
          <w:p w14:paraId="219F64FB"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 (0.2%)</w:t>
            </w:r>
          </w:p>
        </w:tc>
        <w:tc>
          <w:tcPr>
            <w:tcW w:w="900" w:type="pct"/>
            <w:hideMark/>
          </w:tcPr>
          <w:p w14:paraId="7AF1B42B"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1050" w:type="pct"/>
            <w:hideMark/>
          </w:tcPr>
          <w:p w14:paraId="2599BE4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100 (16.5%)</w:t>
            </w:r>
          </w:p>
        </w:tc>
      </w:tr>
      <w:tr w:rsidR="00901ED8" w:rsidRPr="00901ED8" w14:paraId="06E57B05" w14:textId="77777777" w:rsidTr="00901ED8">
        <w:tc>
          <w:tcPr>
            <w:tcW w:w="749" w:type="pct"/>
            <w:vMerge/>
          </w:tcPr>
          <w:p w14:paraId="538C34BE" w14:textId="77777777" w:rsidR="00C62E4F" w:rsidRPr="00901ED8" w:rsidRDefault="00C62E4F" w:rsidP="00901ED8">
            <w:pPr>
              <w:rPr>
                <w:rFonts w:ascii="Times New Roman" w:hAnsi="Times New Roman" w:cs="Times New Roman"/>
                <w:sz w:val="24"/>
                <w:szCs w:val="24"/>
              </w:rPr>
            </w:pPr>
          </w:p>
        </w:tc>
        <w:tc>
          <w:tcPr>
            <w:tcW w:w="1402" w:type="pct"/>
            <w:hideMark/>
          </w:tcPr>
          <w:p w14:paraId="44D04AF1"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BREXIT Party</w:t>
            </w:r>
          </w:p>
        </w:tc>
        <w:tc>
          <w:tcPr>
            <w:tcW w:w="899" w:type="pct"/>
            <w:hideMark/>
          </w:tcPr>
          <w:p w14:paraId="05D7EB4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22 (3.7%)</w:t>
            </w:r>
          </w:p>
        </w:tc>
        <w:tc>
          <w:tcPr>
            <w:tcW w:w="900" w:type="pct"/>
            <w:hideMark/>
          </w:tcPr>
          <w:p w14:paraId="476AA41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10 (1.7%)</w:t>
            </w:r>
          </w:p>
        </w:tc>
        <w:tc>
          <w:tcPr>
            <w:tcW w:w="1050" w:type="pct"/>
            <w:hideMark/>
          </w:tcPr>
          <w:p w14:paraId="6125EC4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 (0.8%)</w:t>
            </w:r>
          </w:p>
        </w:tc>
      </w:tr>
      <w:tr w:rsidR="00901ED8" w:rsidRPr="00901ED8" w14:paraId="5216C020" w14:textId="77777777" w:rsidTr="00901ED8">
        <w:tc>
          <w:tcPr>
            <w:tcW w:w="749" w:type="pct"/>
            <w:vMerge/>
          </w:tcPr>
          <w:p w14:paraId="2CAD1688" w14:textId="77777777" w:rsidR="00C62E4F" w:rsidRPr="00901ED8" w:rsidRDefault="00C62E4F" w:rsidP="00901ED8">
            <w:pPr>
              <w:rPr>
                <w:rFonts w:ascii="Times New Roman" w:hAnsi="Times New Roman" w:cs="Times New Roman"/>
                <w:sz w:val="24"/>
                <w:szCs w:val="24"/>
              </w:rPr>
            </w:pPr>
          </w:p>
        </w:tc>
        <w:tc>
          <w:tcPr>
            <w:tcW w:w="1402" w:type="pct"/>
            <w:hideMark/>
          </w:tcPr>
          <w:p w14:paraId="07461D3A"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Conservative and Unionist Party</w:t>
            </w:r>
          </w:p>
        </w:tc>
        <w:tc>
          <w:tcPr>
            <w:tcW w:w="899" w:type="pct"/>
            <w:hideMark/>
          </w:tcPr>
          <w:p w14:paraId="27DBE7EE"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205 (34.9%)</w:t>
            </w:r>
          </w:p>
        </w:tc>
        <w:tc>
          <w:tcPr>
            <w:tcW w:w="900" w:type="pct"/>
            <w:hideMark/>
          </w:tcPr>
          <w:p w14:paraId="3A5D4F3B"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130 (22.2%)</w:t>
            </w:r>
          </w:p>
        </w:tc>
        <w:tc>
          <w:tcPr>
            <w:tcW w:w="1050" w:type="pct"/>
            <w:hideMark/>
          </w:tcPr>
          <w:p w14:paraId="28B565F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20 (3.3%)</w:t>
            </w:r>
          </w:p>
        </w:tc>
      </w:tr>
      <w:tr w:rsidR="00901ED8" w:rsidRPr="00901ED8" w14:paraId="422B8A61" w14:textId="77777777" w:rsidTr="00901ED8">
        <w:tc>
          <w:tcPr>
            <w:tcW w:w="749" w:type="pct"/>
            <w:vMerge/>
          </w:tcPr>
          <w:p w14:paraId="4DD57952" w14:textId="77777777" w:rsidR="00C62E4F" w:rsidRPr="00901ED8" w:rsidRDefault="00C62E4F" w:rsidP="00901ED8">
            <w:pPr>
              <w:rPr>
                <w:rFonts w:ascii="Times New Roman" w:hAnsi="Times New Roman" w:cs="Times New Roman"/>
                <w:sz w:val="24"/>
                <w:szCs w:val="24"/>
              </w:rPr>
            </w:pPr>
          </w:p>
        </w:tc>
        <w:tc>
          <w:tcPr>
            <w:tcW w:w="1402" w:type="pct"/>
            <w:hideMark/>
          </w:tcPr>
          <w:p w14:paraId="119C15A2"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Democratic Unionist Party</w:t>
            </w:r>
          </w:p>
        </w:tc>
        <w:tc>
          <w:tcPr>
            <w:tcW w:w="899" w:type="pct"/>
            <w:hideMark/>
          </w:tcPr>
          <w:p w14:paraId="2BF6AF56"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 (0.2%)</w:t>
            </w:r>
          </w:p>
        </w:tc>
        <w:tc>
          <w:tcPr>
            <w:tcW w:w="900" w:type="pct"/>
            <w:hideMark/>
          </w:tcPr>
          <w:p w14:paraId="31B134A9"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 (0.1%)</w:t>
            </w:r>
          </w:p>
        </w:tc>
        <w:tc>
          <w:tcPr>
            <w:tcW w:w="1050" w:type="pct"/>
            <w:hideMark/>
          </w:tcPr>
          <w:p w14:paraId="763DF6A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121 (20.0%)</w:t>
            </w:r>
          </w:p>
        </w:tc>
      </w:tr>
      <w:tr w:rsidR="00901ED8" w:rsidRPr="00901ED8" w14:paraId="2002929C" w14:textId="77777777" w:rsidTr="00901ED8">
        <w:tc>
          <w:tcPr>
            <w:tcW w:w="749" w:type="pct"/>
            <w:vMerge/>
          </w:tcPr>
          <w:p w14:paraId="1B6889E0" w14:textId="77777777" w:rsidR="00C62E4F" w:rsidRPr="00901ED8" w:rsidRDefault="00C62E4F" w:rsidP="00901ED8">
            <w:pPr>
              <w:rPr>
                <w:rFonts w:ascii="Times New Roman" w:hAnsi="Times New Roman" w:cs="Times New Roman"/>
                <w:sz w:val="24"/>
                <w:szCs w:val="24"/>
              </w:rPr>
            </w:pPr>
          </w:p>
        </w:tc>
        <w:tc>
          <w:tcPr>
            <w:tcW w:w="1402" w:type="pct"/>
            <w:hideMark/>
          </w:tcPr>
          <w:p w14:paraId="147E19AA"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Green Party</w:t>
            </w:r>
          </w:p>
        </w:tc>
        <w:tc>
          <w:tcPr>
            <w:tcW w:w="899" w:type="pct"/>
            <w:hideMark/>
          </w:tcPr>
          <w:p w14:paraId="44AB4694"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11 (1.9%)</w:t>
            </w:r>
          </w:p>
        </w:tc>
        <w:tc>
          <w:tcPr>
            <w:tcW w:w="900" w:type="pct"/>
            <w:hideMark/>
          </w:tcPr>
          <w:p w14:paraId="79BF81F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14 (2.4%)</w:t>
            </w:r>
          </w:p>
        </w:tc>
        <w:tc>
          <w:tcPr>
            <w:tcW w:w="1050" w:type="pct"/>
            <w:hideMark/>
          </w:tcPr>
          <w:p w14:paraId="42E9D7A4"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23 (3.8%)</w:t>
            </w:r>
          </w:p>
        </w:tc>
      </w:tr>
      <w:tr w:rsidR="00901ED8" w:rsidRPr="00901ED8" w14:paraId="61865FB3" w14:textId="77777777" w:rsidTr="00901ED8">
        <w:tc>
          <w:tcPr>
            <w:tcW w:w="749" w:type="pct"/>
            <w:vMerge/>
          </w:tcPr>
          <w:p w14:paraId="1DBF30F5" w14:textId="77777777" w:rsidR="00C62E4F" w:rsidRPr="00901ED8" w:rsidRDefault="00C62E4F" w:rsidP="00901ED8">
            <w:pPr>
              <w:rPr>
                <w:rFonts w:ascii="Times New Roman" w:hAnsi="Times New Roman" w:cs="Times New Roman"/>
                <w:sz w:val="24"/>
                <w:szCs w:val="24"/>
              </w:rPr>
            </w:pPr>
          </w:p>
        </w:tc>
        <w:tc>
          <w:tcPr>
            <w:tcW w:w="1402" w:type="pct"/>
            <w:hideMark/>
          </w:tcPr>
          <w:p w14:paraId="4AC5E904"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Labour Party</w:t>
            </w:r>
          </w:p>
        </w:tc>
        <w:tc>
          <w:tcPr>
            <w:tcW w:w="899" w:type="pct"/>
            <w:hideMark/>
          </w:tcPr>
          <w:p w14:paraId="25891945"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186 (31.6%)</w:t>
            </w:r>
          </w:p>
        </w:tc>
        <w:tc>
          <w:tcPr>
            <w:tcW w:w="900" w:type="pct"/>
            <w:hideMark/>
          </w:tcPr>
          <w:p w14:paraId="179B253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84 (14.3%)</w:t>
            </w:r>
          </w:p>
        </w:tc>
        <w:tc>
          <w:tcPr>
            <w:tcW w:w="1050" w:type="pct"/>
            <w:hideMark/>
          </w:tcPr>
          <w:p w14:paraId="35F05F5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11 (1.8%)</w:t>
            </w:r>
          </w:p>
        </w:tc>
      </w:tr>
      <w:tr w:rsidR="00901ED8" w:rsidRPr="00901ED8" w14:paraId="346A6BAE" w14:textId="77777777" w:rsidTr="00901ED8">
        <w:tc>
          <w:tcPr>
            <w:tcW w:w="749" w:type="pct"/>
            <w:vMerge/>
          </w:tcPr>
          <w:p w14:paraId="7B1240B9" w14:textId="77777777" w:rsidR="00C62E4F" w:rsidRPr="00901ED8" w:rsidRDefault="00C62E4F" w:rsidP="00901ED8">
            <w:pPr>
              <w:rPr>
                <w:rFonts w:ascii="Times New Roman" w:hAnsi="Times New Roman" w:cs="Times New Roman"/>
                <w:sz w:val="24"/>
                <w:szCs w:val="24"/>
              </w:rPr>
            </w:pPr>
          </w:p>
        </w:tc>
        <w:tc>
          <w:tcPr>
            <w:tcW w:w="1402" w:type="pct"/>
            <w:hideMark/>
          </w:tcPr>
          <w:p w14:paraId="0649EC3A"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Plaid Cymru</w:t>
            </w:r>
          </w:p>
        </w:tc>
        <w:tc>
          <w:tcPr>
            <w:tcW w:w="899" w:type="pct"/>
            <w:hideMark/>
          </w:tcPr>
          <w:p w14:paraId="5CF819A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65 (11.1%)</w:t>
            </w:r>
          </w:p>
        </w:tc>
        <w:tc>
          <w:tcPr>
            <w:tcW w:w="900" w:type="pct"/>
            <w:hideMark/>
          </w:tcPr>
          <w:p w14:paraId="34FCF86E"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1050" w:type="pct"/>
            <w:hideMark/>
          </w:tcPr>
          <w:p w14:paraId="67D368D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r>
      <w:tr w:rsidR="00901ED8" w:rsidRPr="00901ED8" w14:paraId="05387DB5" w14:textId="77777777" w:rsidTr="00901ED8">
        <w:tc>
          <w:tcPr>
            <w:tcW w:w="749" w:type="pct"/>
            <w:vMerge/>
          </w:tcPr>
          <w:p w14:paraId="71B1CF0B" w14:textId="77777777" w:rsidR="00C62E4F" w:rsidRPr="00901ED8" w:rsidRDefault="00C62E4F" w:rsidP="00901ED8">
            <w:pPr>
              <w:rPr>
                <w:rFonts w:ascii="Times New Roman" w:hAnsi="Times New Roman" w:cs="Times New Roman"/>
                <w:sz w:val="24"/>
                <w:szCs w:val="24"/>
              </w:rPr>
            </w:pPr>
          </w:p>
        </w:tc>
        <w:tc>
          <w:tcPr>
            <w:tcW w:w="1402" w:type="pct"/>
            <w:hideMark/>
          </w:tcPr>
          <w:p w14:paraId="4D60DB39"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 xml:space="preserve">Scottish National Party </w:t>
            </w:r>
          </w:p>
        </w:tc>
        <w:tc>
          <w:tcPr>
            <w:tcW w:w="899" w:type="pct"/>
            <w:hideMark/>
          </w:tcPr>
          <w:p w14:paraId="17C6E7D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900" w:type="pct"/>
            <w:hideMark/>
          </w:tcPr>
          <w:p w14:paraId="44B9A7B5"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214 (36.5%)</w:t>
            </w:r>
          </w:p>
        </w:tc>
        <w:tc>
          <w:tcPr>
            <w:tcW w:w="1050" w:type="pct"/>
            <w:hideMark/>
          </w:tcPr>
          <w:p w14:paraId="21639ADB"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 (0.2%)</w:t>
            </w:r>
          </w:p>
        </w:tc>
      </w:tr>
      <w:tr w:rsidR="00901ED8" w:rsidRPr="00901ED8" w14:paraId="4B382FC3" w14:textId="77777777" w:rsidTr="00901ED8">
        <w:tc>
          <w:tcPr>
            <w:tcW w:w="749" w:type="pct"/>
            <w:vMerge/>
          </w:tcPr>
          <w:p w14:paraId="633B3A6E" w14:textId="77777777" w:rsidR="00C62E4F" w:rsidRPr="00901ED8" w:rsidRDefault="00C62E4F" w:rsidP="00901ED8">
            <w:pPr>
              <w:rPr>
                <w:rFonts w:ascii="Times New Roman" w:hAnsi="Times New Roman" w:cs="Times New Roman"/>
                <w:sz w:val="24"/>
                <w:szCs w:val="24"/>
              </w:rPr>
            </w:pPr>
          </w:p>
        </w:tc>
        <w:tc>
          <w:tcPr>
            <w:tcW w:w="1402" w:type="pct"/>
            <w:hideMark/>
          </w:tcPr>
          <w:p w14:paraId="723D7835"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 xml:space="preserve">Sinn Féin </w:t>
            </w:r>
          </w:p>
        </w:tc>
        <w:tc>
          <w:tcPr>
            <w:tcW w:w="899" w:type="pct"/>
            <w:hideMark/>
          </w:tcPr>
          <w:p w14:paraId="3B3978D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900" w:type="pct"/>
            <w:hideMark/>
          </w:tcPr>
          <w:p w14:paraId="26DCFBF6"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1050" w:type="pct"/>
            <w:hideMark/>
          </w:tcPr>
          <w:p w14:paraId="06BAE6E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65 (10.7%)</w:t>
            </w:r>
          </w:p>
        </w:tc>
      </w:tr>
      <w:tr w:rsidR="00901ED8" w:rsidRPr="00901ED8" w14:paraId="4F5C7F10" w14:textId="77777777" w:rsidTr="00901ED8">
        <w:tc>
          <w:tcPr>
            <w:tcW w:w="749" w:type="pct"/>
            <w:vMerge/>
          </w:tcPr>
          <w:p w14:paraId="458D2681" w14:textId="77777777" w:rsidR="00C62E4F" w:rsidRPr="00901ED8" w:rsidRDefault="00C62E4F" w:rsidP="00901ED8">
            <w:pPr>
              <w:rPr>
                <w:rFonts w:ascii="Times New Roman" w:hAnsi="Times New Roman" w:cs="Times New Roman"/>
                <w:sz w:val="24"/>
                <w:szCs w:val="24"/>
              </w:rPr>
            </w:pPr>
          </w:p>
        </w:tc>
        <w:tc>
          <w:tcPr>
            <w:tcW w:w="1402" w:type="pct"/>
            <w:hideMark/>
          </w:tcPr>
          <w:p w14:paraId="530AF476"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 xml:space="preserve">Social Democratic and Labour Party </w:t>
            </w:r>
          </w:p>
        </w:tc>
        <w:tc>
          <w:tcPr>
            <w:tcW w:w="899" w:type="pct"/>
            <w:hideMark/>
          </w:tcPr>
          <w:p w14:paraId="66512549"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900" w:type="pct"/>
            <w:hideMark/>
          </w:tcPr>
          <w:p w14:paraId="52105A3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9 (1.5%)</w:t>
            </w:r>
          </w:p>
        </w:tc>
        <w:tc>
          <w:tcPr>
            <w:tcW w:w="1050" w:type="pct"/>
            <w:hideMark/>
          </w:tcPr>
          <w:p w14:paraId="586254C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53 (8.8%)</w:t>
            </w:r>
          </w:p>
        </w:tc>
      </w:tr>
      <w:tr w:rsidR="00901ED8" w:rsidRPr="00901ED8" w14:paraId="38D66DDC" w14:textId="77777777" w:rsidTr="00901ED8">
        <w:tc>
          <w:tcPr>
            <w:tcW w:w="749" w:type="pct"/>
            <w:vMerge/>
          </w:tcPr>
          <w:p w14:paraId="2A8357F0" w14:textId="77777777" w:rsidR="00C62E4F" w:rsidRPr="00901ED8" w:rsidRDefault="00C62E4F" w:rsidP="00901ED8">
            <w:pPr>
              <w:rPr>
                <w:rFonts w:ascii="Times New Roman" w:hAnsi="Times New Roman" w:cs="Times New Roman"/>
                <w:sz w:val="24"/>
                <w:szCs w:val="24"/>
              </w:rPr>
            </w:pPr>
          </w:p>
        </w:tc>
        <w:tc>
          <w:tcPr>
            <w:tcW w:w="1402" w:type="pct"/>
            <w:hideMark/>
          </w:tcPr>
          <w:p w14:paraId="0BD164D6"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 xml:space="preserve">UKIP </w:t>
            </w:r>
          </w:p>
        </w:tc>
        <w:tc>
          <w:tcPr>
            <w:tcW w:w="899" w:type="pct"/>
            <w:hideMark/>
          </w:tcPr>
          <w:p w14:paraId="7B1626A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900" w:type="pct"/>
            <w:hideMark/>
          </w:tcPr>
          <w:p w14:paraId="1BD4D3DE"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 (0.2%)</w:t>
            </w:r>
          </w:p>
        </w:tc>
        <w:tc>
          <w:tcPr>
            <w:tcW w:w="1050" w:type="pct"/>
            <w:hideMark/>
          </w:tcPr>
          <w:p w14:paraId="4ED0BC58"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r>
      <w:tr w:rsidR="00901ED8" w:rsidRPr="00901ED8" w14:paraId="3C098B0B" w14:textId="77777777" w:rsidTr="00901ED8">
        <w:tc>
          <w:tcPr>
            <w:tcW w:w="749" w:type="pct"/>
            <w:vMerge/>
          </w:tcPr>
          <w:p w14:paraId="15416E5C" w14:textId="77777777" w:rsidR="00C62E4F" w:rsidRPr="00901ED8" w:rsidRDefault="00C62E4F" w:rsidP="00901ED8">
            <w:pPr>
              <w:rPr>
                <w:rFonts w:ascii="Times New Roman" w:hAnsi="Times New Roman" w:cs="Times New Roman"/>
                <w:sz w:val="24"/>
                <w:szCs w:val="24"/>
              </w:rPr>
            </w:pPr>
          </w:p>
        </w:tc>
        <w:tc>
          <w:tcPr>
            <w:tcW w:w="1402" w:type="pct"/>
            <w:hideMark/>
          </w:tcPr>
          <w:p w14:paraId="0A33864F"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 xml:space="preserve">Ulster Unionist Party </w:t>
            </w:r>
          </w:p>
        </w:tc>
        <w:tc>
          <w:tcPr>
            <w:tcW w:w="899" w:type="pct"/>
            <w:hideMark/>
          </w:tcPr>
          <w:p w14:paraId="75B431B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900" w:type="pct"/>
            <w:hideMark/>
          </w:tcPr>
          <w:p w14:paraId="1CE4B325"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 (0.2%)</w:t>
            </w:r>
          </w:p>
        </w:tc>
        <w:tc>
          <w:tcPr>
            <w:tcW w:w="1050" w:type="pct"/>
            <w:hideMark/>
          </w:tcPr>
          <w:p w14:paraId="0CB94E9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64 (10.6%)</w:t>
            </w:r>
          </w:p>
        </w:tc>
      </w:tr>
      <w:tr w:rsidR="00901ED8" w:rsidRPr="00901ED8" w14:paraId="1B9733A8" w14:textId="77777777" w:rsidTr="00901ED8">
        <w:tc>
          <w:tcPr>
            <w:tcW w:w="749" w:type="pct"/>
            <w:vMerge/>
          </w:tcPr>
          <w:p w14:paraId="5527ECB4" w14:textId="77777777" w:rsidR="00C62E4F" w:rsidRPr="00901ED8" w:rsidRDefault="00C62E4F" w:rsidP="00901ED8">
            <w:pPr>
              <w:rPr>
                <w:rFonts w:ascii="Times New Roman" w:hAnsi="Times New Roman" w:cs="Times New Roman"/>
                <w:sz w:val="24"/>
                <w:szCs w:val="24"/>
              </w:rPr>
            </w:pPr>
          </w:p>
        </w:tc>
        <w:tc>
          <w:tcPr>
            <w:tcW w:w="1402" w:type="pct"/>
            <w:hideMark/>
          </w:tcPr>
          <w:p w14:paraId="77B088B5" w14:textId="77777777" w:rsidR="00C62E4F" w:rsidRPr="00901ED8" w:rsidRDefault="00C62E4F" w:rsidP="00901ED8">
            <w:pPr>
              <w:rPr>
                <w:rFonts w:ascii="Times New Roman" w:hAnsi="Times New Roman" w:cs="Times New Roman"/>
                <w:b/>
                <w:bCs/>
                <w:sz w:val="24"/>
                <w:szCs w:val="24"/>
              </w:rPr>
            </w:pPr>
            <w:r w:rsidRPr="00901ED8">
              <w:rPr>
                <w:rFonts w:ascii="Times New Roman" w:hAnsi="Times New Roman" w:cs="Times New Roman"/>
                <w:sz w:val="24"/>
                <w:szCs w:val="24"/>
              </w:rPr>
              <w:t>Other</w:t>
            </w:r>
          </w:p>
        </w:tc>
        <w:tc>
          <w:tcPr>
            <w:tcW w:w="899" w:type="pct"/>
            <w:hideMark/>
          </w:tcPr>
          <w:p w14:paraId="4A79875B"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28 (4.8%)</w:t>
            </w:r>
          </w:p>
        </w:tc>
        <w:tc>
          <w:tcPr>
            <w:tcW w:w="900" w:type="pct"/>
            <w:hideMark/>
          </w:tcPr>
          <w:p w14:paraId="334A94C9"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45 (7.7%)</w:t>
            </w:r>
          </w:p>
        </w:tc>
        <w:tc>
          <w:tcPr>
            <w:tcW w:w="1050" w:type="pct"/>
            <w:hideMark/>
          </w:tcPr>
          <w:p w14:paraId="4F3ABDFB"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30 (5.0%)</w:t>
            </w:r>
          </w:p>
        </w:tc>
      </w:tr>
      <w:tr w:rsidR="00901ED8" w:rsidRPr="00901ED8" w14:paraId="668464F3" w14:textId="77777777" w:rsidTr="00901ED8">
        <w:tc>
          <w:tcPr>
            <w:tcW w:w="749" w:type="pct"/>
            <w:vMerge w:val="restart"/>
          </w:tcPr>
          <w:p w14:paraId="12A575F9"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Political party most identify with</w:t>
            </w:r>
          </w:p>
        </w:tc>
        <w:tc>
          <w:tcPr>
            <w:tcW w:w="1402" w:type="pct"/>
            <w:hideMark/>
          </w:tcPr>
          <w:p w14:paraId="70AB7EF0"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Alliance Party of Northern Ireland</w:t>
            </w:r>
          </w:p>
        </w:tc>
        <w:tc>
          <w:tcPr>
            <w:tcW w:w="899" w:type="pct"/>
            <w:hideMark/>
          </w:tcPr>
          <w:p w14:paraId="7E31A0D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 (0.2%)</w:t>
            </w:r>
          </w:p>
        </w:tc>
        <w:tc>
          <w:tcPr>
            <w:tcW w:w="900" w:type="pct"/>
            <w:hideMark/>
          </w:tcPr>
          <w:p w14:paraId="50F4486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1050" w:type="pct"/>
            <w:hideMark/>
          </w:tcPr>
          <w:p w14:paraId="468B3BD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92 (15.2%)</w:t>
            </w:r>
          </w:p>
        </w:tc>
      </w:tr>
      <w:tr w:rsidR="00901ED8" w:rsidRPr="00901ED8" w14:paraId="19A0C0E7" w14:textId="77777777" w:rsidTr="00901ED8">
        <w:tc>
          <w:tcPr>
            <w:tcW w:w="749" w:type="pct"/>
            <w:vMerge/>
          </w:tcPr>
          <w:p w14:paraId="0021AC0D" w14:textId="77777777" w:rsidR="00C62E4F" w:rsidRPr="00901ED8" w:rsidRDefault="00C62E4F" w:rsidP="00901ED8">
            <w:pPr>
              <w:rPr>
                <w:rFonts w:ascii="Times New Roman" w:hAnsi="Times New Roman" w:cs="Times New Roman"/>
                <w:sz w:val="24"/>
                <w:szCs w:val="24"/>
              </w:rPr>
            </w:pPr>
          </w:p>
        </w:tc>
        <w:tc>
          <w:tcPr>
            <w:tcW w:w="1402" w:type="pct"/>
            <w:hideMark/>
          </w:tcPr>
          <w:p w14:paraId="26D2262C"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BREXIT Party</w:t>
            </w:r>
          </w:p>
        </w:tc>
        <w:tc>
          <w:tcPr>
            <w:tcW w:w="899" w:type="pct"/>
            <w:hideMark/>
          </w:tcPr>
          <w:p w14:paraId="670F2958"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17 (2.9%)</w:t>
            </w:r>
          </w:p>
        </w:tc>
        <w:tc>
          <w:tcPr>
            <w:tcW w:w="900" w:type="pct"/>
            <w:hideMark/>
          </w:tcPr>
          <w:p w14:paraId="4BB2088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8 (1.4%)</w:t>
            </w:r>
          </w:p>
        </w:tc>
        <w:tc>
          <w:tcPr>
            <w:tcW w:w="1050" w:type="pct"/>
            <w:hideMark/>
          </w:tcPr>
          <w:p w14:paraId="07FD4084"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 (1.0%)</w:t>
            </w:r>
          </w:p>
        </w:tc>
      </w:tr>
      <w:tr w:rsidR="00901ED8" w:rsidRPr="00901ED8" w14:paraId="65DF8143" w14:textId="77777777" w:rsidTr="00901ED8">
        <w:tc>
          <w:tcPr>
            <w:tcW w:w="749" w:type="pct"/>
            <w:vMerge/>
          </w:tcPr>
          <w:p w14:paraId="47151331" w14:textId="77777777" w:rsidR="00C62E4F" w:rsidRPr="00901ED8" w:rsidRDefault="00C62E4F" w:rsidP="00901ED8">
            <w:pPr>
              <w:rPr>
                <w:rFonts w:ascii="Times New Roman" w:hAnsi="Times New Roman" w:cs="Times New Roman"/>
                <w:sz w:val="24"/>
                <w:szCs w:val="24"/>
              </w:rPr>
            </w:pPr>
          </w:p>
        </w:tc>
        <w:tc>
          <w:tcPr>
            <w:tcW w:w="1402" w:type="pct"/>
            <w:hideMark/>
          </w:tcPr>
          <w:p w14:paraId="0E8E1E43"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Conservative and Unionist Party</w:t>
            </w:r>
          </w:p>
        </w:tc>
        <w:tc>
          <w:tcPr>
            <w:tcW w:w="899" w:type="pct"/>
            <w:hideMark/>
          </w:tcPr>
          <w:p w14:paraId="7D2BB38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170 (28.9%)</w:t>
            </w:r>
          </w:p>
        </w:tc>
        <w:tc>
          <w:tcPr>
            <w:tcW w:w="900" w:type="pct"/>
            <w:hideMark/>
          </w:tcPr>
          <w:p w14:paraId="1093FF71"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110 (18.8%)</w:t>
            </w:r>
          </w:p>
        </w:tc>
        <w:tc>
          <w:tcPr>
            <w:tcW w:w="1050" w:type="pct"/>
            <w:hideMark/>
          </w:tcPr>
          <w:p w14:paraId="18BB560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31 (5.1%)</w:t>
            </w:r>
          </w:p>
        </w:tc>
      </w:tr>
      <w:tr w:rsidR="00901ED8" w:rsidRPr="00901ED8" w14:paraId="0FBFE54F" w14:textId="77777777" w:rsidTr="00901ED8">
        <w:tc>
          <w:tcPr>
            <w:tcW w:w="749" w:type="pct"/>
            <w:vMerge/>
          </w:tcPr>
          <w:p w14:paraId="4A6ECED1" w14:textId="77777777" w:rsidR="00C62E4F" w:rsidRPr="00901ED8" w:rsidRDefault="00C62E4F" w:rsidP="00901ED8">
            <w:pPr>
              <w:rPr>
                <w:rFonts w:ascii="Times New Roman" w:hAnsi="Times New Roman" w:cs="Times New Roman"/>
                <w:sz w:val="24"/>
                <w:szCs w:val="24"/>
              </w:rPr>
            </w:pPr>
          </w:p>
        </w:tc>
        <w:tc>
          <w:tcPr>
            <w:tcW w:w="1402" w:type="pct"/>
            <w:hideMark/>
          </w:tcPr>
          <w:p w14:paraId="1800FBD9"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Democratic Unionist Party</w:t>
            </w:r>
          </w:p>
        </w:tc>
        <w:tc>
          <w:tcPr>
            <w:tcW w:w="899" w:type="pct"/>
            <w:hideMark/>
          </w:tcPr>
          <w:p w14:paraId="78CA781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 (0.3%)</w:t>
            </w:r>
          </w:p>
        </w:tc>
        <w:tc>
          <w:tcPr>
            <w:tcW w:w="900" w:type="pct"/>
            <w:hideMark/>
          </w:tcPr>
          <w:p w14:paraId="0A6DF668"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 (2.8%)</w:t>
            </w:r>
          </w:p>
        </w:tc>
        <w:tc>
          <w:tcPr>
            <w:tcW w:w="1050" w:type="pct"/>
            <w:hideMark/>
          </w:tcPr>
          <w:p w14:paraId="3792A48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101 (16.7%)</w:t>
            </w:r>
          </w:p>
        </w:tc>
      </w:tr>
      <w:tr w:rsidR="00901ED8" w:rsidRPr="00901ED8" w14:paraId="3DA75C7B" w14:textId="77777777" w:rsidTr="00901ED8">
        <w:tc>
          <w:tcPr>
            <w:tcW w:w="749" w:type="pct"/>
            <w:vMerge/>
          </w:tcPr>
          <w:p w14:paraId="4FCCB5A1" w14:textId="77777777" w:rsidR="00C62E4F" w:rsidRPr="00901ED8" w:rsidRDefault="00C62E4F" w:rsidP="00901ED8">
            <w:pPr>
              <w:rPr>
                <w:rFonts w:ascii="Times New Roman" w:hAnsi="Times New Roman" w:cs="Times New Roman"/>
                <w:sz w:val="24"/>
                <w:szCs w:val="24"/>
              </w:rPr>
            </w:pPr>
          </w:p>
        </w:tc>
        <w:tc>
          <w:tcPr>
            <w:tcW w:w="1402" w:type="pct"/>
            <w:hideMark/>
          </w:tcPr>
          <w:p w14:paraId="7B60C896"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Green Party</w:t>
            </w:r>
          </w:p>
        </w:tc>
        <w:tc>
          <w:tcPr>
            <w:tcW w:w="899" w:type="pct"/>
            <w:hideMark/>
          </w:tcPr>
          <w:p w14:paraId="4AFC204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27 (4.6%)</w:t>
            </w:r>
          </w:p>
        </w:tc>
        <w:tc>
          <w:tcPr>
            <w:tcW w:w="900" w:type="pct"/>
            <w:hideMark/>
          </w:tcPr>
          <w:p w14:paraId="456FDC8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25 (4.3%)</w:t>
            </w:r>
          </w:p>
        </w:tc>
        <w:tc>
          <w:tcPr>
            <w:tcW w:w="1050" w:type="pct"/>
            <w:hideMark/>
          </w:tcPr>
          <w:p w14:paraId="6F6CD80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27 (4.5%)</w:t>
            </w:r>
          </w:p>
        </w:tc>
      </w:tr>
      <w:tr w:rsidR="00901ED8" w:rsidRPr="00901ED8" w14:paraId="0A448F16" w14:textId="77777777" w:rsidTr="00901ED8">
        <w:tc>
          <w:tcPr>
            <w:tcW w:w="749" w:type="pct"/>
            <w:vMerge/>
          </w:tcPr>
          <w:p w14:paraId="5893A47D" w14:textId="77777777" w:rsidR="00C62E4F" w:rsidRPr="00901ED8" w:rsidRDefault="00C62E4F" w:rsidP="00901ED8">
            <w:pPr>
              <w:rPr>
                <w:rFonts w:ascii="Times New Roman" w:hAnsi="Times New Roman" w:cs="Times New Roman"/>
                <w:sz w:val="24"/>
                <w:szCs w:val="24"/>
              </w:rPr>
            </w:pPr>
          </w:p>
        </w:tc>
        <w:tc>
          <w:tcPr>
            <w:tcW w:w="1402" w:type="pct"/>
            <w:hideMark/>
          </w:tcPr>
          <w:p w14:paraId="331A2607"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Labour Party</w:t>
            </w:r>
          </w:p>
        </w:tc>
        <w:tc>
          <w:tcPr>
            <w:tcW w:w="899" w:type="pct"/>
            <w:hideMark/>
          </w:tcPr>
          <w:p w14:paraId="0D31B37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193 (32.8%)</w:t>
            </w:r>
          </w:p>
        </w:tc>
        <w:tc>
          <w:tcPr>
            <w:tcW w:w="900" w:type="pct"/>
            <w:hideMark/>
          </w:tcPr>
          <w:p w14:paraId="46BF66D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89 (15.2%)</w:t>
            </w:r>
          </w:p>
        </w:tc>
        <w:tc>
          <w:tcPr>
            <w:tcW w:w="1050" w:type="pct"/>
            <w:hideMark/>
          </w:tcPr>
          <w:p w14:paraId="37D8912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18 (3.0%)</w:t>
            </w:r>
          </w:p>
        </w:tc>
      </w:tr>
      <w:tr w:rsidR="00901ED8" w:rsidRPr="00901ED8" w14:paraId="0E56FF42" w14:textId="77777777" w:rsidTr="00901ED8">
        <w:tc>
          <w:tcPr>
            <w:tcW w:w="749" w:type="pct"/>
            <w:vMerge/>
          </w:tcPr>
          <w:p w14:paraId="0331E848" w14:textId="77777777" w:rsidR="00C62E4F" w:rsidRPr="00901ED8" w:rsidRDefault="00C62E4F" w:rsidP="00901ED8">
            <w:pPr>
              <w:rPr>
                <w:rFonts w:ascii="Times New Roman" w:hAnsi="Times New Roman" w:cs="Times New Roman"/>
                <w:sz w:val="24"/>
                <w:szCs w:val="24"/>
              </w:rPr>
            </w:pPr>
          </w:p>
        </w:tc>
        <w:tc>
          <w:tcPr>
            <w:tcW w:w="1402" w:type="pct"/>
            <w:hideMark/>
          </w:tcPr>
          <w:p w14:paraId="2CA8C8DB"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Plaid Cymru</w:t>
            </w:r>
          </w:p>
        </w:tc>
        <w:tc>
          <w:tcPr>
            <w:tcW w:w="899" w:type="pct"/>
            <w:hideMark/>
          </w:tcPr>
          <w:p w14:paraId="622E43F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69 (11.7%)</w:t>
            </w:r>
          </w:p>
        </w:tc>
        <w:tc>
          <w:tcPr>
            <w:tcW w:w="900" w:type="pct"/>
            <w:hideMark/>
          </w:tcPr>
          <w:p w14:paraId="23F2335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1050" w:type="pct"/>
            <w:hideMark/>
          </w:tcPr>
          <w:p w14:paraId="1DA998C8"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r>
      <w:tr w:rsidR="00901ED8" w:rsidRPr="00901ED8" w14:paraId="54ACA77A" w14:textId="77777777" w:rsidTr="00901ED8">
        <w:tc>
          <w:tcPr>
            <w:tcW w:w="749" w:type="pct"/>
            <w:vMerge/>
          </w:tcPr>
          <w:p w14:paraId="3A8B4F35" w14:textId="77777777" w:rsidR="00C62E4F" w:rsidRPr="00901ED8" w:rsidRDefault="00C62E4F" w:rsidP="00901ED8">
            <w:pPr>
              <w:rPr>
                <w:rFonts w:ascii="Times New Roman" w:hAnsi="Times New Roman" w:cs="Times New Roman"/>
                <w:sz w:val="24"/>
                <w:szCs w:val="24"/>
              </w:rPr>
            </w:pPr>
          </w:p>
        </w:tc>
        <w:tc>
          <w:tcPr>
            <w:tcW w:w="1402" w:type="pct"/>
            <w:hideMark/>
          </w:tcPr>
          <w:p w14:paraId="0D6A81FE"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 xml:space="preserve">Scottish National Party </w:t>
            </w:r>
          </w:p>
        </w:tc>
        <w:tc>
          <w:tcPr>
            <w:tcW w:w="899" w:type="pct"/>
            <w:hideMark/>
          </w:tcPr>
          <w:p w14:paraId="4A09A9A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900" w:type="pct"/>
            <w:hideMark/>
          </w:tcPr>
          <w:p w14:paraId="6FBEC808"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232 (39.6%)</w:t>
            </w:r>
          </w:p>
        </w:tc>
        <w:tc>
          <w:tcPr>
            <w:tcW w:w="1050" w:type="pct"/>
            <w:hideMark/>
          </w:tcPr>
          <w:p w14:paraId="050CBC9E"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 (0.8%)</w:t>
            </w:r>
          </w:p>
        </w:tc>
      </w:tr>
      <w:tr w:rsidR="00901ED8" w:rsidRPr="00901ED8" w14:paraId="72FC2F33" w14:textId="77777777" w:rsidTr="00901ED8">
        <w:tc>
          <w:tcPr>
            <w:tcW w:w="749" w:type="pct"/>
            <w:vMerge/>
          </w:tcPr>
          <w:p w14:paraId="7EA1E85B" w14:textId="77777777" w:rsidR="00C62E4F" w:rsidRPr="00901ED8" w:rsidRDefault="00C62E4F" w:rsidP="00901ED8">
            <w:pPr>
              <w:rPr>
                <w:rFonts w:ascii="Times New Roman" w:hAnsi="Times New Roman" w:cs="Times New Roman"/>
                <w:sz w:val="24"/>
                <w:szCs w:val="24"/>
              </w:rPr>
            </w:pPr>
          </w:p>
        </w:tc>
        <w:tc>
          <w:tcPr>
            <w:tcW w:w="1402" w:type="pct"/>
            <w:hideMark/>
          </w:tcPr>
          <w:p w14:paraId="245BE0A0"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 xml:space="preserve">Sinn Féin </w:t>
            </w:r>
          </w:p>
        </w:tc>
        <w:tc>
          <w:tcPr>
            <w:tcW w:w="899" w:type="pct"/>
            <w:hideMark/>
          </w:tcPr>
          <w:p w14:paraId="73C50D7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900" w:type="pct"/>
            <w:hideMark/>
          </w:tcPr>
          <w:p w14:paraId="69A1DEE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1050" w:type="pct"/>
            <w:hideMark/>
          </w:tcPr>
          <w:p w14:paraId="01F0190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57 (9.4%)</w:t>
            </w:r>
          </w:p>
        </w:tc>
      </w:tr>
      <w:tr w:rsidR="00901ED8" w:rsidRPr="00901ED8" w14:paraId="73B4F612" w14:textId="77777777" w:rsidTr="00901ED8">
        <w:tc>
          <w:tcPr>
            <w:tcW w:w="749" w:type="pct"/>
            <w:vMerge/>
          </w:tcPr>
          <w:p w14:paraId="4FABB0B0" w14:textId="77777777" w:rsidR="00C62E4F" w:rsidRPr="00901ED8" w:rsidRDefault="00C62E4F" w:rsidP="00901ED8">
            <w:pPr>
              <w:rPr>
                <w:rFonts w:ascii="Times New Roman" w:hAnsi="Times New Roman" w:cs="Times New Roman"/>
                <w:sz w:val="24"/>
                <w:szCs w:val="24"/>
              </w:rPr>
            </w:pPr>
          </w:p>
        </w:tc>
        <w:tc>
          <w:tcPr>
            <w:tcW w:w="1402" w:type="pct"/>
            <w:hideMark/>
          </w:tcPr>
          <w:p w14:paraId="08A635C5"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 xml:space="preserve">Social Democratic and Labour Party </w:t>
            </w:r>
          </w:p>
        </w:tc>
        <w:tc>
          <w:tcPr>
            <w:tcW w:w="899" w:type="pct"/>
            <w:hideMark/>
          </w:tcPr>
          <w:p w14:paraId="6B697445"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 (0.3%)</w:t>
            </w:r>
          </w:p>
        </w:tc>
        <w:tc>
          <w:tcPr>
            <w:tcW w:w="900" w:type="pct"/>
            <w:hideMark/>
          </w:tcPr>
          <w:p w14:paraId="479E73A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 (0.5%)</w:t>
            </w:r>
          </w:p>
        </w:tc>
        <w:tc>
          <w:tcPr>
            <w:tcW w:w="1050" w:type="pct"/>
            <w:hideMark/>
          </w:tcPr>
          <w:p w14:paraId="24C6A502"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52 (8.6%)</w:t>
            </w:r>
          </w:p>
        </w:tc>
      </w:tr>
      <w:tr w:rsidR="00901ED8" w:rsidRPr="00901ED8" w14:paraId="3831E2BE" w14:textId="77777777" w:rsidTr="00901ED8">
        <w:tc>
          <w:tcPr>
            <w:tcW w:w="749" w:type="pct"/>
            <w:vMerge/>
          </w:tcPr>
          <w:p w14:paraId="00510129" w14:textId="77777777" w:rsidR="00C62E4F" w:rsidRPr="00901ED8" w:rsidRDefault="00C62E4F" w:rsidP="00901ED8">
            <w:pPr>
              <w:rPr>
                <w:rFonts w:ascii="Times New Roman" w:hAnsi="Times New Roman" w:cs="Times New Roman"/>
                <w:sz w:val="24"/>
                <w:szCs w:val="24"/>
              </w:rPr>
            </w:pPr>
          </w:p>
        </w:tc>
        <w:tc>
          <w:tcPr>
            <w:tcW w:w="1402" w:type="pct"/>
            <w:hideMark/>
          </w:tcPr>
          <w:p w14:paraId="3EA635AC"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 xml:space="preserve">UK Independence Party (UKIP) </w:t>
            </w:r>
          </w:p>
        </w:tc>
        <w:tc>
          <w:tcPr>
            <w:tcW w:w="899" w:type="pct"/>
            <w:hideMark/>
          </w:tcPr>
          <w:p w14:paraId="0965CEAC"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 (0.5%)</w:t>
            </w:r>
          </w:p>
        </w:tc>
        <w:tc>
          <w:tcPr>
            <w:tcW w:w="900" w:type="pct"/>
            <w:hideMark/>
          </w:tcPr>
          <w:p w14:paraId="21B64D6A"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 (0.5%)</w:t>
            </w:r>
          </w:p>
        </w:tc>
        <w:tc>
          <w:tcPr>
            <w:tcW w:w="1050" w:type="pct"/>
            <w:hideMark/>
          </w:tcPr>
          <w:p w14:paraId="69C4A66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 (0.2%)</w:t>
            </w:r>
          </w:p>
        </w:tc>
      </w:tr>
      <w:tr w:rsidR="00901ED8" w:rsidRPr="00901ED8" w14:paraId="52A66936" w14:textId="77777777" w:rsidTr="00901ED8">
        <w:tc>
          <w:tcPr>
            <w:tcW w:w="749" w:type="pct"/>
            <w:vMerge/>
          </w:tcPr>
          <w:p w14:paraId="6CD45482" w14:textId="77777777" w:rsidR="00C62E4F" w:rsidRPr="00901ED8" w:rsidRDefault="00C62E4F" w:rsidP="00901ED8">
            <w:pPr>
              <w:rPr>
                <w:rFonts w:ascii="Times New Roman" w:hAnsi="Times New Roman" w:cs="Times New Roman"/>
                <w:sz w:val="24"/>
                <w:szCs w:val="24"/>
              </w:rPr>
            </w:pPr>
          </w:p>
        </w:tc>
        <w:tc>
          <w:tcPr>
            <w:tcW w:w="1402" w:type="pct"/>
            <w:hideMark/>
          </w:tcPr>
          <w:p w14:paraId="28BAF5FD"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 xml:space="preserve">Ulster Unionist Party </w:t>
            </w:r>
          </w:p>
        </w:tc>
        <w:tc>
          <w:tcPr>
            <w:tcW w:w="899" w:type="pct"/>
            <w:hideMark/>
          </w:tcPr>
          <w:p w14:paraId="277BC101"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w:t>
            </w:r>
          </w:p>
        </w:tc>
        <w:tc>
          <w:tcPr>
            <w:tcW w:w="900" w:type="pct"/>
            <w:hideMark/>
          </w:tcPr>
          <w:p w14:paraId="51A811E3"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 (0.2%)</w:t>
            </w:r>
          </w:p>
        </w:tc>
        <w:tc>
          <w:tcPr>
            <w:tcW w:w="1050" w:type="pct"/>
            <w:hideMark/>
          </w:tcPr>
          <w:p w14:paraId="37C31917"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63 (10.4%)</w:t>
            </w:r>
          </w:p>
        </w:tc>
      </w:tr>
      <w:tr w:rsidR="00901ED8" w:rsidRPr="00901ED8" w14:paraId="35B176A8" w14:textId="77777777" w:rsidTr="00901ED8">
        <w:tc>
          <w:tcPr>
            <w:tcW w:w="749" w:type="pct"/>
            <w:vMerge/>
          </w:tcPr>
          <w:p w14:paraId="551F1EFF" w14:textId="77777777" w:rsidR="00C62E4F" w:rsidRPr="00901ED8" w:rsidRDefault="00C62E4F" w:rsidP="00901ED8">
            <w:pPr>
              <w:rPr>
                <w:rFonts w:ascii="Times New Roman" w:hAnsi="Times New Roman" w:cs="Times New Roman"/>
                <w:sz w:val="24"/>
                <w:szCs w:val="24"/>
              </w:rPr>
            </w:pPr>
          </w:p>
        </w:tc>
        <w:tc>
          <w:tcPr>
            <w:tcW w:w="1402" w:type="pct"/>
            <w:hideMark/>
          </w:tcPr>
          <w:p w14:paraId="25F5096F"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Other</w:t>
            </w:r>
          </w:p>
        </w:tc>
        <w:tc>
          <w:tcPr>
            <w:tcW w:w="899" w:type="pct"/>
            <w:hideMark/>
          </w:tcPr>
          <w:p w14:paraId="4477B746"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17 (2.9%)</w:t>
            </w:r>
          </w:p>
        </w:tc>
        <w:tc>
          <w:tcPr>
            <w:tcW w:w="900" w:type="pct"/>
            <w:hideMark/>
          </w:tcPr>
          <w:p w14:paraId="3FBECB00"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33 (5.6%)</w:t>
            </w:r>
          </w:p>
        </w:tc>
        <w:tc>
          <w:tcPr>
            <w:tcW w:w="1050" w:type="pct"/>
            <w:hideMark/>
          </w:tcPr>
          <w:p w14:paraId="157E9F49"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22 (3.6%)</w:t>
            </w:r>
          </w:p>
        </w:tc>
      </w:tr>
      <w:tr w:rsidR="00901ED8" w:rsidRPr="00901ED8" w14:paraId="46D9C7D6" w14:textId="77777777" w:rsidTr="00901ED8">
        <w:tc>
          <w:tcPr>
            <w:tcW w:w="749" w:type="pct"/>
            <w:vMerge/>
          </w:tcPr>
          <w:p w14:paraId="7421DB47" w14:textId="77777777" w:rsidR="00C62E4F" w:rsidRPr="00901ED8" w:rsidRDefault="00C62E4F" w:rsidP="00901ED8">
            <w:pPr>
              <w:rPr>
                <w:rFonts w:ascii="Times New Roman" w:hAnsi="Times New Roman" w:cs="Times New Roman"/>
                <w:sz w:val="24"/>
                <w:szCs w:val="24"/>
              </w:rPr>
            </w:pPr>
          </w:p>
        </w:tc>
        <w:tc>
          <w:tcPr>
            <w:tcW w:w="1402" w:type="pct"/>
            <w:hideMark/>
          </w:tcPr>
          <w:p w14:paraId="51E6213D" w14:textId="77777777" w:rsidR="00C62E4F" w:rsidRPr="00901ED8" w:rsidRDefault="00C62E4F" w:rsidP="00901ED8">
            <w:pPr>
              <w:rPr>
                <w:rFonts w:ascii="Times New Roman" w:hAnsi="Times New Roman" w:cs="Times New Roman"/>
                <w:sz w:val="24"/>
                <w:szCs w:val="24"/>
              </w:rPr>
            </w:pPr>
            <w:r w:rsidRPr="00901ED8">
              <w:rPr>
                <w:rFonts w:ascii="Times New Roman" w:hAnsi="Times New Roman" w:cs="Times New Roman"/>
                <w:sz w:val="24"/>
                <w:szCs w:val="24"/>
              </w:rPr>
              <w:t>None</w:t>
            </w:r>
          </w:p>
        </w:tc>
        <w:tc>
          <w:tcPr>
            <w:tcW w:w="899" w:type="pct"/>
            <w:hideMark/>
          </w:tcPr>
          <w:p w14:paraId="0495F11D"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87 (14.8%)</w:t>
            </w:r>
          </w:p>
        </w:tc>
        <w:tc>
          <w:tcPr>
            <w:tcW w:w="900" w:type="pct"/>
            <w:hideMark/>
          </w:tcPr>
          <w:p w14:paraId="074F91B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79 (13.5%)</w:t>
            </w:r>
          </w:p>
        </w:tc>
        <w:tc>
          <w:tcPr>
            <w:tcW w:w="1050" w:type="pct"/>
            <w:hideMark/>
          </w:tcPr>
          <w:p w14:paraId="1297064F" w14:textId="77777777" w:rsidR="00C62E4F" w:rsidRPr="00901ED8" w:rsidRDefault="00C62E4F" w:rsidP="00901ED8">
            <w:pPr>
              <w:jc w:val="center"/>
              <w:rPr>
                <w:rFonts w:ascii="Times New Roman" w:hAnsi="Times New Roman" w:cs="Times New Roman"/>
                <w:sz w:val="24"/>
                <w:szCs w:val="24"/>
              </w:rPr>
            </w:pPr>
            <w:r w:rsidRPr="00901ED8">
              <w:rPr>
                <w:rFonts w:ascii="Times New Roman" w:hAnsi="Times New Roman" w:cs="Times New Roman"/>
                <w:sz w:val="24"/>
                <w:szCs w:val="24"/>
              </w:rPr>
              <w:t>130 (21.5%)</w:t>
            </w:r>
          </w:p>
        </w:tc>
      </w:tr>
    </w:tbl>
    <w:p w14:paraId="645ACFA6" w14:textId="77777777" w:rsidR="00A83DB8" w:rsidRDefault="00A83DB8" w:rsidP="00C62E4F">
      <w:pPr>
        <w:rPr>
          <w:rFonts w:ascii="Times New Roman" w:hAnsi="Times New Roman" w:cs="Times New Roman"/>
          <w:sz w:val="24"/>
          <w:szCs w:val="24"/>
        </w:rPr>
        <w:sectPr w:rsidR="00A83DB8" w:rsidSect="00A83DB8">
          <w:pgSz w:w="16838" w:h="11906" w:orient="landscape"/>
          <w:pgMar w:top="1440" w:right="1440" w:bottom="1440" w:left="1440" w:header="709" w:footer="709" w:gutter="0"/>
          <w:cols w:space="708"/>
          <w:docGrid w:linePitch="360"/>
        </w:sectPr>
      </w:pPr>
    </w:p>
    <w:p w14:paraId="183DF3C8" w14:textId="211E9A56" w:rsidR="00F57EDA" w:rsidRDefault="00F57EDA">
      <w:r>
        <w:rPr>
          <w:rFonts w:ascii="Times New Roman" w:hAnsi="Times New Roman" w:cs="Times New Roman"/>
          <w:sz w:val="24"/>
          <w:szCs w:val="24"/>
        </w:rPr>
        <w:lastRenderedPageBreak/>
        <w:t>References</w:t>
      </w:r>
    </w:p>
    <w:p w14:paraId="1F356E1D" w14:textId="17C6ACE1" w:rsidR="00F57EDA" w:rsidRPr="00F57EDA" w:rsidRDefault="00F57EDA" w:rsidP="00F57EDA">
      <w:pPr>
        <w:pStyle w:val="EndNoteBibliography"/>
        <w:spacing w:after="0"/>
        <w:ind w:left="720" w:hanging="720"/>
      </w:pPr>
      <w:r>
        <w:fldChar w:fldCharType="begin"/>
      </w:r>
      <w:r>
        <w:instrText xml:space="preserve"> ADDIN EN.REFLIST </w:instrText>
      </w:r>
      <w:r>
        <w:fldChar w:fldCharType="separate"/>
      </w:r>
      <w:r w:rsidRPr="00F57EDA">
        <w:t xml:space="preserve">BBC. (2016). EU Referendum Results. Retrieved from </w:t>
      </w:r>
      <w:hyperlink r:id="rId8" w:history="1">
        <w:r w:rsidRPr="00F57EDA">
          <w:rPr>
            <w:rStyle w:val="Hyperlink"/>
          </w:rPr>
          <w:t>https://www.bbc.co.uk/news/politics/eu_referendum/results</w:t>
        </w:r>
      </w:hyperlink>
    </w:p>
    <w:p w14:paraId="2F798EEF" w14:textId="75563590" w:rsidR="00F57EDA" w:rsidRPr="00F57EDA" w:rsidRDefault="00F57EDA" w:rsidP="00F57EDA">
      <w:pPr>
        <w:pStyle w:val="EndNoteBibliography"/>
        <w:spacing w:after="0"/>
        <w:ind w:left="720" w:hanging="720"/>
      </w:pPr>
      <w:r w:rsidRPr="00F57EDA">
        <w:t xml:space="preserve">Eurostat. (2020). Population on 1 January by age and sex. Retrieved from </w:t>
      </w:r>
      <w:hyperlink r:id="rId9" w:history="1">
        <w:r w:rsidRPr="00F57EDA">
          <w:rPr>
            <w:rStyle w:val="Hyperlink"/>
          </w:rPr>
          <w:t>https://appsso.eurostat.ec.europa.eu/nui/show.do?dataset=demo_pjan&amp;lang=en</w:t>
        </w:r>
      </w:hyperlink>
    </w:p>
    <w:p w14:paraId="2734BB06" w14:textId="17094856" w:rsidR="00F57EDA" w:rsidRPr="00F57EDA" w:rsidRDefault="00F57EDA" w:rsidP="00F57EDA">
      <w:pPr>
        <w:pStyle w:val="EndNoteBibliography"/>
        <w:spacing w:after="0"/>
        <w:ind w:left="720" w:hanging="720"/>
      </w:pPr>
      <w:r w:rsidRPr="00F57EDA">
        <w:t xml:space="preserve">National Records Scotland. (2017). Scotland’s Population. The Registrar General’s Annual Review of Demographic Trends. Retrieved from </w:t>
      </w:r>
      <w:hyperlink r:id="rId10" w:history="1">
        <w:r w:rsidRPr="00F57EDA">
          <w:rPr>
            <w:rStyle w:val="Hyperlink"/>
          </w:rPr>
          <w:t>https://www.nrscotland.gov.uk/files/statistics/rgar/16/16rgar.pdf</w:t>
        </w:r>
      </w:hyperlink>
    </w:p>
    <w:p w14:paraId="3694E7B3" w14:textId="65116592" w:rsidR="00F57EDA" w:rsidRPr="00F57EDA" w:rsidRDefault="00F57EDA" w:rsidP="00F57EDA">
      <w:pPr>
        <w:pStyle w:val="EndNoteBibliography"/>
        <w:spacing w:after="0"/>
        <w:ind w:left="720" w:hanging="720"/>
      </w:pPr>
      <w:r w:rsidRPr="00F57EDA">
        <w:t xml:space="preserve">National Records Scotland. (2020). Mid-population estimates Scotland. Retrieved from </w:t>
      </w:r>
      <w:hyperlink r:id="rId11" w:history="1">
        <w:r w:rsidRPr="00F57EDA">
          <w:rPr>
            <w:rStyle w:val="Hyperlink"/>
          </w:rPr>
          <w:t>https://www.nrscotland.gov.uk/statistics-and-data/statistics/statistics-by-theme/population/population-estimates/mid-year-population-estimates/mid-2019</w:t>
        </w:r>
      </w:hyperlink>
    </w:p>
    <w:p w14:paraId="0B525DA7" w14:textId="4962035A" w:rsidR="00F57EDA" w:rsidRPr="00F57EDA" w:rsidRDefault="00F57EDA" w:rsidP="00F57EDA">
      <w:pPr>
        <w:pStyle w:val="EndNoteBibliography"/>
        <w:spacing w:after="0"/>
        <w:ind w:left="720" w:hanging="720"/>
      </w:pPr>
      <w:r w:rsidRPr="00F57EDA">
        <w:t xml:space="preserve">National Records Scotland. (2021). </w:t>
      </w:r>
      <w:r w:rsidRPr="00F57EDA">
        <w:rPr>
          <w:i/>
        </w:rPr>
        <w:t xml:space="preserve">Population by Country of Birth and Nationality, Scotland, July 2019 to June 2020 </w:t>
      </w:r>
      <w:r w:rsidRPr="00F57EDA">
        <w:t xml:space="preserve">Retrieved from Edinburgh, Scotland.: </w:t>
      </w:r>
      <w:hyperlink r:id="rId12" w:history="1">
        <w:r w:rsidRPr="00F57EDA">
          <w:rPr>
            <w:rStyle w:val="Hyperlink"/>
          </w:rPr>
          <w:t>https://www.nrscotland.gov.uk/files//statistics/population-estimates/pop-cob-nat-19-20/pop-cob-nat-19-20-report.pdf</w:t>
        </w:r>
      </w:hyperlink>
    </w:p>
    <w:p w14:paraId="3BF43C74" w14:textId="2C3096D7" w:rsidR="00F57EDA" w:rsidRPr="00F57EDA" w:rsidRDefault="00F57EDA" w:rsidP="00F57EDA">
      <w:pPr>
        <w:pStyle w:val="EndNoteBibliography"/>
        <w:spacing w:after="0"/>
        <w:ind w:left="720" w:hanging="720"/>
      </w:pPr>
      <w:r w:rsidRPr="00F57EDA">
        <w:t xml:space="preserve">Office for National Statistics. (2017). Household disposable income and inequality in the UK: financial year ending 2016. Retrieved from </w:t>
      </w:r>
      <w:hyperlink r:id="rId13" w:history="1">
        <w:r w:rsidRPr="00F57EDA">
          <w:rPr>
            <w:rStyle w:val="Hyperlink"/>
          </w:rPr>
          <w:t>https://www.ons.gov.uk/peoplepopulationandcommunity/personalandhouseholdfinances/incomeandwealth/bulletins/householddisposableincomeandinequality/financialyearending2016</w:t>
        </w:r>
      </w:hyperlink>
    </w:p>
    <w:p w14:paraId="5F7D2A6E" w14:textId="0FE6FDDB" w:rsidR="00F57EDA" w:rsidRPr="00F57EDA" w:rsidRDefault="00F57EDA" w:rsidP="00F57EDA">
      <w:pPr>
        <w:pStyle w:val="EndNoteBibliography"/>
        <w:ind w:left="720" w:hanging="720"/>
      </w:pPr>
      <w:r w:rsidRPr="00F57EDA">
        <w:t xml:space="preserve">UK Parliament House of Commons Library. (2019). Insight: General Election 2019: The results. Retrieved from </w:t>
      </w:r>
      <w:hyperlink r:id="rId14" w:history="1">
        <w:r w:rsidRPr="00F57EDA">
          <w:rPr>
            <w:rStyle w:val="Hyperlink"/>
          </w:rPr>
          <w:t>https://commonslibrary.parliament.uk/general-election-2019-the-results-so-far/</w:t>
        </w:r>
      </w:hyperlink>
    </w:p>
    <w:p w14:paraId="63B1A502" w14:textId="18891F29" w:rsidR="000B7578" w:rsidRDefault="00F57EDA">
      <w:r>
        <w:fldChar w:fldCharType="end"/>
      </w:r>
    </w:p>
    <w:sectPr w:rsidR="000B75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F971" w14:textId="77777777" w:rsidR="00A82671" w:rsidRDefault="00A82671" w:rsidP="00F57EDA">
      <w:pPr>
        <w:spacing w:after="0" w:line="240" w:lineRule="auto"/>
      </w:pPr>
      <w:r>
        <w:separator/>
      </w:r>
    </w:p>
  </w:endnote>
  <w:endnote w:type="continuationSeparator" w:id="0">
    <w:p w14:paraId="501D0A8B" w14:textId="77777777" w:rsidR="00A82671" w:rsidRDefault="00A82671" w:rsidP="00F5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795309"/>
      <w:docPartObj>
        <w:docPartGallery w:val="Page Numbers (Bottom of Page)"/>
        <w:docPartUnique/>
      </w:docPartObj>
    </w:sdtPr>
    <w:sdtEndPr>
      <w:rPr>
        <w:rFonts w:ascii="Times New Roman" w:hAnsi="Times New Roman" w:cs="Times New Roman"/>
        <w:noProof/>
        <w:sz w:val="24"/>
        <w:szCs w:val="24"/>
      </w:rPr>
    </w:sdtEndPr>
    <w:sdtContent>
      <w:p w14:paraId="2197A18A" w14:textId="5C2771BF" w:rsidR="003745D7" w:rsidRPr="00F57EDA" w:rsidRDefault="003745D7">
        <w:pPr>
          <w:pStyle w:val="Footer"/>
          <w:jc w:val="right"/>
          <w:rPr>
            <w:rFonts w:ascii="Times New Roman" w:hAnsi="Times New Roman" w:cs="Times New Roman"/>
            <w:sz w:val="24"/>
            <w:szCs w:val="24"/>
          </w:rPr>
        </w:pPr>
        <w:r w:rsidRPr="00F57EDA">
          <w:rPr>
            <w:rFonts w:ascii="Times New Roman" w:hAnsi="Times New Roman" w:cs="Times New Roman"/>
            <w:sz w:val="24"/>
            <w:szCs w:val="24"/>
          </w:rPr>
          <w:fldChar w:fldCharType="begin"/>
        </w:r>
        <w:r w:rsidRPr="00F57EDA">
          <w:rPr>
            <w:rFonts w:ascii="Times New Roman" w:hAnsi="Times New Roman" w:cs="Times New Roman"/>
            <w:sz w:val="24"/>
            <w:szCs w:val="24"/>
          </w:rPr>
          <w:instrText xml:space="preserve"> PAGE   \* MERGEFORMAT </w:instrText>
        </w:r>
        <w:r w:rsidRPr="00F57EDA">
          <w:rPr>
            <w:rFonts w:ascii="Times New Roman" w:hAnsi="Times New Roman" w:cs="Times New Roman"/>
            <w:sz w:val="24"/>
            <w:szCs w:val="24"/>
          </w:rPr>
          <w:fldChar w:fldCharType="separate"/>
        </w:r>
        <w:r w:rsidRPr="00F57EDA">
          <w:rPr>
            <w:rFonts w:ascii="Times New Roman" w:hAnsi="Times New Roman" w:cs="Times New Roman"/>
            <w:noProof/>
            <w:sz w:val="24"/>
            <w:szCs w:val="24"/>
          </w:rPr>
          <w:t>2</w:t>
        </w:r>
        <w:r w:rsidRPr="00F57EDA">
          <w:rPr>
            <w:rFonts w:ascii="Times New Roman" w:hAnsi="Times New Roman" w:cs="Times New Roman"/>
            <w:noProof/>
            <w:sz w:val="24"/>
            <w:szCs w:val="24"/>
          </w:rPr>
          <w:fldChar w:fldCharType="end"/>
        </w:r>
      </w:p>
    </w:sdtContent>
  </w:sdt>
  <w:p w14:paraId="53543214" w14:textId="77777777" w:rsidR="003745D7" w:rsidRDefault="00374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DCA6" w14:textId="77777777" w:rsidR="00A82671" w:rsidRDefault="00A82671" w:rsidP="00F57EDA">
      <w:pPr>
        <w:spacing w:after="0" w:line="240" w:lineRule="auto"/>
      </w:pPr>
      <w:r>
        <w:separator/>
      </w:r>
    </w:p>
  </w:footnote>
  <w:footnote w:type="continuationSeparator" w:id="0">
    <w:p w14:paraId="2EEF161D" w14:textId="77777777" w:rsidR="00A82671" w:rsidRDefault="00A82671" w:rsidP="00F57E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xrwrewuz0adqevwr5va2tkzweartat0prt&quot;&gt;coronavirus&lt;record-ids&gt;&lt;item&gt;73&lt;/item&gt;&lt;item&gt;75&lt;/item&gt;&lt;item&gt;466&lt;/item&gt;&lt;item&gt;471&lt;/item&gt;&lt;item&gt;472&lt;/item&gt;&lt;item&gt;473&lt;/item&gt;&lt;item&gt;477&lt;/item&gt;&lt;/record-ids&gt;&lt;/item&gt;&lt;/Libraries&gt;"/>
  </w:docVars>
  <w:rsids>
    <w:rsidRoot w:val="00C62E4F"/>
    <w:rsid w:val="000530BE"/>
    <w:rsid w:val="000B7578"/>
    <w:rsid w:val="000D1CAB"/>
    <w:rsid w:val="00262D5E"/>
    <w:rsid w:val="0028341E"/>
    <w:rsid w:val="003745D7"/>
    <w:rsid w:val="00543661"/>
    <w:rsid w:val="006F22C5"/>
    <w:rsid w:val="0081287E"/>
    <w:rsid w:val="008B6266"/>
    <w:rsid w:val="00901ED8"/>
    <w:rsid w:val="00A63D98"/>
    <w:rsid w:val="00A82671"/>
    <w:rsid w:val="00A83DB8"/>
    <w:rsid w:val="00BE25EE"/>
    <w:rsid w:val="00C62E4F"/>
    <w:rsid w:val="00C74EBE"/>
    <w:rsid w:val="00CA5028"/>
    <w:rsid w:val="00D322BA"/>
    <w:rsid w:val="00D90FCF"/>
    <w:rsid w:val="00E375D7"/>
    <w:rsid w:val="00E9650F"/>
    <w:rsid w:val="00F57EDA"/>
    <w:rsid w:val="00FF5E9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28C0"/>
  <w15:chartTrackingRefBased/>
  <w15:docId w15:val="{41F13017-7B7C-4554-B901-79DC3A92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4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0BE"/>
    <w:rPr>
      <w:color w:val="0000FF"/>
      <w:u w:val="single"/>
    </w:rPr>
  </w:style>
  <w:style w:type="paragraph" w:styleId="Header">
    <w:name w:val="header"/>
    <w:basedOn w:val="Normal"/>
    <w:link w:val="HeaderChar"/>
    <w:uiPriority w:val="99"/>
    <w:unhideWhenUsed/>
    <w:rsid w:val="00053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0BE"/>
    <w:rPr>
      <w:lang w:val="en-GB"/>
    </w:rPr>
  </w:style>
  <w:style w:type="paragraph" w:customStyle="1" w:styleId="EndNoteBibliographyTitle">
    <w:name w:val="EndNote Bibliography Title"/>
    <w:basedOn w:val="Normal"/>
    <w:link w:val="EndNoteBibliographyTitleChar"/>
    <w:rsid w:val="00F57EDA"/>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F57ED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57EDA"/>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F57EDA"/>
    <w:rPr>
      <w:rFonts w:ascii="Times New Roman" w:hAnsi="Times New Roman" w:cs="Times New Roman"/>
      <w:noProof/>
      <w:sz w:val="24"/>
      <w:lang w:val="en-US"/>
    </w:rPr>
  </w:style>
  <w:style w:type="character" w:styleId="UnresolvedMention">
    <w:name w:val="Unresolved Mention"/>
    <w:basedOn w:val="DefaultParagraphFont"/>
    <w:uiPriority w:val="99"/>
    <w:semiHidden/>
    <w:unhideWhenUsed/>
    <w:rsid w:val="00F57EDA"/>
    <w:rPr>
      <w:color w:val="605E5C"/>
      <w:shd w:val="clear" w:color="auto" w:fill="E1DFDD"/>
    </w:rPr>
  </w:style>
  <w:style w:type="paragraph" w:styleId="Footer">
    <w:name w:val="footer"/>
    <w:basedOn w:val="Normal"/>
    <w:link w:val="FooterChar"/>
    <w:uiPriority w:val="99"/>
    <w:unhideWhenUsed/>
    <w:rsid w:val="00F57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EDA"/>
    <w:rPr>
      <w:lang w:val="en-GB"/>
    </w:rPr>
  </w:style>
  <w:style w:type="character" w:styleId="CommentReference">
    <w:name w:val="annotation reference"/>
    <w:basedOn w:val="DefaultParagraphFont"/>
    <w:uiPriority w:val="99"/>
    <w:semiHidden/>
    <w:unhideWhenUsed/>
    <w:rsid w:val="003745D7"/>
    <w:rPr>
      <w:sz w:val="16"/>
      <w:szCs w:val="16"/>
    </w:rPr>
  </w:style>
  <w:style w:type="paragraph" w:styleId="CommentText">
    <w:name w:val="annotation text"/>
    <w:basedOn w:val="Normal"/>
    <w:link w:val="CommentTextChar"/>
    <w:uiPriority w:val="99"/>
    <w:semiHidden/>
    <w:unhideWhenUsed/>
    <w:rsid w:val="003745D7"/>
    <w:pPr>
      <w:spacing w:line="240" w:lineRule="auto"/>
    </w:pPr>
    <w:rPr>
      <w:sz w:val="20"/>
      <w:szCs w:val="20"/>
    </w:rPr>
  </w:style>
  <w:style w:type="character" w:customStyle="1" w:styleId="CommentTextChar">
    <w:name w:val="Comment Text Char"/>
    <w:basedOn w:val="DefaultParagraphFont"/>
    <w:link w:val="CommentText"/>
    <w:uiPriority w:val="99"/>
    <w:semiHidden/>
    <w:rsid w:val="003745D7"/>
    <w:rPr>
      <w:sz w:val="20"/>
      <w:szCs w:val="20"/>
      <w:lang w:val="en-GB"/>
    </w:rPr>
  </w:style>
  <w:style w:type="paragraph" w:styleId="CommentSubject">
    <w:name w:val="annotation subject"/>
    <w:basedOn w:val="CommentText"/>
    <w:next w:val="CommentText"/>
    <w:link w:val="CommentSubjectChar"/>
    <w:uiPriority w:val="99"/>
    <w:semiHidden/>
    <w:unhideWhenUsed/>
    <w:rsid w:val="003745D7"/>
    <w:rPr>
      <w:b/>
      <w:bCs/>
    </w:rPr>
  </w:style>
  <w:style w:type="character" w:customStyle="1" w:styleId="CommentSubjectChar">
    <w:name w:val="Comment Subject Char"/>
    <w:basedOn w:val="CommentTextChar"/>
    <w:link w:val="CommentSubject"/>
    <w:uiPriority w:val="99"/>
    <w:semiHidden/>
    <w:rsid w:val="003745D7"/>
    <w:rPr>
      <w:b/>
      <w:bCs/>
      <w:sz w:val="20"/>
      <w:szCs w:val="20"/>
      <w:lang w:val="en-GB"/>
    </w:rPr>
  </w:style>
  <w:style w:type="paragraph" w:styleId="BalloonText">
    <w:name w:val="Balloon Text"/>
    <w:basedOn w:val="Normal"/>
    <w:link w:val="BalloonTextChar"/>
    <w:uiPriority w:val="99"/>
    <w:semiHidden/>
    <w:unhideWhenUsed/>
    <w:rsid w:val="00374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5D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politics/eu_referendum/results" TargetMode="External"/><Relationship Id="rId13" Type="http://schemas.openxmlformats.org/officeDocument/2006/relationships/hyperlink" Target="https://www.ons.gov.uk/peoplepopulationandcommunity/personalandhouseholdfinances/incomeandwealth/bulletins/householddisposableincomeandinequality/financialyearending2016"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nrscotland.gov.uk/files//statistics/population-estimates/pop-cob-nat-19-20/pop-cob-nat-19-20-report.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o.mcbride@ulster.ac.uk" TargetMode="External"/><Relationship Id="rId11" Type="http://schemas.openxmlformats.org/officeDocument/2006/relationships/hyperlink" Target="https://www.nrscotland.gov.uk/statistics-and-data/statistics/statistics-by-theme/population/population-estimates/mid-year-population-estimates/mid-2019"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rscotland.gov.uk/files/statistics/rgar/16/16rgar.pdf" TargetMode="External"/><Relationship Id="rId4" Type="http://schemas.openxmlformats.org/officeDocument/2006/relationships/footnotes" Target="footnotes.xml"/><Relationship Id="rId9" Type="http://schemas.openxmlformats.org/officeDocument/2006/relationships/hyperlink" Target="https://appsso.eurostat.ec.europa.eu/nui/show.do?dataset=demo_pjan&amp;lang=en" TargetMode="External"/><Relationship Id="rId14" Type="http://schemas.openxmlformats.org/officeDocument/2006/relationships/hyperlink" Target="https://commonslibrary.parliament.uk/general-election-2019-the-results-so-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mcbride</dc:creator>
  <cp:keywords/>
  <dc:description/>
  <cp:lastModifiedBy>orla mcbride</cp:lastModifiedBy>
  <cp:revision>2</cp:revision>
  <dcterms:created xsi:type="dcterms:W3CDTF">2021-05-28T16:47:00Z</dcterms:created>
  <dcterms:modified xsi:type="dcterms:W3CDTF">2021-05-28T16:47:00Z</dcterms:modified>
</cp:coreProperties>
</file>